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firstLineChars="0" w:firstLine="0" w:leftChars="0" w:left="0" w:rightChars="0" w:right="0" w:hangingChars="0" w:hanging="0"/>
      </w:pPr>
      <w:r>
        <w:rPr>
          <w:rFonts w:ascii="Times New Roman" w:hAnsi="Times New Roman" w:eastAsia="方正小标宋简体" w:cs="Times New Roman"/>
          <w:b w:val="0"/>
          <w:sz w:val="44"/>
        </w:rPr>
        <w:t>页码版式基准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一、说明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本文档用于验证页脚中存在 PAGE 域。</w:t>
      </w: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楷体_GB2312" w:cs="Times New Roman"/>
          <w:b w:val="0"/>
          <w:sz w:val="32"/>
        </w:rPr>
        <w:t>（一）校验点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页码必须是**域**而不是纯文本，否则插入或删除内容后页码不会自动更新。</w:t>
      </w: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 w:leftChars="0" w:left="0" w:rightChars="0" w:right="0" w:hangingChars="0" w:hanging="0"/>
    </w:pPr>
    <w:r/>
    <w:r>
      <w:rPr>
        <w:rFonts w:ascii="宋体" w:hAnsi="宋体" w:eastAsia="宋体" w:cs="宋体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