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firstLineChars="0" w:firstLine="0" w:leftChars="0" w:left="0" w:rightChars="0" w:right="0" w:hangingChars="0" w:hanging="0"/>
      </w:pPr>
      <w:r>
        <w:rPr>
          <w:rFonts w:ascii="Times New Roman" w:hAnsi="Times New Roman" w:eastAsia="方正小标宋简体" w:cs="Times New Roman"/>
          <w:b w:val="0"/>
          <w:sz w:val="44"/>
        </w:rPr>
        <w:t>边界场景基准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</w:p>
    <w:p>
      <w:pPr>
        <w:jc w:val="left"/>
        <w:ind w:firstLineChars="200" w:firstLine="0" w:leftChars="0" w:left="0" w:rightChars="0" w:right="0" w:hangingChars="0" w:hanging="0"/>
      </w:pPr>
      <w:r>
        <w:rPr>
          <w:rFonts w:ascii="Times New Roman" w:hAnsi="Times New Roman" w:eastAsia="黑体" w:cs="Times New Roman"/>
          <w:b w:val="0"/>
          <w:sz w:val="32"/>
        </w:rPr>
        <w:t>一、超长表格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0" w:type="dxa"/>
        <w:tblCellMar>
          <w:top w:w="28" w:type="dxa"/>
          <w:start w:w="85" w:type="dxa"/>
          <w:bottom w:w="28" w:type="dxa"/>
          <w:end w:w="85" w:type="dxa"/>
        </w:tblCellMar>
      </w:tblPr>
      <w:tblGrid>
        <w:gridCol w:w="1836"/>
        <w:gridCol w:w="1836"/>
        <w:gridCol w:w="1836"/>
        <w:gridCol w:w="1836"/>
        <w:gridCol w:w="1836"/>
      </w:tblGrid>
      <w:tr>
        <w:trPr>
          <w:tblHeader w:val="true"/>
        </w:trPr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列一</w:t>
            </w:r>
          </w:p>
        </w:tc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列二</w:t>
            </w:r>
          </w:p>
        </w:tc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列三</w:t>
            </w:r>
          </w:p>
        </w:tc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列四</w:t>
            </w:r>
          </w:p>
        </w:tc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列五</w:t>
            </w:r>
          </w:p>
        </w:tc>
      </w:tr>
      <w:tr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甲</w:t>
            </w:r>
          </w:p>
        </w:tc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乙</w:t>
            </w:r>
          </w:p>
        </w:tc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丙</w:t>
            </w:r>
          </w:p>
        </w:tc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丁</w:t>
            </w:r>
          </w:p>
        </w:tc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戊</w:t>
            </w:r>
          </w:p>
        </w:tc>
      </w:tr>
      <w:tr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己</w:t>
            </w:r>
          </w:p>
        </w:tc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庚</w:t>
            </w:r>
          </w:p>
        </w:tc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辛</w:t>
            </w:r>
          </w:p>
        </w:tc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壬</w:t>
            </w:r>
          </w:p>
        </w:tc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癸</w:t>
            </w:r>
          </w:p>
        </w:tc>
      </w:tr>
      <w:tr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子</w:t>
            </w:r>
          </w:p>
        </w:tc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丑</w:t>
            </w:r>
          </w:p>
        </w:tc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寅</w:t>
            </w:r>
          </w:p>
        </w:tc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卯</w:t>
            </w:r>
          </w:p>
        </w:tc>
        <w:tc>
          <w:tcPr>
            <w:tcW w:type="dxa" w:w="1836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辰</w:t>
            </w:r>
          </w:p>
        </w:tc>
      </w:tr>
    </w:tbl>
    <w:p>
      <w:pPr>
        <w:jc w:val="both"/>
        <w:spacing w:lineRule="exact" w:line="576"/>
        <w:ind w:firstLineChars="200" w:firstLine="0" w:leftChars="0" w:left="0" w:rightChars="0" w:right="0" w:hangingChars="0" w:hanging="0"/>
      </w:pPr>
    </w:p>
    <w:p>
      <w:pPr>
        <w:jc w:val="left"/>
        <w:ind w:firstLineChars="200" w:firstLine="0" w:leftChars="0" w:left="0" w:rightChars="0" w:right="0" w:hangingChars="0" w:hanging="0"/>
      </w:pPr>
      <w:r>
        <w:rPr>
          <w:rFonts w:ascii="Times New Roman" w:hAnsi="Times New Roman" w:eastAsia="楷体_GB2312" w:cs="Times New Roman"/>
          <w:b w:val="0"/>
          <w:sz w:val="32"/>
        </w:rPr>
        <w:t>（一）特殊字符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  <w:r>
        <w:rPr>
          <w:rFonts w:ascii="Times New Roman" w:hAnsi="Times New Roman" w:eastAsia="仿宋_GB2312" w:cs="Times New Roman"/>
          <w:b w:val="0"/>
          <w:sz w:val="32"/>
        </w:rPr>
        <w:t>含特殊字符：小于号、大于号、与号、引号。</w:t>
      </w:r>
    </w:p>
    <w:p>
      <w:pPr>
        <w:jc w:val="left"/>
        <w:ind w:firstLineChars="200" w:firstLine="0" w:leftChars="0" w:left="0" w:rightChars="0" w:right="0" w:hangingChars="0" w:hanging="0"/>
      </w:pPr>
      <w:r>
        <w:rPr>
          <w:rFonts w:ascii="Times New Roman" w:hAnsi="Times New Roman" w:eastAsia="黑体" w:cs="Times New Roman"/>
          <w:b w:val="0"/>
          <w:sz w:val="32"/>
        </w:rPr>
        <w:t>二、无表格章节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  <w:r>
        <w:rPr>
          <w:rFonts w:ascii="Times New Roman" w:hAnsi="Times New Roman" w:eastAsia="仿宋_GB2312" w:cs="Times New Roman"/>
          <w:b w:val="0"/>
          <w:sz w:val="32"/>
        </w:rPr>
        <w:t>这一节没有表格，用来确认“有表格”与“无表格”的文档都能通过校验。</w:t>
      </w:r>
    </w:p>
    <w:sectPr w:rsidR="00FC693F" w:rsidRPr="0006063C" w:rsidSect="00034616">
      <w:footerReference w:type="default" r:id="rId9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ind w:firstLineChars="0" w:firstLine="0" w:leftChars="0" w:left="0" w:rightChars="0" w:right="0" w:hangingChars="0" w:hanging="0"/>
    </w:pPr>
    <w:r/>
    <w:r>
      <w:rPr>
        <w:rFonts w:ascii="宋体" w:hAnsi="宋体" w:eastAsia="宋体" w:cs="宋体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