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lang=”en” dir=”ltr”&gt;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charset=”utf-8”&gt;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&lt;title&gt;Result&lt;/title&gt;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rel=”stylesheet” type=”text/css” href=”{{ url_for(‘static’,filename=’styles.css’)}}”&gt;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type=”text/javascript” src=https://www.gstatic.com/charts/loader.js&gt;&lt;/script&gt;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type=”text/javascript”&gt;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Google.charts.load(“current”, {packages:[“corechart”]});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Google.charts.setOnLoadCallback(drawChart);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drawChart()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Var data = google.visualization.arrayToDataTable([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[‘Tweets’, ‘Seniment’],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[‘Positive’,{{P}}],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[‘Negative’,{{N}}],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[‘Neutral’,{{NU}}]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Var options =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Title: ‘Sentiment Chart’,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Is3D: true,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Var chart = new google.visualization.PieChart(document.getElementById(‘piechart_3d’));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Chart.draw(data, options);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&lt;script type=”text/javascript” src=https://www.gstatic.com/charts/loader.js&gt;&lt;/script&gt;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&lt;script type=”text/javascript”&gt;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Google.charts.load(‘current’, {‘packages’:[‘bar’]});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Google.charts.setOnLoadCallback(drawStuff);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Function drawStuff()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Var data = new google.visualization.arrayToDataTable([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[‘Emotion’, ‘Count’],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[“Happy”,{{happy}}],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[“Sad”, {{sad}}],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[“Angry”, {{angry}}],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[“Loved”, {{loved}}],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[‘Surprise’, {{surprise}}],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[‘Fearless’, {{fearless}}],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[‘Cheated’, {{cheated}}],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[‘Attracted’, {{attracted}}],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[‘Singledout’, {{singledout}}],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[‘Anxious’, {{anxious}}],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[‘Powerless’, {{powerless}}]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Var options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Title: ‘Emotion of tweets’,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Width: 600,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Legend: { position: ‘none’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Chart: { title: ‘Analysis of tweets’,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Subtitle: ‘Total count’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Bars: ‘horizontal’, // Required for Material Bar Charts.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Axes: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X: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0: { side: ‘top’, label: ‘Count’} // Top x-axis.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Bar: { groupWidth: “90%”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Var chart = new google.charts.Bar(document.getElementById(‘top_x_div’));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Chart.draw(data, options);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&lt;div class=”container”&gt;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&lt;div id=”branding”&gt;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&lt;h1&gt;&lt;span class=”highlight”&gt;Market&lt;/span&gt; Analysis&lt;/h1&gt;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&lt;li&gt; &lt;a href=”/home”&gt;Home&lt;/a&gt; &lt;/li&gt;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&lt;li class=”current”&gt; &lt;a href=”/result”&gt;Result&lt;/a&gt; &lt;/li&gt;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&lt;section id=”showcase”&gt;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class=”container”&gt;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&lt;h1&gt;Twitter Market Analysis.&lt;/h1&gt;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&lt;p&gt;Predicts the Sentiment of tweets as Positive, Negative, Neutral to give us an estimation about market situation.&lt;/p&gt;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&lt;section&gt;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class=”container1”&gt;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&lt;div id=”piechart_3d” style=”width: 750px; height: 500px;”&gt;&lt;/div&gt;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&lt;div id=”top_x_div” style=”width: 600px; height: 500px;” &gt;&lt;/div&gt;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&lt;section id =”bor”&gt;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class=”container”&gt;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&lt;h1 id=”hea”&gt;Analysis of Tweets of the given topic.&lt;/h1&gt;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{% for key,value in outputs.items() %}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&lt;p&gt;&lt;span class=”tweet1”&gt;{{ key }}&lt;/span&gt; = &lt;span class=”tweet2”&gt;{{value}}&lt;/span&gt;&lt;/p&gt;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{% endfor %}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&lt;footer&gt;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&lt;p&gt;Team-ARE, Copyright &amp;copy; 2025&lt;/p&gt;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