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B9959" w14:textId="7E949D50" w:rsidR="00440A2C" w:rsidRDefault="00440A2C" w:rsidP="00440A2C">
      <w:pPr>
        <w:rPr>
          <w:b/>
          <w:bCs/>
        </w:rPr>
      </w:pPr>
      <w:r w:rsidRPr="00440A2C">
        <w:rPr>
          <w:b/>
          <w:bCs/>
        </w:rPr>
        <w:t>CRYPTO: A PROPERTY SAYS MADRAS HIGH COURT</w:t>
      </w:r>
    </w:p>
    <w:p w14:paraId="3830BB5B" w14:textId="7483AE47" w:rsidR="00440A2C" w:rsidRPr="00440A2C" w:rsidRDefault="00440A2C" w:rsidP="00440A2C">
      <w:pPr>
        <w:rPr>
          <w:b/>
          <w:bCs/>
        </w:rPr>
      </w:pPr>
      <w:r>
        <w:rPr>
          <w:b/>
          <w:bCs/>
        </w:rPr>
        <w:t>October 25, 2025</w:t>
      </w:r>
    </w:p>
    <w:p w14:paraId="4E7B8E29" w14:textId="1100523F" w:rsidR="00440A2C" w:rsidRPr="00440A2C" w:rsidRDefault="00440A2C" w:rsidP="00440A2C">
      <w:pPr>
        <w:rPr>
          <w:u w:val="single"/>
        </w:rPr>
      </w:pPr>
      <w:r w:rsidRPr="00440A2C">
        <w:rPr>
          <w:u w:val="single"/>
        </w:rPr>
        <w:t>Landmark Judgment: Madras High Court Recognizes Crypto as Property</w:t>
      </w:r>
      <w:r w:rsidRPr="00440A2C">
        <w:rPr>
          <w:u w:val="single"/>
        </w:rPr>
        <w:t xml:space="preserve">. </w:t>
      </w:r>
      <w:r w:rsidRPr="00440A2C">
        <w:rPr>
          <w:u w:val="single"/>
        </w:rPr>
        <w:t xml:space="preserve"> A </w:t>
      </w:r>
      <w:r w:rsidRPr="00440A2C">
        <w:rPr>
          <w:u w:val="single"/>
        </w:rPr>
        <w:t>D</w:t>
      </w:r>
      <w:r w:rsidRPr="00440A2C">
        <w:rPr>
          <w:u w:val="single"/>
        </w:rPr>
        <w:t xml:space="preserve">efining Moment for India’s Digital Asset Jurisprudence </w:t>
      </w:r>
    </w:p>
    <w:p w14:paraId="01985CD2" w14:textId="13050839" w:rsidR="00440A2C" w:rsidRPr="00440A2C" w:rsidRDefault="00440A2C" w:rsidP="00440A2C">
      <w:pPr>
        <w:rPr>
          <w:b/>
          <w:bCs/>
        </w:rPr>
      </w:pPr>
      <w:proofErr w:type="gramStart"/>
      <w:r w:rsidRPr="00440A2C">
        <w:rPr>
          <w:b/>
          <w:bCs/>
        </w:rPr>
        <w:t>2025:MHC</w:t>
      </w:r>
      <w:proofErr w:type="gramEnd"/>
      <w:r w:rsidRPr="00440A2C">
        <w:rPr>
          <w:b/>
          <w:bCs/>
        </w:rPr>
        <w:t>:2437. OA.194.2025 MADRAS HIGH COURT</w:t>
      </w:r>
    </w:p>
    <w:p w14:paraId="0CDAD39E" w14:textId="10AF305B" w:rsidR="00440A2C" w:rsidRDefault="00440A2C" w:rsidP="00440A2C">
      <w:r>
        <w:t xml:space="preserve">In </w:t>
      </w:r>
      <w:proofErr w:type="spellStart"/>
      <w:r>
        <w:t>Rhutikumari</w:t>
      </w:r>
      <w:proofErr w:type="spellEnd"/>
      <w:r>
        <w:t xml:space="preserve"> v. </w:t>
      </w:r>
      <w:proofErr w:type="spellStart"/>
      <w:r>
        <w:t>Zanmai</w:t>
      </w:r>
      <w:proofErr w:type="spellEnd"/>
      <w:r>
        <w:t xml:space="preserve"> Labs </w:t>
      </w:r>
      <w:proofErr w:type="spellStart"/>
      <w:r>
        <w:t>Pvt.</w:t>
      </w:r>
      <w:proofErr w:type="spellEnd"/>
      <w:r>
        <w:t xml:space="preserve"> Ltd. (</w:t>
      </w:r>
      <w:proofErr w:type="spellStart"/>
      <w:r>
        <w:t>WazirX</w:t>
      </w:r>
      <w:proofErr w:type="spellEnd"/>
      <w:r>
        <w:t>), Justice N. Anand Venkatesh of the Madras High Court has delivered a path-breaking judgment holding that cryptocurrency is a form of property under Indian law.</w:t>
      </w:r>
    </w:p>
    <w:p w14:paraId="709DA9A6" w14:textId="2BDEBDFE" w:rsidR="00440A2C" w:rsidRDefault="00440A2C" w:rsidP="00440A2C">
      <w:r>
        <w:t xml:space="preserve">The Court observed that while crypto is neither currency nor tangible, it is a virtual digital asset, capable of possession, enjoyment, and trust ownership aligning with global jurisprudence such as Ruscoe v. </w:t>
      </w:r>
      <w:proofErr w:type="spellStart"/>
      <w:r>
        <w:t>Cryptopia</w:t>
      </w:r>
      <w:proofErr w:type="spellEnd"/>
      <w:r>
        <w:t xml:space="preserve"> (NZHC, 2020) and AA v. Persons Unknown (UK, 2019).</w:t>
      </w:r>
    </w:p>
    <w:p w14:paraId="6B822C07" w14:textId="77777777" w:rsidR="00440A2C" w:rsidRDefault="00440A2C" w:rsidP="00440A2C">
      <w:r>
        <w:t>This recognition means:</w:t>
      </w:r>
    </w:p>
    <w:p w14:paraId="7BE009F1" w14:textId="77777777" w:rsidR="00440A2C" w:rsidRDefault="00440A2C" w:rsidP="00440A2C">
      <w:r>
        <w:t>•Crypto holdings are legally protectable property, enforceable under Indian arbitration and civil law.</w:t>
      </w:r>
    </w:p>
    <w:p w14:paraId="5CEA5710" w14:textId="77777777" w:rsidR="00440A2C" w:rsidRDefault="00440A2C" w:rsidP="00440A2C">
      <w:r>
        <w:t xml:space="preserve">•Exchanges like </w:t>
      </w:r>
      <w:proofErr w:type="spellStart"/>
      <w:r>
        <w:t>WazirX</w:t>
      </w:r>
      <w:proofErr w:type="spellEnd"/>
      <w:r>
        <w:t xml:space="preserve"> act as fiduciaries or custodians, owing duties of care toward users.</w:t>
      </w:r>
    </w:p>
    <w:p w14:paraId="14DDEC57" w14:textId="1B2B9630" w:rsidR="00440A2C" w:rsidRDefault="00440A2C" w:rsidP="00440A2C">
      <w:r>
        <w:t>•The Court granted interim protection to the user under Section 9 of the Arbitration &amp; Conciliation Act, 1996, directing the exchange to furnish a ₹9.56 lakh bank guarantee a first in India’s crypto litigation.</w:t>
      </w:r>
    </w:p>
    <w:p w14:paraId="1353A7E8" w14:textId="722D6BE7" w:rsidR="00440A2C" w:rsidRDefault="00440A2C" w:rsidP="00440A2C">
      <w:r>
        <w:t xml:space="preserve">By harmonizing the RBI’s regulatory caution with constitutional freedom to trade, </w:t>
      </w:r>
      <w:proofErr w:type="gramStart"/>
      <w:r>
        <w:t>this ruling cements</w:t>
      </w:r>
      <w:proofErr w:type="gramEnd"/>
      <w:r>
        <w:t xml:space="preserve"> India’s entry into the global mainstream of digital asset law.</w:t>
      </w:r>
    </w:p>
    <w:p w14:paraId="10F9A7E8" w14:textId="53916D29" w:rsidR="00440A2C" w:rsidRDefault="00440A2C" w:rsidP="00440A2C">
      <w:r>
        <w:t>It’s no longer just “code” it’s property, protected by courts, governed by fiduciary duty, and acknowledged by the Constitution’s economic philosophy.</w:t>
      </w:r>
    </w:p>
    <w:p w14:paraId="585115D0" w14:textId="0D159BA2" w:rsidR="00543D94" w:rsidRDefault="00440A2C" w:rsidP="00440A2C">
      <w:r>
        <w:t>This judgment will echo in every Indian courtroom, boardroom, and policy chamber. It signals that India is ready for a mature crypto regulatory regime one balancing innovation with investor protection.</w:t>
      </w:r>
    </w:p>
    <w:sectPr w:rsidR="00543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2C"/>
    <w:rsid w:val="00440A2C"/>
    <w:rsid w:val="00543D94"/>
    <w:rsid w:val="00922D6F"/>
    <w:rsid w:val="00A1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1D67E"/>
  <w15:chartTrackingRefBased/>
  <w15:docId w15:val="{2842EE0B-4D72-4BDE-82AC-0B20F1EBB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248</Words>
  <Characters>1411</Characters>
  <Application>Microsoft Office Word</Application>
  <DocSecurity>0</DocSecurity>
  <Lines>31</Lines>
  <Paragraphs>12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Vishwanathan</dc:creator>
  <cp:keywords/>
  <dc:description/>
  <cp:lastModifiedBy>Ganesh Vishwanathan</cp:lastModifiedBy>
  <cp:revision>1</cp:revision>
  <dcterms:created xsi:type="dcterms:W3CDTF">2025-10-29T05:34:00Z</dcterms:created>
  <dcterms:modified xsi:type="dcterms:W3CDTF">2025-10-29T05:40:00Z</dcterms:modified>
</cp:coreProperties>
</file>