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031" w:rsidRDefault="000C4031" w:rsidP="000C4031">
      <w:pPr>
        <w:spacing w:after="40"/>
        <w:rPr>
          <w:rFonts w:eastAsia="Arial"/>
          <w:b/>
          <w:bCs/>
          <w:sz w:val="30"/>
          <w:szCs w:val="30"/>
        </w:rPr>
      </w:pPr>
    </w:p>
    <w:p w:rsidR="000C4031" w:rsidRDefault="000C4031" w:rsidP="000C4031">
      <w:pPr>
        <w:spacing w:after="40"/>
        <w:rPr>
          <w:rFonts w:eastAsia="Arial"/>
          <w:b/>
          <w:bCs/>
          <w:sz w:val="30"/>
          <w:szCs w:val="30"/>
        </w:rPr>
      </w:pPr>
      <w:bookmarkStart w:id="0" w:name="_GoBack"/>
      <w:bookmarkEnd w:id="0"/>
    </w:p>
    <w:p w:rsidR="000C4031" w:rsidRPr="000C4031" w:rsidRDefault="000C4031" w:rsidP="000C4031">
      <w:pPr>
        <w:spacing w:after="40"/>
      </w:pPr>
      <w:r w:rsidRPr="000C4031">
        <w:rPr>
          <w:rFonts w:eastAsia="Arial"/>
          <w:b/>
          <w:bCs/>
          <w:sz w:val="30"/>
          <w:szCs w:val="30"/>
        </w:rPr>
        <w:t>Business Planning Analysis — Flexible Packaging Operations</w:t>
      </w:r>
    </w:p>
    <w:p w:rsidR="000C4031" w:rsidRPr="000C4031" w:rsidRDefault="000C4031" w:rsidP="000C4031">
      <w:pPr>
        <w:spacing w:after="40"/>
      </w:pPr>
      <w:r w:rsidRPr="000C4031">
        <w:rPr>
          <w:rFonts w:eastAsia="Arial"/>
          <w:i/>
          <w:iCs/>
          <w:sz w:val="18"/>
          <w:szCs w:val="18"/>
        </w:rPr>
        <w:t>Budget vs. Actual Review, Cost Variance, Profitability &amp; Capacity-Expansion Feasibility — FY 2024–25</w:t>
      </w:r>
    </w:p>
    <w:p w:rsidR="000C4031" w:rsidRPr="000C4031" w:rsidRDefault="000C4031" w:rsidP="000C4031">
      <w:pPr>
        <w:pBdr>
          <w:bottom w:val="single" w:sz="6" w:space="4" w:color="1F3864"/>
        </w:pBdr>
        <w:spacing w:after="120"/>
      </w:pPr>
      <w:r w:rsidRPr="000C4031">
        <w:rPr>
          <w:rFonts w:eastAsia="Arial"/>
          <w:sz w:val="15"/>
          <w:szCs w:val="15"/>
        </w:rPr>
        <w:t xml:space="preserve">Prepared by Eshita </w:t>
      </w:r>
      <w:proofErr w:type="gramStart"/>
      <w:r w:rsidRPr="000C4031">
        <w:rPr>
          <w:rFonts w:eastAsia="Arial"/>
          <w:sz w:val="15"/>
          <w:szCs w:val="15"/>
        </w:rPr>
        <w:t>Akter  |</w:t>
      </w:r>
      <w:proofErr w:type="gramEnd"/>
      <w:r w:rsidRPr="000C4031">
        <w:rPr>
          <w:rFonts w:eastAsia="Arial"/>
          <w:sz w:val="15"/>
          <w:szCs w:val="15"/>
        </w:rPr>
        <w:t xml:space="preserve">  Business &amp; Financial Planning — Portfolio Analysis Project  |  </w:t>
      </w:r>
      <w:r w:rsidRPr="000C4031">
        <w:rPr>
          <w:rFonts w:eastAsia="Arial"/>
          <w:i/>
          <w:iCs/>
          <w:sz w:val="15"/>
          <w:szCs w:val="15"/>
        </w:rPr>
        <w:t>Companion file: Business_Planning_Dashboard.xlsx</w:t>
      </w:r>
    </w:p>
    <w:p w:rsidR="000C4031" w:rsidRPr="000C4031" w:rsidRDefault="000C4031" w:rsidP="000C4031">
      <w:pPr>
        <w:spacing w:after="50"/>
        <w:rPr>
          <w:sz w:val="28"/>
        </w:rPr>
      </w:pPr>
      <w:r w:rsidRPr="000C4031">
        <w:rPr>
          <w:rFonts w:eastAsia="Arial"/>
          <w:b/>
          <w:bCs/>
          <w:sz w:val="28"/>
        </w:rPr>
        <w:t>Project Overview</w:t>
      </w:r>
    </w:p>
    <w:p w:rsidR="000C4031" w:rsidRPr="000C4031" w:rsidRDefault="000C4031" w:rsidP="000C4031">
      <w:pPr>
        <w:spacing w:after="90"/>
        <w:rPr>
          <w:sz w:val="32"/>
        </w:rPr>
      </w:pPr>
      <w:r w:rsidRPr="000C4031">
        <w:rPr>
          <w:rFonts w:eastAsia="Arial"/>
          <w:sz w:val="24"/>
          <w:szCs w:val="17"/>
        </w:rPr>
        <w:t>A self-built Excel model demonstrating core business-planning deliverables — annual budgeting, Monthly Business Review reporting, cost variance analysis, product- and customer-wise profitability, working-capital tracking, and new-project feasibility — applied to a flexible-packaging manufacturing cost structure (foil / film / paper laminates supplying large FMCG clients).</w:t>
      </w:r>
    </w:p>
    <w:p w:rsidR="000C4031" w:rsidRPr="000C4031" w:rsidRDefault="000C4031" w:rsidP="000C4031">
      <w:pPr>
        <w:spacing w:after="140"/>
        <w:rPr>
          <w:sz w:val="24"/>
        </w:rPr>
      </w:pPr>
      <w:r w:rsidRPr="000C4031">
        <w:rPr>
          <w:rFonts w:eastAsia="Arial"/>
          <w:b/>
          <w:bCs/>
          <w:sz w:val="18"/>
          <w:szCs w:val="15"/>
        </w:rPr>
        <w:t xml:space="preserve">Data note: </w:t>
      </w:r>
      <w:r w:rsidRPr="000C4031">
        <w:rPr>
          <w:rFonts w:eastAsia="Arial"/>
          <w:i/>
          <w:iCs/>
          <w:sz w:val="18"/>
          <w:szCs w:val="15"/>
        </w:rPr>
        <w:t>all figures in this analysis are synthetic — generated with AI assistance and calibrated to realistic flexible-packaging industry cost and margin benchmarks — built solely to demonstrate analytical method and Excel modeling capability, not to represent any real company's disclosed results.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0C4031" w:rsidRPr="000C4031" w:rsidTr="007F7B75">
        <w:tblPrEx>
          <w:tblCellMar>
            <w:top w:w="0" w:type="dxa"/>
            <w:bottom w:w="0" w:type="dxa"/>
          </w:tblCellMar>
        </w:tblPrEx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60" w:type="dxa"/>
            </w:tcMar>
          </w:tcPr>
          <w:p w:rsidR="000C4031" w:rsidRPr="000C4031" w:rsidRDefault="000C4031" w:rsidP="000C4031">
            <w:pPr>
              <w:spacing w:after="90"/>
              <w:jc w:val="center"/>
              <w:rPr>
                <w:sz w:val="28"/>
              </w:rPr>
            </w:pPr>
            <w:r w:rsidRPr="000C4031">
              <w:rPr>
                <w:rFonts w:eastAsia="Arial"/>
                <w:b/>
                <w:bCs/>
                <w:sz w:val="28"/>
                <w:szCs w:val="19"/>
              </w:rPr>
              <w:t>Key Findings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Revenue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outperformed budget, but profitability did not follow. </w:t>
            </w:r>
            <w:r w:rsidRPr="000C4031">
              <w:rPr>
                <w:rFonts w:eastAsia="Arial"/>
                <w:sz w:val="24"/>
                <w:szCs w:val="17"/>
              </w:rPr>
              <w:t>Actual revenue exceeded budget by 1.5% (BDT 964.6mn vs. BDT 950.0mn), while gross margin contracted from a budgeted 32.0% to an actual 31.1%.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Raw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material cost is the primary driver of margin erosion. </w:t>
            </w:r>
            <w:r w:rsidRPr="000C4031">
              <w:rPr>
                <w:rFonts w:eastAsia="Arial"/>
                <w:sz w:val="24"/>
                <w:szCs w:val="17"/>
              </w:rPr>
              <w:t>Raw material spend ran 7.45% over budget (~BDT 32.7mn), accounting for most of the overall 5.6% cost overrun.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Distribution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&amp; freight shows the highest percentage variance of any category (+17.3%). </w:t>
            </w:r>
            <w:r w:rsidRPr="000C4031">
              <w:rPr>
                <w:rFonts w:eastAsia="Arial"/>
                <w:sz w:val="24"/>
                <w:szCs w:val="17"/>
              </w:rPr>
              <w:t>Modest in absolute terms, but the weakest cost control relative to its budgeted base.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Labor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and administrative costs show effective cost discipline. </w:t>
            </w:r>
            <w:r w:rsidRPr="000C4031">
              <w:rPr>
                <w:rFonts w:eastAsia="Arial"/>
                <w:sz w:val="24"/>
                <w:szCs w:val="17"/>
              </w:rPr>
              <w:t>Direct labor (−1.4%) and S&amp;A (−5.2%) both came in favorable — though not enough to offset the overruns above.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Product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-line margins and seasonal working capital exposure vary materially. </w:t>
            </w:r>
            <w:r w:rsidRPr="000C4031">
              <w:rPr>
                <w:rFonts w:eastAsia="Arial"/>
                <w:sz w:val="24"/>
                <w:szCs w:val="17"/>
              </w:rPr>
              <w:t>Contribution margin ranges from 31.6% (Foil) to 30.3% (Paper); net working capital rises ~35–40% in the Oct–Dec peak season.</w:t>
            </w:r>
          </w:p>
        </w:tc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0C4031" w:rsidRPr="000C4031" w:rsidRDefault="000C4031" w:rsidP="000C4031">
            <w:pPr>
              <w:spacing w:after="90"/>
              <w:jc w:val="center"/>
              <w:rPr>
                <w:sz w:val="28"/>
              </w:rPr>
            </w:pPr>
            <w:r w:rsidRPr="000C4031">
              <w:rPr>
                <w:rFonts w:eastAsia="Arial"/>
                <w:b/>
                <w:bCs/>
                <w:sz w:val="28"/>
                <w:szCs w:val="19"/>
              </w:rPr>
              <w:t>Recommendations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Strengthen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raw material procurement strategy. </w:t>
            </w:r>
            <w:r w:rsidRPr="000C4031">
              <w:rPr>
                <w:rFonts w:eastAsia="Arial"/>
                <w:sz w:val="24"/>
                <w:szCs w:val="17"/>
              </w:rPr>
              <w:t>Introduce forward-purchasing / hedging and evaluate alternate suppliers to reduce exposure to price volatility.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Conduct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a root-cause review of distribution &amp; freight costs. </w:t>
            </w:r>
            <w:r w:rsidRPr="000C4031">
              <w:rPr>
                <w:rFonts w:eastAsia="Arial"/>
                <w:sz w:val="24"/>
                <w:szCs w:val="17"/>
              </w:rPr>
              <w:t>Assess delivery consolidation, route efficiency, and existing freight contract terms.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Institutionalize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the cost discipline seen in labor and admin spend. </w:t>
            </w:r>
            <w:r w:rsidRPr="000C4031">
              <w:rPr>
                <w:rFonts w:eastAsia="Arial"/>
                <w:sz w:val="24"/>
                <w:szCs w:val="17"/>
              </w:rPr>
              <w:t>Document the practices driving these favorable variances and extend them to other categories.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Target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margin improvement on the Paper Laminate line. </w:t>
            </w:r>
            <w:r w:rsidRPr="000C4031">
              <w:rPr>
                <w:rFonts w:eastAsia="Arial"/>
                <w:sz w:val="24"/>
                <w:szCs w:val="17"/>
              </w:rPr>
              <w:t>Review cost and pricing with the objective of narrowing the gap to Foil-level margins.</w:t>
            </w:r>
          </w:p>
          <w:p w:rsidR="000C4031" w:rsidRPr="000C4031" w:rsidRDefault="000C4031" w:rsidP="000C4031">
            <w:pPr>
              <w:spacing w:after="70"/>
              <w:ind w:left="180" w:hanging="180"/>
              <w:rPr>
                <w:sz w:val="24"/>
              </w:rPr>
            </w:pPr>
            <w:r w:rsidRPr="000C4031">
              <w:rPr>
                <w:rFonts w:eastAsia="Arial"/>
                <w:b/>
                <w:bCs/>
                <w:sz w:val="24"/>
                <w:szCs w:val="17"/>
              </w:rPr>
              <w:t>• Proactively</w:t>
            </w:r>
            <w:r w:rsidRPr="000C4031">
              <w:rPr>
                <w:rFonts w:eastAsia="Arial"/>
                <w:b/>
                <w:bCs/>
                <w:sz w:val="24"/>
                <w:szCs w:val="17"/>
              </w:rPr>
              <w:t xml:space="preserve"> plan for peak-season working capital requirements. </w:t>
            </w:r>
            <w:r w:rsidRPr="000C4031">
              <w:rPr>
                <w:rFonts w:eastAsia="Arial"/>
                <w:sz w:val="24"/>
                <w:szCs w:val="17"/>
              </w:rPr>
              <w:t>Secure short-term credit ahead of Oct–Dec demand, and tighten receivables management with key accounts.</w:t>
            </w:r>
          </w:p>
        </w:tc>
      </w:tr>
    </w:tbl>
    <w:p w:rsidR="000C4031" w:rsidRPr="000C4031" w:rsidRDefault="000C4031" w:rsidP="000C4031">
      <w:pPr>
        <w:pBdr>
          <w:top w:val="single" w:sz="4" w:space="4" w:color="BFBFBF"/>
        </w:pBdr>
        <w:spacing w:before="140" w:after="60"/>
        <w:rPr>
          <w:sz w:val="24"/>
        </w:rPr>
      </w:pPr>
      <w:r w:rsidRPr="000C4031">
        <w:rPr>
          <w:rFonts w:eastAsia="Arial"/>
          <w:b/>
          <w:bCs/>
          <w:szCs w:val="16"/>
        </w:rPr>
        <w:t xml:space="preserve">Investment case (supplementary): </w:t>
      </w:r>
      <w:r w:rsidRPr="000C4031">
        <w:rPr>
          <w:rFonts w:eastAsia="Arial"/>
          <w:szCs w:val="16"/>
        </w:rPr>
        <w:t>the proposed new lamination line shows NPV ≈ BDT 57.5mn, IRR ≈ 28.8%, and payback ≈ 2.6 years — a financially sound case, subject to raw-material-cost sensitivity flagged in the model.</w:t>
      </w:r>
    </w:p>
    <w:p w:rsidR="000C4031" w:rsidRPr="000C4031" w:rsidRDefault="000C4031" w:rsidP="000C4031"/>
    <w:sectPr w:rsidR="000C4031" w:rsidRPr="000C4031">
      <w:pgSz w:w="11906" w:h="16838"/>
      <w:pgMar w:top="560" w:right="680" w:bottom="5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13"/>
    <w:rsid w:val="00050A6F"/>
    <w:rsid w:val="000C4031"/>
    <w:rsid w:val="007E5413"/>
    <w:rsid w:val="00B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52EB9"/>
  <w15:chartTrackingRefBased/>
  <w15:docId w15:val="{9F64E2C3-34BA-4A33-B48A-FCCA718D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0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Akter</dc:creator>
  <cp:keywords/>
  <dc:description/>
  <cp:lastModifiedBy>Eshita Akter</cp:lastModifiedBy>
  <cp:revision>2</cp:revision>
  <dcterms:created xsi:type="dcterms:W3CDTF">2026-09-15T04:12:00Z</dcterms:created>
  <dcterms:modified xsi:type="dcterms:W3CDTF">2026-09-15T04:41:00Z</dcterms:modified>
</cp:coreProperties>
</file>