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r>
        <w:drawing>
          <wp:inline distT="0" distB="0" distL="0" distR="0">
            <wp:extent cx="5486400" cy="1975922"/>
            <wp:docPr id="1" name="image1" descr="GAIN – Global Alliance for Improved Nutrition logo"/>
            <a:graphic xmlns:a="http://schemas.openxmlformats.org/drawingml/2006/main">
              <a:graphicData uri="http://schemas.openxmlformats.org/drawingml/2006/picture">
                <pic:pic xmlns:pic="http://schemas.openxmlformats.org/drawingml/2006/picture">
                  <pic:nvPicPr>
                    <pic:cNvPr id="1" name="image1" descr="GAIN – Global Alliance for Improved Nutrition logo"/>
                    <pic:cNvPicPr/>
                  </pic:nvPicPr>
                  <pic:blipFill>
                    <a:blip r:embed="rId3"/>
                    <a:stretch>
                      <a:fillRect/>
                    </a:stretch>
                  </pic:blipFill>
                  <pic:spPr>
                    <a:xfrm>
                      <a:off x="0" y="0"/>
                      <a:ext cx="5486400" cy="1975922"/>
                    </a:xfrm>
                    <a:prstGeom prst="rect">
                      <a:avLst/>
                    </a:prstGeom>
                  </pic:spPr>
                </pic:pic>
              </a:graphicData>
            </a:graphic>
          </wp:inline>
        </w:drawing>
      </w:r>
    </w:p>
    <w:p>
      <w:pPr>
        <w:pStyle w:val="Heading1"/>
      </w:pPr>
      <w:r>
        <w:t xml:space="preserve">GAIN World Food Day 2026 – Campaign Concept Note</w:t>
      </w:r>
    </w:p>
    <w:p>
      <w:pPr/>
      <w:r>
        <w:t xml:space="preserve">Sep 29, 2026</w:t>
      </w:r>
      <w:r>
        <w:t xml:space="preserve"> · </w:t>
      </w:r>
      <w:r>
        <w:t xml:space="preserve">@Peddy Eshiyonzo</w:t>
      </w:r>
    </w:p>
    <w:p>
      <w:pPr>
        <w:pStyle w:val="Heading2"/>
      </w:pPr>
      <w:r>
        <w:t xml:space="preserve">Background</w:t>
      </w:r>
    </w:p>
    <w:p>
      <w:pPr/>
      <w:r>
        <w:t xml:space="preserve">World Food Day falls on 16 October 2026, and FAO's theme is </w:t>
      </w:r>
      <w:r>
        <w:rPr>
          <w:b/>
        </w:rPr>
        <w:t xml:space="preserve">"Innovate today. Nourish tomorrow."</w:t>
      </w:r>
      <w:r>
        <w:t xml:space="preserve"> That theme maps directly onto GAIN's work, so our campaign can ride FAO's global moment rather than compete with it.</w:t>
      </w:r>
    </w:p>
    <w:p>
      <w:pPr/>
      <w:r>
        <w:t xml:space="preserve">FAO's core message: forward-thinking solutions, combined with traditional knowledge and inclusive approaches, can ensure everyone has access to sufficient, diverse, safe and nutritious foods while safeguarding the planet (</w:t>
      </w:r>
      <w:hyperlink r:id="rId4" w:history="1">
        <w:r>
          <w:rPr>
            <w:rStyle w:val="Hyperlink"/>
          </w:rPr>
          <w:t xml:space="preserve">FAO World Food Day</w:t>
        </w:r>
      </w:hyperlink>
      <w:r>
        <w:t xml:space="preserve">).</w:t>
      </w:r>
    </w:p>
    <w:p>
      <w:pPr/>
      <w:r>
        <w:t xml:space="preserve">FAO assets and moments we can plug into:</w:t>
      </w:r>
    </w:p>
    <w:p>
      <w:pPr>
        <w:pStyle w:val="ListParagraph"/>
        <w:numPr>
          <w:ilvl w:val="0"/>
          <w:numId w:val="2"/>
        </w:numPr>
      </w:pPr>
      <w:r>
        <w:rPr>
          <w:b/>
        </w:rPr>
        <w:t xml:space="preserve">#WorldFoodDay</w:t>
      </w:r>
      <w:r>
        <w:t xml:space="preserve"> as the anchor hashtag</w:t>
      </w:r>
    </w:p>
    <w:p>
      <w:pPr>
        <w:pStyle w:val="ListParagraph"/>
        <w:numPr>
          <w:ilvl w:val="0"/>
          <w:numId w:val="2"/>
        </w:numPr>
      </w:pPr>
      <w:r>
        <w:rPr>
          <w:b/>
        </w:rPr>
        <w:t xml:space="preserve">#FoodHeroes</w:t>
      </w:r>
      <w:r>
        <w:t xml:space="preserve">, FAO's celebration of people taking food action in their communities</w:t>
      </w:r>
    </w:p>
    <w:p>
      <w:pPr>
        <w:pStyle w:val="ListParagraph"/>
        <w:numPr>
          <w:ilvl w:val="0"/>
          <w:numId w:val="2"/>
        </w:numPr>
      </w:pPr>
      <w:r>
        <w:t xml:space="preserve">Events in nearly 150 countries, which our country offices can join</w:t>
      </w:r>
    </w:p>
    <w:p>
      <w:pPr>
        <w:pStyle w:val="ListParagraph"/>
        <w:numPr>
          <w:ilvl w:val="0"/>
          <w:numId w:val="2"/>
        </w:numPr>
      </w:pPr>
      <w:r>
        <w:t xml:space="preserve">The FAO poster contest for ages 5–19 (closes 6 November 2026) and FAO MuNe, its food and agriculture museum</w:t>
      </w:r>
    </w:p>
    <w:p>
      <w:pPr>
        <w:pStyle w:val="Heading2"/>
      </w:pPr>
      <w:r>
        <w:t xml:space="preserve">Campaign concept and objectives</w:t>
      </w:r>
    </w:p>
    <w:p>
      <w:pPr/>
      <w:r>
        <w:rPr>
          <w:b/>
        </w:rPr>
        <w:t xml:space="preserve">Working concept: "Innovation that nourishes"</w:t>
      </w:r>
      <w:r>
        <w:t xml:space="preserve">. GAIN shows how evidence, data and business innovation already put more nutritious, safe food on people's plates. We echo FAO's line and answer it with proof: </w:t>
      </w:r>
      <w:r>
        <w:rPr>
          <w:i/>
        </w:rPr>
        <w:t xml:space="preserve">Innovate today</w:t>
      </w:r>
      <w:r>
        <w:t xml:space="preserve"> (the tools), </w:t>
      </w:r>
      <w:r>
        <w:rPr>
          <w:i/>
        </w:rPr>
        <w:t xml:space="preserve">Nourish tomorrow</w:t>
      </w:r>
      <w:r>
        <w:t xml:space="preserve"> (the people and diets they reach).</w:t>
      </w:r>
    </w:p>
    <w:p>
      <w:pPr/>
      <w:r>
        <w:t xml:space="preserve">Guiding principle: </w:t>
      </w:r>
      <w:r>
        <w:rPr>
          <w:b/>
        </w:rPr>
        <w:t xml:space="preserve">quality over quantity.</w:t>
      </w:r>
      <w:r>
        <w:t xml:space="preserve"> Six items, each told well, beat a long catalogue.</w:t>
      </w:r>
    </w:p>
    <w:p>
      <w:pPr/>
      <w:r>
        <w:t xml:space="preserve">Objectives:</w:t>
      </w:r>
    </w:p>
    <w:p>
      <w:pPr>
        <w:pStyle w:val="ListParagraph"/>
        <w:numPr>
          <w:ilvl w:val="0"/>
          <w:numId w:val="3"/>
        </w:numPr>
      </w:pPr>
      <w:r>
        <w:t xml:space="preserve">Position GAIN as a practical innovator in food systems and nutrition during the World Food Day moment.</w:t>
      </w:r>
    </w:p>
    <w:p>
      <w:pPr>
        <w:pStyle w:val="ListParagraph"/>
        <w:numPr>
          <w:ilvl w:val="0"/>
          <w:numId w:val="3"/>
        </w:numPr>
      </w:pPr>
      <w:r>
        <w:t xml:space="preserve">Showcase a small set of GAIN tools and programmes with a clear "what it is, who it helps, what changed" story for each.</w:t>
      </w:r>
    </w:p>
    <w:p>
      <w:pPr>
        <w:pStyle w:val="ListParagraph"/>
        <w:numPr>
          <w:ilvl w:val="0"/>
          <w:numId w:val="3"/>
        </w:numPr>
      </w:pPr>
      <w:r>
        <w:t xml:space="preserve">Drive audiences to one GAIN campaign web page that links to FAO's World Food Day assets.</w:t>
      </w:r>
    </w:p>
    <w:p>
      <w:pPr>
        <w:pStyle w:val="ListParagraph"/>
        <w:numPr>
          <w:ilvl w:val="0"/>
          <w:numId w:val="3"/>
        </w:numPr>
      </w:pPr>
      <w:r>
        <w:t xml:space="preserve">Give country offices and partners ready-to-use content they can share on and after 16 October.</w:t>
      </w:r>
    </w:p>
    <w:p>
      <w:pPr/>
      <w:r>
        <w:t xml:space="preserve">Audiences: governments and policymakers, donors and investors, food businesses and MSMEs, nutrition researchers, and the wider public through social media.</w:t>
      </w:r>
    </w:p>
    <w:p>
      <w:pPr>
        <w:pStyle w:val="Heading2"/>
      </w:pPr>
      <w:r>
        <w:t xml:space="preserve">Items to showcase</w:t>
      </w:r>
    </w:p>
    <w:p>
      <w:pPr/>
      <w:r>
        <w:t xml:space="preserve">Recommended shortlist: six items that each tell a different part of the "from evidence to plate" story. DQQ and N3F are suggested additions; GAIN's AI strategy closes the list with a look at what comes next.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Innovation</w:t>
            </w:r>
          </w:p>
        </w:tc>
        <w:tc>
          <w:tcPr>
            <w:tcW w:w="2340" w:type="dxa"/>
            <w:shd w:val="clear" w:color="auto" w:fill="F2F2F2"/>
          </w:tcPr>
          <w:p>
            <w:pPr/>
            <w:r>
              <w:t xml:space="preserve">What it is</w:t>
            </w:r>
          </w:p>
        </w:tc>
        <w:tc>
          <w:tcPr>
            <w:tcW w:w="2340" w:type="dxa"/>
            <w:shd w:val="clear" w:color="auto" w:fill="F2F2F2"/>
          </w:tcPr>
          <w:p>
            <w:pPr/>
            <w:r>
              <w:t xml:space="preserve">Story angle for World Food Day</w:t>
            </w:r>
          </w:p>
        </w:tc>
        <w:tc>
          <w:tcPr>
            <w:tcW w:w="2340" w:type="dxa"/>
            <w:shd w:val="clear" w:color="auto" w:fill="F2F2F2"/>
          </w:tcPr>
          <w:p>
            <w:pPr/>
            <w:r>
              <w:t xml:space="preserve">Spokesperson</w:t>
            </w:r>
          </w:p>
        </w:tc>
      </w:tr>
      <w:tr>
        <w:tc>
          <w:tcPr>
            <w:tcW w:w="2340" w:type="dxa"/>
          </w:tcPr>
          <w:p>
            <w:pPr/>
            <w:hyperlink r:id="rId5" w:history="1">
              <w:r>
                <w:rPr>
                  <w:rStyle w:val="Hyperlink"/>
                </w:rPr>
                <w:t xml:space="preserve">Priority Micronutrient Density list</w:t>
              </w:r>
            </w:hyperlink>
          </w:p>
        </w:tc>
        <w:tc>
          <w:tcPr>
            <w:tcW w:w="2340" w:type="dxa"/>
          </w:tcPr>
          <w:p>
            <w:pPr/>
            <w:r>
              <w:t xml:space="preserve">2022 global analysis ranking foods by the bioavailable micronutrients most lacking in low- and middle-income countries. Top foods: organ meats, small fish, dark leafy greens, shellfish, ruminant meat, eggs, milk and canned fish with bones (</w:t>
            </w:r>
            <w:hyperlink r:id="rId6" w:history="1">
              <w:r>
                <w:rPr>
                  <w:rStyle w:val="Hyperlink"/>
                </w:rPr>
                <w:t xml:space="preserve">GAIN blog</w:t>
              </w:r>
            </w:hyperlink>
            <w:r>
              <w:t xml:space="preserve">).</w:t>
            </w:r>
          </w:p>
        </w:tc>
        <w:tc>
          <w:tcPr>
            <w:tcW w:w="2340" w:type="dxa"/>
          </w:tcPr>
          <w:p>
            <w:pPr/>
            <w:r>
              <w:t xml:space="preserve">Evidence innovation: "Which foods pack the most nutrition per bite?" Myth-busting and visual food rankings.</w:t>
            </w:r>
          </w:p>
        </w:tc>
        <w:tc>
          <w:tcPr>
            <w:tcW w:w="2340" w:type="dxa"/>
          </w:tcPr>
          <w:p>
            <w:pPr/>
            <w:r>
              <w:t xml:space="preserve">Ty Beal</w:t>
            </w:r>
          </w:p>
        </w:tc>
      </w:tr>
      <w:tr>
        <w:tc>
          <w:tcPr>
            <w:tcW w:w="2340" w:type="dxa"/>
          </w:tcPr>
          <w:p>
            <w:pPr/>
            <w:hyperlink r:id="rId7" w:history="1">
              <w:r>
                <w:rPr>
                  <w:rStyle w:val="Hyperlink"/>
                </w:rPr>
                <w:t xml:space="preserve">NourishNext West Africa 2026: Youth Agrifood Innovation Challenge</w:t>
              </w:r>
            </w:hyperlink>
            <w:r>
              <w:t xml:space="preserve"> (Nutrition Connect)</w:t>
            </w:r>
          </w:p>
        </w:tc>
        <w:tc>
          <w:tcPr>
            <w:tcW w:w="2340" w:type="dxa"/>
          </w:tcPr>
          <w:p>
            <w:pPr/>
            <w:r>
              <w:t xml:space="preserve">One of Nutrition Connect's series of country innovation challenges. Led by GAIN with the SUN Movement, supported by SDC and ECOWAS, in Benin, Côte d'Ivoire, Nigeria and Senegal. Youth-led enterprises in fruit and vegetable value chains compete for $5,000 seed funding, mentorship and a regional showcase in Dakar.</w:t>
            </w:r>
          </w:p>
        </w:tc>
        <w:tc>
          <w:tcPr>
            <w:tcW w:w="2340" w:type="dxa"/>
          </w:tcPr>
          <w:p>
            <w:pPr/>
            <w:r>
              <w:t xml:space="preserve">Youth innovation: young entrepreneurs turning local fruit and vegetables into nutritious products and markets. Applications close around World Food Day (Benin and Senegal 30 September, Côte d'Ivoire 11 October), so the campaign can spotlight finalists or past challenge winners.</w:t>
            </w:r>
          </w:p>
        </w:tc>
        <w:tc>
          <w:tcPr>
            <w:tcW w:w="2340" w:type="dxa"/>
          </w:tcPr>
          <w:p>
            <w:pPr/>
            <w:r>
              <w:t xml:space="preserve">Nutrition Connect team, plus a challenge participant</w:t>
            </w:r>
          </w:p>
        </w:tc>
      </w:tr>
      <w:tr>
        <w:tc>
          <w:tcPr>
            <w:tcW w:w="2340" w:type="dxa"/>
          </w:tcPr>
          <w:p>
            <w:pPr/>
            <w:hyperlink r:id="rId8" w:history="1">
              <w:r>
                <w:rPr>
                  <w:rStyle w:val="Hyperlink"/>
                </w:rPr>
                <w:t xml:space="preserve">DFQT+ (Digital Fortification Quality Traceability Plus)</w:t>
              </w:r>
            </w:hyperlink>
          </w:p>
        </w:tc>
        <w:tc>
          <w:tcPr>
            <w:tcW w:w="2340" w:type="dxa"/>
          </w:tcPr>
          <w:p>
            <w:pPr/>
            <w:r>
              <w:t xml:space="preserve">Digital system giving real-time, traceable data on fortification quality from premix to factory to market. Piloted and scaled 2022–2025 in Bangladesh, India and Nigeria with partners incl. BASF, BioAnalyt, DSM, NAFDAC and FSSAI.</w:t>
            </w:r>
          </w:p>
        </w:tc>
        <w:tc>
          <w:tcPr>
            <w:tcW w:w="2340" w:type="dxa"/>
          </w:tcPr>
          <w:p>
            <w:pPr/>
            <w:r>
              <w:t xml:space="preserve">Tech innovation: "Is the fortified flour or oil you buy really fortified?" Dashboards that let regulators and producers catch gaps fast.</w:t>
            </w:r>
          </w:p>
        </w:tc>
        <w:tc>
          <w:tcPr>
            <w:tcW w:w="2340" w:type="dxa"/>
          </w:tcPr>
          <w:p>
            <w:pPr/>
            <w:r>
              <w:t xml:space="preserve">Fortification team</w:t>
            </w:r>
          </w:p>
        </w:tc>
      </w:tr>
      <w:tr>
        <w:tc>
          <w:tcPr>
            <w:tcW w:w="2340" w:type="dxa"/>
          </w:tcPr>
          <w:p>
            <w:pPr/>
            <w:hyperlink r:id="rId9" w:history="1">
              <w:r>
                <w:rPr>
                  <w:rStyle w:val="Hyperlink"/>
                </w:rPr>
                <w:t xml:space="preserve">Global Diet Quality Project / DQQ</w:t>
              </w:r>
            </w:hyperlink>
          </w:p>
        </w:tc>
        <w:tc>
          <w:tcPr>
            <w:tcW w:w="2340" w:type="dxa"/>
          </w:tcPr>
          <w:p>
            <w:pPr/>
            <w:r>
              <w:t xml:space="preserve">GAIN, Gallup and Harvard's Diet Quality Questionnaire, adapted for use in </w:t>
            </w:r>
            <w:hyperlink r:id="rId10" w:history="1">
              <w:r>
                <w:rPr>
                  <w:rStyle w:val="Hyperlink"/>
                </w:rPr>
                <w:t xml:space="preserve">140 countries</w:t>
              </w:r>
            </w:hyperlink>
            <w:r>
              <w:t xml:space="preserve">, to measure what the world eats.</w:t>
            </w:r>
          </w:p>
        </w:tc>
        <w:tc>
          <w:tcPr>
            <w:tcW w:w="2340" w:type="dxa"/>
          </w:tcPr>
          <w:p>
            <w:pPr/>
            <w:r>
              <w:t xml:space="preserve">Data innovation: you can't fix diets you don't measure. Pairs well with Ty Beal's work.</w:t>
            </w:r>
          </w:p>
        </w:tc>
        <w:tc>
          <w:tcPr>
            <w:tcW w:w="2340" w:type="dxa"/>
          </w:tcPr>
          <w:p>
            <w:pPr/>
            <w:r>
              <w:t xml:space="preserve">Data and evidence team</w:t>
            </w:r>
          </w:p>
        </w:tc>
      </w:tr>
      <w:tr>
        <w:tc>
          <w:tcPr>
            <w:tcW w:w="2340" w:type="dxa"/>
          </w:tcPr>
          <w:p>
            <w:pPr/>
            <w:hyperlink r:id="rId11" w:history="1">
              <w:r>
                <w:rPr>
                  <w:rStyle w:val="Hyperlink"/>
                </w:rPr>
                <w:t xml:space="preserve">Nutritious Foods Financing Facility (N3F)</w:t>
              </w:r>
            </w:hyperlink>
          </w:p>
        </w:tc>
        <w:tc>
          <w:tcPr>
            <w:tcW w:w="2340" w:type="dxa"/>
          </w:tcPr>
          <w:p>
            <w:pPr/>
            <w:r>
              <w:t xml:space="preserve">Blended finance plus technical assistance for agrifood SMEs. In 2025: 10 investees in 6 African countries, 1.1 billion nutritious food servings, about 7 million consumers reached.</w:t>
            </w:r>
          </w:p>
        </w:tc>
        <w:tc>
          <w:tcPr>
            <w:tcW w:w="2340" w:type="dxa"/>
          </w:tcPr>
          <w:p>
            <w:pPr/>
            <w:r>
              <w:t xml:space="preserve">Finance innovation: making nutrition investable. Links neatly to the MSME Week stories.</w:t>
            </w:r>
          </w:p>
        </w:tc>
        <w:tc>
          <w:tcPr>
            <w:tcW w:w="2340" w:type="dxa"/>
          </w:tcPr>
          <w:p>
            <w:pPr/>
            <w:r>
              <w:t xml:space="preserve">N3F team</w:t>
            </w:r>
          </w:p>
        </w:tc>
      </w:tr>
      <w:tr>
        <w:tc>
          <w:tcPr>
            <w:tcW w:w="2340" w:type="dxa"/>
          </w:tcPr>
          <w:p>
            <w:pPr/>
            <w:hyperlink r:id="rId12" w:history="1">
              <w:r>
                <w:rPr>
                  <w:rStyle w:val="Hyperlink"/>
                </w:rPr>
                <w:t xml:space="preserve">GAIN's AI strategy</w:t>
              </w:r>
            </w:hyperlink>
          </w:p>
        </w:tc>
        <w:tc>
          <w:tcPr>
            <w:tcW w:w="2340" w:type="dxa"/>
          </w:tcPr>
          <w:p>
            <w:pPr/>
            <w:r>
              <w:t xml:space="preserve">GAIN's 2025 strategy for using AI across its programmes, by Mduduzi Mbuya and Ty Beal. Three areas: design (better targeting of programmes and populations), delivery (better data and efficiency, including checking fortification compliance) and scale (faster expansion of what works, including localising content).</w:t>
            </w:r>
          </w:p>
        </w:tc>
        <w:tc>
          <w:tcPr>
            <w:tcW w:w="2340" w:type="dxa"/>
          </w:tcPr>
          <w:p>
            <w:pPr/>
            <w:r>
              <w:t xml:space="preserve">Future innovation: the "Nourish tomorrow" half of FAO's theme. How AI will help GAIN target, deliver and scale nutrition programmes; links to DFQT+ on fortification. A closing beat for the flagship video and the web page.</w:t>
            </w:r>
          </w:p>
        </w:tc>
        <w:tc>
          <w:tcPr>
            <w:tcW w:w="2340" w:type="dxa"/>
          </w:tcPr>
          <w:p>
            <w:pPr/>
            <w:r>
              <w:t xml:space="preserve">Mduduzi Mbuya and Ty Beal</w:t>
            </w:r>
          </w:p>
        </w:tc>
      </w:tr>
    </w:tbl>
    <w:p>
      <w:pPr/>
      <w:r>
        <w:t xml:space="preserve">Other GAIN work we could draw on if a slot opens: the SUN Business Network, workforce nutrition, and the Uganda FreshValue Innovation Challenge on food loss.</w:t>
      </w:r>
    </w:p>
    <w:p>
      <w:pPr>
        <w:pStyle w:val="Heading2"/>
      </w:pPr>
      <w:r>
        <w:t xml:space="preserve">Content plan</w:t>
      </w:r>
    </w:p>
    <w:p>
      <w:pPr/>
      <w:r>
        <w:t xml:space="preserve">One flagship video anchors the campaign; everything else is cut from it or repurposed from existing material.</w:t>
      </w:r>
    </w:p>
    <w:p>
      <w:pPr/>
      <w:r>
        <w:rPr>
          <w:b/>
        </w:rPr>
        <w:t xml:space="preserve">1. Flagship video (60–90 seconds)</w:t>
      </w:r>
    </w:p>
    <w:p>
      <w:pPr>
        <w:pStyle w:val="ListParagraph"/>
        <w:numPr>
          <w:ilvl w:val="0"/>
          <w:numId w:val="4"/>
        </w:numPr>
      </w:pPr>
      <w:r>
        <w:t xml:space="preserve">Arc: the problem (diets lacking key nutrients) → the innovations (evidence, data, digital traceability, finance, entrepreneurs) → the result (more nutritious, safe food reaching people).</w:t>
      </w:r>
    </w:p>
    <w:p>
      <w:pPr>
        <w:pStyle w:val="ListParagraph"/>
        <w:numPr>
          <w:ilvl w:val="0"/>
          <w:numId w:val="4"/>
        </w:numPr>
      </w:pPr>
      <w:r>
        <w:t xml:space="preserve">Voices: Ty Beal on the evidence; one MSME founder from the MSME Week stories; a closing line tying back to "Innovate today. Nourish tomorrow."</w:t>
      </w:r>
    </w:p>
    <w:p>
      <w:pPr>
        <w:pStyle w:val="ListParagraph"/>
        <w:numPr>
          <w:ilvl w:val="0"/>
          <w:numId w:val="4"/>
        </w:numPr>
      </w:pPr>
      <w:r>
        <w:t xml:space="preserve">Cut-downs: a 30-second teaser, 15-second social clips and one short clip per innovation.</w:t>
      </w:r>
    </w:p>
    <w:p>
      <w:pPr/>
      <w:r>
        <w:rPr>
          <w:b/>
        </w:rPr>
        <w:t xml:space="preserve">2. Repurposed MSME Week content</w:t>
      </w:r>
    </w:p>
    <w:p>
      <w:pPr/>
      <w:r>
        <w:t xml:space="preserve">GAIN's World MSME Day 2026 (22–27 June) ran on the theme "Innovation: The Future of Nutrition Businesses" (</w:t>
      </w:r>
      <w:hyperlink r:id="rId13" w:history="1">
        <w:r>
          <w:rPr>
            <w:rStyle w:val="Hyperlink"/>
          </w:rPr>
          <w:t xml:space="preserve">GAIN</w:t>
        </w:r>
      </w:hyperlink>
      <w:r>
        <w:t xml:space="preserve">). Strongest stories to reuse:</w:t>
      </w:r>
    </w:p>
    <w:p>
      <w:pPr>
        <w:pStyle w:val="ListParagraph"/>
        <w:numPr>
          <w:ilvl w:val="0"/>
          <w:numId w:val="5"/>
        </w:numPr>
      </w:pPr>
      <w:r>
        <w:t xml:space="preserve">Kennie O. Cold Chain Logistics (Nigeria): temperature-stabilising cold chain</w:t>
      </w:r>
    </w:p>
    <w:p>
      <w:pPr>
        <w:pStyle w:val="ListParagraph"/>
        <w:numPr>
          <w:ilvl w:val="0"/>
          <w:numId w:val="5"/>
        </w:numPr>
      </w:pPr>
      <w:r>
        <w:t xml:space="preserve">Whey2Value (Pakistan): cheese by-products turned into nutritious drinks</w:t>
      </w:r>
    </w:p>
    <w:p>
      <w:pPr>
        <w:pStyle w:val="ListParagraph"/>
        <w:numPr>
          <w:ilvl w:val="0"/>
          <w:numId w:val="5"/>
        </w:numPr>
      </w:pPr>
      <w:r>
        <w:t xml:space="preserve">Nutribaik (Mozambique): bicycle-based last-mile food safety</w:t>
      </w:r>
    </w:p>
    <w:p>
      <w:pPr>
        <w:pStyle w:val="ListParagraph"/>
        <w:numPr>
          <w:ilvl w:val="0"/>
          <w:numId w:val="5"/>
        </w:numPr>
      </w:pPr>
      <w:r>
        <w:t xml:space="preserve">Himalayan Foods (Pakistan): cutting fruit loss in supply chains</w:t>
      </w:r>
    </w:p>
    <w:p>
      <w:pPr/>
      <w:r>
        <w:t xml:space="preserve">Re-cut two or three of these as "innovator" profiles rather than reusing all six.</w:t>
      </w:r>
    </w:p>
    <w:p>
      <w:pPr/>
      <w:r>
        <w:rPr>
          <w:b/>
        </w:rPr>
        <w:t xml:space="preserve">3. Expert inputs: Ty Beal and Stella</w:t>
      </w:r>
    </w:p>
    <w:p>
      <w:pPr>
        <w:pStyle w:val="ListParagraph"/>
        <w:numPr>
          <w:ilvl w:val="0"/>
          <w:numId w:val="6"/>
        </w:numPr>
      </w:pPr>
      <w:r>
        <w:t xml:space="preserve">Ty Beal: a short interview or explainer on priority micronutrient-dense foods; a quote card; possibly a LinkedIn post or op-ed under his name.</w:t>
      </w:r>
    </w:p>
    <w:p>
      <w:pPr>
        <w:pStyle w:val="ListParagraph"/>
        <w:numPr>
          <w:ilvl w:val="0"/>
          <w:numId w:val="6"/>
        </w:numPr>
      </w:pPr>
      <w:r>
        <w:t xml:space="preserve">Stella: a short interview or quote on her area of expertise.</w:t>
      </w:r>
    </w:p>
    <w:p>
      <w:pPr/>
      <w:r>
        <w:rPr>
          <w:b/>
        </w:rPr>
        <w:t xml:space="preserve">4. Supporting assets</w:t>
      </w:r>
    </w:p>
    <w:p>
      <w:pPr>
        <w:pStyle w:val="ListParagraph"/>
        <w:numPr>
          <w:ilvl w:val="0"/>
          <w:numId w:val="7"/>
        </w:numPr>
      </w:pPr>
      <w:r>
        <w:t xml:space="preserve">One social card per innovation (what it is, one number, one link)</w:t>
      </w:r>
    </w:p>
    <w:p>
      <w:pPr>
        <w:pStyle w:val="ListParagraph"/>
        <w:numPr>
          <w:ilvl w:val="0"/>
          <w:numId w:val="7"/>
        </w:numPr>
      </w:pPr>
      <w:r>
        <w:t xml:space="preserve">A short blog or LinkedIn article from GAIN leadership on the theme</w:t>
      </w:r>
    </w:p>
    <w:p>
      <w:pPr>
        <w:pStyle w:val="Heading2"/>
      </w:pPr>
      <w:r>
        <w:t xml:space="preserve">Channels</w:t>
      </w:r>
    </w:p>
    <w:p>
      <w:pPr/>
      <w:r>
        <w:t xml:space="preserve">All content points to one GAIN World Food Day web page, built by Gloria Ireri.</w:t>
      </w:r>
    </w:p>
    <w:p>
      <w:pPr>
        <w:pStyle w:val="ListParagraph"/>
        <w:numPr>
          <w:ilvl w:val="0"/>
          <w:numId w:val="8"/>
        </w:numPr>
      </w:pPr>
      <w:r>
        <w:rPr>
          <w:b/>
        </w:rPr>
        <w:t xml:space="preserve">Campaign web page (Gloria Ireri):</w:t>
      </w:r>
      <w:r>
        <w:t xml:space="preserve"> flagship video at the top, one card per innovation linking to its full page, the Ty Beal and Stella pieces, and a link to </w:t>
      </w:r>
      <w:hyperlink r:id="rId4" w:history="1">
        <w:r>
          <w:rPr>
            <w:rStyle w:val="Hyperlink"/>
          </w:rPr>
          <w:t xml:space="preserve">FAO's World Food Day site</w:t>
        </w:r>
      </w:hyperlink>
      <w:r>
        <w:t xml:space="preserve">. Mirror FAO's theme wording and visual cues so the page reads as part of the global moment.</w:t>
      </w:r>
    </w:p>
    <w:p>
      <w:pPr>
        <w:pStyle w:val="ListParagraph"/>
        <w:numPr>
          <w:ilvl w:val="0"/>
          <w:numId w:val="8"/>
        </w:numPr>
      </w:pPr>
      <w:r>
        <w:rPr>
          <w:b/>
        </w:rPr>
        <w:t xml:space="preserve">Social (LinkedIn, X, Instagram, Facebook):</w:t>
      </w:r>
      <w:r>
        <w:t xml:space="preserve"> #WorldFoodDay plus a GAIN tag; tag FAO; join #FoodHeroes with MSME founders as GAIN's "food heroes".</w:t>
      </w:r>
    </w:p>
    <w:p>
      <w:pPr>
        <w:pStyle w:val="ListParagraph"/>
        <w:numPr>
          <w:ilvl w:val="0"/>
          <w:numId w:val="8"/>
        </w:numPr>
      </w:pPr>
      <w:r>
        <w:rPr>
          <w:b/>
        </w:rPr>
        <w:t xml:space="preserve">Newsletter and partner channels:</w:t>
      </w:r>
      <w:r>
        <w:t xml:space="preserve"> a short send on 16 October; share assets with country offices, SUN Business Network members and N3F investees.</w:t>
      </w:r>
    </w:p>
    <w:p>
      <w:pPr>
        <w:pStyle w:val="ListParagraph"/>
        <w:numPr>
          <w:ilvl w:val="0"/>
          <w:numId w:val="8"/>
        </w:numPr>
      </w:pPr>
      <w:r>
        <w:rPr>
          <w:b/>
        </w:rPr>
        <w:t xml:space="preserve">Events:</w:t>
      </w:r>
      <w:r>
        <w:t xml:space="preserve"> country offices join local FAO World Food Day events where they already have a presence.</w:t>
      </w:r>
    </w:p>
    <w:p>
      <w:pPr>
        <w:pStyle w:val="Heading2"/>
      </w:pPr>
      <w:r>
        <w:t xml:space="preserve">Timeline</w:t>
      </w:r>
    </w:p>
    <w:p>
      <w:pPr/>
      <w:r>
        <w:t xml:space="preserve">The web page draft is due this Friday, 2 October, because Gloria Ireri is on leave the week of 5 October; she finalises the page on her return, 12–14 October. The draft can use placeholders for the video and the Ty Beal and Stella pieces, which land while she is away.</w:t>
      </w:r>
    </w:p>
    <w:p>
      <w:pPr/>
      <w:r>
        <w:drawing>
          <wp:inline distT="0" distB="0" distL="0" distR="0">
            <wp:extent cx="5486400" cy="2939142"/>
            <wp:docPr id="2" name="image2" descr="Campaign timeline · 29 Sep to 23 Oct 2026"/>
            <a:graphic xmlns:a="http://schemas.openxmlformats.org/drawingml/2006/main">
              <a:graphicData uri="http://schemas.openxmlformats.org/drawingml/2006/picture">
                <pic:pic xmlns:pic="http://schemas.openxmlformats.org/drawingml/2006/picture">
                  <pic:nvPicPr>
                    <pic:cNvPr id="2" name="image2" descr="Campaign timeline · 29 Sep to 23 Oct 2026"/>
                    <pic:cNvPicPr/>
                  </pic:nvPicPr>
                  <pic:blipFill>
                    <a:blip r:embed="rId14"/>
                    <a:stretch>
                      <a:fillRect/>
                    </a:stretch>
                  </pic:blipFill>
                  <pic:spPr>
                    <a:xfrm>
                      <a:off x="0" y="0"/>
                      <a:ext cx="5486400" cy="2939142"/>
                    </a:xfrm>
                    <a:prstGeom prst="rect">
                      <a:avLst/>
                    </a:prstGeom>
                  </pic:spPr>
                </pic:pic>
              </a:graphicData>
            </a:graphic>
          </wp:inline>
        </w:drawing>
      </w:r>
    </w:p>
    <w:p>
      <w:pPr/>
      <w:r>
        <w:t xml:space="preserve">Campaign timeline · 29 Sep to 23 Oct 2026</w:t>
      </w:r>
    </w:p>
    <w:p>
      <w:pPr/>
      <w:r>
        <w:t xml:space="preserve">Assumes Gloria is back on Monday 12 October; other dates are proposed and can shift once the video producer confirms lead times.</w:t>
      </w:r>
    </w:p>
    <w:p>
      <w:pPr>
        <w:pStyle w:val="Heading2"/>
      </w:pPr>
      <w:r>
        <w:t xml:space="preserve">Open questions and next steps</w:t>
      </w:r>
    </w:p>
    <w:p>
      <w:pPr>
        <w:pStyle w:val="ListParagraph"/>
        <w:numPr>
          <w:ilvl w:val="0"/>
          <w:numId w:val="9"/>
        </w:numPr>
      </w:pPr>
      <w:r>
        <w:t xml:space="preserve">☐ Confirm the final shortlist: keep DQQ and N3F, or stay with the three named tools?</w:t>
      </w:r>
    </w:p>
    <w:p>
      <w:pPr>
        <w:pStyle w:val="ListParagraph"/>
        <w:numPr>
          <w:ilvl w:val="0"/>
          <w:numId w:val="9"/>
        </w:numPr>
      </w:pPr>
      <w:r>
        <w:t xml:space="preserve">☐ Confirm Stella's full name, role and topic, and book time with her and Ty Beal this week</w:t>
      </w:r>
    </w:p>
    <w:p>
      <w:pPr>
        <w:pStyle w:val="ListParagraph"/>
        <w:numPr>
          <w:ilvl w:val="0"/>
          <w:numId w:val="9"/>
        </w:numPr>
      </w:pPr>
      <w:r>
        <w:t xml:space="preserve">☐ Confirm the DFQT+ spokesperson and whether there are pilot results we can share publicly</w:t>
      </w:r>
    </w:p>
    <w:p>
      <w:pPr>
        <w:pStyle w:val="ListParagraph"/>
        <w:numPr>
          <w:ilvl w:val="0"/>
          <w:numId w:val="9"/>
        </w:numPr>
      </w:pPr>
      <w:r>
        <w:t xml:space="preserve">☐ Brief the video producer and agree the script outline</w:t>
      </w:r>
    </w:p>
    <w:p>
      <w:pPr>
        <w:pStyle w:val="ListParagraph"/>
        <w:numPr>
          <w:ilvl w:val="0"/>
          <w:numId w:val="9"/>
        </w:numPr>
      </w:pPr>
      <w:r>
        <w:t xml:space="preserve">☐ Pull the MSME Week source files (video, photos, quotes) for re-cutting</w:t>
      </w:r>
    </w:p>
    <w:p>
      <w:pPr>
        <w:pStyle w:val="ListParagraph"/>
        <w:numPr>
          <w:ilvl w:val="0"/>
          <w:numId w:val="9"/>
        </w:numPr>
      </w:pPr>
      <w:r>
        <w:t xml:space="preserve">☐ Send Gloria Ireri the page structure and innovation card copy by Wednesday 30 September so the draft is ready by Friday 2 October</w:t>
      </w:r>
    </w:p>
    <w:p>
      <w:pPr>
        <w:pStyle w:val="ListParagraph"/>
        <w:numPr>
          <w:ilvl w:val="0"/>
          <w:numId w:val="9"/>
        </w:numPr>
      </w:pPr>
      <w:r>
        <w:t xml:space="preserve">☐ Agree a campaign hashtag alongside #WorldFoodDay</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 w:numId="7">
    <w:abstractNumId w:val="0"/>
  </w:num>
  <w:num w:numId="8">
    <w:abstractNumId w:val="0"/>
  </w:num>
  <w:num w:numId="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hyperlink" Target="https://www.fao.org/world-food-day/en/" TargetMode="External"/><Relationship Id="rId5" Type="http://schemas.openxmlformats.org/officeDocument/2006/relationships/hyperlink" Target="https://www.frontiersin.org/journals/nutrition/articles/10.3389/fnut.2022.806566/full" TargetMode="External"/><Relationship Id="rId6" Type="http://schemas.openxmlformats.org/officeDocument/2006/relationships/hyperlink" Target="https://www.gainhealth.org/blogs/micronutrient-dense-foods-combat-malnutrition" TargetMode="External"/><Relationship Id="rId7" Type="http://schemas.openxmlformats.org/officeDocument/2006/relationships/hyperlink" Target="https://nutritionconnect.org/west-africa-youth-agrifood-innovation-challenge-2026-en" TargetMode="External"/><Relationship Id="rId8" Type="http://schemas.openxmlformats.org/officeDocument/2006/relationships/hyperlink" Target="https://www.gainhealth.org/digital-fortification-quality-traceability" TargetMode="External"/><Relationship Id="rId9" Type="http://schemas.openxmlformats.org/officeDocument/2006/relationships/hyperlink" Target="https://www.dietquality.org/" TargetMode="External"/><Relationship Id="rId10" Type="http://schemas.openxmlformats.org/officeDocument/2006/relationships/hyperlink" Target="https://knowledge4policy.ec.europa.eu/publication/adaptation-diet-quality-questionnaire-global-public-good-use-140-countries_en" TargetMode="External"/><Relationship Id="rId11" Type="http://schemas.openxmlformats.org/officeDocument/2006/relationships/hyperlink" Target="https://www.gainhealth.org/blogs/n3fs-2025-nutrition-impact-scaling-access-affordable-nutritious-foods-across-sub-saharan" TargetMode="External"/><Relationship Id="rId12" Type="http://schemas.openxmlformats.org/officeDocument/2006/relationships/hyperlink" Target="https://www.gainhealth.org/gains-strategy-harnessing-artificial-intelligence-programmes" TargetMode="External"/><Relationship Id="rId13" Type="http://schemas.openxmlformats.org/officeDocument/2006/relationships/hyperlink" Target="https://www.gainhealth.org/events/gain-celebrates-world-msme-day-2026" TargetMode="External"/><Relationship Id="rId14"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GAIN World Food Day 2026 – Campaign Concept Note</dc:title>
  <dc:description>Claude Docs node/052743ca-b904@25 docx-w6</dc:description>
  <cp:revision>25</cp:revision>
</cp:coreProperties>
</file>