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1A2E"/>
          <w:sz w:val="72"/>
          <w:szCs w:val="72"/>
        </w:rPr>
        <w:t xml:space="preserve">INVENDB</w:t>
      </w:r>
    </w:p>
    <w:p>
      <w:pPr>
        <w:spacing w:after="160"/>
        <w:jc w:val="center"/>
      </w:pPr>
      <w:r>
        <w:rPr>
          <w:rFonts w:ascii="Arial" w:cs="Arial" w:eastAsia="Arial" w:hAnsi="Arial"/>
          <w:color w:val="495057"/>
          <w:sz w:val="36"/>
          <w:szCs w:val="36"/>
        </w:rPr>
        <w:t xml:space="preserve">Inventory Management System</w:t>
      </w:r>
    </w:p>
    <w:p>
      <w:pPr>
        <w:spacing w:after="400"/>
        <w:jc w:val="center"/>
      </w:pPr>
      <w:r>
        <w:rPr>
          <w:rFonts w:ascii="Arial" w:cs="Arial" w:eastAsia="Arial" w:hAnsi="Arial"/>
          <w:i/>
          <w:iCs/>
          <w:color w:val="6C757D"/>
          <w:sz w:val="26"/>
          <w:szCs w:val="26"/>
        </w:rPr>
        <w:t xml:space="preserve">Technical Submission Document</w:t>
      </w:r>
    </w:p>
    <w:p>
      <w:pPr>
        <w:pBdr>
          <w:top w:val="single" w:color="1A1A2E" w:sz="3"/>
        </w:pBdr>
        <w:spacing w:after="200"/>
        <w:jc w:val="center"/>
      </w:pPr>
      <w:r>
        <w:t xml:space="preserve"/>
      </w:r>
    </w:p>
    <w:p>
      <w:pPr>
        <w:spacing w:after="80"/>
        <w:jc w:val="center"/>
      </w:pPr>
      <w:r>
        <w:rPr>
          <w:rFonts w:ascii="Arial" w:cs="Arial" w:eastAsia="Arial" w:hAnsi="Arial"/>
          <w:b/>
          <w:bCs/>
          <w:sz w:val="26"/>
          <w:szCs w:val="26"/>
        </w:rPr>
        <w:t xml:space="preserve">Using Unstructured Databases in Three Layers</w:t>
      </w:r>
    </w:p>
    <w:p>
      <w:pPr>
        <w:spacing w:after="2000"/>
        <w:jc w:val="center"/>
      </w:pPr>
      <w:r>
        <w:rPr>
          <w:rFonts w:ascii="Arial" w:cs="Arial" w:eastAsia="Arial" w:hAnsi="Arial"/>
          <w:color w:val="6C757D"/>
          <w:sz w:val="22"/>
          <w:szCs w:val="22"/>
        </w:rPr>
        <w:t xml:space="preserve">Rate Limiting (Redis)  ·  Inventory CRUD (MongoDB)  ·  Graph Correlation (Neo4j)</w:t>
      </w:r>
    </w:p>
    <w:p>
      <w:pPr>
        <w:pStyle w:val="Heading1"/>
      </w:pPr>
      <w:r>
        <w:rPr>
          <w:b/>
          <w:bCs/>
        </w:rPr>
        <w:t xml:space="preserve">Table of Contents</w:t>
      </w:r>
    </w:p>
    <w:p>
      <w:pPr>
        <w:spacing w:after="120"/>
      </w:pPr>
      <w:r>
        <w:rPr>
          <w:b/>
          <w:bCs/>
        </w:rPr>
        <w:t xml:space="preserve">1. System Overview</w:t>
      </w:r>
    </w:p>
    <w:p>
      <w:pPr>
        <w:spacing w:after="120"/>
      </w:pPr>
      <w:r>
        <w:t xml:space="preserve">2. Application 1: Rate Limiter — Redis (Port 2100)</w:t>
      </w:r>
    </w:p>
    <w:p>
      <w:pPr>
        <w:spacing w:after="120"/>
      </w:pPr>
      <w:r>
        <w:t xml:space="preserve">3. Application 2: Inventory Stack Management — MongoDB (Port 2101)</w:t>
      </w:r>
    </w:p>
    <w:p>
      <w:pPr>
        <w:spacing w:after="120"/>
      </w:pPr>
      <w:r>
        <w:t xml:space="preserve">4. Application 3: Product-Manufacturer Graph — Neo4j (Port 2102)</w:t>
      </w:r>
    </w:p>
    <w:p>
      <w:pPr>
        <w:spacing w:after="120"/>
      </w:pPr>
      <w:r>
        <w:t xml:space="preserve">5. Database Justification Matrix</w:t>
      </w:r>
    </w:p>
    <w:p>
      <w:pPr>
        <w:spacing w:after="120"/>
      </w:pPr>
      <w:r>
        <w:t xml:space="preserve">6. Architecture &amp; Structural Concepts</w:t>
      </w:r>
    </w:p>
    <w:p>
      <w:pPr>
        <w:spacing w:after="120"/>
      </w:pPr>
      <w:r>
        <w:t xml:space="preserve">7. API Reference</w:t>
      </w:r>
    </w:p>
    <w:p>
      <w:pPr>
        <w:spacing w:after="120"/>
      </w:pPr>
      <w:r>
        <w:t xml:space="preserve">8. Reasoning &amp; Design Decisions</w:t>
      </w:r>
    </w:p>
    <w:p>
      <w:pPr>
        <w:spacing w:after="200"/>
      </w:pPr>
    </w:p>
    <w:p>
      <w:pPr>
        <w:pStyle w:val="Heading1"/>
      </w:pPr>
      <w:r>
        <w:rPr>
          <w:b/>
          <w:bCs/>
        </w:rPr>
        <w:t xml:space="preserve">1. System Overview</w:t>
      </w:r>
    </w:p>
    <w:p>
      <w:pPr>
        <w:spacing w:after="120"/>
      </w:pPr>
      <w:r>
        <w:t xml:space="preserve">InvenDB is a three-layer inventory management system that deliberately uses three different unstructured (NoSQL) databases, each chosen because it is the best structural fit for the specific problem it solves. No single database is used everywhere — this is a core architectural principle: match the data model to the problem, not the other way around.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53"/>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453"/>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453"/>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Rate Limiter</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2100</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Redis</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Counter + TTL per IP</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Inventory CRUD</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2101</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MongoDB</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Flexible product documents</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Graph Correlation</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2102</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Neo4j</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Product-Manufacturer relationships</w:t>
            </w:r>
          </w:p>
        </w:tc>
      </w:tr>
    </w:tbl>
    <w:p>
      <w:pPr>
        <w:spacing w:after="300"/>
      </w:pPr>
    </w:p>
    <w:p>
      <w:pPr>
        <w:pStyle w:val="Heading1"/>
      </w:pPr>
      <w:r>
        <w:rPr>
          <w:b/>
          <w:bCs/>
        </w:rPr>
        <w:t xml:space="preserve">2. Application 1: Rate Limiter</w:t>
      </w:r>
    </w:p>
    <w:p>
      <w:pPr>
        <w:pStyle w:val="Heading2"/>
      </w:pPr>
      <w:r>
        <w:rPr>
          <w:b/>
          <w:bCs/>
        </w:rPr>
        <w:t xml:space="preserve">2.1 Database: Redis (In-Memory Key-Value Store)</w:t>
      </w:r>
    </w:p>
    <w:p>
      <w:pPr>
        <w:pStyle w:val="Heading3"/>
      </w:pPr>
      <w:r>
        <w:rPr>
          <w:b/>
          <w:bCs/>
        </w:rPr>
        <w:t xml:space="preserve">What it does</w:t>
      </w:r>
    </w:p>
    <w:p>
      <w:pPr>
        <w:spacing w:after="120"/>
      </w:pPr>
      <w:r>
        <w:t xml:space="preserve">The Rate Limiter runs on Port 2100 and restricts each IP address to a maximum of 5 requests per 60-second window. Every API call checks a Redis counter before allowing the request through.</w:t>
      </w:r>
    </w:p>
    <w:p>
      <w:pPr>
        <w:spacing w:after="80"/>
      </w:pPr>
    </w:p>
    <w:p>
      <w:pPr>
        <w:pStyle w:val="Heading3"/>
      </w:pPr>
      <w:r>
        <w:rPr>
          <w:b/>
          <w:bCs/>
        </w:rPr>
        <w:t xml:space="preserve">How it works — Fixed Window Counter Algorithm</w:t>
      </w:r>
    </w:p>
    <w:p>
      <w:pPr>
        <w:pStyle w:val="ListParagraph"/>
        <w:numPr>
          <w:ilvl w:val="0"/>
          <w:numId w:val="2"/>
        </w:numPr>
        <w:spacing w:after="80"/>
      </w:pPr>
      <w:r>
        <w:rPr>
          <w:b w:val="false"/>
          <w:bCs w:val="false"/>
        </w:rPr>
        <w:t xml:space="preserve">Client sends a request to port 2100</w:t>
      </w:r>
    </w:p>
    <w:p>
      <w:pPr>
        <w:pStyle w:val="ListParagraph"/>
        <w:numPr>
          <w:ilvl w:val="0"/>
          <w:numId w:val="2"/>
        </w:numPr>
        <w:spacing w:after="80"/>
      </w:pPr>
      <w:r>
        <w:rPr>
          <w:b w:val="false"/>
          <w:bCs w:val="false"/>
        </w:rPr>
        <w:t xml:space="preserve">Middleware extracts the client IP address</w:t>
      </w:r>
    </w:p>
    <w:p>
      <w:pPr>
        <w:pStyle w:val="ListParagraph"/>
        <w:numPr>
          <w:ilvl w:val="0"/>
          <w:numId w:val="2"/>
        </w:numPr>
        <w:spacing w:after="80"/>
      </w:pPr>
      <w:r>
        <w:rPr>
          <w:b w:val="false"/>
          <w:bCs w:val="false"/>
        </w:rPr>
        <w:t xml:space="preserve">Redis key rate_limit:&lt;IP&gt; is atomically incremented using INCR</w:t>
      </w:r>
    </w:p>
    <w:p>
      <w:pPr>
        <w:pStyle w:val="ListParagraph"/>
        <w:numPr>
          <w:ilvl w:val="0"/>
          <w:numId w:val="2"/>
        </w:numPr>
        <w:spacing w:after="80"/>
      </w:pPr>
      <w:r>
        <w:rPr>
          <w:b w:val="false"/>
          <w:bCs w:val="false"/>
        </w:rPr>
        <w:t xml:space="preserve">If key is new (first request in window), EXPIRE is set to 60 seconds</w:t>
      </w:r>
    </w:p>
    <w:p>
      <w:pPr>
        <w:pStyle w:val="ListParagraph"/>
        <w:numPr>
          <w:ilvl w:val="0"/>
          <w:numId w:val="2"/>
        </w:numPr>
        <w:spacing w:after="80"/>
      </w:pPr>
      <w:r>
        <w:rPr>
          <w:b w:val="false"/>
          <w:bCs w:val="false"/>
        </w:rPr>
        <w:t xml:space="preserve">If counter &lt;= 5: request is allowed, headers X-RateLimit-Remaining are set</w:t>
      </w:r>
    </w:p>
    <w:p>
      <w:pPr>
        <w:pStyle w:val="ListParagraph"/>
        <w:numPr>
          <w:ilvl w:val="0"/>
          <w:numId w:val="2"/>
        </w:numPr>
        <w:spacing w:after="80"/>
      </w:pPr>
      <w:r>
        <w:rPr>
          <w:b w:val="false"/>
          <w:bCs w:val="false"/>
        </w:rPr>
        <w:t xml:space="preserve">If counter &gt; 5: HTTP 429 Too Many Requests is returned with Retry-After</w:t>
      </w:r>
    </w:p>
    <w:p>
      <w:pPr>
        <w:spacing w:after="120"/>
      </w:pPr>
    </w:p>
    <w:p>
      <w:pPr>
        <w:pStyle w:val="Heading3"/>
      </w:pPr>
      <w:r>
        <w:rPr>
          <w:b/>
          <w:bCs/>
        </w:rPr>
        <w:t xml:space="preserve">Why Redis — Structural Justification</w:t>
      </w:r>
    </w:p>
    <w:p>
      <w:pPr>
        <w:spacing w:after="120"/>
      </w:pPr>
      <w:r>
        <w:t xml:space="preserve">Redis is a Key-Value store held entirely in memory (RAM). The data model is:</w:t>
      </w:r>
    </w:p>
    <w:p>
      <w:pPr>
        <w:shd w:fill="F1F3F5" w:val="clear"/>
        <w:spacing w:after="80" w:before="80"/>
      </w:pPr>
      <w:r>
        <w:rPr>
          <w:rFonts w:ascii="Courier New" w:cs="Courier New" w:eastAsia="Courier New" w:hAnsi="Courier New"/>
          <w:color w:val="0D6EFD"/>
          <w:sz w:val="20"/>
          <w:szCs w:val="20"/>
        </w:rPr>
        <w:t xml:space="preserve">KEY: "rate_limit:192.168.1.1"   VALUE: { count: 3, expiry: 1715000000000 }</w:t>
      </w:r>
    </w:p>
    <w:p>
      <w:pPr>
        <w:spacing w:after="120"/>
      </w:pPr>
      <w:r>
        <w:t xml:space="preserve">Redis was chosen because:</w:t>
      </w:r>
    </w:p>
    <w:p>
      <w:pPr>
        <w:pStyle w:val="ListParagraph"/>
        <w:numPr>
          <w:ilvl w:val="0"/>
          <w:numId w:val="2"/>
        </w:numPr>
        <w:spacing w:after="80"/>
      </w:pPr>
      <w:r>
        <w:rPr>
          <w:b w:val="false"/>
          <w:bCs w:val="false"/>
        </w:rPr>
        <w:t xml:space="preserve">Atomic INCR: Redis guarantees that increment and read happen as a single atomic operation — no race conditions even under concurrent requests</w:t>
      </w:r>
    </w:p>
    <w:p>
      <w:pPr>
        <w:pStyle w:val="ListParagraph"/>
        <w:numPr>
          <w:ilvl w:val="0"/>
          <w:numId w:val="2"/>
        </w:numPr>
        <w:spacing w:after="80"/>
      </w:pPr>
      <w:r>
        <w:rPr>
          <w:b w:val="false"/>
          <w:bCs w:val="false"/>
        </w:rPr>
        <w:t xml:space="preserve">Built-in TTL: Redis natively supports key expiry via EXPIRE, so old counters self-delete — no cron job needed</w:t>
      </w:r>
    </w:p>
    <w:p>
      <w:pPr>
        <w:pStyle w:val="ListParagraph"/>
        <w:numPr>
          <w:ilvl w:val="0"/>
          <w:numId w:val="2"/>
        </w:numPr>
        <w:spacing w:after="80"/>
      </w:pPr>
      <w:r>
        <w:rPr>
          <w:b w:val="false"/>
          <w:bCs w:val="false"/>
        </w:rPr>
        <w:t xml:space="preserve">Sub-millisecond reads: Since data lives in RAM, Redis responds in under 1ms, adding negligible latency to every API call</w:t>
      </w:r>
    </w:p>
    <w:p>
      <w:pPr>
        <w:pStyle w:val="ListParagraph"/>
        <w:numPr>
          <w:ilvl w:val="0"/>
          <w:numId w:val="2"/>
        </w:numPr>
        <w:spacing w:after="80"/>
      </w:pPr>
      <w:r>
        <w:rPr>
          <w:b w:val="false"/>
          <w:bCs w:val="false"/>
        </w:rPr>
        <w:t xml:space="preserve">Horizontal distribution: A single Redis instance can serve thousands of API servers simultaneously, making it production-ready for distributed systems</w:t>
      </w:r>
    </w:p>
    <w:p>
      <w:pPr>
        <w:spacing w:after="120"/>
      </w:pPr>
    </w:p>
    <w:p>
      <w:pPr>
        <w:spacing w:after="120"/>
      </w:pPr>
      <w:r>
        <w:rPr>
          <w:i/>
          <w:iCs/>
        </w:rPr>
        <w:t xml:space="preserve">A relational database (SQL) would require a SELECT + UPDATE + WHERE on every request, incurring disk I/O. MongoDB would work but is overkill — counter state does not need documents, schemas, or indexes. Redis is structurally perfect because rate limiting is a counter-over-time problem, which is exactly what key-value stores solve.</w:t>
      </w:r>
    </w:p>
    <w:p>
      <w:pPr>
        <w:spacing w:after="200"/>
      </w:pPr>
    </w:p>
    <w:p>
      <w:pPr>
        <w:pStyle w:val="Heading3"/>
      </w:pPr>
      <w:r>
        <w:rPr>
          <w:b/>
          <w:bCs/>
        </w:rPr>
        <w:t xml:space="preserve">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4907"/>
      </w:tblGrid>
      <w:tr>
        <w:tc>
          <w:tcPr>
            <w:tcW w:type="dxa" w:w="2000"/>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53"/>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453"/>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/status</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Current rate limit state for calling IP</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/api/protected</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Sample protected endpoint (rate limited)</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/debug/keys</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View all active rate-limit keys in Redis</w:t>
            </w:r>
          </w:p>
        </w:tc>
      </w:tr>
    </w:tbl>
    <w:p>
      <w:pPr>
        <w:spacing w:after="300"/>
      </w:pPr>
    </w:p>
    <w:p>
      <w:pPr>
        <w:pStyle w:val="Heading1"/>
      </w:pPr>
      <w:r>
        <w:rPr>
          <w:b/>
          <w:bCs/>
        </w:rPr>
        <w:t xml:space="preserve">3. Application 2: Inventory Stack Management</w:t>
      </w:r>
    </w:p>
    <w:p>
      <w:pPr>
        <w:pStyle w:val="Heading2"/>
      </w:pPr>
      <w:r>
        <w:rPr>
          <w:b/>
          <w:bCs/>
        </w:rPr>
        <w:t xml:space="preserve">3.1 Database: MongoDB (Document Store)</w:t>
      </w:r>
    </w:p>
    <w:p>
      <w:pPr>
        <w:pStyle w:val="Heading3"/>
      </w:pPr>
      <w:r>
        <w:rPr>
          <w:b/>
          <w:bCs/>
        </w:rPr>
        <w:t xml:space="preserve">What it does</w:t>
      </w:r>
    </w:p>
    <w:p>
      <w:pPr>
        <w:spacing w:after="120"/>
      </w:pPr>
      <w:r>
        <w:t xml:space="preserve">The Inventory API runs on Port 2101 and provides full CRUD operations for product management. Products are stored as flexible BSON documents — no fixed schema is enforced.</w:t>
      </w:r>
    </w:p>
    <w:p>
      <w:pPr>
        <w:spacing w:after="80"/>
      </w:pPr>
    </w:p>
    <w:p>
      <w:pPr>
        <w:pStyle w:val="Heading3"/>
      </w:pPr>
      <w:r>
        <w:rPr>
          <w:b/>
          <w:bCs/>
        </w:rPr>
        <w:t xml:space="preserve">How it works</w:t>
      </w:r>
    </w:p>
    <w:p>
      <w:pPr>
        <w:pStyle w:val="ListParagraph"/>
        <w:numPr>
          <w:ilvl w:val="0"/>
          <w:numId w:val="2"/>
        </w:numPr>
        <w:spacing w:after="80"/>
      </w:pPr>
      <w:r>
        <w:rPr>
          <w:b w:val="false"/>
          <w:bCs w:val="false"/>
        </w:rPr>
        <w:t xml:space="preserve">Each product is stored as a MongoDB document with a unique _id (ObjectId)</w:t>
      </w:r>
    </w:p>
    <w:p>
      <w:pPr>
        <w:pStyle w:val="ListParagraph"/>
        <w:numPr>
          <w:ilvl w:val="0"/>
          <w:numId w:val="2"/>
        </w:numPr>
        <w:spacing w:after="80"/>
      </w:pPr>
      <w:r>
        <w:rPr>
          <w:b w:val="false"/>
          <w:bCs w:val="false"/>
        </w:rPr>
        <w:t xml:space="preserve">Documents can have different fields — electronics have wattage, food has expiry date</w:t>
      </w:r>
    </w:p>
    <w:p>
      <w:pPr>
        <w:pStyle w:val="ListParagraph"/>
        <w:numPr>
          <w:ilvl w:val="0"/>
          <w:numId w:val="2"/>
        </w:numPr>
        <w:spacing w:after="80"/>
      </w:pPr>
      <w:r>
        <w:rPr>
          <w:b w:val="false"/>
          <w:bCs w:val="false"/>
        </w:rPr>
        <w:t xml:space="preserve">The collection supports add, view by ID, view all, update by ID, and delete by ID</w:t>
      </w:r>
    </w:p>
    <w:p>
      <w:pPr>
        <w:pStyle w:val="ListParagraph"/>
        <w:numPr>
          <w:ilvl w:val="0"/>
          <w:numId w:val="2"/>
        </w:numPr>
        <w:spacing w:after="80"/>
      </w:pPr>
      <w:r>
        <w:rPr>
          <w:b w:val="false"/>
          <w:bCs w:val="false"/>
        </w:rPr>
        <w:t xml:space="preserve">Search, filtering by category, and low-stock alerts are supported via document-level queries</w:t>
      </w:r>
    </w:p>
    <w:p>
      <w:pPr>
        <w:spacing w:after="80"/>
      </w:pPr>
    </w:p>
    <w:p>
      <w:pPr>
        <w:pStyle w:val="Heading3"/>
      </w:pPr>
      <w:r>
        <w:rPr>
          <w:b/>
          <w:bCs/>
        </w:rPr>
        <w:t xml:space="preserve">Document Structure (BSON)</w:t>
      </w:r>
    </w:p>
    <w:p>
      <w:pPr>
        <w:shd w:fill="F1F3F5" w:val="clear"/>
        <w:spacing w:after="80" w:before="80"/>
      </w:pPr>
      <w:r>
        <w:rPr>
          <w:rFonts w:ascii="Courier New" w:cs="Courier New" w:eastAsia="Courier New" w:hAnsi="Courier New"/>
          <w:color w:val="0D6EFD"/>
          <w:sz w:val="20"/>
          <w:szCs w:val="20"/>
        </w:rPr>
        <w:t xml:space="preserve">{</w:t>
      </w:r>
    </w:p>
    <w:p>
      <w:pPr>
        <w:shd w:fill="F1F3F5" w:val="clear"/>
        <w:spacing w:after="80" w:before="80"/>
      </w:pPr>
      <w:r>
        <w:rPr>
          <w:rFonts w:ascii="Courier New" w:cs="Courier New" w:eastAsia="Courier New" w:hAnsi="Courier New"/>
          <w:color w:val="0D6EFD"/>
          <w:sz w:val="20"/>
          <w:szCs w:val="20"/>
        </w:rPr>
        <w:t xml:space="preserve">  "_id": "ObjectId(a1b2c3d4e5f6)",</w:t>
      </w:r>
    </w:p>
    <w:p>
      <w:pPr>
        <w:shd w:fill="F1F3F5" w:val="clear"/>
        <w:spacing w:after="80" w:before="80"/>
      </w:pPr>
      <w:r>
        <w:rPr>
          <w:rFonts w:ascii="Courier New" w:cs="Courier New" w:eastAsia="Courier New" w:hAnsi="Courier New"/>
          <w:color w:val="0D6EFD"/>
          <w:sz w:val="20"/>
          <w:szCs w:val="20"/>
        </w:rPr>
        <w:t xml:space="preserve">  "name": "RTX 4090 GPU",</w:t>
      </w:r>
    </w:p>
    <w:p>
      <w:pPr>
        <w:shd w:fill="F1F3F5" w:val="clear"/>
        <w:spacing w:after="80" w:before="80"/>
      </w:pPr>
      <w:r>
        <w:rPr>
          <w:rFonts w:ascii="Courier New" w:cs="Courier New" w:eastAsia="Courier New" w:hAnsi="Courier New"/>
          <w:color w:val="0D6EFD"/>
          <w:sz w:val="20"/>
          <w:szCs w:val="20"/>
        </w:rPr>
        <w:t xml:space="preserve">  "category": "Electronics",</w:t>
      </w:r>
    </w:p>
    <w:p>
      <w:pPr>
        <w:shd w:fill="F1F3F5" w:val="clear"/>
        <w:spacing w:after="80" w:before="80"/>
      </w:pPr>
      <w:r>
        <w:rPr>
          <w:rFonts w:ascii="Courier New" w:cs="Courier New" w:eastAsia="Courier New" w:hAnsi="Courier New"/>
          <w:color w:val="0D6EFD"/>
          <w:sz w:val="20"/>
          <w:szCs w:val="20"/>
        </w:rPr>
        <w:t xml:space="preserve">  "quantity": 15,</w:t>
      </w:r>
    </w:p>
    <w:p>
      <w:pPr>
        <w:shd w:fill="F1F3F5" w:val="clear"/>
        <w:spacing w:after="80" w:before="80"/>
      </w:pPr>
      <w:r>
        <w:rPr>
          <w:rFonts w:ascii="Courier New" w:cs="Courier New" w:eastAsia="Courier New" w:hAnsi="Courier New"/>
          <w:color w:val="0D6EFD"/>
          <w:sz w:val="20"/>
          <w:szCs w:val="20"/>
        </w:rPr>
        <w:t xml:space="preserve">  "price": 1599.99,</w:t>
      </w:r>
    </w:p>
    <w:p>
      <w:pPr>
        <w:shd w:fill="F1F3F5" w:val="clear"/>
        <w:spacing w:after="80" w:before="80"/>
      </w:pPr>
      <w:r>
        <w:rPr>
          <w:rFonts w:ascii="Courier New" w:cs="Courier New" w:eastAsia="Courier New" w:hAnsi="Courier New"/>
          <w:color w:val="0D6EFD"/>
          <w:sz w:val="20"/>
          <w:szCs w:val="20"/>
        </w:rPr>
        <w:t xml:space="preserve">  "sku": "GPU-4090",</w:t>
      </w:r>
    </w:p>
    <w:p>
      <w:pPr>
        <w:shd w:fill="F1F3F5" w:val="clear"/>
        <w:spacing w:after="80" w:before="80"/>
      </w:pPr>
      <w:r>
        <w:rPr>
          <w:rFonts w:ascii="Courier New" w:cs="Courier New" w:eastAsia="Courier New" w:hAnsi="Courier New"/>
          <w:color w:val="0D6EFD"/>
          <w:sz w:val="20"/>
          <w:szCs w:val="20"/>
        </w:rPr>
        <w:t xml:space="preserve">  "manufacturer": "mfr-nvidia",</w:t>
      </w:r>
    </w:p>
    <w:p>
      <w:pPr>
        <w:shd w:fill="F1F3F5" w:val="clear"/>
        <w:spacing w:after="80" w:before="80"/>
      </w:pPr>
      <w:r>
        <w:rPr>
          <w:rFonts w:ascii="Courier New" w:cs="Courier New" w:eastAsia="Courier New" w:hAnsi="Courier New"/>
          <w:color w:val="0D6EFD"/>
          <w:sz w:val="20"/>
          <w:szCs w:val="20"/>
        </w:rPr>
        <w:t xml:space="preserve">  "location": "Warehouse-A",</w:t>
      </w:r>
    </w:p>
    <w:p>
      <w:pPr>
        <w:shd w:fill="F1F3F5" w:val="clear"/>
        <w:spacing w:after="80" w:before="80"/>
      </w:pPr>
      <w:r>
        <w:rPr>
          <w:rFonts w:ascii="Courier New" w:cs="Courier New" w:eastAsia="Courier New" w:hAnsi="Courier New"/>
          <w:color w:val="0D6EFD"/>
          <w:sz w:val="20"/>
          <w:szCs w:val="20"/>
        </w:rPr>
        <w:t xml:space="preserve">  "minStock": 5,</w:t>
      </w:r>
    </w:p>
    <w:p>
      <w:pPr>
        <w:shd w:fill="F1F3F5" w:val="clear"/>
        <w:spacing w:after="80" w:before="80"/>
      </w:pPr>
      <w:r>
        <w:rPr>
          <w:rFonts w:ascii="Courier New" w:cs="Courier New" w:eastAsia="Courier New" w:hAnsi="Courier New"/>
          <w:color w:val="0D6EFD"/>
          <w:sz w:val="20"/>
          <w:szCs w:val="20"/>
        </w:rPr>
        <w:t xml:space="preserve">  "createdAt": "2025-04-01T10:00:00Z"</w:t>
      </w:r>
    </w:p>
    <w:p>
      <w:pPr>
        <w:shd w:fill="F1F3F5" w:val="clear"/>
        <w:spacing w:after="80" w:before="80"/>
      </w:pPr>
      <w:r>
        <w:rPr>
          <w:rFonts w:ascii="Courier New" w:cs="Courier New" w:eastAsia="Courier New" w:hAnsi="Courier New"/>
          <w:color w:val="0D6EFD"/>
          <w:sz w:val="20"/>
          <w:szCs w:val="20"/>
        </w:rPr>
        <w:t xml:space="preserve">}</w:t>
      </w:r>
    </w:p>
    <w:p>
      <w:pPr>
        <w:spacing w:after="120"/>
      </w:pPr>
    </w:p>
    <w:p>
      <w:pPr>
        <w:pStyle w:val="Heading3"/>
      </w:pPr>
      <w:r>
        <w:rPr>
          <w:b/>
          <w:bCs/>
        </w:rPr>
        <w:t xml:space="preserve">Why MongoDB — Structural Justification</w:t>
      </w:r>
    </w:p>
    <w:p>
      <w:pPr>
        <w:spacing w:after="120"/>
      </w:pPr>
      <w:r>
        <w:t xml:space="preserve">Inventory management has a fundamental schema-flexibility challenge: a GPU and a bag of flour have nothing in common. MongoDB's document model solves this:</w:t>
      </w:r>
    </w:p>
    <w:p>
      <w:pPr>
        <w:pStyle w:val="ListParagraph"/>
        <w:numPr>
          <w:ilvl w:val="0"/>
          <w:numId w:val="2"/>
        </w:numPr>
        <w:spacing w:after="80"/>
      </w:pPr>
      <w:r>
        <w:rPr>
          <w:b w:val="false"/>
          <w:bCs w:val="false"/>
        </w:rPr>
        <w:t xml:space="preserve">Schema-flexible: Electronics can have "wattage", food can have "expiryDate" — the same collection holds both without NULL columns</w:t>
      </w:r>
    </w:p>
    <w:p>
      <w:pPr>
        <w:pStyle w:val="ListParagraph"/>
        <w:numPr>
          <w:ilvl w:val="0"/>
          <w:numId w:val="2"/>
        </w:numPr>
        <w:spacing w:after="80"/>
      </w:pPr>
      <w:r>
        <w:rPr>
          <w:b w:val="false"/>
          <w:bCs w:val="false"/>
        </w:rPr>
        <w:t xml:space="preserve">Native JSON: Products are already JSON objects in the application layer. MongoDB stores them as BSON (Binary JSON) — zero transformation cost</w:t>
      </w:r>
    </w:p>
    <w:p>
      <w:pPr>
        <w:pStyle w:val="ListParagraph"/>
        <w:numPr>
          <w:ilvl w:val="0"/>
          <w:numId w:val="2"/>
        </w:numPr>
        <w:spacing w:after="80"/>
      </w:pPr>
      <w:r>
        <w:rPr>
          <w:b w:val="false"/>
          <w:bCs w:val="false"/>
        </w:rPr>
        <w:t xml:space="preserve">No JOIN overhead: A product document contains all its attributes — querying is a single document fetch, not a multi-table join</w:t>
      </w:r>
    </w:p>
    <w:p>
      <w:pPr>
        <w:pStyle w:val="ListParagraph"/>
        <w:numPr>
          <w:ilvl w:val="0"/>
          <w:numId w:val="2"/>
        </w:numPr>
        <w:spacing w:after="80"/>
      </w:pPr>
      <w:r>
        <w:rPr>
          <w:b w:val="false"/>
          <w:bCs w:val="false"/>
        </w:rPr>
        <w:t xml:space="preserve">Horizontal sharding: MongoDB scales writes by sharding collections across servers using the _id key</w:t>
      </w:r>
    </w:p>
    <w:p>
      <w:pPr>
        <w:pStyle w:val="ListParagraph"/>
        <w:numPr>
          <w:ilvl w:val="0"/>
          <w:numId w:val="2"/>
        </w:numPr>
        <w:spacing w:after="80"/>
      </w:pPr>
      <w:r>
        <w:rPr>
          <w:b w:val="false"/>
          <w:bCs w:val="false"/>
        </w:rPr>
        <w:t xml:space="preserve">Aggregation pipeline: Complex queries like "total inventory value by category" run inside MongoDB without pulling data to the application</w:t>
      </w:r>
    </w:p>
    <w:p>
      <w:pPr>
        <w:spacing w:after="120"/>
      </w:pPr>
    </w:p>
    <w:p>
      <w:pPr>
        <w:pStyle w:val="Heading3"/>
      </w:pPr>
      <w:r>
        <w:rPr>
          <w:b/>
          <w:bCs/>
        </w:rPr>
        <w:t xml:space="preserve">CRUD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2000"/>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53"/>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453"/>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POST</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/inventory/add</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Insert new product document</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/inventory/view/all</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Find all documents in collection</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/inventory/view/:id</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Find one document by _id</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PUT</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/inventory/update/:id</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Update fields in one document</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DELETE</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/inventory/delete/:id</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Remove one document from collection</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GET</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/inventory/low-stock</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Find documents where qty &lt; minStock</w:t>
            </w:r>
          </w:p>
        </w:tc>
      </w:tr>
    </w:tbl>
    <w:p>
      <w:pPr>
        <w:spacing w:after="300"/>
      </w:pPr>
    </w:p>
    <w:p>
      <w:pPr>
        <w:pStyle w:val="Heading1"/>
      </w:pPr>
      <w:r>
        <w:rPr>
          <w:b/>
          <w:bCs/>
        </w:rPr>
        <w:t xml:space="preserve">4. Application 3: Product-Manufacturer Graph Correlation</w:t>
      </w:r>
    </w:p>
    <w:p>
      <w:pPr>
        <w:pStyle w:val="Heading2"/>
      </w:pPr>
      <w:r>
        <w:rPr>
          <w:b/>
          <w:bCs/>
        </w:rPr>
        <w:t xml:space="preserve">4.1 Database: Neo4j (Graph Database)</w:t>
      </w:r>
    </w:p>
    <w:p>
      <w:pPr>
        <w:pStyle w:val="Heading3"/>
      </w:pPr>
      <w:r>
        <w:rPr>
          <w:b/>
          <w:bCs/>
        </w:rPr>
        <w:t xml:space="preserve">What it does</w:t>
      </w:r>
    </w:p>
    <w:p>
      <w:pPr>
        <w:spacing w:after="120"/>
      </w:pPr>
      <w:r>
        <w:t xml:space="preserve">The Graph service runs on Port 2102 and models the relationships between products and manufacturers as a labeled property graph. It answers questions like "which manufacturers supply components for NVIDIA GPUs?" or "which products are compatible with this motherboard?" through graph traversal — something extremely difficult to do in relational databases.</w:t>
      </w:r>
    </w:p>
    <w:p>
      <w:pPr>
        <w:spacing w:after="80"/>
      </w:pPr>
    </w:p>
    <w:p>
      <w:pPr>
        <w:pStyle w:val="Heading3"/>
      </w:pPr>
      <w:r>
        <w:rPr>
          <w:b/>
          <w:bCs/>
        </w:rPr>
        <w:t xml:space="preserve">Graph Model</w:t>
      </w:r>
    </w:p>
    <w:p>
      <w:pPr>
        <w:pStyle w:val="ListParagraph"/>
        <w:numPr>
          <w:ilvl w:val="0"/>
          <w:numId w:val="2"/>
        </w:numPr>
        <w:spacing w:after="80"/>
      </w:pPr>
      <w:r>
        <w:rPr>
          <w:b w:val="false"/>
          <w:bCs w:val="false"/>
        </w:rPr>
        <w:t xml:space="preserve">Nodes: (:Product {name, category, price}) and (:Manufacturer {name, country, specialty})</w:t>
      </w:r>
    </w:p>
    <w:p>
      <w:pPr>
        <w:pStyle w:val="ListParagraph"/>
        <w:numPr>
          <w:ilvl w:val="0"/>
          <w:numId w:val="2"/>
        </w:numPr>
        <w:spacing w:after="80"/>
      </w:pPr>
      <w:r>
        <w:rPr>
          <w:b w:val="false"/>
          <w:bCs w:val="false"/>
        </w:rPr>
        <w:t xml:space="preserve">MANUFACTURED_BY: (:Product) --&gt; (:Manufacturer) — direct production relationship</w:t>
      </w:r>
    </w:p>
    <w:p>
      <w:pPr>
        <w:pStyle w:val="ListParagraph"/>
        <w:numPr>
          <w:ilvl w:val="0"/>
          <w:numId w:val="2"/>
        </w:numPr>
        <w:spacing w:after="80"/>
      </w:pPr>
      <w:r>
        <w:rPr>
          <w:b w:val="false"/>
          <w:bCs w:val="false"/>
        </w:rPr>
        <w:t xml:space="preserve">COMPATIBLE_WITH: (:Product) -- (:Product) — hardware interoperability</w:t>
      </w:r>
    </w:p>
    <w:p>
      <w:pPr>
        <w:pStyle w:val="ListParagraph"/>
        <w:numPr>
          <w:ilvl w:val="0"/>
          <w:numId w:val="2"/>
        </w:numPr>
        <w:spacing w:after="80"/>
      </w:pPr>
      <w:r>
        <w:rPr>
          <w:b w:val="false"/>
          <w:bCs w:val="false"/>
        </w:rPr>
        <w:t xml:space="preserve">SUPPLIES: (:Manufacturer) --&gt; (:Manufacturer) — supply chain links (e.g., TSMC supplies NVIDIA)</w:t>
      </w:r>
    </w:p>
    <w:p>
      <w:pPr>
        <w:spacing w:after="80"/>
      </w:pPr>
    </w:p>
    <w:p>
      <w:pPr>
        <w:pStyle w:val="Heading3"/>
      </w:pPr>
      <w:r>
        <w:rPr>
          <w:b/>
          <w:bCs/>
        </w:rPr>
        <w:t xml:space="preserve">Cypher Query Examples</w:t>
      </w:r>
    </w:p>
    <w:p>
      <w:pPr>
        <w:shd w:fill="F1F3F5" w:val="clear"/>
        <w:spacing w:after="80" w:before="80"/>
      </w:pPr>
      <w:r>
        <w:rPr>
          <w:rFonts w:ascii="Courier New" w:cs="Courier New" w:eastAsia="Courier New" w:hAnsi="Courier New"/>
          <w:color w:val="0D6EFD"/>
          <w:sz w:val="20"/>
          <w:szCs w:val="20"/>
        </w:rPr>
        <w:t xml:space="preserve">// Find all products made by NVIDIA</w:t>
      </w:r>
    </w:p>
    <w:p>
      <w:pPr>
        <w:shd w:fill="F1F3F5" w:val="clear"/>
        <w:spacing w:after="80" w:before="80"/>
      </w:pPr>
      <w:r>
        <w:rPr>
          <w:rFonts w:ascii="Courier New" w:cs="Courier New" w:eastAsia="Courier New" w:hAnsi="Courier New"/>
          <w:color w:val="0D6EFD"/>
          <w:sz w:val="20"/>
          <w:szCs w:val="20"/>
        </w:rPr>
        <w:t xml:space="preserve">MATCH (p:Product)-[:MANUFACTURED_BY]-&gt;(m:Manufacturer {name: "NVIDIA"})</w:t>
      </w:r>
    </w:p>
    <w:p>
      <w:pPr>
        <w:shd w:fill="F1F3F5" w:val="clear"/>
        <w:spacing w:after="80" w:before="80"/>
      </w:pPr>
      <w:r>
        <w:rPr>
          <w:rFonts w:ascii="Courier New" w:cs="Courier New" w:eastAsia="Courier New" w:hAnsi="Courier New"/>
          <w:color w:val="0D6EFD"/>
          <w:sz w:val="20"/>
          <w:szCs w:val="20"/>
        </w:rPr>
        <w:t xml:space="preserve">RETURN p</w:t>
      </w:r>
    </w:p>
    <w:p>
      <w:pPr>
        <w:spacing w:after="40"/>
      </w:pPr>
    </w:p>
    <w:p>
      <w:pPr>
        <w:shd w:fill="F1F3F5" w:val="clear"/>
        <w:spacing w:after="80" w:before="80"/>
      </w:pPr>
      <w:r>
        <w:rPr>
          <w:rFonts w:ascii="Courier New" w:cs="Courier New" w:eastAsia="Courier New" w:hAnsi="Courier New"/>
          <w:color w:val="0D6EFD"/>
          <w:sz w:val="20"/>
          <w:szCs w:val="20"/>
        </w:rPr>
        <w:t xml:space="preserve">// Supply chain traversal (up to 3 hops)</w:t>
      </w:r>
    </w:p>
    <w:p>
      <w:pPr>
        <w:shd w:fill="F1F3F5" w:val="clear"/>
        <w:spacing w:after="80" w:before="80"/>
      </w:pPr>
      <w:r>
        <w:rPr>
          <w:rFonts w:ascii="Courier New" w:cs="Courier New" w:eastAsia="Courier New" w:hAnsi="Courier New"/>
          <w:color w:val="0D6EFD"/>
          <w:sz w:val="20"/>
          <w:szCs w:val="20"/>
        </w:rPr>
        <w:t xml:space="preserve">MATCH path = (s:Manufacturer)-[:SUPPLIES*1..3]-&gt;(m:Manufacturer)</w:t>
      </w:r>
    </w:p>
    <w:p>
      <w:pPr>
        <w:shd w:fill="F1F3F5" w:val="clear"/>
        <w:spacing w:after="80" w:before="80"/>
      </w:pPr>
      <w:r>
        <w:rPr>
          <w:rFonts w:ascii="Courier New" w:cs="Courier New" w:eastAsia="Courier New" w:hAnsi="Courier New"/>
          <w:color w:val="0D6EFD"/>
          <w:sz w:val="20"/>
          <w:szCs w:val="20"/>
        </w:rPr>
        <w:t xml:space="preserve">RETURN path</w:t>
      </w:r>
    </w:p>
    <w:p>
      <w:pPr>
        <w:spacing w:after="40"/>
      </w:pPr>
    </w:p>
    <w:p>
      <w:pPr>
        <w:shd w:fill="F1F3F5" w:val="clear"/>
        <w:spacing w:after="80" w:before="80"/>
      </w:pPr>
      <w:r>
        <w:rPr>
          <w:rFonts w:ascii="Courier New" w:cs="Courier New" w:eastAsia="Courier New" w:hAnsi="Courier New"/>
          <w:color w:val="0D6EFD"/>
          <w:sz w:val="20"/>
          <w:szCs w:val="20"/>
        </w:rPr>
        <w:t xml:space="preserve">// Compatibility check for ROG Motherboard</w:t>
      </w:r>
    </w:p>
    <w:p>
      <w:pPr>
        <w:shd w:fill="F1F3F5" w:val="clear"/>
        <w:spacing w:after="80" w:before="80"/>
      </w:pPr>
      <w:r>
        <w:rPr>
          <w:rFonts w:ascii="Courier New" w:cs="Courier New" w:eastAsia="Courier New" w:hAnsi="Courier New"/>
          <w:color w:val="0D6EFD"/>
          <w:sz w:val="20"/>
          <w:szCs w:val="20"/>
        </w:rPr>
        <w:t xml:space="preserve">MATCH (mb:Product {name:"ROG Motherboard"})-[:COMPATIBLE_WITH]-(p:Product)</w:t>
      </w:r>
    </w:p>
    <w:p>
      <w:pPr>
        <w:shd w:fill="F1F3F5" w:val="clear"/>
        <w:spacing w:after="80" w:before="80"/>
      </w:pPr>
      <w:r>
        <w:rPr>
          <w:rFonts w:ascii="Courier New" w:cs="Courier New" w:eastAsia="Courier New" w:hAnsi="Courier New"/>
          <w:color w:val="0D6EFD"/>
          <w:sz w:val="20"/>
          <w:szCs w:val="20"/>
        </w:rPr>
        <w:t xml:space="preserve">RETURN p</w:t>
      </w:r>
    </w:p>
    <w:p>
      <w:pPr>
        <w:spacing w:after="120"/>
      </w:pPr>
    </w:p>
    <w:p>
      <w:pPr>
        <w:pStyle w:val="Heading3"/>
      </w:pPr>
      <w:r>
        <w:rPr>
          <w:b/>
          <w:bCs/>
        </w:rPr>
        <w:t xml:space="preserve">Why Neo4j — Structural Justification</w:t>
      </w:r>
    </w:p>
    <w:p>
      <w:pPr>
        <w:spacing w:after="120"/>
      </w:pPr>
      <w:r>
        <w:t xml:space="preserve">The product-manufacturer relationship is inherently a graph. Trying to model this in SQL or MongoDB leads to the "JOIN problem":</w:t>
      </w:r>
    </w:p>
    <w:p>
      <w:pPr>
        <w:pStyle w:val="ListParagraph"/>
        <w:numPr>
          <w:ilvl w:val="0"/>
          <w:numId w:val="2"/>
        </w:numPr>
        <w:spacing w:after="80"/>
      </w:pPr>
      <w:r>
        <w:rPr>
          <w:b w:val="false"/>
          <w:bCs w:val="false"/>
        </w:rPr>
        <w:t xml:space="preserve">In SQL: A 3-hop supply chain query (TSMC → NVIDIA → GPU) requires 3 JOIN operations scanning entire tables at each hop — O(n²) complexity</w:t>
      </w:r>
    </w:p>
    <w:p>
      <w:pPr>
        <w:pStyle w:val="ListParagraph"/>
        <w:numPr>
          <w:ilvl w:val="0"/>
          <w:numId w:val="2"/>
        </w:numPr>
        <w:spacing w:after="80"/>
      </w:pPr>
      <w:r>
        <w:rPr>
          <w:b w:val="false"/>
          <w:bCs w:val="false"/>
        </w:rPr>
        <w:t xml:space="preserve">In Neo4j: The same query traverses pre-stored pointers — O(k) where k is the number of hops — completely independent of database size</w:t>
      </w:r>
    </w:p>
    <w:p>
      <w:pPr>
        <w:pStyle w:val="ListParagraph"/>
        <w:numPr>
          <w:ilvl w:val="0"/>
          <w:numId w:val="2"/>
        </w:numPr>
        <w:spacing w:after="80"/>
      </w:pPr>
      <w:r>
        <w:rPr>
          <w:b w:val="false"/>
          <w:bCs w:val="false"/>
        </w:rPr>
        <w:t xml:space="preserve">Relationship-first storage: Neo4j stores relationships as first-class physical pointers between nodes, not as foreign keys that must be resolved at query time</w:t>
      </w:r>
    </w:p>
    <w:p>
      <w:pPr>
        <w:pStyle w:val="ListParagraph"/>
        <w:numPr>
          <w:ilvl w:val="0"/>
          <w:numId w:val="2"/>
        </w:numPr>
        <w:spacing w:after="80"/>
      </w:pPr>
      <w:r>
        <w:rPr>
          <w:b w:val="false"/>
          <w:bCs w:val="false"/>
        </w:rPr>
        <w:t xml:space="preserve">Native algorithms: Centrality, shortest path, PageRank, and community detection are built-in — critical for supply chain resilience analysis</w:t>
      </w:r>
    </w:p>
    <w:p>
      <w:pPr>
        <w:pStyle w:val="ListParagraph"/>
        <w:numPr>
          <w:ilvl w:val="0"/>
          <w:numId w:val="2"/>
        </w:numPr>
        <w:spacing w:after="80"/>
      </w:pPr>
      <w:r>
        <w:rPr>
          <w:b w:val="false"/>
          <w:bCs w:val="false"/>
        </w:rPr>
        <w:t xml:space="preserve">Intuitive model: The data model matches how engineers think — "this part goes into that board" is naturally a directed edge</w:t>
      </w:r>
    </w:p>
    <w:p>
      <w:pPr>
        <w:spacing w:after="200"/>
      </w:pPr>
    </w:p>
    <w:p>
      <w:pPr>
        <w:pStyle w:val="Heading1"/>
      </w:pPr>
      <w:r>
        <w:rPr>
          <w:b/>
          <w:bCs/>
        </w:rPr>
        <w:t xml:space="preserve">5. Database Justification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c>
          <w:tcPr>
            <w:tcW w:type="dxa" w:w="2000"/>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453"/>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Redis</w:t>
            </w:r>
          </w:p>
        </w:tc>
        <w:tc>
          <w:tcPr>
            <w:tcW w:type="dxa" w:w="2453"/>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MongoDB</w:t>
            </w:r>
          </w:p>
        </w:tc>
        <w:tc>
          <w:tcPr>
            <w:tcW w:type="dxa" w:w="2453"/>
            <w:tcBorders>
              <w:top w:val="single" w:color="DEE2E6" w:sz="1"/>
              <w:left w:val="single" w:color="DEE2E6" w:sz="1"/>
              <w:bottom w:val="single" w:color="DEE2E6" w:sz="1"/>
              <w:right w:val="single" w:color="DEE2E6" w:sz="1"/>
            </w:tcBorders>
            <w:shd w:fill="212529" w:val="clear"/>
            <w:tcMar>
              <w:top w:type="dxa" w:w="80"/>
              <w:left w:type="dxa" w:w="120"/>
              <w:bottom w:type="dxa" w:w="80"/>
              <w:right w:type="dxa" w:w="120"/>
            </w:tcMar>
          </w:tcPr>
          <w:p>
            <w:r>
              <w:rPr>
                <w:rFonts w:ascii="Arial" w:cs="Arial" w:eastAsia="Arial" w:hAnsi="Arial"/>
                <w:b/>
                <w:bCs/>
                <w:color w:val="FFFFFF"/>
                <w:sz w:val="20"/>
                <w:szCs w:val="20"/>
              </w:rPr>
              <w:t xml:space="preserve">Neo4j</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Data Model</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Key-Value</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Document (BSON)</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Labeled Property Graph</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Query Language</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Commands (INCR, GET)</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MQL / Aggregation</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Cypher</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Primary Strength</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Atomic counters, TTL</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Schema flexibility</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Relationship traversal</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Read Latency</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Sub-millisecond</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1-10ms</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O(hops), not O(rows)</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Use in InvenDB</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Rate limit counters</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Product catalog</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Manufacturer graph</w:t>
            </w:r>
          </w:p>
        </w:tc>
      </w:tr>
      <w:tr>
        <w:tc>
          <w:tcPr>
            <w:tcW w:type="dxa" w:w="2000"/>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Why not SQL?</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Disk I/O too slow</w:t>
            </w:r>
          </w:p>
        </w:tc>
        <w:tc>
          <w:tcPr>
            <w:tcW w:type="dxa" w:w="2453"/>
            <w:tcBorders>
              <w:top w:val="single" w:color="DEE2E6" w:sz="1"/>
              <w:left w:val="single" w:color="DEE2E6" w:sz="1"/>
              <w:bottom w:val="single" w:color="DEE2E6" w:sz="1"/>
              <w:right w:val="single" w:color="DEE2E6" w:sz="1"/>
            </w:tcBorders>
            <w:shd w:fill="FFFFFF" w:val="clear"/>
            <w:tcMar>
              <w:top w:type="dxa" w:w="80"/>
              <w:left w:type="dxa" w:w="120"/>
              <w:bottom w:type="dxa" w:w="80"/>
              <w:right w:type="dxa" w:w="120"/>
            </w:tcMar>
          </w:tcPr>
          <w:p>
            <w:r>
              <w:rPr>
                <w:rFonts w:ascii="Arial" w:cs="Arial" w:eastAsia="Arial" w:hAnsi="Arial"/>
                <w:b w:val="false"/>
                <w:bCs w:val="false"/>
                <w:color w:val="212529"/>
                <w:sz w:val="20"/>
                <w:szCs w:val="20"/>
              </w:rPr>
              <w:t xml:space="preserve">Schema too rigid</w:t>
            </w:r>
          </w:p>
        </w:tc>
        <w:tc>
          <w:tcPr>
            <w:tcW w:type="dxa" w:w="2453"/>
            <w:tcBorders>
              <w:top w:val="single" w:color="DEE2E6" w:sz="1"/>
              <w:left w:val="single" w:color="DEE2E6" w:sz="1"/>
              <w:bottom w:val="single" w:color="DEE2E6" w:sz="1"/>
              <w:right w:val="single" w:color="DEE2E6" w:sz="1"/>
            </w:tcBorders>
            <w:shd w:fill="F8F9FA" w:val="clear"/>
            <w:tcMar>
              <w:top w:type="dxa" w:w="80"/>
              <w:left w:type="dxa" w:w="120"/>
              <w:bottom w:type="dxa" w:w="80"/>
              <w:right w:type="dxa" w:w="120"/>
            </w:tcMar>
          </w:tcPr>
          <w:p>
            <w:r>
              <w:rPr>
                <w:rFonts w:ascii="Arial" w:cs="Arial" w:eastAsia="Arial" w:hAnsi="Arial"/>
                <w:b w:val="false"/>
                <w:bCs w:val="false"/>
                <w:color w:val="212529"/>
                <w:sz w:val="20"/>
                <w:szCs w:val="20"/>
              </w:rPr>
              <w:t xml:space="preserve">JOINs too expensive</w:t>
            </w:r>
          </w:p>
        </w:tc>
      </w:tr>
    </w:tbl>
    <w:p>
      <w:pPr>
        <w:spacing w:after="300"/>
      </w:pPr>
    </w:p>
    <w:p>
      <w:pPr>
        <w:pStyle w:val="Heading1"/>
      </w:pPr>
      <w:r>
        <w:rPr>
          <w:b/>
          <w:bCs/>
        </w:rPr>
        <w:t xml:space="preserve">6. Architecture &amp; Structural Concepts</w:t>
      </w:r>
    </w:p>
    <w:p>
      <w:pPr>
        <w:pStyle w:val="Heading2"/>
      </w:pPr>
      <w:r>
        <w:rPr>
          <w:b/>
          <w:bCs/>
        </w:rPr>
        <w:t xml:space="preserve">6.1 Three-Service Architecture</w:t>
      </w:r>
    </w:p>
    <w:p>
      <w:pPr>
        <w:spacing w:after="120"/>
      </w:pPr>
      <w:r>
        <w:t xml:space="preserve">Each service is an independent Node.js/Express microservice. They share no state and communicate through HTTP. This allows independent scaling — the rate limiter can be deployed on every edge node while the graph database runs on a dedicated analytics server.</w:t>
      </w:r>
    </w:p>
    <w:p>
      <w:pPr>
        <w:spacing w:after="80"/>
      </w:pPr>
    </w:p>
    <w:p>
      <w:pPr>
        <w:pStyle w:val="Heading2"/>
      </w:pPr>
      <w:r>
        <w:rPr>
          <w:b/>
          <w:bCs/>
        </w:rPr>
        <w:t xml:space="preserve">6.2 Data Flow</w:t>
      </w:r>
    </w:p>
    <w:p>
      <w:pPr>
        <w:pStyle w:val="ListParagraph"/>
        <w:numPr>
          <w:ilvl w:val="0"/>
          <w:numId w:val="2"/>
        </w:numPr>
        <w:spacing w:after="80"/>
      </w:pPr>
      <w:r>
        <w:rPr>
          <w:b w:val="false"/>
          <w:bCs w:val="false"/>
        </w:rPr>
        <w:t xml:space="preserve">Client request → Rate Limiter (Redis) checks quota → Inventory API (MongoDB) serves data</w:t>
      </w:r>
    </w:p>
    <w:p>
      <w:pPr>
        <w:pStyle w:val="ListParagraph"/>
        <w:numPr>
          <w:ilvl w:val="0"/>
          <w:numId w:val="2"/>
        </w:numPr>
        <w:spacing w:after="80"/>
      </w:pPr>
      <w:r>
        <w:rPr>
          <w:b w:val="false"/>
          <w:bCs w:val="false"/>
        </w:rPr>
        <w:t xml:space="preserve">Admin dashboard → Graph DB (Neo4j) returns relationship insights</w:t>
      </w:r>
    </w:p>
    <w:p>
      <w:pPr>
        <w:pStyle w:val="ListParagraph"/>
        <w:numPr>
          <w:ilvl w:val="0"/>
          <w:numId w:val="2"/>
        </w:numPr>
        <w:spacing w:after="80"/>
      </w:pPr>
      <w:r>
        <w:rPr>
          <w:b w:val="false"/>
          <w:bCs w:val="false"/>
        </w:rPr>
        <w:t xml:space="preserve">Supply chain queries traverse TSMC → NVIDIA → Product in 2 hops, not 2 JOINs</w:t>
      </w:r>
    </w:p>
    <w:p>
      <w:pPr>
        <w:spacing w:after="80"/>
      </w:pPr>
    </w:p>
    <w:p>
      <w:pPr>
        <w:pStyle w:val="Heading2"/>
      </w:pPr>
      <w:r>
        <w:rPr>
          <w:b/>
          <w:bCs/>
        </w:rPr>
        <w:t xml:space="preserve">6.3 Why NoSQL/Unstructured Databases?</w:t>
      </w:r>
    </w:p>
    <w:p>
      <w:pPr>
        <w:spacing w:after="120"/>
      </w:pPr>
      <w:r>
        <w:t xml:space="preserve">Traditional RDBMS (MySQL, PostgreSQL) enforce a rigid schema. In inventory management, this fails because:</w:t>
      </w:r>
    </w:p>
    <w:p>
      <w:pPr>
        <w:pStyle w:val="ListParagraph"/>
        <w:numPr>
          <w:ilvl w:val="0"/>
          <w:numId w:val="2"/>
        </w:numPr>
        <w:spacing w:after="80"/>
      </w:pPr>
      <w:r>
        <w:rPr>
          <w:b w:val="false"/>
          <w:bCs w:val="false"/>
        </w:rPr>
        <w:t xml:space="preserve">Product attributes are heterogeneous — different product types have nothing in common</w:t>
      </w:r>
    </w:p>
    <w:p>
      <w:pPr>
        <w:pStyle w:val="ListParagraph"/>
        <w:numPr>
          <w:ilvl w:val="0"/>
          <w:numId w:val="2"/>
        </w:numPr>
        <w:spacing w:after="80"/>
      </w:pPr>
      <w:r>
        <w:rPr>
          <w:b w:val="false"/>
          <w:bCs w:val="false"/>
        </w:rPr>
        <w:t xml:space="preserve">Relationships are deep and recursive — supply chains are graphs, not tables</w:t>
      </w:r>
    </w:p>
    <w:p>
      <w:pPr>
        <w:pStyle w:val="ListParagraph"/>
        <w:numPr>
          <w:ilvl w:val="0"/>
          <w:numId w:val="2"/>
        </w:numPr>
        <w:spacing w:after="80"/>
      </w:pPr>
      <w:r>
        <w:rPr>
          <w:b w:val="false"/>
          <w:bCs w:val="false"/>
        </w:rPr>
        <w:t xml:space="preserve">Rate limiting requires in-memory atomic operations — disk-based SQL cannot compete</w:t>
      </w:r>
    </w:p>
    <w:p>
      <w:pPr>
        <w:spacing w:after="120"/>
      </w:pPr>
      <w:r>
        <w:t xml:space="preserve">Each NoSQL type solves exactly one problem exceptionally well. This is the "right tool for the right job" principle.</w:t>
      </w:r>
    </w:p>
    <w:p>
      <w:pPr>
        <w:spacing w:after="200"/>
      </w:pPr>
    </w:p>
    <w:p>
      <w:pPr>
        <w:pStyle w:val="Heading1"/>
      </w:pPr>
      <w:r>
        <w:rPr>
          <w:b/>
          <w:bCs/>
        </w:rPr>
        <w:t xml:space="preserve">7. API Reference</w:t>
      </w:r>
    </w:p>
    <w:p>
      <w:pPr>
        <w:pStyle w:val="Heading2"/>
      </w:pPr>
      <w:r>
        <w:rPr>
          <w:b/>
          <w:bCs/>
        </w:rPr>
        <w:t xml:space="preserve">7.1 Rate Limiter (Port 2100)</w:t>
      </w:r>
    </w:p>
    <w:p>
      <w:pPr>
        <w:spacing w:after="120"/>
      </w:pPr>
      <w:r>
        <w:t xml:space="preserve">Base URL: http://localhost:2100</w:t>
      </w:r>
    </w:p>
    <w:p>
      <w:pPr>
        <w:spacing w:after="120"/>
      </w:pPr>
      <w:r>
        <w:t xml:space="preserve">All responses include X-RateLimit-Limit, X-RateLimit-Remaining, X-RateLimit-Reset headers.</w:t>
      </w:r>
    </w:p>
    <w:p>
      <w:pPr>
        <w:shd w:fill="F1F3F5" w:val="clear"/>
        <w:spacing w:after="80" w:before="80"/>
      </w:pPr>
      <w:r>
        <w:rPr>
          <w:rFonts w:ascii="Courier New" w:cs="Courier New" w:eastAsia="Courier New" w:hAnsi="Courier New"/>
          <w:color w:val="0D6EFD"/>
          <w:sz w:val="20"/>
          <w:szCs w:val="20"/>
        </w:rPr>
        <w:t xml:space="preserve">GET  /status          → Rate limit state for current IP</w:t>
      </w:r>
    </w:p>
    <w:p>
      <w:pPr>
        <w:shd w:fill="F1F3F5" w:val="clear"/>
        <w:spacing w:after="80" w:before="80"/>
      </w:pPr>
      <w:r>
        <w:rPr>
          <w:rFonts w:ascii="Courier New" w:cs="Courier New" w:eastAsia="Courier New" w:hAnsi="Courier New"/>
          <w:color w:val="0D6EFD"/>
          <w:sz w:val="20"/>
          <w:szCs w:val="20"/>
        </w:rPr>
        <w:t xml:space="preserve">GET  /api/protected   → Rate-limited endpoint (returns 429 after 5 req)</w:t>
      </w:r>
    </w:p>
    <w:p>
      <w:pPr>
        <w:shd w:fill="F1F3F5" w:val="clear"/>
        <w:spacing w:after="80" w:before="80"/>
      </w:pPr>
      <w:r>
        <w:rPr>
          <w:rFonts w:ascii="Courier New" w:cs="Courier New" w:eastAsia="Courier New" w:hAnsi="Courier New"/>
          <w:color w:val="0D6EFD"/>
          <w:sz w:val="20"/>
          <w:szCs w:val="20"/>
        </w:rPr>
        <w:t xml:space="preserve">GET  /debug/keys      → All active counters in Redis</w:t>
      </w:r>
    </w:p>
    <w:p>
      <w:pPr>
        <w:spacing w:after="120"/>
      </w:pPr>
    </w:p>
    <w:p>
      <w:pPr>
        <w:pStyle w:val="Heading2"/>
      </w:pPr>
      <w:r>
        <w:rPr>
          <w:b/>
          <w:bCs/>
        </w:rPr>
        <w:t xml:space="preserve">7.2 Inventory API (Port 2101)</w:t>
      </w:r>
    </w:p>
    <w:p>
      <w:pPr>
        <w:spacing w:after="120"/>
      </w:pPr>
      <w:r>
        <w:t xml:space="preserve">Base URL: http://localhost:2101</w:t>
      </w:r>
    </w:p>
    <w:p>
      <w:pPr>
        <w:shd w:fill="F1F3F5" w:val="clear"/>
        <w:spacing w:after="80" w:before="80"/>
      </w:pPr>
      <w:r>
        <w:rPr>
          <w:rFonts w:ascii="Courier New" w:cs="Courier New" w:eastAsia="Courier New" w:hAnsi="Courier New"/>
          <w:color w:val="0D6EFD"/>
          <w:sz w:val="20"/>
          <w:szCs w:val="20"/>
        </w:rPr>
        <w:t xml:space="preserve">POST   /inventory/add          → Add product { name, quantity, price, ... }</w:t>
      </w:r>
    </w:p>
    <w:p>
      <w:pPr>
        <w:shd w:fill="F1F3F5" w:val="clear"/>
        <w:spacing w:after="80" w:before="80"/>
      </w:pPr>
      <w:r>
        <w:rPr>
          <w:rFonts w:ascii="Courier New" w:cs="Courier New" w:eastAsia="Courier New" w:hAnsi="Courier New"/>
          <w:color w:val="0D6EFD"/>
          <w:sz w:val="20"/>
          <w:szCs w:val="20"/>
        </w:rPr>
        <w:t xml:space="preserve">GET    /inventory/view/all     → All products</w:t>
      </w:r>
    </w:p>
    <w:p>
      <w:pPr>
        <w:shd w:fill="F1F3F5" w:val="clear"/>
        <w:spacing w:after="80" w:before="80"/>
      </w:pPr>
      <w:r>
        <w:rPr>
          <w:rFonts w:ascii="Courier New" w:cs="Courier New" w:eastAsia="Courier New" w:hAnsi="Courier New"/>
          <w:color w:val="0D6EFD"/>
          <w:sz w:val="20"/>
          <w:szCs w:val="20"/>
        </w:rPr>
        <w:t xml:space="preserve">GET    /inventory/view/:id     → Single product by MongoDB _id</w:t>
      </w:r>
    </w:p>
    <w:p>
      <w:pPr>
        <w:shd w:fill="F1F3F5" w:val="clear"/>
        <w:spacing w:after="80" w:before="80"/>
      </w:pPr>
      <w:r>
        <w:rPr>
          <w:rFonts w:ascii="Courier New" w:cs="Courier New" w:eastAsia="Courier New" w:hAnsi="Courier New"/>
          <w:color w:val="0D6EFD"/>
          <w:sz w:val="20"/>
          <w:szCs w:val="20"/>
        </w:rPr>
        <w:t xml:space="preserve">PUT    /inventory/update/:id   → Update fields</w:t>
      </w:r>
    </w:p>
    <w:p>
      <w:pPr>
        <w:shd w:fill="F1F3F5" w:val="clear"/>
        <w:spacing w:after="80" w:before="80"/>
      </w:pPr>
      <w:r>
        <w:rPr>
          <w:rFonts w:ascii="Courier New" w:cs="Courier New" w:eastAsia="Courier New" w:hAnsi="Courier New"/>
          <w:color w:val="0D6EFD"/>
          <w:sz w:val="20"/>
          <w:szCs w:val="20"/>
        </w:rPr>
        <w:t xml:space="preserve">DELETE /inventory/delete/:id   → Remove product</w:t>
      </w:r>
    </w:p>
    <w:p>
      <w:pPr>
        <w:shd w:fill="F1F3F5" w:val="clear"/>
        <w:spacing w:after="80" w:before="80"/>
      </w:pPr>
      <w:r>
        <w:rPr>
          <w:rFonts w:ascii="Courier New" w:cs="Courier New" w:eastAsia="Courier New" w:hAnsi="Courier New"/>
          <w:color w:val="0D6EFD"/>
          <w:sz w:val="20"/>
          <w:szCs w:val="20"/>
        </w:rPr>
        <w:t xml:space="preserve">GET    /inventory/low-stock    → Products below minimum stock level</w:t>
      </w:r>
    </w:p>
    <w:p>
      <w:pPr>
        <w:spacing w:after="120"/>
      </w:pPr>
    </w:p>
    <w:p>
      <w:pPr>
        <w:pStyle w:val="Heading2"/>
      </w:pPr>
      <w:r>
        <w:rPr>
          <w:b/>
          <w:bCs/>
        </w:rPr>
        <w:t xml:space="preserve">7.3 Graph DB (Port 2102)</w:t>
      </w:r>
    </w:p>
    <w:p>
      <w:pPr>
        <w:spacing w:after="120"/>
      </w:pPr>
      <w:r>
        <w:t xml:space="preserve">Base URL: http://localhost:2102</w:t>
      </w:r>
    </w:p>
    <w:p>
      <w:pPr>
        <w:shd w:fill="F1F3F5" w:val="clear"/>
        <w:spacing w:after="80" w:before="80"/>
      </w:pPr>
      <w:r>
        <w:rPr>
          <w:rFonts w:ascii="Courier New" w:cs="Courier New" w:eastAsia="Courier New" w:hAnsi="Courier New"/>
          <w:color w:val="0D6EFD"/>
          <w:sz w:val="20"/>
          <w:szCs w:val="20"/>
        </w:rPr>
        <w:t xml:space="preserve">GET  /graph                         → Full graph (all nodes + edges)</w:t>
      </w:r>
    </w:p>
    <w:p>
      <w:pPr>
        <w:shd w:fill="F1F3F5" w:val="clear"/>
        <w:spacing w:after="80" w:before="80"/>
      </w:pPr>
      <w:r>
        <w:rPr>
          <w:rFonts w:ascii="Courier New" w:cs="Courier New" w:eastAsia="Courier New" w:hAnsi="Courier New"/>
          <w:color w:val="0D6EFD"/>
          <w:sz w:val="20"/>
          <w:szCs w:val="20"/>
        </w:rPr>
        <w:t xml:space="preserve">GET  /manufacturers                 → All manufacturers with products</w:t>
      </w:r>
    </w:p>
    <w:p>
      <w:pPr>
        <w:shd w:fill="F1F3F5" w:val="clear"/>
        <w:spacing w:after="80" w:before="80"/>
      </w:pPr>
      <w:r>
        <w:rPr>
          <w:rFonts w:ascii="Courier New" w:cs="Courier New" w:eastAsia="Courier New" w:hAnsi="Courier New"/>
          <w:color w:val="0D6EFD"/>
          <w:sz w:val="20"/>
          <w:szCs w:val="20"/>
        </w:rPr>
        <w:t xml:space="preserve">GET  /manufacturer/:id/products     → Products by a manufacturer</w:t>
      </w:r>
    </w:p>
    <w:p>
      <w:pPr>
        <w:shd w:fill="F1F3F5" w:val="clear"/>
        <w:spacing w:after="80" w:before="80"/>
      </w:pPr>
      <w:r>
        <w:rPr>
          <w:rFonts w:ascii="Courier New" w:cs="Courier New" w:eastAsia="Courier New" w:hAnsi="Courier New"/>
          <w:color w:val="0D6EFD"/>
          <w:sz w:val="20"/>
          <w:szCs w:val="20"/>
        </w:rPr>
        <w:t xml:space="preserve">GET  /products                      → All products with manufacturer info</w:t>
      </w:r>
    </w:p>
    <w:p>
      <w:pPr>
        <w:shd w:fill="F1F3F5" w:val="clear"/>
        <w:spacing w:after="80" w:before="80"/>
      </w:pPr>
      <w:r>
        <w:rPr>
          <w:rFonts w:ascii="Courier New" w:cs="Courier New" w:eastAsia="Courier New" w:hAnsi="Courier New"/>
          <w:color w:val="0D6EFD"/>
          <w:sz w:val="20"/>
          <w:szCs w:val="20"/>
        </w:rPr>
        <w:t xml:space="preserve">GET  /product/:id/compatible        → Compatibility graph traversal</w:t>
      </w:r>
    </w:p>
    <w:p>
      <w:pPr>
        <w:shd w:fill="F1F3F5" w:val="clear"/>
        <w:spacing w:after="80" w:before="80"/>
      </w:pPr>
      <w:r>
        <w:rPr>
          <w:rFonts w:ascii="Courier New" w:cs="Courier New" w:eastAsia="Courier New" w:hAnsi="Courier New"/>
          <w:color w:val="0D6EFD"/>
          <w:sz w:val="20"/>
          <w:szCs w:val="20"/>
        </w:rPr>
        <w:t xml:space="preserve">GET  /supply-chain                  → Full supply chain analysis</w:t>
      </w:r>
    </w:p>
    <w:p>
      <w:pPr>
        <w:shd w:fill="F1F3F5" w:val="clear"/>
        <w:spacing w:after="80" w:before="80"/>
      </w:pPr>
      <w:r>
        <w:rPr>
          <w:rFonts w:ascii="Courier New" w:cs="Courier New" w:eastAsia="Courier New" w:hAnsi="Courier New"/>
          <w:color w:val="0D6EFD"/>
          <w:sz w:val="20"/>
          <w:szCs w:val="20"/>
        </w:rPr>
        <w:t xml:space="preserve">GET  /analysis/centrality           → Hub detection (degree centrality)</w:t>
      </w:r>
    </w:p>
    <w:p>
      <w:pPr>
        <w:shd w:fill="F1F3F5" w:val="clear"/>
        <w:spacing w:after="80" w:before="80"/>
      </w:pPr>
      <w:r>
        <w:rPr>
          <w:rFonts w:ascii="Courier New" w:cs="Courier New" w:eastAsia="Courier New" w:hAnsi="Courier New"/>
          <w:color w:val="0D6EFD"/>
          <w:sz w:val="20"/>
          <w:szCs w:val="20"/>
        </w:rPr>
        <w:t xml:space="preserve">GET  /path?from=TSMC&amp;to=RTX+4090   → Shortest path between nodes</w:t>
      </w:r>
    </w:p>
    <w:p>
      <w:pPr>
        <w:spacing w:after="300"/>
      </w:pPr>
    </w:p>
    <w:p>
      <w:pPr>
        <w:pStyle w:val="Heading1"/>
      </w:pPr>
      <w:r>
        <w:rPr>
          <w:b/>
          <w:bCs/>
        </w:rPr>
        <w:t xml:space="preserve">8. Reasoning &amp; Design Decisions</w:t>
      </w:r>
    </w:p>
    <w:p>
      <w:pPr>
        <w:pStyle w:val="Heading2"/>
      </w:pPr>
      <w:r>
        <w:rPr>
          <w:b/>
          <w:bCs/>
        </w:rPr>
        <w:t xml:space="preserve">8.1 Port Assignment</w:t>
      </w:r>
    </w:p>
    <w:p>
      <w:pPr>
        <w:spacing w:after="120"/>
      </w:pPr>
      <w:r>
        <w:t xml:space="preserve">Port 2100 was assigned to Rate Limiter as specified. Ports 2101 and 2102 are used for inventory and graph services respectively, avoiding conflicts with common development ports (3000, 8080, etc.).</w:t>
      </w:r>
    </w:p>
    <w:p>
      <w:pPr>
        <w:pStyle w:val="Heading2"/>
      </w:pPr>
      <w:r>
        <w:rPr>
          <w:b/>
          <w:bCs/>
        </w:rPr>
        <w:t xml:space="preserve">8.2 Rate Limit at 5 Requests</w:t>
      </w:r>
    </w:p>
    <w:p>
      <w:pPr>
        <w:spacing w:after="120"/>
      </w:pPr>
      <w:r>
        <w:t xml:space="preserve">Five requests per 60 seconds is an aggressive limit chosen to demonstrate rate limiting clearly during demo. Production systems typically allow 100-1000 requests/minute. The Fixed Window Counter was chosen over the Sliding Window algorithm for simplicity and atomicity — Redis INCR is O(1) whereas sliding windows require sorted sets (ZADD/ZRANGEBYSCORE).</w:t>
      </w:r>
    </w:p>
    <w:p>
      <w:pPr>
        <w:pStyle w:val="Heading2"/>
      </w:pPr>
      <w:r>
        <w:rPr>
          <w:b/>
          <w:bCs/>
        </w:rPr>
        <w:t xml:space="preserve">8.3 MongoDB for Inventory</w:t>
      </w:r>
    </w:p>
    <w:p>
      <w:pPr>
        <w:spacing w:after="120"/>
      </w:pPr>
      <w:r>
        <w:t xml:space="preserve">The alternative was PostgreSQL with a JSONB column. MongoDB was chosen because its native horizontal sharding (across product_id) is more natural for large catalogs, and the aggregation pipeline is more powerful than PostgreSQL window functions for real-time inventory analytics.</w:t>
      </w:r>
    </w:p>
    <w:p>
      <w:pPr>
        <w:pStyle w:val="Heading2"/>
      </w:pPr>
      <w:r>
        <w:rPr>
          <w:b/>
          <w:bCs/>
        </w:rPr>
        <w:t xml:space="preserve">8.4 Neo4j for Manufacturer Correlation</w:t>
      </w:r>
    </w:p>
    <w:p>
      <w:pPr>
        <w:spacing w:after="120"/>
      </w:pPr>
      <w:r>
        <w:t xml:space="preserve">The key insight is that supply chains are not tables — they are graphs. When TSMC supplies chips to NVIDIA, which manufactures GPUs, which are assembled by system builders, the depth can be 5-10 hops. SQL's recursive CTEs (WITH RECURSIVE) approximate this but are far slower than Neo4j's native pointer traversal. Neo4j was purpose-built for exactly this use case.</w:t>
      </w:r>
    </w:p>
    <w:p>
      <w:pPr>
        <w:pStyle w:val="Heading2"/>
      </w:pPr>
      <w:r>
        <w:rPr>
          <w:b/>
          <w:bCs/>
        </w:rPr>
        <w:t xml:space="preserve">8.5 Demo Frontend</w:t>
      </w:r>
    </w:p>
    <w:p>
      <w:pPr>
        <w:spacing w:after="120"/>
      </w:pPr>
      <w:r>
        <w:t xml:space="preserve">The frontend at frontend/index.html provides an interactive demo of all three services without requiring actual database servers — it uses client-side JavaScript simulation that mirrors the exact API contracts of the backend services. This allows evaluation without infrastructure setup.</w:t>
      </w:r>
    </w:p>
    <w:p>
      <w:pPr>
        <w:spacing w:after="300"/>
      </w:pPr>
    </w:p>
    <w:p>
      <w:pPr>
        <w:pBdr>
          <w:top w:val="single" w:color="DEE2E6" w:sz="1"/>
        </w:pBdr>
        <w:spacing w:before="400"/>
        <w:jc w:val="center"/>
      </w:pPr>
      <w:r>
        <w:rPr>
          <w:color w:val="6C757D"/>
          <w:sz w:val="18"/>
          <w:szCs w:val="18"/>
        </w:rPr>
        <w:t xml:space="preserve">InvenDB · Inventory Management System · Technical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529"/>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2026-04-10T12:20:13.377Z</dcterms:created>
  <dcterms:modified xsi:type="dcterms:W3CDTF">2026-04-10T12:20:13.378Z</dcterms:modified>
</cp:coreProperties>
</file>

<file path=docProps/custom.xml><?xml version="1.0" encoding="utf-8"?>
<Properties xmlns="http://schemas.openxmlformats.org/officeDocument/2006/custom-properties" xmlns:vt="http://schemas.openxmlformats.org/officeDocument/2006/docPropsVTypes"/>
</file>