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694" w:rsidRPr="00087639" w:rsidRDefault="00087639" w:rsidP="00087639">
      <w:pPr>
        <w:jc w:val="center"/>
        <w:rPr>
          <w:sz w:val="24"/>
          <w:szCs w:val="32"/>
          <w:u w:val="single"/>
        </w:rPr>
      </w:pPr>
      <w:r w:rsidRPr="00087639">
        <w:rPr>
          <w:sz w:val="24"/>
          <w:szCs w:val="32"/>
          <w:u w:val="single"/>
        </w:rPr>
        <w:t xml:space="preserve">Instructions for </w:t>
      </w:r>
      <w:r w:rsidR="00C66D10">
        <w:rPr>
          <w:sz w:val="24"/>
          <w:szCs w:val="32"/>
          <w:u w:val="single"/>
        </w:rPr>
        <w:t>displaying</w:t>
      </w:r>
      <w:r w:rsidR="00FA2B06" w:rsidRPr="00087639">
        <w:rPr>
          <w:sz w:val="24"/>
          <w:szCs w:val="32"/>
          <w:u w:val="single"/>
        </w:rPr>
        <w:t xml:space="preserve"> </w:t>
      </w:r>
      <w:proofErr w:type="spellStart"/>
      <w:r w:rsidRPr="00087639">
        <w:rPr>
          <w:sz w:val="24"/>
          <w:szCs w:val="32"/>
          <w:u w:val="single"/>
        </w:rPr>
        <w:t>B</w:t>
      </w:r>
      <w:r w:rsidR="00FA2B06" w:rsidRPr="00087639">
        <w:rPr>
          <w:sz w:val="24"/>
          <w:szCs w:val="32"/>
          <w:u w:val="single"/>
        </w:rPr>
        <w:t>roker</w:t>
      </w:r>
      <w:r w:rsidRPr="00087639">
        <w:rPr>
          <w:sz w:val="24"/>
          <w:szCs w:val="32"/>
          <w:u w:val="single"/>
        </w:rPr>
        <w:t>C</w:t>
      </w:r>
      <w:r w:rsidR="00FA2B06" w:rsidRPr="00087639">
        <w:rPr>
          <w:sz w:val="24"/>
          <w:szCs w:val="32"/>
          <w:u w:val="single"/>
        </w:rPr>
        <w:t>heck</w:t>
      </w:r>
      <w:proofErr w:type="spellEnd"/>
      <w:r w:rsidR="00FA2B06" w:rsidRPr="00087639">
        <w:rPr>
          <w:sz w:val="24"/>
          <w:szCs w:val="32"/>
          <w:u w:val="single"/>
        </w:rPr>
        <w:t xml:space="preserve"> </w:t>
      </w:r>
      <w:r w:rsidR="00C66D10">
        <w:rPr>
          <w:sz w:val="24"/>
          <w:szCs w:val="32"/>
          <w:u w:val="single"/>
        </w:rPr>
        <w:t>W</w:t>
      </w:r>
      <w:r w:rsidR="003F35C3">
        <w:rPr>
          <w:sz w:val="24"/>
          <w:szCs w:val="32"/>
          <w:u w:val="single"/>
        </w:rPr>
        <w:t>idget</w:t>
      </w:r>
    </w:p>
    <w:p w:rsidR="00F027C4" w:rsidRPr="00F027C4" w:rsidRDefault="00566BDB" w:rsidP="00566BDB">
      <w:pPr>
        <w:pStyle w:val="ListParagraph"/>
        <w:spacing w:after="0" w:line="240" w:lineRule="auto"/>
        <w:ind w:left="360"/>
        <w:rPr>
          <w:b/>
          <w:sz w:val="20"/>
          <w:szCs w:val="20"/>
          <w:u w:val="single"/>
        </w:rPr>
      </w:pPr>
      <w:r w:rsidRPr="00F027C4">
        <w:rPr>
          <w:b/>
          <w:sz w:val="20"/>
          <w:szCs w:val="20"/>
          <w:u w:val="single"/>
        </w:rPr>
        <w:t>Step 1</w:t>
      </w:r>
      <w:r w:rsidR="00763D42" w:rsidRPr="00F027C4">
        <w:rPr>
          <w:b/>
          <w:sz w:val="20"/>
          <w:szCs w:val="20"/>
          <w:u w:val="single"/>
        </w:rPr>
        <w:t>:</w:t>
      </w:r>
      <w:r w:rsidRPr="00F027C4">
        <w:rPr>
          <w:b/>
          <w:sz w:val="20"/>
          <w:szCs w:val="20"/>
          <w:u w:val="single"/>
        </w:rPr>
        <w:t xml:space="preserve"> </w:t>
      </w:r>
    </w:p>
    <w:p w:rsidR="00F30A34" w:rsidRPr="000F4D55" w:rsidRDefault="00F30A34" w:rsidP="00F30A34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0F4D55">
        <w:rPr>
          <w:sz w:val="18"/>
          <w:szCs w:val="18"/>
        </w:rPr>
        <w:t xml:space="preserve">Include </w:t>
      </w:r>
      <w:r w:rsidR="00566BDB" w:rsidRPr="000F4D55">
        <w:rPr>
          <w:sz w:val="18"/>
          <w:szCs w:val="18"/>
        </w:rPr>
        <w:t>(</w:t>
      </w:r>
      <w:hyperlink r:id="rId6" w:history="1">
        <w:r w:rsidR="00566BDB" w:rsidRPr="000F4D55">
          <w:rPr>
            <w:rStyle w:val="Hyperlink"/>
            <w:b/>
            <w:sz w:val="18"/>
            <w:szCs w:val="18"/>
            <w:u w:val="none"/>
          </w:rPr>
          <w:t>http://aws-cdn.finra.org/widgets/bcw/css/style.min.css</w:t>
        </w:r>
      </w:hyperlink>
      <w:r w:rsidR="00566BDB" w:rsidRPr="000F4D55">
        <w:rPr>
          <w:sz w:val="18"/>
          <w:szCs w:val="18"/>
        </w:rPr>
        <w:t xml:space="preserve">) </w:t>
      </w:r>
      <w:r w:rsidR="000F4D55" w:rsidRPr="000F4D55">
        <w:rPr>
          <w:sz w:val="18"/>
          <w:szCs w:val="18"/>
        </w:rPr>
        <w:t>file</w:t>
      </w:r>
      <w:r w:rsidRPr="000F4D55">
        <w:rPr>
          <w:sz w:val="18"/>
          <w:szCs w:val="18"/>
        </w:rPr>
        <w:t xml:space="preserve"> in the &lt;head&gt; section of the document</w:t>
      </w:r>
      <w:r w:rsidR="003D6CA9" w:rsidRPr="000F4D55">
        <w:rPr>
          <w:sz w:val="18"/>
          <w:szCs w:val="18"/>
        </w:rPr>
        <w:t xml:space="preserve"> as shown </w:t>
      </w:r>
      <w:r w:rsidR="000F4D55" w:rsidRPr="000F4D55">
        <w:rPr>
          <w:sz w:val="18"/>
          <w:szCs w:val="18"/>
        </w:rPr>
        <w:t xml:space="preserve">in the example </w:t>
      </w:r>
      <w:r w:rsidR="003D6CA9" w:rsidRPr="000F4D55">
        <w:rPr>
          <w:sz w:val="18"/>
          <w:szCs w:val="18"/>
        </w:rPr>
        <w:t>below:</w:t>
      </w:r>
    </w:p>
    <w:p w:rsidR="006B5F43" w:rsidRPr="000F4D55" w:rsidRDefault="006B5F43" w:rsidP="00F30A34">
      <w:pPr>
        <w:pStyle w:val="ListParagraph"/>
        <w:spacing w:after="0" w:line="240" w:lineRule="auto"/>
        <w:ind w:left="360"/>
        <w:rPr>
          <w:sz w:val="18"/>
          <w:szCs w:val="18"/>
          <w:u w:val="single"/>
        </w:rPr>
      </w:pPr>
    </w:p>
    <w:p w:rsidR="003D6CA9" w:rsidRPr="000F4D55" w:rsidRDefault="003D6CA9" w:rsidP="00B81185">
      <w:pPr>
        <w:spacing w:after="0" w:line="240" w:lineRule="auto"/>
        <w:ind w:firstLine="360"/>
        <w:rPr>
          <w:sz w:val="18"/>
          <w:szCs w:val="18"/>
        </w:rPr>
      </w:pPr>
      <w:r w:rsidRPr="000F4D55">
        <w:rPr>
          <w:sz w:val="18"/>
          <w:szCs w:val="18"/>
        </w:rPr>
        <w:t>&lt;</w:t>
      </w:r>
      <w:proofErr w:type="gramStart"/>
      <w:r w:rsidRPr="000F4D55">
        <w:rPr>
          <w:sz w:val="18"/>
          <w:szCs w:val="18"/>
        </w:rPr>
        <w:t>head</w:t>
      </w:r>
      <w:proofErr w:type="gramEnd"/>
      <w:r w:rsidRPr="000F4D55">
        <w:rPr>
          <w:sz w:val="18"/>
          <w:szCs w:val="18"/>
        </w:rPr>
        <w:t>&gt;</w:t>
      </w:r>
    </w:p>
    <w:p w:rsidR="003D6CA9" w:rsidRPr="000F4D55" w:rsidRDefault="003D6CA9" w:rsidP="00B81185">
      <w:pPr>
        <w:spacing w:after="0" w:line="240" w:lineRule="auto"/>
        <w:ind w:firstLine="360"/>
        <w:rPr>
          <w:sz w:val="18"/>
          <w:szCs w:val="18"/>
        </w:rPr>
      </w:pPr>
      <w:r w:rsidRPr="000F4D55">
        <w:rPr>
          <w:sz w:val="18"/>
          <w:szCs w:val="18"/>
        </w:rPr>
        <w:t>&lt;</w:t>
      </w:r>
      <w:proofErr w:type="gramStart"/>
      <w:r w:rsidRPr="000F4D55">
        <w:rPr>
          <w:sz w:val="18"/>
          <w:szCs w:val="18"/>
        </w:rPr>
        <w:t>title&gt;</w:t>
      </w:r>
      <w:proofErr w:type="gramEnd"/>
      <w:r w:rsidRPr="000F4D55">
        <w:rPr>
          <w:sz w:val="18"/>
          <w:szCs w:val="18"/>
        </w:rPr>
        <w:t>Broker Check Widget&lt;/title&gt;</w:t>
      </w:r>
    </w:p>
    <w:p w:rsidR="003D6CA9" w:rsidRPr="000F4D55" w:rsidRDefault="003D6CA9" w:rsidP="00B81185">
      <w:pPr>
        <w:spacing w:after="0" w:line="240" w:lineRule="auto"/>
        <w:ind w:firstLine="360"/>
        <w:rPr>
          <w:sz w:val="18"/>
          <w:szCs w:val="18"/>
        </w:rPr>
      </w:pPr>
      <w:r w:rsidRPr="000F4D55">
        <w:rPr>
          <w:sz w:val="18"/>
          <w:szCs w:val="18"/>
        </w:rPr>
        <w:t>&lt;</w:t>
      </w:r>
      <w:proofErr w:type="gramStart"/>
      <w:r w:rsidRPr="000F4D55">
        <w:rPr>
          <w:sz w:val="18"/>
          <w:szCs w:val="18"/>
        </w:rPr>
        <w:t>meta</w:t>
      </w:r>
      <w:proofErr w:type="gramEnd"/>
      <w:r w:rsidRPr="000F4D55">
        <w:rPr>
          <w:sz w:val="18"/>
          <w:szCs w:val="18"/>
        </w:rPr>
        <w:t xml:space="preserve"> http-</w:t>
      </w:r>
      <w:proofErr w:type="spellStart"/>
      <w:r w:rsidRPr="000F4D55">
        <w:rPr>
          <w:sz w:val="18"/>
          <w:szCs w:val="18"/>
        </w:rPr>
        <w:t>equiv</w:t>
      </w:r>
      <w:proofErr w:type="spellEnd"/>
      <w:r w:rsidRPr="000F4D55">
        <w:rPr>
          <w:sz w:val="18"/>
          <w:szCs w:val="18"/>
        </w:rPr>
        <w:t>="X-UA-Compatible" content="IE=Edge" /&gt;</w:t>
      </w:r>
    </w:p>
    <w:p w:rsidR="003D6CA9" w:rsidRPr="000F4D55" w:rsidRDefault="003D6CA9" w:rsidP="00B81185">
      <w:pPr>
        <w:spacing w:after="0" w:line="240" w:lineRule="auto"/>
        <w:ind w:firstLine="360"/>
        <w:rPr>
          <w:sz w:val="18"/>
          <w:szCs w:val="18"/>
        </w:rPr>
      </w:pPr>
      <w:r w:rsidRPr="000F4D55">
        <w:rPr>
          <w:sz w:val="18"/>
          <w:szCs w:val="18"/>
        </w:rPr>
        <w:t>&lt;</w:t>
      </w:r>
      <w:proofErr w:type="gramStart"/>
      <w:r w:rsidRPr="000F4D55">
        <w:rPr>
          <w:sz w:val="18"/>
          <w:szCs w:val="18"/>
        </w:rPr>
        <w:t>meta</w:t>
      </w:r>
      <w:proofErr w:type="gramEnd"/>
      <w:r w:rsidRPr="000F4D55">
        <w:rPr>
          <w:sz w:val="18"/>
          <w:szCs w:val="18"/>
        </w:rPr>
        <w:t xml:space="preserve"> name="viewport" content="width=device-width, initial-scale=1.0"&gt;</w:t>
      </w:r>
      <w:r w:rsidRPr="000F4D55">
        <w:rPr>
          <w:sz w:val="18"/>
          <w:szCs w:val="18"/>
        </w:rPr>
        <w:tab/>
      </w:r>
      <w:r w:rsidRPr="000F4D55">
        <w:rPr>
          <w:sz w:val="18"/>
          <w:szCs w:val="18"/>
        </w:rPr>
        <w:tab/>
      </w:r>
      <w:r w:rsidRPr="000F4D55">
        <w:rPr>
          <w:sz w:val="18"/>
          <w:szCs w:val="18"/>
        </w:rPr>
        <w:tab/>
      </w:r>
    </w:p>
    <w:p w:rsidR="003D6CA9" w:rsidRPr="000F4D55" w:rsidRDefault="003D6CA9" w:rsidP="00B81185">
      <w:pPr>
        <w:spacing w:after="0" w:line="240" w:lineRule="auto"/>
        <w:ind w:firstLine="360"/>
        <w:rPr>
          <w:sz w:val="18"/>
          <w:szCs w:val="18"/>
        </w:rPr>
      </w:pPr>
      <w:r w:rsidRPr="000F4D55">
        <w:rPr>
          <w:sz w:val="18"/>
          <w:szCs w:val="18"/>
        </w:rPr>
        <w:t>&lt;link type="text/</w:t>
      </w:r>
      <w:proofErr w:type="spellStart"/>
      <w:r w:rsidRPr="000F4D55">
        <w:rPr>
          <w:sz w:val="18"/>
          <w:szCs w:val="18"/>
        </w:rPr>
        <w:t>css</w:t>
      </w:r>
      <w:proofErr w:type="spellEnd"/>
      <w:r w:rsidRPr="000F4D55">
        <w:rPr>
          <w:sz w:val="18"/>
          <w:szCs w:val="18"/>
        </w:rPr>
        <w:t xml:space="preserve">" </w:t>
      </w:r>
      <w:proofErr w:type="spellStart"/>
      <w:r w:rsidRPr="000F4D55">
        <w:rPr>
          <w:sz w:val="18"/>
          <w:szCs w:val="18"/>
        </w:rPr>
        <w:t>rel</w:t>
      </w:r>
      <w:proofErr w:type="spellEnd"/>
      <w:r w:rsidRPr="000F4D55">
        <w:rPr>
          <w:sz w:val="18"/>
          <w:szCs w:val="18"/>
        </w:rPr>
        <w:t>="</w:t>
      </w:r>
      <w:proofErr w:type="spellStart"/>
      <w:r w:rsidRPr="000F4D55">
        <w:rPr>
          <w:sz w:val="18"/>
          <w:szCs w:val="18"/>
        </w:rPr>
        <w:t>stylesheet</w:t>
      </w:r>
      <w:proofErr w:type="spellEnd"/>
      <w:r w:rsidRPr="000F4D55">
        <w:rPr>
          <w:sz w:val="18"/>
          <w:szCs w:val="18"/>
        </w:rPr>
        <w:t xml:space="preserve">" </w:t>
      </w:r>
      <w:proofErr w:type="spellStart"/>
      <w:r w:rsidRPr="000F4D55">
        <w:rPr>
          <w:sz w:val="18"/>
          <w:szCs w:val="18"/>
        </w:rPr>
        <w:t>href</w:t>
      </w:r>
      <w:proofErr w:type="spellEnd"/>
      <w:r w:rsidRPr="000F4D55">
        <w:rPr>
          <w:sz w:val="18"/>
          <w:szCs w:val="18"/>
        </w:rPr>
        <w:t>="</w:t>
      </w:r>
      <w:hyperlink r:id="rId7" w:history="1">
        <w:r w:rsidR="00F7297E" w:rsidRPr="000F4D55">
          <w:rPr>
            <w:rStyle w:val="Hyperlink"/>
            <w:sz w:val="18"/>
            <w:szCs w:val="18"/>
            <w:highlight w:val="yellow"/>
          </w:rPr>
          <w:t>http://aws-cdn.finra.org/widgets/bcw/css/style.min.css</w:t>
        </w:r>
      </w:hyperlink>
      <w:r w:rsidRPr="000F4D55">
        <w:rPr>
          <w:sz w:val="18"/>
          <w:szCs w:val="18"/>
        </w:rPr>
        <w:t>"&gt;</w:t>
      </w:r>
      <w:r w:rsidRPr="000F4D55">
        <w:rPr>
          <w:sz w:val="18"/>
          <w:szCs w:val="18"/>
        </w:rPr>
        <w:tab/>
      </w:r>
    </w:p>
    <w:p w:rsidR="003D6CA9" w:rsidRPr="00B81185" w:rsidRDefault="003D6CA9" w:rsidP="00B81185">
      <w:pPr>
        <w:spacing w:after="0" w:line="240" w:lineRule="auto"/>
        <w:ind w:firstLine="360"/>
        <w:rPr>
          <w:sz w:val="18"/>
          <w:szCs w:val="18"/>
        </w:rPr>
      </w:pPr>
      <w:r w:rsidRPr="000F4D55">
        <w:rPr>
          <w:sz w:val="18"/>
          <w:szCs w:val="18"/>
        </w:rPr>
        <w:t>&lt;/head&gt;</w:t>
      </w:r>
      <w:r w:rsidRPr="000F4D55">
        <w:rPr>
          <w:sz w:val="18"/>
          <w:szCs w:val="18"/>
        </w:rPr>
        <w:cr/>
      </w:r>
    </w:p>
    <w:p w:rsidR="00F027C4" w:rsidRPr="00F027C4" w:rsidRDefault="00566BDB" w:rsidP="00566BDB">
      <w:pPr>
        <w:pStyle w:val="ListParagraph"/>
        <w:spacing w:after="0" w:line="240" w:lineRule="auto"/>
        <w:ind w:left="360"/>
        <w:rPr>
          <w:b/>
          <w:sz w:val="20"/>
          <w:szCs w:val="20"/>
          <w:u w:val="single"/>
        </w:rPr>
      </w:pPr>
      <w:r w:rsidRPr="00F027C4">
        <w:rPr>
          <w:b/>
          <w:sz w:val="20"/>
          <w:szCs w:val="20"/>
          <w:u w:val="single"/>
        </w:rPr>
        <w:t xml:space="preserve">Step 2: </w:t>
      </w:r>
    </w:p>
    <w:p w:rsidR="00F30A34" w:rsidRPr="000F4D55" w:rsidRDefault="00566BDB" w:rsidP="001E3851">
      <w:pPr>
        <w:spacing w:after="0" w:line="240" w:lineRule="auto"/>
        <w:ind w:left="360"/>
        <w:rPr>
          <w:sz w:val="18"/>
          <w:szCs w:val="18"/>
          <w:u w:val="single"/>
        </w:rPr>
      </w:pPr>
      <w:r w:rsidRPr="000F4D55">
        <w:rPr>
          <w:sz w:val="18"/>
          <w:szCs w:val="18"/>
        </w:rPr>
        <w:t>Include (</w:t>
      </w:r>
      <w:hyperlink r:id="rId8" w:history="1">
        <w:r w:rsidRPr="000F4D55">
          <w:rPr>
            <w:rStyle w:val="Hyperlink"/>
            <w:b/>
            <w:sz w:val="18"/>
            <w:szCs w:val="18"/>
            <w:u w:val="none"/>
          </w:rPr>
          <w:t>http://aws-cdn.finra.org/widgets/bcw/js/jquery.finra.static.min.js</w:t>
        </w:r>
      </w:hyperlink>
      <w:r w:rsidRPr="000F4D55">
        <w:rPr>
          <w:sz w:val="18"/>
          <w:szCs w:val="18"/>
        </w:rPr>
        <w:t>) and (</w:t>
      </w:r>
      <w:hyperlink r:id="rId9" w:history="1">
        <w:r w:rsidRPr="000F4D55">
          <w:rPr>
            <w:rStyle w:val="Hyperlink"/>
            <w:rFonts w:cs="Arial"/>
            <w:sz w:val="18"/>
            <w:szCs w:val="18"/>
            <w:u w:val="none"/>
          </w:rPr>
          <w:t>http://aws-cdn.finra.org/widgets/bcw/js/</w:t>
        </w:r>
        <w:r w:rsidRPr="000F4D55">
          <w:rPr>
            <w:rStyle w:val="Hyperlink"/>
            <w:rFonts w:cs="Arial"/>
            <w:b/>
            <w:sz w:val="18"/>
            <w:szCs w:val="18"/>
            <w:u w:val="none"/>
          </w:rPr>
          <w:t>jquery.finra.bcwidget.min.js</w:t>
        </w:r>
      </w:hyperlink>
      <w:r w:rsidR="000F4D55" w:rsidRPr="000F4D55">
        <w:rPr>
          <w:sz w:val="18"/>
          <w:szCs w:val="18"/>
        </w:rPr>
        <w:t xml:space="preserve">) </w:t>
      </w:r>
      <w:r w:rsidR="00AD01AE" w:rsidRPr="000F4D55">
        <w:rPr>
          <w:sz w:val="18"/>
          <w:szCs w:val="18"/>
        </w:rPr>
        <w:t xml:space="preserve">files </w:t>
      </w:r>
      <w:r w:rsidR="00F30A34" w:rsidRPr="000F4D55">
        <w:rPr>
          <w:sz w:val="18"/>
          <w:szCs w:val="18"/>
        </w:rPr>
        <w:t>just before the end of body tag</w:t>
      </w:r>
      <w:r w:rsidR="00AD01AE" w:rsidRPr="000F4D55">
        <w:rPr>
          <w:sz w:val="18"/>
          <w:szCs w:val="18"/>
        </w:rPr>
        <w:t xml:space="preserve"> as shown</w:t>
      </w:r>
      <w:r w:rsidR="000F4D55" w:rsidRPr="000F4D55">
        <w:rPr>
          <w:sz w:val="18"/>
          <w:szCs w:val="18"/>
        </w:rPr>
        <w:t xml:space="preserve"> in the example</w:t>
      </w:r>
      <w:r w:rsidR="001E3851">
        <w:rPr>
          <w:sz w:val="18"/>
          <w:szCs w:val="18"/>
        </w:rPr>
        <w:t xml:space="preserve"> below. Also include the function call shown below in yellow highlight.</w:t>
      </w:r>
    </w:p>
    <w:p w:rsidR="006A2E1E" w:rsidRPr="000F4D55" w:rsidRDefault="006A2E1E" w:rsidP="00C26309">
      <w:pPr>
        <w:spacing w:after="0" w:line="240" w:lineRule="auto"/>
        <w:ind w:left="360"/>
        <w:rPr>
          <w:sz w:val="18"/>
          <w:szCs w:val="18"/>
        </w:rPr>
      </w:pPr>
    </w:p>
    <w:p w:rsidR="00090B50" w:rsidRPr="000F4D55" w:rsidRDefault="00AE5156" w:rsidP="00B81185">
      <w:pPr>
        <w:spacing w:after="0" w:line="240" w:lineRule="auto"/>
        <w:ind w:firstLine="360"/>
        <w:rPr>
          <w:sz w:val="18"/>
          <w:szCs w:val="18"/>
        </w:rPr>
      </w:pPr>
      <w:r w:rsidRPr="000F4D55">
        <w:rPr>
          <w:sz w:val="18"/>
          <w:szCs w:val="18"/>
        </w:rPr>
        <w:t>&lt;script src="</w:t>
      </w:r>
      <w:r w:rsidR="00EE4242" w:rsidRPr="000F4D55">
        <w:rPr>
          <w:sz w:val="18"/>
          <w:szCs w:val="18"/>
          <w:highlight w:val="yellow"/>
        </w:rPr>
        <w:t>http://aws-cdn.finra.org/widgets/bcw/</w:t>
      </w:r>
      <w:r w:rsidR="00090B50" w:rsidRPr="000F4D55">
        <w:rPr>
          <w:sz w:val="18"/>
          <w:szCs w:val="18"/>
          <w:highlight w:val="yellow"/>
        </w:rPr>
        <w:t>js/jquery.finra.static.min.js</w:t>
      </w:r>
      <w:proofErr w:type="gramStart"/>
      <w:r w:rsidR="00090B50" w:rsidRPr="000F4D55">
        <w:rPr>
          <w:sz w:val="18"/>
          <w:szCs w:val="18"/>
        </w:rPr>
        <w:t>"  type</w:t>
      </w:r>
      <w:proofErr w:type="gramEnd"/>
      <w:r w:rsidR="00090B50" w:rsidRPr="000F4D55">
        <w:rPr>
          <w:sz w:val="18"/>
          <w:szCs w:val="18"/>
        </w:rPr>
        <w:t>="text/</w:t>
      </w:r>
      <w:proofErr w:type="spellStart"/>
      <w:r w:rsidR="00090B50" w:rsidRPr="000F4D55">
        <w:rPr>
          <w:sz w:val="18"/>
          <w:szCs w:val="18"/>
        </w:rPr>
        <w:t>javascript</w:t>
      </w:r>
      <w:proofErr w:type="spellEnd"/>
      <w:r w:rsidR="00090B50" w:rsidRPr="000F4D55">
        <w:rPr>
          <w:sz w:val="18"/>
          <w:szCs w:val="18"/>
        </w:rPr>
        <w:t>"&gt;&lt;/script&gt;</w:t>
      </w:r>
      <w:r w:rsidR="00090B50" w:rsidRPr="000F4D55">
        <w:rPr>
          <w:sz w:val="18"/>
          <w:szCs w:val="18"/>
        </w:rPr>
        <w:tab/>
      </w:r>
    </w:p>
    <w:p w:rsidR="00090B50" w:rsidRPr="000F4D55" w:rsidRDefault="00090B50" w:rsidP="00B81185">
      <w:pPr>
        <w:spacing w:after="0" w:line="240" w:lineRule="auto"/>
        <w:ind w:firstLine="360"/>
        <w:rPr>
          <w:sz w:val="18"/>
          <w:szCs w:val="18"/>
        </w:rPr>
      </w:pPr>
      <w:r w:rsidRPr="000F4D55">
        <w:rPr>
          <w:sz w:val="18"/>
          <w:szCs w:val="18"/>
        </w:rPr>
        <w:t>&lt;script type="text/</w:t>
      </w:r>
      <w:proofErr w:type="spellStart"/>
      <w:r w:rsidRPr="000F4D55">
        <w:rPr>
          <w:sz w:val="18"/>
          <w:szCs w:val="18"/>
        </w:rPr>
        <w:t>javascript</w:t>
      </w:r>
      <w:proofErr w:type="spellEnd"/>
      <w:r w:rsidRPr="000F4D55">
        <w:rPr>
          <w:sz w:val="18"/>
          <w:szCs w:val="18"/>
        </w:rPr>
        <w:t>"&gt;</w:t>
      </w:r>
      <w:proofErr w:type="spellStart"/>
      <w:r w:rsidRPr="001E3851">
        <w:rPr>
          <w:sz w:val="18"/>
          <w:szCs w:val="18"/>
          <w:highlight w:val="yellow"/>
        </w:rPr>
        <w:t>var</w:t>
      </w:r>
      <w:proofErr w:type="spellEnd"/>
      <w:r w:rsidRPr="001E3851">
        <w:rPr>
          <w:sz w:val="18"/>
          <w:szCs w:val="18"/>
          <w:highlight w:val="yellow"/>
        </w:rPr>
        <w:t xml:space="preserve"> j171 = </w:t>
      </w:r>
      <w:proofErr w:type="spellStart"/>
      <w:proofErr w:type="gramStart"/>
      <w:r w:rsidRPr="001E3851">
        <w:rPr>
          <w:sz w:val="18"/>
          <w:szCs w:val="18"/>
          <w:highlight w:val="yellow"/>
        </w:rPr>
        <w:t>jQuery.noConflict</w:t>
      </w:r>
      <w:proofErr w:type="spellEnd"/>
      <w:r w:rsidRPr="001E3851">
        <w:rPr>
          <w:sz w:val="18"/>
          <w:szCs w:val="18"/>
          <w:highlight w:val="yellow"/>
        </w:rPr>
        <w:t>(</w:t>
      </w:r>
      <w:proofErr w:type="gramEnd"/>
      <w:r w:rsidRPr="001E3851">
        <w:rPr>
          <w:sz w:val="18"/>
          <w:szCs w:val="18"/>
          <w:highlight w:val="yellow"/>
        </w:rPr>
        <w:t>);&lt;/</w:t>
      </w:r>
      <w:r w:rsidRPr="000F4D55">
        <w:rPr>
          <w:sz w:val="18"/>
          <w:szCs w:val="18"/>
        </w:rPr>
        <w:t xml:space="preserve">script&gt; </w:t>
      </w:r>
      <w:r w:rsidRPr="000F4D55">
        <w:rPr>
          <w:sz w:val="18"/>
          <w:szCs w:val="18"/>
        </w:rPr>
        <w:tab/>
      </w:r>
      <w:r w:rsidRPr="000F4D55">
        <w:rPr>
          <w:sz w:val="18"/>
          <w:szCs w:val="18"/>
        </w:rPr>
        <w:tab/>
      </w:r>
      <w:r w:rsidRPr="000F4D55">
        <w:rPr>
          <w:sz w:val="18"/>
          <w:szCs w:val="18"/>
        </w:rPr>
        <w:tab/>
      </w:r>
    </w:p>
    <w:p w:rsidR="00AD01AE" w:rsidRPr="000F4D55" w:rsidRDefault="00090B50" w:rsidP="00C14F7D">
      <w:pPr>
        <w:spacing w:after="0" w:line="240" w:lineRule="auto"/>
        <w:ind w:firstLine="360"/>
        <w:rPr>
          <w:sz w:val="18"/>
          <w:szCs w:val="18"/>
        </w:rPr>
      </w:pPr>
      <w:r w:rsidRPr="000F4D55">
        <w:rPr>
          <w:sz w:val="18"/>
          <w:szCs w:val="18"/>
        </w:rPr>
        <w:t>&lt;script src="</w:t>
      </w:r>
      <w:r w:rsidR="00EE4242" w:rsidRPr="000F4D55">
        <w:rPr>
          <w:sz w:val="18"/>
          <w:szCs w:val="18"/>
          <w:highlight w:val="yellow"/>
        </w:rPr>
        <w:t>http://aws-cdn.finra.org/widgets/bcw/js/</w:t>
      </w:r>
      <w:r w:rsidRPr="000F4D55">
        <w:rPr>
          <w:sz w:val="18"/>
          <w:szCs w:val="18"/>
          <w:highlight w:val="yellow"/>
        </w:rPr>
        <w:t>jquery.finra.bcwidget.min.js</w:t>
      </w:r>
      <w:r w:rsidR="00C56598" w:rsidRPr="000F4D55">
        <w:rPr>
          <w:sz w:val="18"/>
          <w:szCs w:val="18"/>
        </w:rPr>
        <w:t>"</w:t>
      </w:r>
      <w:bookmarkStart w:id="0" w:name="_GoBack"/>
      <w:bookmarkEnd w:id="0"/>
      <w:r w:rsidR="00F4512F" w:rsidRPr="000F4D55">
        <w:rPr>
          <w:sz w:val="18"/>
          <w:szCs w:val="18"/>
        </w:rPr>
        <w:t xml:space="preserve"> type</w:t>
      </w:r>
      <w:r w:rsidRPr="000F4D55">
        <w:rPr>
          <w:sz w:val="18"/>
          <w:szCs w:val="18"/>
        </w:rPr>
        <w:t>="text/</w:t>
      </w:r>
      <w:proofErr w:type="spellStart"/>
      <w:r w:rsidRPr="000F4D55">
        <w:rPr>
          <w:sz w:val="18"/>
          <w:szCs w:val="18"/>
        </w:rPr>
        <w:t>javascript</w:t>
      </w:r>
      <w:proofErr w:type="spellEnd"/>
      <w:r w:rsidRPr="000F4D55">
        <w:rPr>
          <w:sz w:val="18"/>
          <w:szCs w:val="18"/>
        </w:rPr>
        <w:t>"&gt;&lt;/script&gt;</w:t>
      </w:r>
    </w:p>
    <w:p w:rsidR="00AD01AE" w:rsidRPr="000F4D55" w:rsidRDefault="00AD01AE" w:rsidP="00AD01AE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0F4D55">
        <w:rPr>
          <w:sz w:val="18"/>
          <w:szCs w:val="18"/>
        </w:rPr>
        <w:t>&lt;</w:t>
      </w:r>
      <w:proofErr w:type="gramStart"/>
      <w:r w:rsidRPr="000F4D55">
        <w:rPr>
          <w:sz w:val="18"/>
          <w:szCs w:val="18"/>
        </w:rPr>
        <w:t>script</w:t>
      </w:r>
      <w:proofErr w:type="gramEnd"/>
      <w:r w:rsidRPr="000F4D55">
        <w:rPr>
          <w:sz w:val="18"/>
          <w:szCs w:val="18"/>
        </w:rPr>
        <w:t>&gt;</w:t>
      </w:r>
      <w:r w:rsidR="00090B50" w:rsidRPr="000F4D55">
        <w:rPr>
          <w:sz w:val="18"/>
          <w:szCs w:val="18"/>
        </w:rPr>
        <w:tab/>
      </w:r>
      <w:r w:rsidR="00090B50" w:rsidRPr="000F4D55">
        <w:rPr>
          <w:sz w:val="18"/>
          <w:szCs w:val="18"/>
        </w:rPr>
        <w:tab/>
      </w:r>
    </w:p>
    <w:p w:rsidR="00AD01AE" w:rsidRPr="000F4D55" w:rsidRDefault="00AD01AE" w:rsidP="00AD01AE">
      <w:pPr>
        <w:pStyle w:val="ListParagraph"/>
        <w:spacing w:after="0" w:line="240" w:lineRule="auto"/>
        <w:ind w:left="360"/>
        <w:rPr>
          <w:sz w:val="18"/>
          <w:szCs w:val="18"/>
          <w:highlight w:val="yellow"/>
        </w:rPr>
      </w:pPr>
      <w:r w:rsidRPr="000F4D55">
        <w:rPr>
          <w:sz w:val="18"/>
          <w:szCs w:val="18"/>
          <w:highlight w:val="yellow"/>
        </w:rPr>
        <w:t>(</w:t>
      </w:r>
      <w:proofErr w:type="gramStart"/>
      <w:r w:rsidRPr="000F4D55">
        <w:rPr>
          <w:sz w:val="18"/>
          <w:szCs w:val="18"/>
          <w:highlight w:val="yellow"/>
        </w:rPr>
        <w:t>function(</w:t>
      </w:r>
      <w:proofErr w:type="gramEnd"/>
      <w:r w:rsidRPr="000F4D55">
        <w:rPr>
          <w:sz w:val="18"/>
          <w:szCs w:val="18"/>
          <w:highlight w:val="yellow"/>
        </w:rPr>
        <w:t xml:space="preserve"> j171 ) {</w:t>
      </w:r>
      <w:r w:rsidRPr="000F4D55">
        <w:rPr>
          <w:sz w:val="18"/>
          <w:szCs w:val="18"/>
          <w:highlight w:val="yellow"/>
        </w:rPr>
        <w:tab/>
      </w:r>
    </w:p>
    <w:p w:rsidR="00AD01AE" w:rsidRPr="000F4D55" w:rsidRDefault="00AD01AE" w:rsidP="00AD01AE">
      <w:pPr>
        <w:pStyle w:val="ListParagraph"/>
        <w:spacing w:after="0" w:line="240" w:lineRule="auto"/>
        <w:ind w:left="360"/>
        <w:rPr>
          <w:sz w:val="18"/>
          <w:szCs w:val="18"/>
          <w:highlight w:val="yellow"/>
        </w:rPr>
      </w:pPr>
      <w:r w:rsidRPr="000F4D55">
        <w:rPr>
          <w:sz w:val="18"/>
          <w:szCs w:val="18"/>
          <w:highlight w:val="yellow"/>
        </w:rPr>
        <w:tab/>
      </w:r>
      <w:r w:rsidRPr="000F4D55">
        <w:rPr>
          <w:sz w:val="18"/>
          <w:szCs w:val="18"/>
          <w:highlight w:val="yellow"/>
        </w:rPr>
        <w:tab/>
      </w:r>
      <w:proofErr w:type="gramStart"/>
      <w:r w:rsidRPr="000F4D55">
        <w:rPr>
          <w:sz w:val="18"/>
          <w:szCs w:val="18"/>
          <w:highlight w:val="yellow"/>
        </w:rPr>
        <w:t>j171(</w:t>
      </w:r>
      <w:proofErr w:type="gramEnd"/>
      <w:r w:rsidRPr="000F4D55">
        <w:rPr>
          <w:sz w:val="18"/>
          <w:szCs w:val="18"/>
          <w:highlight w:val="yellow"/>
        </w:rPr>
        <w:t>"</w:t>
      </w:r>
      <w:r w:rsidR="00633496" w:rsidRPr="000F4D55">
        <w:rPr>
          <w:sz w:val="18"/>
          <w:szCs w:val="18"/>
          <w:highlight w:val="yellow"/>
        </w:rPr>
        <w:t>.</w:t>
      </w:r>
      <w:r w:rsidRPr="000F4D55">
        <w:rPr>
          <w:sz w:val="18"/>
          <w:szCs w:val="18"/>
          <w:highlight w:val="yellow"/>
        </w:rPr>
        <w:t>add-</w:t>
      </w:r>
      <w:proofErr w:type="spellStart"/>
      <w:r w:rsidRPr="000F4D55">
        <w:rPr>
          <w:sz w:val="18"/>
          <w:szCs w:val="18"/>
          <w:highlight w:val="yellow"/>
        </w:rPr>
        <w:t>finra</w:t>
      </w:r>
      <w:proofErr w:type="spellEnd"/>
      <w:r w:rsidRPr="000F4D55">
        <w:rPr>
          <w:sz w:val="18"/>
          <w:szCs w:val="18"/>
          <w:highlight w:val="yellow"/>
        </w:rPr>
        <w:t>-</w:t>
      </w:r>
      <w:proofErr w:type="spellStart"/>
      <w:r w:rsidRPr="000F4D55">
        <w:rPr>
          <w:sz w:val="18"/>
          <w:szCs w:val="18"/>
          <w:highlight w:val="yellow"/>
        </w:rPr>
        <w:t>bc</w:t>
      </w:r>
      <w:proofErr w:type="spellEnd"/>
      <w:r w:rsidRPr="000F4D55">
        <w:rPr>
          <w:sz w:val="18"/>
          <w:szCs w:val="18"/>
          <w:highlight w:val="yellow"/>
        </w:rPr>
        <w:t>-widget").</w:t>
      </w:r>
      <w:proofErr w:type="spellStart"/>
      <w:r w:rsidRPr="000F4D55">
        <w:rPr>
          <w:sz w:val="18"/>
          <w:szCs w:val="18"/>
          <w:highlight w:val="yellow"/>
        </w:rPr>
        <w:t>BCWidget</w:t>
      </w:r>
      <w:proofErr w:type="spellEnd"/>
      <w:r w:rsidRPr="000F4D55">
        <w:rPr>
          <w:sz w:val="18"/>
          <w:szCs w:val="18"/>
          <w:highlight w:val="yellow"/>
        </w:rPr>
        <w:t xml:space="preserve">(); </w:t>
      </w:r>
    </w:p>
    <w:p w:rsidR="00AD01AE" w:rsidRPr="000F4D55" w:rsidRDefault="00AD01AE" w:rsidP="00AD01AE">
      <w:pPr>
        <w:pStyle w:val="ListParagraph"/>
        <w:spacing w:after="0" w:line="240" w:lineRule="auto"/>
        <w:ind w:left="360"/>
        <w:rPr>
          <w:sz w:val="18"/>
          <w:szCs w:val="18"/>
        </w:rPr>
      </w:pPr>
      <w:proofErr w:type="gramStart"/>
      <w:r w:rsidRPr="000F4D55">
        <w:rPr>
          <w:sz w:val="18"/>
          <w:szCs w:val="18"/>
          <w:highlight w:val="yellow"/>
        </w:rPr>
        <w:t>})(</w:t>
      </w:r>
      <w:proofErr w:type="gramEnd"/>
      <w:r w:rsidRPr="000F4D55">
        <w:rPr>
          <w:sz w:val="18"/>
          <w:szCs w:val="18"/>
          <w:highlight w:val="yellow"/>
        </w:rPr>
        <w:t xml:space="preserve"> jQuery );</w:t>
      </w:r>
    </w:p>
    <w:p w:rsidR="00AD01AE" w:rsidRPr="000F4D55" w:rsidRDefault="00AD01AE" w:rsidP="00AD01AE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0F4D55">
        <w:rPr>
          <w:sz w:val="18"/>
          <w:szCs w:val="18"/>
        </w:rPr>
        <w:t>&lt;/script&gt;</w:t>
      </w:r>
    </w:p>
    <w:p w:rsidR="00761FE3" w:rsidRPr="000F4D55" w:rsidRDefault="000B0849" w:rsidP="00CB56FA">
      <w:pPr>
        <w:spacing w:after="0" w:line="240" w:lineRule="auto"/>
        <w:ind w:firstLine="360"/>
        <w:rPr>
          <w:sz w:val="18"/>
          <w:szCs w:val="18"/>
        </w:rPr>
      </w:pPr>
      <w:r w:rsidRPr="000F4D55">
        <w:rPr>
          <w:sz w:val="18"/>
          <w:szCs w:val="18"/>
        </w:rPr>
        <w:t xml:space="preserve">&lt;/body&gt; </w:t>
      </w:r>
      <w:r w:rsidRPr="000F4D55">
        <w:rPr>
          <w:sz w:val="18"/>
          <w:szCs w:val="18"/>
        </w:rPr>
        <w:tab/>
        <w:t>//end of body tag</w:t>
      </w:r>
    </w:p>
    <w:p w:rsidR="00761FE3" w:rsidRPr="000F4D55" w:rsidRDefault="00761FE3" w:rsidP="00F57151">
      <w:pPr>
        <w:spacing w:after="0" w:line="240" w:lineRule="auto"/>
        <w:ind w:left="360" w:firstLine="360"/>
        <w:rPr>
          <w:sz w:val="18"/>
          <w:szCs w:val="18"/>
        </w:rPr>
      </w:pPr>
    </w:p>
    <w:p w:rsidR="00F027C4" w:rsidRDefault="00566BDB" w:rsidP="00566BDB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027C4">
        <w:rPr>
          <w:b/>
          <w:sz w:val="20"/>
          <w:szCs w:val="20"/>
          <w:u w:val="single"/>
        </w:rPr>
        <w:t>Step 3:</w:t>
      </w:r>
      <w:r w:rsidRPr="00566BDB">
        <w:rPr>
          <w:sz w:val="20"/>
          <w:szCs w:val="20"/>
        </w:rPr>
        <w:t xml:space="preserve"> </w:t>
      </w:r>
    </w:p>
    <w:p w:rsidR="003926B4" w:rsidRPr="000F4D55" w:rsidRDefault="00566BDB" w:rsidP="00F027C4">
      <w:pPr>
        <w:pStyle w:val="ListParagraph"/>
        <w:spacing w:after="0" w:line="240" w:lineRule="auto"/>
        <w:ind w:left="360"/>
        <w:rPr>
          <w:sz w:val="18"/>
          <w:szCs w:val="18"/>
        </w:rPr>
      </w:pPr>
      <w:r w:rsidRPr="000F4D55">
        <w:rPr>
          <w:sz w:val="18"/>
          <w:szCs w:val="18"/>
        </w:rPr>
        <w:t>Placement of Widget</w:t>
      </w:r>
      <w:r w:rsidR="00F027C4" w:rsidRPr="000F4D55">
        <w:rPr>
          <w:sz w:val="18"/>
          <w:szCs w:val="18"/>
        </w:rPr>
        <w:t xml:space="preserve">: </w:t>
      </w:r>
      <w:r w:rsidR="00713A46" w:rsidRPr="000F4D55">
        <w:rPr>
          <w:sz w:val="18"/>
          <w:szCs w:val="18"/>
        </w:rPr>
        <w:t xml:space="preserve">Include the following DIV structure in the section of the page where the </w:t>
      </w:r>
      <w:proofErr w:type="spellStart"/>
      <w:r w:rsidR="00713A46" w:rsidRPr="000F4D55">
        <w:rPr>
          <w:sz w:val="18"/>
          <w:szCs w:val="18"/>
        </w:rPr>
        <w:t>BrokerChe</w:t>
      </w:r>
      <w:r w:rsidRPr="000F4D55">
        <w:rPr>
          <w:sz w:val="18"/>
          <w:szCs w:val="18"/>
        </w:rPr>
        <w:t>ck</w:t>
      </w:r>
      <w:proofErr w:type="spellEnd"/>
      <w:r w:rsidRPr="000F4D55">
        <w:rPr>
          <w:sz w:val="18"/>
          <w:szCs w:val="18"/>
        </w:rPr>
        <w:t xml:space="preserve"> Widget needs to be displayed (</w:t>
      </w:r>
      <w:r w:rsidR="00713A46" w:rsidRPr="000F4D55">
        <w:rPr>
          <w:sz w:val="18"/>
          <w:szCs w:val="18"/>
        </w:rPr>
        <w:t>ideally in right or left column</w:t>
      </w:r>
      <w:r w:rsidRPr="000F4D55">
        <w:rPr>
          <w:sz w:val="18"/>
          <w:szCs w:val="18"/>
        </w:rPr>
        <w:t>)</w:t>
      </w:r>
      <w:r w:rsidR="00713A46" w:rsidRPr="000F4D55">
        <w:rPr>
          <w:sz w:val="18"/>
          <w:szCs w:val="18"/>
        </w:rPr>
        <w:t>.</w:t>
      </w:r>
    </w:p>
    <w:p w:rsidR="00C75F80" w:rsidRPr="000F4D55" w:rsidRDefault="00C75F80" w:rsidP="00C26309">
      <w:pPr>
        <w:spacing w:after="0" w:line="240" w:lineRule="auto"/>
        <w:ind w:left="360"/>
        <w:rPr>
          <w:sz w:val="18"/>
          <w:szCs w:val="18"/>
        </w:rPr>
      </w:pPr>
    </w:p>
    <w:p w:rsidR="00AF7F53" w:rsidRPr="000F4D55" w:rsidRDefault="00AF7F53" w:rsidP="00AF7F53">
      <w:pPr>
        <w:spacing w:after="0" w:line="240" w:lineRule="auto"/>
        <w:ind w:left="360"/>
        <w:rPr>
          <w:sz w:val="18"/>
          <w:szCs w:val="18"/>
          <w:highlight w:val="yellow"/>
        </w:rPr>
      </w:pPr>
      <w:r w:rsidRPr="000F4D55">
        <w:rPr>
          <w:sz w:val="18"/>
          <w:szCs w:val="18"/>
          <w:highlight w:val="yellow"/>
        </w:rPr>
        <w:t>&lt;div class="</w:t>
      </w:r>
      <w:proofErr w:type="spellStart"/>
      <w:r w:rsidRPr="000F4D55">
        <w:rPr>
          <w:sz w:val="18"/>
          <w:szCs w:val="18"/>
          <w:highlight w:val="yellow"/>
        </w:rPr>
        <w:t>bcwidgetCover</w:t>
      </w:r>
      <w:proofErr w:type="spellEnd"/>
      <w:r w:rsidRPr="000F4D55">
        <w:rPr>
          <w:sz w:val="18"/>
          <w:szCs w:val="18"/>
          <w:highlight w:val="yellow"/>
        </w:rPr>
        <w:t>"&gt;</w:t>
      </w:r>
      <w:r w:rsidRPr="000F4D55">
        <w:rPr>
          <w:sz w:val="18"/>
          <w:szCs w:val="18"/>
          <w:highlight w:val="yellow"/>
        </w:rPr>
        <w:tab/>
      </w:r>
    </w:p>
    <w:p w:rsidR="00AF7F53" w:rsidRPr="000F4D55" w:rsidRDefault="00AF7F53" w:rsidP="00AF7F53">
      <w:pPr>
        <w:spacing w:after="0" w:line="240" w:lineRule="auto"/>
        <w:ind w:left="360" w:firstLine="360"/>
        <w:rPr>
          <w:sz w:val="18"/>
          <w:szCs w:val="18"/>
          <w:highlight w:val="yellow"/>
        </w:rPr>
      </w:pPr>
      <w:r w:rsidRPr="000F4D55">
        <w:rPr>
          <w:sz w:val="18"/>
          <w:szCs w:val="18"/>
          <w:highlight w:val="yellow"/>
        </w:rPr>
        <w:t>&lt;div class="add-</w:t>
      </w:r>
      <w:proofErr w:type="spellStart"/>
      <w:r w:rsidRPr="000F4D55">
        <w:rPr>
          <w:sz w:val="18"/>
          <w:szCs w:val="18"/>
          <w:highlight w:val="yellow"/>
        </w:rPr>
        <w:t>finra</w:t>
      </w:r>
      <w:proofErr w:type="spellEnd"/>
      <w:r w:rsidRPr="000F4D55">
        <w:rPr>
          <w:sz w:val="18"/>
          <w:szCs w:val="18"/>
          <w:highlight w:val="yellow"/>
        </w:rPr>
        <w:t>-</w:t>
      </w:r>
      <w:proofErr w:type="spellStart"/>
      <w:r w:rsidRPr="000F4D55">
        <w:rPr>
          <w:sz w:val="18"/>
          <w:szCs w:val="18"/>
          <w:highlight w:val="yellow"/>
        </w:rPr>
        <w:t>bc</w:t>
      </w:r>
      <w:proofErr w:type="spellEnd"/>
      <w:r w:rsidRPr="000F4D55">
        <w:rPr>
          <w:sz w:val="18"/>
          <w:szCs w:val="18"/>
          <w:highlight w:val="yellow"/>
        </w:rPr>
        <w:t>-widget"&gt;&lt;/div&gt;</w:t>
      </w:r>
      <w:r w:rsidRPr="000F4D55">
        <w:rPr>
          <w:sz w:val="18"/>
          <w:szCs w:val="18"/>
          <w:highlight w:val="yellow"/>
        </w:rPr>
        <w:tab/>
      </w:r>
    </w:p>
    <w:p w:rsidR="003C7242" w:rsidRPr="000F4D55" w:rsidRDefault="00CC26F5" w:rsidP="00AF7F53">
      <w:pPr>
        <w:spacing w:after="0" w:line="240" w:lineRule="auto"/>
        <w:ind w:left="360"/>
        <w:rPr>
          <w:sz w:val="18"/>
          <w:szCs w:val="18"/>
        </w:rPr>
      </w:pPr>
      <w:r w:rsidRPr="000F4D55">
        <w:rPr>
          <w:sz w:val="18"/>
          <w:szCs w:val="18"/>
          <w:highlight w:val="yellow"/>
        </w:rPr>
        <w:t>&lt;/div&gt;</w:t>
      </w:r>
    </w:p>
    <w:p w:rsidR="003C309F" w:rsidRPr="000F4D55" w:rsidRDefault="003C309F" w:rsidP="00AF7F53">
      <w:pPr>
        <w:spacing w:after="0" w:line="240" w:lineRule="auto"/>
        <w:ind w:left="360"/>
        <w:rPr>
          <w:sz w:val="18"/>
          <w:szCs w:val="18"/>
        </w:rPr>
      </w:pPr>
    </w:p>
    <w:p w:rsidR="003C309F" w:rsidRPr="000F4D55" w:rsidRDefault="001E3851" w:rsidP="00713A46">
      <w:pPr>
        <w:spacing w:after="0" w:line="240" w:lineRule="auto"/>
        <w:ind w:left="360"/>
        <w:rPr>
          <w:sz w:val="18"/>
          <w:szCs w:val="18"/>
        </w:rPr>
      </w:pPr>
      <w:r>
        <w:rPr>
          <w:sz w:val="18"/>
          <w:szCs w:val="18"/>
          <w:u w:val="single"/>
        </w:rPr>
        <w:t>Note</w:t>
      </w:r>
      <w:r w:rsidR="00713A46" w:rsidRPr="000F4D55">
        <w:rPr>
          <w:sz w:val="18"/>
          <w:szCs w:val="18"/>
          <w:u w:val="single"/>
        </w:rPr>
        <w:t>:</w:t>
      </w:r>
      <w:r w:rsidR="00713A46" w:rsidRPr="000F4D55">
        <w:rPr>
          <w:sz w:val="18"/>
          <w:szCs w:val="18"/>
        </w:rPr>
        <w:t xml:space="preserve"> The broker check widget takes the width of the container DIV. </w:t>
      </w:r>
      <w:r w:rsidR="00A9400C" w:rsidRPr="000F4D55">
        <w:rPr>
          <w:sz w:val="18"/>
          <w:szCs w:val="18"/>
        </w:rPr>
        <w:t>The width of the container can go up</w:t>
      </w:r>
      <w:r w:rsidR="00B448D8" w:rsidRPr="000F4D55">
        <w:rPr>
          <w:sz w:val="18"/>
          <w:szCs w:val="18"/>
        </w:rPr>
        <w:t xml:space="preserve"> </w:t>
      </w:r>
      <w:r w:rsidR="00F42C1E" w:rsidRPr="000F4D55">
        <w:rPr>
          <w:sz w:val="18"/>
          <w:szCs w:val="18"/>
        </w:rPr>
        <w:t xml:space="preserve">to a maximum width of </w:t>
      </w:r>
      <w:proofErr w:type="gramStart"/>
      <w:r w:rsidR="00F42C1E" w:rsidRPr="000F4D55">
        <w:rPr>
          <w:sz w:val="18"/>
          <w:szCs w:val="18"/>
        </w:rPr>
        <w:t>480px</w:t>
      </w:r>
      <w:r w:rsidR="002027C1" w:rsidRPr="000F4D55">
        <w:rPr>
          <w:sz w:val="18"/>
          <w:szCs w:val="18"/>
        </w:rPr>
        <w:t>,</w:t>
      </w:r>
      <w:proofErr w:type="gramEnd"/>
      <w:r w:rsidR="00713A46" w:rsidRPr="000F4D55">
        <w:rPr>
          <w:sz w:val="18"/>
          <w:szCs w:val="18"/>
        </w:rPr>
        <w:t xml:space="preserve"> however it is expected to be at</w:t>
      </w:r>
      <w:r w:rsidR="002027C1" w:rsidRPr="000F4D55">
        <w:rPr>
          <w:sz w:val="18"/>
          <w:szCs w:val="18"/>
        </w:rPr>
        <w:t xml:space="preserve"> least 370px</w:t>
      </w:r>
      <w:r w:rsidR="00F42C1E" w:rsidRPr="000F4D55">
        <w:rPr>
          <w:sz w:val="18"/>
          <w:szCs w:val="18"/>
        </w:rPr>
        <w:t>.</w:t>
      </w:r>
      <w:r w:rsidR="00AF61CD" w:rsidRPr="000F4D55">
        <w:rPr>
          <w:sz w:val="18"/>
          <w:szCs w:val="18"/>
        </w:rPr>
        <w:t xml:space="preserve"> Since the placement of logo and </w:t>
      </w:r>
      <w:r w:rsidR="002828DF" w:rsidRPr="000F4D55">
        <w:rPr>
          <w:sz w:val="18"/>
          <w:szCs w:val="18"/>
        </w:rPr>
        <w:t xml:space="preserve">background </w:t>
      </w:r>
      <w:r w:rsidR="00AF61CD" w:rsidRPr="000F4D55">
        <w:rPr>
          <w:sz w:val="18"/>
          <w:szCs w:val="18"/>
        </w:rPr>
        <w:t xml:space="preserve">gradient is designed for 370px, there would be some CSS updates required if the </w:t>
      </w:r>
      <w:r w:rsidR="00F42C1E" w:rsidRPr="000F4D55">
        <w:rPr>
          <w:sz w:val="18"/>
          <w:szCs w:val="18"/>
        </w:rPr>
        <w:t>container width is between 370px and 480px.</w:t>
      </w:r>
    </w:p>
    <w:p w:rsidR="00FE03A3" w:rsidRPr="000F4D55" w:rsidRDefault="00FE03A3" w:rsidP="00FE03A3">
      <w:pPr>
        <w:spacing w:after="0" w:line="240" w:lineRule="auto"/>
        <w:ind w:left="360"/>
        <w:rPr>
          <w:sz w:val="18"/>
          <w:szCs w:val="18"/>
        </w:rPr>
      </w:pPr>
    </w:p>
    <w:p w:rsidR="00E513DD" w:rsidRDefault="00E513DD" w:rsidP="00351BFB">
      <w:pPr>
        <w:pStyle w:val="ListParagraph"/>
        <w:spacing w:after="0" w:line="240" w:lineRule="auto"/>
        <w:ind w:left="360"/>
      </w:pPr>
    </w:p>
    <w:p w:rsidR="00E513DD" w:rsidRDefault="00E513DD" w:rsidP="00351BFB">
      <w:pPr>
        <w:pStyle w:val="ListParagraph"/>
        <w:spacing w:after="0" w:line="240" w:lineRule="auto"/>
        <w:ind w:left="360"/>
      </w:pPr>
    </w:p>
    <w:p w:rsidR="00CD5B56" w:rsidRDefault="00CD5B56">
      <w:pPr>
        <w:rPr>
          <w:i/>
          <w:u w:val="single"/>
        </w:rPr>
      </w:pPr>
      <w:r>
        <w:rPr>
          <w:i/>
          <w:u w:val="single"/>
        </w:rPr>
        <w:br w:type="page"/>
      </w:r>
    </w:p>
    <w:p w:rsidR="00E513DD" w:rsidRPr="001170D6" w:rsidRDefault="00010D18" w:rsidP="00E513DD">
      <w:pPr>
        <w:spacing w:after="0"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lastRenderedPageBreak/>
        <w:t>The r</w:t>
      </w:r>
      <w:r w:rsidR="00A0381A" w:rsidRPr="001170D6">
        <w:rPr>
          <w:sz w:val="18"/>
          <w:szCs w:val="18"/>
        </w:rPr>
        <w:t xml:space="preserve">endered </w:t>
      </w:r>
      <w:proofErr w:type="spellStart"/>
      <w:r>
        <w:rPr>
          <w:sz w:val="18"/>
          <w:szCs w:val="18"/>
        </w:rPr>
        <w:t>BrokerCheck</w:t>
      </w:r>
      <w:proofErr w:type="spellEnd"/>
      <w:r>
        <w:rPr>
          <w:sz w:val="18"/>
          <w:szCs w:val="18"/>
        </w:rPr>
        <w:t xml:space="preserve"> W</w:t>
      </w:r>
      <w:r w:rsidR="00A0381A" w:rsidRPr="001170D6">
        <w:rPr>
          <w:sz w:val="18"/>
          <w:szCs w:val="18"/>
        </w:rPr>
        <w:t xml:space="preserve">idget will </w:t>
      </w:r>
      <w:r w:rsidR="00E513DD" w:rsidRPr="001170D6">
        <w:rPr>
          <w:sz w:val="18"/>
          <w:szCs w:val="18"/>
        </w:rPr>
        <w:t>look like this:</w:t>
      </w:r>
    </w:p>
    <w:p w:rsidR="00E513DD" w:rsidRDefault="00E513DD" w:rsidP="00E513DD">
      <w:pPr>
        <w:spacing w:after="0" w:line="240" w:lineRule="auto"/>
        <w:ind w:left="360"/>
      </w:pPr>
    </w:p>
    <w:p w:rsidR="0081267E" w:rsidRDefault="00383FC6" w:rsidP="00383FC6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0FC5F2C3" wp14:editId="37FEEC7F">
            <wp:extent cx="409575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3DD" w:rsidRPr="001170D6" w:rsidRDefault="0081267E" w:rsidP="00E513DD">
      <w:pPr>
        <w:spacing w:after="0" w:line="240" w:lineRule="auto"/>
        <w:ind w:left="360"/>
        <w:rPr>
          <w:sz w:val="18"/>
          <w:szCs w:val="18"/>
        </w:rPr>
      </w:pPr>
      <w:r w:rsidRPr="001170D6">
        <w:rPr>
          <w:sz w:val="18"/>
          <w:szCs w:val="18"/>
        </w:rPr>
        <w:t>Ty</w:t>
      </w:r>
      <w:r w:rsidR="00010D18">
        <w:rPr>
          <w:sz w:val="18"/>
          <w:szCs w:val="18"/>
        </w:rPr>
        <w:t>pe few characters to see the dropdown displayed below</w:t>
      </w:r>
      <w:r w:rsidR="00F106E2" w:rsidRPr="001170D6">
        <w:rPr>
          <w:sz w:val="18"/>
          <w:szCs w:val="18"/>
        </w:rPr>
        <w:t>:</w:t>
      </w:r>
    </w:p>
    <w:p w:rsidR="0081267E" w:rsidRDefault="0081267E" w:rsidP="00E513DD">
      <w:pPr>
        <w:spacing w:after="0" w:line="240" w:lineRule="auto"/>
        <w:ind w:left="360"/>
      </w:pPr>
    </w:p>
    <w:p w:rsidR="0081267E" w:rsidRDefault="00383FC6" w:rsidP="00E513DD">
      <w:pPr>
        <w:spacing w:after="0" w:line="240" w:lineRule="auto"/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3705225" cy="4865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86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FC6" w:rsidRDefault="00383FC6" w:rsidP="00E513DD">
      <w:pPr>
        <w:spacing w:after="0" w:line="240" w:lineRule="auto"/>
        <w:ind w:left="360"/>
        <w:rPr>
          <w:noProof/>
        </w:rPr>
      </w:pPr>
    </w:p>
    <w:p w:rsidR="00383FC6" w:rsidRPr="00120030" w:rsidRDefault="00383FC6" w:rsidP="00E513DD">
      <w:pPr>
        <w:spacing w:after="0" w:line="240" w:lineRule="auto"/>
        <w:ind w:left="360"/>
      </w:pPr>
    </w:p>
    <w:p w:rsidR="00E513DD" w:rsidRPr="001170D6" w:rsidRDefault="00847C6C" w:rsidP="00847C6C">
      <w:pPr>
        <w:spacing w:after="0" w:line="240" w:lineRule="auto"/>
        <w:ind w:left="360"/>
        <w:rPr>
          <w:sz w:val="18"/>
          <w:szCs w:val="18"/>
        </w:rPr>
      </w:pPr>
      <w:r w:rsidRPr="001170D6">
        <w:rPr>
          <w:sz w:val="18"/>
          <w:szCs w:val="18"/>
        </w:rPr>
        <w:lastRenderedPageBreak/>
        <w:t>S</w:t>
      </w:r>
      <w:r w:rsidR="00116631">
        <w:rPr>
          <w:sz w:val="18"/>
          <w:szCs w:val="18"/>
        </w:rPr>
        <w:t xml:space="preserve">elect an item from the dropdown to see the results screen displayed </w:t>
      </w:r>
      <w:r w:rsidR="001170D6">
        <w:rPr>
          <w:sz w:val="18"/>
          <w:szCs w:val="18"/>
        </w:rPr>
        <w:t>below:</w:t>
      </w:r>
    </w:p>
    <w:p w:rsidR="00847C6C" w:rsidRDefault="00847C6C" w:rsidP="00351BFB">
      <w:pPr>
        <w:pStyle w:val="ListParagraph"/>
        <w:spacing w:after="0" w:line="240" w:lineRule="auto"/>
        <w:ind w:left="360"/>
      </w:pPr>
    </w:p>
    <w:p w:rsidR="00847C6C" w:rsidRPr="00120030" w:rsidRDefault="00383FC6" w:rsidP="00351BFB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3819525" cy="501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C6C" w:rsidRPr="0012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4BD8"/>
    <w:multiLevelType w:val="hybridMultilevel"/>
    <w:tmpl w:val="AE6A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92CCA"/>
    <w:multiLevelType w:val="hybridMultilevel"/>
    <w:tmpl w:val="D7A8ED3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604A79"/>
    <w:multiLevelType w:val="hybridMultilevel"/>
    <w:tmpl w:val="77823D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70B5A4D"/>
    <w:multiLevelType w:val="hybridMultilevel"/>
    <w:tmpl w:val="81A4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B5E49"/>
    <w:multiLevelType w:val="hybridMultilevel"/>
    <w:tmpl w:val="D7A8ED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C7F1A"/>
    <w:multiLevelType w:val="hybridMultilevel"/>
    <w:tmpl w:val="A0D0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C2"/>
    <w:rsid w:val="00010D18"/>
    <w:rsid w:val="00011EA0"/>
    <w:rsid w:val="000163B5"/>
    <w:rsid w:val="0002152E"/>
    <w:rsid w:val="00025325"/>
    <w:rsid w:val="0003273F"/>
    <w:rsid w:val="000330D9"/>
    <w:rsid w:val="0003653E"/>
    <w:rsid w:val="0005331E"/>
    <w:rsid w:val="00074ED7"/>
    <w:rsid w:val="00087639"/>
    <w:rsid w:val="00087B56"/>
    <w:rsid w:val="00090B50"/>
    <w:rsid w:val="00095413"/>
    <w:rsid w:val="000A3A71"/>
    <w:rsid w:val="000B0849"/>
    <w:rsid w:val="000B675E"/>
    <w:rsid w:val="000E4E9D"/>
    <w:rsid w:val="000F4D55"/>
    <w:rsid w:val="00116631"/>
    <w:rsid w:val="001170D6"/>
    <w:rsid w:val="001177AD"/>
    <w:rsid w:val="00120030"/>
    <w:rsid w:val="0015636D"/>
    <w:rsid w:val="001724DA"/>
    <w:rsid w:val="00175604"/>
    <w:rsid w:val="00176DB9"/>
    <w:rsid w:val="001B41F8"/>
    <w:rsid w:val="001C3EFC"/>
    <w:rsid w:val="001E3851"/>
    <w:rsid w:val="001E69B7"/>
    <w:rsid w:val="001F6A31"/>
    <w:rsid w:val="002027C1"/>
    <w:rsid w:val="0020415F"/>
    <w:rsid w:val="00205909"/>
    <w:rsid w:val="0020785F"/>
    <w:rsid w:val="00226C22"/>
    <w:rsid w:val="00245969"/>
    <w:rsid w:val="00280076"/>
    <w:rsid w:val="002828DF"/>
    <w:rsid w:val="00291470"/>
    <w:rsid w:val="00295029"/>
    <w:rsid w:val="002F4C80"/>
    <w:rsid w:val="0032687B"/>
    <w:rsid w:val="00344245"/>
    <w:rsid w:val="00351BFB"/>
    <w:rsid w:val="00361082"/>
    <w:rsid w:val="00383FC6"/>
    <w:rsid w:val="00387764"/>
    <w:rsid w:val="003926B4"/>
    <w:rsid w:val="003C309F"/>
    <w:rsid w:val="003C7242"/>
    <w:rsid w:val="003D0EE2"/>
    <w:rsid w:val="003D265A"/>
    <w:rsid w:val="003D6CA9"/>
    <w:rsid w:val="003E34BB"/>
    <w:rsid w:val="003F35C3"/>
    <w:rsid w:val="00402501"/>
    <w:rsid w:val="00405006"/>
    <w:rsid w:val="00411003"/>
    <w:rsid w:val="00456E92"/>
    <w:rsid w:val="00482D40"/>
    <w:rsid w:val="00484B33"/>
    <w:rsid w:val="004934DC"/>
    <w:rsid w:val="004A0095"/>
    <w:rsid w:val="004A51AE"/>
    <w:rsid w:val="004B54B7"/>
    <w:rsid w:val="004B72F6"/>
    <w:rsid w:val="004C195F"/>
    <w:rsid w:val="004C3123"/>
    <w:rsid w:val="004D6516"/>
    <w:rsid w:val="00525A08"/>
    <w:rsid w:val="005324A3"/>
    <w:rsid w:val="00534D9F"/>
    <w:rsid w:val="00535683"/>
    <w:rsid w:val="005428C8"/>
    <w:rsid w:val="00543B6B"/>
    <w:rsid w:val="00546FA2"/>
    <w:rsid w:val="0055081D"/>
    <w:rsid w:val="00565315"/>
    <w:rsid w:val="00566BDB"/>
    <w:rsid w:val="005709B4"/>
    <w:rsid w:val="005D4C4A"/>
    <w:rsid w:val="005E6074"/>
    <w:rsid w:val="005E6613"/>
    <w:rsid w:val="005E76CD"/>
    <w:rsid w:val="005F5F1E"/>
    <w:rsid w:val="006001C5"/>
    <w:rsid w:val="0060087C"/>
    <w:rsid w:val="00600D1A"/>
    <w:rsid w:val="006146F2"/>
    <w:rsid w:val="00633496"/>
    <w:rsid w:val="00634C23"/>
    <w:rsid w:val="00640E0B"/>
    <w:rsid w:val="0064483F"/>
    <w:rsid w:val="00647DCD"/>
    <w:rsid w:val="0066251C"/>
    <w:rsid w:val="00666603"/>
    <w:rsid w:val="006860DC"/>
    <w:rsid w:val="006A1694"/>
    <w:rsid w:val="006A2E1E"/>
    <w:rsid w:val="006A3CDE"/>
    <w:rsid w:val="006B5F43"/>
    <w:rsid w:val="006C0B61"/>
    <w:rsid w:val="006C1DBF"/>
    <w:rsid w:val="006E1DFC"/>
    <w:rsid w:val="007008C8"/>
    <w:rsid w:val="00713A46"/>
    <w:rsid w:val="00740927"/>
    <w:rsid w:val="00761FE3"/>
    <w:rsid w:val="00763D42"/>
    <w:rsid w:val="007967FC"/>
    <w:rsid w:val="007A17DF"/>
    <w:rsid w:val="007C4233"/>
    <w:rsid w:val="007C7D44"/>
    <w:rsid w:val="007D2748"/>
    <w:rsid w:val="007F68BC"/>
    <w:rsid w:val="0081267E"/>
    <w:rsid w:val="008256D1"/>
    <w:rsid w:val="00847C6C"/>
    <w:rsid w:val="008518AF"/>
    <w:rsid w:val="00853A82"/>
    <w:rsid w:val="00856B38"/>
    <w:rsid w:val="008673F1"/>
    <w:rsid w:val="0087135F"/>
    <w:rsid w:val="00877AE8"/>
    <w:rsid w:val="00894C6C"/>
    <w:rsid w:val="008A2396"/>
    <w:rsid w:val="008C6286"/>
    <w:rsid w:val="008D712E"/>
    <w:rsid w:val="008F0D67"/>
    <w:rsid w:val="008F764F"/>
    <w:rsid w:val="0090152D"/>
    <w:rsid w:val="0097249A"/>
    <w:rsid w:val="00974BC5"/>
    <w:rsid w:val="00976EEA"/>
    <w:rsid w:val="009844BA"/>
    <w:rsid w:val="00994EFF"/>
    <w:rsid w:val="009C3747"/>
    <w:rsid w:val="00A02EBB"/>
    <w:rsid w:val="00A0381A"/>
    <w:rsid w:val="00A24984"/>
    <w:rsid w:val="00A5486B"/>
    <w:rsid w:val="00A67451"/>
    <w:rsid w:val="00A9400C"/>
    <w:rsid w:val="00AA1822"/>
    <w:rsid w:val="00AA7133"/>
    <w:rsid w:val="00AB16CE"/>
    <w:rsid w:val="00AB257A"/>
    <w:rsid w:val="00AC0C75"/>
    <w:rsid w:val="00AD01AE"/>
    <w:rsid w:val="00AD2BA3"/>
    <w:rsid w:val="00AD6D98"/>
    <w:rsid w:val="00AE5156"/>
    <w:rsid w:val="00AF33E5"/>
    <w:rsid w:val="00AF61CD"/>
    <w:rsid w:val="00AF7F53"/>
    <w:rsid w:val="00B00D6B"/>
    <w:rsid w:val="00B13BC5"/>
    <w:rsid w:val="00B44114"/>
    <w:rsid w:val="00B448D8"/>
    <w:rsid w:val="00B44E0D"/>
    <w:rsid w:val="00B81185"/>
    <w:rsid w:val="00B933E5"/>
    <w:rsid w:val="00BA7F16"/>
    <w:rsid w:val="00BB05A9"/>
    <w:rsid w:val="00BC6B26"/>
    <w:rsid w:val="00BD36E1"/>
    <w:rsid w:val="00BE4B61"/>
    <w:rsid w:val="00BE6CF8"/>
    <w:rsid w:val="00BF3A9F"/>
    <w:rsid w:val="00C14F7D"/>
    <w:rsid w:val="00C250D5"/>
    <w:rsid w:val="00C26309"/>
    <w:rsid w:val="00C32FEB"/>
    <w:rsid w:val="00C424D3"/>
    <w:rsid w:val="00C4589D"/>
    <w:rsid w:val="00C56598"/>
    <w:rsid w:val="00C60877"/>
    <w:rsid w:val="00C66D10"/>
    <w:rsid w:val="00C72BC5"/>
    <w:rsid w:val="00C75F80"/>
    <w:rsid w:val="00CA0B7D"/>
    <w:rsid w:val="00CB56FA"/>
    <w:rsid w:val="00CC20EA"/>
    <w:rsid w:val="00CC26F5"/>
    <w:rsid w:val="00CD09A7"/>
    <w:rsid w:val="00CD5B56"/>
    <w:rsid w:val="00CF4992"/>
    <w:rsid w:val="00D03703"/>
    <w:rsid w:val="00D205C0"/>
    <w:rsid w:val="00D222C4"/>
    <w:rsid w:val="00D273C8"/>
    <w:rsid w:val="00D35FC2"/>
    <w:rsid w:val="00D47217"/>
    <w:rsid w:val="00D55E7C"/>
    <w:rsid w:val="00D7195B"/>
    <w:rsid w:val="00D8672D"/>
    <w:rsid w:val="00D9540D"/>
    <w:rsid w:val="00DA6357"/>
    <w:rsid w:val="00DC4FAB"/>
    <w:rsid w:val="00DC5957"/>
    <w:rsid w:val="00DD599D"/>
    <w:rsid w:val="00DF2A20"/>
    <w:rsid w:val="00DF40D9"/>
    <w:rsid w:val="00DF61BE"/>
    <w:rsid w:val="00E24C19"/>
    <w:rsid w:val="00E37D69"/>
    <w:rsid w:val="00E513DD"/>
    <w:rsid w:val="00E53BFD"/>
    <w:rsid w:val="00E64012"/>
    <w:rsid w:val="00E7114B"/>
    <w:rsid w:val="00E7507C"/>
    <w:rsid w:val="00E76AF2"/>
    <w:rsid w:val="00E76B8B"/>
    <w:rsid w:val="00E823DF"/>
    <w:rsid w:val="00E83F74"/>
    <w:rsid w:val="00EB086E"/>
    <w:rsid w:val="00EB264B"/>
    <w:rsid w:val="00ED167F"/>
    <w:rsid w:val="00EE4242"/>
    <w:rsid w:val="00EE65F1"/>
    <w:rsid w:val="00F027C4"/>
    <w:rsid w:val="00F066D2"/>
    <w:rsid w:val="00F106E2"/>
    <w:rsid w:val="00F30A34"/>
    <w:rsid w:val="00F42C1E"/>
    <w:rsid w:val="00F4512F"/>
    <w:rsid w:val="00F57151"/>
    <w:rsid w:val="00F575AB"/>
    <w:rsid w:val="00F630C0"/>
    <w:rsid w:val="00F63428"/>
    <w:rsid w:val="00F6623E"/>
    <w:rsid w:val="00F7297E"/>
    <w:rsid w:val="00F760DF"/>
    <w:rsid w:val="00F77183"/>
    <w:rsid w:val="00F85897"/>
    <w:rsid w:val="00FA2B06"/>
    <w:rsid w:val="00FC2638"/>
    <w:rsid w:val="00FC3254"/>
    <w:rsid w:val="00FD55FA"/>
    <w:rsid w:val="00FE03A3"/>
    <w:rsid w:val="00FF15CD"/>
    <w:rsid w:val="00FF1E45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49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09"/>
    <w:pPr>
      <w:ind w:left="720"/>
      <w:contextualSpacing/>
    </w:pPr>
  </w:style>
  <w:style w:type="character" w:customStyle="1" w:styleId="webkit-html-tag">
    <w:name w:val="webkit-html-tag"/>
    <w:basedOn w:val="DefaultParagraphFont"/>
    <w:rsid w:val="00C26309"/>
  </w:style>
  <w:style w:type="character" w:customStyle="1" w:styleId="webkit-html-attribute-name">
    <w:name w:val="webkit-html-attribute-name"/>
    <w:basedOn w:val="DefaultParagraphFont"/>
    <w:rsid w:val="00C26309"/>
  </w:style>
  <w:style w:type="character" w:customStyle="1" w:styleId="webkit-html-attribute-value">
    <w:name w:val="webkit-html-attribute-value"/>
    <w:basedOn w:val="DefaultParagraphFont"/>
    <w:rsid w:val="00C26309"/>
  </w:style>
  <w:style w:type="character" w:customStyle="1" w:styleId="Heading4Char">
    <w:name w:val="Heading 4 Char"/>
    <w:basedOn w:val="DefaultParagraphFont"/>
    <w:link w:val="Heading4"/>
    <w:uiPriority w:val="9"/>
    <w:rsid w:val="00A2498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56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49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09"/>
    <w:pPr>
      <w:ind w:left="720"/>
      <w:contextualSpacing/>
    </w:pPr>
  </w:style>
  <w:style w:type="character" w:customStyle="1" w:styleId="webkit-html-tag">
    <w:name w:val="webkit-html-tag"/>
    <w:basedOn w:val="DefaultParagraphFont"/>
    <w:rsid w:val="00C26309"/>
  </w:style>
  <w:style w:type="character" w:customStyle="1" w:styleId="webkit-html-attribute-name">
    <w:name w:val="webkit-html-attribute-name"/>
    <w:basedOn w:val="DefaultParagraphFont"/>
    <w:rsid w:val="00C26309"/>
  </w:style>
  <w:style w:type="character" w:customStyle="1" w:styleId="webkit-html-attribute-value">
    <w:name w:val="webkit-html-attribute-value"/>
    <w:basedOn w:val="DefaultParagraphFont"/>
    <w:rsid w:val="00C26309"/>
  </w:style>
  <w:style w:type="character" w:customStyle="1" w:styleId="Heading4Char">
    <w:name w:val="Heading 4 Char"/>
    <w:basedOn w:val="DefaultParagraphFont"/>
    <w:link w:val="Heading4"/>
    <w:uiPriority w:val="9"/>
    <w:rsid w:val="00A2498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56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s-cdn.finra.org/widgets/bcw/js/jquery.finra.static.min.j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ws-cdn.finra.org/widgets/bcw/css/style.min.cs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ws-cdn.finra.org/widgets/bcw/css/style.min.cs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aws-cdn.finra.org/widgets/bcw/js/jquery.finra.bcwidget.min.j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FINRA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Neelamegam, Shrinivasan</dc:creator>
  <cp:lastModifiedBy>Neelamegam, Shrinivasan</cp:lastModifiedBy>
  <cp:revision>37</cp:revision>
  <dcterms:created xsi:type="dcterms:W3CDTF">2013-12-17T22:45:00Z</dcterms:created>
  <dcterms:modified xsi:type="dcterms:W3CDTF">2013-12-23T21:26:00Z</dcterms:modified>
</cp:coreProperties>
</file>