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F6C0" w14:textId="77777777" w:rsidR="009D2D14" w:rsidRDefault="009D2D14"/>
    <w:p w14:paraId="55A35A6F" w14:textId="02711D08" w:rsidR="009D2D14" w:rsidRDefault="00B83DF9">
      <w:r>
        <w:t xml:space="preserve">Notes and </w:t>
      </w:r>
      <w:r w:rsidR="00EC464D">
        <w:t xml:space="preserve">Errata </w:t>
      </w:r>
    </w:p>
    <w:p w14:paraId="6D11F9A6" w14:textId="65A35727" w:rsidR="00EC464D" w:rsidRDefault="00EC464D"/>
    <w:p w14:paraId="46536B21" w14:textId="0A2C1513" w:rsidR="00EC464D" w:rsidRDefault="00EC464D">
      <w:r>
        <w:t xml:space="preserve">(I will continue to update this document </w:t>
      </w:r>
      <w:r w:rsidR="00B83DF9">
        <w:t>as necessary)</w:t>
      </w:r>
    </w:p>
    <w:p w14:paraId="68476A75" w14:textId="16CBF02F" w:rsidR="00EC464D" w:rsidRDefault="00EC464D"/>
    <w:p w14:paraId="702EF15A" w14:textId="77777777" w:rsidR="00EC464D" w:rsidRDefault="00EC464D"/>
    <w:p w14:paraId="5AF5435B" w14:textId="3147F5CB" w:rsidR="0030682C" w:rsidRDefault="00EC464D" w:rsidP="00B83DF9">
      <w:pPr>
        <w:pStyle w:val="ListParagraph"/>
        <w:numPr>
          <w:ilvl w:val="0"/>
          <w:numId w:val="1"/>
        </w:numPr>
      </w:pPr>
      <w:r>
        <w:t>P. 25</w:t>
      </w:r>
    </w:p>
    <w:p w14:paraId="03076833" w14:textId="77777777" w:rsidR="00EC464D" w:rsidRDefault="00EC464D"/>
    <w:p w14:paraId="0F0E092F" w14:textId="2C65F97F" w:rsidR="0030682C" w:rsidRDefault="0030682C" w:rsidP="0030682C">
      <w:r>
        <w:t xml:space="preserve">I used the wrong objects to try to illustrate the failure of </w:t>
      </w:r>
      <w:r w:rsidR="00EC464D">
        <w:t xml:space="preserve">the Relativized Indiscernibility of </w:t>
      </w:r>
      <w:proofErr w:type="spellStart"/>
      <w:r w:rsidR="00EC464D">
        <w:t>Identicals</w:t>
      </w:r>
      <w:proofErr w:type="spellEnd"/>
      <w:r>
        <w:t xml:space="preserve"> for the relative identity theorist on pg</w:t>
      </w:r>
      <w:r w:rsidR="00EC464D">
        <w:t>. 25.</w:t>
      </w:r>
      <w:r>
        <w:t xml:space="preserve">  Instead of using the statue (Statue) and the lump of clay (Lumpy) in this example, I should have used two statues</w:t>
      </w:r>
      <w:r w:rsidR="00EC464D">
        <w:t xml:space="preserve">, </w:t>
      </w:r>
      <w:r>
        <w:t xml:space="preserve">Statue </w:t>
      </w:r>
      <w:proofErr w:type="gramStart"/>
      <w:r>
        <w:t>1</w:t>
      </w:r>
      <w:proofErr w:type="gramEnd"/>
      <w:r>
        <w:t xml:space="preserve"> and Statue 2</w:t>
      </w:r>
      <w:r w:rsidR="00EC464D">
        <w:t>,</w:t>
      </w:r>
      <w:r>
        <w:t xml:space="preserve"> formed out of the same lump of clay.</w:t>
      </w:r>
      <w:r w:rsidR="00EC464D">
        <w:t xml:space="preserve">  </w:t>
      </w:r>
      <w:r>
        <w:t xml:space="preserve">The relationship between Statue 1 and Statue 2 is as follows: First, </w:t>
      </w:r>
      <w:r w:rsidR="00EC464D">
        <w:t>the lump</w:t>
      </w:r>
      <w:r>
        <w:t xml:space="preserve"> is molded into S</w:t>
      </w:r>
      <w:r w:rsidR="00B73C4B">
        <w:t xml:space="preserve">tatue </w:t>
      </w:r>
      <w:r>
        <w:t>1 (at t</w:t>
      </w:r>
      <w:r w:rsidRPr="00EC464D">
        <w:rPr>
          <w:vertAlign w:val="subscript"/>
        </w:rPr>
        <w:t>1</w:t>
      </w:r>
      <w:r>
        <w:t>)—say</w:t>
      </w:r>
      <w:r w:rsidR="00EC464D">
        <w:t>,</w:t>
      </w:r>
      <w:r>
        <w:t xml:space="preserve"> in the shape of a pigeon</w:t>
      </w:r>
      <w:r w:rsidR="00EC464D">
        <w:t>—</w:t>
      </w:r>
      <w:r>
        <w:t xml:space="preserve">then </w:t>
      </w:r>
      <w:r w:rsidR="00EC464D">
        <w:t>Statue 1</w:t>
      </w:r>
      <w:r>
        <w:t xml:space="preserve"> is squashed. Later, </w:t>
      </w:r>
      <w:r w:rsidR="00EC464D">
        <w:t>the same lump</w:t>
      </w:r>
      <w:r>
        <w:t xml:space="preserve"> is molded into S</w:t>
      </w:r>
      <w:r w:rsidR="00B73C4B">
        <w:t>tatue 2</w:t>
      </w:r>
      <w:r>
        <w:t xml:space="preserve"> (at t</w:t>
      </w:r>
      <w:r w:rsidR="00EC464D">
        <w:rPr>
          <w:vertAlign w:val="subscript"/>
        </w:rPr>
        <w:t>2</w:t>
      </w:r>
      <w:r>
        <w:t>)—say, in the shape of a horse.</w:t>
      </w:r>
    </w:p>
    <w:p w14:paraId="5474107C" w14:textId="03A94230" w:rsidR="00B73C4B" w:rsidRDefault="00B73C4B"/>
    <w:p w14:paraId="0F5CD673" w14:textId="171338F4" w:rsidR="00B73C4B" w:rsidRDefault="00B73C4B">
      <w:r>
        <w:t xml:space="preserve">The problem for the relative identity theorist is that Statue 1 is the same lump as Statue 2, but </w:t>
      </w:r>
      <w:r w:rsidR="00EC464D">
        <w:t>Statue 1 and Statue 2</w:t>
      </w:r>
      <w:r>
        <w:t xml:space="preserve"> are not the same statue. For example, Statue 1 has the property </w:t>
      </w:r>
      <w:r>
        <w:rPr>
          <w:i/>
          <w:iCs/>
        </w:rPr>
        <w:t>being pigeon shaped</w:t>
      </w:r>
      <w:r>
        <w:t xml:space="preserve"> while Statue 2 lacks this property. Consequently, we will have a failure of </w:t>
      </w:r>
      <w:r w:rsidR="00EC464D">
        <w:t xml:space="preserve">the Relativized Indiscernibility of </w:t>
      </w:r>
      <w:proofErr w:type="spellStart"/>
      <w:r w:rsidR="00EC464D">
        <w:t>Identicals</w:t>
      </w:r>
      <w:proofErr w:type="spellEnd"/>
      <w:r w:rsidR="00EC464D">
        <w:t>:</w:t>
      </w:r>
    </w:p>
    <w:p w14:paraId="5001A982" w14:textId="6AD0CD78" w:rsidR="00EC464D" w:rsidRDefault="00EC464D"/>
    <w:p w14:paraId="67676E5A" w14:textId="060152FB" w:rsidR="00EC464D" w:rsidRDefault="00EC464D">
      <w:r w:rsidRPr="00EC464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Relativized Indiscernibility of </w:t>
      </w:r>
      <w:proofErr w:type="spellStart"/>
      <w:r w:rsidRPr="00EC464D">
        <w:rPr>
          <w:rFonts w:ascii="Times New Roman" w:hAnsi="Times New Roman" w:cs="Times New Roman"/>
          <w:b/>
          <w:bCs/>
          <w:color w:val="000000"/>
          <w:sz w:val="22"/>
          <w:szCs w:val="22"/>
        </w:rPr>
        <w:t>Identicals</w:t>
      </w:r>
      <w:proofErr w:type="spellEnd"/>
      <w:r w:rsidRPr="00EC464D">
        <w:rPr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Cambria Math" w:hAnsi="Cambria Math" w:cs="Cambria Math"/>
          <w:color w:val="1A1A1A"/>
          <w:sz w:val="22"/>
          <w:szCs w:val="22"/>
        </w:rPr>
        <w:t>∀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x</w:t>
      </w:r>
      <w:r>
        <w:rPr>
          <w:rFonts w:ascii="Cambria Math" w:hAnsi="Cambria Math" w:cs="Cambria Math"/>
          <w:color w:val="1A1A1A"/>
          <w:sz w:val="22"/>
          <w:szCs w:val="22"/>
        </w:rPr>
        <w:t>∀</w:t>
      </w:r>
      <w:r>
        <w:rPr>
          <w:rFonts w:ascii="Times New Roman" w:hAnsi="Times New Roman" w:cs="Times New Roman"/>
          <w:color w:val="000000"/>
          <w:sz w:val="22"/>
          <w:szCs w:val="22"/>
        </w:rPr>
        <w:t>y</w:t>
      </w:r>
      <w:r>
        <w:rPr>
          <w:rFonts w:ascii="Cambria Math" w:hAnsi="Cambria Math" w:cs="Cambria Math"/>
          <w:color w:val="1A1A1A"/>
          <w:sz w:val="22"/>
          <w:szCs w:val="22"/>
        </w:rPr>
        <w:t>∀</w:t>
      </w:r>
      <w:r>
        <w:rPr>
          <w:rFonts w:ascii="Times New Roman" w:hAnsi="Times New Roman" w:cs="Times New Roman"/>
          <w:color w:val="000000"/>
          <w:sz w:val="22"/>
          <w:szCs w:val="22"/>
        </w:rPr>
        <w:t>K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(x is the same K as y </w:t>
      </w:r>
      <w:r>
        <w:rPr>
          <w:rFonts w:ascii="Cambria Math" w:hAnsi="Cambria Math" w:cs="Cambria Math"/>
          <w:color w:val="000000"/>
          <w:sz w:val="22"/>
          <w:szCs w:val="22"/>
        </w:rPr>
        <w:t>⊃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Cambria Math" w:hAnsi="Cambria Math" w:cs="Cambria Math"/>
          <w:color w:val="1A1A1A"/>
          <w:sz w:val="22"/>
          <w:szCs w:val="22"/>
        </w:rPr>
        <w:t>∀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P(x has P </w:t>
      </w:r>
      <w:r>
        <w:rPr>
          <w:rFonts w:ascii="Times New Roman" w:hAnsi="Times New Roman" w:cs="Times New Roman"/>
          <w:color w:val="202122"/>
          <w:sz w:val="22"/>
          <w:szCs w:val="22"/>
        </w:rPr>
        <w:t xml:space="preserve">≡ </w:t>
      </w:r>
      <w:r>
        <w:rPr>
          <w:rFonts w:ascii="Times New Roman" w:hAnsi="Times New Roman" w:cs="Times New Roman"/>
          <w:color w:val="000000"/>
          <w:sz w:val="22"/>
          <w:szCs w:val="22"/>
        </w:rPr>
        <w:t>y has P))</w:t>
      </w:r>
    </w:p>
    <w:p w14:paraId="32814150" w14:textId="23B36D63" w:rsidR="00B73C4B" w:rsidRDefault="00B73C4B"/>
    <w:p w14:paraId="77B0B578" w14:textId="4D62369D" w:rsidR="00B73C4B" w:rsidRDefault="00EC464D" w:rsidP="00B73C4B">
      <w:r>
        <w:t xml:space="preserve">In short: </w:t>
      </w:r>
      <w:r w:rsidR="00B73C4B">
        <w:t xml:space="preserve">The failure of this version of </w:t>
      </w:r>
      <w:r>
        <w:t xml:space="preserve">the indiscernibility of </w:t>
      </w:r>
      <w:proofErr w:type="spellStart"/>
      <w:r>
        <w:t>identicals</w:t>
      </w:r>
      <w:proofErr w:type="spellEnd"/>
      <w:r w:rsidR="00B73C4B">
        <w:t xml:space="preserve"> is supposed to occur between Statue 1 and Statue 2, </w:t>
      </w:r>
      <w:r w:rsidR="00B73C4B">
        <w:rPr>
          <w:i/>
          <w:iCs/>
        </w:rPr>
        <w:t xml:space="preserve">not </w:t>
      </w:r>
      <w:r w:rsidR="00B73C4B">
        <w:t xml:space="preserve">between Statue and Lumpy. </w:t>
      </w:r>
    </w:p>
    <w:p w14:paraId="5A7453E5" w14:textId="3BC366C9" w:rsidR="00B73C4B" w:rsidRDefault="00B73C4B" w:rsidP="00B73C4B"/>
    <w:p w14:paraId="524B0AC1" w14:textId="23E870DF" w:rsidR="00B73C4B" w:rsidRDefault="00B73C4B" w:rsidP="00B73C4B"/>
    <w:p w14:paraId="273EDDED" w14:textId="1FAEFC96" w:rsidR="00B73C4B" w:rsidRDefault="00B83DF9" w:rsidP="00B83DF9">
      <w:pPr>
        <w:pStyle w:val="ListParagraph"/>
        <w:numPr>
          <w:ilvl w:val="0"/>
          <w:numId w:val="1"/>
        </w:numPr>
      </w:pPr>
      <w:r>
        <w:t>To my horror, t</w:t>
      </w:r>
      <w:r w:rsidR="009F43B2">
        <w:t xml:space="preserve">he </w:t>
      </w:r>
      <w:r>
        <w:t>Element</w:t>
      </w:r>
      <w:r w:rsidR="009F43B2">
        <w:t xml:space="preserve"> is missing an </w:t>
      </w:r>
      <w:r w:rsidR="00B73C4B">
        <w:t>Acknowledgements</w:t>
      </w:r>
      <w:r w:rsidR="009F43B2">
        <w:t xml:space="preserve"> section!</w:t>
      </w:r>
    </w:p>
    <w:p w14:paraId="5BA5898F" w14:textId="789B0AD6" w:rsidR="009F43B2" w:rsidRDefault="009F43B2" w:rsidP="00B73C4B"/>
    <w:p w14:paraId="6EFBB66A" w14:textId="202E6FC4" w:rsidR="009F43B2" w:rsidRDefault="009F43B2" w:rsidP="00B73C4B">
      <w:r>
        <w:t xml:space="preserve">I want to thank </w:t>
      </w:r>
      <w:r w:rsidR="00EC464D">
        <w:t xml:space="preserve">Martín Abreu </w:t>
      </w:r>
      <w:proofErr w:type="spellStart"/>
      <w:r w:rsidR="00EC464D">
        <w:t>Zavaleta</w:t>
      </w:r>
      <w:proofErr w:type="spellEnd"/>
      <w:r w:rsidR="00EC464D">
        <w:t xml:space="preserve">, </w:t>
      </w:r>
      <w:proofErr w:type="spellStart"/>
      <w:r w:rsidR="00EC464D">
        <w:t>Tuomas</w:t>
      </w:r>
      <w:proofErr w:type="spellEnd"/>
      <w:r w:rsidR="00EC464D">
        <w:t xml:space="preserve"> </w:t>
      </w:r>
      <w:proofErr w:type="spellStart"/>
      <w:r w:rsidR="00EC464D">
        <w:t>Tahko</w:t>
      </w:r>
      <w:proofErr w:type="spellEnd"/>
      <w:r w:rsidR="00EC464D">
        <w:t>, Maegan Fairchild, Li Kang, Amy Seymour, Jennifer Wang, Elanor Taylor, the Women in Metaphysics Research Group, two anonymous reviewers for Cambridge University Press,</w:t>
      </w:r>
      <w:r w:rsidR="00B83DF9">
        <w:t xml:space="preserve"> the editing team at Cambridge University Press,</w:t>
      </w:r>
      <w:r w:rsidR="00EC464D">
        <w:t xml:space="preserve"> and especially Ronald </w:t>
      </w:r>
      <w:proofErr w:type="spellStart"/>
      <w:r w:rsidR="00EC464D">
        <w:t>Houts</w:t>
      </w:r>
      <w:proofErr w:type="spellEnd"/>
      <w:r w:rsidR="00EC464D">
        <w:t xml:space="preserve"> for helpful feedback on the manuscript. All errors (especially the ones above!) are exclusively my own.</w:t>
      </w:r>
    </w:p>
    <w:p w14:paraId="1A68D258" w14:textId="425A2DD2" w:rsidR="00B73C4B" w:rsidRDefault="00B73C4B" w:rsidP="00B73C4B"/>
    <w:p w14:paraId="189C9F71" w14:textId="77777777" w:rsidR="00B73C4B" w:rsidRDefault="00B73C4B" w:rsidP="00B73C4B"/>
    <w:p w14:paraId="13E00817" w14:textId="14A32523" w:rsidR="00B73C4B" w:rsidRDefault="00B73C4B" w:rsidP="00B73C4B"/>
    <w:p w14:paraId="51D46DD4" w14:textId="5D864E1B" w:rsidR="00B73C4B" w:rsidRDefault="00B73C4B" w:rsidP="00B73C4B"/>
    <w:p w14:paraId="26609930" w14:textId="30827903" w:rsidR="0030682C" w:rsidRPr="0030682C" w:rsidRDefault="0030682C">
      <w:r>
        <w:t xml:space="preserve"> </w:t>
      </w:r>
    </w:p>
    <w:sectPr w:rsidR="0030682C" w:rsidRPr="0030682C" w:rsidSect="0095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C7F03"/>
    <w:multiLevelType w:val="hybridMultilevel"/>
    <w:tmpl w:val="B0B6B366"/>
    <w:lvl w:ilvl="0" w:tplc="92E0219C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D6"/>
    <w:rsid w:val="000123D6"/>
    <w:rsid w:val="0030682C"/>
    <w:rsid w:val="00381D22"/>
    <w:rsid w:val="00957537"/>
    <w:rsid w:val="009D2D14"/>
    <w:rsid w:val="009F43B2"/>
    <w:rsid w:val="00AF1C52"/>
    <w:rsid w:val="00B73C4B"/>
    <w:rsid w:val="00B83DF9"/>
    <w:rsid w:val="00EC45D0"/>
    <w:rsid w:val="00EC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70422"/>
  <w15:chartTrackingRefBased/>
  <w15:docId w15:val="{61268B6A-3724-664B-84C7-DCF383CF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2022-10-19T14:25:00Z</dcterms:created>
  <dcterms:modified xsi:type="dcterms:W3CDTF">2022-10-19T14:25:00Z</dcterms:modified>
</cp:coreProperties>
</file>