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5"/>
        <w:rPr>
          <w:rFonts w:ascii="Times New Roman"/>
        </w:rPr>
      </w:pPr>
    </w:p>
    <w:p>
      <w:pPr>
        <w:pStyle w:val="Title"/>
      </w:pPr>
      <w:r>
        <w:rPr/>
        <w:t>Sections</w:t>
      </w:r>
      <w:r>
        <w:rPr>
          <w:spacing w:val="-5"/>
        </w:rPr>
        <w:t> </w:t>
      </w:r>
      <w:r>
        <w:rPr/>
        <w:t>in</w:t>
      </w:r>
      <w:r>
        <w:rPr>
          <w:spacing w:val="-2"/>
        </w:rPr>
        <w:t> </w:t>
      </w:r>
      <w:r>
        <w:rPr/>
        <w:t>This</w:t>
      </w:r>
      <w:r>
        <w:rPr>
          <w:spacing w:val="-2"/>
        </w:rPr>
        <w:t> Document</w:t>
      </w:r>
    </w:p>
    <w:p>
      <w:pPr>
        <w:pStyle w:val="ListParagraph"/>
        <w:numPr>
          <w:ilvl w:val="0"/>
          <w:numId w:val="1"/>
        </w:numPr>
        <w:tabs>
          <w:tab w:pos="839" w:val="left" w:leader="none"/>
          <w:tab w:pos="9711" w:val="right" w:leader="dot"/>
        </w:tabs>
        <w:spacing w:line="240" w:lineRule="auto" w:before="239" w:after="0"/>
        <w:ind w:left="839" w:right="0" w:hanging="479"/>
        <w:jc w:val="left"/>
        <w:rPr>
          <w:rFonts w:ascii="Calibri"/>
          <w:b/>
          <w:sz w:val="20"/>
        </w:rPr>
      </w:pPr>
      <w:hyperlink w:history="true" w:anchor="_bookmark0">
        <w:r>
          <w:rPr>
            <w:rFonts w:ascii="Calibri"/>
            <w:b/>
            <w:spacing w:val="-2"/>
            <w:sz w:val="20"/>
          </w:rPr>
          <w:t>Purpose</w:t>
        </w:r>
        <w:r>
          <w:rPr>
            <w:rFonts w:ascii="Calibri"/>
            <w:b/>
            <w:sz w:val="20"/>
          </w:rPr>
          <w:tab/>
        </w:r>
        <w:r>
          <w:rPr>
            <w:rFonts w:ascii="Calibri"/>
            <w:b/>
            <w:spacing w:val="-10"/>
            <w:sz w:val="20"/>
          </w:rPr>
          <w:t>2</w:t>
        </w:r>
      </w:hyperlink>
    </w:p>
    <w:p>
      <w:pPr>
        <w:pStyle w:val="ListParagraph"/>
        <w:numPr>
          <w:ilvl w:val="0"/>
          <w:numId w:val="1"/>
        </w:numPr>
        <w:tabs>
          <w:tab w:pos="839" w:val="left" w:leader="none"/>
          <w:tab w:pos="9711" w:val="right" w:leader="dot"/>
        </w:tabs>
        <w:spacing w:line="240" w:lineRule="auto" w:before="239" w:after="0"/>
        <w:ind w:left="839" w:right="0" w:hanging="479"/>
        <w:jc w:val="left"/>
        <w:rPr>
          <w:rFonts w:ascii="Calibri"/>
          <w:b/>
          <w:sz w:val="20"/>
        </w:rPr>
      </w:pPr>
      <w:hyperlink w:history="true" w:anchor="_bookmark1">
        <w:r>
          <w:rPr>
            <w:rFonts w:ascii="Calibri"/>
            <w:b/>
            <w:spacing w:val="-2"/>
            <w:sz w:val="20"/>
          </w:rPr>
          <w:t>Scope</w:t>
        </w:r>
        <w:r>
          <w:rPr>
            <w:rFonts w:ascii="Calibri"/>
            <w:b/>
            <w:sz w:val="20"/>
          </w:rPr>
          <w:tab/>
        </w:r>
        <w:r>
          <w:rPr>
            <w:rFonts w:ascii="Calibri"/>
            <w:b/>
            <w:spacing w:val="-10"/>
            <w:sz w:val="20"/>
          </w:rPr>
          <w:t>2</w:t>
        </w:r>
      </w:hyperlink>
    </w:p>
    <w:p>
      <w:pPr>
        <w:pStyle w:val="ListParagraph"/>
        <w:numPr>
          <w:ilvl w:val="0"/>
          <w:numId w:val="1"/>
        </w:numPr>
        <w:tabs>
          <w:tab w:pos="839" w:val="left" w:leader="none"/>
          <w:tab w:pos="9710" w:val="right" w:leader="dot"/>
        </w:tabs>
        <w:spacing w:line="240" w:lineRule="auto" w:before="240" w:after="0"/>
        <w:ind w:left="839" w:right="0" w:hanging="479"/>
        <w:jc w:val="left"/>
        <w:rPr>
          <w:rFonts w:ascii="Calibri"/>
          <w:b/>
          <w:sz w:val="20"/>
        </w:rPr>
      </w:pPr>
      <w:hyperlink w:history="true" w:anchor="_bookmark3">
        <w:r>
          <w:rPr>
            <w:rFonts w:ascii="Calibri"/>
            <w:b/>
            <w:spacing w:val="-2"/>
            <w:sz w:val="20"/>
          </w:rPr>
          <w:t>Background</w:t>
        </w:r>
        <w:r>
          <w:rPr>
            <w:rFonts w:ascii="Calibri"/>
            <w:b/>
            <w:sz w:val="20"/>
          </w:rPr>
          <w:tab/>
        </w:r>
        <w:r>
          <w:rPr>
            <w:rFonts w:ascii="Calibri"/>
            <w:b/>
            <w:spacing w:val="-10"/>
            <w:sz w:val="20"/>
          </w:rPr>
          <w:t>3</w:t>
        </w:r>
      </w:hyperlink>
    </w:p>
    <w:p>
      <w:pPr>
        <w:pStyle w:val="ListParagraph"/>
        <w:numPr>
          <w:ilvl w:val="0"/>
          <w:numId w:val="1"/>
        </w:numPr>
        <w:tabs>
          <w:tab w:pos="839" w:val="left" w:leader="none"/>
          <w:tab w:pos="9711" w:val="right" w:leader="dot"/>
        </w:tabs>
        <w:spacing w:line="240" w:lineRule="auto" w:before="240" w:after="0"/>
        <w:ind w:left="839" w:right="0" w:hanging="479"/>
        <w:jc w:val="left"/>
        <w:rPr>
          <w:rFonts w:ascii="Calibri"/>
          <w:b/>
          <w:sz w:val="20"/>
        </w:rPr>
      </w:pPr>
      <w:hyperlink w:history="true" w:anchor="_bookmark4">
        <w:r>
          <w:rPr>
            <w:rFonts w:ascii="Calibri"/>
            <w:b/>
            <w:spacing w:val="-2"/>
            <w:sz w:val="20"/>
          </w:rPr>
          <w:t>Responsibilities</w:t>
        </w:r>
        <w:r>
          <w:rPr>
            <w:rFonts w:ascii="Calibri"/>
            <w:b/>
            <w:sz w:val="20"/>
          </w:rPr>
          <w:tab/>
        </w:r>
        <w:r>
          <w:rPr>
            <w:rFonts w:ascii="Calibri"/>
            <w:b/>
            <w:spacing w:val="-10"/>
            <w:sz w:val="20"/>
          </w:rPr>
          <w:t>3</w:t>
        </w:r>
      </w:hyperlink>
    </w:p>
    <w:p>
      <w:pPr>
        <w:pStyle w:val="ListParagraph"/>
        <w:numPr>
          <w:ilvl w:val="0"/>
          <w:numId w:val="1"/>
        </w:numPr>
        <w:tabs>
          <w:tab w:pos="839" w:val="left" w:leader="none"/>
          <w:tab w:pos="9710" w:val="right" w:leader="dot"/>
        </w:tabs>
        <w:spacing w:line="240" w:lineRule="auto" w:before="240" w:after="0"/>
        <w:ind w:left="839" w:right="0" w:hanging="479"/>
        <w:jc w:val="left"/>
        <w:rPr>
          <w:rFonts w:ascii="Calibri"/>
          <w:b/>
          <w:sz w:val="20"/>
        </w:rPr>
      </w:pPr>
      <w:hyperlink w:history="true" w:anchor="_bookmark5">
        <w:r>
          <w:rPr>
            <w:rFonts w:ascii="Calibri"/>
            <w:b/>
            <w:spacing w:val="-2"/>
            <w:sz w:val="20"/>
          </w:rPr>
          <w:t>Procedure</w:t>
        </w:r>
        <w:r>
          <w:rPr>
            <w:rFonts w:ascii="Calibri"/>
            <w:b/>
            <w:sz w:val="20"/>
          </w:rPr>
          <w:tab/>
        </w:r>
        <w:r>
          <w:rPr>
            <w:rFonts w:ascii="Calibri"/>
            <w:b/>
            <w:spacing w:val="-10"/>
            <w:sz w:val="20"/>
          </w:rPr>
          <w:t>4</w:t>
        </w:r>
      </w:hyperlink>
    </w:p>
    <w:p>
      <w:pPr>
        <w:pStyle w:val="ListParagraph"/>
        <w:numPr>
          <w:ilvl w:val="0"/>
          <w:numId w:val="1"/>
        </w:numPr>
        <w:tabs>
          <w:tab w:pos="839" w:val="left" w:leader="none"/>
          <w:tab w:pos="9711" w:val="right" w:leader="dot"/>
        </w:tabs>
        <w:spacing w:line="240" w:lineRule="auto" w:before="240" w:after="0"/>
        <w:ind w:left="839" w:right="0" w:hanging="479"/>
        <w:jc w:val="left"/>
        <w:rPr>
          <w:rFonts w:ascii="Calibri"/>
          <w:b/>
          <w:sz w:val="20"/>
        </w:rPr>
      </w:pPr>
      <w:hyperlink w:history="true" w:anchor="_bookmark6">
        <w:r>
          <w:rPr>
            <w:rFonts w:ascii="Calibri"/>
            <w:b/>
            <w:sz w:val="20"/>
          </w:rPr>
          <w:t>References/Supporting</w:t>
        </w:r>
        <w:r>
          <w:rPr>
            <w:rFonts w:ascii="Calibri"/>
            <w:b/>
            <w:spacing w:val="-11"/>
            <w:sz w:val="20"/>
          </w:rPr>
          <w:t> </w:t>
        </w:r>
        <w:r>
          <w:rPr>
            <w:rFonts w:ascii="Calibri"/>
            <w:b/>
            <w:spacing w:val="-2"/>
            <w:sz w:val="20"/>
          </w:rPr>
          <w:t>Documents</w:t>
        </w:r>
        <w:r>
          <w:rPr>
            <w:rFonts w:ascii="Calibri"/>
            <w:b/>
            <w:sz w:val="20"/>
          </w:rPr>
          <w:tab/>
        </w:r>
        <w:r>
          <w:rPr>
            <w:rFonts w:ascii="Calibri"/>
            <w:b/>
            <w:spacing w:val="-10"/>
            <w:sz w:val="20"/>
          </w:rPr>
          <w:t>4</w:t>
        </w:r>
      </w:hyperlink>
    </w:p>
    <w:p>
      <w:pPr>
        <w:pStyle w:val="ListParagraph"/>
        <w:numPr>
          <w:ilvl w:val="0"/>
          <w:numId w:val="1"/>
        </w:numPr>
        <w:tabs>
          <w:tab w:pos="839" w:val="left" w:leader="none"/>
          <w:tab w:pos="9710" w:val="right" w:leader="dot"/>
        </w:tabs>
        <w:spacing w:line="240" w:lineRule="auto" w:before="240" w:after="0"/>
        <w:ind w:left="839" w:right="0" w:hanging="479"/>
        <w:jc w:val="left"/>
        <w:rPr>
          <w:rFonts w:ascii="Calibri"/>
          <w:b/>
          <w:sz w:val="20"/>
        </w:rPr>
      </w:pPr>
      <w:hyperlink w:history="true" w:anchor="_bookmark7">
        <w:r>
          <w:rPr>
            <w:rFonts w:ascii="Calibri"/>
            <w:b/>
            <w:spacing w:val="-2"/>
            <w:sz w:val="20"/>
          </w:rPr>
          <w:t>Definitions/Glossary</w:t>
        </w:r>
        <w:r>
          <w:rPr>
            <w:rFonts w:ascii="Calibri"/>
            <w:b/>
            <w:sz w:val="20"/>
          </w:rPr>
          <w:tab/>
        </w:r>
        <w:r>
          <w:rPr>
            <w:rFonts w:ascii="Calibri"/>
            <w:b/>
            <w:spacing w:val="-10"/>
            <w:sz w:val="20"/>
          </w:rPr>
          <w:t>5</w:t>
        </w:r>
      </w:hyperlink>
    </w:p>
    <w:p>
      <w:pPr>
        <w:pStyle w:val="ListParagraph"/>
        <w:numPr>
          <w:ilvl w:val="0"/>
          <w:numId w:val="1"/>
        </w:numPr>
        <w:tabs>
          <w:tab w:pos="839" w:val="left" w:leader="none"/>
          <w:tab w:pos="9710" w:val="right" w:leader="dot"/>
        </w:tabs>
        <w:spacing w:line="240" w:lineRule="auto" w:before="241" w:after="0"/>
        <w:ind w:left="839" w:right="0" w:hanging="479"/>
        <w:jc w:val="left"/>
        <w:rPr>
          <w:rFonts w:ascii="Calibri"/>
          <w:b/>
          <w:sz w:val="20"/>
        </w:rPr>
      </w:pPr>
      <w:hyperlink w:history="true" w:anchor="_bookmark8">
        <w:r>
          <w:rPr>
            <w:rFonts w:ascii="Calibri"/>
            <w:b/>
            <w:spacing w:val="-2"/>
            <w:sz w:val="20"/>
          </w:rPr>
          <w:t>Records</w:t>
        </w:r>
        <w:r>
          <w:rPr>
            <w:rFonts w:ascii="Calibri"/>
            <w:b/>
            <w:sz w:val="20"/>
          </w:rPr>
          <w:tab/>
        </w:r>
        <w:r>
          <w:rPr>
            <w:rFonts w:ascii="Calibri"/>
            <w:b/>
            <w:spacing w:val="-10"/>
            <w:sz w:val="20"/>
          </w:rPr>
          <w:t>5</w:t>
        </w:r>
      </w:hyperlink>
    </w:p>
    <w:p>
      <w:pPr>
        <w:pStyle w:val="ListParagraph"/>
        <w:numPr>
          <w:ilvl w:val="0"/>
          <w:numId w:val="1"/>
        </w:numPr>
        <w:tabs>
          <w:tab w:pos="839" w:val="left" w:leader="none"/>
          <w:tab w:pos="9711" w:val="right" w:leader="dot"/>
        </w:tabs>
        <w:spacing w:line="240" w:lineRule="auto" w:before="239" w:after="0"/>
        <w:ind w:left="839" w:right="0" w:hanging="479"/>
        <w:jc w:val="left"/>
        <w:rPr>
          <w:rFonts w:ascii="Calibri"/>
          <w:b/>
          <w:sz w:val="20"/>
        </w:rPr>
      </w:pPr>
      <w:hyperlink w:history="true" w:anchor="_bookmark9">
        <w:r>
          <w:rPr>
            <w:rFonts w:ascii="Calibri"/>
            <w:b/>
            <w:spacing w:val="-2"/>
            <w:sz w:val="20"/>
          </w:rPr>
          <w:t>Attachments</w:t>
        </w:r>
        <w:r>
          <w:rPr>
            <w:rFonts w:ascii="Calibri"/>
            <w:b/>
            <w:sz w:val="20"/>
          </w:rPr>
          <w:tab/>
        </w:r>
        <w:r>
          <w:rPr>
            <w:rFonts w:ascii="Calibri"/>
            <w:b/>
            <w:spacing w:val="-10"/>
            <w:sz w:val="20"/>
          </w:rPr>
          <w:t>5</w:t>
        </w:r>
      </w:hyperlink>
    </w:p>
    <w:p>
      <w:pPr>
        <w:pStyle w:val="ListParagraph"/>
        <w:numPr>
          <w:ilvl w:val="0"/>
          <w:numId w:val="1"/>
        </w:numPr>
        <w:tabs>
          <w:tab w:pos="839" w:val="left" w:leader="none"/>
          <w:tab w:pos="9711" w:val="right" w:leader="dot"/>
        </w:tabs>
        <w:spacing w:line="240" w:lineRule="auto" w:before="241" w:after="0"/>
        <w:ind w:left="839" w:right="0" w:hanging="479"/>
        <w:jc w:val="left"/>
        <w:rPr>
          <w:rFonts w:ascii="Calibri"/>
          <w:b/>
          <w:sz w:val="20"/>
        </w:rPr>
      </w:pPr>
      <w:hyperlink w:history="true" w:anchor="_bookmark10">
        <w:r>
          <w:rPr>
            <w:rFonts w:ascii="Calibri"/>
            <w:b/>
            <w:sz w:val="20"/>
          </w:rPr>
          <w:t>Document</w:t>
        </w:r>
        <w:r>
          <w:rPr>
            <w:rFonts w:ascii="Calibri"/>
            <w:b/>
            <w:spacing w:val="-4"/>
            <w:sz w:val="20"/>
          </w:rPr>
          <w:t> </w:t>
        </w:r>
        <w:r>
          <w:rPr>
            <w:rFonts w:ascii="Calibri"/>
            <w:b/>
            <w:spacing w:val="-2"/>
            <w:sz w:val="20"/>
          </w:rPr>
          <w:t>History</w:t>
        </w:r>
        <w:r>
          <w:rPr>
            <w:rFonts w:ascii="Calibri"/>
            <w:b/>
            <w:sz w:val="20"/>
          </w:rPr>
          <w:tab/>
        </w:r>
        <w:r>
          <w:rPr>
            <w:rFonts w:ascii="Calibri"/>
            <w:b/>
            <w:spacing w:val="-10"/>
            <w:sz w:val="20"/>
          </w:rPr>
          <w:t>5</w:t>
        </w:r>
      </w:hyperlink>
    </w:p>
    <w:p>
      <w:pPr>
        <w:pStyle w:val="ListParagraph"/>
        <w:numPr>
          <w:ilvl w:val="0"/>
          <w:numId w:val="1"/>
        </w:numPr>
        <w:tabs>
          <w:tab w:pos="839" w:val="left" w:leader="none"/>
          <w:tab w:pos="9710" w:val="right" w:leader="dot"/>
        </w:tabs>
        <w:spacing w:line="240" w:lineRule="auto" w:before="239" w:after="0"/>
        <w:ind w:left="839" w:right="0" w:hanging="479"/>
        <w:jc w:val="left"/>
        <w:rPr>
          <w:rFonts w:ascii="Calibri"/>
          <w:b/>
          <w:sz w:val="20"/>
        </w:rPr>
      </w:pPr>
      <w:hyperlink w:history="true" w:anchor="_bookmark11">
        <w:r>
          <w:rPr>
            <w:rFonts w:ascii="Calibri"/>
            <w:b/>
            <w:sz w:val="20"/>
          </w:rPr>
          <w:t>Change</w:t>
        </w:r>
        <w:r>
          <w:rPr>
            <w:rFonts w:ascii="Calibri"/>
            <w:b/>
            <w:spacing w:val="-5"/>
            <w:sz w:val="20"/>
          </w:rPr>
          <w:t> </w:t>
        </w:r>
        <w:r>
          <w:rPr>
            <w:rFonts w:ascii="Calibri"/>
            <w:b/>
            <w:spacing w:val="-2"/>
            <w:sz w:val="20"/>
          </w:rPr>
          <w:t>History</w:t>
        </w:r>
        <w:r>
          <w:rPr>
            <w:rFonts w:ascii="Calibri"/>
            <w:b/>
            <w:sz w:val="20"/>
          </w:rPr>
          <w:tab/>
        </w:r>
        <w:r>
          <w:rPr>
            <w:rFonts w:ascii="Calibri"/>
            <w:b/>
            <w:spacing w:val="-12"/>
            <w:sz w:val="20"/>
          </w:rPr>
          <w:t>5</w:t>
        </w:r>
      </w:hyperlink>
    </w:p>
    <w:p>
      <w:pPr>
        <w:pStyle w:val="ListParagraph"/>
        <w:spacing w:after="0" w:line="240" w:lineRule="auto"/>
        <w:jc w:val="left"/>
        <w:rPr>
          <w:rFonts w:ascii="Calibri"/>
          <w:b/>
          <w:sz w:val="20"/>
        </w:rPr>
        <w:sectPr>
          <w:headerReference w:type="default" r:id="rId5"/>
          <w:footerReference w:type="default" r:id="rId6"/>
          <w:type w:val="continuous"/>
          <w:pgSz w:w="12240" w:h="15840"/>
          <w:pgMar w:header="1001" w:footer="1251" w:top="2800" w:bottom="1440" w:left="1080" w:right="360"/>
          <w:pgNumType w:start="1"/>
        </w:sectPr>
      </w:pPr>
    </w:p>
    <w:p>
      <w:pPr>
        <w:pStyle w:val="BodyText"/>
        <w:spacing w:before="12"/>
        <w:rPr>
          <w:rFonts w:ascii="Calibri"/>
          <w:b/>
          <w:sz w:val="22"/>
        </w:rPr>
      </w:pPr>
    </w:p>
    <w:p>
      <w:pPr>
        <w:pStyle w:val="ListParagraph"/>
        <w:numPr>
          <w:ilvl w:val="0"/>
          <w:numId w:val="2"/>
        </w:numPr>
        <w:tabs>
          <w:tab w:pos="1267" w:val="left" w:leader="none"/>
        </w:tabs>
        <w:spacing w:line="240" w:lineRule="auto" w:before="0" w:after="0"/>
        <w:ind w:left="1267" w:right="0" w:hanging="547"/>
        <w:jc w:val="left"/>
        <w:rPr>
          <w:rFonts w:ascii="Arial"/>
          <w:b/>
          <w:sz w:val="22"/>
        </w:rPr>
      </w:pPr>
      <w:bookmarkStart w:name="1. Purpose" w:id="1"/>
      <w:bookmarkEnd w:id="1"/>
      <w:r>
        <w:rPr/>
      </w:r>
      <w:bookmarkStart w:name="_bookmark0" w:id="2"/>
      <w:bookmarkEnd w:id="2"/>
      <w:r>
        <w:rPr/>
      </w:r>
      <w:r>
        <w:rPr>
          <w:rFonts w:ascii="Arial"/>
          <w:b/>
          <w:spacing w:val="-2"/>
          <w:sz w:val="22"/>
        </w:rPr>
        <w:t>Purpose</w:t>
      </w:r>
    </w:p>
    <w:p>
      <w:pPr>
        <w:pStyle w:val="BodyText"/>
        <w:spacing w:before="239"/>
        <w:ind w:left="1260" w:right="1162"/>
      </w:pPr>
      <w:r>
        <w:rPr/>
        <w:t>This Field Management Directive (FMD) provides criteria and instructions for releasing one copy of an Establishment Inspection Report (EIR), to the firm’s top management official or designee at the inspected firm, in accordance with the</w:t>
      </w:r>
      <w:r>
        <w:rPr>
          <w:spacing w:val="-5"/>
        </w:rPr>
        <w:t> </w:t>
      </w:r>
      <w:r>
        <w:rPr/>
        <w:t>agency’s</w:t>
      </w:r>
      <w:r>
        <w:rPr>
          <w:spacing w:val="-5"/>
        </w:rPr>
        <w:t> </w:t>
      </w:r>
      <w:r>
        <w:rPr/>
        <w:t>policy</w:t>
      </w:r>
      <w:r>
        <w:rPr>
          <w:spacing w:val="-5"/>
        </w:rPr>
        <w:t> </w:t>
      </w:r>
      <w:r>
        <w:rPr/>
        <w:t>articulated</w:t>
      </w:r>
      <w:r>
        <w:rPr>
          <w:spacing w:val="-5"/>
        </w:rPr>
        <w:t> </w:t>
      </w:r>
      <w:r>
        <w:rPr/>
        <w:t>at</w:t>
      </w:r>
      <w:r>
        <w:rPr>
          <w:spacing w:val="-4"/>
        </w:rPr>
        <w:t> </w:t>
      </w:r>
      <w:r>
        <w:rPr/>
        <w:t>“Release</w:t>
      </w:r>
      <w:r>
        <w:rPr>
          <w:spacing w:val="-5"/>
        </w:rPr>
        <w:t> </w:t>
      </w:r>
      <w:r>
        <w:rPr/>
        <w:t>of</w:t>
      </w:r>
      <w:r>
        <w:rPr>
          <w:spacing w:val="-4"/>
        </w:rPr>
        <w:t> </w:t>
      </w:r>
      <w:r>
        <w:rPr/>
        <w:t>Establishment</w:t>
      </w:r>
      <w:r>
        <w:rPr>
          <w:spacing w:val="-4"/>
        </w:rPr>
        <w:t> </w:t>
      </w:r>
      <w:r>
        <w:rPr/>
        <w:t>Inspection</w:t>
      </w:r>
      <w:r>
        <w:rPr>
          <w:spacing w:val="-5"/>
        </w:rPr>
        <w:t> </w:t>
      </w:r>
      <w:r>
        <w:rPr/>
        <w:t>Report to the Inspected Establishment” 62 Fed. Reg. 18138, April 14, 1997.</w:t>
      </w:r>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2. Scope" w:id="3"/>
      <w:bookmarkEnd w:id="3"/>
      <w:r>
        <w:rPr/>
      </w:r>
      <w:bookmarkStart w:name="_bookmark1" w:id="4"/>
      <w:bookmarkEnd w:id="4"/>
      <w:r>
        <w:rPr/>
      </w:r>
      <w:r>
        <w:rPr>
          <w:rFonts w:ascii="Arial"/>
          <w:b/>
          <w:spacing w:val="-2"/>
          <w:sz w:val="22"/>
        </w:rPr>
        <w:t>Scope</w:t>
      </w:r>
    </w:p>
    <w:p>
      <w:pPr>
        <w:pStyle w:val="BodyText"/>
        <w:spacing w:before="241"/>
        <w:ind w:left="1267" w:right="1162"/>
      </w:pPr>
      <w:r>
        <w:rPr/>
        <w:t>To be eligible for EIR release under the process outlined by this FMD, the inspection, domestic or foreign, performed by FDA or State and local authorities under contract with FDA, must be deemed closed in accordance with</w:t>
      </w:r>
      <w:r>
        <w:rPr>
          <w:spacing w:val="-5"/>
        </w:rPr>
        <w:t> </w:t>
      </w:r>
      <w:r>
        <w:rPr/>
        <w:t>21</w:t>
      </w:r>
      <w:r>
        <w:rPr>
          <w:spacing w:val="-5"/>
        </w:rPr>
        <w:t> </w:t>
      </w:r>
      <w:r>
        <w:rPr/>
        <w:t>C.F.R.</w:t>
      </w:r>
      <w:r>
        <w:rPr>
          <w:spacing w:val="-4"/>
        </w:rPr>
        <w:t> </w:t>
      </w:r>
      <w:r>
        <w:rPr/>
        <w:t>§</w:t>
      </w:r>
      <w:r>
        <w:rPr>
          <w:spacing w:val="-5"/>
        </w:rPr>
        <w:t> </w:t>
      </w:r>
      <w:r>
        <w:rPr/>
        <w:t>20.64(d)(3).</w:t>
      </w:r>
      <w:r>
        <w:rPr>
          <w:spacing w:val="-4"/>
        </w:rPr>
        <w:t> </w:t>
      </w:r>
      <w:r>
        <w:rPr/>
        <w:t>Cooperative</w:t>
      </w:r>
      <w:r>
        <w:rPr>
          <w:spacing w:val="-5"/>
        </w:rPr>
        <w:t> </w:t>
      </w:r>
      <w:r>
        <w:rPr/>
        <w:t>agreement</w:t>
      </w:r>
      <w:r>
        <w:rPr>
          <w:spacing w:val="-4"/>
        </w:rPr>
        <w:t> </w:t>
      </w:r>
      <w:r>
        <w:rPr/>
        <w:t>inspections</w:t>
      </w:r>
      <w:r>
        <w:rPr>
          <w:spacing w:val="-5"/>
        </w:rPr>
        <w:t> </w:t>
      </w:r>
      <w:r>
        <w:rPr/>
        <w:t>performed under a grant from FDA are outside the scope of this FMD.</w:t>
      </w:r>
      <w:hyperlink w:history="true" w:anchor="_bookmark2">
        <w:r>
          <w:rPr>
            <w:vertAlign w:val="superscript"/>
          </w:rPr>
          <w:t>1</w:t>
        </w:r>
      </w:hyperlink>
    </w:p>
    <w:p>
      <w:pPr>
        <w:pStyle w:val="BodyText"/>
        <w:spacing w:before="120"/>
        <w:ind w:left="1260" w:right="1162"/>
      </w:pPr>
      <w:r>
        <w:rPr/>
        <w:t>Inspections resulting in agency action (e.g., Warning Letter, Untitled Letter, Seizure)</w:t>
      </w:r>
      <w:r>
        <w:rPr>
          <w:spacing w:val="-3"/>
        </w:rPr>
        <w:t> </w:t>
      </w:r>
      <w:r>
        <w:rPr/>
        <w:t>are</w:t>
      </w:r>
      <w:r>
        <w:rPr>
          <w:spacing w:val="-4"/>
        </w:rPr>
        <w:t> </w:t>
      </w:r>
      <w:r>
        <w:rPr/>
        <w:t>not</w:t>
      </w:r>
      <w:r>
        <w:rPr>
          <w:spacing w:val="-3"/>
        </w:rPr>
        <w:t> </w:t>
      </w:r>
      <w:r>
        <w:rPr/>
        <w:t>eligible</w:t>
      </w:r>
      <w:r>
        <w:rPr>
          <w:spacing w:val="-4"/>
        </w:rPr>
        <w:t> </w:t>
      </w:r>
      <w:r>
        <w:rPr/>
        <w:t>for</w:t>
      </w:r>
      <w:r>
        <w:rPr>
          <w:spacing w:val="-5"/>
        </w:rPr>
        <w:t> </w:t>
      </w:r>
      <w:r>
        <w:rPr/>
        <w:t>release</w:t>
      </w:r>
      <w:r>
        <w:rPr>
          <w:spacing w:val="-5"/>
        </w:rPr>
        <w:t> </w:t>
      </w:r>
      <w:r>
        <w:rPr/>
        <w:t>until</w:t>
      </w:r>
      <w:r>
        <w:rPr>
          <w:spacing w:val="-4"/>
        </w:rPr>
        <w:t> </w:t>
      </w:r>
      <w:r>
        <w:rPr/>
        <w:t>the</w:t>
      </w:r>
      <w:r>
        <w:rPr>
          <w:spacing w:val="-4"/>
        </w:rPr>
        <w:t> </w:t>
      </w:r>
      <w:r>
        <w:rPr/>
        <w:t>inspection</w:t>
      </w:r>
      <w:r>
        <w:rPr>
          <w:spacing w:val="-4"/>
        </w:rPr>
        <w:t> </w:t>
      </w:r>
      <w:r>
        <w:rPr/>
        <w:t>is</w:t>
      </w:r>
      <w:r>
        <w:rPr>
          <w:spacing w:val="-4"/>
        </w:rPr>
        <w:t> </w:t>
      </w:r>
      <w:r>
        <w:rPr/>
        <w:t>closed</w:t>
      </w:r>
      <w:r>
        <w:rPr>
          <w:spacing w:val="-4"/>
        </w:rPr>
        <w:t> </w:t>
      </w:r>
      <w:r>
        <w:rPr/>
        <w:t>in</w:t>
      </w:r>
      <w:r>
        <w:rPr>
          <w:spacing w:val="-4"/>
        </w:rPr>
        <w:t> </w:t>
      </w:r>
      <w:r>
        <w:rPr/>
        <w:t>accordance with 21 C.F.R. § 20.64(d)(3).</w:t>
      </w:r>
      <w:r>
        <w:rPr>
          <w:spacing w:val="40"/>
        </w:rPr>
        <w:t> </w:t>
      </w:r>
      <w:r>
        <w:rPr/>
        <w:t>In the case of endorsed OAI inspections with Final Division Decisions, confirmation that no further agency action is planned from the appropriate Compliance Branch or Center must be obtained before </w:t>
      </w:r>
      <w:r>
        <w:rPr>
          <w:spacing w:val="-2"/>
        </w:rPr>
        <w:t>release.</w:t>
      </w:r>
    </w:p>
    <w:p>
      <w:pPr>
        <w:pStyle w:val="BodyText"/>
      </w:pPr>
    </w:p>
    <w:p>
      <w:pPr>
        <w:pStyle w:val="BodyText"/>
        <w:ind w:left="1260" w:right="1162"/>
      </w:pPr>
      <w:r>
        <w:rPr/>
        <w:t>Inspections</w:t>
      </w:r>
      <w:r>
        <w:rPr>
          <w:spacing w:val="-4"/>
        </w:rPr>
        <w:t> </w:t>
      </w:r>
      <w:r>
        <w:rPr/>
        <w:t>completed</w:t>
      </w:r>
      <w:r>
        <w:rPr>
          <w:spacing w:val="-5"/>
        </w:rPr>
        <w:t> </w:t>
      </w:r>
      <w:r>
        <w:rPr/>
        <w:t>under</w:t>
      </w:r>
      <w:r>
        <w:rPr>
          <w:spacing w:val="-4"/>
        </w:rPr>
        <w:t> </w:t>
      </w:r>
      <w:r>
        <w:rPr/>
        <w:t>the</w:t>
      </w:r>
      <w:r>
        <w:rPr>
          <w:spacing w:val="-7"/>
        </w:rPr>
        <w:t> </w:t>
      </w:r>
      <w:r>
        <w:rPr/>
        <w:t>Mammography</w:t>
      </w:r>
      <w:r>
        <w:rPr>
          <w:spacing w:val="-5"/>
        </w:rPr>
        <w:t> </w:t>
      </w:r>
      <w:r>
        <w:rPr/>
        <w:t>Quality</w:t>
      </w:r>
      <w:r>
        <w:rPr>
          <w:spacing w:val="-5"/>
        </w:rPr>
        <w:t> </w:t>
      </w:r>
      <w:r>
        <w:rPr/>
        <w:t>Standards</w:t>
      </w:r>
      <w:r>
        <w:rPr>
          <w:spacing w:val="-5"/>
        </w:rPr>
        <w:t> </w:t>
      </w:r>
      <w:r>
        <w:rPr/>
        <w:t>Act</w:t>
      </w:r>
      <w:r>
        <w:rPr>
          <w:spacing w:val="-4"/>
        </w:rPr>
        <w:t> </w:t>
      </w:r>
      <w:r>
        <w:rPr/>
        <w:t>are released under separate procedures.</w:t>
      </w:r>
    </w:p>
    <w:p>
      <w:pPr>
        <w:pStyle w:val="BodyText"/>
      </w:pPr>
    </w:p>
    <w:p>
      <w:pPr>
        <w:pStyle w:val="BodyText"/>
        <w:ind w:left="1260" w:right="1162"/>
      </w:pPr>
      <w:r>
        <w:rPr/>
        <w:t>Special domestic investigation activities like those identified with the FACTS Operation</w:t>
      </w:r>
      <w:r>
        <w:rPr>
          <w:spacing w:val="-3"/>
        </w:rPr>
        <w:t> </w:t>
      </w:r>
      <w:r>
        <w:rPr/>
        <w:t>Code</w:t>
      </w:r>
      <w:r>
        <w:rPr>
          <w:spacing w:val="-3"/>
        </w:rPr>
        <w:t> </w:t>
      </w:r>
      <w:r>
        <w:rPr/>
        <w:t>13</w:t>
      </w:r>
      <w:r>
        <w:rPr>
          <w:spacing w:val="-3"/>
        </w:rPr>
        <w:t> </w:t>
      </w:r>
      <w:r>
        <w:rPr/>
        <w:t>are</w:t>
      </w:r>
      <w:r>
        <w:rPr>
          <w:spacing w:val="-3"/>
        </w:rPr>
        <w:t> </w:t>
      </w:r>
      <w:r>
        <w:rPr/>
        <w:t>outside</w:t>
      </w:r>
      <w:r>
        <w:rPr>
          <w:spacing w:val="-3"/>
        </w:rPr>
        <w:t> </w:t>
      </w:r>
      <w:r>
        <w:rPr/>
        <w:t>the</w:t>
      </w:r>
      <w:r>
        <w:rPr>
          <w:spacing w:val="-3"/>
        </w:rPr>
        <w:t> </w:t>
      </w:r>
      <w:r>
        <w:rPr/>
        <w:t>scope</w:t>
      </w:r>
      <w:r>
        <w:rPr>
          <w:spacing w:val="-3"/>
        </w:rPr>
        <w:t> </w:t>
      </w:r>
      <w:r>
        <w:rPr/>
        <w:t>of</w:t>
      </w:r>
      <w:r>
        <w:rPr>
          <w:spacing w:val="-2"/>
        </w:rPr>
        <w:t> </w:t>
      </w:r>
      <w:r>
        <w:rPr/>
        <w:t>the</w:t>
      </w:r>
      <w:r>
        <w:rPr>
          <w:spacing w:val="-5"/>
        </w:rPr>
        <w:t> </w:t>
      </w:r>
      <w:r>
        <w:rPr/>
        <w:t>this</w:t>
      </w:r>
      <w:r>
        <w:rPr>
          <w:spacing w:val="-3"/>
        </w:rPr>
        <w:t> </w:t>
      </w:r>
      <w:r>
        <w:rPr/>
        <w:t>FMD</w:t>
      </w:r>
      <w:r>
        <w:rPr>
          <w:spacing w:val="-3"/>
        </w:rPr>
        <w:t> </w:t>
      </w:r>
      <w:r>
        <w:rPr/>
        <w:t>as</w:t>
      </w:r>
      <w:r>
        <w:rPr>
          <w:spacing w:val="-3"/>
        </w:rPr>
        <w:t> </w:t>
      </w:r>
      <w:r>
        <w:rPr/>
        <w:t>those</w:t>
      </w:r>
      <w:r>
        <w:rPr>
          <w:spacing w:val="-3"/>
        </w:rPr>
        <w:t> </w:t>
      </w:r>
      <w:r>
        <w:rPr/>
        <w:t>activities</w:t>
      </w:r>
      <w:r>
        <w:rPr>
          <w:spacing w:val="-3"/>
        </w:rPr>
        <w:t> </w:t>
      </w:r>
      <w:r>
        <w:rPr/>
        <w:t>do not generate EIRs.</w:t>
      </w:r>
    </w:p>
    <w:p>
      <w:pPr>
        <w:pStyle w:val="BodyText"/>
      </w:pPr>
    </w:p>
    <w:p>
      <w:pPr>
        <w:pStyle w:val="BodyText"/>
        <w:ind w:left="1260" w:right="1167"/>
      </w:pPr>
      <w:r>
        <w:rPr/>
        <w:t>If</w:t>
      </w:r>
      <w:r>
        <w:rPr>
          <w:spacing w:val="-2"/>
        </w:rPr>
        <w:t> </w:t>
      </w:r>
      <w:r>
        <w:rPr/>
        <w:t>a</w:t>
      </w:r>
      <w:r>
        <w:rPr>
          <w:spacing w:val="-4"/>
        </w:rPr>
        <w:t> </w:t>
      </w:r>
      <w:r>
        <w:rPr/>
        <w:t>Program</w:t>
      </w:r>
      <w:r>
        <w:rPr>
          <w:spacing w:val="-2"/>
        </w:rPr>
        <w:t> </w:t>
      </w:r>
      <w:r>
        <w:rPr/>
        <w:t>or</w:t>
      </w:r>
      <w:r>
        <w:rPr>
          <w:spacing w:val="-4"/>
        </w:rPr>
        <w:t> </w:t>
      </w:r>
      <w:r>
        <w:rPr/>
        <w:t>Office</w:t>
      </w:r>
      <w:r>
        <w:rPr>
          <w:spacing w:val="-3"/>
        </w:rPr>
        <w:t> </w:t>
      </w:r>
      <w:r>
        <w:rPr/>
        <w:t>enters</w:t>
      </w:r>
      <w:r>
        <w:rPr>
          <w:spacing w:val="-3"/>
        </w:rPr>
        <w:t> </w:t>
      </w:r>
      <w:r>
        <w:rPr/>
        <w:t>a</w:t>
      </w:r>
      <w:r>
        <w:rPr>
          <w:spacing w:val="-4"/>
        </w:rPr>
        <w:t> </w:t>
      </w:r>
      <w:r>
        <w:rPr/>
        <w:t>formal</w:t>
      </w:r>
      <w:r>
        <w:rPr>
          <w:spacing w:val="-3"/>
        </w:rPr>
        <w:t> </w:t>
      </w:r>
      <w:r>
        <w:rPr/>
        <w:t>agreement</w:t>
      </w:r>
      <w:r>
        <w:rPr>
          <w:spacing w:val="-3"/>
        </w:rPr>
        <w:t> </w:t>
      </w:r>
      <w:r>
        <w:rPr/>
        <w:t>with</w:t>
      </w:r>
      <w:r>
        <w:rPr>
          <w:spacing w:val="-3"/>
        </w:rPr>
        <w:t> </w:t>
      </w:r>
      <w:r>
        <w:rPr/>
        <w:t>another</w:t>
      </w:r>
      <w:r>
        <w:rPr>
          <w:spacing w:val="-2"/>
        </w:rPr>
        <w:t> </w:t>
      </w:r>
      <w:r>
        <w:rPr/>
        <w:t>Center,</w:t>
      </w:r>
      <w:r>
        <w:rPr>
          <w:spacing w:val="-2"/>
        </w:rPr>
        <w:t> </w:t>
      </w:r>
      <w:r>
        <w:rPr/>
        <w:t>such</w:t>
      </w:r>
      <w:r>
        <w:rPr>
          <w:spacing w:val="-3"/>
        </w:rPr>
        <w:t> </w:t>
      </w:r>
      <w:r>
        <w:rPr/>
        <w:t>as a Concept of Operations, then the agreement’s release timelines will take precedence.</w:t>
      </w:r>
      <w:r>
        <w:rPr>
          <w:spacing w:val="40"/>
        </w:rPr>
        <w:t> </w:t>
      </w:r>
      <w:r>
        <w:rPr/>
        <w:t>All other requirements of this FMD will remain in effect.</w:t>
      </w:r>
    </w:p>
    <w:p>
      <w:pPr>
        <w:pStyle w:val="BodyText"/>
        <w:rPr>
          <w:sz w:val="20"/>
        </w:rPr>
      </w:pPr>
    </w:p>
    <w:p>
      <w:pPr>
        <w:pStyle w:val="BodyText"/>
        <w:rPr>
          <w:sz w:val="20"/>
        </w:rPr>
      </w:pP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238632</wp:posOffset>
                </wp:positionV>
                <wp:extent cx="1828800"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789984pt;width:144pt;height:.599pt;mso-position-horizontal-relative:page;mso-position-vertical-relative:paragraph;z-index:-15727616;mso-wrap-distance-left:0;mso-wrap-distance-right:0" id="docshape7" filled="true" fillcolor="#000000" stroked="false">
                <v:fill type="solid"/>
                <w10:wrap type="topAndBottom"/>
              </v:rect>
            </w:pict>
          </mc:Fallback>
        </mc:AlternateContent>
      </w:r>
    </w:p>
    <w:p>
      <w:pPr>
        <w:pStyle w:val="BodyText"/>
        <w:spacing w:before="146"/>
        <w:rPr>
          <w:sz w:val="20"/>
        </w:rPr>
      </w:pPr>
    </w:p>
    <w:p>
      <w:pPr>
        <w:spacing w:before="0"/>
        <w:ind w:left="359" w:right="1162" w:firstLine="0"/>
        <w:jc w:val="left"/>
        <w:rPr>
          <w:rFonts w:ascii="Arial"/>
          <w:i/>
          <w:sz w:val="20"/>
        </w:rPr>
      </w:pPr>
      <w:bookmarkStart w:name="_bookmark2" w:id="5"/>
      <w:bookmarkEnd w:id="5"/>
      <w:r>
        <w:rPr/>
      </w:r>
      <w:r>
        <w:rPr>
          <w:sz w:val="20"/>
          <w:vertAlign w:val="superscript"/>
        </w:rPr>
        <w:t>1</w:t>
      </w:r>
      <w:r>
        <w:rPr>
          <w:sz w:val="20"/>
          <w:vertAlign w:val="baseline"/>
        </w:rPr>
        <w:t> In general, grantees own the rights in data resulting from a grant-supported project or program. </w:t>
      </w:r>
      <w:r>
        <w:rPr>
          <w:rFonts w:ascii="Arial"/>
          <w:i/>
          <w:sz w:val="20"/>
          <w:vertAlign w:val="baseline"/>
        </w:rPr>
        <w:t>See Rights</w:t>
      </w:r>
      <w:r>
        <w:rPr>
          <w:rFonts w:ascii="Arial"/>
          <w:i/>
          <w:spacing w:val="-12"/>
          <w:sz w:val="20"/>
          <w:vertAlign w:val="baseline"/>
        </w:rPr>
        <w:t> </w:t>
      </w:r>
      <w:r>
        <w:rPr>
          <w:rFonts w:ascii="Arial"/>
          <w:i/>
          <w:sz w:val="20"/>
          <w:vertAlign w:val="baseline"/>
        </w:rPr>
        <w:t>in</w:t>
      </w:r>
      <w:r>
        <w:rPr>
          <w:rFonts w:ascii="Arial"/>
          <w:i/>
          <w:spacing w:val="-13"/>
          <w:sz w:val="20"/>
          <w:vertAlign w:val="baseline"/>
        </w:rPr>
        <w:t> </w:t>
      </w:r>
      <w:r>
        <w:rPr>
          <w:rFonts w:ascii="Arial"/>
          <w:i/>
          <w:sz w:val="20"/>
          <w:vertAlign w:val="baseline"/>
        </w:rPr>
        <w:t>Data,</w:t>
      </w:r>
      <w:r>
        <w:rPr>
          <w:rFonts w:ascii="Arial"/>
          <w:i/>
          <w:spacing w:val="-13"/>
          <w:sz w:val="20"/>
          <w:vertAlign w:val="baseline"/>
        </w:rPr>
        <w:t> </w:t>
      </w:r>
      <w:r>
        <w:rPr>
          <w:rFonts w:ascii="Arial"/>
          <w:i/>
          <w:sz w:val="20"/>
          <w:vertAlign w:val="baseline"/>
        </w:rPr>
        <w:t>https://</w:t>
      </w:r>
      <w:hyperlink r:id="rId9">
        <w:r>
          <w:rPr>
            <w:rFonts w:ascii="Arial"/>
            <w:i/>
            <w:sz w:val="20"/>
            <w:vertAlign w:val="baseline"/>
          </w:rPr>
          <w:t>www.hhs.gov/sites/default/files/grants/grants/policies-regulations/hhsgps107.pdf</w:t>
        </w:r>
      </w:hyperlink>
    </w:p>
    <w:p>
      <w:pPr>
        <w:spacing w:after="0"/>
        <w:jc w:val="left"/>
        <w:rPr>
          <w:rFonts w:ascii="Arial"/>
          <w:i/>
          <w:sz w:val="20"/>
        </w:rPr>
        <w:sectPr>
          <w:headerReference w:type="default" r:id="rId7"/>
          <w:footerReference w:type="default" r:id="rId8"/>
          <w:pgSz w:w="12240" w:h="15840"/>
          <w:pgMar w:header="1001" w:footer="1251" w:top="2800" w:bottom="1440" w:left="1080" w:right="360"/>
        </w:sectPr>
      </w:pPr>
    </w:p>
    <w:p>
      <w:pPr>
        <w:pStyle w:val="BodyText"/>
        <w:spacing w:before="27"/>
        <w:rPr>
          <w:rFonts w:ascii="Arial"/>
          <w:i/>
          <w:sz w:val="22"/>
        </w:rPr>
      </w:pPr>
    </w:p>
    <w:p>
      <w:pPr>
        <w:pStyle w:val="ListParagraph"/>
        <w:numPr>
          <w:ilvl w:val="0"/>
          <w:numId w:val="2"/>
        </w:numPr>
        <w:tabs>
          <w:tab w:pos="1267" w:val="left" w:leader="none"/>
        </w:tabs>
        <w:spacing w:line="240" w:lineRule="auto" w:before="1" w:after="0"/>
        <w:ind w:left="1267" w:right="0" w:hanging="547"/>
        <w:jc w:val="left"/>
        <w:rPr>
          <w:rFonts w:ascii="Arial"/>
          <w:b/>
          <w:sz w:val="22"/>
        </w:rPr>
      </w:pPr>
      <w:bookmarkStart w:name="3. Background" w:id="6"/>
      <w:bookmarkEnd w:id="6"/>
      <w:r>
        <w:rPr/>
      </w:r>
      <w:bookmarkStart w:name="_bookmark3" w:id="7"/>
      <w:bookmarkEnd w:id="7"/>
      <w:r>
        <w:rPr/>
      </w:r>
      <w:r>
        <w:rPr>
          <w:rFonts w:ascii="Arial"/>
          <w:b/>
          <w:spacing w:val="-2"/>
          <w:sz w:val="22"/>
        </w:rPr>
        <w:t>Background</w:t>
      </w:r>
    </w:p>
    <w:p>
      <w:pPr>
        <w:pStyle w:val="BodyText"/>
        <w:spacing w:before="239"/>
        <w:ind w:left="1260" w:right="1162"/>
      </w:pPr>
      <w:r>
        <w:rPr/>
        <w:t>In 1997, FDA announced in the </w:t>
      </w:r>
      <w:hyperlink r:id="rId12">
        <w:r>
          <w:rPr>
            <w:rFonts w:ascii="Arial"/>
            <w:i/>
            <w:color w:val="0000FF"/>
            <w:u w:val="single" w:color="0000FF"/>
          </w:rPr>
          <w:t>Federal Register</w:t>
        </w:r>
      </w:hyperlink>
      <w:r>
        <w:rPr>
          <w:rFonts w:ascii="Arial"/>
          <w:i/>
          <w:color w:val="0000FF"/>
        </w:rPr>
        <w:t> </w:t>
      </w:r>
      <w:r>
        <w:rPr/>
        <w:t>a policy that the narrative portion</w:t>
      </w:r>
      <w:r>
        <w:rPr>
          <w:spacing w:val="-4"/>
        </w:rPr>
        <w:t> </w:t>
      </w:r>
      <w:r>
        <w:rPr/>
        <w:t>of</w:t>
      </w:r>
      <w:r>
        <w:rPr>
          <w:spacing w:val="-3"/>
        </w:rPr>
        <w:t> </w:t>
      </w:r>
      <w:r>
        <w:rPr/>
        <w:t>the</w:t>
      </w:r>
      <w:r>
        <w:rPr>
          <w:spacing w:val="-4"/>
        </w:rPr>
        <w:t> </w:t>
      </w:r>
      <w:r>
        <w:rPr/>
        <w:t>EIR</w:t>
      </w:r>
      <w:r>
        <w:rPr>
          <w:spacing w:val="-4"/>
        </w:rPr>
        <w:t> </w:t>
      </w:r>
      <w:r>
        <w:rPr/>
        <w:t>should</w:t>
      </w:r>
      <w:r>
        <w:rPr>
          <w:spacing w:val="-4"/>
        </w:rPr>
        <w:t> </w:t>
      </w:r>
      <w:r>
        <w:rPr/>
        <w:t>be</w:t>
      </w:r>
      <w:r>
        <w:rPr>
          <w:spacing w:val="-4"/>
        </w:rPr>
        <w:t> </w:t>
      </w:r>
      <w:r>
        <w:rPr/>
        <w:t>routinely</w:t>
      </w:r>
      <w:r>
        <w:rPr>
          <w:spacing w:val="-4"/>
        </w:rPr>
        <w:t> </w:t>
      </w:r>
      <w:r>
        <w:rPr/>
        <w:t>provided</w:t>
      </w:r>
      <w:r>
        <w:rPr>
          <w:spacing w:val="-4"/>
        </w:rPr>
        <w:t> </w:t>
      </w:r>
      <w:r>
        <w:rPr/>
        <w:t>to</w:t>
      </w:r>
      <w:r>
        <w:rPr>
          <w:spacing w:val="-4"/>
        </w:rPr>
        <w:t> </w:t>
      </w:r>
      <w:r>
        <w:rPr/>
        <w:t>the</w:t>
      </w:r>
      <w:r>
        <w:rPr>
          <w:spacing w:val="-4"/>
        </w:rPr>
        <w:t> </w:t>
      </w:r>
      <w:r>
        <w:rPr/>
        <w:t>inspected</w:t>
      </w:r>
      <w:r>
        <w:rPr>
          <w:spacing w:val="-4"/>
        </w:rPr>
        <w:t> </w:t>
      </w:r>
      <w:r>
        <w:rPr/>
        <w:t>establishment once the agency concludes that the inspection is closed.</w:t>
      </w:r>
    </w:p>
    <w:p>
      <w:pPr>
        <w:pStyle w:val="BodyText"/>
        <w:spacing w:before="240"/>
        <w:ind w:left="1260" w:right="808"/>
        <w:rPr>
          <w:rFonts w:ascii="Arial"/>
          <w:b/>
        </w:rPr>
      </w:pPr>
      <w:r>
        <w:rPr/>
        <w:t>Prior to instituting this practice, a number of industry associations expressed concerns that other requestors may receive copies of the EIR prior to the inspected</w:t>
      </w:r>
      <w:r>
        <w:rPr>
          <w:spacing w:val="-4"/>
        </w:rPr>
        <w:t> </w:t>
      </w:r>
      <w:r>
        <w:rPr/>
        <w:t>establishment</w:t>
      </w:r>
      <w:r>
        <w:rPr>
          <w:spacing w:val="-4"/>
        </w:rPr>
        <w:t> </w:t>
      </w:r>
      <w:r>
        <w:rPr/>
        <w:t>through</w:t>
      </w:r>
      <w:r>
        <w:rPr>
          <w:spacing w:val="-4"/>
        </w:rPr>
        <w:t> </w:t>
      </w:r>
      <w:r>
        <w:rPr/>
        <w:t>the</w:t>
      </w:r>
      <w:r>
        <w:rPr>
          <w:spacing w:val="-4"/>
        </w:rPr>
        <w:t> </w:t>
      </w:r>
      <w:r>
        <w:rPr/>
        <w:t>Freedom</w:t>
      </w:r>
      <w:r>
        <w:rPr>
          <w:spacing w:val="-4"/>
        </w:rPr>
        <w:t> </w:t>
      </w:r>
      <w:r>
        <w:rPr/>
        <w:t>of</w:t>
      </w:r>
      <w:r>
        <w:rPr>
          <w:spacing w:val="-5"/>
        </w:rPr>
        <w:t> </w:t>
      </w:r>
      <w:r>
        <w:rPr/>
        <w:t>Information</w:t>
      </w:r>
      <w:r>
        <w:rPr>
          <w:spacing w:val="-4"/>
        </w:rPr>
        <w:t> </w:t>
      </w:r>
      <w:r>
        <w:rPr/>
        <w:t>Act</w:t>
      </w:r>
      <w:r>
        <w:rPr>
          <w:spacing w:val="-4"/>
        </w:rPr>
        <w:t> </w:t>
      </w:r>
      <w:r>
        <w:rPr/>
        <w:t>(FOIA).</w:t>
      </w:r>
      <w:r>
        <w:rPr>
          <w:spacing w:val="-5"/>
        </w:rPr>
        <w:t> </w:t>
      </w:r>
      <w:r>
        <w:rPr/>
        <w:t>These groups requested that FDA provide a copy of the EIR to the facility after the </w:t>
      </w:r>
      <w:r>
        <w:rPr>
          <w:spacing w:val="-2"/>
        </w:rPr>
        <w:t>inspection</w:t>
      </w:r>
      <w:r>
        <w:rPr>
          <w:rFonts w:ascii="Arial"/>
          <w:b/>
          <w:spacing w:val="-2"/>
        </w:rPr>
        <w:t>.</w:t>
      </w:r>
    </w:p>
    <w:p>
      <w:pPr>
        <w:pStyle w:val="BodyText"/>
        <w:spacing w:before="240"/>
        <w:ind w:left="1260" w:right="808"/>
      </w:pPr>
      <w:r>
        <w:rPr/>
        <w:t>The</w:t>
      </w:r>
      <w:r>
        <w:rPr>
          <w:spacing w:val="-4"/>
        </w:rPr>
        <w:t> </w:t>
      </w:r>
      <w:r>
        <w:rPr/>
        <w:t>agency</w:t>
      </w:r>
      <w:r>
        <w:rPr>
          <w:spacing w:val="-4"/>
        </w:rPr>
        <w:t> </w:t>
      </w:r>
      <w:r>
        <w:rPr/>
        <w:t>considered</w:t>
      </w:r>
      <w:r>
        <w:rPr>
          <w:spacing w:val="-4"/>
        </w:rPr>
        <w:t> </w:t>
      </w:r>
      <w:r>
        <w:rPr/>
        <w:t>this</w:t>
      </w:r>
      <w:r>
        <w:rPr>
          <w:spacing w:val="-4"/>
        </w:rPr>
        <w:t> </w:t>
      </w:r>
      <w:r>
        <w:rPr/>
        <w:t>request</w:t>
      </w:r>
      <w:r>
        <w:rPr>
          <w:spacing w:val="-3"/>
        </w:rPr>
        <w:t> </w:t>
      </w:r>
      <w:r>
        <w:rPr/>
        <w:t>and</w:t>
      </w:r>
      <w:r>
        <w:rPr>
          <w:spacing w:val="-4"/>
        </w:rPr>
        <w:t> </w:t>
      </w:r>
      <w:r>
        <w:rPr/>
        <w:t>determined</w:t>
      </w:r>
      <w:r>
        <w:rPr>
          <w:spacing w:val="-4"/>
        </w:rPr>
        <w:t> </w:t>
      </w:r>
      <w:r>
        <w:rPr/>
        <w:t>that</w:t>
      </w:r>
      <w:r>
        <w:rPr>
          <w:spacing w:val="-3"/>
        </w:rPr>
        <w:t> </w:t>
      </w:r>
      <w:r>
        <w:rPr/>
        <w:t>a</w:t>
      </w:r>
      <w:r>
        <w:rPr>
          <w:spacing w:val="-4"/>
        </w:rPr>
        <w:t> </w:t>
      </w:r>
      <w:r>
        <w:rPr/>
        <w:t>copy</w:t>
      </w:r>
      <w:r>
        <w:rPr>
          <w:spacing w:val="-4"/>
        </w:rPr>
        <w:t> </w:t>
      </w:r>
      <w:r>
        <w:rPr/>
        <w:t>of</w:t>
      </w:r>
      <w:r>
        <w:rPr>
          <w:spacing w:val="-3"/>
        </w:rPr>
        <w:t> </w:t>
      </w:r>
      <w:r>
        <w:rPr/>
        <w:t>the</w:t>
      </w:r>
      <w:r>
        <w:rPr>
          <w:spacing w:val="-4"/>
        </w:rPr>
        <w:t> </w:t>
      </w:r>
      <w:r>
        <w:rPr/>
        <w:t>narrative portion of the EIR should be routinely provided to the inspected establishment once the agency concludes that the inspection is closed. The policy stated that term “closed” will have the same meaning as it has under 21 CFR 20.64(d).</w:t>
      </w:r>
    </w:p>
    <w:p>
      <w:pPr>
        <w:pStyle w:val="BodyText"/>
        <w:spacing w:before="240"/>
        <w:ind w:left="1260" w:right="1162"/>
      </w:pPr>
      <w:r>
        <w:rPr/>
        <w:t>In tandem with publishing the policy, FDA instituted FMD-145. The original version of FMD-145 applied to all program areas and inspections, both international and domestic, performed by FDA or State and local authorities under</w:t>
      </w:r>
      <w:r>
        <w:rPr>
          <w:spacing w:val="-2"/>
        </w:rPr>
        <w:t> </w:t>
      </w:r>
      <w:r>
        <w:rPr/>
        <w:t>contract</w:t>
      </w:r>
      <w:r>
        <w:rPr>
          <w:spacing w:val="-2"/>
        </w:rPr>
        <w:t> </w:t>
      </w:r>
      <w:r>
        <w:rPr/>
        <w:t>with</w:t>
      </w:r>
      <w:r>
        <w:rPr>
          <w:spacing w:val="-3"/>
        </w:rPr>
        <w:t> </w:t>
      </w:r>
      <w:r>
        <w:rPr/>
        <w:t>FDA.</w:t>
      </w:r>
      <w:r>
        <w:rPr>
          <w:spacing w:val="-2"/>
        </w:rPr>
        <w:t> </w:t>
      </w:r>
      <w:r>
        <w:rPr/>
        <w:t>It</w:t>
      </w:r>
      <w:r>
        <w:rPr>
          <w:spacing w:val="-4"/>
        </w:rPr>
        <w:t> </w:t>
      </w:r>
      <w:r>
        <w:rPr/>
        <w:t>required</w:t>
      </w:r>
      <w:r>
        <w:rPr>
          <w:spacing w:val="-3"/>
        </w:rPr>
        <w:t> </w:t>
      </w:r>
      <w:r>
        <w:rPr/>
        <w:t>that</w:t>
      </w:r>
      <w:r>
        <w:rPr>
          <w:spacing w:val="-2"/>
        </w:rPr>
        <w:t> </w:t>
      </w:r>
      <w:r>
        <w:rPr/>
        <w:t>a</w:t>
      </w:r>
      <w:r>
        <w:rPr>
          <w:spacing w:val="-3"/>
        </w:rPr>
        <w:t> </w:t>
      </w:r>
      <w:r>
        <w:rPr/>
        <w:t>redacted</w:t>
      </w:r>
      <w:r>
        <w:rPr>
          <w:spacing w:val="-3"/>
        </w:rPr>
        <w:t> </w:t>
      </w:r>
      <w:r>
        <w:rPr/>
        <w:t>copy</w:t>
      </w:r>
      <w:r>
        <w:rPr>
          <w:spacing w:val="-3"/>
        </w:rPr>
        <w:t> </w:t>
      </w:r>
      <w:r>
        <w:rPr/>
        <w:t>of</w:t>
      </w:r>
      <w:r>
        <w:rPr>
          <w:spacing w:val="-4"/>
        </w:rPr>
        <w:t> </w:t>
      </w:r>
      <w:r>
        <w:rPr/>
        <w:t>the</w:t>
      </w:r>
      <w:r>
        <w:rPr>
          <w:spacing w:val="-3"/>
        </w:rPr>
        <w:t> </w:t>
      </w:r>
      <w:r>
        <w:rPr/>
        <w:t>EIR</w:t>
      </w:r>
      <w:r>
        <w:rPr>
          <w:spacing w:val="-3"/>
        </w:rPr>
        <w:t> </w:t>
      </w:r>
      <w:r>
        <w:rPr/>
        <w:t>was</w:t>
      </w:r>
      <w:r>
        <w:rPr>
          <w:spacing w:val="-3"/>
        </w:rPr>
        <w:t> </w:t>
      </w:r>
      <w:r>
        <w:rPr/>
        <w:t>sent via U.S. mail with a standard cover letter.</w:t>
      </w:r>
    </w:p>
    <w:p>
      <w:pPr>
        <w:pStyle w:val="BodyText"/>
        <w:spacing w:before="240"/>
        <w:ind w:left="1260" w:right="1162"/>
      </w:pPr>
      <w:r>
        <w:rPr/>
        <w:t>Subsequently,</w:t>
      </w:r>
      <w:r>
        <w:rPr>
          <w:spacing w:val="-3"/>
        </w:rPr>
        <w:t> </w:t>
      </w:r>
      <w:r>
        <w:rPr/>
        <w:t>the</w:t>
      </w:r>
      <w:r>
        <w:rPr>
          <w:spacing w:val="-4"/>
        </w:rPr>
        <w:t> </w:t>
      </w:r>
      <w:r>
        <w:rPr/>
        <w:t>agency</w:t>
      </w:r>
      <w:r>
        <w:rPr>
          <w:spacing w:val="-4"/>
        </w:rPr>
        <w:t> </w:t>
      </w:r>
      <w:r>
        <w:rPr/>
        <w:t>reiterated</w:t>
      </w:r>
      <w:r>
        <w:rPr>
          <w:spacing w:val="-4"/>
        </w:rPr>
        <w:t> </w:t>
      </w:r>
      <w:r>
        <w:rPr/>
        <w:t>its</w:t>
      </w:r>
      <w:r>
        <w:rPr>
          <w:spacing w:val="-4"/>
        </w:rPr>
        <w:t> </w:t>
      </w:r>
      <w:r>
        <w:rPr/>
        <w:t>commitment</w:t>
      </w:r>
      <w:r>
        <w:rPr>
          <w:spacing w:val="-5"/>
        </w:rPr>
        <w:t> </w:t>
      </w:r>
      <w:r>
        <w:rPr/>
        <w:t>to</w:t>
      </w:r>
      <w:r>
        <w:rPr>
          <w:spacing w:val="-5"/>
        </w:rPr>
        <w:t> </w:t>
      </w:r>
      <w:r>
        <w:rPr/>
        <w:t>this</w:t>
      </w:r>
      <w:r>
        <w:rPr>
          <w:spacing w:val="-4"/>
        </w:rPr>
        <w:t> </w:t>
      </w:r>
      <w:r>
        <w:rPr/>
        <w:t>policy</w:t>
      </w:r>
      <w:r>
        <w:rPr>
          <w:spacing w:val="-4"/>
        </w:rPr>
        <w:t> </w:t>
      </w:r>
      <w:r>
        <w:rPr/>
        <w:t>in</w:t>
      </w:r>
      <w:r>
        <w:rPr>
          <w:spacing w:val="-4"/>
        </w:rPr>
        <w:t> </w:t>
      </w:r>
      <w:r>
        <w:rPr/>
        <w:t>the</w:t>
      </w:r>
      <w:r>
        <w:rPr>
          <w:spacing w:val="-4"/>
        </w:rPr>
        <w:t> </w:t>
      </w:r>
      <w:r>
        <w:rPr/>
        <w:t>notice “Expansion of Medical Device Industry Initiatives” 66 Fed. Reg. 800, Jan. 4, </w:t>
      </w:r>
      <w:r>
        <w:rPr>
          <w:spacing w:val="-2"/>
        </w:rPr>
        <w:t>2001.</w:t>
      </w:r>
    </w:p>
    <w:p>
      <w:pPr>
        <w:pStyle w:val="BodyText"/>
        <w:spacing w:before="240"/>
        <w:ind w:left="1260" w:right="1162"/>
      </w:pPr>
      <w:r>
        <w:rPr/>
        <w:t>In the intervening decades, ORA provided inspected establishments with a redacted</w:t>
      </w:r>
      <w:r>
        <w:rPr>
          <w:spacing w:val="-3"/>
        </w:rPr>
        <w:t> </w:t>
      </w:r>
      <w:r>
        <w:rPr/>
        <w:t>hardcopy</w:t>
      </w:r>
      <w:r>
        <w:rPr>
          <w:spacing w:val="-3"/>
        </w:rPr>
        <w:t> </w:t>
      </w:r>
      <w:r>
        <w:rPr/>
        <w:t>of</w:t>
      </w:r>
      <w:r>
        <w:rPr>
          <w:spacing w:val="-4"/>
        </w:rPr>
        <w:t> </w:t>
      </w:r>
      <w:r>
        <w:rPr/>
        <w:t>the</w:t>
      </w:r>
      <w:r>
        <w:rPr>
          <w:spacing w:val="-3"/>
        </w:rPr>
        <w:t> </w:t>
      </w:r>
      <w:r>
        <w:rPr/>
        <w:t>EIR</w:t>
      </w:r>
      <w:r>
        <w:rPr>
          <w:spacing w:val="-3"/>
        </w:rPr>
        <w:t> </w:t>
      </w:r>
      <w:r>
        <w:rPr/>
        <w:t>in</w:t>
      </w:r>
      <w:r>
        <w:rPr>
          <w:spacing w:val="-3"/>
        </w:rPr>
        <w:t> </w:t>
      </w:r>
      <w:r>
        <w:rPr/>
        <w:t>accordance</w:t>
      </w:r>
      <w:r>
        <w:rPr>
          <w:spacing w:val="-3"/>
        </w:rPr>
        <w:t> </w:t>
      </w:r>
      <w:r>
        <w:rPr/>
        <w:t>with</w:t>
      </w:r>
      <w:r>
        <w:rPr>
          <w:spacing w:val="-3"/>
        </w:rPr>
        <w:t> </w:t>
      </w:r>
      <w:r>
        <w:rPr/>
        <w:t>the</w:t>
      </w:r>
      <w:r>
        <w:rPr>
          <w:spacing w:val="-3"/>
        </w:rPr>
        <w:t> </w:t>
      </w:r>
      <w:r>
        <w:rPr/>
        <w:t>policy</w:t>
      </w:r>
      <w:r>
        <w:rPr>
          <w:spacing w:val="-3"/>
        </w:rPr>
        <w:t> </w:t>
      </w:r>
      <w:r>
        <w:rPr/>
        <w:t>and</w:t>
      </w:r>
      <w:r>
        <w:rPr>
          <w:spacing w:val="-3"/>
        </w:rPr>
        <w:t> </w:t>
      </w:r>
      <w:r>
        <w:rPr/>
        <w:t>this</w:t>
      </w:r>
      <w:r>
        <w:rPr>
          <w:spacing w:val="-3"/>
        </w:rPr>
        <w:t> </w:t>
      </w:r>
      <w:r>
        <w:rPr/>
        <w:t>FMD</w:t>
      </w:r>
      <w:r>
        <w:rPr>
          <w:spacing w:val="-3"/>
        </w:rPr>
        <w:t> </w:t>
      </w:r>
      <w:r>
        <w:rPr/>
        <w:t>and its subsequent revisions.</w:t>
      </w:r>
    </w:p>
    <w:p>
      <w:pPr>
        <w:pStyle w:val="BodyText"/>
        <w:spacing w:before="241"/>
        <w:ind w:left="1260" w:right="1162"/>
      </w:pPr>
      <w:r>
        <w:rPr/>
        <w:t>In 2019, ORA modernized the process it uses to comply with this policy directive</w:t>
      </w:r>
      <w:r>
        <w:rPr>
          <w:spacing w:val="-3"/>
        </w:rPr>
        <w:t> </w:t>
      </w:r>
      <w:r>
        <w:rPr/>
        <w:t>by</w:t>
      </w:r>
      <w:r>
        <w:rPr>
          <w:spacing w:val="-3"/>
        </w:rPr>
        <w:t> </w:t>
      </w:r>
      <w:r>
        <w:rPr/>
        <w:t>establishing</w:t>
      </w:r>
      <w:r>
        <w:rPr>
          <w:spacing w:val="-3"/>
        </w:rPr>
        <w:t> </w:t>
      </w:r>
      <w:r>
        <w:rPr/>
        <w:t>a</w:t>
      </w:r>
      <w:r>
        <w:rPr>
          <w:spacing w:val="-3"/>
        </w:rPr>
        <w:t> </w:t>
      </w:r>
      <w:r>
        <w:rPr/>
        <w:t>system</w:t>
      </w:r>
      <w:r>
        <w:rPr>
          <w:spacing w:val="-4"/>
        </w:rPr>
        <w:t> </w:t>
      </w:r>
      <w:r>
        <w:rPr/>
        <w:t>to</w:t>
      </w:r>
      <w:r>
        <w:rPr>
          <w:spacing w:val="-3"/>
        </w:rPr>
        <w:t> </w:t>
      </w:r>
      <w:r>
        <w:rPr/>
        <w:t>email</w:t>
      </w:r>
      <w:r>
        <w:rPr>
          <w:spacing w:val="-3"/>
        </w:rPr>
        <w:t> </w:t>
      </w:r>
      <w:r>
        <w:rPr/>
        <w:t>the</w:t>
      </w:r>
      <w:r>
        <w:rPr>
          <w:spacing w:val="-3"/>
        </w:rPr>
        <w:t> </w:t>
      </w:r>
      <w:r>
        <w:rPr/>
        <w:t>EIR</w:t>
      </w:r>
      <w:r>
        <w:rPr>
          <w:spacing w:val="-3"/>
        </w:rPr>
        <w:t> </w:t>
      </w:r>
      <w:r>
        <w:rPr/>
        <w:t>narrative</w:t>
      </w:r>
      <w:r>
        <w:rPr>
          <w:spacing w:val="-3"/>
        </w:rPr>
        <w:t> </w:t>
      </w:r>
      <w:r>
        <w:rPr/>
        <w:t>to</w:t>
      </w:r>
      <w:r>
        <w:rPr>
          <w:spacing w:val="-3"/>
        </w:rPr>
        <w:t> </w:t>
      </w:r>
      <w:r>
        <w:rPr/>
        <w:t>the</w:t>
      </w:r>
      <w:r>
        <w:rPr>
          <w:spacing w:val="-3"/>
        </w:rPr>
        <w:t> </w:t>
      </w:r>
      <w:r>
        <w:rPr/>
        <w:t>inspected </w:t>
      </w:r>
      <w:r>
        <w:rPr>
          <w:spacing w:val="-2"/>
        </w:rPr>
        <w:t>facility.</w:t>
      </w:r>
    </w:p>
    <w:p>
      <w:pPr>
        <w:pStyle w:val="ListParagraph"/>
        <w:numPr>
          <w:ilvl w:val="0"/>
          <w:numId w:val="2"/>
        </w:numPr>
        <w:tabs>
          <w:tab w:pos="1267" w:val="left" w:leader="none"/>
        </w:tabs>
        <w:spacing w:line="240" w:lineRule="auto" w:before="239" w:after="0"/>
        <w:ind w:left="1267" w:right="0" w:hanging="547"/>
        <w:jc w:val="left"/>
        <w:rPr>
          <w:rFonts w:ascii="Arial"/>
          <w:b/>
          <w:sz w:val="22"/>
        </w:rPr>
      </w:pPr>
      <w:bookmarkStart w:name="4. Responsibilities" w:id="8"/>
      <w:bookmarkEnd w:id="8"/>
      <w:r>
        <w:rPr/>
      </w:r>
      <w:bookmarkStart w:name="_bookmark4" w:id="9"/>
      <w:bookmarkEnd w:id="9"/>
      <w:r>
        <w:rPr/>
      </w:r>
      <w:r>
        <w:rPr>
          <w:rFonts w:ascii="Arial"/>
          <w:b/>
          <w:spacing w:val="-2"/>
          <w:sz w:val="22"/>
        </w:rPr>
        <w:t>Responsibilities</w:t>
      </w:r>
    </w:p>
    <w:p>
      <w:pPr>
        <w:pStyle w:val="BodyText"/>
        <w:spacing w:before="241"/>
        <w:ind w:left="1260" w:right="1162"/>
      </w:pPr>
      <w:r>
        <w:rPr/>
        <w:t>Domestic EIRs will be monitored and released by the appropriate ORA Program</w:t>
      </w:r>
      <w:r>
        <w:rPr>
          <w:spacing w:val="-4"/>
        </w:rPr>
        <w:t> </w:t>
      </w:r>
      <w:r>
        <w:rPr/>
        <w:t>Division</w:t>
      </w:r>
      <w:r>
        <w:rPr>
          <w:spacing w:val="-4"/>
        </w:rPr>
        <w:t> </w:t>
      </w:r>
      <w:r>
        <w:rPr/>
        <w:t>or</w:t>
      </w:r>
      <w:r>
        <w:rPr>
          <w:spacing w:val="-4"/>
        </w:rPr>
        <w:t> </w:t>
      </w:r>
      <w:r>
        <w:rPr/>
        <w:t>FDA</w:t>
      </w:r>
      <w:r>
        <w:rPr>
          <w:spacing w:val="-4"/>
        </w:rPr>
        <w:t> </w:t>
      </w:r>
      <w:r>
        <w:rPr/>
        <w:t>Center</w:t>
      </w:r>
      <w:r>
        <w:rPr>
          <w:spacing w:val="-4"/>
        </w:rPr>
        <w:t> </w:t>
      </w:r>
      <w:r>
        <w:rPr/>
        <w:t>upon</w:t>
      </w:r>
      <w:r>
        <w:rPr>
          <w:spacing w:val="-4"/>
        </w:rPr>
        <w:t> </w:t>
      </w:r>
      <w:r>
        <w:rPr/>
        <w:t>final</w:t>
      </w:r>
      <w:r>
        <w:rPr>
          <w:spacing w:val="-4"/>
        </w:rPr>
        <w:t> </w:t>
      </w:r>
      <w:r>
        <w:rPr/>
        <w:t>compliance</w:t>
      </w:r>
      <w:r>
        <w:rPr>
          <w:spacing w:val="-4"/>
        </w:rPr>
        <w:t> </w:t>
      </w:r>
      <w:r>
        <w:rPr/>
        <w:t>classification.</w:t>
      </w:r>
      <w:r>
        <w:rPr>
          <w:spacing w:val="40"/>
        </w:rPr>
        <w:t> </w:t>
      </w:r>
      <w:r>
        <w:rPr/>
        <w:t>Foreign EIRs will be released by the appropriate Center or Program Division responsible for the final compliance classification. The releasing office will</w:t>
      </w:r>
    </w:p>
    <w:p>
      <w:pPr>
        <w:pStyle w:val="BodyText"/>
        <w:spacing w:after="0"/>
        <w:sectPr>
          <w:headerReference w:type="default" r:id="rId10"/>
          <w:footerReference w:type="default" r:id="rId11"/>
          <w:pgSz w:w="12240" w:h="15840"/>
          <w:pgMar w:header="1001" w:footer="1251" w:top="2800" w:bottom="1440" w:left="1080" w:right="360"/>
        </w:sectPr>
      </w:pPr>
    </w:p>
    <w:p>
      <w:pPr>
        <w:pStyle w:val="BodyText"/>
        <w:spacing w:before="5"/>
      </w:pPr>
    </w:p>
    <w:p>
      <w:pPr>
        <w:pStyle w:val="BodyText"/>
        <w:ind w:left="1260" w:right="1162"/>
      </w:pPr>
      <w:r>
        <w:rPr/>
        <w:t>ensure</w:t>
      </w:r>
      <w:r>
        <w:rPr>
          <w:spacing w:val="-4"/>
        </w:rPr>
        <w:t> </w:t>
      </w:r>
      <w:r>
        <w:rPr/>
        <w:t>that</w:t>
      </w:r>
      <w:r>
        <w:rPr>
          <w:spacing w:val="-3"/>
        </w:rPr>
        <w:t> </w:t>
      </w:r>
      <w:r>
        <w:rPr/>
        <w:t>the</w:t>
      </w:r>
      <w:r>
        <w:rPr>
          <w:spacing w:val="-4"/>
        </w:rPr>
        <w:t> </w:t>
      </w:r>
      <w:r>
        <w:rPr/>
        <w:t>EIR</w:t>
      </w:r>
      <w:r>
        <w:rPr>
          <w:spacing w:val="-4"/>
        </w:rPr>
        <w:t> </w:t>
      </w:r>
      <w:r>
        <w:rPr/>
        <w:t>for</w:t>
      </w:r>
      <w:r>
        <w:rPr>
          <w:spacing w:val="-5"/>
        </w:rPr>
        <w:t> </w:t>
      </w:r>
      <w:r>
        <w:rPr/>
        <w:t>the</w:t>
      </w:r>
      <w:r>
        <w:rPr>
          <w:spacing w:val="-4"/>
        </w:rPr>
        <w:t> </w:t>
      </w:r>
      <w:r>
        <w:rPr/>
        <w:t>closed</w:t>
      </w:r>
      <w:r>
        <w:rPr>
          <w:spacing w:val="-4"/>
        </w:rPr>
        <w:t> </w:t>
      </w:r>
      <w:r>
        <w:rPr/>
        <w:t>inspection</w:t>
      </w:r>
      <w:r>
        <w:rPr>
          <w:spacing w:val="-4"/>
        </w:rPr>
        <w:t> </w:t>
      </w:r>
      <w:r>
        <w:rPr/>
        <w:t>is</w:t>
      </w:r>
      <w:r>
        <w:rPr>
          <w:spacing w:val="-4"/>
        </w:rPr>
        <w:t> </w:t>
      </w:r>
      <w:r>
        <w:rPr/>
        <w:t>appropriately</w:t>
      </w:r>
      <w:r>
        <w:rPr>
          <w:spacing w:val="-4"/>
        </w:rPr>
        <w:t> </w:t>
      </w:r>
      <w:r>
        <w:rPr/>
        <w:t>redacted</w:t>
      </w:r>
      <w:r>
        <w:rPr>
          <w:spacing w:val="-4"/>
        </w:rPr>
        <w:t> </w:t>
      </w:r>
      <w:r>
        <w:rPr/>
        <w:t>under FOIA and 21 C.F.R. Part 20 before releasing a copy to the inspected </w:t>
      </w:r>
      <w:r>
        <w:rPr>
          <w:spacing w:val="-2"/>
        </w:rPr>
        <w:t>establishment.</w:t>
      </w:r>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5. Procedure" w:id="10"/>
      <w:bookmarkEnd w:id="10"/>
      <w:r>
        <w:rPr/>
      </w:r>
      <w:bookmarkStart w:name="_bookmark5" w:id="11"/>
      <w:bookmarkEnd w:id="11"/>
      <w:r>
        <w:rPr/>
      </w:r>
      <w:r>
        <w:rPr>
          <w:rFonts w:ascii="Arial"/>
          <w:b/>
          <w:spacing w:val="-2"/>
          <w:sz w:val="22"/>
        </w:rPr>
        <w:t>Procedure</w:t>
      </w:r>
    </w:p>
    <w:p>
      <w:pPr>
        <w:pStyle w:val="BodyText"/>
        <w:spacing w:before="239"/>
        <w:ind w:left="1260" w:right="1252"/>
      </w:pPr>
      <w:r>
        <w:rPr/>
        <w:t>ORA</w:t>
      </w:r>
      <w:r>
        <w:rPr>
          <w:spacing w:val="-5"/>
        </w:rPr>
        <w:t> </w:t>
      </w:r>
      <w:r>
        <w:rPr/>
        <w:t>will</w:t>
      </w:r>
      <w:r>
        <w:rPr>
          <w:spacing w:val="-5"/>
        </w:rPr>
        <w:t> </w:t>
      </w:r>
      <w:r>
        <w:rPr/>
        <w:t>develop</w:t>
      </w:r>
      <w:r>
        <w:rPr>
          <w:spacing w:val="-5"/>
        </w:rPr>
        <w:t> </w:t>
      </w:r>
      <w:r>
        <w:rPr/>
        <w:t>operating</w:t>
      </w:r>
      <w:r>
        <w:rPr>
          <w:spacing w:val="-5"/>
        </w:rPr>
        <w:t> </w:t>
      </w:r>
      <w:r>
        <w:rPr/>
        <w:t>processes</w:t>
      </w:r>
      <w:r>
        <w:rPr>
          <w:spacing w:val="-5"/>
        </w:rPr>
        <w:t> </w:t>
      </w:r>
      <w:r>
        <w:rPr/>
        <w:t>and</w:t>
      </w:r>
      <w:r>
        <w:rPr>
          <w:spacing w:val="-5"/>
        </w:rPr>
        <w:t> </w:t>
      </w:r>
      <w:r>
        <w:rPr/>
        <w:t>procedures</w:t>
      </w:r>
      <w:r>
        <w:rPr>
          <w:spacing w:val="-4"/>
        </w:rPr>
        <w:t> </w:t>
      </w:r>
      <w:r>
        <w:rPr/>
        <w:t>for</w:t>
      </w:r>
      <w:r>
        <w:rPr>
          <w:spacing w:val="-4"/>
        </w:rPr>
        <w:t> </w:t>
      </w:r>
      <w:r>
        <w:rPr/>
        <w:t>Program</w:t>
      </w:r>
      <w:r>
        <w:rPr>
          <w:spacing w:val="-5"/>
        </w:rPr>
        <w:t> </w:t>
      </w:r>
      <w:r>
        <w:rPr/>
        <w:t>Divisions to follow when issuing a copy of the EIR with FMD-145 Letters.</w:t>
      </w:r>
      <w:r>
        <w:rPr>
          <w:spacing w:val="40"/>
        </w:rPr>
        <w:t> </w:t>
      </w:r>
      <w:r>
        <w:rPr/>
        <w:t>These processes will ensure the following:</w:t>
      </w:r>
    </w:p>
    <w:p>
      <w:pPr>
        <w:pStyle w:val="ListParagraph"/>
        <w:numPr>
          <w:ilvl w:val="1"/>
          <w:numId w:val="2"/>
        </w:numPr>
        <w:tabs>
          <w:tab w:pos="1978" w:val="left" w:leader="none"/>
          <w:tab w:pos="1980" w:val="left" w:leader="none"/>
        </w:tabs>
        <w:spacing w:line="240" w:lineRule="auto" w:before="240" w:after="0"/>
        <w:ind w:left="1980" w:right="1215" w:hanging="360"/>
        <w:jc w:val="both"/>
        <w:rPr>
          <w:sz w:val="24"/>
        </w:rPr>
      </w:pPr>
      <w:r>
        <w:rPr>
          <w:sz w:val="24"/>
        </w:rPr>
        <w:t>EIRs</w:t>
      </w:r>
      <w:r>
        <w:rPr>
          <w:spacing w:val="-4"/>
          <w:sz w:val="24"/>
        </w:rPr>
        <w:t> </w:t>
      </w:r>
      <w:r>
        <w:rPr>
          <w:sz w:val="24"/>
        </w:rPr>
        <w:t>will</w:t>
      </w:r>
      <w:r>
        <w:rPr>
          <w:spacing w:val="-4"/>
          <w:sz w:val="24"/>
        </w:rPr>
        <w:t> </w:t>
      </w:r>
      <w:r>
        <w:rPr>
          <w:sz w:val="24"/>
        </w:rPr>
        <w:t>be</w:t>
      </w:r>
      <w:r>
        <w:rPr>
          <w:spacing w:val="-4"/>
          <w:sz w:val="24"/>
        </w:rPr>
        <w:t> </w:t>
      </w:r>
      <w:r>
        <w:rPr>
          <w:sz w:val="24"/>
        </w:rPr>
        <w:t>transmitted</w:t>
      </w:r>
      <w:r>
        <w:rPr>
          <w:spacing w:val="-4"/>
          <w:sz w:val="24"/>
        </w:rPr>
        <w:t> </w:t>
      </w:r>
      <w:r>
        <w:rPr>
          <w:sz w:val="24"/>
        </w:rPr>
        <w:t>via</w:t>
      </w:r>
      <w:r>
        <w:rPr>
          <w:spacing w:val="-4"/>
          <w:sz w:val="24"/>
        </w:rPr>
        <w:t> </w:t>
      </w:r>
      <w:r>
        <w:rPr>
          <w:sz w:val="24"/>
        </w:rPr>
        <w:t>electronic</w:t>
      </w:r>
      <w:r>
        <w:rPr>
          <w:spacing w:val="-4"/>
          <w:sz w:val="24"/>
        </w:rPr>
        <w:t> </w:t>
      </w:r>
      <w:r>
        <w:rPr>
          <w:sz w:val="24"/>
        </w:rPr>
        <w:t>means</w:t>
      </w:r>
      <w:r>
        <w:rPr>
          <w:spacing w:val="-4"/>
          <w:sz w:val="24"/>
        </w:rPr>
        <w:t> </w:t>
      </w:r>
      <w:r>
        <w:rPr>
          <w:sz w:val="24"/>
        </w:rPr>
        <w:t>when</w:t>
      </w:r>
      <w:r>
        <w:rPr>
          <w:spacing w:val="-4"/>
          <w:sz w:val="24"/>
        </w:rPr>
        <w:t> </w:t>
      </w:r>
      <w:r>
        <w:rPr>
          <w:sz w:val="24"/>
        </w:rPr>
        <w:t>possible.</w:t>
      </w:r>
      <w:r>
        <w:rPr>
          <w:spacing w:val="40"/>
          <w:sz w:val="24"/>
        </w:rPr>
        <w:t> </w:t>
      </w:r>
      <w:r>
        <w:rPr>
          <w:sz w:val="24"/>
        </w:rPr>
        <w:t>The</w:t>
      </w:r>
      <w:r>
        <w:rPr>
          <w:spacing w:val="-4"/>
          <w:sz w:val="24"/>
        </w:rPr>
        <w:t> </w:t>
      </w:r>
      <w:r>
        <w:rPr>
          <w:sz w:val="24"/>
        </w:rPr>
        <w:t>email will serve as the cover</w:t>
      </w:r>
      <w:r>
        <w:rPr>
          <w:spacing w:val="-1"/>
          <w:sz w:val="24"/>
        </w:rPr>
        <w:t> </w:t>
      </w:r>
      <w:r>
        <w:rPr>
          <w:sz w:val="24"/>
        </w:rPr>
        <w:t>letter.</w:t>
      </w:r>
      <w:r>
        <w:rPr>
          <w:spacing w:val="40"/>
          <w:sz w:val="24"/>
        </w:rPr>
        <w:t> </w:t>
      </w:r>
      <w:r>
        <w:rPr>
          <w:sz w:val="24"/>
        </w:rPr>
        <w:t>When electronic means are</w:t>
      </w:r>
      <w:r>
        <w:rPr>
          <w:spacing w:val="-1"/>
          <w:sz w:val="24"/>
        </w:rPr>
        <w:t> </w:t>
      </w:r>
      <w:r>
        <w:rPr>
          <w:sz w:val="24"/>
        </w:rPr>
        <w:t>not available, then EIRs should be transmitted in accordance with local procedures.</w:t>
      </w:r>
    </w:p>
    <w:p>
      <w:pPr>
        <w:pStyle w:val="ListParagraph"/>
        <w:numPr>
          <w:ilvl w:val="1"/>
          <w:numId w:val="2"/>
        </w:numPr>
        <w:tabs>
          <w:tab w:pos="1977" w:val="left" w:leader="none"/>
          <w:tab w:pos="1979" w:val="left" w:leader="none"/>
        </w:tabs>
        <w:spacing w:line="240" w:lineRule="auto" w:before="120" w:after="0"/>
        <w:ind w:left="1979" w:right="1186" w:hanging="360"/>
        <w:jc w:val="left"/>
        <w:rPr>
          <w:sz w:val="24"/>
        </w:rPr>
      </w:pPr>
      <w:r>
        <w:rPr>
          <w:sz w:val="24"/>
        </w:rPr>
        <w:t>FMD-145 letters shall be transmitted within 45 calendar days of the determination that the inspection is closed per 21 C.F.R. § 20.64(d)(3). The</w:t>
      </w:r>
      <w:r>
        <w:rPr>
          <w:spacing w:val="-4"/>
          <w:sz w:val="24"/>
        </w:rPr>
        <w:t> </w:t>
      </w:r>
      <w:r>
        <w:rPr>
          <w:sz w:val="24"/>
        </w:rPr>
        <w:t>timeline</w:t>
      </w:r>
      <w:r>
        <w:rPr>
          <w:spacing w:val="-4"/>
          <w:sz w:val="24"/>
        </w:rPr>
        <w:t> </w:t>
      </w:r>
      <w:r>
        <w:rPr>
          <w:sz w:val="24"/>
        </w:rPr>
        <w:t>will</w:t>
      </w:r>
      <w:r>
        <w:rPr>
          <w:spacing w:val="-4"/>
          <w:sz w:val="24"/>
        </w:rPr>
        <w:t> </w:t>
      </w:r>
      <w:r>
        <w:rPr>
          <w:sz w:val="24"/>
        </w:rPr>
        <w:t>be</w:t>
      </w:r>
      <w:r>
        <w:rPr>
          <w:spacing w:val="-4"/>
          <w:sz w:val="24"/>
        </w:rPr>
        <w:t> </w:t>
      </w:r>
      <w:r>
        <w:rPr>
          <w:sz w:val="24"/>
        </w:rPr>
        <w:t>expedited</w:t>
      </w:r>
      <w:r>
        <w:rPr>
          <w:spacing w:val="-4"/>
          <w:sz w:val="24"/>
        </w:rPr>
        <w:t> </w:t>
      </w:r>
      <w:r>
        <w:rPr>
          <w:sz w:val="24"/>
        </w:rPr>
        <w:t>if</w:t>
      </w:r>
      <w:r>
        <w:rPr>
          <w:spacing w:val="-3"/>
          <w:sz w:val="24"/>
        </w:rPr>
        <w:t> </w:t>
      </w:r>
      <w:r>
        <w:rPr>
          <w:sz w:val="24"/>
        </w:rPr>
        <w:t>requested</w:t>
      </w:r>
      <w:r>
        <w:rPr>
          <w:spacing w:val="-4"/>
          <w:sz w:val="24"/>
        </w:rPr>
        <w:t> </w:t>
      </w:r>
      <w:r>
        <w:rPr>
          <w:sz w:val="24"/>
        </w:rPr>
        <w:t>by</w:t>
      </w:r>
      <w:r>
        <w:rPr>
          <w:spacing w:val="-4"/>
          <w:sz w:val="24"/>
        </w:rPr>
        <w:t> </w:t>
      </w:r>
      <w:r>
        <w:rPr>
          <w:sz w:val="24"/>
        </w:rPr>
        <w:t>the</w:t>
      </w:r>
      <w:r>
        <w:rPr>
          <w:spacing w:val="-4"/>
          <w:sz w:val="24"/>
        </w:rPr>
        <w:t> </w:t>
      </w:r>
      <w:r>
        <w:rPr>
          <w:sz w:val="24"/>
        </w:rPr>
        <w:t>Division</w:t>
      </w:r>
      <w:r>
        <w:rPr>
          <w:spacing w:val="-4"/>
          <w:sz w:val="24"/>
        </w:rPr>
        <w:t> </w:t>
      </w:r>
      <w:r>
        <w:rPr>
          <w:sz w:val="24"/>
        </w:rPr>
        <w:t>of</w:t>
      </w:r>
      <w:r>
        <w:rPr>
          <w:spacing w:val="-3"/>
          <w:sz w:val="24"/>
        </w:rPr>
        <w:t> </w:t>
      </w:r>
      <w:r>
        <w:rPr>
          <w:sz w:val="24"/>
        </w:rPr>
        <w:t>Information Disclosure Policy in response to a FOIA request.</w:t>
      </w:r>
    </w:p>
    <w:p>
      <w:pPr>
        <w:pStyle w:val="ListParagraph"/>
        <w:numPr>
          <w:ilvl w:val="1"/>
          <w:numId w:val="2"/>
        </w:numPr>
        <w:tabs>
          <w:tab w:pos="1980" w:val="left" w:leader="none"/>
        </w:tabs>
        <w:spacing w:line="240" w:lineRule="auto" w:before="120" w:after="0"/>
        <w:ind w:left="1980" w:right="1251" w:hanging="360"/>
        <w:jc w:val="left"/>
        <w:rPr>
          <w:sz w:val="24"/>
        </w:rPr>
      </w:pPr>
      <w:r>
        <w:rPr>
          <w:sz w:val="24"/>
        </w:rPr>
        <w:t>FDA</w:t>
      </w:r>
      <w:r>
        <w:rPr>
          <w:spacing w:val="-5"/>
          <w:sz w:val="24"/>
        </w:rPr>
        <w:t> </w:t>
      </w:r>
      <w:r>
        <w:rPr>
          <w:sz w:val="24"/>
        </w:rPr>
        <w:t>should</w:t>
      </w:r>
      <w:r>
        <w:rPr>
          <w:spacing w:val="-5"/>
          <w:sz w:val="24"/>
        </w:rPr>
        <w:t> </w:t>
      </w:r>
      <w:r>
        <w:rPr>
          <w:sz w:val="24"/>
        </w:rPr>
        <w:t>adhere</w:t>
      </w:r>
      <w:r>
        <w:rPr>
          <w:spacing w:val="-5"/>
          <w:sz w:val="24"/>
        </w:rPr>
        <w:t> </w:t>
      </w:r>
      <w:r>
        <w:rPr>
          <w:sz w:val="24"/>
        </w:rPr>
        <w:t>to</w:t>
      </w:r>
      <w:r>
        <w:rPr>
          <w:spacing w:val="-5"/>
          <w:sz w:val="24"/>
        </w:rPr>
        <w:t> </w:t>
      </w:r>
      <w:r>
        <w:rPr>
          <w:sz w:val="24"/>
        </w:rPr>
        <w:t>standard</w:t>
      </w:r>
      <w:r>
        <w:rPr>
          <w:spacing w:val="-5"/>
          <w:sz w:val="24"/>
        </w:rPr>
        <w:t> </w:t>
      </w:r>
      <w:r>
        <w:rPr>
          <w:sz w:val="24"/>
        </w:rPr>
        <w:t>operating</w:t>
      </w:r>
      <w:r>
        <w:rPr>
          <w:spacing w:val="-5"/>
          <w:sz w:val="24"/>
        </w:rPr>
        <w:t> </w:t>
      </w:r>
      <w:r>
        <w:rPr>
          <w:sz w:val="24"/>
        </w:rPr>
        <w:t>procedures</w:t>
      </w:r>
      <w:r>
        <w:rPr>
          <w:spacing w:val="-5"/>
          <w:sz w:val="24"/>
        </w:rPr>
        <w:t> </w:t>
      </w:r>
      <w:r>
        <w:rPr>
          <w:sz w:val="24"/>
        </w:rPr>
        <w:t>in</w:t>
      </w:r>
      <w:r>
        <w:rPr>
          <w:spacing w:val="-5"/>
          <w:sz w:val="24"/>
        </w:rPr>
        <w:t> </w:t>
      </w:r>
      <w:r>
        <w:rPr>
          <w:sz w:val="24"/>
        </w:rPr>
        <w:t>redacting</w:t>
      </w:r>
      <w:r>
        <w:rPr>
          <w:spacing w:val="-4"/>
          <w:sz w:val="24"/>
        </w:rPr>
        <w:t> </w:t>
      </w:r>
      <w:r>
        <w:rPr>
          <w:sz w:val="24"/>
        </w:rPr>
        <w:t>EIRs and for correspondence.</w:t>
      </w:r>
    </w:p>
    <w:p>
      <w:pPr>
        <w:pStyle w:val="ListParagraph"/>
        <w:numPr>
          <w:ilvl w:val="1"/>
          <w:numId w:val="2"/>
        </w:numPr>
        <w:tabs>
          <w:tab w:pos="1978" w:val="left" w:leader="none"/>
          <w:tab w:pos="1980" w:val="left" w:leader="none"/>
        </w:tabs>
        <w:spacing w:line="240" w:lineRule="auto" w:before="120" w:after="0"/>
        <w:ind w:left="1980" w:right="1161" w:hanging="360"/>
        <w:jc w:val="left"/>
        <w:rPr>
          <w:sz w:val="24"/>
        </w:rPr>
      </w:pPr>
      <w:r>
        <w:rPr>
          <w:sz w:val="24"/>
        </w:rPr>
        <w:t>Only the narrative portion of a redacted EIR or abbreviated report (i.e., Summary</w:t>
      </w:r>
      <w:r>
        <w:rPr>
          <w:spacing w:val="-5"/>
          <w:sz w:val="24"/>
        </w:rPr>
        <w:t> </w:t>
      </w:r>
      <w:r>
        <w:rPr>
          <w:sz w:val="24"/>
        </w:rPr>
        <w:t>of</w:t>
      </w:r>
      <w:r>
        <w:rPr>
          <w:spacing w:val="-4"/>
          <w:sz w:val="24"/>
        </w:rPr>
        <w:t> </w:t>
      </w:r>
      <w:r>
        <w:rPr>
          <w:sz w:val="24"/>
        </w:rPr>
        <w:t>Findings</w:t>
      </w:r>
      <w:r>
        <w:rPr>
          <w:spacing w:val="-4"/>
          <w:sz w:val="24"/>
        </w:rPr>
        <w:t> </w:t>
      </w:r>
      <w:r>
        <w:rPr>
          <w:sz w:val="24"/>
        </w:rPr>
        <w:t>Report,</w:t>
      </w:r>
      <w:r>
        <w:rPr>
          <w:spacing w:val="-4"/>
          <w:sz w:val="24"/>
        </w:rPr>
        <w:t> </w:t>
      </w:r>
      <w:r>
        <w:rPr>
          <w:sz w:val="24"/>
        </w:rPr>
        <w:t>State</w:t>
      </w:r>
      <w:r>
        <w:rPr>
          <w:spacing w:val="-5"/>
          <w:sz w:val="24"/>
        </w:rPr>
        <w:t> </w:t>
      </w:r>
      <w:r>
        <w:rPr>
          <w:sz w:val="24"/>
        </w:rPr>
        <w:t>Inspection</w:t>
      </w:r>
      <w:r>
        <w:rPr>
          <w:spacing w:val="-5"/>
          <w:sz w:val="24"/>
        </w:rPr>
        <w:t> </w:t>
      </w:r>
      <w:r>
        <w:rPr>
          <w:sz w:val="24"/>
        </w:rPr>
        <w:t>Checklist,</w:t>
      </w:r>
      <w:r>
        <w:rPr>
          <w:spacing w:val="-4"/>
          <w:sz w:val="24"/>
        </w:rPr>
        <w:t> </w:t>
      </w:r>
      <w:r>
        <w:rPr>
          <w:sz w:val="24"/>
        </w:rPr>
        <w:t>etc.)</w:t>
      </w:r>
      <w:r>
        <w:rPr>
          <w:spacing w:val="-5"/>
          <w:sz w:val="24"/>
        </w:rPr>
        <w:t> </w:t>
      </w:r>
      <w:r>
        <w:rPr>
          <w:sz w:val="24"/>
        </w:rPr>
        <w:t>should</w:t>
      </w:r>
      <w:r>
        <w:rPr>
          <w:spacing w:val="-6"/>
          <w:sz w:val="24"/>
        </w:rPr>
        <w:t> </w:t>
      </w:r>
      <w:r>
        <w:rPr>
          <w:sz w:val="24"/>
        </w:rPr>
        <w:t>be released to the inspected firm.</w:t>
      </w:r>
      <w:r>
        <w:rPr>
          <w:spacing w:val="40"/>
          <w:sz w:val="24"/>
        </w:rPr>
        <w:t> </w:t>
      </w:r>
      <w:r>
        <w:rPr>
          <w:sz w:val="24"/>
        </w:rPr>
        <w:t>Attachments and exhibits are excluded from disclosure under this directive.</w:t>
      </w:r>
      <w:r>
        <w:rPr>
          <w:spacing w:val="40"/>
          <w:sz w:val="24"/>
        </w:rPr>
        <w:t> </w:t>
      </w:r>
      <w:r>
        <w:rPr>
          <w:sz w:val="24"/>
        </w:rPr>
        <w:t>If the inspection is conducted and reported on a checklist only, as is the case with some state contract inspections, and the firm has already received a copy of the checklist, it is only necessary to send the firm a FMD-145 cover letter.</w:t>
      </w:r>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6. References/Supporting Documents" w:id="12"/>
      <w:bookmarkEnd w:id="12"/>
      <w:r>
        <w:rPr/>
      </w:r>
      <w:bookmarkStart w:name="_bookmark6" w:id="13"/>
      <w:bookmarkEnd w:id="13"/>
      <w:r>
        <w:rPr/>
      </w:r>
      <w:r>
        <w:rPr>
          <w:rFonts w:ascii="Arial"/>
          <w:b/>
          <w:spacing w:val="-2"/>
          <w:sz w:val="22"/>
        </w:rPr>
        <w:t>References/Supporting</w:t>
      </w:r>
      <w:r>
        <w:rPr>
          <w:rFonts w:ascii="Arial"/>
          <w:b/>
          <w:spacing w:val="14"/>
          <w:sz w:val="22"/>
        </w:rPr>
        <w:t> </w:t>
      </w:r>
      <w:r>
        <w:rPr>
          <w:rFonts w:ascii="Arial"/>
          <w:b/>
          <w:spacing w:val="-2"/>
          <w:sz w:val="22"/>
        </w:rPr>
        <w:t>Documents</w:t>
      </w:r>
    </w:p>
    <w:p>
      <w:pPr>
        <w:pStyle w:val="ListParagraph"/>
        <w:numPr>
          <w:ilvl w:val="1"/>
          <w:numId w:val="2"/>
        </w:numPr>
        <w:tabs>
          <w:tab w:pos="1978" w:val="left" w:leader="none"/>
          <w:tab w:pos="1980" w:val="left" w:leader="none"/>
        </w:tabs>
        <w:spacing w:line="240" w:lineRule="auto" w:before="241" w:after="0"/>
        <w:ind w:left="1980" w:right="2294" w:hanging="360"/>
        <w:jc w:val="left"/>
        <w:rPr>
          <w:color w:val="0000FF"/>
          <w:sz w:val="24"/>
        </w:rPr>
      </w:pPr>
      <w:hyperlink r:id="rId12">
        <w:r>
          <w:rPr>
            <w:color w:val="0000FF"/>
            <w:sz w:val="24"/>
            <w:u w:val="single" w:color="0000FF"/>
          </w:rPr>
          <w:t>“Release</w:t>
        </w:r>
        <w:r>
          <w:rPr>
            <w:color w:val="0000FF"/>
            <w:spacing w:val="-6"/>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Establishment</w:t>
        </w:r>
        <w:r>
          <w:rPr>
            <w:color w:val="0000FF"/>
            <w:spacing w:val="-5"/>
            <w:sz w:val="24"/>
            <w:u w:val="single" w:color="0000FF"/>
          </w:rPr>
          <w:t> </w:t>
        </w:r>
        <w:r>
          <w:rPr>
            <w:color w:val="0000FF"/>
            <w:sz w:val="24"/>
            <w:u w:val="single" w:color="0000FF"/>
          </w:rPr>
          <w:t>Inspection</w:t>
        </w:r>
        <w:r>
          <w:rPr>
            <w:color w:val="0000FF"/>
            <w:spacing w:val="-6"/>
            <w:sz w:val="24"/>
            <w:u w:val="single" w:color="0000FF"/>
          </w:rPr>
          <w:t> </w:t>
        </w:r>
        <w:r>
          <w:rPr>
            <w:color w:val="0000FF"/>
            <w:sz w:val="24"/>
            <w:u w:val="single" w:color="0000FF"/>
          </w:rPr>
          <w:t>Report</w:t>
        </w:r>
        <w:r>
          <w:rPr>
            <w:color w:val="0000FF"/>
            <w:spacing w:val="-5"/>
            <w:sz w:val="24"/>
            <w:u w:val="single" w:color="0000FF"/>
          </w:rPr>
          <w:t> </w:t>
        </w:r>
        <w:r>
          <w:rPr>
            <w:color w:val="0000FF"/>
            <w:sz w:val="24"/>
            <w:u w:val="single" w:color="0000FF"/>
          </w:rPr>
          <w:t>to</w:t>
        </w:r>
        <w:r>
          <w:rPr>
            <w:color w:val="0000FF"/>
            <w:spacing w:val="-7"/>
            <w:sz w:val="24"/>
            <w:u w:val="single" w:color="0000FF"/>
          </w:rPr>
          <w:t> </w:t>
        </w:r>
        <w:r>
          <w:rPr>
            <w:color w:val="0000FF"/>
            <w:sz w:val="24"/>
            <w:u w:val="single" w:color="0000FF"/>
          </w:rPr>
          <w:t>the</w:t>
        </w:r>
        <w:r>
          <w:rPr>
            <w:color w:val="0000FF"/>
            <w:spacing w:val="-6"/>
            <w:sz w:val="24"/>
            <w:u w:val="single" w:color="0000FF"/>
          </w:rPr>
          <w:t> </w:t>
        </w:r>
        <w:r>
          <w:rPr>
            <w:color w:val="0000FF"/>
            <w:sz w:val="24"/>
            <w:u w:val="single" w:color="0000FF"/>
          </w:rPr>
          <w:t>Inspected</w:t>
        </w:r>
      </w:hyperlink>
      <w:r>
        <w:rPr>
          <w:color w:val="0000FF"/>
          <w:sz w:val="24"/>
        </w:rPr>
        <w:t> </w:t>
      </w:r>
      <w:hyperlink r:id="rId12">
        <w:r>
          <w:rPr>
            <w:color w:val="0000FF"/>
            <w:sz w:val="24"/>
            <w:u w:val="single" w:color="0000FF"/>
          </w:rPr>
          <w:t>Establishment” 62 Fed. Reg. 18138, April 14, 1997.</w:t>
        </w:r>
      </w:hyperlink>
    </w:p>
    <w:p>
      <w:pPr>
        <w:pStyle w:val="ListParagraph"/>
        <w:numPr>
          <w:ilvl w:val="1"/>
          <w:numId w:val="2"/>
        </w:numPr>
        <w:tabs>
          <w:tab w:pos="1978" w:val="left" w:leader="none"/>
          <w:tab w:pos="1980" w:val="left" w:leader="none"/>
        </w:tabs>
        <w:spacing w:line="240" w:lineRule="auto" w:before="120" w:after="0"/>
        <w:ind w:left="1980" w:right="1079" w:hanging="360"/>
        <w:jc w:val="left"/>
        <w:rPr>
          <w:color w:val="0000FF"/>
          <w:sz w:val="24"/>
        </w:rPr>
      </w:pPr>
      <w:hyperlink r:id="rId15">
        <w:r>
          <w:rPr>
            <w:color w:val="0000FF"/>
            <w:sz w:val="24"/>
            <w:u w:val="single" w:color="0000FF"/>
          </w:rPr>
          <w:t>“Expansion</w:t>
        </w:r>
        <w:r>
          <w:rPr>
            <w:color w:val="0000FF"/>
            <w:spacing w:val="-4"/>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Medical</w:t>
        </w:r>
        <w:r>
          <w:rPr>
            <w:color w:val="0000FF"/>
            <w:spacing w:val="-4"/>
            <w:sz w:val="24"/>
            <w:u w:val="single" w:color="0000FF"/>
          </w:rPr>
          <w:t> </w:t>
        </w:r>
        <w:r>
          <w:rPr>
            <w:color w:val="0000FF"/>
            <w:sz w:val="24"/>
            <w:u w:val="single" w:color="0000FF"/>
          </w:rPr>
          <w:t>Device</w:t>
        </w:r>
        <w:r>
          <w:rPr>
            <w:color w:val="0000FF"/>
            <w:spacing w:val="-4"/>
            <w:sz w:val="24"/>
            <w:u w:val="single" w:color="0000FF"/>
          </w:rPr>
          <w:t> </w:t>
        </w:r>
        <w:r>
          <w:rPr>
            <w:color w:val="0000FF"/>
            <w:sz w:val="24"/>
            <w:u w:val="single" w:color="0000FF"/>
          </w:rPr>
          <w:t>Industry</w:t>
        </w:r>
        <w:r>
          <w:rPr>
            <w:color w:val="0000FF"/>
            <w:spacing w:val="-4"/>
            <w:sz w:val="24"/>
            <w:u w:val="single" w:color="0000FF"/>
          </w:rPr>
          <w:t> </w:t>
        </w:r>
        <w:r>
          <w:rPr>
            <w:color w:val="0000FF"/>
            <w:sz w:val="24"/>
            <w:u w:val="single" w:color="0000FF"/>
          </w:rPr>
          <w:t>Initiatives”</w:t>
        </w:r>
        <w:r>
          <w:rPr>
            <w:color w:val="0000FF"/>
            <w:spacing w:val="-4"/>
            <w:sz w:val="24"/>
            <w:u w:val="single" w:color="0000FF"/>
          </w:rPr>
          <w:t> </w:t>
        </w:r>
        <w:r>
          <w:rPr>
            <w:color w:val="0000FF"/>
            <w:sz w:val="24"/>
            <w:u w:val="single" w:color="0000FF"/>
          </w:rPr>
          <w:t>66</w:t>
        </w:r>
        <w:r>
          <w:rPr>
            <w:color w:val="0000FF"/>
            <w:spacing w:val="-4"/>
            <w:sz w:val="24"/>
            <w:u w:val="single" w:color="0000FF"/>
          </w:rPr>
          <w:t> </w:t>
        </w:r>
        <w:r>
          <w:rPr>
            <w:color w:val="0000FF"/>
            <w:sz w:val="24"/>
            <w:u w:val="single" w:color="0000FF"/>
          </w:rPr>
          <w:t>Fed.</w:t>
        </w:r>
        <w:r>
          <w:rPr>
            <w:color w:val="0000FF"/>
            <w:spacing w:val="-4"/>
            <w:sz w:val="24"/>
            <w:u w:val="single" w:color="0000FF"/>
          </w:rPr>
          <w:t> </w:t>
        </w:r>
        <w:r>
          <w:rPr>
            <w:color w:val="0000FF"/>
            <w:sz w:val="24"/>
            <w:u w:val="single" w:color="0000FF"/>
          </w:rPr>
          <w:t>Reg.</w:t>
        </w:r>
        <w:r>
          <w:rPr>
            <w:color w:val="0000FF"/>
            <w:spacing w:val="-4"/>
            <w:sz w:val="24"/>
            <w:u w:val="single" w:color="0000FF"/>
          </w:rPr>
          <w:t> </w:t>
        </w:r>
        <w:r>
          <w:rPr>
            <w:color w:val="0000FF"/>
            <w:sz w:val="24"/>
            <w:u w:val="single" w:color="0000FF"/>
          </w:rPr>
          <w:t>800,</w:t>
        </w:r>
        <w:r>
          <w:rPr>
            <w:color w:val="0000FF"/>
            <w:spacing w:val="-4"/>
            <w:sz w:val="24"/>
            <w:u w:val="single" w:color="0000FF"/>
          </w:rPr>
          <w:t> </w:t>
        </w:r>
        <w:r>
          <w:rPr>
            <w:color w:val="0000FF"/>
            <w:sz w:val="24"/>
            <w:u w:val="single" w:color="0000FF"/>
          </w:rPr>
          <w:t>Jan.</w:t>
        </w:r>
      </w:hyperlink>
      <w:r>
        <w:rPr>
          <w:color w:val="0000FF"/>
          <w:sz w:val="24"/>
        </w:rPr>
        <w:t> </w:t>
      </w:r>
      <w:hyperlink r:id="rId15">
        <w:r>
          <w:rPr>
            <w:color w:val="0000FF"/>
            <w:sz w:val="24"/>
            <w:u w:val="single" w:color="0000FF"/>
          </w:rPr>
          <w:t>4, 2001.</w:t>
        </w:r>
      </w:hyperlink>
    </w:p>
    <w:p>
      <w:pPr>
        <w:pStyle w:val="ListParagraph"/>
        <w:numPr>
          <w:ilvl w:val="1"/>
          <w:numId w:val="2"/>
        </w:numPr>
        <w:tabs>
          <w:tab w:pos="1979" w:val="left" w:leader="none"/>
        </w:tabs>
        <w:spacing w:line="240" w:lineRule="auto" w:before="120" w:after="0"/>
        <w:ind w:left="1979" w:right="0" w:hanging="359"/>
        <w:jc w:val="left"/>
        <w:rPr>
          <w:color w:val="0000FF"/>
          <w:sz w:val="24"/>
        </w:rPr>
      </w:pPr>
      <w:hyperlink r:id="rId16">
        <w:r>
          <w:rPr>
            <w:color w:val="0000FF"/>
            <w:sz w:val="24"/>
            <w:u w:val="single" w:color="0000FF"/>
          </w:rPr>
          <w:t>21</w:t>
        </w:r>
        <w:r>
          <w:rPr>
            <w:color w:val="0000FF"/>
            <w:spacing w:val="-4"/>
            <w:sz w:val="24"/>
            <w:u w:val="single" w:color="0000FF"/>
          </w:rPr>
          <w:t> </w:t>
        </w:r>
        <w:r>
          <w:rPr>
            <w:color w:val="0000FF"/>
            <w:sz w:val="24"/>
            <w:u w:val="single" w:color="0000FF"/>
          </w:rPr>
          <w:t>CFR</w:t>
        </w:r>
        <w:r>
          <w:rPr>
            <w:color w:val="0000FF"/>
            <w:spacing w:val="-3"/>
            <w:sz w:val="24"/>
            <w:u w:val="single" w:color="0000FF"/>
          </w:rPr>
          <w:t> </w:t>
        </w:r>
        <w:r>
          <w:rPr>
            <w:color w:val="0000FF"/>
            <w:sz w:val="24"/>
            <w:u w:val="single" w:color="0000FF"/>
          </w:rPr>
          <w:t>Part</w:t>
        </w:r>
        <w:r>
          <w:rPr>
            <w:color w:val="0000FF"/>
            <w:spacing w:val="-3"/>
            <w:sz w:val="24"/>
            <w:u w:val="single" w:color="0000FF"/>
          </w:rPr>
          <w:t> </w:t>
        </w:r>
        <w:r>
          <w:rPr>
            <w:color w:val="0000FF"/>
            <w:sz w:val="24"/>
            <w:u w:val="single" w:color="0000FF"/>
          </w:rPr>
          <w:t>20</w:t>
        </w:r>
        <w:r>
          <w:rPr>
            <w:color w:val="0000FF"/>
            <w:spacing w:val="-3"/>
            <w:sz w:val="24"/>
            <w:u w:val="single" w:color="0000FF"/>
          </w:rPr>
          <w:t> </w:t>
        </w:r>
        <w:r>
          <w:rPr>
            <w:color w:val="0000FF"/>
            <w:sz w:val="24"/>
            <w:u w:val="single" w:color="0000FF"/>
          </w:rPr>
          <w:t>–</w:t>
        </w:r>
        <w:r>
          <w:rPr>
            <w:color w:val="0000FF"/>
            <w:spacing w:val="-3"/>
            <w:sz w:val="24"/>
            <w:u w:val="single" w:color="0000FF"/>
          </w:rPr>
          <w:t> </w:t>
        </w:r>
        <w:r>
          <w:rPr>
            <w:color w:val="0000FF"/>
            <w:sz w:val="24"/>
            <w:u w:val="single" w:color="0000FF"/>
          </w:rPr>
          <w:t>Public</w:t>
        </w:r>
        <w:r>
          <w:rPr>
            <w:color w:val="0000FF"/>
            <w:spacing w:val="-4"/>
            <w:sz w:val="24"/>
            <w:u w:val="single" w:color="0000FF"/>
          </w:rPr>
          <w:t> </w:t>
        </w:r>
        <w:r>
          <w:rPr>
            <w:color w:val="0000FF"/>
            <w:spacing w:val="-2"/>
            <w:sz w:val="24"/>
            <w:u w:val="single" w:color="0000FF"/>
          </w:rPr>
          <w:t>Information</w:t>
        </w:r>
      </w:hyperlink>
    </w:p>
    <w:p>
      <w:pPr>
        <w:pStyle w:val="ListParagraph"/>
        <w:numPr>
          <w:ilvl w:val="1"/>
          <w:numId w:val="2"/>
        </w:numPr>
        <w:tabs>
          <w:tab w:pos="1978" w:val="left" w:leader="none"/>
        </w:tabs>
        <w:spacing w:line="240" w:lineRule="auto" w:before="120" w:after="0"/>
        <w:ind w:left="1978" w:right="0" w:hanging="358"/>
        <w:jc w:val="left"/>
        <w:rPr>
          <w:sz w:val="24"/>
        </w:rPr>
      </w:pPr>
      <w:hyperlink r:id="rId17">
        <w:r>
          <w:rPr>
            <w:color w:val="0000FF"/>
            <w:sz w:val="24"/>
            <w:u w:val="single" w:color="0000FF"/>
          </w:rPr>
          <w:t>Investigations</w:t>
        </w:r>
        <w:r>
          <w:rPr>
            <w:color w:val="0000FF"/>
            <w:spacing w:val="-6"/>
            <w:sz w:val="24"/>
            <w:u w:val="single" w:color="0000FF"/>
          </w:rPr>
          <w:t> </w:t>
        </w:r>
        <w:r>
          <w:rPr>
            <w:color w:val="0000FF"/>
            <w:sz w:val="24"/>
            <w:u w:val="single" w:color="0000FF"/>
          </w:rPr>
          <w:t>Operations</w:t>
        </w:r>
        <w:r>
          <w:rPr>
            <w:color w:val="0000FF"/>
            <w:spacing w:val="-6"/>
            <w:sz w:val="24"/>
            <w:u w:val="single" w:color="0000FF"/>
          </w:rPr>
          <w:t> </w:t>
        </w:r>
        <w:r>
          <w:rPr>
            <w:color w:val="0000FF"/>
            <w:sz w:val="24"/>
            <w:u w:val="single" w:color="0000FF"/>
          </w:rPr>
          <w:t>Manual</w:t>
        </w:r>
        <w:r>
          <w:rPr>
            <w:color w:val="0000FF"/>
            <w:spacing w:val="-6"/>
            <w:sz w:val="24"/>
            <w:u w:val="single" w:color="0000FF"/>
          </w:rPr>
          <w:t> </w:t>
        </w:r>
        <w:r>
          <w:rPr>
            <w:color w:val="0000FF"/>
            <w:sz w:val="24"/>
            <w:u w:val="single" w:color="0000FF"/>
          </w:rPr>
          <w:t>(IOM);</w:t>
        </w:r>
      </w:hyperlink>
      <w:r>
        <w:rPr>
          <w:color w:val="0000FF"/>
          <w:spacing w:val="-4"/>
          <w:sz w:val="24"/>
        </w:rPr>
        <w:t> </w:t>
      </w:r>
      <w:r>
        <w:rPr>
          <w:sz w:val="24"/>
        </w:rPr>
        <w:t>Chapter</w:t>
      </w:r>
      <w:r>
        <w:rPr>
          <w:spacing w:val="-6"/>
          <w:sz w:val="24"/>
        </w:rPr>
        <w:t> </w:t>
      </w:r>
      <w:r>
        <w:rPr>
          <w:spacing w:val="-4"/>
          <w:sz w:val="24"/>
        </w:rPr>
        <w:t>5.11</w:t>
      </w:r>
    </w:p>
    <w:p>
      <w:pPr>
        <w:pStyle w:val="ListParagraph"/>
        <w:numPr>
          <w:ilvl w:val="1"/>
          <w:numId w:val="2"/>
        </w:numPr>
        <w:tabs>
          <w:tab w:pos="1978" w:val="left" w:leader="none"/>
          <w:tab w:pos="1980" w:val="left" w:leader="none"/>
        </w:tabs>
        <w:spacing w:line="240" w:lineRule="auto" w:before="120" w:after="0"/>
        <w:ind w:left="1980" w:right="1843" w:hanging="360"/>
        <w:jc w:val="left"/>
        <w:rPr>
          <w:color w:val="0000FF"/>
          <w:sz w:val="24"/>
        </w:rPr>
      </w:pPr>
      <w:hyperlink r:id="rId18">
        <w:r>
          <w:rPr>
            <w:color w:val="0000FF"/>
            <w:sz w:val="24"/>
            <w:u w:val="single" w:color="0000FF"/>
          </w:rPr>
          <w:t>Field</w:t>
        </w:r>
        <w:r>
          <w:rPr>
            <w:color w:val="0000FF"/>
            <w:spacing w:val="-6"/>
            <w:sz w:val="24"/>
            <w:u w:val="single" w:color="0000FF"/>
          </w:rPr>
          <w:t> </w:t>
        </w:r>
        <w:r>
          <w:rPr>
            <w:color w:val="0000FF"/>
            <w:sz w:val="24"/>
            <w:u w:val="single" w:color="0000FF"/>
          </w:rPr>
          <w:t>Management</w:t>
        </w:r>
        <w:r>
          <w:rPr>
            <w:color w:val="0000FF"/>
            <w:spacing w:val="-5"/>
            <w:sz w:val="24"/>
            <w:u w:val="single" w:color="0000FF"/>
          </w:rPr>
          <w:t> </w:t>
        </w:r>
        <w:r>
          <w:rPr>
            <w:color w:val="0000FF"/>
            <w:sz w:val="24"/>
            <w:u w:val="single" w:color="0000FF"/>
          </w:rPr>
          <w:t>Directive</w:t>
        </w:r>
        <w:r>
          <w:rPr>
            <w:color w:val="0000FF"/>
            <w:spacing w:val="-6"/>
            <w:sz w:val="24"/>
            <w:u w:val="single" w:color="0000FF"/>
          </w:rPr>
          <w:t> </w:t>
        </w:r>
        <w:r>
          <w:rPr>
            <w:color w:val="0000FF"/>
            <w:sz w:val="24"/>
            <w:u w:val="single" w:color="0000FF"/>
          </w:rPr>
          <w:t>FMD#</w:t>
        </w:r>
        <w:r>
          <w:rPr>
            <w:color w:val="0000FF"/>
            <w:spacing w:val="-6"/>
            <w:sz w:val="24"/>
            <w:u w:val="single" w:color="0000FF"/>
          </w:rPr>
          <w:t> </w:t>
        </w:r>
        <w:r>
          <w:rPr>
            <w:color w:val="0000FF"/>
            <w:sz w:val="24"/>
            <w:u w:val="single" w:color="0000FF"/>
          </w:rPr>
          <w:t>86</w:t>
        </w:r>
        <w:r>
          <w:rPr>
            <w:color w:val="0000FF"/>
            <w:spacing w:val="-6"/>
            <w:sz w:val="24"/>
            <w:u w:val="single" w:color="0000FF"/>
          </w:rPr>
          <w:t> </w:t>
        </w:r>
        <w:r>
          <w:rPr>
            <w:color w:val="0000FF"/>
            <w:sz w:val="24"/>
            <w:u w:val="single" w:color="0000FF"/>
          </w:rPr>
          <w:t>–</w:t>
        </w:r>
        <w:r>
          <w:rPr>
            <w:color w:val="0000FF"/>
            <w:spacing w:val="-6"/>
            <w:sz w:val="24"/>
            <w:u w:val="single" w:color="0000FF"/>
          </w:rPr>
          <w:t> </w:t>
        </w:r>
        <w:r>
          <w:rPr>
            <w:color w:val="0000FF"/>
            <w:sz w:val="24"/>
            <w:u w:val="single" w:color="0000FF"/>
          </w:rPr>
          <w:t>Establishment</w:t>
        </w:r>
        <w:r>
          <w:rPr>
            <w:color w:val="0000FF"/>
            <w:spacing w:val="-5"/>
            <w:sz w:val="24"/>
            <w:u w:val="single" w:color="0000FF"/>
          </w:rPr>
          <w:t> </w:t>
        </w:r>
        <w:r>
          <w:rPr>
            <w:color w:val="0000FF"/>
            <w:sz w:val="24"/>
            <w:u w:val="single" w:color="0000FF"/>
          </w:rPr>
          <w:t>Inspection</w:t>
        </w:r>
      </w:hyperlink>
      <w:r>
        <w:rPr>
          <w:color w:val="0000FF"/>
          <w:sz w:val="24"/>
        </w:rPr>
        <w:t> </w:t>
      </w:r>
      <w:hyperlink r:id="rId18">
        <w:r>
          <w:rPr>
            <w:color w:val="0000FF"/>
            <w:sz w:val="24"/>
            <w:u w:val="single" w:color="0000FF"/>
          </w:rPr>
          <w:t>Report Conclusions and Decisions</w:t>
        </w:r>
      </w:hyperlink>
    </w:p>
    <w:p>
      <w:pPr>
        <w:pStyle w:val="ListParagraph"/>
        <w:spacing w:after="0" w:line="240" w:lineRule="auto"/>
        <w:jc w:val="left"/>
        <w:rPr>
          <w:sz w:val="24"/>
        </w:rPr>
        <w:sectPr>
          <w:headerReference w:type="default" r:id="rId13"/>
          <w:footerReference w:type="default" r:id="rId14"/>
          <w:pgSz w:w="12240" w:h="15840"/>
          <w:pgMar w:header="1001" w:footer="1251" w:top="2800" w:bottom="1440" w:left="1080" w:right="360"/>
        </w:sectPr>
      </w:pPr>
    </w:p>
    <w:p>
      <w:pPr>
        <w:pStyle w:val="BodyText"/>
        <w:spacing w:before="5"/>
      </w:pPr>
    </w:p>
    <w:p>
      <w:pPr>
        <w:pStyle w:val="ListParagraph"/>
        <w:numPr>
          <w:ilvl w:val="1"/>
          <w:numId w:val="2"/>
        </w:numPr>
        <w:tabs>
          <w:tab w:pos="1980" w:val="left" w:leader="none"/>
        </w:tabs>
        <w:spacing w:line="240" w:lineRule="auto" w:before="0" w:after="0"/>
        <w:ind w:left="1980" w:right="1907" w:hanging="360"/>
        <w:jc w:val="left"/>
        <w:rPr>
          <w:color w:val="0000FF"/>
          <w:sz w:val="24"/>
        </w:rPr>
      </w:pPr>
      <w:hyperlink r:id="rId21">
        <w:r>
          <w:rPr>
            <w:color w:val="0000FF"/>
            <w:sz w:val="24"/>
            <w:u w:val="single" w:color="0000FF"/>
          </w:rPr>
          <w:t>Integration</w:t>
        </w:r>
        <w:r>
          <w:rPr>
            <w:color w:val="0000FF"/>
            <w:spacing w:val="-5"/>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FDA</w:t>
        </w:r>
        <w:r>
          <w:rPr>
            <w:color w:val="0000FF"/>
            <w:spacing w:val="-5"/>
            <w:sz w:val="24"/>
            <w:u w:val="single" w:color="0000FF"/>
          </w:rPr>
          <w:t> </w:t>
        </w:r>
        <w:r>
          <w:rPr>
            <w:color w:val="0000FF"/>
            <w:sz w:val="24"/>
            <w:u w:val="single" w:color="0000FF"/>
          </w:rPr>
          <w:t>Facility</w:t>
        </w:r>
        <w:r>
          <w:rPr>
            <w:color w:val="0000FF"/>
            <w:spacing w:val="-5"/>
            <w:sz w:val="24"/>
            <w:u w:val="single" w:color="0000FF"/>
          </w:rPr>
          <w:t> </w:t>
        </w:r>
        <w:r>
          <w:rPr>
            <w:color w:val="0000FF"/>
            <w:sz w:val="24"/>
            <w:u w:val="single" w:color="0000FF"/>
          </w:rPr>
          <w:t>Evaluation</w:t>
        </w:r>
        <w:r>
          <w:rPr>
            <w:color w:val="0000FF"/>
            <w:spacing w:val="-5"/>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Inspection</w:t>
        </w:r>
        <w:r>
          <w:rPr>
            <w:color w:val="0000FF"/>
            <w:spacing w:val="-5"/>
            <w:sz w:val="24"/>
            <w:u w:val="single" w:color="0000FF"/>
          </w:rPr>
          <w:t> </w:t>
        </w:r>
        <w:r>
          <w:rPr>
            <w:color w:val="0000FF"/>
            <w:sz w:val="24"/>
            <w:u w:val="single" w:color="0000FF"/>
          </w:rPr>
          <w:t>Program</w:t>
        </w:r>
        <w:r>
          <w:rPr>
            <w:color w:val="0000FF"/>
            <w:spacing w:val="-4"/>
            <w:sz w:val="24"/>
            <w:u w:val="single" w:color="0000FF"/>
          </w:rPr>
          <w:t> </w:t>
        </w:r>
        <w:r>
          <w:rPr>
            <w:color w:val="0000FF"/>
            <w:sz w:val="24"/>
            <w:u w:val="single" w:color="0000FF"/>
          </w:rPr>
          <w:t>for</w:t>
        </w:r>
      </w:hyperlink>
      <w:r>
        <w:rPr>
          <w:color w:val="0000FF"/>
          <w:sz w:val="24"/>
        </w:rPr>
        <w:t> </w:t>
      </w:r>
      <w:hyperlink r:id="rId21">
        <w:r>
          <w:rPr>
            <w:color w:val="0000FF"/>
            <w:sz w:val="24"/>
            <w:u w:val="single" w:color="0000FF"/>
          </w:rPr>
          <w:t>Human Drugs: A Concept of Operations</w:t>
        </w:r>
      </w:hyperlink>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7. Definitions/Glossary" w:id="14"/>
      <w:bookmarkEnd w:id="14"/>
      <w:r>
        <w:rPr/>
      </w:r>
      <w:bookmarkStart w:name="_bookmark7" w:id="15"/>
      <w:bookmarkEnd w:id="15"/>
      <w:r>
        <w:rPr>
          <w:rFonts w:ascii="Arial"/>
          <w:b/>
          <w:spacing w:val="-2"/>
          <w:sz w:val="22"/>
        </w:rPr>
        <w:t>D</w:t>
      </w:r>
      <w:r>
        <w:rPr>
          <w:rFonts w:ascii="Arial"/>
          <w:b/>
          <w:spacing w:val="-2"/>
          <w:sz w:val="22"/>
        </w:rPr>
        <w:t>efinitions/Glossary</w:t>
      </w:r>
    </w:p>
    <w:p>
      <w:pPr>
        <w:pStyle w:val="BodyText"/>
        <w:spacing w:before="119"/>
        <w:ind w:left="1620"/>
      </w:pPr>
      <w:r>
        <w:rPr>
          <w:spacing w:val="-5"/>
        </w:rPr>
        <w:t>N/A</w:t>
      </w:r>
    </w:p>
    <w:p>
      <w:pPr>
        <w:pStyle w:val="ListParagraph"/>
        <w:numPr>
          <w:ilvl w:val="0"/>
          <w:numId w:val="2"/>
        </w:numPr>
        <w:tabs>
          <w:tab w:pos="1259" w:val="left" w:leader="none"/>
        </w:tabs>
        <w:spacing w:line="240" w:lineRule="auto" w:before="276" w:after="0"/>
        <w:ind w:left="1259" w:right="0" w:hanging="539"/>
        <w:jc w:val="left"/>
        <w:rPr>
          <w:rFonts w:ascii="Arial"/>
          <w:b/>
          <w:sz w:val="22"/>
        </w:rPr>
      </w:pPr>
      <w:bookmarkStart w:name="8. Records" w:id="16"/>
      <w:bookmarkEnd w:id="16"/>
      <w:r>
        <w:rPr/>
      </w:r>
      <w:bookmarkStart w:name="_bookmark8" w:id="17"/>
      <w:bookmarkEnd w:id="17"/>
      <w:r>
        <w:rPr/>
      </w:r>
      <w:r>
        <w:rPr>
          <w:rFonts w:ascii="Arial"/>
          <w:b/>
          <w:spacing w:val="-2"/>
          <w:sz w:val="22"/>
        </w:rPr>
        <w:t>Records</w:t>
      </w:r>
    </w:p>
    <w:p>
      <w:pPr>
        <w:pStyle w:val="ListParagraph"/>
        <w:numPr>
          <w:ilvl w:val="1"/>
          <w:numId w:val="2"/>
        </w:numPr>
        <w:tabs>
          <w:tab w:pos="1978" w:val="left" w:leader="none"/>
        </w:tabs>
        <w:spacing w:line="240" w:lineRule="auto" w:before="120" w:after="0"/>
        <w:ind w:left="1978" w:right="0" w:hanging="358"/>
        <w:jc w:val="left"/>
        <w:rPr>
          <w:sz w:val="24"/>
        </w:rPr>
      </w:pPr>
      <w:r>
        <w:rPr>
          <w:sz w:val="24"/>
        </w:rPr>
        <w:t>Completed</w:t>
      </w:r>
      <w:r>
        <w:rPr>
          <w:spacing w:val="-3"/>
          <w:sz w:val="24"/>
        </w:rPr>
        <w:t> </w:t>
      </w:r>
      <w:r>
        <w:rPr>
          <w:sz w:val="24"/>
        </w:rPr>
        <w:t>Cover</w:t>
      </w:r>
      <w:r>
        <w:rPr>
          <w:spacing w:val="-3"/>
          <w:sz w:val="24"/>
        </w:rPr>
        <w:t> </w:t>
      </w:r>
      <w:r>
        <w:rPr>
          <w:sz w:val="24"/>
        </w:rPr>
        <w:t>Letter</w:t>
      </w:r>
      <w:r>
        <w:rPr>
          <w:spacing w:val="-4"/>
          <w:sz w:val="24"/>
        </w:rPr>
        <w:t> </w:t>
      </w:r>
      <w:r>
        <w:rPr>
          <w:sz w:val="24"/>
        </w:rPr>
        <w:t>–</w:t>
      </w:r>
      <w:r>
        <w:rPr>
          <w:spacing w:val="-4"/>
          <w:sz w:val="24"/>
        </w:rPr>
        <w:t> </w:t>
      </w:r>
      <w:r>
        <w:rPr>
          <w:sz w:val="24"/>
        </w:rPr>
        <w:t>record</w:t>
      </w:r>
      <w:r>
        <w:rPr>
          <w:spacing w:val="-5"/>
          <w:sz w:val="24"/>
        </w:rPr>
        <w:t> </w:t>
      </w:r>
      <w:r>
        <w:rPr>
          <w:sz w:val="24"/>
        </w:rPr>
        <w:t>in</w:t>
      </w:r>
      <w:r>
        <w:rPr>
          <w:spacing w:val="-4"/>
          <w:sz w:val="24"/>
        </w:rPr>
        <w:t> </w:t>
      </w:r>
      <w:r>
        <w:rPr>
          <w:spacing w:val="-5"/>
          <w:sz w:val="24"/>
        </w:rPr>
        <w:t>CMS</w:t>
      </w:r>
    </w:p>
    <w:p>
      <w:pPr>
        <w:pStyle w:val="ListParagraph"/>
        <w:numPr>
          <w:ilvl w:val="1"/>
          <w:numId w:val="2"/>
        </w:numPr>
        <w:tabs>
          <w:tab w:pos="1978" w:val="left" w:leader="none"/>
        </w:tabs>
        <w:spacing w:line="240" w:lineRule="auto" w:before="120" w:after="0"/>
        <w:ind w:left="1978" w:right="0" w:hanging="358"/>
        <w:jc w:val="left"/>
        <w:rPr>
          <w:sz w:val="24"/>
        </w:rPr>
      </w:pPr>
      <w:r>
        <w:rPr>
          <w:sz w:val="24"/>
        </w:rPr>
        <w:t>Appropriately</w:t>
      </w:r>
      <w:r>
        <w:rPr>
          <w:spacing w:val="-3"/>
          <w:sz w:val="24"/>
        </w:rPr>
        <w:t> </w:t>
      </w:r>
      <w:r>
        <w:rPr>
          <w:sz w:val="24"/>
        </w:rPr>
        <w:t>redacted</w:t>
      </w:r>
      <w:r>
        <w:rPr>
          <w:spacing w:val="-3"/>
          <w:sz w:val="24"/>
        </w:rPr>
        <w:t> </w:t>
      </w:r>
      <w:r>
        <w:rPr>
          <w:sz w:val="24"/>
        </w:rPr>
        <w:t>copy</w:t>
      </w:r>
      <w:r>
        <w:rPr>
          <w:spacing w:val="-3"/>
          <w:sz w:val="24"/>
        </w:rPr>
        <w:t> </w:t>
      </w:r>
      <w:r>
        <w:rPr>
          <w:sz w:val="24"/>
        </w:rPr>
        <w:t>of</w:t>
      </w:r>
      <w:r>
        <w:rPr>
          <w:spacing w:val="-1"/>
          <w:sz w:val="24"/>
        </w:rPr>
        <w:t> </w:t>
      </w:r>
      <w:r>
        <w:rPr>
          <w:sz w:val="24"/>
        </w:rPr>
        <w:t>the</w:t>
      </w:r>
      <w:r>
        <w:rPr>
          <w:spacing w:val="-3"/>
          <w:sz w:val="24"/>
        </w:rPr>
        <w:t> </w:t>
      </w:r>
      <w:r>
        <w:rPr>
          <w:sz w:val="24"/>
        </w:rPr>
        <w:t>EIR</w:t>
      </w:r>
      <w:r>
        <w:rPr>
          <w:spacing w:val="-4"/>
          <w:sz w:val="24"/>
        </w:rPr>
        <w:t> </w:t>
      </w:r>
      <w:r>
        <w:rPr>
          <w:sz w:val="24"/>
        </w:rPr>
        <w:t>–</w:t>
      </w:r>
      <w:r>
        <w:rPr>
          <w:spacing w:val="-2"/>
          <w:sz w:val="24"/>
        </w:rPr>
        <w:t> </w:t>
      </w:r>
      <w:r>
        <w:rPr>
          <w:sz w:val="24"/>
        </w:rPr>
        <w:t>record</w:t>
      </w:r>
      <w:r>
        <w:rPr>
          <w:spacing w:val="-3"/>
          <w:sz w:val="24"/>
        </w:rPr>
        <w:t> </w:t>
      </w:r>
      <w:r>
        <w:rPr>
          <w:sz w:val="24"/>
        </w:rPr>
        <w:t>in</w:t>
      </w:r>
      <w:r>
        <w:rPr>
          <w:spacing w:val="-3"/>
          <w:sz w:val="24"/>
        </w:rPr>
        <w:t> </w:t>
      </w:r>
      <w:r>
        <w:rPr>
          <w:spacing w:val="-5"/>
          <w:sz w:val="24"/>
        </w:rPr>
        <w:t>CMS</w:t>
      </w:r>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9. Attachments" w:id="18"/>
      <w:bookmarkEnd w:id="18"/>
      <w:r>
        <w:rPr/>
      </w:r>
      <w:bookmarkStart w:name="_bookmark9" w:id="19"/>
      <w:bookmarkEnd w:id="19"/>
      <w:r>
        <w:rPr/>
      </w:r>
      <w:r>
        <w:rPr>
          <w:rFonts w:ascii="Arial"/>
          <w:b/>
          <w:spacing w:val="-2"/>
          <w:sz w:val="22"/>
        </w:rPr>
        <w:t>Attachments</w:t>
      </w:r>
    </w:p>
    <w:p>
      <w:pPr>
        <w:pStyle w:val="BodyText"/>
        <w:spacing w:before="121"/>
        <w:ind w:left="1620"/>
      </w:pPr>
      <w:bookmarkStart w:name="10. Document History" w:id="20"/>
      <w:bookmarkEnd w:id="20"/>
      <w:r>
        <w:rPr/>
      </w:r>
      <w:bookmarkStart w:name="_bookmark10" w:id="21"/>
      <w:bookmarkEnd w:id="21"/>
      <w:r>
        <w:rPr/>
      </w:r>
      <w:r>
        <w:rPr>
          <w:spacing w:val="-5"/>
        </w:rPr>
        <w:t>N/A</w:t>
      </w:r>
    </w:p>
    <w:p>
      <w:pPr>
        <w:pStyle w:val="ListParagraph"/>
        <w:numPr>
          <w:ilvl w:val="0"/>
          <w:numId w:val="2"/>
        </w:numPr>
        <w:tabs>
          <w:tab w:pos="1267" w:val="left" w:leader="none"/>
        </w:tabs>
        <w:spacing w:line="240" w:lineRule="auto" w:before="239" w:after="0"/>
        <w:ind w:left="1267" w:right="0" w:hanging="547"/>
        <w:jc w:val="left"/>
        <w:rPr>
          <w:rFonts w:ascii="Arial"/>
          <w:b/>
          <w:sz w:val="22"/>
        </w:rPr>
      </w:pPr>
      <w:r>
        <w:rPr>
          <w:rFonts w:ascii="Arial"/>
          <w:b/>
          <w:sz w:val="22"/>
        </w:rPr>
        <w:t>Document</w:t>
      </w:r>
      <w:r>
        <w:rPr>
          <w:rFonts w:ascii="Arial"/>
          <w:b/>
          <w:spacing w:val="-12"/>
          <w:sz w:val="22"/>
        </w:rPr>
        <w:t> </w:t>
      </w:r>
      <w:r>
        <w:rPr>
          <w:rFonts w:ascii="Arial"/>
          <w:b/>
          <w:spacing w:val="-2"/>
          <w:sz w:val="22"/>
        </w:rPr>
        <w:t>History</w:t>
      </w:r>
    </w:p>
    <w:p>
      <w:pPr>
        <w:pStyle w:val="BodyText"/>
        <w:spacing w:before="10"/>
        <w:rPr>
          <w:rFonts w:ascii="Arial"/>
          <w:b/>
          <w:sz w:val="20"/>
        </w:rPr>
      </w:pPr>
    </w:p>
    <w:tbl>
      <w:tblPr>
        <w:tblW w:w="0" w:type="auto"/>
        <w:jc w:val="left"/>
        <w:tblInd w:w="4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1260"/>
        <w:gridCol w:w="1324"/>
        <w:gridCol w:w="2771"/>
        <w:gridCol w:w="2836"/>
      </w:tblGrid>
      <w:tr>
        <w:trPr>
          <w:trHeight w:val="758" w:hRule="atLeast"/>
        </w:trPr>
        <w:tc>
          <w:tcPr>
            <w:tcW w:w="1260" w:type="dxa"/>
          </w:tcPr>
          <w:p>
            <w:pPr>
              <w:pStyle w:val="TableParagraph"/>
              <w:spacing w:before="253"/>
              <w:ind w:left="14"/>
              <w:jc w:val="center"/>
              <w:rPr>
                <w:b/>
                <w:sz w:val="22"/>
              </w:rPr>
            </w:pPr>
            <w:r>
              <w:rPr>
                <w:b/>
                <w:spacing w:val="-2"/>
                <w:sz w:val="22"/>
              </w:rPr>
              <w:t>Revision</w:t>
            </w:r>
          </w:p>
        </w:tc>
        <w:tc>
          <w:tcPr>
            <w:tcW w:w="1260" w:type="dxa"/>
          </w:tcPr>
          <w:p>
            <w:pPr>
              <w:pStyle w:val="TableParagraph"/>
              <w:spacing w:line="254" w:lineRule="exact"/>
              <w:ind w:left="176" w:right="161"/>
              <w:jc w:val="center"/>
              <w:rPr>
                <w:b/>
                <w:sz w:val="22"/>
              </w:rPr>
            </w:pPr>
            <w:r>
              <w:rPr>
                <w:b/>
                <w:spacing w:val="-2"/>
                <w:sz w:val="22"/>
              </w:rPr>
              <w:t>Status* </w:t>
            </w:r>
            <w:r>
              <w:rPr>
                <w:b/>
                <w:sz w:val="22"/>
              </w:rPr>
              <w:t>(D,</w:t>
            </w:r>
            <w:r>
              <w:rPr>
                <w:b/>
                <w:spacing w:val="-16"/>
                <w:sz w:val="22"/>
              </w:rPr>
              <w:t> </w:t>
            </w:r>
            <w:r>
              <w:rPr>
                <w:b/>
                <w:sz w:val="22"/>
              </w:rPr>
              <w:t>I,</w:t>
            </w:r>
            <w:r>
              <w:rPr>
                <w:b/>
                <w:spacing w:val="-15"/>
                <w:sz w:val="22"/>
              </w:rPr>
              <w:t> </w:t>
            </w:r>
            <w:r>
              <w:rPr>
                <w:b/>
                <w:sz w:val="22"/>
              </w:rPr>
              <w:t>R, </w:t>
            </w:r>
            <w:r>
              <w:rPr>
                <w:b/>
                <w:spacing w:val="-6"/>
                <w:sz w:val="22"/>
              </w:rPr>
              <w:t>C)</w:t>
            </w:r>
          </w:p>
        </w:tc>
        <w:tc>
          <w:tcPr>
            <w:tcW w:w="1324" w:type="dxa"/>
          </w:tcPr>
          <w:p>
            <w:pPr>
              <w:pStyle w:val="TableParagraph"/>
              <w:spacing w:before="253"/>
              <w:ind w:left="13"/>
              <w:jc w:val="center"/>
              <w:rPr>
                <w:b/>
                <w:sz w:val="22"/>
              </w:rPr>
            </w:pPr>
            <w:r>
              <w:rPr>
                <w:b/>
                <w:spacing w:val="-4"/>
                <w:sz w:val="22"/>
              </w:rPr>
              <w:t>Date</w:t>
            </w:r>
          </w:p>
        </w:tc>
        <w:tc>
          <w:tcPr>
            <w:tcW w:w="2771" w:type="dxa"/>
          </w:tcPr>
          <w:p>
            <w:pPr>
              <w:pStyle w:val="TableParagraph"/>
              <w:spacing w:before="253"/>
              <w:ind w:left="210"/>
              <w:rPr>
                <w:b/>
                <w:sz w:val="22"/>
              </w:rPr>
            </w:pPr>
            <w:r>
              <w:rPr>
                <w:b/>
                <w:sz w:val="22"/>
              </w:rPr>
              <w:t>Author</w:t>
            </w:r>
            <w:r>
              <w:rPr>
                <w:b/>
                <w:spacing w:val="-7"/>
                <w:sz w:val="22"/>
              </w:rPr>
              <w:t> </w:t>
            </w:r>
            <w:r>
              <w:rPr>
                <w:b/>
                <w:sz w:val="22"/>
              </w:rPr>
              <w:t>Name</w:t>
            </w:r>
            <w:r>
              <w:rPr>
                <w:b/>
                <w:spacing w:val="-7"/>
                <w:sz w:val="22"/>
              </w:rPr>
              <w:t> </w:t>
            </w:r>
            <w:r>
              <w:rPr>
                <w:b/>
                <w:sz w:val="22"/>
              </w:rPr>
              <w:t>and</w:t>
            </w:r>
            <w:r>
              <w:rPr>
                <w:b/>
                <w:spacing w:val="-6"/>
                <w:sz w:val="22"/>
              </w:rPr>
              <w:t> </w:t>
            </w:r>
            <w:r>
              <w:rPr>
                <w:b/>
                <w:spacing w:val="-2"/>
                <w:sz w:val="22"/>
              </w:rPr>
              <w:t>Title</w:t>
            </w:r>
          </w:p>
        </w:tc>
        <w:tc>
          <w:tcPr>
            <w:tcW w:w="2836" w:type="dxa"/>
          </w:tcPr>
          <w:p>
            <w:pPr>
              <w:pStyle w:val="TableParagraph"/>
              <w:spacing w:before="125"/>
              <w:ind w:left="963" w:hanging="832"/>
              <w:rPr>
                <w:b/>
                <w:sz w:val="22"/>
              </w:rPr>
            </w:pPr>
            <w:r>
              <w:rPr>
                <w:b/>
                <w:sz w:val="22"/>
              </w:rPr>
              <w:t>Approving</w:t>
            </w:r>
            <w:r>
              <w:rPr>
                <w:b/>
                <w:spacing w:val="-16"/>
                <w:sz w:val="22"/>
              </w:rPr>
              <w:t> </w:t>
            </w:r>
            <w:r>
              <w:rPr>
                <w:b/>
                <w:sz w:val="22"/>
              </w:rPr>
              <w:t>Official</w:t>
            </w:r>
            <w:r>
              <w:rPr>
                <w:b/>
                <w:spacing w:val="-15"/>
                <w:sz w:val="22"/>
              </w:rPr>
              <w:t> </w:t>
            </w:r>
            <w:r>
              <w:rPr>
                <w:b/>
                <w:sz w:val="22"/>
              </w:rPr>
              <w:t>Name and Title</w:t>
            </w:r>
          </w:p>
        </w:tc>
      </w:tr>
      <w:tr>
        <w:trPr>
          <w:trHeight w:val="756" w:hRule="atLeast"/>
        </w:trPr>
        <w:tc>
          <w:tcPr>
            <w:tcW w:w="1260" w:type="dxa"/>
          </w:tcPr>
          <w:p>
            <w:pPr>
              <w:pStyle w:val="TableParagraph"/>
              <w:spacing w:before="250"/>
              <w:ind w:left="14"/>
              <w:jc w:val="center"/>
              <w:rPr>
                <w:rFonts w:ascii="Arial MT"/>
                <w:sz w:val="22"/>
              </w:rPr>
            </w:pPr>
            <w:r>
              <w:rPr>
                <w:rFonts w:ascii="Arial MT"/>
                <w:spacing w:val="-5"/>
                <w:sz w:val="22"/>
              </w:rPr>
              <w:t>02</w:t>
            </w:r>
          </w:p>
        </w:tc>
        <w:tc>
          <w:tcPr>
            <w:tcW w:w="1260" w:type="dxa"/>
          </w:tcPr>
          <w:p>
            <w:pPr>
              <w:pStyle w:val="TableParagraph"/>
              <w:spacing w:before="250"/>
              <w:ind w:left="14"/>
              <w:jc w:val="center"/>
              <w:rPr>
                <w:rFonts w:ascii="Arial MT"/>
                <w:sz w:val="22"/>
              </w:rPr>
            </w:pPr>
            <w:r>
              <w:rPr>
                <w:rFonts w:ascii="Arial MT"/>
                <w:spacing w:val="-10"/>
                <w:sz w:val="22"/>
              </w:rPr>
              <w:t>R</w:t>
            </w:r>
          </w:p>
        </w:tc>
        <w:tc>
          <w:tcPr>
            <w:tcW w:w="1324" w:type="dxa"/>
          </w:tcPr>
          <w:p>
            <w:pPr>
              <w:pStyle w:val="TableParagraph"/>
              <w:spacing w:before="250"/>
              <w:ind w:left="13" w:right="2"/>
              <w:jc w:val="center"/>
              <w:rPr>
                <w:rFonts w:ascii="Arial MT"/>
                <w:sz w:val="22"/>
              </w:rPr>
            </w:pPr>
            <w:r>
              <w:rPr>
                <w:rFonts w:ascii="Arial MT"/>
                <w:spacing w:val="-2"/>
                <w:sz w:val="22"/>
              </w:rPr>
              <w:t>3/1/2012</w:t>
            </w:r>
          </w:p>
        </w:tc>
        <w:tc>
          <w:tcPr>
            <w:tcW w:w="2771" w:type="dxa"/>
          </w:tcPr>
          <w:p>
            <w:pPr>
              <w:pStyle w:val="TableParagraph"/>
              <w:spacing w:line="254" w:lineRule="exact"/>
              <w:ind w:left="295" w:right="281" w:firstLine="1"/>
              <w:jc w:val="center"/>
              <w:rPr>
                <w:rFonts w:ascii="Arial MT"/>
                <w:sz w:val="22"/>
              </w:rPr>
            </w:pPr>
            <w:r>
              <w:rPr>
                <w:rFonts w:ascii="Arial MT"/>
                <w:sz w:val="22"/>
              </w:rPr>
              <w:t>Dennis Baker, Regional</w:t>
            </w:r>
            <w:r>
              <w:rPr>
                <w:rFonts w:ascii="Arial MT"/>
                <w:spacing w:val="-13"/>
                <w:sz w:val="22"/>
              </w:rPr>
              <w:t> </w:t>
            </w:r>
            <w:r>
              <w:rPr>
                <w:rFonts w:ascii="Arial MT"/>
                <w:sz w:val="22"/>
              </w:rPr>
              <w:t>Food</w:t>
            </w:r>
            <w:r>
              <w:rPr>
                <w:rFonts w:ascii="Arial MT"/>
                <w:spacing w:val="-13"/>
                <w:sz w:val="22"/>
              </w:rPr>
              <w:t> </w:t>
            </w:r>
            <w:r>
              <w:rPr>
                <w:rFonts w:ascii="Arial MT"/>
                <w:sz w:val="22"/>
              </w:rPr>
              <w:t>&amp;</w:t>
            </w:r>
            <w:r>
              <w:rPr>
                <w:rFonts w:ascii="Arial MT"/>
                <w:spacing w:val="-13"/>
                <w:sz w:val="22"/>
              </w:rPr>
              <w:t> </w:t>
            </w:r>
            <w:r>
              <w:rPr>
                <w:rFonts w:ascii="Arial MT"/>
                <w:sz w:val="22"/>
              </w:rPr>
              <w:t>Drug </w:t>
            </w:r>
            <w:r>
              <w:rPr>
                <w:rFonts w:ascii="Arial MT"/>
                <w:spacing w:val="-2"/>
                <w:sz w:val="22"/>
              </w:rPr>
              <w:t>Director</w:t>
            </w:r>
          </w:p>
        </w:tc>
        <w:tc>
          <w:tcPr>
            <w:tcW w:w="2836" w:type="dxa"/>
          </w:tcPr>
          <w:p>
            <w:pPr>
              <w:pStyle w:val="TableParagraph"/>
              <w:spacing w:line="254" w:lineRule="exact"/>
              <w:ind w:left="236" w:right="223" w:hanging="1"/>
              <w:jc w:val="center"/>
              <w:rPr>
                <w:rFonts w:ascii="Arial MT"/>
                <w:sz w:val="22"/>
              </w:rPr>
            </w:pPr>
            <w:r>
              <w:rPr>
                <w:rFonts w:ascii="Arial MT"/>
                <w:sz w:val="22"/>
              </w:rPr>
              <w:t>Roberta Wagner, Assistant</w:t>
            </w:r>
            <w:r>
              <w:rPr>
                <w:rFonts w:ascii="Arial MT"/>
                <w:spacing w:val="-16"/>
                <w:sz w:val="22"/>
              </w:rPr>
              <w:t> </w:t>
            </w:r>
            <w:r>
              <w:rPr>
                <w:rFonts w:ascii="Arial MT"/>
                <w:sz w:val="22"/>
              </w:rPr>
              <w:t>Commissioner for Field Operations</w:t>
            </w:r>
          </w:p>
        </w:tc>
      </w:tr>
      <w:tr>
        <w:trPr>
          <w:trHeight w:val="2062" w:hRule="atLeast"/>
        </w:trPr>
        <w:tc>
          <w:tcPr>
            <w:tcW w:w="1260" w:type="dxa"/>
          </w:tcPr>
          <w:p>
            <w:pPr>
              <w:pStyle w:val="TableParagraph"/>
              <w:ind w:left="0"/>
              <w:rPr>
                <w:b/>
                <w:sz w:val="22"/>
              </w:rPr>
            </w:pPr>
          </w:p>
          <w:p>
            <w:pPr>
              <w:pStyle w:val="TableParagraph"/>
              <w:ind w:left="0"/>
              <w:rPr>
                <w:b/>
                <w:sz w:val="22"/>
              </w:rPr>
            </w:pPr>
          </w:p>
          <w:p>
            <w:pPr>
              <w:pStyle w:val="TableParagraph"/>
              <w:spacing w:before="143"/>
              <w:ind w:left="0"/>
              <w:rPr>
                <w:b/>
                <w:sz w:val="22"/>
              </w:rPr>
            </w:pPr>
          </w:p>
          <w:p>
            <w:pPr>
              <w:pStyle w:val="TableParagraph"/>
              <w:ind w:left="14"/>
              <w:jc w:val="center"/>
              <w:rPr>
                <w:rFonts w:ascii="Arial MT"/>
                <w:sz w:val="22"/>
              </w:rPr>
            </w:pPr>
            <w:r>
              <w:rPr>
                <w:rFonts w:ascii="Arial MT"/>
                <w:spacing w:val="-5"/>
                <w:sz w:val="22"/>
              </w:rPr>
              <w:t>03</w:t>
            </w:r>
          </w:p>
        </w:tc>
        <w:tc>
          <w:tcPr>
            <w:tcW w:w="1260" w:type="dxa"/>
          </w:tcPr>
          <w:p>
            <w:pPr>
              <w:pStyle w:val="TableParagraph"/>
              <w:ind w:left="0"/>
              <w:rPr>
                <w:b/>
                <w:sz w:val="22"/>
              </w:rPr>
            </w:pPr>
          </w:p>
          <w:p>
            <w:pPr>
              <w:pStyle w:val="TableParagraph"/>
              <w:ind w:left="0"/>
              <w:rPr>
                <w:b/>
                <w:sz w:val="22"/>
              </w:rPr>
            </w:pPr>
          </w:p>
          <w:p>
            <w:pPr>
              <w:pStyle w:val="TableParagraph"/>
              <w:spacing w:before="143"/>
              <w:ind w:left="0"/>
              <w:rPr>
                <w:b/>
                <w:sz w:val="22"/>
              </w:rPr>
            </w:pPr>
          </w:p>
          <w:p>
            <w:pPr>
              <w:pStyle w:val="TableParagraph"/>
              <w:ind w:left="14"/>
              <w:jc w:val="center"/>
              <w:rPr>
                <w:rFonts w:ascii="Arial MT"/>
                <w:sz w:val="22"/>
              </w:rPr>
            </w:pPr>
            <w:r>
              <w:rPr>
                <w:rFonts w:ascii="Arial MT"/>
                <w:spacing w:val="-10"/>
                <w:sz w:val="22"/>
              </w:rPr>
              <w:t>R</w:t>
            </w:r>
          </w:p>
        </w:tc>
        <w:tc>
          <w:tcPr>
            <w:tcW w:w="1324" w:type="dxa"/>
          </w:tcPr>
          <w:p>
            <w:pPr>
              <w:pStyle w:val="TableParagraph"/>
              <w:ind w:left="0"/>
              <w:rPr>
                <w:b/>
                <w:sz w:val="18"/>
              </w:rPr>
            </w:pPr>
          </w:p>
          <w:p>
            <w:pPr>
              <w:pStyle w:val="TableParagraph"/>
              <w:ind w:left="0"/>
              <w:rPr>
                <w:b/>
                <w:sz w:val="18"/>
              </w:rPr>
            </w:pPr>
          </w:p>
          <w:p>
            <w:pPr>
              <w:pStyle w:val="TableParagraph"/>
              <w:spacing w:before="155"/>
              <w:ind w:left="0"/>
              <w:rPr>
                <w:b/>
                <w:sz w:val="18"/>
              </w:rPr>
            </w:pPr>
          </w:p>
          <w:p>
            <w:pPr>
              <w:pStyle w:val="TableParagraph"/>
              <w:spacing w:line="253" w:lineRule="exact"/>
              <w:ind w:left="13" w:right="1"/>
              <w:jc w:val="center"/>
              <w:rPr>
                <w:rFonts w:ascii="Arial MT"/>
                <w:sz w:val="18"/>
              </w:rPr>
            </w:pPr>
            <w:r>
              <w:rPr>
                <w:rFonts w:ascii="Arial MT"/>
                <w:sz w:val="22"/>
              </w:rPr>
              <w:t>25</w:t>
            </w:r>
            <w:r>
              <w:rPr>
                <w:rFonts w:ascii="Arial MT"/>
                <w:spacing w:val="-14"/>
                <w:sz w:val="22"/>
              </w:rPr>
              <w:t> </w:t>
            </w:r>
            <w:r>
              <w:rPr>
                <w:rFonts w:ascii="Arial MT"/>
                <w:spacing w:val="-4"/>
                <w:sz w:val="22"/>
              </w:rPr>
              <w:t>J</w:t>
            </w:r>
            <w:r>
              <w:rPr>
                <w:rFonts w:ascii="Arial MT"/>
                <w:spacing w:val="-4"/>
                <w:sz w:val="18"/>
              </w:rPr>
              <w:t>UNE</w:t>
            </w:r>
          </w:p>
          <w:p>
            <w:pPr>
              <w:pStyle w:val="TableParagraph"/>
              <w:spacing w:line="253" w:lineRule="exact"/>
              <w:ind w:left="13" w:right="1"/>
              <w:jc w:val="center"/>
              <w:rPr>
                <w:rFonts w:ascii="Arial MT"/>
                <w:sz w:val="22"/>
              </w:rPr>
            </w:pPr>
            <w:r>
              <w:rPr>
                <w:rFonts w:ascii="Arial MT"/>
                <w:spacing w:val="-4"/>
                <w:sz w:val="22"/>
              </w:rPr>
              <w:t>2019</w:t>
            </w:r>
          </w:p>
        </w:tc>
        <w:tc>
          <w:tcPr>
            <w:tcW w:w="2771" w:type="dxa"/>
          </w:tcPr>
          <w:p>
            <w:pPr>
              <w:pStyle w:val="TableParagraph"/>
              <w:ind w:left="253" w:right="238"/>
              <w:jc w:val="center"/>
              <w:rPr>
                <w:rFonts w:ascii="Arial MT"/>
                <w:sz w:val="20"/>
              </w:rPr>
            </w:pPr>
            <w:r>
              <w:rPr>
                <w:b/>
                <w:sz w:val="20"/>
              </w:rPr>
              <w:t>L</w:t>
            </w:r>
            <w:r>
              <w:rPr>
                <w:b/>
                <w:sz w:val="16"/>
              </w:rPr>
              <w:t>ORI </w:t>
            </w:r>
            <w:r>
              <w:rPr>
                <w:b/>
                <w:sz w:val="20"/>
              </w:rPr>
              <w:t>H</w:t>
            </w:r>
            <w:r>
              <w:rPr>
                <w:b/>
                <w:sz w:val="16"/>
              </w:rPr>
              <w:t>OLMQUIST </w:t>
            </w:r>
            <w:r>
              <w:rPr>
                <w:rFonts w:ascii="Arial MT"/>
                <w:sz w:val="20"/>
              </w:rPr>
              <w:t>D</w:t>
            </w:r>
            <w:r>
              <w:rPr>
                <w:rFonts w:ascii="Arial MT"/>
                <w:sz w:val="16"/>
              </w:rPr>
              <w:t>IRECTOR </w:t>
            </w:r>
            <w:r>
              <w:rPr>
                <w:rFonts w:ascii="Arial MT"/>
                <w:sz w:val="20"/>
              </w:rPr>
              <w:t>O</w:t>
            </w:r>
            <w:r>
              <w:rPr>
                <w:rFonts w:ascii="Arial MT"/>
                <w:sz w:val="16"/>
              </w:rPr>
              <w:t>F </w:t>
            </w:r>
            <w:r>
              <w:rPr>
                <w:rFonts w:ascii="Arial MT"/>
                <w:spacing w:val="-2"/>
                <w:sz w:val="20"/>
              </w:rPr>
              <w:t>I</w:t>
            </w:r>
            <w:r>
              <w:rPr>
                <w:rFonts w:ascii="Arial MT"/>
                <w:spacing w:val="-2"/>
                <w:sz w:val="16"/>
              </w:rPr>
              <w:t>NVESTIGATIONS</w:t>
            </w:r>
            <w:r>
              <w:rPr>
                <w:rFonts w:ascii="Arial MT"/>
                <w:spacing w:val="-2"/>
                <w:sz w:val="20"/>
              </w:rPr>
              <w:t>,</w:t>
            </w:r>
            <w:r>
              <w:rPr>
                <w:rFonts w:ascii="Arial MT"/>
                <w:spacing w:val="-9"/>
                <w:sz w:val="20"/>
              </w:rPr>
              <w:t> </w:t>
            </w:r>
            <w:r>
              <w:rPr>
                <w:rFonts w:ascii="Arial MT"/>
                <w:spacing w:val="-2"/>
                <w:sz w:val="20"/>
              </w:rPr>
              <w:t>OHAFO </w:t>
            </w:r>
            <w:r>
              <w:rPr>
                <w:rFonts w:ascii="Arial MT"/>
                <w:sz w:val="20"/>
              </w:rPr>
              <w:t>E</w:t>
            </w:r>
            <w:r>
              <w:rPr>
                <w:rFonts w:ascii="Arial MT"/>
                <w:sz w:val="16"/>
              </w:rPr>
              <w:t>AST </w:t>
            </w:r>
            <w:r>
              <w:rPr>
                <w:rFonts w:ascii="Arial MT"/>
                <w:sz w:val="20"/>
              </w:rPr>
              <w:t>1</w:t>
            </w:r>
          </w:p>
          <w:p>
            <w:pPr>
              <w:pStyle w:val="TableParagraph"/>
              <w:spacing w:before="40"/>
              <w:ind w:left="0"/>
              <w:rPr>
                <w:b/>
                <w:sz w:val="16"/>
              </w:rPr>
            </w:pPr>
          </w:p>
          <w:p>
            <w:pPr>
              <w:pStyle w:val="TableParagraph"/>
              <w:ind w:left="253" w:right="239"/>
              <w:jc w:val="center"/>
              <w:rPr>
                <w:b/>
                <w:sz w:val="20"/>
              </w:rPr>
            </w:pPr>
            <w:r>
              <w:rPr>
                <w:b/>
                <w:smallCaps/>
                <w:sz w:val="20"/>
              </w:rPr>
              <w:t>FMD</w:t>
            </w:r>
            <w:r>
              <w:rPr>
                <w:b/>
                <w:smallCaps/>
                <w:spacing w:val="-12"/>
                <w:sz w:val="20"/>
              </w:rPr>
              <w:t> </w:t>
            </w:r>
            <w:r>
              <w:rPr>
                <w:b/>
                <w:smallCaps/>
                <w:sz w:val="20"/>
              </w:rPr>
              <w:t>145</w:t>
            </w:r>
            <w:r>
              <w:rPr>
                <w:b/>
                <w:smallCaps/>
                <w:spacing w:val="-13"/>
                <w:sz w:val="20"/>
              </w:rPr>
              <w:t> </w:t>
            </w:r>
            <w:r>
              <w:rPr>
                <w:b/>
                <w:smallCaps/>
                <w:sz w:val="20"/>
              </w:rPr>
              <w:t>Work</w:t>
            </w:r>
            <w:r>
              <w:rPr>
                <w:b/>
                <w:smallCaps/>
                <w:spacing w:val="-11"/>
                <w:sz w:val="20"/>
              </w:rPr>
              <w:t> </w:t>
            </w:r>
            <w:r>
              <w:rPr>
                <w:b/>
                <w:smallCaps/>
                <w:sz w:val="20"/>
              </w:rPr>
              <w:t>Group </w:t>
            </w:r>
            <w:r>
              <w:rPr>
                <w:b/>
                <w:smallCaps/>
                <w:spacing w:val="-4"/>
                <w:sz w:val="20"/>
              </w:rPr>
              <w:t>Team</w:t>
            </w:r>
          </w:p>
          <w:p>
            <w:pPr>
              <w:pStyle w:val="TableParagraph"/>
              <w:spacing w:line="230" w:lineRule="exact"/>
              <w:ind w:left="253" w:right="238"/>
              <w:jc w:val="center"/>
              <w:rPr>
                <w:rFonts w:ascii="Arial MT"/>
                <w:sz w:val="20"/>
              </w:rPr>
            </w:pPr>
            <w:r>
              <w:rPr>
                <w:rFonts w:ascii="Arial MT"/>
                <w:smallCaps/>
                <w:sz w:val="20"/>
              </w:rPr>
              <w:t>ORA</w:t>
            </w:r>
            <w:r>
              <w:rPr>
                <w:rFonts w:ascii="Arial MT"/>
                <w:smallCaps/>
                <w:spacing w:val="-12"/>
                <w:sz w:val="20"/>
              </w:rPr>
              <w:t> </w:t>
            </w:r>
            <w:r>
              <w:rPr>
                <w:rFonts w:ascii="Arial MT"/>
                <w:smallCaps/>
                <w:sz w:val="20"/>
              </w:rPr>
              <w:t>Program </w:t>
            </w:r>
            <w:r>
              <w:rPr>
                <w:rFonts w:ascii="Arial MT"/>
                <w:smallCaps/>
                <w:spacing w:val="-2"/>
                <w:sz w:val="20"/>
              </w:rPr>
              <w:t>Representatives</w:t>
            </w:r>
          </w:p>
        </w:tc>
        <w:tc>
          <w:tcPr>
            <w:tcW w:w="2836" w:type="dxa"/>
          </w:tcPr>
          <w:p>
            <w:pPr>
              <w:pStyle w:val="TableParagraph"/>
              <w:ind w:left="128" w:right="116"/>
              <w:jc w:val="center"/>
              <w:rPr>
                <w:rFonts w:ascii="Arial MT"/>
                <w:sz w:val="16"/>
              </w:rPr>
            </w:pPr>
            <w:r>
              <w:rPr>
                <w:b/>
                <w:sz w:val="20"/>
              </w:rPr>
              <w:t>V</w:t>
            </w:r>
            <w:r>
              <w:rPr>
                <w:b/>
                <w:sz w:val="16"/>
              </w:rPr>
              <w:t>INETTA</w:t>
            </w:r>
            <w:r>
              <w:rPr>
                <w:b/>
                <w:spacing w:val="-4"/>
                <w:sz w:val="16"/>
              </w:rPr>
              <w:t> </w:t>
            </w:r>
            <w:r>
              <w:rPr>
                <w:b/>
                <w:sz w:val="20"/>
              </w:rPr>
              <w:t>H</w:t>
            </w:r>
            <w:r>
              <w:rPr>
                <w:b/>
                <w:sz w:val="16"/>
              </w:rPr>
              <w:t>OWARD</w:t>
            </w:r>
            <w:r>
              <w:rPr>
                <w:b/>
                <w:sz w:val="20"/>
              </w:rPr>
              <w:t>-K</w:t>
            </w:r>
            <w:r>
              <w:rPr>
                <w:b/>
                <w:sz w:val="16"/>
              </w:rPr>
              <w:t>ING </w:t>
            </w:r>
            <w:r>
              <w:rPr>
                <w:rFonts w:ascii="Arial MT"/>
                <w:sz w:val="20"/>
              </w:rPr>
              <w:t>D</w:t>
            </w:r>
            <w:r>
              <w:rPr>
                <w:rFonts w:ascii="Arial MT"/>
                <w:sz w:val="16"/>
              </w:rPr>
              <w:t>IRECTOR</w:t>
            </w:r>
            <w:r>
              <w:rPr>
                <w:rFonts w:ascii="Arial MT"/>
                <w:spacing w:val="-12"/>
                <w:sz w:val="16"/>
              </w:rPr>
              <w:t> </w:t>
            </w:r>
            <w:r>
              <w:rPr>
                <w:rFonts w:ascii="Arial MT"/>
                <w:sz w:val="20"/>
              </w:rPr>
              <w:t>,</w:t>
            </w:r>
            <w:r>
              <w:rPr>
                <w:rFonts w:ascii="Arial MT"/>
                <w:spacing w:val="-13"/>
                <w:sz w:val="20"/>
              </w:rPr>
              <w:t> </w:t>
            </w:r>
            <w:r>
              <w:rPr>
                <w:rFonts w:ascii="Arial MT"/>
                <w:sz w:val="20"/>
              </w:rPr>
              <w:t>O</w:t>
            </w:r>
            <w:r>
              <w:rPr>
                <w:rFonts w:ascii="Arial MT"/>
                <w:sz w:val="16"/>
              </w:rPr>
              <w:t>FFICE</w:t>
            </w:r>
            <w:r>
              <w:rPr>
                <w:rFonts w:ascii="Arial MT"/>
                <w:spacing w:val="-12"/>
                <w:sz w:val="16"/>
              </w:rPr>
              <w:t> </w:t>
            </w:r>
            <w:r>
              <w:rPr>
                <w:rFonts w:ascii="Arial MT"/>
                <w:sz w:val="16"/>
              </w:rPr>
              <w:t>OF</w:t>
            </w:r>
            <w:r>
              <w:rPr>
                <w:rFonts w:ascii="Arial MT"/>
                <w:spacing w:val="-11"/>
                <w:sz w:val="16"/>
              </w:rPr>
              <w:t> </w:t>
            </w:r>
            <w:r>
              <w:rPr>
                <w:rFonts w:ascii="Arial MT"/>
                <w:sz w:val="20"/>
              </w:rPr>
              <w:t>H</w:t>
            </w:r>
            <w:r>
              <w:rPr>
                <w:rFonts w:ascii="Arial MT"/>
                <w:sz w:val="16"/>
              </w:rPr>
              <w:t>UMAN AND </w:t>
            </w:r>
            <w:r>
              <w:rPr>
                <w:rFonts w:ascii="Arial MT"/>
                <w:sz w:val="20"/>
              </w:rPr>
              <w:t>A</w:t>
            </w:r>
            <w:r>
              <w:rPr>
                <w:rFonts w:ascii="Arial MT"/>
                <w:sz w:val="16"/>
              </w:rPr>
              <w:t>NIMAL </w:t>
            </w:r>
            <w:r>
              <w:rPr>
                <w:rFonts w:ascii="Arial MT"/>
                <w:sz w:val="20"/>
              </w:rPr>
              <w:t>F</w:t>
            </w:r>
            <w:r>
              <w:rPr>
                <w:rFonts w:ascii="Arial MT"/>
                <w:sz w:val="16"/>
              </w:rPr>
              <w:t>OOD </w:t>
            </w:r>
            <w:r>
              <w:rPr>
                <w:rFonts w:ascii="Arial MT"/>
                <w:sz w:val="20"/>
              </w:rPr>
              <w:t>O</w:t>
            </w:r>
            <w:r>
              <w:rPr>
                <w:rFonts w:ascii="Arial MT"/>
                <w:sz w:val="16"/>
              </w:rPr>
              <w:t>PERATIONS </w:t>
            </w:r>
            <w:r>
              <w:rPr>
                <w:rFonts w:ascii="Arial MT"/>
                <w:sz w:val="20"/>
              </w:rPr>
              <w:t>(OHAFO) E</w:t>
            </w:r>
            <w:r>
              <w:rPr>
                <w:rFonts w:ascii="Arial MT"/>
                <w:sz w:val="16"/>
              </w:rPr>
              <w:t>AST</w:t>
            </w:r>
          </w:p>
        </w:tc>
      </w:tr>
    </w:tbl>
    <w:p>
      <w:pPr>
        <w:pStyle w:val="BodyText"/>
        <w:tabs>
          <w:tab w:pos="899" w:val="left" w:leader="none"/>
        </w:tabs>
        <w:spacing w:before="2"/>
        <w:ind w:left="540"/>
      </w:pPr>
      <w:r>
        <w:rPr>
          <w:spacing w:val="-10"/>
        </w:rPr>
        <w:t>*</w:t>
      </w:r>
      <w:r>
        <w:rPr/>
        <w:tab/>
        <w:t>D:</w:t>
      </w:r>
      <w:r>
        <w:rPr>
          <w:spacing w:val="-3"/>
        </w:rPr>
        <w:t> </w:t>
      </w:r>
      <w:r>
        <w:rPr/>
        <w:t>Draft,</w:t>
      </w:r>
      <w:r>
        <w:rPr>
          <w:spacing w:val="-4"/>
        </w:rPr>
        <w:t> </w:t>
      </w:r>
      <w:r>
        <w:rPr/>
        <w:t>I:</w:t>
      </w:r>
      <w:r>
        <w:rPr>
          <w:spacing w:val="-4"/>
        </w:rPr>
        <w:t> </w:t>
      </w:r>
      <w:r>
        <w:rPr/>
        <w:t>Initial,</w:t>
      </w:r>
      <w:r>
        <w:rPr>
          <w:spacing w:val="-2"/>
        </w:rPr>
        <w:t> </w:t>
      </w:r>
      <w:r>
        <w:rPr/>
        <w:t>R:</w:t>
      </w:r>
      <w:r>
        <w:rPr>
          <w:spacing w:val="-3"/>
        </w:rPr>
        <w:t> </w:t>
      </w:r>
      <w:r>
        <w:rPr/>
        <w:t>Revision,</w:t>
      </w:r>
      <w:r>
        <w:rPr>
          <w:spacing w:val="-2"/>
        </w:rPr>
        <w:t> </w:t>
      </w:r>
      <w:r>
        <w:rPr/>
        <w:t>C:</w:t>
      </w:r>
      <w:r>
        <w:rPr>
          <w:spacing w:val="-4"/>
        </w:rPr>
        <w:t> </w:t>
      </w:r>
      <w:r>
        <w:rPr>
          <w:spacing w:val="-2"/>
        </w:rPr>
        <w:t>Cancel</w:t>
      </w:r>
    </w:p>
    <w:p>
      <w:pPr>
        <w:pStyle w:val="ListParagraph"/>
        <w:numPr>
          <w:ilvl w:val="0"/>
          <w:numId w:val="2"/>
        </w:numPr>
        <w:tabs>
          <w:tab w:pos="1267" w:val="left" w:leader="none"/>
        </w:tabs>
        <w:spacing w:line="240" w:lineRule="auto" w:before="240" w:after="0"/>
        <w:ind w:left="1267" w:right="0" w:hanging="547"/>
        <w:jc w:val="left"/>
        <w:rPr>
          <w:rFonts w:ascii="Arial"/>
          <w:b/>
          <w:sz w:val="22"/>
        </w:rPr>
      </w:pPr>
      <w:bookmarkStart w:name="11. Change History" w:id="22"/>
      <w:bookmarkEnd w:id="22"/>
      <w:r>
        <w:rPr/>
      </w:r>
      <w:bookmarkStart w:name="_bookmark11" w:id="23"/>
      <w:bookmarkEnd w:id="23"/>
      <w:r>
        <w:rPr/>
      </w:r>
      <w:r>
        <w:rPr>
          <w:rFonts w:ascii="Arial"/>
          <w:b/>
          <w:sz w:val="22"/>
        </w:rPr>
        <w:t>Change</w:t>
      </w:r>
      <w:r>
        <w:rPr>
          <w:rFonts w:ascii="Arial"/>
          <w:b/>
          <w:spacing w:val="-10"/>
          <w:sz w:val="22"/>
        </w:rPr>
        <w:t> </w:t>
      </w:r>
      <w:r>
        <w:rPr>
          <w:rFonts w:ascii="Arial"/>
          <w:b/>
          <w:spacing w:val="-2"/>
          <w:sz w:val="22"/>
        </w:rPr>
        <w:t>History</w:t>
      </w:r>
    </w:p>
    <w:p>
      <w:pPr>
        <w:pStyle w:val="BodyText"/>
        <w:spacing w:before="10"/>
        <w:rPr>
          <w:rFonts w:ascii="Arial"/>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4"/>
        <w:gridCol w:w="8166"/>
      </w:tblGrid>
      <w:tr>
        <w:trPr>
          <w:trHeight w:val="230" w:hRule="atLeast"/>
        </w:trPr>
        <w:tc>
          <w:tcPr>
            <w:tcW w:w="1184" w:type="dxa"/>
          </w:tcPr>
          <w:p>
            <w:pPr>
              <w:pStyle w:val="TableParagraph"/>
              <w:spacing w:line="209" w:lineRule="exact"/>
              <w:ind w:left="11" w:right="3"/>
              <w:jc w:val="center"/>
              <w:rPr>
                <w:b/>
                <w:sz w:val="20"/>
              </w:rPr>
            </w:pPr>
            <w:r>
              <w:rPr>
                <w:b/>
                <w:spacing w:val="-2"/>
                <w:sz w:val="20"/>
              </w:rPr>
              <w:t>Revision</w:t>
            </w:r>
          </w:p>
        </w:tc>
        <w:tc>
          <w:tcPr>
            <w:tcW w:w="8166" w:type="dxa"/>
          </w:tcPr>
          <w:p>
            <w:pPr>
              <w:pStyle w:val="TableParagraph"/>
              <w:spacing w:line="209" w:lineRule="exact"/>
              <w:ind w:left="108"/>
              <w:rPr>
                <w:b/>
                <w:sz w:val="20"/>
              </w:rPr>
            </w:pPr>
            <w:r>
              <w:rPr>
                <w:b/>
                <w:spacing w:val="-2"/>
                <w:sz w:val="20"/>
              </w:rPr>
              <w:t>Change</w:t>
            </w:r>
          </w:p>
        </w:tc>
      </w:tr>
      <w:tr>
        <w:trPr>
          <w:trHeight w:val="230" w:hRule="atLeast"/>
        </w:trPr>
        <w:tc>
          <w:tcPr>
            <w:tcW w:w="1184" w:type="dxa"/>
          </w:tcPr>
          <w:p>
            <w:pPr>
              <w:pStyle w:val="TableParagraph"/>
              <w:spacing w:line="209" w:lineRule="exact"/>
              <w:ind w:left="11" w:right="3"/>
              <w:jc w:val="center"/>
              <w:rPr>
                <w:rFonts w:ascii="Arial MT"/>
                <w:sz w:val="20"/>
              </w:rPr>
            </w:pPr>
            <w:r>
              <w:rPr>
                <w:rFonts w:ascii="Arial MT"/>
                <w:spacing w:val="-5"/>
                <w:sz w:val="20"/>
              </w:rPr>
              <w:t>1.0</w:t>
            </w:r>
          </w:p>
        </w:tc>
        <w:tc>
          <w:tcPr>
            <w:tcW w:w="8166" w:type="dxa"/>
          </w:tcPr>
          <w:p>
            <w:pPr>
              <w:pStyle w:val="TableParagraph"/>
              <w:spacing w:line="209" w:lineRule="exact"/>
              <w:ind w:left="108"/>
              <w:rPr>
                <w:rFonts w:ascii="Arial MT"/>
                <w:sz w:val="20"/>
              </w:rPr>
            </w:pPr>
            <w:r>
              <w:rPr>
                <w:rFonts w:ascii="Arial MT"/>
                <w:sz w:val="20"/>
              </w:rPr>
              <w:t>Original</w:t>
            </w:r>
            <w:r>
              <w:rPr>
                <w:rFonts w:ascii="Arial MT"/>
                <w:spacing w:val="-4"/>
                <w:sz w:val="20"/>
              </w:rPr>
              <w:t> </w:t>
            </w:r>
            <w:r>
              <w:rPr>
                <w:rFonts w:ascii="Arial MT"/>
                <w:sz w:val="20"/>
              </w:rPr>
              <w:t>FMD</w:t>
            </w:r>
            <w:r>
              <w:rPr>
                <w:rFonts w:ascii="Arial MT"/>
                <w:spacing w:val="-3"/>
                <w:sz w:val="20"/>
              </w:rPr>
              <w:t> </w:t>
            </w:r>
            <w:r>
              <w:rPr>
                <w:rFonts w:ascii="Arial MT"/>
                <w:sz w:val="20"/>
              </w:rPr>
              <w:t>on</w:t>
            </w:r>
            <w:r>
              <w:rPr>
                <w:rFonts w:ascii="Arial MT"/>
                <w:spacing w:val="-3"/>
                <w:sz w:val="20"/>
              </w:rPr>
              <w:t> </w:t>
            </w:r>
            <w:r>
              <w:rPr>
                <w:rFonts w:ascii="Arial MT"/>
                <w:spacing w:val="-2"/>
                <w:sz w:val="20"/>
              </w:rPr>
              <w:t>FDA.gov</w:t>
            </w:r>
          </w:p>
        </w:tc>
      </w:tr>
      <w:tr>
        <w:trPr>
          <w:trHeight w:val="229" w:hRule="atLeast"/>
        </w:trPr>
        <w:tc>
          <w:tcPr>
            <w:tcW w:w="1184" w:type="dxa"/>
          </w:tcPr>
          <w:p>
            <w:pPr>
              <w:pStyle w:val="TableParagraph"/>
              <w:spacing w:line="209" w:lineRule="exact"/>
              <w:ind w:left="11" w:right="3"/>
              <w:jc w:val="center"/>
              <w:rPr>
                <w:rFonts w:ascii="Arial MT"/>
                <w:sz w:val="20"/>
              </w:rPr>
            </w:pPr>
            <w:r>
              <w:rPr>
                <w:rFonts w:ascii="Arial MT"/>
                <w:spacing w:val="-5"/>
                <w:sz w:val="20"/>
              </w:rPr>
              <w:t>2.0</w:t>
            </w:r>
          </w:p>
        </w:tc>
        <w:tc>
          <w:tcPr>
            <w:tcW w:w="8166" w:type="dxa"/>
          </w:tcPr>
          <w:p>
            <w:pPr>
              <w:pStyle w:val="TableParagraph"/>
              <w:spacing w:line="209" w:lineRule="exact"/>
              <w:ind w:left="108"/>
              <w:rPr>
                <w:rFonts w:ascii="Arial MT"/>
                <w:sz w:val="20"/>
              </w:rPr>
            </w:pPr>
            <w:r>
              <w:rPr>
                <w:rFonts w:ascii="Arial MT"/>
                <w:sz w:val="20"/>
              </w:rPr>
              <w:t>Added</w:t>
            </w:r>
            <w:r>
              <w:rPr>
                <w:rFonts w:ascii="Arial MT"/>
                <w:spacing w:val="-8"/>
                <w:sz w:val="20"/>
              </w:rPr>
              <w:t> </w:t>
            </w:r>
            <w:r>
              <w:rPr>
                <w:rFonts w:ascii="Arial MT"/>
                <w:sz w:val="20"/>
              </w:rPr>
              <w:t>process</w:t>
            </w:r>
            <w:r>
              <w:rPr>
                <w:rFonts w:ascii="Arial MT"/>
                <w:spacing w:val="-4"/>
                <w:sz w:val="20"/>
              </w:rPr>
              <w:t> </w:t>
            </w:r>
            <w:r>
              <w:rPr>
                <w:rFonts w:ascii="Arial MT"/>
                <w:sz w:val="20"/>
              </w:rPr>
              <w:t>instructions</w:t>
            </w:r>
            <w:r>
              <w:rPr>
                <w:rFonts w:ascii="Arial MT"/>
                <w:spacing w:val="-4"/>
                <w:sz w:val="20"/>
              </w:rPr>
              <w:t> </w:t>
            </w:r>
            <w:r>
              <w:rPr>
                <w:rFonts w:ascii="Arial MT"/>
                <w:sz w:val="20"/>
              </w:rPr>
              <w:t>and</w:t>
            </w:r>
            <w:r>
              <w:rPr>
                <w:rFonts w:ascii="Arial MT"/>
                <w:spacing w:val="-5"/>
                <w:sz w:val="20"/>
              </w:rPr>
              <w:t> </w:t>
            </w:r>
            <w:r>
              <w:rPr>
                <w:rFonts w:ascii="Arial MT"/>
                <w:sz w:val="20"/>
              </w:rPr>
              <w:t>timelines</w:t>
            </w:r>
            <w:r>
              <w:rPr>
                <w:rFonts w:ascii="Arial MT"/>
                <w:spacing w:val="-4"/>
                <w:sz w:val="20"/>
              </w:rPr>
              <w:t> </w:t>
            </w:r>
            <w:r>
              <w:rPr>
                <w:rFonts w:ascii="Arial MT"/>
                <w:sz w:val="20"/>
              </w:rPr>
              <w:t>in</w:t>
            </w:r>
            <w:r>
              <w:rPr>
                <w:rFonts w:ascii="Arial MT"/>
                <w:spacing w:val="-5"/>
                <w:sz w:val="20"/>
              </w:rPr>
              <w:t> </w:t>
            </w:r>
            <w:r>
              <w:rPr>
                <w:rFonts w:ascii="Arial MT"/>
                <w:sz w:val="20"/>
              </w:rPr>
              <w:t>Section</w:t>
            </w:r>
            <w:r>
              <w:rPr>
                <w:rFonts w:ascii="Arial MT"/>
                <w:spacing w:val="-5"/>
                <w:sz w:val="20"/>
              </w:rPr>
              <w:t> 5.0</w:t>
            </w:r>
          </w:p>
        </w:tc>
      </w:tr>
      <w:tr>
        <w:trPr>
          <w:trHeight w:val="231" w:hRule="atLeast"/>
        </w:trPr>
        <w:tc>
          <w:tcPr>
            <w:tcW w:w="1184" w:type="dxa"/>
          </w:tcPr>
          <w:p>
            <w:pPr>
              <w:pStyle w:val="TableParagraph"/>
              <w:spacing w:line="211" w:lineRule="exact"/>
              <w:ind w:left="11"/>
              <w:jc w:val="center"/>
              <w:rPr>
                <w:rFonts w:ascii="Arial MT"/>
                <w:sz w:val="20"/>
              </w:rPr>
            </w:pPr>
            <w:r>
              <w:rPr>
                <w:rFonts w:ascii="Arial MT"/>
                <w:spacing w:val="-5"/>
                <w:sz w:val="20"/>
              </w:rPr>
              <w:t>03</w:t>
            </w:r>
          </w:p>
        </w:tc>
        <w:tc>
          <w:tcPr>
            <w:tcW w:w="8166" w:type="dxa"/>
          </w:tcPr>
          <w:p>
            <w:pPr>
              <w:pStyle w:val="TableParagraph"/>
              <w:spacing w:line="211" w:lineRule="exact"/>
              <w:ind w:left="108"/>
              <w:rPr>
                <w:rFonts w:ascii="Arial MT"/>
                <w:sz w:val="20"/>
              </w:rPr>
            </w:pPr>
            <w:r>
              <w:rPr>
                <w:rFonts w:ascii="Arial MT"/>
                <w:sz w:val="20"/>
              </w:rPr>
              <w:t>Removed</w:t>
            </w:r>
            <w:r>
              <w:rPr>
                <w:rFonts w:ascii="Arial MT"/>
                <w:spacing w:val="-8"/>
                <w:sz w:val="20"/>
              </w:rPr>
              <w:t> </w:t>
            </w:r>
            <w:r>
              <w:rPr>
                <w:rFonts w:ascii="Arial MT"/>
                <w:sz w:val="20"/>
              </w:rPr>
              <w:t>procedures</w:t>
            </w:r>
            <w:r>
              <w:rPr>
                <w:rFonts w:ascii="Arial MT"/>
                <w:spacing w:val="-4"/>
                <w:sz w:val="20"/>
              </w:rPr>
              <w:t> </w:t>
            </w:r>
            <w:r>
              <w:rPr>
                <w:rFonts w:ascii="Arial MT"/>
                <w:sz w:val="20"/>
              </w:rPr>
              <w:t>and</w:t>
            </w:r>
            <w:r>
              <w:rPr>
                <w:rFonts w:ascii="Arial MT"/>
                <w:spacing w:val="-6"/>
                <w:sz w:val="20"/>
              </w:rPr>
              <w:t> </w:t>
            </w:r>
            <w:r>
              <w:rPr>
                <w:rFonts w:ascii="Arial MT"/>
                <w:sz w:val="20"/>
              </w:rPr>
              <w:t>reflects</w:t>
            </w:r>
            <w:r>
              <w:rPr>
                <w:rFonts w:ascii="Arial MT"/>
                <w:spacing w:val="-4"/>
                <w:sz w:val="20"/>
              </w:rPr>
              <w:t> </w:t>
            </w:r>
            <w:r>
              <w:rPr>
                <w:rFonts w:ascii="Arial MT"/>
                <w:sz w:val="20"/>
              </w:rPr>
              <w:t>implementation</w:t>
            </w:r>
            <w:r>
              <w:rPr>
                <w:rFonts w:ascii="Arial MT"/>
                <w:spacing w:val="-5"/>
                <w:sz w:val="20"/>
              </w:rPr>
              <w:t> </w:t>
            </w:r>
            <w:r>
              <w:rPr>
                <w:rFonts w:ascii="Arial MT"/>
                <w:sz w:val="20"/>
              </w:rPr>
              <w:t>of</w:t>
            </w:r>
            <w:r>
              <w:rPr>
                <w:rFonts w:ascii="Arial MT"/>
                <w:spacing w:val="-6"/>
                <w:sz w:val="20"/>
              </w:rPr>
              <w:t> </w:t>
            </w:r>
            <w:r>
              <w:rPr>
                <w:rFonts w:ascii="Arial MT"/>
                <w:sz w:val="20"/>
              </w:rPr>
              <w:t>an</w:t>
            </w:r>
            <w:r>
              <w:rPr>
                <w:rFonts w:ascii="Arial MT"/>
                <w:spacing w:val="-5"/>
                <w:sz w:val="20"/>
              </w:rPr>
              <w:t> </w:t>
            </w:r>
            <w:r>
              <w:rPr>
                <w:rFonts w:ascii="Arial MT"/>
                <w:sz w:val="20"/>
              </w:rPr>
              <w:t>email-based</w:t>
            </w:r>
            <w:r>
              <w:rPr>
                <w:rFonts w:ascii="Arial MT"/>
                <w:spacing w:val="-5"/>
                <w:sz w:val="20"/>
              </w:rPr>
              <w:t> </w:t>
            </w:r>
            <w:r>
              <w:rPr>
                <w:rFonts w:ascii="Arial MT"/>
                <w:spacing w:val="-2"/>
                <w:sz w:val="20"/>
              </w:rPr>
              <w:t>system</w:t>
            </w:r>
          </w:p>
        </w:tc>
      </w:tr>
    </w:tbl>
    <w:sectPr>
      <w:headerReference w:type="default" r:id="rId19"/>
      <w:footerReference w:type="default" r:id="rId20"/>
      <w:pgSz w:w="12240" w:h="15840"/>
      <w:pgMar w:header="1001" w:footer="1251" w:top="2800" w:bottom="144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0752">
              <wp:simplePos x="0" y="0"/>
              <wp:positionH relativeFrom="page">
                <wp:posOffset>895350</wp:posOffset>
              </wp:positionH>
              <wp:positionV relativeFrom="page">
                <wp:posOffset>9086075</wp:posOffset>
              </wp:positionV>
              <wp:extent cx="598233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15.439026pt;width:471.001pt;height:.481pt;mso-position-horizontal-relative:page;mso-position-vertical-relative:page;z-index:-1594572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1264">
              <wp:simplePos x="0" y="0"/>
              <wp:positionH relativeFrom="page">
                <wp:posOffset>2025650</wp:posOffset>
              </wp:positionH>
              <wp:positionV relativeFrom="page">
                <wp:posOffset>9096502</wp:posOffset>
              </wp:positionV>
              <wp:extent cx="3721100" cy="3422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21100" cy="342265"/>
                      </a:xfrm>
                      <a:prstGeom prst="rect">
                        <a:avLst/>
                      </a:prstGeom>
                    </wps:spPr>
                    <wps:txbx>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wps:txbx>
                    <wps:bodyPr wrap="square" lIns="0" tIns="0" rIns="0" bIns="0" rtlCol="0">
                      <a:noAutofit/>
                    </wps:bodyPr>
                  </wps:wsp>
                </a:graphicData>
              </a:graphic>
            </wp:anchor>
          </w:drawing>
        </mc:Choice>
        <mc:Fallback>
          <w:pict>
            <v:shape style="position:absolute;margin-left:159.5pt;margin-top:716.260071pt;width:293pt;height:26.95pt;mso-position-horizontal-relative:page;mso-position-vertical-relative:page;z-index:-15945216" type="#_x0000_t202" id="docshape3" filled="false" stroked="false">
              <v:textbox inset="0,0,0,0">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1776">
              <wp:simplePos x="0" y="0"/>
              <wp:positionH relativeFrom="page">
                <wp:posOffset>895350</wp:posOffset>
              </wp:positionH>
              <wp:positionV relativeFrom="page">
                <wp:posOffset>9086075</wp:posOffset>
              </wp:positionV>
              <wp:extent cx="598233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15.439026pt;width:471.001pt;height:.481pt;mso-position-horizontal-relative:page;mso-position-vertical-relative:page;z-index:-15944704"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2288">
              <wp:simplePos x="0" y="0"/>
              <wp:positionH relativeFrom="page">
                <wp:posOffset>2025650</wp:posOffset>
              </wp:positionH>
              <wp:positionV relativeFrom="page">
                <wp:posOffset>9096502</wp:posOffset>
              </wp:positionV>
              <wp:extent cx="37211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721100" cy="342265"/>
                      </a:xfrm>
                      <a:prstGeom prst="rect">
                        <a:avLst/>
                      </a:prstGeom>
                    </wps:spPr>
                    <wps:txbx>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wps:txbx>
                    <wps:bodyPr wrap="square" lIns="0" tIns="0" rIns="0" bIns="0" rtlCol="0">
                      <a:noAutofit/>
                    </wps:bodyPr>
                  </wps:wsp>
                </a:graphicData>
              </a:graphic>
            </wp:anchor>
          </w:drawing>
        </mc:Choice>
        <mc:Fallback>
          <w:pict>
            <v:shape style="position:absolute;margin-left:159.5pt;margin-top:716.260071pt;width:293pt;height:26.95pt;mso-position-horizontal-relative:page;mso-position-vertical-relative:page;z-index:-15944192" type="#_x0000_t202" id="docshape6" filled="false" stroked="false">
              <v:textbox inset="0,0,0,0">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2800">
              <wp:simplePos x="0" y="0"/>
              <wp:positionH relativeFrom="page">
                <wp:posOffset>895350</wp:posOffset>
              </wp:positionH>
              <wp:positionV relativeFrom="page">
                <wp:posOffset>9086075</wp:posOffset>
              </wp:positionV>
              <wp:extent cx="5982335"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15.439026pt;width:471.001pt;height:.481pt;mso-position-horizontal-relative:page;mso-position-vertical-relative:page;z-index:-15943680"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3312">
              <wp:simplePos x="0" y="0"/>
              <wp:positionH relativeFrom="page">
                <wp:posOffset>2025650</wp:posOffset>
              </wp:positionH>
              <wp:positionV relativeFrom="page">
                <wp:posOffset>9096502</wp:posOffset>
              </wp:positionV>
              <wp:extent cx="3721100" cy="3422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21100" cy="342265"/>
                      </a:xfrm>
                      <a:prstGeom prst="rect">
                        <a:avLst/>
                      </a:prstGeom>
                    </wps:spPr>
                    <wps:txbx>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wps:txbx>
                    <wps:bodyPr wrap="square" lIns="0" tIns="0" rIns="0" bIns="0" rtlCol="0">
                      <a:noAutofit/>
                    </wps:bodyPr>
                  </wps:wsp>
                </a:graphicData>
              </a:graphic>
            </wp:anchor>
          </w:drawing>
        </mc:Choice>
        <mc:Fallback>
          <w:pict>
            <v:shape style="position:absolute;margin-left:159.5pt;margin-top:716.260071pt;width:293pt;height:26.95pt;mso-position-horizontal-relative:page;mso-position-vertical-relative:page;z-index:-15943168" type="#_x0000_t202" id="docshape10" filled="false" stroked="false">
              <v:textbox inset="0,0,0,0">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3824">
              <wp:simplePos x="0" y="0"/>
              <wp:positionH relativeFrom="page">
                <wp:posOffset>895350</wp:posOffset>
              </wp:positionH>
              <wp:positionV relativeFrom="page">
                <wp:posOffset>9086075</wp:posOffset>
              </wp:positionV>
              <wp:extent cx="5982335"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15.439026pt;width:471.001pt;height:.481pt;mso-position-horizontal-relative:page;mso-position-vertical-relative:page;z-index:-15942656"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4336">
              <wp:simplePos x="0" y="0"/>
              <wp:positionH relativeFrom="page">
                <wp:posOffset>2025650</wp:posOffset>
              </wp:positionH>
              <wp:positionV relativeFrom="page">
                <wp:posOffset>9096502</wp:posOffset>
              </wp:positionV>
              <wp:extent cx="3721100" cy="3422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721100" cy="342265"/>
                      </a:xfrm>
                      <a:prstGeom prst="rect">
                        <a:avLst/>
                      </a:prstGeom>
                    </wps:spPr>
                    <wps:txbx>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wps:txbx>
                    <wps:bodyPr wrap="square" lIns="0" tIns="0" rIns="0" bIns="0" rtlCol="0">
                      <a:noAutofit/>
                    </wps:bodyPr>
                  </wps:wsp>
                </a:graphicData>
              </a:graphic>
            </wp:anchor>
          </w:drawing>
        </mc:Choice>
        <mc:Fallback>
          <w:pict>
            <v:shape style="position:absolute;margin-left:159.5pt;margin-top:716.260071pt;width:293pt;height:26.95pt;mso-position-horizontal-relative:page;mso-position-vertical-relative:page;z-index:-15942144" type="#_x0000_t202" id="docshape13" filled="false" stroked="false">
              <v:textbox inset="0,0,0,0">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4848">
              <wp:simplePos x="0" y="0"/>
              <wp:positionH relativeFrom="page">
                <wp:posOffset>895350</wp:posOffset>
              </wp:positionH>
              <wp:positionV relativeFrom="page">
                <wp:posOffset>9086075</wp:posOffset>
              </wp:positionV>
              <wp:extent cx="598233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15.439026pt;width:471.001pt;height:.481pt;mso-position-horizontal-relative:page;mso-position-vertical-relative:page;z-index:-15941632"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5360">
              <wp:simplePos x="0" y="0"/>
              <wp:positionH relativeFrom="page">
                <wp:posOffset>2025650</wp:posOffset>
              </wp:positionH>
              <wp:positionV relativeFrom="page">
                <wp:posOffset>9096502</wp:posOffset>
              </wp:positionV>
              <wp:extent cx="3721100" cy="3422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721100" cy="342265"/>
                      </a:xfrm>
                      <a:prstGeom prst="rect">
                        <a:avLst/>
                      </a:prstGeom>
                    </wps:spPr>
                    <wps:txbx>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wps:txbx>
                    <wps:bodyPr wrap="square" lIns="0" tIns="0" rIns="0" bIns="0" rtlCol="0">
                      <a:noAutofit/>
                    </wps:bodyPr>
                  </wps:wsp>
                </a:graphicData>
              </a:graphic>
            </wp:anchor>
          </w:drawing>
        </mc:Choice>
        <mc:Fallback>
          <w:pict>
            <v:shape style="position:absolute;margin-left:159.5pt;margin-top:716.260071pt;width:293pt;height:26.95pt;mso-position-horizontal-relative:page;mso-position-vertical-relative:page;z-index:-15941120" type="#_x0000_t202" id="docshape16" filled="false" stroked="false">
              <v:textbox inset="0,0,0,0">
                <w:txbxContent>
                  <w:p>
                    <w:pPr>
                      <w:spacing w:before="12"/>
                      <w:ind w:left="0" w:right="1" w:firstLine="0"/>
                      <w:jc w:val="center"/>
                      <w:rPr>
                        <w:sz w:val="22"/>
                      </w:rPr>
                    </w:pPr>
                    <w:r>
                      <w:rPr>
                        <w:sz w:val="22"/>
                      </w:rPr>
                      <w:t>Uncontrolled</w:t>
                    </w:r>
                    <w:r>
                      <w:rPr>
                        <w:spacing w:val="-7"/>
                        <w:sz w:val="22"/>
                      </w:rPr>
                      <w:t> </w:t>
                    </w:r>
                    <w:r>
                      <w:rPr>
                        <w:sz w:val="22"/>
                      </w:rPr>
                      <w:t>when</w:t>
                    </w:r>
                    <w:r>
                      <w:rPr>
                        <w:spacing w:val="-6"/>
                        <w:sz w:val="22"/>
                      </w:rPr>
                      <w:t> </w:t>
                    </w:r>
                    <w:r>
                      <w:rPr>
                        <w:sz w:val="22"/>
                      </w:rPr>
                      <w:t>printed</w:t>
                    </w:r>
                    <w:r>
                      <w:rPr>
                        <w:spacing w:val="-6"/>
                        <w:sz w:val="22"/>
                      </w:rPr>
                      <w:t> </w:t>
                    </w:r>
                    <w:r>
                      <w:rPr>
                        <w:sz w:val="22"/>
                      </w:rPr>
                      <w:t>on:</w:t>
                    </w:r>
                    <w:r>
                      <w:rPr>
                        <w:spacing w:val="49"/>
                        <w:sz w:val="22"/>
                      </w:rPr>
                      <w:t> </w:t>
                    </w:r>
                    <w:r>
                      <w:rPr>
                        <w:spacing w:val="-2"/>
                        <w:sz w:val="22"/>
                      </w:rPr>
                      <w:t>8/26/2019</w:t>
                    </w:r>
                  </w:p>
                  <w:p>
                    <w:pPr>
                      <w:spacing w:before="0"/>
                      <w:ind w:left="1" w:right="1" w:firstLine="0"/>
                      <w:jc w:val="center"/>
                      <w:rPr>
                        <w:sz w:val="22"/>
                      </w:rPr>
                    </w:pPr>
                    <w:r>
                      <w:rPr>
                        <w:sz w:val="22"/>
                      </w:rPr>
                      <w:t>For</w:t>
                    </w:r>
                    <w:r>
                      <w:rPr>
                        <w:spacing w:val="-6"/>
                        <w:sz w:val="22"/>
                      </w:rPr>
                      <w:t> </w:t>
                    </w:r>
                    <w:r>
                      <w:rPr>
                        <w:sz w:val="22"/>
                      </w:rPr>
                      <w:t>the</w:t>
                    </w:r>
                    <w:r>
                      <w:rPr>
                        <w:spacing w:val="-5"/>
                        <w:sz w:val="22"/>
                      </w:rPr>
                      <w:t> </w:t>
                    </w:r>
                    <w:r>
                      <w:rPr>
                        <w:sz w:val="22"/>
                      </w:rPr>
                      <w:t>most</w:t>
                    </w:r>
                    <w:r>
                      <w:rPr>
                        <w:spacing w:val="-6"/>
                        <w:sz w:val="22"/>
                      </w:rPr>
                      <w:t> </w:t>
                    </w:r>
                    <w:r>
                      <w:rPr>
                        <w:sz w:val="22"/>
                      </w:rPr>
                      <w:t>current</w:t>
                    </w:r>
                    <w:r>
                      <w:rPr>
                        <w:spacing w:val="-5"/>
                        <w:sz w:val="22"/>
                      </w:rPr>
                      <w:t> </w:t>
                    </w:r>
                    <w:r>
                      <w:rPr>
                        <w:sz w:val="22"/>
                      </w:rPr>
                      <w:t>and</w:t>
                    </w:r>
                    <w:r>
                      <w:rPr>
                        <w:spacing w:val="-5"/>
                        <w:sz w:val="22"/>
                      </w:rPr>
                      <w:t> </w:t>
                    </w:r>
                    <w:r>
                      <w:rPr>
                        <w:sz w:val="22"/>
                      </w:rPr>
                      <w:t>official</w:t>
                    </w:r>
                    <w:r>
                      <w:rPr>
                        <w:spacing w:val="-7"/>
                        <w:sz w:val="22"/>
                      </w:rPr>
                      <w:t> </w:t>
                    </w:r>
                    <w:r>
                      <w:rPr>
                        <w:sz w:val="22"/>
                      </w:rPr>
                      <w:t>copy,</w:t>
                    </w:r>
                    <w:r>
                      <w:rPr>
                        <w:spacing w:val="-5"/>
                        <w:sz w:val="22"/>
                      </w:rPr>
                      <w:t> </w:t>
                    </w:r>
                    <w:r>
                      <w:rPr>
                        <w:sz w:val="22"/>
                      </w:rPr>
                      <w:t>check</w:t>
                    </w:r>
                    <w:r>
                      <w:rPr>
                        <w:spacing w:val="-5"/>
                        <w:sz w:val="22"/>
                      </w:rPr>
                      <w:t> </w:t>
                    </w:r>
                    <w:r>
                      <w:rPr>
                        <w:sz w:val="22"/>
                      </w:rPr>
                      <w:t>the</w:t>
                    </w:r>
                    <w:r>
                      <w:rPr>
                        <w:spacing w:val="-7"/>
                        <w:sz w:val="22"/>
                      </w:rPr>
                      <w:t> </w:t>
                    </w:r>
                    <w:r>
                      <w:rPr>
                        <w:sz w:val="22"/>
                      </w:rPr>
                      <w:t>Master</w:t>
                    </w:r>
                    <w:r>
                      <w:rPr>
                        <w:spacing w:val="-5"/>
                        <w:sz w:val="22"/>
                      </w:rPr>
                      <w:t> </w:t>
                    </w:r>
                    <w:r>
                      <w:rPr>
                        <w:spacing w:val="-4"/>
                        <w:sz w:val="22"/>
                      </w:rPr>
                      <w:t>List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701801</wp:posOffset>
              </wp:positionH>
              <wp:positionV relativeFrom="page">
                <wp:posOffset>632447</wp:posOffset>
              </wp:positionV>
              <wp:extent cx="6726555" cy="11595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26555" cy="1159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Times New Roman"/>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Times New Roman"/>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1</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59998pt;margin-top:49.799pt;width:529.65pt;height:91.3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Times New Roman"/>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Times New Roman"/>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1</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701801</wp:posOffset>
              </wp:positionH>
              <wp:positionV relativeFrom="page">
                <wp:posOffset>632447</wp:posOffset>
              </wp:positionV>
              <wp:extent cx="6726555" cy="11595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726555" cy="1159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line="292" w:lineRule="auto" w:before="220"/>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24"/>
                                  <w:ind w:left="0"/>
                                  <w:rPr>
                                    <w:rFonts w:ascii="Calibri"/>
                                    <w:b/>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2</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5.259998pt;margin-top:49.799pt;width:529.65pt;height:91.3pt;mso-position-horizontal-relative:page;mso-position-vertical-relative:page;z-index:15729152"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line="292" w:lineRule="auto" w:before="220"/>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24"/>
                            <w:ind w:left="0"/>
                            <w:rPr>
                              <w:rFonts w:ascii="Calibri"/>
                              <w:b/>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2</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701801</wp:posOffset>
              </wp:positionH>
              <wp:positionV relativeFrom="page">
                <wp:posOffset>632447</wp:posOffset>
              </wp:positionV>
              <wp:extent cx="6726555" cy="11595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726555" cy="1159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i/>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i/>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3</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5.259998pt;margin-top:49.799pt;width:529.65pt;height:91.3pt;mso-position-horizontal-relative:page;mso-position-vertical-relative:page;z-index:15730176"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i/>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i/>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3</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701801</wp:posOffset>
              </wp:positionH>
              <wp:positionV relativeFrom="page">
                <wp:posOffset>632447</wp:posOffset>
              </wp:positionV>
              <wp:extent cx="6726555" cy="11595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726555" cy="1159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Arial MT"/>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Arial MT"/>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4</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5.259998pt;margin-top:49.799pt;width:529.65pt;height:91.3pt;mso-position-horizontal-relative:page;mso-position-vertical-relative:page;z-index:15730688"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Arial MT"/>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Arial MT"/>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4</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701801</wp:posOffset>
              </wp:positionH>
              <wp:positionV relativeFrom="page">
                <wp:posOffset>632447</wp:posOffset>
              </wp:positionV>
              <wp:extent cx="6726555" cy="11595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726555" cy="11595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Arial MT"/>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Arial MT"/>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5</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55.259998pt;margin-top:49.799pt;width:529.65pt;height:91.3pt;mso-position-horizontal-relative:page;mso-position-vertical-relative:page;z-index:15731200"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50"/>
                      <w:gridCol w:w="2520"/>
                      <w:gridCol w:w="2093"/>
                    </w:tblGrid>
                    <w:tr>
                      <w:trPr>
                        <w:trHeight w:val="1070" w:hRule="atLeast"/>
                      </w:trPr>
                      <w:tc>
                        <w:tcPr>
                          <w:tcW w:w="5850" w:type="dxa"/>
                        </w:tcPr>
                        <w:p>
                          <w:pPr>
                            <w:pStyle w:val="TableParagraph"/>
                            <w:spacing w:before="1"/>
                            <w:ind w:left="0"/>
                            <w:rPr>
                              <w:rFonts w:ascii="Arial MT"/>
                              <w:sz w:val="19"/>
                            </w:rPr>
                          </w:pPr>
                        </w:p>
                        <w:p>
                          <w:pPr>
                            <w:pStyle w:val="TableParagraph"/>
                            <w:spacing w:line="292" w:lineRule="auto"/>
                            <w:ind w:left="1233" w:right="524" w:hanging="23"/>
                            <w:rPr>
                              <w:b/>
                              <w:sz w:val="24"/>
                            </w:rPr>
                          </w:pPr>
                          <w:r>
                            <w:rPr>
                              <w:b/>
                              <w:smallCaps/>
                              <w:sz w:val="24"/>
                            </w:rPr>
                            <w:t>Food</w:t>
                          </w:r>
                          <w:r>
                            <w:rPr>
                              <w:b/>
                              <w:smallCaps/>
                              <w:spacing w:val="-14"/>
                              <w:sz w:val="24"/>
                            </w:rPr>
                            <w:t> </w:t>
                          </w:r>
                          <w:r>
                            <w:rPr>
                              <w:b/>
                              <w:smallCaps/>
                              <w:sz w:val="24"/>
                            </w:rPr>
                            <w:t>and</w:t>
                          </w:r>
                          <w:r>
                            <w:rPr>
                              <w:b/>
                              <w:smallCaps/>
                              <w:spacing w:val="-12"/>
                              <w:sz w:val="24"/>
                            </w:rPr>
                            <w:t> </w:t>
                          </w:r>
                          <w:r>
                            <w:rPr>
                              <w:b/>
                              <w:smallCaps/>
                              <w:sz w:val="24"/>
                            </w:rPr>
                            <w:t>Drug</w:t>
                          </w:r>
                          <w:r>
                            <w:rPr>
                              <w:b/>
                              <w:smallCaps/>
                              <w:spacing w:val="-12"/>
                              <w:sz w:val="24"/>
                            </w:rPr>
                            <w:t> </w:t>
                          </w:r>
                          <w:r>
                            <w:rPr>
                              <w:b/>
                              <w:smallCaps/>
                              <w:sz w:val="24"/>
                            </w:rPr>
                            <w:t>Administration Office</w:t>
                          </w:r>
                          <w:r>
                            <w:rPr>
                              <w:b/>
                              <w:smallCaps/>
                              <w:spacing w:val="-10"/>
                              <w:sz w:val="24"/>
                            </w:rPr>
                            <w:t> </w:t>
                          </w:r>
                          <w:r>
                            <w:rPr>
                              <w:b/>
                              <w:smallCaps/>
                              <w:sz w:val="24"/>
                            </w:rPr>
                            <w:t>of</w:t>
                          </w:r>
                          <w:r>
                            <w:rPr>
                              <w:b/>
                              <w:smallCaps/>
                              <w:spacing w:val="-9"/>
                              <w:sz w:val="24"/>
                            </w:rPr>
                            <w:t> </w:t>
                          </w:r>
                          <w:r>
                            <w:rPr>
                              <w:b/>
                              <w:smallCaps/>
                              <w:sz w:val="24"/>
                            </w:rPr>
                            <w:t>Regulatory</w:t>
                          </w:r>
                          <w:r>
                            <w:rPr>
                              <w:b/>
                              <w:smallCaps/>
                              <w:spacing w:val="-10"/>
                              <w:sz w:val="24"/>
                            </w:rPr>
                            <w:t> </w:t>
                          </w:r>
                          <w:r>
                            <w:rPr>
                              <w:b/>
                              <w:smallCaps/>
                              <w:spacing w:val="-2"/>
                              <w:sz w:val="24"/>
                            </w:rPr>
                            <w:t>Affairs</w:t>
                          </w:r>
                        </w:p>
                      </w:tc>
                      <w:tc>
                        <w:tcPr>
                          <w:tcW w:w="2520" w:type="dxa"/>
                        </w:tcPr>
                        <w:p>
                          <w:pPr>
                            <w:pStyle w:val="TableParagraph"/>
                            <w:spacing w:before="206"/>
                            <w:jc w:val="center"/>
                            <w:rPr>
                              <w:b/>
                              <w:sz w:val="20"/>
                            </w:rPr>
                          </w:pPr>
                          <w:r>
                            <w:rPr>
                              <w:b/>
                              <w:sz w:val="20"/>
                            </w:rPr>
                            <w:t>Document</w:t>
                          </w:r>
                          <w:r>
                            <w:rPr>
                              <w:b/>
                              <w:spacing w:val="-9"/>
                              <w:sz w:val="20"/>
                            </w:rPr>
                            <w:t> </w:t>
                          </w:r>
                          <w:r>
                            <w:rPr>
                              <w:b/>
                              <w:spacing w:val="-2"/>
                              <w:sz w:val="20"/>
                            </w:rPr>
                            <w:t>Number:</w:t>
                          </w:r>
                        </w:p>
                        <w:p>
                          <w:pPr>
                            <w:pStyle w:val="TableParagraph"/>
                            <w:spacing w:before="120"/>
                            <w:ind w:right="1"/>
                            <w:jc w:val="center"/>
                            <w:rPr>
                              <w:rFonts w:ascii="Arial MT"/>
                              <w:sz w:val="20"/>
                            </w:rPr>
                          </w:pPr>
                          <w:r>
                            <w:rPr>
                              <w:rFonts w:ascii="Arial MT"/>
                              <w:spacing w:val="-2"/>
                              <w:sz w:val="20"/>
                            </w:rPr>
                            <w:t>DIR-000067</w:t>
                          </w:r>
                        </w:p>
                      </w:tc>
                      <w:tc>
                        <w:tcPr>
                          <w:tcW w:w="2093" w:type="dxa"/>
                        </w:tcPr>
                        <w:p>
                          <w:pPr>
                            <w:pStyle w:val="TableParagraph"/>
                            <w:spacing w:before="70"/>
                            <w:jc w:val="center"/>
                            <w:rPr>
                              <w:b/>
                              <w:sz w:val="20"/>
                            </w:rPr>
                          </w:pPr>
                          <w:r>
                            <w:rPr>
                              <w:b/>
                              <w:sz w:val="20"/>
                            </w:rPr>
                            <w:t>Revision</w:t>
                          </w:r>
                          <w:r>
                            <w:rPr>
                              <w:b/>
                              <w:spacing w:val="-4"/>
                              <w:sz w:val="20"/>
                            </w:rPr>
                            <w:t> </w:t>
                          </w:r>
                          <w:r>
                            <w:rPr>
                              <w:b/>
                              <w:sz w:val="20"/>
                            </w:rPr>
                            <w:t>#:</w:t>
                          </w:r>
                          <w:r>
                            <w:rPr>
                              <w:b/>
                              <w:spacing w:val="-3"/>
                              <w:sz w:val="20"/>
                            </w:rPr>
                            <w:t> </w:t>
                          </w:r>
                          <w:r>
                            <w:rPr>
                              <w:b/>
                              <w:spacing w:val="-5"/>
                              <w:sz w:val="20"/>
                            </w:rPr>
                            <w:t>00</w:t>
                          </w:r>
                        </w:p>
                        <w:p>
                          <w:pPr>
                            <w:pStyle w:val="TableParagraph"/>
                            <w:spacing w:before="120"/>
                            <w:ind w:right="3"/>
                            <w:jc w:val="center"/>
                            <w:rPr>
                              <w:b/>
                              <w:sz w:val="20"/>
                            </w:rPr>
                          </w:pPr>
                          <w:r>
                            <w:rPr>
                              <w:b/>
                              <w:spacing w:val="-2"/>
                              <w:sz w:val="20"/>
                            </w:rPr>
                            <w:t>Revised:</w:t>
                          </w:r>
                        </w:p>
                        <w:p>
                          <w:pPr>
                            <w:pStyle w:val="TableParagraph"/>
                            <w:spacing w:before="40"/>
                            <w:ind w:right="1"/>
                            <w:jc w:val="center"/>
                            <w:rPr>
                              <w:rFonts w:ascii="Arial MT"/>
                              <w:sz w:val="20"/>
                            </w:rPr>
                          </w:pPr>
                          <w:r>
                            <w:rPr>
                              <w:rFonts w:ascii="Arial MT"/>
                              <w:sz w:val="20"/>
                            </w:rPr>
                            <w:t>31</w:t>
                          </w:r>
                          <w:r>
                            <w:rPr>
                              <w:rFonts w:ascii="Arial MT"/>
                              <w:spacing w:val="-1"/>
                              <w:sz w:val="20"/>
                            </w:rPr>
                            <w:t> </w:t>
                          </w:r>
                          <w:r>
                            <w:rPr>
                              <w:rFonts w:ascii="Arial MT"/>
                              <w:sz w:val="20"/>
                            </w:rPr>
                            <w:t>Jul</w:t>
                          </w:r>
                          <w:r>
                            <w:rPr>
                              <w:rFonts w:ascii="Arial MT"/>
                              <w:spacing w:val="-1"/>
                              <w:sz w:val="20"/>
                            </w:rPr>
                            <w:t> </w:t>
                          </w:r>
                          <w:r>
                            <w:rPr>
                              <w:rFonts w:ascii="Arial MT"/>
                              <w:spacing w:val="-4"/>
                              <w:sz w:val="20"/>
                            </w:rPr>
                            <w:t>2019</w:t>
                          </w:r>
                        </w:p>
                      </w:tc>
                    </w:tr>
                    <w:tr>
                      <w:trPr>
                        <w:trHeight w:val="726" w:hRule="atLeast"/>
                      </w:trPr>
                      <w:tc>
                        <w:tcPr>
                          <w:tcW w:w="8370" w:type="dxa"/>
                          <w:gridSpan w:val="2"/>
                        </w:tcPr>
                        <w:p>
                          <w:pPr>
                            <w:pStyle w:val="TableParagraph"/>
                            <w:spacing w:before="40"/>
                            <w:ind w:left="107"/>
                            <w:rPr>
                              <w:rFonts w:ascii="Arial MT"/>
                              <w:sz w:val="20"/>
                            </w:rPr>
                          </w:pPr>
                          <w:r>
                            <w:rPr>
                              <w:rFonts w:ascii="Arial MT"/>
                              <w:spacing w:val="-2"/>
                              <w:sz w:val="20"/>
                            </w:rPr>
                            <w:t>Title:</w:t>
                          </w:r>
                        </w:p>
                        <w:p>
                          <w:pPr>
                            <w:pStyle w:val="TableParagraph"/>
                            <w:spacing w:before="60"/>
                            <w:ind w:left="544"/>
                            <w:rPr>
                              <w:b/>
                              <w:sz w:val="24"/>
                            </w:rPr>
                          </w:pPr>
                          <w:r>
                            <w:rPr>
                              <w:b/>
                              <w:sz w:val="24"/>
                            </w:rPr>
                            <w:t>FMD-145</w:t>
                          </w:r>
                          <w:r>
                            <w:rPr>
                              <w:b/>
                              <w:spacing w:val="-8"/>
                              <w:sz w:val="24"/>
                            </w:rPr>
                            <w:t> </w:t>
                          </w:r>
                          <w:r>
                            <w:rPr>
                              <w:b/>
                              <w:sz w:val="24"/>
                            </w:rPr>
                            <w:t>-</w:t>
                          </w:r>
                          <w:r>
                            <w:rPr>
                              <w:b/>
                              <w:spacing w:val="-6"/>
                              <w:sz w:val="24"/>
                            </w:rPr>
                            <w:t> </w:t>
                          </w:r>
                          <w:r>
                            <w:rPr>
                              <w:b/>
                              <w:sz w:val="24"/>
                            </w:rPr>
                            <w:t>Release</w:t>
                          </w:r>
                          <w:r>
                            <w:rPr>
                              <w:b/>
                              <w:spacing w:val="-5"/>
                              <w:sz w:val="24"/>
                            </w:rPr>
                            <w:t> </w:t>
                          </w:r>
                          <w:r>
                            <w:rPr>
                              <w:b/>
                              <w:sz w:val="24"/>
                            </w:rPr>
                            <w:t>of</w:t>
                          </w:r>
                          <w:r>
                            <w:rPr>
                              <w:b/>
                              <w:spacing w:val="-4"/>
                              <w:sz w:val="24"/>
                            </w:rPr>
                            <w:t> </w:t>
                          </w:r>
                          <w:r>
                            <w:rPr>
                              <w:b/>
                              <w:sz w:val="24"/>
                            </w:rPr>
                            <w:t>the</w:t>
                          </w:r>
                          <w:r>
                            <w:rPr>
                              <w:b/>
                              <w:spacing w:val="-5"/>
                              <w:sz w:val="24"/>
                            </w:rPr>
                            <w:t> </w:t>
                          </w:r>
                          <w:r>
                            <w:rPr>
                              <w:b/>
                              <w:sz w:val="24"/>
                            </w:rPr>
                            <w:t>Establishment</w:t>
                          </w:r>
                          <w:r>
                            <w:rPr>
                              <w:b/>
                              <w:spacing w:val="-4"/>
                              <w:sz w:val="24"/>
                            </w:rPr>
                            <w:t> </w:t>
                          </w:r>
                          <w:r>
                            <w:rPr>
                              <w:b/>
                              <w:sz w:val="24"/>
                            </w:rPr>
                            <w:t>Inspection</w:t>
                          </w:r>
                          <w:r>
                            <w:rPr>
                              <w:b/>
                              <w:spacing w:val="-5"/>
                              <w:sz w:val="24"/>
                            </w:rPr>
                            <w:t> </w:t>
                          </w:r>
                          <w:r>
                            <w:rPr>
                              <w:b/>
                              <w:sz w:val="24"/>
                            </w:rPr>
                            <w:t>Report</w:t>
                          </w:r>
                          <w:r>
                            <w:rPr>
                              <w:b/>
                              <w:spacing w:val="-4"/>
                              <w:sz w:val="24"/>
                            </w:rPr>
                            <w:t> </w:t>
                          </w:r>
                          <w:r>
                            <w:rPr>
                              <w:b/>
                              <w:spacing w:val="-2"/>
                              <w:sz w:val="24"/>
                            </w:rPr>
                            <w:t>(EIR)</w:t>
                          </w:r>
                        </w:p>
                      </w:tc>
                      <w:tc>
                        <w:tcPr>
                          <w:tcW w:w="2093" w:type="dxa"/>
                        </w:tcPr>
                        <w:p>
                          <w:pPr>
                            <w:pStyle w:val="TableParagraph"/>
                            <w:spacing w:before="38"/>
                            <w:ind w:left="0"/>
                            <w:rPr>
                              <w:rFonts w:ascii="Arial MT"/>
                              <w:sz w:val="20"/>
                            </w:rPr>
                          </w:pPr>
                        </w:p>
                        <w:p>
                          <w:pPr>
                            <w:pStyle w:val="TableParagraph"/>
                            <w:ind w:left="533"/>
                            <w:rPr>
                              <w:rFonts w:ascii="Arial MT"/>
                              <w:sz w:val="20"/>
                            </w:rPr>
                          </w:pPr>
                          <w:r>
                            <w:rPr>
                              <w:rFonts w:ascii="Arial MT"/>
                              <w:sz w:val="20"/>
                            </w:rPr>
                            <w:t>Page</w:t>
                          </w:r>
                          <w:r>
                            <w:rPr>
                              <w:rFonts w:ascii="Arial MT"/>
                              <w:spacing w:val="-2"/>
                              <w:sz w:val="20"/>
                            </w:rPr>
                            <w:t> </w:t>
                          </w:r>
                          <w:r>
                            <w:rPr>
                              <w:rFonts w:ascii="Arial MT"/>
                              <w:sz w:val="20"/>
                            </w:rPr>
                            <w:fldChar w:fldCharType="begin"/>
                          </w:r>
                          <w:r>
                            <w:rPr>
                              <w:rFonts w:ascii="Arial MT"/>
                              <w:sz w:val="20"/>
                            </w:rPr>
                            <w:instrText> PAGE </w:instrText>
                          </w:r>
                          <w:r>
                            <w:rPr>
                              <w:rFonts w:ascii="Arial MT"/>
                              <w:sz w:val="20"/>
                            </w:rPr>
                            <w:fldChar w:fldCharType="separate"/>
                          </w:r>
                          <w:r>
                            <w:rPr>
                              <w:rFonts w:ascii="Arial MT"/>
                              <w:sz w:val="20"/>
                            </w:rPr>
                            <w:t>5</w:t>
                          </w:r>
                          <w:r>
                            <w:rPr>
                              <w:rFonts w:ascii="Arial MT"/>
                              <w:sz w:val="20"/>
                            </w:rPr>
                            <w:fldChar w:fldCharType="end"/>
                          </w:r>
                          <w:r>
                            <w:rPr>
                              <w:rFonts w:ascii="Arial MT"/>
                              <w:spacing w:val="-1"/>
                              <w:sz w:val="20"/>
                            </w:rPr>
                            <w:t> </w:t>
                          </w:r>
                          <w:r>
                            <w:rPr>
                              <w:rFonts w:ascii="Arial MT"/>
                              <w:sz w:val="20"/>
                            </w:rPr>
                            <w:t>of</w:t>
                          </w:r>
                          <w:r>
                            <w:rPr>
                              <w:rFonts w:ascii="Arial MT"/>
                              <w:spacing w:val="-1"/>
                              <w:sz w:val="20"/>
                            </w:rPr>
                            <w:t> </w:t>
                          </w:r>
                          <w:r>
                            <w:rPr>
                              <w:rFonts w:ascii="Arial MT"/>
                              <w:spacing w:val="-10"/>
                              <w:sz w:val="20"/>
                            </w:rPr>
                            <w:fldChar w:fldCharType="begin"/>
                          </w:r>
                          <w:r>
                            <w:rPr>
                              <w:rFonts w:ascii="Arial MT"/>
                              <w:spacing w:val="-10"/>
                              <w:sz w:val="20"/>
                            </w:rPr>
                            <w:instrText> NUMPAGES </w:instrText>
                          </w:r>
                          <w:r>
                            <w:rPr>
                              <w:rFonts w:ascii="Arial MT"/>
                              <w:spacing w:val="-10"/>
                              <w:sz w:val="20"/>
                            </w:rPr>
                            <w:fldChar w:fldCharType="separate"/>
                          </w:r>
                          <w:r>
                            <w:rPr>
                              <w:rFonts w:ascii="Arial MT"/>
                              <w:spacing w:val="-10"/>
                              <w:sz w:val="20"/>
                            </w:rPr>
                            <w:t>5</w:t>
                          </w:r>
                          <w:r>
                            <w:rPr>
                              <w:rFonts w:ascii="Arial MT"/>
                              <w:spacing w:val="-10"/>
                              <w:sz w:val="20"/>
                            </w:rPr>
                            <w:fldChar w:fldCharType="end"/>
                          </w:r>
                        </w:p>
                      </w:tc>
                    </w:tr>
                  </w:tbl>
                  <w:p>
                    <w:pPr>
                      <w:pStyle w:val="BodyText"/>
                    </w:pP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267" w:hanging="548"/>
        <w:jc w:val="left"/>
      </w:pPr>
      <w:rPr>
        <w:rFonts w:hint="default" w:ascii="Arial" w:hAnsi="Arial" w:eastAsia="Arial" w:cs="Arial"/>
        <w:b/>
        <w:bCs/>
        <w:i w:val="0"/>
        <w:iCs w:val="0"/>
        <w:spacing w:val="0"/>
        <w:w w:val="99"/>
        <w:sz w:val="22"/>
        <w:szCs w:val="22"/>
        <w:lang w:val="en-US" w:eastAsia="en-US" w:bidi="ar-SA"/>
      </w:rPr>
    </w:lvl>
    <w:lvl w:ilvl="1">
      <w:start w:val="1"/>
      <w:numFmt w:val="lowerLetter"/>
      <w:lvlText w:val="%2."/>
      <w:lvlJc w:val="left"/>
      <w:pPr>
        <w:ind w:left="1980" w:hanging="360"/>
        <w:jc w:val="left"/>
      </w:pPr>
      <w:rPr>
        <w:rFonts w:hint="default"/>
        <w:spacing w:val="-1"/>
        <w:w w:val="100"/>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0">
    <w:multiLevelType w:val="hybridMultilevel"/>
    <w:lvl w:ilvl="0">
      <w:start w:val="1"/>
      <w:numFmt w:val="decimal"/>
      <w:lvlText w:val="%1."/>
      <w:lvlJc w:val="left"/>
      <w:pPr>
        <w:ind w:left="840" w:hanging="480"/>
        <w:jc w:val="left"/>
      </w:pPr>
      <w:rPr>
        <w:rFonts w:hint="default" w:ascii="Calibri" w:hAnsi="Calibri" w:eastAsia="Calibri" w:cs="Calibri"/>
        <w:b/>
        <w:bCs/>
        <w:i w:val="0"/>
        <w:iCs w:val="0"/>
        <w:spacing w:val="0"/>
        <w:w w:val="100"/>
        <w:sz w:val="20"/>
        <w:szCs w:val="20"/>
        <w:lang w:val="en-US" w:eastAsia="en-US" w:bidi="ar-SA"/>
      </w:rPr>
    </w:lvl>
    <w:lvl w:ilvl="1">
      <w:start w:val="0"/>
      <w:numFmt w:val="bullet"/>
      <w:lvlText w:val="•"/>
      <w:lvlJc w:val="left"/>
      <w:pPr>
        <w:ind w:left="1836" w:hanging="480"/>
      </w:pPr>
      <w:rPr>
        <w:rFonts w:hint="default"/>
        <w:lang w:val="en-US" w:eastAsia="en-US" w:bidi="ar-SA"/>
      </w:rPr>
    </w:lvl>
    <w:lvl w:ilvl="2">
      <w:start w:val="0"/>
      <w:numFmt w:val="bullet"/>
      <w:lvlText w:val="•"/>
      <w:lvlJc w:val="left"/>
      <w:pPr>
        <w:ind w:left="2832" w:hanging="480"/>
      </w:pPr>
      <w:rPr>
        <w:rFonts w:hint="default"/>
        <w:lang w:val="en-US" w:eastAsia="en-US" w:bidi="ar-SA"/>
      </w:rPr>
    </w:lvl>
    <w:lvl w:ilvl="3">
      <w:start w:val="0"/>
      <w:numFmt w:val="bullet"/>
      <w:lvlText w:val="•"/>
      <w:lvlJc w:val="left"/>
      <w:pPr>
        <w:ind w:left="3828" w:hanging="480"/>
      </w:pPr>
      <w:rPr>
        <w:rFonts w:hint="default"/>
        <w:lang w:val="en-US" w:eastAsia="en-US" w:bidi="ar-SA"/>
      </w:rPr>
    </w:lvl>
    <w:lvl w:ilvl="4">
      <w:start w:val="0"/>
      <w:numFmt w:val="bullet"/>
      <w:lvlText w:val="•"/>
      <w:lvlJc w:val="left"/>
      <w:pPr>
        <w:ind w:left="4824" w:hanging="480"/>
      </w:pPr>
      <w:rPr>
        <w:rFonts w:hint="default"/>
        <w:lang w:val="en-US" w:eastAsia="en-US" w:bidi="ar-SA"/>
      </w:rPr>
    </w:lvl>
    <w:lvl w:ilvl="5">
      <w:start w:val="0"/>
      <w:numFmt w:val="bullet"/>
      <w:lvlText w:val="•"/>
      <w:lvlJc w:val="left"/>
      <w:pPr>
        <w:ind w:left="5820" w:hanging="480"/>
      </w:pPr>
      <w:rPr>
        <w:rFonts w:hint="default"/>
        <w:lang w:val="en-US" w:eastAsia="en-US" w:bidi="ar-SA"/>
      </w:rPr>
    </w:lvl>
    <w:lvl w:ilvl="6">
      <w:start w:val="0"/>
      <w:numFmt w:val="bullet"/>
      <w:lvlText w:val="•"/>
      <w:lvlJc w:val="left"/>
      <w:pPr>
        <w:ind w:left="6816" w:hanging="480"/>
      </w:pPr>
      <w:rPr>
        <w:rFonts w:hint="default"/>
        <w:lang w:val="en-US" w:eastAsia="en-US" w:bidi="ar-SA"/>
      </w:rPr>
    </w:lvl>
    <w:lvl w:ilvl="7">
      <w:start w:val="0"/>
      <w:numFmt w:val="bullet"/>
      <w:lvlText w:val="•"/>
      <w:lvlJc w:val="left"/>
      <w:pPr>
        <w:ind w:left="7812" w:hanging="480"/>
      </w:pPr>
      <w:rPr>
        <w:rFonts w:hint="default"/>
        <w:lang w:val="en-US" w:eastAsia="en-US" w:bidi="ar-SA"/>
      </w:rPr>
    </w:lvl>
    <w:lvl w:ilvl="8">
      <w:start w:val="0"/>
      <w:numFmt w:val="bullet"/>
      <w:lvlText w:val="•"/>
      <w:lvlJc w:val="left"/>
      <w:pPr>
        <w:ind w:left="8808" w:hanging="4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Title" w:type="paragraph">
    <w:name w:val="Title"/>
    <w:basedOn w:val="Normal"/>
    <w:uiPriority w:val="1"/>
    <w:qFormat/>
    <w:pPr>
      <w:ind w:left="3499"/>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240"/>
      <w:ind w:left="839" w:hanging="479"/>
    </w:pPr>
    <w:rPr>
      <w:rFonts w:ascii="Arial MT" w:hAnsi="Arial MT" w:eastAsia="Arial MT" w:cs="Arial MT"/>
      <w:lang w:val="en-US" w:eastAsia="en-US" w:bidi="ar-SA"/>
    </w:rPr>
  </w:style>
  <w:style w:styleId="TableParagraph" w:type="paragraph">
    <w:name w:val="Table Paragraph"/>
    <w:basedOn w:val="Normal"/>
    <w:uiPriority w:val="1"/>
    <w:qFormat/>
    <w:pPr>
      <w:ind w:left="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yperlink" Target="http://www.hhs.gov/sites/default/files/grants/grants/policies-regulations/hhsgps107.pdf" TargetMode="Externa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yperlink" Target="https://www.gpo.gov/fdsys/pkg/FR-1997-04-14/html/97-9529.htm" TargetMode="Externa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yperlink" Target="https://www.gpo.gov/fdsys/pkg/FR-2001-01-04/pdf/01-141.pdf" TargetMode="External"/><Relationship Id="rId16" Type="http://schemas.openxmlformats.org/officeDocument/2006/relationships/hyperlink" Target="https://www.accessdata.fda.gov/scripts/cdrh/cfdocs/cfcfr/CFRSearch.cfm?CFRPart=20" TargetMode="External"/><Relationship Id="rId17" Type="http://schemas.openxmlformats.org/officeDocument/2006/relationships/hyperlink" Target="https://www.fda.gov/media/76769/download" TargetMode="External"/><Relationship Id="rId18" Type="http://schemas.openxmlformats.org/officeDocument/2006/relationships/hyperlink" Target="https://www.fda.gov/media/87643/download" TargetMode="Externa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yperlink" Target="https://www.fda.gov/media/107225/download"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US FDA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Sandra.Winters</dc:creator>
  <cp:keywords>"SOP,Templates, Procedure"</cp:keywords>
  <dc:subject>FMD 145 Establishment Inspection Report (EIR) </dc:subject>
  <dc:title>FMD 145 Procedure for Release of Establishment Inspection Report (EIR) to the Inspected Establishment</dc:title>
  <dcterms:created xsi:type="dcterms:W3CDTF">2026-03-23T17:37:59Z</dcterms:created>
  <dcterms:modified xsi:type="dcterms:W3CDTF">2026-03-23T17:37:59Z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0x010100BA49BE862F6D9C47B0278D104A896A0C</vt:lpwstr>
  </property>
  <property fmtid="{D5CDD505-2E9C-101B-9397-08002B2CF9AE}" pid="3" name="Created">
    <vt:filetime>2019-08-26T00:00:00Z</vt:filetime>
  </property>
  <property fmtid="{D5CDD505-2E9C-101B-9397-08002B2CF9AE}" pid="4" name="Creator">
    <vt:lpwstr>Acrobat PDFMaker 11 for Word</vt:lpwstr>
  </property>
  <property fmtid="{D5CDD505-2E9C-101B-9397-08002B2CF9AE}" pid="5" name="LastSaved">
    <vt:filetime>2026-03-23T00:00:00Z</vt:filetime>
  </property>
  <property fmtid="{D5CDD505-2E9C-101B-9397-08002B2CF9AE}" pid="6" name="MC_Author">
    <vt:lpwstr>LORI.HOLMQUIST</vt:lpwstr>
  </property>
  <property fmtid="{D5CDD505-2E9C-101B-9397-08002B2CF9AE}" pid="7" name="MC_CF_PCC- Cross Cutting Identification">
    <vt:lpwstr>OBIMO, OBPO, OHAFOP, OMDRHO, OPQO</vt:lpwstr>
  </property>
  <property fmtid="{D5CDD505-2E9C-101B-9397-08002B2CF9AE}" pid="8" name="MC_CreatedDate">
    <vt:lpwstr>08 Jul 2019</vt:lpwstr>
  </property>
  <property fmtid="{D5CDD505-2E9C-101B-9397-08002B2CF9AE}" pid="9" name="MC_EffectiveDate">
    <vt:lpwstr>31 Jul 2019</vt:lpwstr>
  </property>
  <property fmtid="{D5CDD505-2E9C-101B-9397-08002B2CF9AE}" pid="10" name="MC_ExpirationDate">
    <vt:lpwstr/>
  </property>
  <property fmtid="{D5CDD505-2E9C-101B-9397-08002B2CF9AE}" pid="11" name="MC_NextReviewDate">
    <vt:lpwstr/>
  </property>
  <property fmtid="{D5CDD505-2E9C-101B-9397-08002B2CF9AE}" pid="12" name="MC_Notes">
    <vt:lpwstr/>
  </property>
  <property fmtid="{D5CDD505-2E9C-101B-9397-08002B2CF9AE}" pid="13" name="MC_Number">
    <vt:lpwstr>DIR-000067</vt:lpwstr>
  </property>
  <property fmtid="{D5CDD505-2E9C-101B-9397-08002B2CF9AE}" pid="14" name="MC_Owner">
    <vt:lpwstr>RANDI.CHARBONNET</vt:lpwstr>
  </property>
  <property fmtid="{D5CDD505-2E9C-101B-9397-08002B2CF9AE}" pid="15" name="MC_ReleaseDate">
    <vt:lpwstr>31 Jul 2019</vt:lpwstr>
  </property>
  <property fmtid="{D5CDD505-2E9C-101B-9397-08002B2CF9AE}" pid="16" name="MC_Revision">
    <vt:lpwstr>00</vt:lpwstr>
  </property>
  <property fmtid="{D5CDD505-2E9C-101B-9397-08002B2CF9AE}" pid="17" name="MC_Status">
    <vt:lpwstr>Release</vt:lpwstr>
  </property>
  <property fmtid="{D5CDD505-2E9C-101B-9397-08002B2CF9AE}" pid="18" name="MC_Title">
    <vt:lpwstr>FMD-145 - Release of the Establishment Inspection Report (EIR)</vt:lpwstr>
  </property>
  <property fmtid="{D5CDD505-2E9C-101B-9397-08002B2CF9AE}" pid="19" name="MC_Vault">
    <vt:lpwstr>PCC-rel</vt:lpwstr>
  </property>
  <property fmtid="{D5CDD505-2E9C-101B-9397-08002B2CF9AE}" pid="20" name="Producer">
    <vt:lpwstr>Adobe PDF Library 11.0</vt:lpwstr>
  </property>
  <property fmtid="{D5CDD505-2E9C-101B-9397-08002B2CF9AE}" pid="21" name="SourceModified">
    <vt:lpwstr>D:20190826165250</vt:lpwstr>
  </property>
  <property fmtid="{D5CDD505-2E9C-101B-9397-08002B2CF9AE}" pid="22" name="_NewReviewCycle">
    <vt:lpwstr/>
  </property>
  <property fmtid="{D5CDD505-2E9C-101B-9397-08002B2CF9AE}" pid="23" name="_dlc_DocIdItemGuid">
    <vt:lpwstr>ad5c1f2c-5f90-4f35-891a-0907797c310f</vt:lpwstr>
  </property>
</Properties>
</file>