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Borders>
          <w:top w:val="single" w:sz="8" w:color="000000" w:space="0"/>
          <w:left w:val="single" w:sz="8" w:color="000000" w:space="0"/>
          <w:bottom w:val="single" w:sz="8" w:color="000000" w:space="0"/>
          <w:right w:val="single" w:sz="8" w:color="000000" w:space="0"/>
          <w:insideH w:val="single" w:sz="4" w:color="000000" w:space="0"/>
          <w:insideV w:val="single" w:sz="4" w:color="000000" w:space="0"/>
        </w:tblBorders>
      </w:tblPr>
      <w:tblGrid>
        <w:gridCol w:w="3720"/>
        <w:gridCol w:w="3720"/>
        <w:gridCol w:w="3720"/>
      </w:tblGrid>
      <w:tr>
        <w:trPr>
          <w:tblHeader/>
        </w:trPr>
        <w:tc>
          <w:tcPr>
            <w:tcW w:type="dxa" w:w="11160"/>
            <w:gridSpan w:val="3"/>
          </w:tcPr>
          <w:p>
            <w:pPr>
              <w:jc w:val="center"/>
            </w:pPr>
            <w:r>
              <w:rPr>
                <w:rFonts w:ascii="Times New Roman" w:hAnsi="Times New Roman"/>
                <w:b/>
                <w:sz w:val="24"/>
              </w:rPr>
              <w:t>DEPARTMENT OF HEALTH AND HUMAN SERVICES</w:t>
            </w:r>
          </w:p>
          <w:p>
            <w:pPr>
              <w:jc w:val="center"/>
            </w:pPr>
            <w:r>
              <w:rPr>
                <w:rFonts w:ascii="Times New Roman" w:hAnsi="Times New Roman"/>
                <w:b/>
                <w:sz w:val="24"/>
              </w:rPr>
              <w:t>Food and Drug Administration</w:t>
            </w:r>
          </w:p>
        </w:tc>
      </w:tr>
      <w:tr>
        <w:trPr>
          <w:tblHeader/>
        </w:trPr>
        <w:tc>
          <w:tcPr>
            <w:tcW w:type="dxa" w:w="7440"/>
            <w:gridSpan w:val="2"/>
            <w:vAlign w:val="top"/>
          </w:tcPr>
          <w:p>
            <w:r>
              <w:rPr>
                <w:rFonts w:ascii="Times New Roman" w:hAnsi="Times New Roman"/>
                <w:b/>
                <w:sz w:val="18"/>
              </w:rPr>
              <w:t>DISTRICT OFFICE ADDRESS AND PHONE NUMBER:</w:t>
            </w:r>
          </w:p>
          <w:p>
            <w:r>
              <w:rPr>
                <w:rFonts w:ascii="Times New Roman" w:hAnsi="Times New Roman"/>
                <w:b w:val="0"/>
                <w:sz w:val="20"/>
              </w:rPr>
              <w:t>Maryland District</w:t>
              <w:br/>
              <w:t>11510 Georgia Ave, Suite 500</w:t>
              <w:br/>
              <w:t>Silver Spring, MD 20902</w:t>
              <w:br/>
              <w:t>(301) 796-7100</w:t>
            </w:r>
          </w:p>
        </w:tc>
        <w:tc>
          <w:tcPr>
            <w:tcW w:type="dxa" w:w="3720"/>
            <w:vAlign w:val="top"/>
          </w:tcPr>
          <w:p>
            <w:r>
              <w:rPr>
                <w:rFonts w:ascii="Times New Roman" w:hAnsi="Times New Roman"/>
                <w:b/>
                <w:sz w:val="18"/>
              </w:rPr>
              <w:t>DATE(S) OF INSPECTION:</w:t>
            </w:r>
          </w:p>
          <w:p>
            <w:r>
              <w:rPr>
                <w:rFonts w:ascii="Times New Roman" w:hAnsi="Times New Roman"/>
                <w:b w:val="0"/>
                <w:sz w:val="20"/>
              </w:rPr>
              <w:t>2025-06-10 to 2025-06-18</w:t>
            </w:r>
          </w:p>
          <w:p>
            <w:r>
              <w:rPr>
                <w:rFonts w:ascii="Times New Roman" w:hAnsi="Times New Roman"/>
                <w:b/>
                <w:sz w:val="18"/>
              </w:rPr>
              <w:t>FEI NUMBER:</w:t>
            </w:r>
          </w:p>
          <w:p>
            <w:r>
              <w:rPr>
                <w:rFonts w:ascii="Times New Roman" w:hAnsi="Times New Roman"/>
                <w:b w:val="0"/>
                <w:sz w:val="20"/>
              </w:rPr>
              <w:t>3009876543</w:t>
            </w:r>
          </w:p>
        </w:tc>
      </w:tr>
      <w:tr>
        <w:trPr>
          <w:tblHeader/>
        </w:trPr>
        <w:tc>
          <w:tcPr>
            <w:tcW w:type="dxa" w:w="11160"/>
            <w:gridSpan w:val="3"/>
          </w:tcPr>
          <w:p>
            <w:r>
              <w:rPr>
                <w:rFonts w:ascii="Times New Roman" w:hAnsi="Times New Roman"/>
                <w:b/>
                <w:sz w:val="18"/>
              </w:rPr>
              <w:t>NAME AND TITLE OF INDIVIDUAL TO WHOM REPORT IS ISSUED:</w:t>
            </w:r>
          </w:p>
          <w:p>
            <w:r>
              <w:rPr>
                <w:rFonts w:ascii="Times New Roman" w:hAnsi="Times New Roman"/>
                <w:b w:val="0"/>
                <w:sz w:val="20"/>
              </w:rPr>
              <w:t>Robert Johnson, VP Quality Assurance</w:t>
            </w:r>
          </w:p>
        </w:tc>
      </w:tr>
      <w:tr>
        <w:trPr>
          <w:tblHeader/>
        </w:trPr>
        <w:tc>
          <w:tcPr>
            <w:tcW w:type="dxa" w:w="7440"/>
            <w:gridSpan w:val="2"/>
          </w:tcPr>
          <w:p>
            <w:r>
              <w:rPr>
                <w:rFonts w:ascii="Times New Roman" w:hAnsi="Times New Roman"/>
                <w:b/>
                <w:sz w:val="18"/>
              </w:rPr>
              <w:t>FIRM NAME:</w:t>
            </w:r>
          </w:p>
          <w:p>
            <w:r>
              <w:rPr>
                <w:rFonts w:ascii="Times New Roman" w:hAnsi="Times New Roman"/>
                <w:b w:val="0"/>
                <w:sz w:val="20"/>
              </w:rPr>
              <w:t>Global Pharmaceuticals Inc.</w:t>
            </w:r>
          </w:p>
        </w:tc>
        <w:tc>
          <w:tcPr>
            <w:tcW w:type="dxa" w:w="3720"/>
          </w:tcPr>
          <w:p>
            <w:r>
              <w:rPr>
                <w:rFonts w:ascii="Times New Roman" w:hAnsi="Times New Roman"/>
                <w:b/>
                <w:sz w:val="18"/>
              </w:rPr>
              <w:t>STREET ADDRESS:</w:t>
            </w:r>
          </w:p>
          <w:p>
            <w:r>
              <w:rPr>
                <w:rFonts w:ascii="Times New Roman" w:hAnsi="Times New Roman"/>
                <w:b w:val="0"/>
                <w:sz w:val="20"/>
              </w:rPr>
              <w:t>500 Compliance Drive</w:t>
            </w:r>
          </w:p>
        </w:tc>
      </w:tr>
      <w:tr>
        <w:trPr>
          <w:tblHeader/>
        </w:trPr>
        <w:tc>
          <w:tcPr>
            <w:tcW w:type="dxa" w:w="3720"/>
          </w:tcPr>
          <w:p>
            <w:r>
              <w:rPr>
                <w:rFonts w:ascii="Times New Roman" w:hAnsi="Times New Roman"/>
                <w:b/>
                <w:sz w:val="18"/>
              </w:rPr>
              <w:t>CITY, STATE AND ZIP CODE:</w:t>
            </w:r>
          </w:p>
          <w:p>
            <w:r>
              <w:rPr>
                <w:rFonts w:ascii="Times New Roman" w:hAnsi="Times New Roman"/>
                <w:b w:val="0"/>
                <w:sz w:val="20"/>
              </w:rPr>
              <w:t>Silver Spring, MD 20993</w:t>
            </w:r>
          </w:p>
        </w:tc>
        <w:tc>
          <w:tcPr>
            <w:tcW w:type="dxa" w:w="3720"/>
          </w:tcPr>
          <w:p>
            <w:r>
              <w:rPr>
                <w:rFonts w:ascii="Times New Roman" w:hAnsi="Times New Roman"/>
                <w:b/>
                <w:sz w:val="18"/>
              </w:rPr>
              <w:t>COUNTRY:</w:t>
            </w:r>
          </w:p>
          <w:p>
            <w:r>
              <w:rPr>
                <w:rFonts w:ascii="Times New Roman" w:hAnsi="Times New Roman"/>
                <w:b w:val="0"/>
                <w:sz w:val="20"/>
              </w:rPr>
              <w:t>United States</w:t>
            </w:r>
          </w:p>
        </w:tc>
        <w:tc>
          <w:tcPr>
            <w:tcW w:type="dxa" w:w="3720"/>
          </w:tcPr>
          <w:p>
            <w:r>
              <w:rPr>
                <w:rFonts w:ascii="Times New Roman" w:hAnsi="Times New Roman"/>
                <w:b/>
                <w:sz w:val="18"/>
              </w:rPr>
              <w:t>TYPE OF ESTABLISHMENT INSPECTED:</w:t>
            </w:r>
          </w:p>
          <w:p>
            <w:r>
              <w:rPr>
                <w:rFonts w:ascii="Times New Roman" w:hAnsi="Times New Roman"/>
                <w:b w:val="0"/>
                <w:sz w:val="20"/>
              </w:rPr>
              <w:t>Pharmaceutical Manufacturer</w:t>
            </w:r>
          </w:p>
        </w:tc>
      </w:tr>
      <w:tr>
        <w:trPr>
          <w:tblHeader/>
        </w:trPr>
        <w:tc>
          <w:tcPr>
            <w:tcW w:type="dxa" w:w="11160"/>
            <w:gridSpan w:val="3"/>
          </w:tcPr>
          <w:p>
            <w:r>
              <w:rPr>
                <w:rFonts w:ascii="Times New Roman" w:hAnsi="Times New Roman"/>
                <w:b w:val="0"/>
                <w:sz w:val="20"/>
              </w:rPr>
              <w:t>During an inspection of your establishment, I (we) observed:</w:t>
            </w:r>
          </w:p>
        </w:tc>
      </w:tr>
      <w:tr>
        <w:tc>
          <w:tcPr>
            <w:tcW w:type="dxa" w:w="11160"/>
            <w:gridSpan w:val="3"/>
          </w:tcPr>
          <w:p>
            <w:r>
              <w:rPr>
                <w:rFonts w:ascii="Times New Roman" w:hAnsi="Times New Roman"/>
                <w:b/>
                <w:sz w:val="20"/>
              </w:rPr>
              <w:t>Observation 1:</w:t>
            </w:r>
          </w:p>
          <w:p>
            <w:r>
              <w:rPr>
                <w:rFonts w:ascii="Times New Roman" w:hAnsi="Times New Roman"/>
                <w:b w:val="0"/>
                <w:sz w:val="20"/>
              </w:rPr>
              <w:t>The firm failed to establish and follow adequate written procedures for cleaning and maintenance of equipment, including utensils, used in the manufacture, processing, packing, or holding of a drug product. Specifically, cleaning validation studies were not performed for the tablet compression equipment after product changeover.</w:t>
            </w:r>
          </w:p>
          <w:p>
            <w:r>
              <w:rPr>
                <w:rFonts w:ascii="Times New Roman" w:hAnsi="Times New Roman"/>
                <w:b/>
                <w:sz w:val="20"/>
              </w:rPr>
              <w:t>[21 CFR 211.67(a)]</w:t>
            </w:r>
          </w:p>
          <w:p>
            <w:r>
              <w:rPr>
                <w:rFonts w:ascii="Times New Roman" w:hAnsi="Times New Roman"/>
                <w:b w:val="0"/>
                <w:sz w:val="20"/>
              </w:rPr>
              <w:t xml:space="preserve">  • Batch records BR-2025-101 through BR-2025-109</w:t>
            </w:r>
          </w:p>
          <w:p>
            <w:r>
              <w:rPr>
                <w:rFonts w:ascii="Times New Roman" w:hAnsi="Times New Roman"/>
                <w:b w:val="0"/>
                <w:sz w:val="20"/>
              </w:rPr>
              <w:t xml:space="preserve">  • Equipment cleaning log dated 06/12/2025</w:t>
            </w:r>
          </w:p>
          <w:p>
            <w:pPr>
              <w:pBdr>
                <w:bottom w:val="single" w:sz="4" w:space="1" w:color="000000"/>
              </w:pBdr>
            </w:pPr>
          </w:p>
        </w:tc>
      </w:tr>
      <w:tr>
        <w:tc>
          <w:tcPr>
            <w:tcW w:type="dxa" w:w="11160"/>
            <w:gridSpan w:val="3"/>
          </w:tcPr>
          <w:p>
            <w:r>
              <w:rPr>
                <w:rFonts w:ascii="Times New Roman" w:hAnsi="Times New Roman"/>
                <w:b/>
                <w:sz w:val="20"/>
              </w:rPr>
              <w:t>Observation 2:</w:t>
            </w:r>
          </w:p>
          <w:p>
            <w:r>
              <w:rPr>
                <w:rFonts w:ascii="Times New Roman" w:hAnsi="Times New Roman"/>
                <w:b w:val="0"/>
                <w:sz w:val="20"/>
              </w:rPr>
              <w:t>Laboratory records do not include complete data derived from all tests, examinations, and assays necessary to assure compliance with established specifications and standards. Raw data from HPLC testing of finished product were not maintained for three batches released in Q1 2025.</w:t>
            </w:r>
          </w:p>
          <w:p>
            <w:r>
              <w:rPr>
                <w:rFonts w:ascii="Times New Roman" w:hAnsi="Times New Roman"/>
                <w:b/>
                <w:sz w:val="20"/>
              </w:rPr>
              <w:t>[21 CFR 211.194(a)]</w:t>
            </w:r>
          </w:p>
          <w:p>
            <w:r>
              <w:rPr>
                <w:rFonts w:ascii="Times New Roman" w:hAnsi="Times New Roman"/>
                <w:b w:val="0"/>
                <w:sz w:val="20"/>
              </w:rPr>
              <w:t xml:space="preserve">  • Lab notebook LN-2025-044</w:t>
            </w:r>
          </w:p>
          <w:p>
            <w:r>
              <w:rPr>
                <w:rFonts w:ascii="Times New Roman" w:hAnsi="Times New Roman"/>
                <w:b w:val="0"/>
                <w:sz w:val="20"/>
              </w:rPr>
              <w:t xml:space="preserve">  • HPLC chromatograms file server audit trail</w:t>
            </w:r>
          </w:p>
          <w:p>
            <w:pPr>
              <w:pBdr>
                <w:bottom w:val="single" w:sz="4" w:space="1" w:color="000000"/>
              </w:pBdr>
            </w:pPr>
          </w:p>
        </w:tc>
      </w:tr>
      <w:tr>
        <w:tc>
          <w:tcPr>
            <w:tcW w:type="dxa" w:w="11160"/>
            <w:gridSpan w:val="3"/>
          </w:tcPr>
          <w:p>
            <w:r>
              <w:rPr>
                <w:rFonts w:ascii="Times New Roman" w:hAnsi="Times New Roman"/>
                <w:b/>
                <w:sz w:val="20"/>
              </w:rPr>
              <w:t>Observation 3:</w:t>
            </w:r>
          </w:p>
          <w:p>
            <w:r>
              <w:rPr>
                <w:rFonts w:ascii="Times New Roman" w:hAnsi="Times New Roman"/>
                <w:b w:val="0"/>
                <w:sz w:val="20"/>
              </w:rPr>
              <w:t>Written procedures for production and process control designed to assure that the drug products have the identity, strength, quality, and purity they purport or are represented to possess are not followed. The approved batch record specifies a mixing time of 15 minutes, but actual mixing times ranged from 8 to 22 minutes across 12 batches.</w:t>
            </w:r>
          </w:p>
          <w:p>
            <w:r>
              <w:rPr>
                <w:rFonts w:ascii="Times New Roman" w:hAnsi="Times New Roman"/>
                <w:b/>
                <w:sz w:val="20"/>
              </w:rPr>
              <w:t>[21 CFR 211.100(a)]</w:t>
            </w:r>
          </w:p>
          <w:p>
            <w:r>
              <w:rPr>
                <w:rFonts w:ascii="Times New Roman" w:hAnsi="Times New Roman"/>
                <w:b w:val="0"/>
                <w:sz w:val="20"/>
              </w:rPr>
              <w:t xml:space="preserve">  • Batch production records</w:t>
            </w:r>
          </w:p>
          <w:p>
            <w:r>
              <w:rPr>
                <w:rFonts w:ascii="Times New Roman" w:hAnsi="Times New Roman"/>
                <w:b w:val="0"/>
                <w:sz w:val="20"/>
              </w:rPr>
              <w:t xml:space="preserve">  • Manufacturing deviation reports MDR-2025-007, MDR-2025-011</w:t>
            </w:r>
          </w:p>
          <w:p>
            <w:pPr>
              <w:pBdr>
                <w:bottom w:val="single" w:sz="4" w:space="1" w:color="000000"/>
              </w:pBdr>
            </w:pPr>
          </w:p>
        </w:tc>
      </w:tr>
      <w:tr>
        <w:tc>
          <w:tcPr>
            <w:tcW w:type="dxa" w:w="11160"/>
            <w:gridSpan w:val="3"/>
          </w:tcPr>
          <w:p>
            <w:r>
              <w:rPr>
                <w:rFonts w:ascii="Times New Roman" w:hAnsi="Times New Roman"/>
                <w:b/>
                <w:sz w:val="20"/>
              </w:rPr>
              <w:t>Observation 4:</w:t>
            </w:r>
          </w:p>
          <w:p>
            <w:r>
              <w:rPr>
                <w:rFonts w:ascii="Times New Roman" w:hAnsi="Times New Roman"/>
                <w:b w:val="0"/>
                <w:sz w:val="20"/>
              </w:rPr>
              <w:t>The stability testing program does not include testing of drug products for reconstitution at the time of dispensing as directed in the labeling. Oral suspension products with reconstitution instructions were not tested under the approved stability protocol.</w:t>
            </w:r>
          </w:p>
          <w:p>
            <w:r>
              <w:rPr>
                <w:rFonts w:ascii="Times New Roman" w:hAnsi="Times New Roman"/>
                <w:b/>
                <w:sz w:val="20"/>
              </w:rPr>
              <w:t>[21 CFR 211.166(a)(3)]</w:t>
            </w:r>
          </w:p>
          <w:p>
            <w:r>
              <w:rPr>
                <w:rFonts w:ascii="Times New Roman" w:hAnsi="Times New Roman"/>
                <w:b w:val="0"/>
                <w:sz w:val="20"/>
              </w:rPr>
              <w:t xml:space="preserve">  • Stability protocol STP-2024-003</w:t>
            </w:r>
          </w:p>
          <w:p>
            <w:pPr>
              <w:pBdr>
                <w:bottom w:val="single" w:sz="4" w:space="1" w:color="000000"/>
              </w:pBdr>
            </w:pPr>
          </w:p>
        </w:tc>
      </w:tr>
      <w:tr>
        <w:tc>
          <w:tcPr>
            <w:tcW w:type="dxa" w:w="11160"/>
            <w:gridSpan w:val="3"/>
          </w:tcPr>
          <w:p>
            <w:r>
              <w:rPr>
                <w:rFonts w:ascii="Times New Roman" w:hAnsi="Times New Roman"/>
                <w:b/>
                <w:sz w:val="20"/>
              </w:rPr>
              <w:t>Observation 5:</w:t>
            </w:r>
          </w:p>
          <w:p>
            <w:r>
              <w:rPr>
                <w:rFonts w:ascii="Times New Roman" w:hAnsi="Times New Roman"/>
                <w:b w:val="0"/>
                <w:sz w:val="20"/>
              </w:rPr>
              <w:t>Complaint handling procedures are inadequate in that there is no written procedure for the review of complaints to determine whether the complaint represents a serious and unexpected adverse drug experience which is required to be reported to the FDA.</w:t>
            </w:r>
          </w:p>
          <w:p>
            <w:r>
              <w:rPr>
                <w:rFonts w:ascii="Times New Roman" w:hAnsi="Times New Roman"/>
                <w:b/>
                <w:sz w:val="20"/>
              </w:rPr>
              <w:t>[21 CFR 211.198(a)]</w:t>
            </w:r>
          </w:p>
          <w:p>
            <w:r>
              <w:rPr>
                <w:rFonts w:ascii="Times New Roman" w:hAnsi="Times New Roman"/>
                <w:b w:val="0"/>
                <w:sz w:val="20"/>
              </w:rPr>
              <w:t xml:space="preserve">  • Complaint files CMP-2025-001 through CMP-2025-034</w:t>
            </w:r>
          </w:p>
          <w:p>
            <w:pPr>
              <w:pBdr>
                <w:bottom w:val="single" w:sz="4" w:space="1" w:color="000000"/>
              </w:pBdr>
            </w:pPr>
          </w:p>
        </w:tc>
      </w:tr>
      <w:tr>
        <w:tc>
          <w:tcPr>
            <w:tcW w:type="dxa" w:w="11160"/>
            <w:gridSpan w:val="3"/>
          </w:tcPr>
          <w:p>
            <w:r>
              <w:rPr>
                <w:rFonts w:ascii="Times New Roman" w:hAnsi="Times New Roman"/>
                <w:b/>
                <w:sz w:val="20"/>
              </w:rPr>
              <w:t>Observation 6:</w:t>
            </w:r>
          </w:p>
          <w:p>
            <w:r>
              <w:rPr>
                <w:rFonts w:ascii="Times New Roman" w:hAnsi="Times New Roman"/>
                <w:b w:val="0"/>
                <w:sz w:val="20"/>
              </w:rPr>
              <w:t>Equipment used in the manufacture, processing, packing, and holding of drug products is not routinely calibrated, inspected, or checked according to a written program designed to assure proper performance. Calibration records for 6 of 20 critical instruments were overdue.</w:t>
            </w:r>
          </w:p>
          <w:p>
            <w:r>
              <w:rPr>
                <w:rFonts w:ascii="Times New Roman" w:hAnsi="Times New Roman"/>
                <w:b/>
                <w:sz w:val="20"/>
              </w:rPr>
              <w:t>[21 CFR 211.68(a)]</w:t>
            </w:r>
          </w:p>
          <w:p>
            <w:r>
              <w:rPr>
                <w:rFonts w:ascii="Times New Roman" w:hAnsi="Times New Roman"/>
                <w:b w:val="0"/>
                <w:sz w:val="20"/>
              </w:rPr>
              <w:t xml:space="preserve">  • Calibration schedule CS-2025</w:t>
            </w:r>
          </w:p>
          <w:p>
            <w:r>
              <w:rPr>
                <w:rFonts w:ascii="Times New Roman" w:hAnsi="Times New Roman"/>
                <w:b w:val="0"/>
                <w:sz w:val="20"/>
              </w:rPr>
              <w:t xml:space="preserve">  • Equipment ID tags for instruments P-101, P-107, P-112, T-203, T-209, W-301</w:t>
            </w:r>
          </w:p>
          <w:p>
            <w:pPr>
              <w:pBdr>
                <w:bottom w:val="single" w:sz="4" w:space="1" w:color="000000"/>
              </w:pBdr>
            </w:pPr>
          </w:p>
        </w:tc>
      </w:tr>
      <w:tr>
        <w:tc>
          <w:tcPr>
            <w:tcW w:type="dxa" w:w="11160"/>
            <w:gridSpan w:val="3"/>
          </w:tcPr>
          <w:p>
            <w:r>
              <w:rPr>
                <w:rFonts w:ascii="Times New Roman" w:hAnsi="Times New Roman"/>
                <w:b/>
                <w:sz w:val="20"/>
              </w:rPr>
              <w:t>Observation 7:</w:t>
            </w:r>
          </w:p>
          <w:p>
            <w:r>
              <w:rPr>
                <w:rFonts w:ascii="Times New Roman" w:hAnsi="Times New Roman"/>
                <w:b w:val="0"/>
                <w:sz w:val="20"/>
              </w:rPr>
              <w:t>Procedures designed to prevent microbiological contamination of drug products purporting to be sterile do not include validation of the sterilization process. Specifically, media fill studies have not been performed for the aseptic filling line since initial qualification in 2021.</w:t>
            </w:r>
          </w:p>
          <w:p>
            <w:r>
              <w:rPr>
                <w:rFonts w:ascii="Times New Roman" w:hAnsi="Times New Roman"/>
                <w:b/>
                <w:sz w:val="20"/>
              </w:rPr>
              <w:t>[21 CFR 211.113(b)]</w:t>
            </w:r>
          </w:p>
          <w:p>
            <w:r>
              <w:rPr>
                <w:rFonts w:ascii="Times New Roman" w:hAnsi="Times New Roman"/>
                <w:b w:val="0"/>
                <w:sz w:val="20"/>
              </w:rPr>
              <w:t xml:space="preserve">  • Aseptic process validation report APV-2021-001</w:t>
            </w:r>
          </w:p>
          <w:p>
            <w:r>
              <w:rPr>
                <w:rFonts w:ascii="Times New Roman" w:hAnsi="Times New Roman"/>
                <w:b w:val="0"/>
                <w:sz w:val="20"/>
              </w:rPr>
              <w:t xml:space="preserve">  • Media fill schedule</w:t>
            </w:r>
          </w:p>
          <w:p>
            <w:pPr>
              <w:pBdr>
                <w:bottom w:val="single" w:sz="4" w:space="1" w:color="000000"/>
              </w:pBdr>
            </w:pPr>
          </w:p>
        </w:tc>
      </w:tr>
      <w:tr>
        <w:trPr>
          <w:cantSplit/>
        </w:trPr>
        <w:tc>
          <w:tcPr>
            <w:tcW w:type="dxa" w:w="3720"/>
          </w:tcPr>
          <w:p>
            <w:r>
              <w:rPr>
                <w:rFonts w:ascii="Times New Roman" w:hAnsi="Times New Roman"/>
                <w:b/>
                <w:sz w:val="18"/>
              </w:rPr>
              <w:t>EMPLOYEE(S) SIGNATURE:</w:t>
            </w:r>
          </w:p>
          <w:p>
            <w:r>
              <w:rPr>
                <w:rFonts w:ascii="Times New Roman" w:hAnsi="Times New Roman"/>
                <w:b w:val="0"/>
                <w:sz w:val="20"/>
              </w:rPr>
              <w:t>John Smith, Jane Doe</w:t>
            </w:r>
          </w:p>
        </w:tc>
        <w:tc>
          <w:tcPr>
            <w:tcW w:type="dxa" w:w="3720"/>
          </w:tcPr>
          <w:p>
            <w:r>
              <w:rPr>
                <w:rFonts w:ascii="Times New Roman" w:hAnsi="Times New Roman"/>
                <w:b/>
                <w:sz w:val="18"/>
              </w:rPr>
              <w:t>EMPLOYEE(S) NAME AND TITLE (Print or Type):</w:t>
            </w:r>
          </w:p>
          <w:p>
            <w:r>
              <w:rPr>
                <w:rFonts w:ascii="Times New Roman" w:hAnsi="Times New Roman"/>
                <w:b w:val="0"/>
                <w:sz w:val="20"/>
              </w:rPr>
              <w:t>John Smith, Investigator</w:t>
              <w:br/>
              <w:t>Jane Doe, Senior Investigator</w:t>
            </w:r>
          </w:p>
        </w:tc>
        <w:tc>
          <w:tcPr>
            <w:tcW w:type="dxa" w:w="3720"/>
          </w:tcPr>
          <w:p>
            <w:r>
              <w:rPr>
                <w:rFonts w:ascii="Times New Roman" w:hAnsi="Times New Roman"/>
                <w:b/>
                <w:sz w:val="18"/>
              </w:rPr>
              <w:t>DATE ISSUED:</w:t>
            </w:r>
          </w:p>
          <w:p>
            <w:r>
              <w:rPr>
                <w:rFonts w:ascii="Times New Roman" w:hAnsi="Times New Roman"/>
                <w:b w:val="0"/>
                <w:sz w:val="20"/>
              </w:rPr>
              <w:t>02/24/2026</w:t>
            </w:r>
          </w:p>
        </w:tc>
      </w:tr>
      <w:tr>
        <w:trPr>
          <w:cantSplit/>
        </w:trPr>
        <w:tc>
          <w:tcPr>
            <w:tcW w:type="dxa" w:w="11160"/>
            <w:gridSpan w:val="3"/>
          </w:tcPr>
          <w:p>
            <w:pPr>
              <w:jc w:val="center"/>
            </w:pPr>
            <w:r>
              <w:rPr>
                <w:rFonts w:ascii="Times New Roman" w:hAnsi="Times New Roman"/>
                <w:b/>
                <w:sz w:val="18"/>
              </w:rPr>
              <w:t>FORM FDA 483 (2/16)       Website: www.fda.gov/oc/industry</w:t>
            </w:r>
          </w:p>
        </w:tc>
      </w:tr>
    </w:tbl>
    <w:sectPr w:rsidR="00FC693F" w:rsidRPr="0006063C" w:rsidSect="00034616">
      <w:pgSz w:w="12240" w:h="15840"/>
      <w:pgMar w:top="540" w:right="540" w:bottom="5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