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B470E" w14:textId="77777777" w:rsidR="003E0148" w:rsidRDefault="00000000">
      <w:pPr>
        <w:spacing w:after="28"/>
        <w:jc w:val="center"/>
      </w:pPr>
      <w:r>
        <w:rPr>
          <w:rFonts w:ascii="Calibri" w:eastAsia="Calibri" w:hAnsi="Calibri" w:cs="Calibri"/>
          <w:b/>
          <w:bCs/>
          <w:sz w:val="46"/>
          <w:szCs w:val="46"/>
        </w:rPr>
        <w:t>JAY ESHWAR</w:t>
      </w:r>
    </w:p>
    <w:p w14:paraId="2601CF29" w14:textId="77777777" w:rsidR="003E0148" w:rsidRDefault="00000000">
      <w:pPr>
        <w:spacing w:after="28"/>
        <w:jc w:val="center"/>
      </w:pPr>
      <w:r>
        <w:rPr>
          <w:rFonts w:ascii="Calibri" w:eastAsia="Calibri" w:hAnsi="Calibri" w:cs="Calibri"/>
          <w:b/>
          <w:bCs/>
          <w:sz w:val="23"/>
          <w:szCs w:val="23"/>
        </w:rPr>
        <w:t>Senior Data Engineer</w:t>
      </w:r>
    </w:p>
    <w:p w14:paraId="2E75211A" w14:textId="077633B7" w:rsidR="003E0148" w:rsidRDefault="00000000">
      <w:pPr>
        <w:spacing w:after="100"/>
        <w:jc w:val="center"/>
      </w:pPr>
      <w:proofErr w:type="gramStart"/>
      <w:r>
        <w:rPr>
          <w:rFonts w:ascii="Calibri" w:eastAsia="Calibri" w:hAnsi="Calibri" w:cs="Calibri"/>
          <w:sz w:val="20"/>
        </w:rPr>
        <w:t>eshwarjay0@gmail.com  |</w:t>
      </w:r>
      <w:proofErr w:type="gramEnd"/>
      <w:r>
        <w:rPr>
          <w:rFonts w:ascii="Calibri" w:eastAsia="Calibri" w:hAnsi="Calibri" w:cs="Calibri"/>
          <w:sz w:val="20"/>
        </w:rPr>
        <w:t xml:space="preserve">  (314) 255-</w:t>
      </w:r>
      <w:proofErr w:type="gramStart"/>
      <w:r>
        <w:rPr>
          <w:rFonts w:ascii="Calibri" w:eastAsia="Calibri" w:hAnsi="Calibri" w:cs="Calibri"/>
          <w:sz w:val="20"/>
        </w:rPr>
        <w:t>9156  |</w:t>
      </w:r>
      <w:proofErr w:type="gramEnd"/>
      <w:r>
        <w:rPr>
          <w:rFonts w:ascii="Calibri" w:eastAsia="Calibri" w:hAnsi="Calibri" w:cs="Calibri"/>
          <w:sz w:val="20"/>
        </w:rPr>
        <w:t xml:space="preserve">  New York, NY</w:t>
      </w:r>
      <w:r w:rsidR="00080444">
        <w:rPr>
          <w:rFonts w:ascii="Calibri" w:eastAsia="Calibri" w:hAnsi="Calibri" w:cs="Calibri"/>
          <w:sz w:val="20"/>
        </w:rPr>
        <w:t xml:space="preserve"> | </w:t>
      </w:r>
      <w:r w:rsidR="00080444" w:rsidRPr="00080444">
        <w:rPr>
          <w:rFonts w:ascii="Calibri" w:eastAsia="Calibri" w:hAnsi="Calibri" w:cs="Calibri"/>
          <w:sz w:val="20"/>
        </w:rPr>
        <w:t>linkedin.com/in/</w:t>
      </w:r>
      <w:proofErr w:type="spellStart"/>
      <w:r w:rsidR="00080444" w:rsidRPr="00080444">
        <w:rPr>
          <w:rFonts w:ascii="Calibri" w:eastAsia="Calibri" w:hAnsi="Calibri" w:cs="Calibri"/>
          <w:sz w:val="20"/>
        </w:rPr>
        <w:t>eshwar</w:t>
      </w:r>
      <w:proofErr w:type="spellEnd"/>
      <w:r w:rsidR="00080444" w:rsidRPr="00080444">
        <w:rPr>
          <w:rFonts w:ascii="Calibri" w:eastAsia="Calibri" w:hAnsi="Calibri" w:cs="Calibri"/>
          <w:sz w:val="20"/>
        </w:rPr>
        <w:t>-jay</w:t>
      </w:r>
    </w:p>
    <w:p w14:paraId="5E83A7AD" w14:textId="77777777" w:rsidR="003E0148" w:rsidRDefault="00000000">
      <w:pPr>
        <w:pBdr>
          <w:bottom w:val="single" w:sz="6" w:space="2" w:color="000000"/>
        </w:pBdr>
        <w:spacing w:before="150" w:after="60"/>
      </w:pPr>
      <w:r>
        <w:rPr>
          <w:rFonts w:ascii="Calibri" w:eastAsia="Calibri" w:hAnsi="Calibri" w:cs="Calibri"/>
          <w:b/>
          <w:bCs/>
          <w:sz w:val="22"/>
          <w:szCs w:val="22"/>
        </w:rPr>
        <w:t>SUMMARY</w:t>
      </w:r>
    </w:p>
    <w:p w14:paraId="7BC491C1" w14:textId="2D9DD03F" w:rsidR="003E0148" w:rsidRDefault="00000000">
      <w:pPr>
        <w:spacing w:before="46" w:after="80"/>
      </w:pPr>
      <w:r>
        <w:rPr>
          <w:rFonts w:ascii="Calibri" w:eastAsia="Calibri" w:hAnsi="Calibri" w:cs="Calibri"/>
          <w:sz w:val="20"/>
        </w:rPr>
        <w:t xml:space="preserve">Data Engineer with </w:t>
      </w:r>
      <w:r w:rsidR="00080444">
        <w:rPr>
          <w:rFonts w:ascii="Calibri" w:eastAsia="Calibri" w:hAnsi="Calibri" w:cs="Calibri"/>
          <w:sz w:val="20"/>
        </w:rPr>
        <w:t>5+ years</w:t>
      </w:r>
      <w:r>
        <w:rPr>
          <w:rFonts w:ascii="Calibri" w:eastAsia="Calibri" w:hAnsi="Calibri" w:cs="Calibri"/>
          <w:sz w:val="20"/>
        </w:rPr>
        <w:t xml:space="preserve"> of production experience building scalable pipelines, </w:t>
      </w:r>
      <w:proofErr w:type="spellStart"/>
      <w:r>
        <w:rPr>
          <w:rFonts w:ascii="Calibri" w:eastAsia="Calibri" w:hAnsi="Calibri" w:cs="Calibri"/>
          <w:sz w:val="20"/>
        </w:rPr>
        <w:t>lakehouse</w:t>
      </w:r>
      <w:proofErr w:type="spellEnd"/>
      <w:r>
        <w:rPr>
          <w:rFonts w:ascii="Calibri" w:eastAsia="Calibri" w:hAnsi="Calibri" w:cs="Calibri"/>
          <w:sz w:val="20"/>
        </w:rPr>
        <w:t xml:space="preserve"> architectures, and end-to-end ETL workflows on Databricks, AWS, and Azure. Deep hands-on expertise in </w:t>
      </w:r>
      <w:proofErr w:type="spellStart"/>
      <w:r>
        <w:rPr>
          <w:rFonts w:ascii="Calibri" w:eastAsia="Calibri" w:hAnsi="Calibri" w:cs="Calibri"/>
          <w:sz w:val="20"/>
        </w:rPr>
        <w:t>PySpark</w:t>
      </w:r>
      <w:proofErr w:type="spellEnd"/>
      <w:r>
        <w:rPr>
          <w:rFonts w:ascii="Calibri" w:eastAsia="Calibri" w:hAnsi="Calibri" w:cs="Calibri"/>
          <w:sz w:val="20"/>
        </w:rPr>
        <w:t xml:space="preserve">, Delta Lake, and SQL at enterprise scale, with a track record of cutting pipeline runtimes by 50 to 65% and reducing compute costs across cloud platforms. Experienced ingesting data from databases, APIs, PDFs, flat files, and streaming sources, with data quality enforced through Great Expectations, </w:t>
      </w:r>
      <w:proofErr w:type="spellStart"/>
      <w:r>
        <w:rPr>
          <w:rFonts w:ascii="Calibri" w:eastAsia="Calibri" w:hAnsi="Calibri" w:cs="Calibri"/>
          <w:sz w:val="20"/>
        </w:rPr>
        <w:t>Deequ</w:t>
      </w:r>
      <w:proofErr w:type="spellEnd"/>
      <w:r>
        <w:rPr>
          <w:rFonts w:ascii="Calibri" w:eastAsia="Calibri" w:hAnsi="Calibri" w:cs="Calibri"/>
          <w:sz w:val="20"/>
        </w:rPr>
        <w:t xml:space="preserve">, and </w:t>
      </w:r>
      <w:proofErr w:type="spellStart"/>
      <w:r>
        <w:rPr>
          <w:rFonts w:ascii="Calibri" w:eastAsia="Calibri" w:hAnsi="Calibri" w:cs="Calibri"/>
          <w:sz w:val="20"/>
        </w:rPr>
        <w:t>PySpark</w:t>
      </w:r>
      <w:proofErr w:type="spellEnd"/>
      <w:r>
        <w:rPr>
          <w:rFonts w:ascii="Calibri" w:eastAsia="Calibri" w:hAnsi="Calibri" w:cs="Calibri"/>
          <w:sz w:val="20"/>
        </w:rPr>
        <w:t xml:space="preserve"> validators. Certified Databricks Data Engineer Associate and Databricks Generative AI Engineer, with additional Azure Data Engineer and AWS credentials. Comfortable owning pipelines from ingestion through production monitoring.</w:t>
      </w:r>
    </w:p>
    <w:p w14:paraId="3F188742" w14:textId="77777777" w:rsidR="003E0148" w:rsidRDefault="00000000">
      <w:pPr>
        <w:pBdr>
          <w:bottom w:val="single" w:sz="6" w:space="2" w:color="000000"/>
        </w:pBdr>
        <w:spacing w:before="150" w:after="60"/>
      </w:pPr>
      <w:r>
        <w:rPr>
          <w:rFonts w:ascii="Calibri" w:eastAsia="Calibri" w:hAnsi="Calibri" w:cs="Calibri"/>
          <w:b/>
          <w:bCs/>
          <w:sz w:val="22"/>
          <w:szCs w:val="22"/>
        </w:rPr>
        <w:t>TECHNICAL SKILLS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7100"/>
      </w:tblGrid>
      <w:tr w:rsidR="003E0148" w14:paraId="34E7D519" w14:textId="77777777">
        <w:tblPrEx>
          <w:tblCellMar>
            <w:top w:w="0" w:type="dxa"/>
            <w:bottom w:w="0" w:type="dxa"/>
          </w:tblCellMar>
        </w:tblPrEx>
        <w:tc>
          <w:tcPr>
            <w:tcW w:w="2260" w:type="dxa"/>
            <w:tcBorders>
              <w:top w:val="none" w:sz="0" w:space="0" w:color="FFFFFF"/>
              <w:left w:val="none" w:sz="0" w:space="0" w:color="FFFFFF"/>
              <w:bottom w:val="none" w:sz="0" w:space="0" w:color="FFFFFF"/>
              <w:right w:val="none" w:sz="0" w:space="0" w:color="FFFFFF"/>
            </w:tcBorders>
            <w:tcMar>
              <w:top w:w="28" w:type="dxa"/>
              <w:left w:w="0" w:type="dxa"/>
              <w:bottom w:w="28" w:type="dxa"/>
              <w:right w:w="80" w:type="dxa"/>
            </w:tcMar>
          </w:tcPr>
          <w:p w14:paraId="2B09C96B" w14:textId="77777777" w:rsidR="003E0148" w:rsidRDefault="00000000">
            <w:r>
              <w:rPr>
                <w:rFonts w:ascii="Calibri" w:eastAsia="Calibri" w:hAnsi="Calibri" w:cs="Calibri"/>
                <w:b/>
                <w:bCs/>
                <w:sz w:val="19"/>
                <w:szCs w:val="19"/>
              </w:rPr>
              <w:t>Data Platforms:</w:t>
            </w:r>
          </w:p>
        </w:tc>
        <w:tc>
          <w:tcPr>
            <w:tcW w:w="7100" w:type="dxa"/>
            <w:tcBorders>
              <w:top w:val="none" w:sz="0" w:space="0" w:color="FFFFFF"/>
              <w:left w:val="none" w:sz="0" w:space="0" w:color="FFFFFF"/>
              <w:bottom w:val="none" w:sz="0" w:space="0" w:color="FFFFFF"/>
              <w:right w:val="none" w:sz="0" w:space="0" w:color="FFFFFF"/>
            </w:tcBorders>
            <w:tcMar>
              <w:top w:w="28" w:type="dxa"/>
              <w:left w:w="60" w:type="dxa"/>
              <w:bottom w:w="28" w:type="dxa"/>
              <w:right w:w="0" w:type="dxa"/>
            </w:tcMar>
          </w:tcPr>
          <w:p w14:paraId="3180CA90" w14:textId="77777777" w:rsidR="003E0148" w:rsidRDefault="00000000">
            <w:r>
              <w:rPr>
                <w:rFonts w:ascii="Calibri" w:eastAsia="Calibri" w:hAnsi="Calibri" w:cs="Calibri"/>
                <w:sz w:val="19"/>
                <w:szCs w:val="19"/>
              </w:rPr>
              <w:t xml:space="preserve">Databricks, Delta Lake, Apache Spark, </w:t>
            </w:r>
            <w:proofErr w:type="spellStart"/>
            <w:r>
              <w:rPr>
                <w:rFonts w:ascii="Calibri" w:eastAsia="Calibri" w:hAnsi="Calibri" w:cs="Calibri"/>
                <w:sz w:val="19"/>
                <w:szCs w:val="19"/>
              </w:rPr>
              <w:t>PySpark</w:t>
            </w:r>
            <w:proofErr w:type="spellEnd"/>
            <w:r>
              <w:rPr>
                <w:rFonts w:ascii="Calibri" w:eastAsia="Calibri" w:hAnsi="Calibri" w:cs="Calibri"/>
                <w:sz w:val="19"/>
                <w:szCs w:val="19"/>
              </w:rPr>
              <w:t>, Snowflake, Apache Hive, Apache Kafka, AWS Glue, Azure Synapse, Azure Data Factory</w:t>
            </w:r>
          </w:p>
        </w:tc>
      </w:tr>
      <w:tr w:rsidR="003E0148" w14:paraId="372471BF" w14:textId="77777777">
        <w:tblPrEx>
          <w:tblCellMar>
            <w:top w:w="0" w:type="dxa"/>
            <w:bottom w:w="0" w:type="dxa"/>
          </w:tblCellMar>
        </w:tblPrEx>
        <w:tc>
          <w:tcPr>
            <w:tcW w:w="2260" w:type="dxa"/>
            <w:tcBorders>
              <w:top w:val="none" w:sz="0" w:space="0" w:color="FFFFFF"/>
              <w:left w:val="none" w:sz="0" w:space="0" w:color="FFFFFF"/>
              <w:bottom w:val="none" w:sz="0" w:space="0" w:color="FFFFFF"/>
              <w:right w:val="none" w:sz="0" w:space="0" w:color="FFFFFF"/>
            </w:tcBorders>
            <w:tcMar>
              <w:top w:w="28" w:type="dxa"/>
              <w:left w:w="0" w:type="dxa"/>
              <w:bottom w:w="28" w:type="dxa"/>
              <w:right w:w="80" w:type="dxa"/>
            </w:tcMar>
          </w:tcPr>
          <w:p w14:paraId="3CE6F14E" w14:textId="77777777" w:rsidR="003E0148" w:rsidRDefault="00000000">
            <w:r>
              <w:rPr>
                <w:rFonts w:ascii="Calibri" w:eastAsia="Calibri" w:hAnsi="Calibri" w:cs="Calibri"/>
                <w:b/>
                <w:bCs/>
                <w:sz w:val="19"/>
                <w:szCs w:val="19"/>
              </w:rPr>
              <w:t>Pipeline &amp; ETL:</w:t>
            </w:r>
          </w:p>
        </w:tc>
        <w:tc>
          <w:tcPr>
            <w:tcW w:w="7100" w:type="dxa"/>
            <w:tcBorders>
              <w:top w:val="none" w:sz="0" w:space="0" w:color="FFFFFF"/>
              <w:left w:val="none" w:sz="0" w:space="0" w:color="FFFFFF"/>
              <w:bottom w:val="none" w:sz="0" w:space="0" w:color="FFFFFF"/>
              <w:right w:val="none" w:sz="0" w:space="0" w:color="FFFFFF"/>
            </w:tcBorders>
            <w:tcMar>
              <w:top w:w="28" w:type="dxa"/>
              <w:left w:w="60" w:type="dxa"/>
              <w:bottom w:w="28" w:type="dxa"/>
              <w:right w:w="0" w:type="dxa"/>
            </w:tcMar>
          </w:tcPr>
          <w:p w14:paraId="02C41348" w14:textId="77777777" w:rsidR="003E0148" w:rsidRDefault="00000000">
            <w:proofErr w:type="spellStart"/>
            <w:r>
              <w:rPr>
                <w:rFonts w:ascii="Calibri" w:eastAsia="Calibri" w:hAnsi="Calibri" w:cs="Calibri"/>
                <w:sz w:val="19"/>
                <w:szCs w:val="19"/>
              </w:rPr>
              <w:t>PySpark</w:t>
            </w:r>
            <w:proofErr w:type="spellEnd"/>
            <w:r>
              <w:rPr>
                <w:rFonts w:ascii="Calibri" w:eastAsia="Calibri" w:hAnsi="Calibri" w:cs="Calibri"/>
                <w:sz w:val="19"/>
                <w:szCs w:val="19"/>
              </w:rPr>
              <w:t xml:space="preserve">, SQL, Delta Lake ACID transactions, ADF pipelines, Airflow DAGs, </w:t>
            </w:r>
            <w:proofErr w:type="spellStart"/>
            <w:r>
              <w:rPr>
                <w:rFonts w:ascii="Calibri" w:eastAsia="Calibri" w:hAnsi="Calibri" w:cs="Calibri"/>
                <w:sz w:val="19"/>
                <w:szCs w:val="19"/>
              </w:rPr>
              <w:t>MLflow</w:t>
            </w:r>
            <w:proofErr w:type="spellEnd"/>
            <w:r>
              <w:rPr>
                <w:rFonts w:ascii="Calibri" w:eastAsia="Calibri" w:hAnsi="Calibri" w:cs="Calibri"/>
                <w:sz w:val="19"/>
                <w:szCs w:val="19"/>
              </w:rPr>
              <w:t>, watermarking, parallel copy, partition pruning, broadcast joins, AQE</w:t>
            </w:r>
          </w:p>
        </w:tc>
      </w:tr>
      <w:tr w:rsidR="003E0148" w14:paraId="26A50E8C" w14:textId="77777777">
        <w:tblPrEx>
          <w:tblCellMar>
            <w:top w:w="0" w:type="dxa"/>
            <w:bottom w:w="0" w:type="dxa"/>
          </w:tblCellMar>
        </w:tblPrEx>
        <w:tc>
          <w:tcPr>
            <w:tcW w:w="2260" w:type="dxa"/>
            <w:tcBorders>
              <w:top w:val="none" w:sz="0" w:space="0" w:color="FFFFFF"/>
              <w:left w:val="none" w:sz="0" w:space="0" w:color="FFFFFF"/>
              <w:bottom w:val="none" w:sz="0" w:space="0" w:color="FFFFFF"/>
              <w:right w:val="none" w:sz="0" w:space="0" w:color="FFFFFF"/>
            </w:tcBorders>
            <w:tcMar>
              <w:top w:w="28" w:type="dxa"/>
              <w:left w:w="0" w:type="dxa"/>
              <w:bottom w:w="28" w:type="dxa"/>
              <w:right w:w="80" w:type="dxa"/>
            </w:tcMar>
          </w:tcPr>
          <w:p w14:paraId="0C2C75E6" w14:textId="77777777" w:rsidR="003E0148" w:rsidRDefault="00000000">
            <w:r>
              <w:rPr>
                <w:rFonts w:ascii="Calibri" w:eastAsia="Calibri" w:hAnsi="Calibri" w:cs="Calibri"/>
                <w:b/>
                <w:bCs/>
                <w:sz w:val="19"/>
                <w:szCs w:val="19"/>
              </w:rPr>
              <w:t>Data Quality &amp; Testing:</w:t>
            </w:r>
          </w:p>
        </w:tc>
        <w:tc>
          <w:tcPr>
            <w:tcW w:w="7100" w:type="dxa"/>
            <w:tcBorders>
              <w:top w:val="none" w:sz="0" w:space="0" w:color="FFFFFF"/>
              <w:left w:val="none" w:sz="0" w:space="0" w:color="FFFFFF"/>
              <w:bottom w:val="none" w:sz="0" w:space="0" w:color="FFFFFF"/>
              <w:right w:val="none" w:sz="0" w:space="0" w:color="FFFFFF"/>
            </w:tcBorders>
            <w:tcMar>
              <w:top w:w="28" w:type="dxa"/>
              <w:left w:w="60" w:type="dxa"/>
              <w:bottom w:w="28" w:type="dxa"/>
              <w:right w:w="0" w:type="dxa"/>
            </w:tcMar>
          </w:tcPr>
          <w:p w14:paraId="20B3A3F1" w14:textId="77777777" w:rsidR="003E0148" w:rsidRDefault="00000000">
            <w:r>
              <w:rPr>
                <w:rFonts w:ascii="Calibri" w:eastAsia="Calibri" w:hAnsi="Calibri" w:cs="Calibri"/>
                <w:sz w:val="19"/>
                <w:szCs w:val="19"/>
              </w:rPr>
              <w:t xml:space="preserve">Great Expectations, </w:t>
            </w:r>
            <w:proofErr w:type="spellStart"/>
            <w:r>
              <w:rPr>
                <w:rFonts w:ascii="Calibri" w:eastAsia="Calibri" w:hAnsi="Calibri" w:cs="Calibri"/>
                <w:sz w:val="19"/>
                <w:szCs w:val="19"/>
              </w:rPr>
              <w:t>Deequ</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dbt</w:t>
            </w:r>
            <w:proofErr w:type="spellEnd"/>
            <w:r>
              <w:rPr>
                <w:rFonts w:ascii="Calibri" w:eastAsia="Calibri" w:hAnsi="Calibri" w:cs="Calibri"/>
                <w:sz w:val="19"/>
                <w:szCs w:val="19"/>
              </w:rPr>
              <w:t xml:space="preserve"> tests, </w:t>
            </w:r>
            <w:proofErr w:type="spellStart"/>
            <w:r>
              <w:rPr>
                <w:rFonts w:ascii="Calibri" w:eastAsia="Calibri" w:hAnsi="Calibri" w:cs="Calibri"/>
                <w:sz w:val="19"/>
                <w:szCs w:val="19"/>
              </w:rPr>
              <w:t>PySpark</w:t>
            </w:r>
            <w:proofErr w:type="spellEnd"/>
            <w:r>
              <w:rPr>
                <w:rFonts w:ascii="Calibri" w:eastAsia="Calibri" w:hAnsi="Calibri" w:cs="Calibri"/>
                <w:sz w:val="19"/>
                <w:szCs w:val="19"/>
              </w:rPr>
              <w:t xml:space="preserve"> validators, checksum and reconciliation frameworks, schema enforcement, data validation</w:t>
            </w:r>
          </w:p>
        </w:tc>
      </w:tr>
      <w:tr w:rsidR="003E0148" w14:paraId="16601D61" w14:textId="77777777">
        <w:tblPrEx>
          <w:tblCellMar>
            <w:top w:w="0" w:type="dxa"/>
            <w:bottom w:w="0" w:type="dxa"/>
          </w:tblCellMar>
        </w:tblPrEx>
        <w:tc>
          <w:tcPr>
            <w:tcW w:w="2260" w:type="dxa"/>
            <w:tcBorders>
              <w:top w:val="none" w:sz="0" w:space="0" w:color="FFFFFF"/>
              <w:left w:val="none" w:sz="0" w:space="0" w:color="FFFFFF"/>
              <w:bottom w:val="none" w:sz="0" w:space="0" w:color="FFFFFF"/>
              <w:right w:val="none" w:sz="0" w:space="0" w:color="FFFFFF"/>
            </w:tcBorders>
            <w:tcMar>
              <w:top w:w="28" w:type="dxa"/>
              <w:left w:w="0" w:type="dxa"/>
              <w:bottom w:w="28" w:type="dxa"/>
              <w:right w:w="80" w:type="dxa"/>
            </w:tcMar>
          </w:tcPr>
          <w:p w14:paraId="252BDAF7" w14:textId="77777777" w:rsidR="003E0148" w:rsidRDefault="00000000">
            <w:r>
              <w:rPr>
                <w:rFonts w:ascii="Calibri" w:eastAsia="Calibri" w:hAnsi="Calibri" w:cs="Calibri"/>
                <w:b/>
                <w:bCs/>
                <w:sz w:val="19"/>
                <w:szCs w:val="19"/>
              </w:rPr>
              <w:t>Cloud &amp; Infra:</w:t>
            </w:r>
          </w:p>
        </w:tc>
        <w:tc>
          <w:tcPr>
            <w:tcW w:w="7100" w:type="dxa"/>
            <w:tcBorders>
              <w:top w:val="none" w:sz="0" w:space="0" w:color="FFFFFF"/>
              <w:left w:val="none" w:sz="0" w:space="0" w:color="FFFFFF"/>
              <w:bottom w:val="none" w:sz="0" w:space="0" w:color="FFFFFF"/>
              <w:right w:val="none" w:sz="0" w:space="0" w:color="FFFFFF"/>
            </w:tcBorders>
            <w:tcMar>
              <w:top w:w="28" w:type="dxa"/>
              <w:left w:w="60" w:type="dxa"/>
              <w:bottom w:w="28" w:type="dxa"/>
              <w:right w:w="0" w:type="dxa"/>
            </w:tcMar>
          </w:tcPr>
          <w:p w14:paraId="1E7C01DC" w14:textId="77777777" w:rsidR="003E0148" w:rsidRDefault="00000000">
            <w:r>
              <w:rPr>
                <w:rFonts w:ascii="Calibri" w:eastAsia="Calibri" w:hAnsi="Calibri" w:cs="Calibri"/>
                <w:sz w:val="19"/>
                <w:szCs w:val="19"/>
              </w:rPr>
              <w:t>AWS (EMR, S3, Redshift, ECS, Kinesis, MSK, Lambda), Azure (Data Lake Gen2, ADF, Blob Storage, Azure OpenAI, AKS, Monitor, Key Vault), GCP (</w:t>
            </w:r>
            <w:proofErr w:type="spellStart"/>
            <w:r>
              <w:rPr>
                <w:rFonts w:ascii="Calibri" w:eastAsia="Calibri" w:hAnsi="Calibri" w:cs="Calibri"/>
                <w:sz w:val="19"/>
                <w:szCs w:val="19"/>
              </w:rPr>
              <w:t>BigQuery</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Dataproc</w:t>
            </w:r>
            <w:proofErr w:type="spellEnd"/>
            <w:r>
              <w:rPr>
                <w:rFonts w:ascii="Calibri" w:eastAsia="Calibri" w:hAnsi="Calibri" w:cs="Calibri"/>
                <w:sz w:val="19"/>
                <w:szCs w:val="19"/>
              </w:rPr>
              <w:t>, GCS)</w:t>
            </w:r>
          </w:p>
        </w:tc>
      </w:tr>
      <w:tr w:rsidR="003E0148" w14:paraId="1C26CE5F" w14:textId="77777777">
        <w:tblPrEx>
          <w:tblCellMar>
            <w:top w:w="0" w:type="dxa"/>
            <w:bottom w:w="0" w:type="dxa"/>
          </w:tblCellMar>
        </w:tblPrEx>
        <w:tc>
          <w:tcPr>
            <w:tcW w:w="2260" w:type="dxa"/>
            <w:tcBorders>
              <w:top w:val="none" w:sz="0" w:space="0" w:color="FFFFFF"/>
              <w:left w:val="none" w:sz="0" w:space="0" w:color="FFFFFF"/>
              <w:bottom w:val="none" w:sz="0" w:space="0" w:color="FFFFFF"/>
              <w:right w:val="none" w:sz="0" w:space="0" w:color="FFFFFF"/>
            </w:tcBorders>
            <w:tcMar>
              <w:top w:w="28" w:type="dxa"/>
              <w:left w:w="0" w:type="dxa"/>
              <w:bottom w:w="28" w:type="dxa"/>
              <w:right w:w="80" w:type="dxa"/>
            </w:tcMar>
          </w:tcPr>
          <w:p w14:paraId="0053DE85" w14:textId="77777777" w:rsidR="003E0148" w:rsidRDefault="00000000">
            <w:r>
              <w:rPr>
                <w:rFonts w:ascii="Calibri" w:eastAsia="Calibri" w:hAnsi="Calibri" w:cs="Calibri"/>
                <w:b/>
                <w:bCs/>
                <w:sz w:val="19"/>
                <w:szCs w:val="19"/>
              </w:rPr>
              <w:t>Languages:</w:t>
            </w:r>
          </w:p>
        </w:tc>
        <w:tc>
          <w:tcPr>
            <w:tcW w:w="7100" w:type="dxa"/>
            <w:tcBorders>
              <w:top w:val="none" w:sz="0" w:space="0" w:color="FFFFFF"/>
              <w:left w:val="none" w:sz="0" w:space="0" w:color="FFFFFF"/>
              <w:bottom w:val="none" w:sz="0" w:space="0" w:color="FFFFFF"/>
              <w:right w:val="none" w:sz="0" w:space="0" w:color="FFFFFF"/>
            </w:tcBorders>
            <w:tcMar>
              <w:top w:w="28" w:type="dxa"/>
              <w:left w:w="60" w:type="dxa"/>
              <w:bottom w:w="28" w:type="dxa"/>
              <w:right w:w="0" w:type="dxa"/>
            </w:tcMar>
          </w:tcPr>
          <w:p w14:paraId="2C8C4459" w14:textId="77777777" w:rsidR="003E0148" w:rsidRDefault="00000000">
            <w:r>
              <w:rPr>
                <w:rFonts w:ascii="Calibri" w:eastAsia="Calibri" w:hAnsi="Calibri" w:cs="Calibri"/>
                <w:sz w:val="19"/>
                <w:szCs w:val="19"/>
              </w:rPr>
              <w:t xml:space="preserve">Python, </w:t>
            </w:r>
            <w:proofErr w:type="spellStart"/>
            <w:r>
              <w:rPr>
                <w:rFonts w:ascii="Calibri" w:eastAsia="Calibri" w:hAnsi="Calibri" w:cs="Calibri"/>
                <w:sz w:val="19"/>
                <w:szCs w:val="19"/>
              </w:rPr>
              <w:t>PySpark</w:t>
            </w:r>
            <w:proofErr w:type="spellEnd"/>
            <w:r>
              <w:rPr>
                <w:rFonts w:ascii="Calibri" w:eastAsia="Calibri" w:hAnsi="Calibri" w:cs="Calibri"/>
                <w:sz w:val="19"/>
                <w:szCs w:val="19"/>
              </w:rPr>
              <w:t>, Scala, SQL, Java, R</w:t>
            </w:r>
          </w:p>
        </w:tc>
      </w:tr>
      <w:tr w:rsidR="003E0148" w14:paraId="5A865076" w14:textId="77777777">
        <w:tblPrEx>
          <w:tblCellMar>
            <w:top w:w="0" w:type="dxa"/>
            <w:bottom w:w="0" w:type="dxa"/>
          </w:tblCellMar>
        </w:tblPrEx>
        <w:tc>
          <w:tcPr>
            <w:tcW w:w="2260" w:type="dxa"/>
            <w:tcBorders>
              <w:top w:val="none" w:sz="0" w:space="0" w:color="FFFFFF"/>
              <w:left w:val="none" w:sz="0" w:space="0" w:color="FFFFFF"/>
              <w:bottom w:val="none" w:sz="0" w:space="0" w:color="FFFFFF"/>
              <w:right w:val="none" w:sz="0" w:space="0" w:color="FFFFFF"/>
            </w:tcBorders>
            <w:tcMar>
              <w:top w:w="28" w:type="dxa"/>
              <w:left w:w="0" w:type="dxa"/>
              <w:bottom w:w="28" w:type="dxa"/>
              <w:right w:w="80" w:type="dxa"/>
            </w:tcMar>
          </w:tcPr>
          <w:p w14:paraId="17C7D1AE" w14:textId="77777777" w:rsidR="003E0148" w:rsidRDefault="00000000">
            <w:r>
              <w:rPr>
                <w:rFonts w:ascii="Calibri" w:eastAsia="Calibri" w:hAnsi="Calibri" w:cs="Calibri"/>
                <w:b/>
                <w:bCs/>
                <w:sz w:val="19"/>
                <w:szCs w:val="19"/>
              </w:rPr>
              <w:t>Databases:</w:t>
            </w:r>
          </w:p>
        </w:tc>
        <w:tc>
          <w:tcPr>
            <w:tcW w:w="7100" w:type="dxa"/>
            <w:tcBorders>
              <w:top w:val="none" w:sz="0" w:space="0" w:color="FFFFFF"/>
              <w:left w:val="none" w:sz="0" w:space="0" w:color="FFFFFF"/>
              <w:bottom w:val="none" w:sz="0" w:space="0" w:color="FFFFFF"/>
              <w:right w:val="none" w:sz="0" w:space="0" w:color="FFFFFF"/>
            </w:tcBorders>
            <w:tcMar>
              <w:top w:w="28" w:type="dxa"/>
              <w:left w:w="60" w:type="dxa"/>
              <w:bottom w:w="28" w:type="dxa"/>
              <w:right w:w="0" w:type="dxa"/>
            </w:tcMar>
          </w:tcPr>
          <w:p w14:paraId="67C3B868" w14:textId="77777777" w:rsidR="003E0148" w:rsidRDefault="00000000">
            <w:r>
              <w:rPr>
                <w:rFonts w:ascii="Calibri" w:eastAsia="Calibri" w:hAnsi="Calibri" w:cs="Calibri"/>
                <w:sz w:val="19"/>
                <w:szCs w:val="19"/>
              </w:rPr>
              <w:t>PostgreSQL, MongoDB, DynamoDB, Snowflake, Redshift, Delta Lake, HBase, Cassandra</w:t>
            </w:r>
          </w:p>
        </w:tc>
      </w:tr>
      <w:tr w:rsidR="003E0148" w14:paraId="03FAD1B6" w14:textId="77777777">
        <w:tblPrEx>
          <w:tblCellMar>
            <w:top w:w="0" w:type="dxa"/>
            <w:bottom w:w="0" w:type="dxa"/>
          </w:tblCellMar>
        </w:tblPrEx>
        <w:tc>
          <w:tcPr>
            <w:tcW w:w="2260" w:type="dxa"/>
            <w:tcBorders>
              <w:top w:val="none" w:sz="0" w:space="0" w:color="FFFFFF"/>
              <w:left w:val="none" w:sz="0" w:space="0" w:color="FFFFFF"/>
              <w:bottom w:val="none" w:sz="0" w:space="0" w:color="FFFFFF"/>
              <w:right w:val="none" w:sz="0" w:space="0" w:color="FFFFFF"/>
            </w:tcBorders>
            <w:tcMar>
              <w:top w:w="28" w:type="dxa"/>
              <w:left w:w="0" w:type="dxa"/>
              <w:bottom w:w="28" w:type="dxa"/>
              <w:right w:w="80" w:type="dxa"/>
            </w:tcMar>
          </w:tcPr>
          <w:p w14:paraId="6DC9A12C" w14:textId="77777777" w:rsidR="003E0148" w:rsidRDefault="00000000">
            <w:r>
              <w:rPr>
                <w:rFonts w:ascii="Calibri" w:eastAsia="Calibri" w:hAnsi="Calibri" w:cs="Calibri"/>
                <w:b/>
                <w:bCs/>
                <w:sz w:val="19"/>
                <w:szCs w:val="19"/>
              </w:rPr>
              <w:t>Observability &amp; DevOps:</w:t>
            </w:r>
          </w:p>
        </w:tc>
        <w:tc>
          <w:tcPr>
            <w:tcW w:w="7100" w:type="dxa"/>
            <w:tcBorders>
              <w:top w:val="none" w:sz="0" w:space="0" w:color="FFFFFF"/>
              <w:left w:val="none" w:sz="0" w:space="0" w:color="FFFFFF"/>
              <w:bottom w:val="none" w:sz="0" w:space="0" w:color="FFFFFF"/>
              <w:right w:val="none" w:sz="0" w:space="0" w:color="FFFFFF"/>
            </w:tcBorders>
            <w:tcMar>
              <w:top w:w="28" w:type="dxa"/>
              <w:left w:w="60" w:type="dxa"/>
              <w:bottom w:w="28" w:type="dxa"/>
              <w:right w:w="0" w:type="dxa"/>
            </w:tcMar>
          </w:tcPr>
          <w:p w14:paraId="6B38FACF" w14:textId="77777777" w:rsidR="003E0148" w:rsidRDefault="00000000">
            <w:proofErr w:type="spellStart"/>
            <w:r>
              <w:rPr>
                <w:rFonts w:ascii="Calibri" w:eastAsia="Calibri" w:hAnsi="Calibri" w:cs="Calibri"/>
                <w:sz w:val="19"/>
                <w:szCs w:val="19"/>
              </w:rPr>
              <w:t>OpenTelemetry</w:t>
            </w:r>
            <w:proofErr w:type="spellEnd"/>
            <w:r>
              <w:rPr>
                <w:rFonts w:ascii="Calibri" w:eastAsia="Calibri" w:hAnsi="Calibri" w:cs="Calibri"/>
                <w:sz w:val="19"/>
                <w:szCs w:val="19"/>
              </w:rPr>
              <w:t xml:space="preserve">, Azure Monitor, Terraform, Docker, Jenkins, GitHub Actions, </w:t>
            </w:r>
            <w:proofErr w:type="spellStart"/>
            <w:r>
              <w:rPr>
                <w:rFonts w:ascii="Calibri" w:eastAsia="Calibri" w:hAnsi="Calibri" w:cs="Calibri"/>
                <w:sz w:val="19"/>
                <w:szCs w:val="19"/>
              </w:rPr>
              <w:t>MLflow</w:t>
            </w:r>
            <w:proofErr w:type="spellEnd"/>
            <w:r>
              <w:rPr>
                <w:rFonts w:ascii="Calibri" w:eastAsia="Calibri" w:hAnsi="Calibri" w:cs="Calibri"/>
                <w:sz w:val="19"/>
                <w:szCs w:val="19"/>
              </w:rPr>
              <w:t>, Power BI</w:t>
            </w:r>
          </w:p>
        </w:tc>
      </w:tr>
      <w:tr w:rsidR="003E0148" w14:paraId="33DF8318" w14:textId="77777777">
        <w:tblPrEx>
          <w:tblCellMar>
            <w:top w:w="0" w:type="dxa"/>
            <w:bottom w:w="0" w:type="dxa"/>
          </w:tblCellMar>
        </w:tblPrEx>
        <w:tc>
          <w:tcPr>
            <w:tcW w:w="2260" w:type="dxa"/>
            <w:tcBorders>
              <w:top w:val="none" w:sz="0" w:space="0" w:color="FFFFFF"/>
              <w:left w:val="none" w:sz="0" w:space="0" w:color="FFFFFF"/>
              <w:bottom w:val="none" w:sz="0" w:space="0" w:color="FFFFFF"/>
              <w:right w:val="none" w:sz="0" w:space="0" w:color="FFFFFF"/>
            </w:tcBorders>
            <w:tcMar>
              <w:top w:w="28" w:type="dxa"/>
              <w:left w:w="0" w:type="dxa"/>
              <w:bottom w:w="28" w:type="dxa"/>
              <w:right w:w="80" w:type="dxa"/>
            </w:tcMar>
          </w:tcPr>
          <w:p w14:paraId="484BE5FE" w14:textId="77777777" w:rsidR="003E0148" w:rsidRDefault="00000000">
            <w:r>
              <w:rPr>
                <w:rFonts w:ascii="Calibri" w:eastAsia="Calibri" w:hAnsi="Calibri" w:cs="Calibri"/>
                <w:b/>
                <w:bCs/>
                <w:sz w:val="19"/>
                <w:szCs w:val="19"/>
              </w:rPr>
              <w:t>Certifications:</w:t>
            </w:r>
          </w:p>
        </w:tc>
        <w:tc>
          <w:tcPr>
            <w:tcW w:w="7100" w:type="dxa"/>
            <w:tcBorders>
              <w:top w:val="none" w:sz="0" w:space="0" w:color="FFFFFF"/>
              <w:left w:val="none" w:sz="0" w:space="0" w:color="FFFFFF"/>
              <w:bottom w:val="none" w:sz="0" w:space="0" w:color="FFFFFF"/>
              <w:right w:val="none" w:sz="0" w:space="0" w:color="FFFFFF"/>
            </w:tcBorders>
            <w:tcMar>
              <w:top w:w="28" w:type="dxa"/>
              <w:left w:w="60" w:type="dxa"/>
              <w:bottom w:w="28" w:type="dxa"/>
              <w:right w:w="0" w:type="dxa"/>
            </w:tcMar>
          </w:tcPr>
          <w:p w14:paraId="22C327ED" w14:textId="77777777" w:rsidR="003E0148" w:rsidRDefault="00000000">
            <w:r>
              <w:rPr>
                <w:rFonts w:ascii="Calibri" w:eastAsia="Calibri" w:hAnsi="Calibri" w:cs="Calibri"/>
                <w:sz w:val="19"/>
                <w:szCs w:val="19"/>
              </w:rPr>
              <w:t>Databricks Data Engineer Associate, Databricks GenAI Engineer Associate, Azure Data Engineer DP-203, Azure Data Scientist DP-100</w:t>
            </w:r>
          </w:p>
        </w:tc>
      </w:tr>
    </w:tbl>
    <w:p w14:paraId="20B4FAF3" w14:textId="77777777" w:rsidR="003E0148" w:rsidRDefault="00000000">
      <w:pPr>
        <w:pBdr>
          <w:bottom w:val="single" w:sz="6" w:space="2" w:color="000000"/>
        </w:pBdr>
        <w:spacing w:before="150" w:after="60"/>
      </w:pPr>
      <w:r>
        <w:rPr>
          <w:rFonts w:ascii="Calibri" w:eastAsia="Calibri" w:hAnsi="Calibri" w:cs="Calibri"/>
          <w:b/>
          <w:bCs/>
          <w:sz w:val="22"/>
          <w:szCs w:val="22"/>
        </w:rPr>
        <w:t>WORK EXPERIENCE</w:t>
      </w:r>
    </w:p>
    <w:p w14:paraId="5A0BFDD7" w14:textId="77777777" w:rsidR="003E0148" w:rsidRDefault="00000000">
      <w:pPr>
        <w:tabs>
          <w:tab w:val="right" w:pos="9360"/>
        </w:tabs>
        <w:spacing w:before="100"/>
      </w:pPr>
      <w:r>
        <w:rPr>
          <w:rFonts w:ascii="Calibri" w:eastAsia="Calibri" w:hAnsi="Calibri" w:cs="Calibri"/>
          <w:b/>
          <w:bCs/>
          <w:szCs w:val="21"/>
        </w:rPr>
        <w:t>Data and Generative AI Engineer</w:t>
      </w:r>
      <w:r>
        <w:rPr>
          <w:rFonts w:ascii="Calibri" w:eastAsia="Calibri" w:hAnsi="Calibri" w:cs="Calibri"/>
          <w:szCs w:val="21"/>
        </w:rPr>
        <w:tab/>
      </w:r>
      <w:r>
        <w:rPr>
          <w:rFonts w:ascii="Calibri" w:eastAsia="Calibri" w:hAnsi="Calibri" w:cs="Calibri"/>
          <w:b/>
          <w:bCs/>
          <w:szCs w:val="21"/>
        </w:rPr>
        <w:t>Sept 2023 to Present</w:t>
      </w:r>
    </w:p>
    <w:p w14:paraId="1915F879" w14:textId="49189F6F" w:rsidR="003E0148" w:rsidRDefault="00000000">
      <w:pPr>
        <w:spacing w:after="48"/>
      </w:pPr>
      <w:r>
        <w:rPr>
          <w:rFonts w:ascii="Calibri" w:eastAsia="Calibri" w:hAnsi="Calibri" w:cs="Calibri"/>
          <w:b/>
          <w:bCs/>
          <w:sz w:val="20"/>
        </w:rPr>
        <w:t>Ci</w:t>
      </w:r>
      <w:r w:rsidR="000672C2">
        <w:rPr>
          <w:rFonts w:ascii="Calibri" w:eastAsia="Calibri" w:hAnsi="Calibri" w:cs="Calibri"/>
          <w:b/>
          <w:bCs/>
          <w:sz w:val="20"/>
        </w:rPr>
        <w:t xml:space="preserve">gna </w:t>
      </w:r>
      <w:proofErr w:type="gramStart"/>
      <w:r w:rsidR="000672C2">
        <w:rPr>
          <w:rFonts w:ascii="Calibri" w:eastAsia="Calibri" w:hAnsi="Calibri" w:cs="Calibri"/>
          <w:b/>
          <w:bCs/>
          <w:sz w:val="20"/>
        </w:rPr>
        <w:t>Healthcare</w:t>
      </w:r>
      <w:r>
        <w:rPr>
          <w:rFonts w:ascii="Calibri" w:eastAsia="Calibri" w:hAnsi="Calibri" w:cs="Calibri"/>
          <w:b/>
          <w:bCs/>
          <w:sz w:val="20"/>
        </w:rPr>
        <w:t xml:space="preserve">  |</w:t>
      </w:r>
      <w:proofErr w:type="gramEnd"/>
      <w:r>
        <w:rPr>
          <w:rFonts w:ascii="Calibri" w:eastAsia="Calibri" w:hAnsi="Calibri" w:cs="Calibri"/>
          <w:b/>
          <w:bCs/>
          <w:sz w:val="20"/>
        </w:rPr>
        <w:t xml:space="preserve">  Austin, TX</w:t>
      </w:r>
    </w:p>
    <w:p w14:paraId="7AEA0BDA" w14:textId="77777777" w:rsidR="003E0148" w:rsidRDefault="00000000">
      <w:pPr>
        <w:spacing w:after="44"/>
        <w:ind w:left="340" w:hanging="220"/>
      </w:pPr>
      <w:r>
        <w:rPr>
          <w:rFonts w:ascii="Calibri" w:eastAsia="Calibri" w:hAnsi="Calibri" w:cs="Calibri"/>
          <w:sz w:val="20"/>
        </w:rPr>
        <w:t xml:space="preserve">• Built and owns the end-to-end ETL pipeline in Databricks that processes Discover transaction data from Snowflake into Delta Lake, cutting pipeline refresh time by 65% and eliminating manual intervention that had been required on every weekly run. </w:t>
      </w:r>
      <w:proofErr w:type="spellStart"/>
      <w:r>
        <w:rPr>
          <w:rFonts w:ascii="Calibri" w:eastAsia="Calibri" w:hAnsi="Calibri" w:cs="Calibri"/>
          <w:sz w:val="20"/>
        </w:rPr>
        <w:t>PySpark</w:t>
      </w:r>
      <w:proofErr w:type="spellEnd"/>
      <w:r>
        <w:rPr>
          <w:rFonts w:ascii="Calibri" w:eastAsia="Calibri" w:hAnsi="Calibri" w:cs="Calibri"/>
          <w:sz w:val="20"/>
        </w:rPr>
        <w:t xml:space="preserve"> transformations and SQL handle all staging and aggregation logic with Delta Lake ACID transactions enforcing consistency across the full workflow.</w:t>
      </w:r>
    </w:p>
    <w:p w14:paraId="7FD5987C" w14:textId="77777777" w:rsidR="003E0148" w:rsidRDefault="00000000">
      <w:pPr>
        <w:spacing w:after="44"/>
        <w:ind w:left="340" w:hanging="220"/>
      </w:pPr>
      <w:r>
        <w:rPr>
          <w:rFonts w:ascii="Calibri" w:eastAsia="Calibri" w:hAnsi="Calibri" w:cs="Calibri"/>
          <w:sz w:val="20"/>
        </w:rPr>
        <w:t xml:space="preserve">• Engineered 50 plus behavioral and risk features using </w:t>
      </w:r>
      <w:proofErr w:type="spellStart"/>
      <w:r>
        <w:rPr>
          <w:rFonts w:ascii="Calibri" w:eastAsia="Calibri" w:hAnsi="Calibri" w:cs="Calibri"/>
          <w:sz w:val="20"/>
        </w:rPr>
        <w:t>PySpark</w:t>
      </w:r>
      <w:proofErr w:type="spellEnd"/>
      <w:r>
        <w:rPr>
          <w:rFonts w:ascii="Calibri" w:eastAsia="Calibri" w:hAnsi="Calibri" w:cs="Calibri"/>
          <w:sz w:val="20"/>
        </w:rPr>
        <w:t xml:space="preserve"> and SQL on top of the Delta Lake </w:t>
      </w:r>
      <w:proofErr w:type="spellStart"/>
      <w:r>
        <w:rPr>
          <w:rFonts w:ascii="Calibri" w:eastAsia="Calibri" w:hAnsi="Calibri" w:cs="Calibri"/>
          <w:sz w:val="20"/>
        </w:rPr>
        <w:t>lakehouse</w:t>
      </w:r>
      <w:proofErr w:type="spellEnd"/>
      <w:r>
        <w:rPr>
          <w:rFonts w:ascii="Calibri" w:eastAsia="Calibri" w:hAnsi="Calibri" w:cs="Calibri"/>
          <w:sz w:val="20"/>
        </w:rPr>
        <w:t xml:space="preserve">, improving model ROC-AUC by 15% across </w:t>
      </w:r>
      <w:proofErr w:type="spellStart"/>
      <w:r>
        <w:rPr>
          <w:rFonts w:ascii="Calibri" w:eastAsia="Calibri" w:hAnsi="Calibri" w:cs="Calibri"/>
          <w:sz w:val="20"/>
        </w:rPr>
        <w:t>backtests</w:t>
      </w:r>
      <w:proofErr w:type="spellEnd"/>
      <w:r>
        <w:rPr>
          <w:rFonts w:ascii="Calibri" w:eastAsia="Calibri" w:hAnsi="Calibri" w:cs="Calibri"/>
          <w:sz w:val="20"/>
        </w:rPr>
        <w:t xml:space="preserve">. Feature computation runs inside an Airflow DAG that also handles model retraining and </w:t>
      </w:r>
      <w:proofErr w:type="spellStart"/>
      <w:r>
        <w:rPr>
          <w:rFonts w:ascii="Calibri" w:eastAsia="Calibri" w:hAnsi="Calibri" w:cs="Calibri"/>
          <w:sz w:val="20"/>
        </w:rPr>
        <w:t>MLflow</w:t>
      </w:r>
      <w:proofErr w:type="spellEnd"/>
      <w:r>
        <w:rPr>
          <w:rFonts w:ascii="Calibri" w:eastAsia="Calibri" w:hAnsi="Calibri" w:cs="Calibri"/>
          <w:sz w:val="20"/>
        </w:rPr>
        <w:t xml:space="preserve"> tracking, reducing end-to-end data science workflow effort by 70%.</w:t>
      </w:r>
    </w:p>
    <w:p w14:paraId="4047DBA3" w14:textId="77777777" w:rsidR="003E0148" w:rsidRDefault="00000000">
      <w:pPr>
        <w:spacing w:after="44"/>
        <w:ind w:left="340" w:hanging="220"/>
      </w:pPr>
      <w:r>
        <w:rPr>
          <w:rFonts w:ascii="Calibri" w:eastAsia="Calibri" w:hAnsi="Calibri" w:cs="Calibri"/>
          <w:sz w:val="20"/>
        </w:rPr>
        <w:t xml:space="preserve">• Enforced pipeline data quality using Great Expectations validators and </w:t>
      </w:r>
      <w:proofErr w:type="spellStart"/>
      <w:r>
        <w:rPr>
          <w:rFonts w:ascii="Calibri" w:eastAsia="Calibri" w:hAnsi="Calibri" w:cs="Calibri"/>
          <w:sz w:val="20"/>
        </w:rPr>
        <w:t>PySpark</w:t>
      </w:r>
      <w:proofErr w:type="spellEnd"/>
      <w:r>
        <w:rPr>
          <w:rFonts w:ascii="Calibri" w:eastAsia="Calibri" w:hAnsi="Calibri" w:cs="Calibri"/>
          <w:sz w:val="20"/>
        </w:rPr>
        <w:t xml:space="preserve"> schema checks at every ingestion boundary, reducing data inconsistencies by nearly 30%. Added </w:t>
      </w:r>
      <w:proofErr w:type="spellStart"/>
      <w:r>
        <w:rPr>
          <w:rFonts w:ascii="Calibri" w:eastAsia="Calibri" w:hAnsi="Calibri" w:cs="Calibri"/>
          <w:sz w:val="20"/>
        </w:rPr>
        <w:t>Deequ</w:t>
      </w:r>
      <w:proofErr w:type="spellEnd"/>
      <w:r>
        <w:rPr>
          <w:rFonts w:ascii="Calibri" w:eastAsia="Calibri" w:hAnsi="Calibri" w:cs="Calibri"/>
          <w:sz w:val="20"/>
        </w:rPr>
        <w:t xml:space="preserve"> constraint checks on the Databricks side to catch structural drift in upstream Snowflake feeds before they reached the feature store.</w:t>
      </w:r>
    </w:p>
    <w:p w14:paraId="1FC1C92B" w14:textId="77777777" w:rsidR="003E0148" w:rsidRDefault="00000000">
      <w:pPr>
        <w:spacing w:after="44"/>
        <w:ind w:left="340" w:hanging="220"/>
      </w:pPr>
      <w:r>
        <w:rPr>
          <w:rFonts w:ascii="Calibri" w:eastAsia="Calibri" w:hAnsi="Calibri" w:cs="Calibri"/>
          <w:sz w:val="20"/>
        </w:rPr>
        <w:t>• Built the ingestion pipeline in Azure to extract, chunk, and process 50K plus Toyota supplier PDFs stored in Azure Data Lake Gen2, handling unstructured document ingestion at a scale where manual processing was not viable. The pipeline feeds a RAG workflow connecting Azure Cognitive Search with GPT-4 Turbo to deliver fact-grounded supplier insights on demand.</w:t>
      </w:r>
    </w:p>
    <w:p w14:paraId="684F3F00" w14:textId="77777777" w:rsidR="003E0148" w:rsidRDefault="00000000">
      <w:pPr>
        <w:spacing w:after="44"/>
        <w:ind w:left="340" w:hanging="220"/>
      </w:pPr>
      <w:r>
        <w:rPr>
          <w:rFonts w:ascii="Calibri" w:eastAsia="Calibri" w:hAnsi="Calibri" w:cs="Calibri"/>
          <w:sz w:val="20"/>
        </w:rPr>
        <w:t xml:space="preserve">• Deployed a </w:t>
      </w:r>
      <w:proofErr w:type="spellStart"/>
      <w:r>
        <w:rPr>
          <w:rFonts w:ascii="Calibri" w:eastAsia="Calibri" w:hAnsi="Calibri" w:cs="Calibri"/>
          <w:sz w:val="20"/>
        </w:rPr>
        <w:t>FastAPI</w:t>
      </w:r>
      <w:proofErr w:type="spellEnd"/>
      <w:r>
        <w:rPr>
          <w:rFonts w:ascii="Calibri" w:eastAsia="Calibri" w:hAnsi="Calibri" w:cs="Calibri"/>
          <w:sz w:val="20"/>
        </w:rPr>
        <w:t xml:space="preserve"> inference microservice on AWS ECS sustaining 1K RPS at sub-200ms latency under production load, with </w:t>
      </w:r>
      <w:proofErr w:type="spellStart"/>
      <w:r>
        <w:rPr>
          <w:rFonts w:ascii="Calibri" w:eastAsia="Calibri" w:hAnsi="Calibri" w:cs="Calibri"/>
          <w:sz w:val="20"/>
        </w:rPr>
        <w:t>OpenTelemetry</w:t>
      </w:r>
      <w:proofErr w:type="spellEnd"/>
      <w:r>
        <w:rPr>
          <w:rFonts w:ascii="Calibri" w:eastAsia="Calibri" w:hAnsi="Calibri" w:cs="Calibri"/>
          <w:sz w:val="20"/>
        </w:rPr>
        <w:t xml:space="preserve"> distributed tracing and Azure Monitor providing end-to-end observability. Key Vault RBAC enforced access control across all pipeline secrets and service credentials.</w:t>
      </w:r>
    </w:p>
    <w:p w14:paraId="4330CEAC" w14:textId="77777777" w:rsidR="003E0148" w:rsidRDefault="00000000">
      <w:pPr>
        <w:spacing w:after="44"/>
        <w:ind w:left="340" w:hanging="220"/>
        <w:rPr>
          <w:rFonts w:ascii="Calibri" w:eastAsia="Calibri" w:hAnsi="Calibri" w:cs="Calibri"/>
          <w:sz w:val="20"/>
        </w:rPr>
      </w:pPr>
      <w:r>
        <w:rPr>
          <w:rFonts w:ascii="Calibri" w:eastAsia="Calibri" w:hAnsi="Calibri" w:cs="Calibri"/>
          <w:sz w:val="20"/>
        </w:rPr>
        <w:t xml:space="preserve">• Containerized and deployed the </w:t>
      </w:r>
      <w:proofErr w:type="spellStart"/>
      <w:r>
        <w:rPr>
          <w:rFonts w:ascii="Calibri" w:eastAsia="Calibri" w:hAnsi="Calibri" w:cs="Calibri"/>
          <w:sz w:val="20"/>
        </w:rPr>
        <w:t>FastAPI</w:t>
      </w:r>
      <w:proofErr w:type="spellEnd"/>
      <w:r>
        <w:rPr>
          <w:rFonts w:ascii="Calibri" w:eastAsia="Calibri" w:hAnsi="Calibri" w:cs="Calibri"/>
          <w:sz w:val="20"/>
        </w:rPr>
        <w:t xml:space="preserve"> inference service on Azure Kubernetes Service, reducing query latency by 40% compared to the previous serverless deployment. SHAP </w:t>
      </w:r>
      <w:proofErr w:type="spellStart"/>
      <w:r>
        <w:rPr>
          <w:rFonts w:ascii="Calibri" w:eastAsia="Calibri" w:hAnsi="Calibri" w:cs="Calibri"/>
          <w:sz w:val="20"/>
        </w:rPr>
        <w:t>TreeExplainer</w:t>
      </w:r>
      <w:proofErr w:type="spellEnd"/>
      <w:r>
        <w:rPr>
          <w:rFonts w:ascii="Calibri" w:eastAsia="Calibri" w:hAnsi="Calibri" w:cs="Calibri"/>
          <w:sz w:val="20"/>
        </w:rPr>
        <w:t xml:space="preserve"> integrated with FAISS retrieval enabled on-demand GenAI Q&amp;A with explainable risk insights surfaced directly to business stakeholders.</w:t>
      </w:r>
    </w:p>
    <w:p w14:paraId="65F07198" w14:textId="77777777" w:rsidR="00D20B8A" w:rsidRDefault="00D20B8A">
      <w:pPr>
        <w:spacing w:after="44"/>
        <w:ind w:left="340" w:hanging="220"/>
        <w:rPr>
          <w:rFonts w:ascii="Calibri" w:eastAsia="Calibri" w:hAnsi="Calibri" w:cs="Calibri"/>
          <w:sz w:val="20"/>
        </w:rPr>
      </w:pPr>
    </w:p>
    <w:p w14:paraId="20975F08" w14:textId="77777777" w:rsidR="00D20B8A" w:rsidRDefault="00D20B8A">
      <w:pPr>
        <w:spacing w:after="44"/>
        <w:ind w:left="340" w:hanging="220"/>
        <w:rPr>
          <w:rFonts w:ascii="Calibri" w:eastAsia="Calibri" w:hAnsi="Calibri" w:cs="Calibri"/>
          <w:sz w:val="20"/>
        </w:rPr>
      </w:pPr>
    </w:p>
    <w:p w14:paraId="3C3C78C0" w14:textId="77777777" w:rsidR="00D20B8A" w:rsidRDefault="00D20B8A">
      <w:pPr>
        <w:spacing w:after="44"/>
        <w:ind w:left="340" w:hanging="220"/>
      </w:pPr>
    </w:p>
    <w:p w14:paraId="427576FF" w14:textId="074CB3E5" w:rsidR="003E0148" w:rsidRDefault="00000000">
      <w:pPr>
        <w:tabs>
          <w:tab w:val="right" w:pos="9360"/>
        </w:tabs>
        <w:spacing w:before="110"/>
      </w:pPr>
      <w:r>
        <w:rPr>
          <w:rFonts w:ascii="Calibri" w:eastAsia="Calibri" w:hAnsi="Calibri" w:cs="Calibri"/>
          <w:b/>
          <w:bCs/>
          <w:szCs w:val="21"/>
        </w:rPr>
        <w:lastRenderedPageBreak/>
        <w:t>Data Engineer</w:t>
      </w:r>
      <w:r>
        <w:rPr>
          <w:rFonts w:ascii="Calibri" w:eastAsia="Calibri" w:hAnsi="Calibri" w:cs="Calibri"/>
          <w:szCs w:val="21"/>
        </w:rPr>
        <w:tab/>
      </w:r>
      <w:r>
        <w:rPr>
          <w:rFonts w:ascii="Calibri" w:eastAsia="Calibri" w:hAnsi="Calibri" w:cs="Calibri"/>
          <w:b/>
          <w:bCs/>
          <w:szCs w:val="21"/>
        </w:rPr>
        <w:t>Mar 20</w:t>
      </w:r>
      <w:r w:rsidR="00080444">
        <w:rPr>
          <w:rFonts w:ascii="Calibri" w:eastAsia="Calibri" w:hAnsi="Calibri" w:cs="Calibri"/>
          <w:b/>
          <w:bCs/>
          <w:szCs w:val="21"/>
        </w:rPr>
        <w:t>19</w:t>
      </w:r>
      <w:r>
        <w:rPr>
          <w:rFonts w:ascii="Calibri" w:eastAsia="Calibri" w:hAnsi="Calibri" w:cs="Calibri"/>
          <w:b/>
          <w:bCs/>
          <w:szCs w:val="21"/>
        </w:rPr>
        <w:t xml:space="preserve"> to Aug 2022</w:t>
      </w:r>
    </w:p>
    <w:p w14:paraId="2F62FEA9" w14:textId="5C5FA3B0" w:rsidR="003E0148" w:rsidRDefault="000672C2">
      <w:pPr>
        <w:spacing w:after="48"/>
      </w:pPr>
      <w:r>
        <w:rPr>
          <w:rFonts w:ascii="Calibri" w:eastAsia="Calibri" w:hAnsi="Calibri" w:cs="Calibri"/>
          <w:b/>
          <w:bCs/>
          <w:sz w:val="20"/>
        </w:rPr>
        <w:t xml:space="preserve">Citi </w:t>
      </w:r>
      <w:proofErr w:type="gramStart"/>
      <w:r>
        <w:rPr>
          <w:rFonts w:ascii="Calibri" w:eastAsia="Calibri" w:hAnsi="Calibri" w:cs="Calibri"/>
          <w:b/>
          <w:bCs/>
          <w:sz w:val="20"/>
        </w:rPr>
        <w:t>Bank</w:t>
      </w:r>
      <w:r w:rsidR="00000000">
        <w:rPr>
          <w:rFonts w:ascii="Calibri" w:eastAsia="Calibri" w:hAnsi="Calibri" w:cs="Calibri"/>
          <w:b/>
          <w:bCs/>
          <w:sz w:val="20"/>
        </w:rPr>
        <w:t xml:space="preserve">  |</w:t>
      </w:r>
      <w:proofErr w:type="gramEnd"/>
      <w:r w:rsidR="00000000">
        <w:rPr>
          <w:rFonts w:ascii="Calibri" w:eastAsia="Calibri" w:hAnsi="Calibri" w:cs="Calibri"/>
          <w:b/>
          <w:bCs/>
          <w:sz w:val="20"/>
        </w:rPr>
        <w:t xml:space="preserve">  Hyderabad, India</w:t>
      </w:r>
    </w:p>
    <w:p w14:paraId="03D07410" w14:textId="77777777" w:rsidR="003E0148" w:rsidRDefault="00000000">
      <w:pPr>
        <w:spacing w:after="44"/>
        <w:ind w:left="340" w:hanging="220"/>
      </w:pPr>
      <w:r>
        <w:rPr>
          <w:rFonts w:ascii="Calibri" w:eastAsia="Calibri" w:hAnsi="Calibri" w:cs="Calibri"/>
          <w:sz w:val="20"/>
        </w:rPr>
        <w:t>• Migrated ten plus years of healthcare EHR and claims data to Azure Data Lake Gen2, designing ADF pipelines with parallel copy, watermarking, and automated retries that accelerated ingestion by 45% and improved data platform reliability by 40%. Every migration batch enforced HIPAA compliance through PHI masking, encryption, and dynamic audit policies baked into the pipeline itself.</w:t>
      </w:r>
    </w:p>
    <w:p w14:paraId="6F01350B" w14:textId="77777777" w:rsidR="003E0148" w:rsidRDefault="00000000">
      <w:pPr>
        <w:spacing w:after="44"/>
        <w:ind w:left="340" w:hanging="220"/>
      </w:pPr>
      <w:r>
        <w:rPr>
          <w:rFonts w:ascii="Calibri" w:eastAsia="Calibri" w:hAnsi="Calibri" w:cs="Calibri"/>
          <w:sz w:val="20"/>
        </w:rPr>
        <w:t xml:space="preserve">• Optimized </w:t>
      </w:r>
      <w:proofErr w:type="spellStart"/>
      <w:r>
        <w:rPr>
          <w:rFonts w:ascii="Calibri" w:eastAsia="Calibri" w:hAnsi="Calibri" w:cs="Calibri"/>
          <w:sz w:val="20"/>
        </w:rPr>
        <w:t>PySpark</w:t>
      </w:r>
      <w:proofErr w:type="spellEnd"/>
      <w:r>
        <w:rPr>
          <w:rFonts w:ascii="Calibri" w:eastAsia="Calibri" w:hAnsi="Calibri" w:cs="Calibri"/>
          <w:sz w:val="20"/>
        </w:rPr>
        <w:t xml:space="preserve"> transformations across the healthcare data platform using Adaptive Query Execution, broadcast joins, and partition pruning, cutting ETL runtime by over 50%. Built an automated checksum and reconciliation framework that validated every batch end-to-end, achieving zero data loss across the full migration window.</w:t>
      </w:r>
    </w:p>
    <w:p w14:paraId="638CAEBB" w14:textId="77777777" w:rsidR="00D20B8A" w:rsidRDefault="00000000" w:rsidP="00D20B8A">
      <w:pPr>
        <w:spacing w:after="44"/>
        <w:ind w:left="340" w:hanging="220"/>
        <w:rPr>
          <w:rFonts w:ascii="Calibri" w:eastAsia="Calibri" w:hAnsi="Calibri" w:cs="Calibri"/>
          <w:b/>
          <w:bCs/>
          <w:szCs w:val="21"/>
        </w:rPr>
      </w:pPr>
      <w:r>
        <w:rPr>
          <w:rFonts w:ascii="Calibri" w:eastAsia="Calibri" w:hAnsi="Calibri" w:cs="Calibri"/>
          <w:sz w:val="20"/>
        </w:rPr>
        <w:t>• Improved data accuracy to 100% by enforcing Delta Lake ACID transactions and schema validation across all ingestion pipelines, eliminating silent data corruption issues that had been affecting downstream reporting. Power BI dashboards built on curated Delta tables delivered real-time patient analytics and reduced report delivery time by 60%.</w:t>
      </w:r>
    </w:p>
    <w:p w14:paraId="25239386" w14:textId="0B62ACD2" w:rsidR="003E0148" w:rsidRDefault="00000000" w:rsidP="00D20B8A">
      <w:pPr>
        <w:spacing w:after="44"/>
        <w:ind w:left="340" w:hanging="220"/>
      </w:pPr>
      <w:r>
        <w:rPr>
          <w:rFonts w:ascii="Calibri" w:eastAsia="Calibri" w:hAnsi="Calibri" w:cs="Calibri"/>
          <w:sz w:val="20"/>
        </w:rPr>
        <w:t>• Owned data collection, cleaning, and reporting workflows for the organization's student outreach and program effectiveness tracking, building Python and SQL pipelines that consolidated data from multiple flat file sources and databases into a single reporting layer. Designed Power BI dashboards that gave program managers direct visibility into enrollment trends, dropout rates, and geographic reach across active initiatives.</w:t>
      </w:r>
    </w:p>
    <w:p w14:paraId="60DF4ACD" w14:textId="77777777" w:rsidR="003E0148" w:rsidRDefault="00000000">
      <w:pPr>
        <w:spacing w:after="44"/>
        <w:ind w:left="340" w:hanging="220"/>
      </w:pPr>
      <w:r>
        <w:rPr>
          <w:rFonts w:ascii="Calibri" w:eastAsia="Calibri" w:hAnsi="Calibri" w:cs="Calibri"/>
          <w:sz w:val="20"/>
        </w:rPr>
        <w:t>• Built and maintained ETL pipelines processing structured and unstructured data from surveys, Excel submissions, and API-based third-party sources, enforcing schema validation and automated reconciliation checks to ensure data consistency across reporting cycles. Reduced manual data preparation effort significantly by automating repetitive ingestion and transformation tasks that had previously consumed most of the analytics workflow.</w:t>
      </w:r>
    </w:p>
    <w:p w14:paraId="7145937B" w14:textId="77777777" w:rsidR="003E0148" w:rsidRDefault="00000000">
      <w:pPr>
        <w:spacing w:after="44"/>
        <w:ind w:left="340" w:hanging="220"/>
      </w:pPr>
      <w:r>
        <w:rPr>
          <w:rFonts w:ascii="Calibri" w:eastAsia="Calibri" w:hAnsi="Calibri" w:cs="Calibri"/>
          <w:sz w:val="20"/>
        </w:rPr>
        <w:t>• Analyzed program outcome data using Python and SQL to surface insights on student performance and resource allocation, producing reports that directly informed funding decisions and program prioritization for NGO leadership. Gained foundational experience in data quality practices and pipeline ownership that carried directly into production-scale engineering work at Suneratech.</w:t>
      </w:r>
    </w:p>
    <w:p w14:paraId="1537BCF0" w14:textId="77777777" w:rsidR="003E0148" w:rsidRDefault="00000000">
      <w:pPr>
        <w:pBdr>
          <w:bottom w:val="single" w:sz="6" w:space="2" w:color="000000"/>
        </w:pBdr>
        <w:spacing w:before="150" w:after="60"/>
      </w:pPr>
      <w:r>
        <w:rPr>
          <w:rFonts w:ascii="Calibri" w:eastAsia="Calibri" w:hAnsi="Calibri" w:cs="Calibri"/>
          <w:b/>
          <w:bCs/>
          <w:sz w:val="22"/>
          <w:szCs w:val="22"/>
        </w:rPr>
        <w:t>EDUCATION</w:t>
      </w:r>
    </w:p>
    <w:p w14:paraId="1658025B" w14:textId="77777777" w:rsidR="003E0148" w:rsidRDefault="00000000">
      <w:pPr>
        <w:spacing w:before="46"/>
      </w:pPr>
      <w:r>
        <w:rPr>
          <w:rFonts w:ascii="Calibri" w:eastAsia="Calibri" w:hAnsi="Calibri" w:cs="Calibri"/>
          <w:sz w:val="20"/>
        </w:rPr>
        <w:t xml:space="preserve">Master's in Computer Information </w:t>
      </w:r>
      <w:proofErr w:type="gramStart"/>
      <w:r>
        <w:rPr>
          <w:rFonts w:ascii="Calibri" w:eastAsia="Calibri" w:hAnsi="Calibri" w:cs="Calibri"/>
          <w:sz w:val="20"/>
        </w:rPr>
        <w:t>Science  |</w:t>
      </w:r>
      <w:proofErr w:type="gramEnd"/>
      <w:r>
        <w:rPr>
          <w:rFonts w:ascii="Calibri" w:eastAsia="Calibri" w:hAnsi="Calibri" w:cs="Calibri"/>
          <w:sz w:val="20"/>
        </w:rPr>
        <w:t xml:space="preserve">  Saint Louis University, MO</w:t>
      </w:r>
    </w:p>
    <w:sectPr w:rsidR="003E0148">
      <w:pgSz w:w="12240" w:h="15840"/>
      <w:pgMar w:top="680" w:right="960" w:bottom="680" w:left="9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FFFFFFFF"/>
    <w:lvl w:ilvl="0" w:tplc="C7BAC802" w:tentative="1">
      <w:start w:val="1"/>
      <w:numFmt w:val="bullet"/>
      <w:lvlText w:val="●"/>
      <w:lvlJc w:val="left"/>
      <w:pPr>
        <w:ind w:left="720" w:hanging="360"/>
      </w:pPr>
    </w:lvl>
    <w:lvl w:ilvl="1" w:tplc="98FEC300" w:tentative="1">
      <w:start w:val="1"/>
      <w:numFmt w:val="bullet"/>
      <w:lvlText w:val="○"/>
      <w:lvlJc w:val="left"/>
      <w:pPr>
        <w:ind w:left="1440" w:hanging="360"/>
      </w:pPr>
    </w:lvl>
    <w:lvl w:ilvl="2" w:tplc="54C22194" w:tentative="1">
      <w:start w:val="1"/>
      <w:numFmt w:val="bullet"/>
      <w:lvlText w:val="■"/>
      <w:lvlJc w:val="left"/>
      <w:pPr>
        <w:ind w:left="2160" w:hanging="360"/>
      </w:pPr>
    </w:lvl>
    <w:lvl w:ilvl="3" w:tplc="9A24FFE4" w:tentative="1">
      <w:start w:val="1"/>
      <w:numFmt w:val="bullet"/>
      <w:lvlText w:val="●"/>
      <w:lvlJc w:val="left"/>
      <w:pPr>
        <w:ind w:left="2880" w:hanging="360"/>
      </w:pPr>
    </w:lvl>
    <w:lvl w:ilvl="4" w:tplc="6E3A37E0" w:tentative="1">
      <w:start w:val="1"/>
      <w:numFmt w:val="bullet"/>
      <w:lvlText w:val="○"/>
      <w:lvlJc w:val="left"/>
      <w:pPr>
        <w:ind w:left="3600" w:hanging="360"/>
      </w:pPr>
    </w:lvl>
    <w:lvl w:ilvl="5" w:tplc="136C71A4" w:tentative="1">
      <w:start w:val="1"/>
      <w:numFmt w:val="bullet"/>
      <w:lvlText w:val="■"/>
      <w:lvlJc w:val="left"/>
      <w:pPr>
        <w:ind w:left="4320" w:hanging="360"/>
      </w:pPr>
    </w:lvl>
    <w:lvl w:ilvl="6" w:tplc="18BEA096" w:tentative="1">
      <w:start w:val="1"/>
      <w:numFmt w:val="bullet"/>
      <w:lvlText w:val="●"/>
      <w:lvlJc w:val="left"/>
      <w:pPr>
        <w:ind w:left="5040" w:hanging="360"/>
      </w:pPr>
    </w:lvl>
    <w:lvl w:ilvl="7" w:tplc="2B06FF04" w:tentative="1">
      <w:start w:val="1"/>
      <w:numFmt w:val="bullet"/>
      <w:lvlText w:val="●"/>
      <w:lvlJc w:val="left"/>
      <w:pPr>
        <w:ind w:left="5760" w:hanging="360"/>
      </w:pPr>
    </w:lvl>
    <w:lvl w:ilvl="8" w:tplc="D7AEE760" w:tentative="1">
      <w:start w:val="1"/>
      <w:numFmt w:val="bullet"/>
      <w:lvlText w:val="●"/>
      <w:lvlJc w:val="left"/>
      <w:pPr>
        <w:ind w:left="6480" w:hanging="360"/>
      </w:pPr>
    </w:lvl>
  </w:abstractNum>
  <w:num w:numId="1" w16cid:durableId="8224773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148"/>
    <w:rsid w:val="000672C2"/>
    <w:rsid w:val="00080444"/>
    <w:rsid w:val="003E0148"/>
    <w:rsid w:val="00443CF7"/>
    <w:rsid w:val="00D20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6530C"/>
  <w15:docId w15:val="{99692117-F56F-4E77-8444-CBD6E6FE8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Heading11">
    <w:name w:val="Heading 11"/>
    <w:qFormat/>
    <w:rPr>
      <w:color w:val="2E74B5"/>
      <w:sz w:val="32"/>
      <w:szCs w:val="32"/>
    </w:rPr>
  </w:style>
  <w:style w:type="paragraph" w:customStyle="1" w:styleId="Heading21">
    <w:name w:val="Heading 21"/>
    <w:qFormat/>
    <w:rPr>
      <w:color w:val="2E74B5"/>
      <w:sz w:val="26"/>
      <w:szCs w:val="26"/>
    </w:rPr>
  </w:style>
  <w:style w:type="paragraph" w:customStyle="1" w:styleId="Heading31">
    <w:name w:val="Heading 31"/>
    <w:qFormat/>
    <w:rPr>
      <w:color w:val="1F4D78"/>
      <w:sz w:val="24"/>
      <w:szCs w:val="24"/>
    </w:rPr>
  </w:style>
  <w:style w:type="paragraph" w:customStyle="1" w:styleId="Heading41">
    <w:name w:val="Heading 41"/>
    <w:qFormat/>
    <w:rPr>
      <w:i/>
      <w:iCs/>
      <w:color w:val="2E74B5"/>
    </w:rPr>
  </w:style>
  <w:style w:type="paragraph" w:customStyle="1" w:styleId="Heading51">
    <w:name w:val="Heading 51"/>
    <w:qFormat/>
    <w:rPr>
      <w:color w:val="2E74B5"/>
    </w:rPr>
  </w:style>
  <w:style w:type="paragraph" w:customStyle="1" w:styleId="Heading61">
    <w:name w:val="Heading 61"/>
    <w:qFormat/>
    <w:rPr>
      <w:color w:val="1F4D78"/>
    </w:rPr>
  </w:style>
  <w:style w:type="paragraph" w:customStyle="1" w:styleId="Strong27bc3764-fa80-4821-b20a-9adb361e6009">
    <w:name w:val="Strong_27bc3764-fa80-4821-b20a-9adb361e6009"/>
    <w:qFormat/>
    <w:rPr>
      <w:b/>
      <w:bCs/>
    </w:rPr>
  </w:style>
  <w:style w:type="paragraph" w:styleId="ListParagraph">
    <w:name w:val="List Paragraph"/>
    <w:qFormat/>
  </w:style>
  <w:style w:type="character" w:styleId="Hyperlink">
    <w:name w:val="Hyperlink"/>
    <w:uiPriority w:val="99"/>
    <w:rPr>
      <w:color w:val="0563C1"/>
      <w:u w:val="single"/>
    </w:rPr>
  </w:style>
  <w:style w:type="character" w:styleId="FootnoteReference">
    <w:name w:val="footnote reference"/>
    <w:uiPriority w:val="99"/>
    <w:rPr>
      <w:vertAlign w:val="superscript"/>
    </w:rPr>
  </w:style>
  <w:style w:type="paragraph" w:styleId="FootnoteText">
    <w:name w:val="footnote text"/>
    <w:link w:val="FootnoteTextChar"/>
    <w:uiPriority w:val="99"/>
  </w:style>
  <w:style w:type="character" w:customStyle="1" w:styleId="FootnoteTextChar">
    <w:name w:val="Footnote Text Char"/>
    <w:link w:val="FootnoteText"/>
    <w:uiPriority w:val="99"/>
    <w:rPr>
      <w:sz w:val="20"/>
      <w:szCs w:val="20"/>
    </w:rPr>
  </w:style>
  <w:style w:type="character" w:styleId="EndnoteReference">
    <w:name w:val="endnote reference"/>
    <w:uiPriority w:val="99"/>
    <w:rPr>
      <w:vertAlign w:val="superscript"/>
    </w:rPr>
  </w:style>
  <w:style w:type="paragraph" w:styleId="EndnoteText">
    <w:name w:val="endnote text"/>
    <w:link w:val="EndnoteTextChar"/>
    <w:uiPriority w:val="99"/>
  </w:style>
  <w:style w:type="character" w:customStyle="1" w:styleId="EndnoteTextChar">
    <w:name w:val="Endnote Text Char"/>
    <w:link w:val="EndnoteText"/>
    <w:uiPriority w:val="9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975</Words>
  <Characters>5563</Characters>
  <Application>Microsoft Office Word</Application>
  <DocSecurity>0</DocSecurity>
  <Lines>46</Lines>
  <Paragraphs>13</Paragraphs>
  <ScaleCrop>false</ScaleCrop>
  <Company/>
  <LinksUpToDate>false</LinksUpToDate>
  <CharactersWithSpaces>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Try GU3ss</cp:lastModifiedBy>
  <cp:revision>4</cp:revision>
  <dcterms:created xsi:type="dcterms:W3CDTF">2026-06-01T19:39:00Z</dcterms:created>
  <dcterms:modified xsi:type="dcterms:W3CDTF">2026-06-17T14:55:00Z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cf2a1e11956b41c194796c127a6e3c13_23</vt:lpwstr>
  </property>
  <property fmtid="{D5CDD505-2E9C-101B-9397-08002B2CF9AE}" pid="3" name="GrammarlyDocumentId">
    <vt:lpwstr>5700afac-49e4-42cd-b1c9-089986aae785</vt:lpwstr>
  </property>
</Properties>
</file>