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E8023A5">
      <w:pPr>
        <w:pStyle w:val="GvdeMetnititle"/>
        <w:jc w:val="center"/>
        <w:rPr>
          <w:b/>
        </w:rPr>
      </w:pPr>
      <w:r>
        <w:rPr>
          <w:rFonts w:ascii="Times New Roman;serif" w:hAnsi="Times New Roman;serif" w:eastAsia="Times New Roman;serif" w:cs="Times New Roman;serif"/>
          <w:b/>
          <w:bCs/>
          <w:sz w:val="28"/>
          <w:szCs w:val="28"/>
        </w:rPr>
        <w:t>C++ Ortamında Konteyner Servis Yapılandırmalarının Güvenli Round-Trip Düzenlenmesi</w:t>
      </w:r>
    </w:p>
    <w:p w14:paraId="16AD2F08">
      <w:pPr>
        <w:pStyle w:val="GvdeMetnisubtitle"/>
        <w:jc w:val="center"/>
        <w:rPr>
          <w:i/>
        </w:rPr>
      </w:pPr>
      <w:r>
        <w:rPr>
          <w:rFonts w:ascii="Times New Roman;serif" w:hAnsi="Times New Roman;serif" w:eastAsia="Times New Roman;serif" w:cs="Times New Roman;serif"/>
          <w:i/>
          <w:iCs/>
          <w:sz w:val="24"/>
          <w:szCs w:val="24"/>
        </w:rPr>
        <w:t>Safe Round-Trip Editing of Container Service Configurations in C++</w:t>
      </w:r>
    </w:p>
    <w:p w14:paraId="67A743DE">
      <w:pPr>
        <w:pStyle w:val="GvdeMetniauthors"/>
        <w:jc w:val="center"/>
      </w:pPr>
      <w:r>
        <w:rPr>
          <w:rFonts w:ascii="Times New Roman;serif" w:hAnsi="Times New Roman;serif" w:eastAsia="Times New Roman;serif" w:cs="Times New Roman;serif"/>
          <w:sz w:val="24"/>
          <w:szCs w:val="24"/>
        </w:rPr>
        <w:t>Esila Şahin</w:t>
      </w:r>
      <w:r>
        <w:rPr>
          <w:rFonts w:ascii="Times New Roman;serif" w:hAnsi="Times New Roman;serif" w:eastAsia="Times New Roman;serif" w:cs="Times New Roman;serif"/>
          <w:position w:val="8"/>
          <w:sz w:val="19"/>
          <w:szCs w:val="24"/>
        </w:rPr>
        <w:t>*,1</w:t>
      </w:r>
      <w:r>
        <w:rPr>
          <w:rFonts w:ascii="Times New Roman;serif" w:hAnsi="Times New Roman;serif" w:eastAsia="Times New Roman;serif" w:cs="Times New Roman;serif"/>
          <w:sz w:val="24"/>
          <w:szCs w:val="24"/>
        </w:rPr>
        <w:t>, Ömer Yıldız</w:t>
      </w:r>
      <w:r>
        <w:rPr>
          <w:rFonts w:ascii="Times New Roman;serif" w:hAnsi="Times New Roman;serif" w:eastAsia="Times New Roman;serif" w:cs="Times New Roman;serif"/>
          <w:position w:val="8"/>
          <w:sz w:val="19"/>
          <w:szCs w:val="24"/>
        </w:rPr>
        <w:t>2</w:t>
      </w:r>
      <w:r>
        <w:rPr>
          <w:rFonts w:ascii="Times New Roman;serif" w:hAnsi="Times New Roman;serif" w:eastAsia="Times New Roman;serif" w:cs="Times New Roman;serif"/>
          <w:sz w:val="24"/>
          <w:szCs w:val="24"/>
        </w:rPr>
        <w:t>, Mehmet Berk Kartal</w:t>
      </w:r>
      <w:r>
        <w:rPr>
          <w:rFonts w:ascii="Times New Roman;serif" w:hAnsi="Times New Roman;serif" w:eastAsia="Times New Roman;serif" w:cs="Times New Roman;serif"/>
          <w:position w:val="8"/>
          <w:sz w:val="19"/>
          <w:szCs w:val="24"/>
        </w:rPr>
        <w:t>3</w:t>
      </w:r>
      <w:r>
        <w:rPr>
          <w:rFonts w:ascii="Times New Roman;serif" w:hAnsi="Times New Roman;serif" w:eastAsia="Times New Roman;serif" w:cs="Times New Roman;serif"/>
          <w:sz w:val="24"/>
          <w:szCs w:val="24"/>
        </w:rPr>
        <w:t>, Ahmet Batuhan Canlı</w:t>
      </w:r>
      <w:r>
        <w:rPr>
          <w:rFonts w:ascii="Times New Roman;serif" w:hAnsi="Times New Roman;serif" w:eastAsia="Times New Roman;serif" w:cs="Times New Roman;serif"/>
          <w:position w:val="8"/>
          <w:sz w:val="19"/>
          <w:szCs w:val="24"/>
        </w:rPr>
        <w:t>4</w:t>
      </w:r>
      <w:r>
        <w:rPr>
          <w:rFonts w:ascii="Times New Roman;serif" w:hAnsi="Times New Roman;serif" w:eastAsia="Times New Roman;serif" w:cs="Times New Roman;serif"/>
          <w:sz w:val="24"/>
          <w:szCs w:val="24"/>
        </w:rPr>
        <w:t xml:space="preserve"> (</w:t>
      </w:r>
      <w:r>
        <w:rPr>
          <w:rFonts w:ascii="Times New Roman;serif" w:hAnsi="Times New Roman;serif" w:eastAsia="Times New Roman;serif" w:cs="Times New Roman;serif"/>
          <w:position w:val="8"/>
          <w:sz w:val="19"/>
          <w:szCs w:val="24"/>
        </w:rPr>
        <w:t>*</w:t>
      </w:r>
      <w:r>
        <w:rPr>
          <w:rFonts w:ascii="Times New Roman;serif" w:hAnsi="Times New Roman;serif" w:eastAsia="Times New Roman;serif" w:cs="Times New Roman;serif"/>
          <w:sz w:val="24"/>
          <w:szCs w:val="24"/>
        </w:rPr>
        <w:t xml:space="preserve">: </w:t>
      </w:r>
      <w:r>
        <w:rPr>
          <w:rFonts w:ascii="Times New Roman;serif" w:hAnsi="Times New Roman;serif" w:eastAsia="Times New Roman;serif" w:cs="Times New Roman;serif"/>
          <w:i/>
          <w:iCs/>
          <w:sz w:val="24"/>
          <w:szCs w:val="24"/>
        </w:rPr>
        <w:t>sorumlu yazar</w:t>
      </w:r>
      <w:r>
        <w:rPr>
          <w:rFonts w:ascii="Times New Roman;serif" w:hAnsi="Times New Roman;serif" w:eastAsia="Times New Roman;serif" w:cs="Times New Roman;serif"/>
          <w:sz w:val="24"/>
          <w:szCs w:val="24"/>
        </w:rPr>
        <w:t>)</w:t>
      </w:r>
    </w:p>
    <w:p w14:paraId="7152FA3C">
      <w:pPr>
        <w:pStyle w:val="GvdeMetniaffil"/>
        <w:jc w:val="center"/>
      </w:pPr>
      <w:r>
        <w:rPr>
          <w:rFonts w:ascii="Times New Roman;serif" w:hAnsi="Times New Roman;serif" w:eastAsia="Times New Roman;serif" w:cs="Times New Roman;serif"/>
          <w:position w:val="7"/>
          <w:sz w:val="16"/>
          <w:szCs w:val="20"/>
        </w:rPr>
        <w:t>*</w:t>
      </w:r>
      <w:r>
        <w:rPr>
          <w:rFonts w:ascii="Times New Roman;serif" w:hAnsi="Times New Roman;serif" w:eastAsia="Times New Roman;serif" w:cs="Times New Roman;serif"/>
          <w:sz w:val="20"/>
          <w:szCs w:val="20"/>
        </w:rPr>
        <w:t>esila.sahin@stu.fsm.edu.tr, ORCID: 0009-0007-8858-9540</w:t>
      </w:r>
      <w:r>
        <w:br w:type="textWrapping"/>
      </w:r>
      <w:r>
        <w:rPr>
          <w:rFonts w:ascii="Times New Roman;serif" w:hAnsi="Times New Roman;serif" w:eastAsia="Times New Roman;serif" w:cs="Times New Roman;serif"/>
          <w:position w:val="7"/>
          <w:sz w:val="16"/>
          <w:szCs w:val="20"/>
        </w:rPr>
        <w:t>1</w:t>
      </w:r>
      <w:r>
        <w:rPr>
          <w:rFonts w:ascii="Times New Roman;serif" w:hAnsi="Times New Roman;serif" w:eastAsia="Times New Roman;serif" w:cs="Times New Roman;serif"/>
          <w:i/>
          <w:iCs/>
          <w:sz w:val="20"/>
          <w:szCs w:val="20"/>
        </w:rPr>
        <w:t>Yazılım Mühendisliği Bölümü, Fatih Sultan Mehmet Vakıf Üniversitesi, İstanbul, Türkiye</w:t>
      </w:r>
      <w:r>
        <w:br w:type="textWrapping"/>
      </w:r>
      <w:r>
        <w:rPr>
          <w:rFonts w:ascii="Times New Roman;serif" w:hAnsi="Times New Roman;serif" w:eastAsia="Times New Roman;serif" w:cs="Times New Roman;serif"/>
          <w:position w:val="7"/>
          <w:sz w:val="16"/>
          <w:szCs w:val="20"/>
        </w:rPr>
        <w:t>2,3,4</w:t>
      </w:r>
      <w:r>
        <w:rPr>
          <w:rFonts w:ascii="Times New Roman;serif" w:hAnsi="Times New Roman;serif" w:eastAsia="Times New Roman;serif" w:cs="Times New Roman;serif"/>
          <w:i/>
          <w:iCs/>
          <w:sz w:val="20"/>
          <w:szCs w:val="20"/>
        </w:rPr>
        <w:t>TÜBİTAK BİLGEM UEKAE, Kocaeli, Türkiye</w:t>
      </w:r>
    </w:p>
    <w:p w14:paraId="3FC16EDC">
      <w:pPr>
        <w:pStyle w:val="GvdeMetniaffil"/>
        <w:spacing w:line="252" w:lineRule="auto"/>
      </w:pPr>
    </w:p>
    <w:p w14:paraId="0319B5C6">
      <w:pPr>
        <w:pStyle w:val="GvdeMetninoindent"/>
        <w:jc w:val="both"/>
      </w:pPr>
      <w:r>
        <w:rPr>
          <w:rFonts w:ascii="Times New Roman;serif" w:hAnsi="Times New Roman;serif" w:eastAsia="Times New Roman;serif" w:cs="Times New Roman;serif"/>
          <w:b/>
          <w:bCs/>
          <w:sz w:val="24"/>
          <w:szCs w:val="24"/>
        </w:rPr>
        <w:t>Özet</w:t>
      </w:r>
      <w:r>
        <w:rPr>
          <w:rFonts w:ascii="Times New Roman;serif" w:hAnsi="Times New Roman;serif" w:eastAsia="Times New Roman;serif" w:cs="Times New Roman;serif"/>
          <w:sz w:val="24"/>
          <w:szCs w:val="24"/>
        </w:rPr>
        <w:t xml:space="preserve"> Docker Compose dosyaları yalnızca insanlar tarafından değil, dağıtım otomasyonu tarafından da düzenlenmektedir. Böyle bir düzenleme yalnızca YAML ayrıştırmaktan ibaret değildir: dosyada aracın modellemediği alanlar, kullanıcı tanımlı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uzantıları, kısa ve uzun sözdizimi varyantları ve anlam taşıyan tırnak tercihleri bulunur; naif bir ayrıştır–değiştir–serileştir akışı hedeflenen alanın ötesinde değişiklik ya da bilgi kaybı üretir. Python ve JavaScript ekosistemlerinde biçim koruyan YAML kütüphaneleri bulunmasına karşın, C++ tarafında Compose'a özgü bir düzenleme API'si ve koruma garantisi belgelenmiş bir YAML kütüphanesi bulamadık. Bu bildiride, Compose kavramlarını yansıtan tipli bir C++ API sunan ve düzenlemeleri düğüm ağacında yerinde yapan ComposeMorph'u sunuyoruz. 647 gerçek dünya ve 38 kontrollü Compose dosyası üzerinde yedi deneyle doğruluk, koruma, değişiklik yerelliği, ileriye dönük uyumluluk ve performansı ölçtük. Dosyalara eklenen 802 bilinmeyen özelliğin ve 1.203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 alanının tamamı korunmaktadır. Değerlendirme ayrıca yaml-cpp tabanlı serileştirmede sessiz bir tip değişimi kusuru ortaya çıkarmıştır: tırnaklı skalerler tırnaksız yazıldığında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çıktıların yalnızca %38,1'ini kabul etmektedir. Ayrıştırıcının sakladığı tırnak bilgisini kullanan serileştirme bu oranı %100'e çıkarmakta ve ölçülebilir bir performans bedeli getirmemektedir: eşleşik ölçümde tırnak koruyan serileştirici yaml-cpp'nin kendi serileştiricisinden %3–21 daha hızlıdır ve en büyük dosyalarda bile yükle–değiştir–kaydet toplamı 27 milisaniyenin altında kalmaktadır. Kaydetmenin taban gürültüsü düşüldüğünde, ölçülen on özelliğin tamamında düzenlemenin kendi katkısı tek satırla sınırlıdır. Buna karşılık sağlanan koruma yapısaldır, tam anlamıyla metinsel değildir: yorumlar ve boş satırlar korunmadığı için dosyaların yalnızca %4,0'ü değişiklik yapılmadan kaydedildiğinde bayt düzeyinde aynı kalır. Ham yaml-cpp ile yapılan karşılaştırma, korumanın kaynağının bir algoritma değil API tasarımı olduğunu göstermektedir: düzenlenen alt ağacı yeniden inşa eden, makul görünümlü ham kod ölçülen hiçbir vakada servisin kardeş alanlarını koruyamamıştır. Tüm veri kümeleri, betikler ve ham sonuçlar tek komutla yeniden üretilebilir biçimde yayımlanmıştır.</w:t>
      </w:r>
    </w:p>
    <w:p w14:paraId="648D215D">
      <w:pPr>
        <w:pStyle w:val="GvdeMetninoindent"/>
        <w:jc w:val="both"/>
      </w:pPr>
      <w:r>
        <w:rPr>
          <w:rFonts w:ascii="Times New Roman;serif" w:hAnsi="Times New Roman;serif" w:eastAsia="Times New Roman;serif" w:cs="Times New Roman;serif"/>
          <w:b/>
          <w:bCs/>
          <w:i/>
          <w:iCs/>
          <w:sz w:val="24"/>
          <w:szCs w:val="24"/>
        </w:rPr>
        <w:t>Anahtar Kelimeler:</w:t>
      </w:r>
      <w:r>
        <w:rPr>
          <w:rFonts w:ascii="Times New Roman;serif" w:hAnsi="Times New Roman;serif" w:eastAsia="Times New Roman;serif" w:cs="Times New Roman;serif"/>
          <w:sz w:val="24"/>
          <w:szCs w:val="24"/>
        </w:rPr>
        <w:t xml:space="preserve"> </w:t>
      </w:r>
      <w:r>
        <w:rPr>
          <w:rFonts w:ascii="Times New Roman;serif" w:hAnsi="Times New Roman;serif" w:eastAsia="Times New Roman;serif" w:cs="Times New Roman;serif"/>
          <w:i/>
          <w:iCs/>
          <w:sz w:val="24"/>
          <w:szCs w:val="24"/>
        </w:rPr>
        <w:t>Docker Compose, YAML Round-Trip Düzenleme, Kod Olarak Yapılandırma, Yapı Koruma, C++</w:t>
      </w:r>
    </w:p>
    <w:p w14:paraId="5B977118">
      <w:pPr>
        <w:pStyle w:val="GvdeMetninoindent"/>
        <w:jc w:val="both"/>
      </w:pPr>
      <w:r>
        <w:rPr>
          <w:rFonts w:ascii="Times New Roman;serif" w:hAnsi="Times New Roman;serif" w:eastAsia="Times New Roman;serif" w:cs="Times New Roman;serif"/>
          <w:b/>
          <w:bCs/>
          <w:sz w:val="24"/>
          <w:szCs w:val="24"/>
        </w:rPr>
        <w:t>Abstract</w:t>
      </w:r>
      <w:r>
        <w:rPr>
          <w:rFonts w:ascii="Times New Roman;serif" w:hAnsi="Times New Roman;serif" w:eastAsia="Times New Roman;serif" w:cs="Times New Roman;serif"/>
          <w:sz w:val="24"/>
          <w:szCs w:val="24"/>
        </w:rPr>
        <w:t xml:space="preserve"> Docker Compose files are increasingly modified programmatically by deployment automation, continuous integration and delivery (CI/CD) pipelines, and configuration-as-code tooling. Treating these files as generic YAML documents is error-prone: naive parse–modify–serialize cycles discard user-defined extension fields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unrecognized properties introduced by newer Compose Specification versions, and configuration structure unrelated to the intended change, producing configuration churn that complicates code review. To the best of our knowledge, no existing C++ library combines a Compose-aware, class-based API with forward-compatible preservation of unknown and extension properties validated through systematic round-trip testing. We present ComposeMorph, a C++20 library that exposes typed accessors for Compose services (image, environment, ports, volumes, networks, health checks, deployment) while editing the underlying document tree in place, so that untouched nodes—including unrecognized fields and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extensions—remain structurally intact, and that writes files atomically. We evaluate ComposeMorph in seven experiments over a controlled corpus of 38 files and a real-world corpus of 647 Compose files collected from GitHub, measuring round-trip correctness, preservation, change locality, Docker Compose CLI validation success and performance against a baseline built directly on yaml-cpp. All 802 injected unknown properties and all 1,203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extension fields survive a targeted single-property edit, and once the baseline save noise is subtracted, edits stay confined to the single intended line for all ten edited properties. The evaluation also exposes a silent type-coercion defect in yaml-cpp-based serialization: when quoted scalars are re-emitted unquoted,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accepts only 38.1% of the outputs. Serialization driven by the quote information the parser already records raises this to 100% (892/892) at no measurable performance cost—in a paired in-process comparison the quote-preserving emitter is 3–21% faster. Preservation is structural rather than textual: comments and blank lines are not retained, so only 4.0% of files are byte-identical after an unmodified save. All datasets, scripts and raw results are published and reproducible with a single command.</w:t>
      </w:r>
    </w:p>
    <w:p w14:paraId="69D2AD2A">
      <w:pPr>
        <w:pStyle w:val="GvdeMetninoindent"/>
        <w:jc w:val="both"/>
      </w:pPr>
      <w:r>
        <w:rPr>
          <w:rFonts w:ascii="Times New Roman;serif" w:hAnsi="Times New Roman;serif" w:eastAsia="Times New Roman;serif" w:cs="Times New Roman;serif"/>
          <w:b/>
          <w:bCs/>
          <w:i/>
          <w:iCs/>
          <w:sz w:val="24"/>
          <w:szCs w:val="24"/>
        </w:rPr>
        <w:t>Keywords:</w:t>
      </w:r>
      <w:r>
        <w:rPr>
          <w:rFonts w:ascii="Times New Roman;serif" w:hAnsi="Times New Roman;serif" w:eastAsia="Times New Roman;serif" w:cs="Times New Roman;serif"/>
          <w:sz w:val="24"/>
          <w:szCs w:val="24"/>
        </w:rPr>
        <w:t xml:space="preserve"> </w:t>
      </w:r>
      <w:r>
        <w:rPr>
          <w:rFonts w:ascii="Times New Roman;serif" w:hAnsi="Times New Roman;serif" w:eastAsia="Times New Roman;serif" w:cs="Times New Roman;serif"/>
          <w:i/>
          <w:iCs/>
          <w:sz w:val="24"/>
          <w:szCs w:val="24"/>
        </w:rPr>
        <w:t>Docker Compose, YAML Round-Trip Editing, Configuration As Code, Structure Preservation, C++</w:t>
      </w:r>
    </w:p>
    <w:p w14:paraId="7C3A6F5B">
      <w:pPr>
        <w:pStyle w:val="Heading2"/>
        <w:jc w:val="left"/>
      </w:pPr>
      <w:r>
        <w:rPr>
          <w:rFonts w:ascii="Liberation Serif" w:hAnsi="Liberation Serif" w:eastAsia="DejaVu Sans" w:cs="DejaVu Sans"/>
          <w:b/>
          <w:bCs/>
          <w:sz w:val="24"/>
          <w:szCs w:val="24"/>
        </w:rPr>
        <w:t>I. GİRİŞ</w:t>
      </w:r>
    </w:p>
    <w:p w14:paraId="2F0CA3C5">
      <w:pPr>
        <w:pStyle w:val="BodyText"/>
        <w:jc w:val="both"/>
      </w:pPr>
      <w:r>
        <w:rPr>
          <w:rFonts w:ascii="Times New Roman;serif" w:hAnsi="Times New Roman;serif" w:eastAsia="Times New Roman;serif" w:cs="Times New Roman;serif"/>
          <w:sz w:val="24"/>
          <w:szCs w:val="24"/>
        </w:rPr>
        <w:t xml:space="preserve">Docker Compose, çok konteynerli uygulamaların servislerini, ağlarını, depolama birimlerini ve bunlar arasındaki bağımlılıkları tek bir YAML dosyasında bildirimsel olarak tanımlamanın fiilî standardı hâline gelmiştir [1]. Ibrahim ve arkadaşlarının 4.103 açık kaynak GitHub projesi üzerinde yaptığı çalışma, Compose'un yalnızca çok bileşenli sistemlerde değil, projelerin dörtte birinden fazlasında tek bileşenli uygulamalar için bile kullanıldığını göstermektedir [2]. Bu dosyalar, kaynak kodla birlikte sürüm kontrolünde tutulan, elle yazılıp bakımı yapılan birer </w:t>
      </w:r>
      <w:r>
        <w:rPr>
          <w:rFonts w:ascii="Times New Roman;serif" w:hAnsi="Times New Roman;serif" w:eastAsia="Times New Roman;serif" w:cs="Times New Roman;serif"/>
          <w:i/>
          <w:iCs/>
          <w:sz w:val="24"/>
          <w:szCs w:val="24"/>
        </w:rPr>
        <w:t>kod olarak yapılandırma</w:t>
      </w:r>
      <w:r>
        <w:rPr>
          <w:rFonts w:ascii="Times New Roman;serif" w:hAnsi="Times New Roman;serif" w:eastAsia="Times New Roman;serif" w:cs="Times New Roman;serif"/>
          <w:sz w:val="24"/>
          <w:szCs w:val="24"/>
        </w:rPr>
        <w:t xml:space="preserve"> (configuration-as-code) varlığıdır.</w:t>
      </w:r>
    </w:p>
    <w:p w14:paraId="1F9DA7E6">
      <w:pPr>
        <w:pStyle w:val="BodyText"/>
        <w:jc w:val="both"/>
      </w:pPr>
      <w:r>
        <w:rPr>
          <w:rFonts w:ascii="Times New Roman;serif" w:hAnsi="Times New Roman;serif" w:eastAsia="Times New Roman;serif" w:cs="Times New Roman;serif"/>
          <w:sz w:val="24"/>
          <w:szCs w:val="24"/>
        </w:rPr>
        <w:t xml:space="preserve">Compose dosyaları giderek yalnızca insanlar tarafından değil, programlar tarafından da değiştirilmektedir. Sürekli entegrasyon ve dağıtım hatları yeni bir sürüm çıktığında servis imajının etiketini günceller; kurum içi (on-premise) kurulum ve dağıtım araçları hedef ortama göre ortam değişkenlerini, ek host kayıtlarını ya da volume kaynaklarını ayarlar. Bu çalışmayı motive eden senaryoda bir C++ dağıtım aracı, bir kriptografi servisinin imajını yeni sürüme yükseltmekte, donanım güvenlik modülüne (HSM) erişim için bir </w:t>
      </w:r>
      <w:r>
        <w:rPr>
          <w:rStyle w:val="KaynakMetin"/>
          <w:rFonts w:ascii="Courier New;monospace" w:hAnsi="Courier New;monospace" w:eastAsia="Courier New;monospace" w:cs="Courier New;monospace"/>
          <w:sz w:val="20"/>
          <w:szCs w:val="20"/>
        </w:rPr>
        <w:t>extra_hosts</w:t>
      </w:r>
      <w:r>
        <w:rPr>
          <w:rFonts w:ascii="Times New Roman;serif" w:hAnsi="Times New Roman;serif" w:eastAsia="Times New Roman;serif" w:cs="Times New Roman;serif"/>
          <w:sz w:val="24"/>
          <w:szCs w:val="24"/>
        </w:rPr>
        <w:t xml:space="preserve"> kaydı eklemekte ve yeni sürümün çalıştırılabilir dosyalarını gösteren volume kaynağını değiştirmektedir. Bu değişikliklerin her biri kavramsal olarak dosyadaki tek bir alana dokunur.</w:t>
      </w:r>
    </w:p>
    <w:p w14:paraId="7D3E49DF">
      <w:pPr>
        <w:pStyle w:val="BodyText"/>
        <w:jc w:val="both"/>
      </w:pPr>
      <w:r>
        <w:rPr>
          <w:rFonts w:ascii="Times New Roman;serif" w:hAnsi="Times New Roman;serif" w:eastAsia="Times New Roman;serif" w:cs="Times New Roman;serif"/>
          <w:sz w:val="24"/>
          <w:szCs w:val="24"/>
        </w:rPr>
        <w:t xml:space="preserve">İlk bakışta bu tür bir düzenleme basittir: dosyayı ayrıştır, ilgili alanı değiştir, geri yaz. Ancak bir Compose dosyası, onu düzenleyen programın bildiği alanlardan ibaret değildir. Dosyada kullanıcı tarafından tanımlanmış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 alanları, düzenleyici aracın henüz modellemediği daha yeni Compose Specification alanları, aynı bilginin kısa ve uzun sözdizimi (short/long syntax) gibi farklı gösterimleri, yazarın tırnak kullanımı ve düzen tercihleri bulunabilir. Bu nedenle naif bir </w:t>
      </w:r>
      <w:r>
        <w:rPr>
          <w:rFonts w:ascii="Times New Roman;serif" w:hAnsi="Times New Roman;serif" w:eastAsia="Times New Roman;serif" w:cs="Times New Roman;serif"/>
          <w:i/>
          <w:iCs/>
          <w:sz w:val="24"/>
          <w:szCs w:val="24"/>
        </w:rPr>
        <w:t>ayrıştır → değiştir → serileştir</w:t>
      </w:r>
      <w:r>
        <w:rPr>
          <w:rFonts w:ascii="Times New Roman;serif" w:hAnsi="Times New Roman;serif" w:eastAsia="Times New Roman;serif" w:cs="Times New Roman;serif"/>
          <w:sz w:val="24"/>
          <w:szCs w:val="24"/>
        </w:rPr>
        <w:t xml:space="preserve"> akışı, hedeflenen alanın çok ötesine taşan gereksiz değişikliklere (configuration churn) ya da bilgi kaybına yol açabilir.</w:t>
      </w:r>
    </w:p>
    <w:p w14:paraId="1108C7A5">
      <w:pPr>
        <w:pStyle w:val="BodyText"/>
        <w:jc w:val="both"/>
      </w:pPr>
      <w:r>
        <w:rPr>
          <w:rFonts w:ascii="Times New Roman;serif" w:hAnsi="Times New Roman;serif" w:eastAsia="Times New Roman;serif" w:cs="Times New Roman;serif"/>
          <w:sz w:val="24"/>
          <w:szCs w:val="24"/>
        </w:rPr>
        <w:t xml:space="preserve">Üstelik bu kayıp her zaman görünür değildir. C++ tarafında akla gelen ilk yol olan yaml-cpp [3] tabanlı bir düzenleyici, hiçbir değişiklik yapılmadan kaydedilen bir dosyada bile </w:t>
      </w:r>
      <w:r>
        <w:rPr>
          <w:rStyle w:val="KaynakMetin"/>
          <w:rFonts w:ascii="Courier New;monospace" w:hAnsi="Courier New;monospace" w:eastAsia="Courier New;monospace" w:cs="Courier New;monospace"/>
          <w:sz w:val="20"/>
          <w:szCs w:val="20"/>
        </w:rPr>
        <w:t>version: "3.8"</w:t>
      </w:r>
      <w:r>
        <w:rPr>
          <w:rFonts w:ascii="Times New Roman;serif" w:hAnsi="Times New Roman;serif" w:eastAsia="Times New Roman;serif" w:cs="Times New Roman;serif"/>
          <w:sz w:val="24"/>
          <w:szCs w:val="24"/>
        </w:rPr>
        <w:t xml:space="preserve"> satırının tırnaklarını kaldırır. Ortaya çıkan </w:t>
      </w:r>
      <w:r>
        <w:rPr>
          <w:rStyle w:val="KaynakMetin"/>
          <w:rFonts w:ascii="Courier New;monospace" w:hAnsi="Courier New;monospace" w:eastAsia="Courier New;monospace" w:cs="Courier New;monospace"/>
          <w:sz w:val="20"/>
          <w:szCs w:val="20"/>
        </w:rPr>
        <w:t>version: 3.8</w:t>
      </w:r>
      <w:r>
        <w:rPr>
          <w:rFonts w:ascii="Times New Roman;serif" w:hAnsi="Times New Roman;serif" w:eastAsia="Times New Roman;serif" w:cs="Times New Roman;serif"/>
          <w:sz w:val="24"/>
          <w:szCs w:val="24"/>
        </w:rPr>
        <w:t xml:space="preserve"> ifadesi bir kayan noktalı sayı olarak çözümlendiği için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dosyayı “version must be a string” hatasıyla reddeder. Dosya sözdizimsel olarak geçerli bir YAML belgesidir ve düzenleyicinin kendisi tarafından sorunsuz okunur; hata ancak Docker dosyayı okuduğunda ortaya çıkar. Kütüphanemizin ilk sürümü de bu davranışı miras almıştı; deneylerimiz hatayı ortaya çıkarmış, kök nedenini yaml-cpp'nin serileştiricisinde tespit etmiş ve tırnak koruyan serileştirme (Bölüm V) ile gidermemizi sağlamıştır.</w:t>
      </w:r>
    </w:p>
    <w:p w14:paraId="5C10F42F">
      <w:pPr>
        <w:pStyle w:val="BodyText"/>
        <w:jc w:val="both"/>
      </w:pPr>
      <w:r>
        <w:rPr>
          <w:rFonts w:ascii="Times New Roman;serif" w:hAnsi="Times New Roman;serif" w:eastAsia="Times New Roman;serif" w:cs="Times New Roman;serif"/>
          <w:sz w:val="24"/>
          <w:szCs w:val="24"/>
        </w:rPr>
        <w:t>C++ ekosistemi bu probleme karşı özellikle hazırlıksızdır. Python'da ruamel.yaml [4], JavaScript'te eemeli/yaml [5] yorumları, anahtar sırasını ve biçimi koruyan olgun round-trip desteği sunar; Go ekosisteminde ise Compose Specification'ın başvuru kütüphanesi compose-go [6] ve Kubernetes araçlarının kullandığı kyaml [7] bulunur. C++ tarafında incelediğimiz YAML kütüphanelerinin hiçbiri yorum veya biçim koruyan round-trip düzenlemeyi desteklenen bir özellik olarak belgelememektedir: yaml-cpp'de yorumların korunmasına yönelik talep 2015'ten beri açıktır ve kütüphanenin geliştiricisi 2026'da hâlâ böyle bir seçenek bulunmadığını belirtmiştir [8, 9]. Bildiğimiz kadarıyla, Docker Compose'a özgü tip-farkında düzenlemeyi ve ölçülmüş ileriye dönük uyumlu bilinmeyen-özellik korumasını bir arada sunan bir C++ kütüphanesi bulunmamaktadır (Bölüm III).</w:t>
      </w:r>
    </w:p>
    <w:p w14:paraId="3B14D29F">
      <w:pPr>
        <w:pStyle w:val="BodyText"/>
        <w:jc w:val="both"/>
      </w:pPr>
      <w:r>
        <w:rPr>
          <w:rFonts w:ascii="Times New Roman;serif" w:hAnsi="Times New Roman;serif" w:eastAsia="Times New Roman;serif" w:cs="Times New Roman;serif"/>
          <w:sz w:val="24"/>
          <w:szCs w:val="24"/>
        </w:rPr>
        <w:t xml:space="preserve">Bu bildiride, Docker Compose yapılandırmalarının C++ uygulamalarından güvenli ve en az yan etkiyle değiştirilmesi için ComposeMorph adlı bir kütüphane sunuyor ve bu problemin gerçekte ne kadarının çözülebildiğini sistematik olarak ölçüyoruz. ComposeMorph, yaml-cpp'nin düğüm ağacı üzerine, Compose kavramlarını (servis, ortam değişkenleri, portlar, volume'lar, ağlar, sağlık kontrolü, dağıtım kaynakları vb.) doğrudan yansıtan sınıf tabanlı, tip-farkında bir API kurar. Her düzenleme yalnızca hedef düğümü yerinde değiştirir; kütüphanenin modellemediği alanlar hiçbir zaman yeniden inşa edilmez, bu yüzden bilinmeyen özellikler ve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 alanları dokunulmadan kalır. Kaydetme, kaynakta tırnaklı yazılmış skalerleri tırnaklı olarak yeniden üreten ve böylece değerlerin YAML tiplerini koruyan bir serileştirici üzerinden yapılır. Modellenmemiş alanlar için nokta-yollu (dot-path) genel bir özellik API'si, dosya bütünlüğü için de geçici dosya üzerinden atomik kaydetme sağlanır.</w:t>
      </w:r>
    </w:p>
    <w:p w14:paraId="123E0586">
      <w:pPr>
        <w:pStyle w:val="BodyText"/>
        <w:jc w:val="both"/>
      </w:pPr>
      <w:r>
        <w:rPr>
          <w:rFonts w:ascii="Times New Roman;serif" w:hAnsi="Times New Roman;serif" w:eastAsia="Times New Roman;serif" w:cs="Times New Roman;serif"/>
          <w:sz w:val="24"/>
          <w:szCs w:val="24"/>
        </w:rPr>
        <w:t xml:space="preserve">Değerlendirme; doğruluk, koruma, değişiklik yerelliği, ileriye dönük uyumluluk ve performans başlıklı beş araştırma sorusu etrafında, 647 gerçek dünya GitHub Compose dosyasından oluşan bir veri kümesi ile 38 kontrollü dosyadan oluşan ikinci bir veri kümesi üzerinde yedi deneyle yapılmıştır. Gerçek dosyalara kontrollü olarak eklenen bilinmeyen özellikler ve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 alanları, ilgisiz bir alan değiştirildikten sonra tüm vakalarda korunmuştur (802/802 bilinmeyen özellik ve 1.203/1.203 uzantı alanı örneği).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tarafından geçerli kabul edilen girdilerden üretilen çıktıların tamamı (892/892) yeniden geçerli bulunmuştur; aynı düzenlemeleri yaml-cpp'nin varsayılan serileştiricisiyle yapan temel çizgide bu oran %38,1'de (340/892) kalmaktadır. Korpustaki 9.807 tırnaklı skaler değerin hiçbiri tip değiştirmemiş, temel çizgide ise 452 dosyada 2.570 değer tip değiştirmiştir; 100 dosyalık bir örneklemde çıktının girdiyle aynı veriye çözümlenme oranı 33/100'den 100/100'e çıkmaktadır. Tırnak koruyan serileştirici bir performans bedeli getirmez: aynı süreçte yapılan eşleşik ölçümde yaml-cpp'nin kendi serileştiricisinden %3–21 daha hızlıdır (Wilcoxon işaretli sıralar testi, p &lt; 10⁻¹⁰); tek bir alanı değiştirmenin maliyeti ise ihmal edilebilir düzeydedir. Buna karşın sağlanan koruma yapısaldır, tam anlamıyla metinsel değildir: yorumlar ve boş satırlar korunmadığı için dosyaların yalnızca %4,0'ü (26/647) değişiklik yapılmadan kaydedildiğinde bayt düzeyinde aynı kalır. Ham yaml-cpp ile yapılan karşılaştırma, korumanın API tasarımıyla ilişkisini gösterir: aynı düzenlemeleri ilgili alt ağacı yeniden inşa ederek yapan ham yaml-cpp kodu, tasarımı gereği düzenlenen servisin kardeş alanlarını kaybetmiştir (0/149, 0/39, 0/116); aynı düzenlemeler ComposeMorph'un tip-farkında API'si üzerinden yapıldığında tüm vakalarda korunmuştur.</w:t>
      </w:r>
    </w:p>
    <w:p w14:paraId="5F30D28F">
      <w:pPr>
        <w:pStyle w:val="BodyText"/>
        <w:jc w:val="both"/>
      </w:pPr>
      <w:r>
        <w:rPr>
          <w:rFonts w:ascii="Times New Roman;serif" w:hAnsi="Times New Roman;serif" w:eastAsia="Times New Roman;serif" w:cs="Times New Roman;serif"/>
          <w:sz w:val="24"/>
          <w:szCs w:val="24"/>
        </w:rPr>
        <w:t>Bu bildirinin katkıları şunlardır:</w:t>
      </w:r>
    </w:p>
    <w:p w14:paraId="6AD43F42">
      <w:pPr>
        <w:pStyle w:val="BodyText"/>
        <w:numPr>
          <w:ilvl w:val="0"/>
          <w:numId w:val="1"/>
        </w:numPr>
        <w:tabs>
          <w:tab w:val="clear" w:pos="709"/>
          <w:tab w:val="left" w:pos="709"/>
        </w:tabs>
        <w:spacing w:before="0" w:after="0"/>
        <w:ind w:left="709" w:hanging="283"/>
        <w:jc w:val="both"/>
      </w:pPr>
      <w:r>
        <w:rPr>
          <w:rFonts w:ascii="Times New Roman;serif" w:hAnsi="Times New Roman;serif" w:eastAsia="Times New Roman;serif" w:cs="Times New Roman;serif"/>
          <w:sz w:val="24"/>
          <w:szCs w:val="24"/>
        </w:rPr>
        <w:t>Docker Compose yapılandırmalarının C++ uygulamalarından sınıf tabanlı ve tip-farkında biçimde değiştirilmesini sağlayan, modellenmemiş alanlar için genel bir özellik API'si ve atomik kaydetme içeren, yeniden kullanılabilir bir kütüphane (ComposeMorph).</w:t>
      </w:r>
    </w:p>
    <w:p w14:paraId="73D63D4F">
      <w:pPr>
        <w:pStyle w:val="BodyText"/>
        <w:numPr>
          <w:ilvl w:val="0"/>
          <w:numId w:val="1"/>
        </w:numPr>
        <w:tabs>
          <w:tab w:val="clear" w:pos="709"/>
          <w:tab w:val="left" w:pos="709"/>
        </w:tabs>
        <w:spacing w:before="0" w:after="0"/>
        <w:ind w:left="709" w:hanging="283"/>
        <w:jc w:val="both"/>
      </w:pPr>
      <w:r>
        <w:rPr>
          <w:rFonts w:ascii="Times New Roman;serif" w:hAnsi="Times New Roman;serif" w:eastAsia="Times New Roman;serif" w:cs="Times New Roman;serif"/>
          <w:sz w:val="24"/>
          <w:szCs w:val="24"/>
        </w:rPr>
        <w:t>Hedef düğümün yerinde değiştirilmesine dayanan, gelecekteki Compose Specification alanlarına karşı ileriye dönük uyumluluk sağlayan bilinmeyen-özellik ve uzantı alanı koruma mekanizması ile bu mekanizmanın gerçek dünya dosyaları üzerindeki ölçümü.</w:t>
      </w:r>
    </w:p>
    <w:p w14:paraId="545B6338">
      <w:pPr>
        <w:pStyle w:val="BodyText"/>
        <w:numPr>
          <w:ilvl w:val="0"/>
          <w:numId w:val="1"/>
        </w:numPr>
        <w:tabs>
          <w:tab w:val="clear" w:pos="709"/>
          <w:tab w:val="left" w:pos="709"/>
        </w:tabs>
        <w:spacing w:before="0" w:after="0"/>
        <w:ind w:left="709" w:hanging="283"/>
        <w:jc w:val="both"/>
      </w:pPr>
      <w:r>
        <w:rPr>
          <w:rFonts w:ascii="Times New Roman;serif" w:hAnsi="Times New Roman;serif" w:eastAsia="Times New Roman;serif" w:cs="Times New Roman;serif"/>
          <w:sz w:val="24"/>
          <w:szCs w:val="24"/>
        </w:rPr>
        <w:t xml:space="preserve">C++ YAML serileştirmesinde sessiz tip değişimine yol açan bir hata sınıfının teşhisi ve giderilmesi: yaml-cpp'nin serileştiricisi, tırnaklı bir skalerin taşıdığı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etiketini yok sayarak değeri tırnaksız yazmakta, böylece string değerler sayıya veya boolean'a dönüşmekte ve dosya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tarafından reddedilmektedir. Etiketi dikkate alan serileştirme bu davranışı ortadan kaldırmakta, etkisi önce/sonra ölçülmektedir (geçerlilik %38,1 → %100). Aynı değerlendirme, kısa sözdizimli </w:t>
      </w:r>
      <w:r>
        <w:rPr>
          <w:rStyle w:val="KaynakMetin"/>
          <w:rFonts w:ascii="Courier New;monospace" w:hAnsi="Courier New;monospace" w:eastAsia="Courier New;monospace" w:cs="Courier New;monospace"/>
          <w:sz w:val="20"/>
          <w:szCs w:val="20"/>
        </w:rPr>
        <w:t>environment</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labels</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extra_hosts</w:t>
      </w:r>
      <w:r>
        <w:rPr>
          <w:rFonts w:ascii="Times New Roman;serif" w:hAnsi="Times New Roman;serif" w:eastAsia="Times New Roman;serif" w:cs="Times New Roman;serif"/>
          <w:sz w:val="24"/>
          <w:szCs w:val="24"/>
        </w:rPr>
        <w:t xml:space="preserve"> listelerinin düzenleme sırasında eşleme (mapping) yapısına dönüştürülmesi biçimindeki ikinci bir hatayı da ortaya çıkarmış ve gidermiştir (Bölüm VIII).</w:t>
      </w:r>
    </w:p>
    <w:p w14:paraId="632F8309">
      <w:pPr>
        <w:pStyle w:val="BodyText"/>
        <w:numPr>
          <w:ilvl w:val="0"/>
          <w:numId w:val="1"/>
        </w:numPr>
        <w:tabs>
          <w:tab w:val="clear" w:pos="709"/>
          <w:tab w:val="left" w:pos="709"/>
        </w:tabs>
        <w:ind w:left="709" w:hanging="283"/>
        <w:jc w:val="both"/>
      </w:pPr>
      <w:r>
        <w:rPr>
          <w:rFonts w:ascii="Times New Roman;serif" w:hAnsi="Times New Roman;serif" w:eastAsia="Times New Roman;serif" w:cs="Times New Roman;serif"/>
          <w:sz w:val="24"/>
          <w:szCs w:val="24"/>
        </w:rPr>
        <w:t>İki veri kümesi (38 kontrollü ve 647 gerçek dünya Compose dosyası), yedi deney ve tüm sonuçları tek komutla yeniden üreten betiklerden oluşan, açık ve tekrarlanabilir bir değerlendirme paketi.</w:t>
      </w:r>
    </w:p>
    <w:p w14:paraId="3D509834">
      <w:pPr>
        <w:pStyle w:val="BodyText"/>
        <w:jc w:val="both"/>
      </w:pPr>
      <w:r>
        <w:rPr>
          <w:rFonts w:ascii="Times New Roman;serif" w:hAnsi="Times New Roman;serif" w:eastAsia="Times New Roman;serif" w:cs="Times New Roman;serif"/>
          <w:sz w:val="24"/>
          <w:szCs w:val="24"/>
        </w:rPr>
        <w:t>Bildirinin geri kalanı şöyle düzenlenmiştir. Bölüm II Docker Compose, YAML ve round-trip düzenleme problemine ilişkin altyapıyı, Bölüm III ilgili çalışmaları sunar. Bölüm IV ve Bölüm V kütüphanenin tasarımını ve round-trip dönüşüm yaklaşımını, Bölüm VI gerçekleştirimi anlatır. Bölüm VII deneysel yöntemi, Bölüm VIII bulguları verir. Bölüm IX sonuçları tartışır; Bölüm X ve Bölüm XI geçerlilik tehditlerini ve kısıtlamaları ele alır; Bölüm XII çalışmayı sonuçlandırır.</w:t>
      </w:r>
    </w:p>
    <w:p w14:paraId="33DBA0B3">
      <w:pPr>
        <w:pStyle w:val="Heading2"/>
        <w:jc w:val="left"/>
      </w:pPr>
      <w:r>
        <w:rPr>
          <w:rFonts w:ascii="Liberation Serif" w:hAnsi="Liberation Serif" w:eastAsia="DejaVu Sans" w:cs="DejaVu Sans"/>
          <w:b/>
          <w:bCs/>
          <w:sz w:val="24"/>
          <w:szCs w:val="24"/>
        </w:rPr>
        <w:t>II. ALTYAPI VE MOTİVASYON</w:t>
      </w:r>
    </w:p>
    <w:p w14:paraId="369B377F">
      <w:pPr>
        <w:pStyle w:val="Heading3"/>
        <w:jc w:val="left"/>
      </w:pPr>
      <w:r>
        <w:rPr>
          <w:rFonts w:ascii="Liberation Serif" w:hAnsi="Liberation Serif" w:eastAsia="DejaVu Sans" w:cs="DejaVu Sans"/>
          <w:i/>
          <w:iCs/>
          <w:sz w:val="24"/>
          <w:szCs w:val="24"/>
        </w:rPr>
        <w:t>Docker Compose Specification</w:t>
      </w:r>
    </w:p>
    <w:p w14:paraId="7F77FC27">
      <w:pPr>
        <w:pStyle w:val="BodyText"/>
        <w:jc w:val="both"/>
      </w:pPr>
      <w:r>
        <w:rPr>
          <w:rFonts w:ascii="Times New Roman;serif" w:hAnsi="Times New Roman;serif" w:eastAsia="Times New Roman;serif" w:cs="Times New Roman;serif"/>
          <w:sz w:val="24"/>
          <w:szCs w:val="24"/>
        </w:rPr>
        <w:t xml:space="preserve">Compose Specification [1], bir uygulamanın servislerini ve bunların ağlarını, volume'larını, config ve secret tanımlarını YAML biçiminde tanımlar. Belgenin üst seviyesinde </w:t>
      </w:r>
      <w:r>
        <w:rPr>
          <w:rStyle w:val="KaynakMetin"/>
          <w:rFonts w:ascii="Courier New;monospace" w:hAnsi="Courier New;monospace" w:eastAsia="Courier New;monospace" w:cs="Courier New;monospace"/>
          <w:sz w:val="20"/>
          <w:szCs w:val="20"/>
        </w:rPr>
        <w:t>services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networks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volumes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configs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secrets</w:t>
      </w:r>
      <w:r>
        <w:rPr>
          <w:rFonts w:ascii="Times New Roman;serif" w:hAnsi="Times New Roman;serif" w:eastAsia="Times New Roman;serif" w:cs="Times New Roman;serif"/>
          <w:sz w:val="24"/>
          <w:szCs w:val="24"/>
        </w:rPr>
        <w:t xml:space="preserve"> gibi bölümler ile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önekli </w:t>
      </w:r>
      <w:r>
        <w:rPr>
          <w:rFonts w:ascii="Times New Roman;serif" w:hAnsi="Times New Roman;serif" w:eastAsia="Times New Roman;serif" w:cs="Times New Roman;serif"/>
          <w:i/>
          <w:iCs/>
          <w:sz w:val="24"/>
          <w:szCs w:val="24"/>
        </w:rPr>
        <w:t>uzantı alanları</w:t>
      </w:r>
      <w:r>
        <w:rPr>
          <w:rFonts w:ascii="Times New Roman;serif" w:hAnsi="Times New Roman;serif" w:eastAsia="Times New Roman;serif" w:cs="Times New Roman;serif"/>
          <w:sz w:val="24"/>
          <w:szCs w:val="24"/>
        </w:rPr>
        <w:t xml:space="preserve"> bulunur. Uzantı alanları spesifikasyonun araçlara ayırdığı resmî genişletme noktasıdır: şema bunları serbest bırakır, ancak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öneki taşımayan tanınmayan anahtarları reddeder. Spesifikasyon ayrıca aynı bilgiyi iki biçimde ifade etmeye izin verir. Örneğin portlar kısa sözdiziminde </w:t>
      </w:r>
      <w:r>
        <w:rPr>
          <w:rStyle w:val="KaynakMetin"/>
          <w:rFonts w:ascii="Courier New;monospace" w:hAnsi="Courier New;monospace" w:eastAsia="Courier New;monospace" w:cs="Courier New;monospace"/>
          <w:sz w:val="20"/>
          <w:szCs w:val="20"/>
        </w:rPr>
        <w:t>"8080:80"</w:t>
      </w:r>
      <w:r>
        <w:rPr>
          <w:rFonts w:ascii="Times New Roman;serif" w:hAnsi="Times New Roman;serif" w:eastAsia="Times New Roman;serif" w:cs="Times New Roman;serif"/>
          <w:sz w:val="24"/>
          <w:szCs w:val="24"/>
        </w:rPr>
        <w:t xml:space="preserve"> biçiminde bir dizi elemanı, uzun sözdiziminde ise </w:t>
      </w:r>
      <w:r>
        <w:rPr>
          <w:rStyle w:val="KaynakMetin"/>
          <w:rFonts w:ascii="Courier New;monospace" w:hAnsi="Courier New;monospace" w:eastAsia="Courier New;monospace" w:cs="Courier New;monospace"/>
          <w:sz w:val="20"/>
          <w:szCs w:val="20"/>
        </w:rPr>
        <w:t>target</w:t>
      </w:r>
      <w:r>
        <w:rPr>
          <w:rFonts w:ascii="Times New Roman;serif" w:hAnsi="Times New Roman;serif" w:eastAsia="Times New Roman;serif" w:cs="Times New Roman;serif"/>
          <w:sz w:val="24"/>
          <w:szCs w:val="24"/>
        </w:rPr>
        <w:t>/</w:t>
      </w:r>
      <w:r>
        <w:rPr>
          <w:rStyle w:val="KaynakMetin"/>
          <w:rFonts w:ascii="Courier New;monospace" w:hAnsi="Courier New;monospace" w:eastAsia="Courier New;monospace" w:cs="Courier New;monospace"/>
          <w:sz w:val="20"/>
          <w:szCs w:val="20"/>
        </w:rPr>
        <w:t>published</w:t>
      </w:r>
      <w:r>
        <w:rPr>
          <w:rFonts w:ascii="Times New Roman;serif" w:hAnsi="Times New Roman;serif" w:eastAsia="Times New Roman;serif" w:cs="Times New Roman;serif"/>
          <w:sz w:val="24"/>
          <w:szCs w:val="24"/>
        </w:rPr>
        <w:t xml:space="preserve"> anahtarlarını taşıyan bir eşleme (mapping) olarak yazılabilir; </w:t>
      </w:r>
      <w:r>
        <w:rPr>
          <w:rStyle w:val="KaynakMetin"/>
          <w:rFonts w:ascii="Courier New;monospace" w:hAnsi="Courier New;monospace" w:eastAsia="Courier New;monospace" w:cs="Courier New;monospace"/>
          <w:sz w:val="20"/>
          <w:szCs w:val="20"/>
        </w:rPr>
        <w:t>environment</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labels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extra_hosts</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volumes</w:t>
      </w:r>
      <w:r>
        <w:rPr>
          <w:rFonts w:ascii="Times New Roman;serif" w:hAnsi="Times New Roman;serif" w:eastAsia="Times New Roman;serif" w:cs="Times New Roman;serif"/>
          <w:sz w:val="24"/>
          <w:szCs w:val="24"/>
        </w:rPr>
        <w:t xml:space="preserve"> için de benzer ikilikler vardır. Bir düzenleme kütüphanesi her iki biçimi de bozmadan taşımak zorundadır.</w:t>
      </w:r>
    </w:p>
    <w:p w14:paraId="7FF7778D">
      <w:pPr>
        <w:pStyle w:val="Heading3"/>
        <w:jc w:val="left"/>
      </w:pPr>
      <w:r>
        <w:rPr>
          <w:rFonts w:ascii="Liberation Serif" w:hAnsi="Liberation Serif" w:eastAsia="DejaVu Sans" w:cs="DejaVu Sans"/>
          <w:i/>
          <w:iCs/>
          <w:sz w:val="24"/>
          <w:szCs w:val="24"/>
        </w:rPr>
        <w:t>YAML skalerleri ve örtük tip çözümlemesi</w:t>
      </w:r>
    </w:p>
    <w:p w14:paraId="5DC13649">
      <w:pPr>
        <w:pStyle w:val="BodyText"/>
        <w:jc w:val="both"/>
      </w:pPr>
      <w:r>
        <w:rPr>
          <w:rFonts w:ascii="Times New Roman;serif" w:hAnsi="Times New Roman;serif" w:eastAsia="Times New Roman;serif" w:cs="Times New Roman;serif"/>
          <w:sz w:val="24"/>
          <w:szCs w:val="24"/>
        </w:rPr>
        <w:t xml:space="preserve">YAML'da bir skaler değerin tipi, tırnak kullanımına bağlıdır. Tırnaksız (plain) yazılmış </w:t>
      </w:r>
      <w:r>
        <w:rPr>
          <w:rStyle w:val="KaynakMetin"/>
          <w:rFonts w:ascii="Courier New;monospace" w:hAnsi="Courier New;monospace" w:eastAsia="Courier New;monospace" w:cs="Courier New;monospace"/>
          <w:sz w:val="20"/>
          <w:szCs w:val="20"/>
        </w:rPr>
        <w:t>3.8</w:t>
      </w:r>
      <w:r>
        <w:rPr>
          <w:rFonts w:ascii="Times New Roman;serif" w:hAnsi="Times New Roman;serif" w:eastAsia="Times New Roman;serif" w:cs="Times New Roman;serif"/>
          <w:sz w:val="24"/>
          <w:szCs w:val="24"/>
        </w:rPr>
        <w:t xml:space="preserve"> bir kayan noktalı sayı, </w:t>
      </w:r>
      <w:r>
        <w:rPr>
          <w:rStyle w:val="KaynakMetin"/>
          <w:rFonts w:ascii="Courier New;monospace" w:hAnsi="Courier New;monospace" w:eastAsia="Courier New;monospace" w:cs="Courier New;monospace"/>
          <w:sz w:val="20"/>
          <w:szCs w:val="20"/>
        </w:rPr>
        <w:t>true</w:t>
      </w:r>
      <w:r>
        <w:rPr>
          <w:rFonts w:ascii="Times New Roman;serif" w:hAnsi="Times New Roman;serif" w:eastAsia="Times New Roman;serif" w:cs="Times New Roman;serif"/>
          <w:sz w:val="24"/>
          <w:szCs w:val="24"/>
        </w:rPr>
        <w:t xml:space="preserve"> bir boolean, </w:t>
      </w:r>
      <w:r>
        <w:rPr>
          <w:rStyle w:val="KaynakMetin"/>
          <w:rFonts w:ascii="Courier New;monospace" w:hAnsi="Courier New;monospace" w:eastAsia="Courier New;monospace" w:cs="Courier New;monospace"/>
          <w:sz w:val="20"/>
          <w:szCs w:val="20"/>
        </w:rPr>
        <w:t>8080</w:t>
      </w:r>
      <w:r>
        <w:rPr>
          <w:rFonts w:ascii="Times New Roman;serif" w:hAnsi="Times New Roman;serif" w:eastAsia="Times New Roman;serif" w:cs="Times New Roman;serif"/>
          <w:sz w:val="24"/>
          <w:szCs w:val="24"/>
        </w:rPr>
        <w:t xml:space="preserve"> bir tam sayı olarak çözümlenir; aynı değerler tırnaklandığında string olur. YAML 1.1 çözümleme kuralları bu kümeyi </w:t>
      </w:r>
      <w:r>
        <w:rPr>
          <w:rStyle w:val="KaynakMetin"/>
          <w:rFonts w:ascii="Courier New;monospace" w:hAnsi="Courier New;monospace" w:eastAsia="Courier New;monospace" w:cs="Courier New;monospace"/>
          <w:sz w:val="20"/>
          <w:szCs w:val="20"/>
        </w:rPr>
        <w:t>yes</w:t>
      </w:r>
      <w:r>
        <w:rPr>
          <w:rFonts w:ascii="Times New Roman;serif" w:hAnsi="Times New Roman;serif" w:eastAsia="Times New Roman;serif" w:cs="Times New Roman;serif"/>
          <w:sz w:val="24"/>
          <w:szCs w:val="24"/>
        </w:rPr>
        <w:t>/</w:t>
      </w:r>
      <w:r>
        <w:rPr>
          <w:rStyle w:val="KaynakMetin"/>
          <w:rFonts w:ascii="Courier New;monospace" w:hAnsi="Courier New;monospace" w:eastAsia="Courier New;monospace" w:cs="Courier New;monospace"/>
          <w:sz w:val="20"/>
          <w:szCs w:val="20"/>
        </w:rPr>
        <w:t>no</w:t>
      </w:r>
      <w:r>
        <w:rPr>
          <w:rFonts w:ascii="Times New Roman;serif" w:hAnsi="Times New Roman;serif" w:eastAsia="Times New Roman;serif" w:cs="Times New Roman;serif"/>
          <w:sz w:val="24"/>
          <w:szCs w:val="24"/>
        </w:rPr>
        <w:t>/</w:t>
      </w:r>
      <w:r>
        <w:rPr>
          <w:rStyle w:val="KaynakMetin"/>
          <w:rFonts w:ascii="Courier New;monospace" w:hAnsi="Courier New;monospace" w:eastAsia="Courier New;monospace" w:cs="Courier New;monospace"/>
          <w:sz w:val="20"/>
          <w:szCs w:val="20"/>
        </w:rPr>
        <w:t>on</w:t>
      </w:r>
      <w:r>
        <w:rPr>
          <w:rFonts w:ascii="Times New Roman;serif" w:hAnsi="Times New Roman;serif" w:eastAsia="Times New Roman;serif" w:cs="Times New Roman;serif"/>
          <w:sz w:val="24"/>
          <w:szCs w:val="24"/>
        </w:rPr>
        <w:t>/</w:t>
      </w:r>
      <w:r>
        <w:rPr>
          <w:rStyle w:val="KaynakMetin"/>
          <w:rFonts w:ascii="Courier New;monospace" w:hAnsi="Courier New;monospace" w:eastAsia="Courier New;monospace" w:cs="Courier New;monospace"/>
          <w:sz w:val="20"/>
          <w:szCs w:val="20"/>
        </w:rPr>
        <w:t>off</w:t>
      </w:r>
      <w:r>
        <w:rPr>
          <w:rFonts w:ascii="Times New Roman;serif" w:hAnsi="Times New Roman;serif" w:eastAsia="Times New Roman;serif" w:cs="Times New Roman;serif"/>
          <w:sz w:val="24"/>
          <w:szCs w:val="24"/>
        </w:rPr>
        <w:t xml:space="preserve"> gibi boolean eşdeğerlerini, onaltılık ve sekizlik tam sayıları, </w:t>
      </w:r>
      <w:r>
        <w:rPr>
          <w:rStyle w:val="KaynakMetin"/>
          <w:rFonts w:ascii="Courier New;monospace" w:hAnsi="Courier New;monospace" w:eastAsia="Courier New;monospace" w:cs="Courier New;monospace"/>
          <w:sz w:val="20"/>
          <w:szCs w:val="20"/>
        </w:rPr>
        <w:t>1:30</w:t>
      </w:r>
      <w:r>
        <w:rPr>
          <w:rFonts w:ascii="Times New Roman;serif" w:hAnsi="Times New Roman;serif" w:eastAsia="Times New Roman;serif" w:cs="Times New Roman;serif"/>
          <w:sz w:val="24"/>
          <w:szCs w:val="24"/>
        </w:rPr>
        <w:t xml:space="preserve"> biçimindeki altmışlık (sexagesimal) sayıları ve tarih/zaman damgalarını da içerecek biçimde genişletir. Dolayısıyla tırnak, YAML'da biçimsel bir tercih değil, anlam taşıyan bir işarettir: </w:t>
      </w:r>
      <w:r>
        <w:rPr>
          <w:rStyle w:val="KaynakMetin"/>
          <w:rFonts w:ascii="Courier New;monospace" w:hAnsi="Courier New;monospace" w:eastAsia="Courier New;monospace" w:cs="Courier New;monospace"/>
          <w:sz w:val="20"/>
          <w:szCs w:val="20"/>
        </w:rPr>
        <w:t>version: "3.8"</w:t>
      </w:r>
      <w:r>
        <w:rPr>
          <w:rFonts w:ascii="Times New Roman;serif" w:hAnsi="Times New Roman;serif" w:eastAsia="Times New Roman;serif" w:cs="Times New Roman;serif"/>
          <w:sz w:val="24"/>
          <w:szCs w:val="24"/>
        </w:rPr>
        <w:t xml:space="preserve"> ile </w:t>
      </w:r>
      <w:r>
        <w:rPr>
          <w:rStyle w:val="KaynakMetin"/>
          <w:rFonts w:ascii="Courier New;monospace" w:hAnsi="Courier New;monospace" w:eastAsia="Courier New;monospace" w:cs="Courier New;monospace"/>
          <w:sz w:val="20"/>
          <w:szCs w:val="20"/>
        </w:rPr>
        <w:t>version: 3.8</w:t>
      </w:r>
      <w:r>
        <w:rPr>
          <w:rFonts w:ascii="Times New Roman;serif" w:hAnsi="Times New Roman;serif" w:eastAsia="Times New Roman;serif" w:cs="Times New Roman;serif"/>
          <w:sz w:val="24"/>
          <w:szCs w:val="24"/>
        </w:rPr>
        <w:t xml:space="preserve"> farklı belgelerdir ve Compose şeması </w:t>
      </w:r>
      <w:r>
        <w:rPr>
          <w:rStyle w:val="KaynakMetin"/>
          <w:rFonts w:ascii="Courier New;monospace" w:hAnsi="Courier New;monospace" w:eastAsia="Courier New;monospace" w:cs="Courier New;monospace"/>
          <w:sz w:val="20"/>
          <w:szCs w:val="20"/>
        </w:rPr>
        <w:t>version</w:t>
      </w:r>
      <w:r>
        <w:rPr>
          <w:rFonts w:ascii="Times New Roman;serif" w:hAnsi="Times New Roman;serif" w:eastAsia="Times New Roman;serif" w:cs="Times New Roman;serif"/>
          <w:sz w:val="24"/>
          <w:szCs w:val="24"/>
        </w:rPr>
        <w:t xml:space="preserve"> alanının string olmasını şart koşar.</w:t>
      </w:r>
    </w:p>
    <w:p w14:paraId="1BDFEB83">
      <w:pPr>
        <w:pStyle w:val="BodyText"/>
        <w:jc w:val="both"/>
      </w:pPr>
      <w:r>
        <w:rPr>
          <w:rFonts w:ascii="Times New Roman;serif" w:hAnsi="Times New Roman;serif" w:eastAsia="Times New Roman;serif" w:cs="Times New Roman;serif"/>
          <w:sz w:val="24"/>
          <w:szCs w:val="24"/>
        </w:rPr>
        <w:t>YAML ayrıca yorum satırları, boş satırlar, girinti tercihleri, anchor/alias (</w:t>
      </w:r>
      <w:r>
        <w:rPr>
          <w:rStyle w:val="KaynakMetin"/>
          <w:rFonts w:ascii="Courier New;monospace" w:hAnsi="Courier New;monospace" w:eastAsia="Courier New;monospace" w:cs="Courier New;monospace"/>
          <w:sz w:val="20"/>
          <w:szCs w:val="20"/>
        </w:rPr>
        <w:t>&amp;ad</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*ad</w:t>
      </w:r>
      <w:r>
        <w:rPr>
          <w:rFonts w:ascii="Times New Roman;serif" w:hAnsi="Times New Roman;serif" w:eastAsia="Times New Roman;serif" w:cs="Times New Roman;serif"/>
          <w:sz w:val="24"/>
          <w:szCs w:val="24"/>
        </w:rPr>
        <w:t>) ve birleştirme anahtarı (</w:t>
      </w:r>
      <w:r>
        <w:rPr>
          <w:rStyle w:val="KaynakMetin"/>
          <w:rFonts w:ascii="Courier New;monospace" w:hAnsi="Courier New;monospace" w:eastAsia="Courier New;monospace" w:cs="Courier New;monospace"/>
          <w:sz w:val="20"/>
          <w:szCs w:val="20"/>
        </w:rPr>
        <w:t>&lt;&lt;</w:t>
      </w:r>
      <w:r>
        <w:rPr>
          <w:rFonts w:ascii="Times New Roman;serif" w:hAnsi="Times New Roman;serif" w:eastAsia="Times New Roman;serif" w:cs="Times New Roman;serif"/>
          <w:sz w:val="24"/>
          <w:szCs w:val="24"/>
        </w:rPr>
        <w:t>) gibi, belgenin veri içeriğine değil sunumuna ait öğeler barındırır. Bu öğelerin bir kısmı ayrıştırma sırasında veri modeline hiç taşınmaz.</w:t>
      </w:r>
    </w:p>
    <w:p w14:paraId="0BA626D4">
      <w:pPr>
        <w:pStyle w:val="Heading3"/>
        <w:jc w:val="left"/>
      </w:pPr>
      <w:r>
        <w:rPr>
          <w:rFonts w:ascii="Liberation Serif" w:hAnsi="Liberation Serif" w:eastAsia="DejaVu Sans" w:cs="DejaVu Sans"/>
          <w:i/>
          <w:iCs/>
          <w:sz w:val="24"/>
          <w:szCs w:val="24"/>
        </w:rPr>
        <w:t>Round-trip düzenleme problemi</w:t>
      </w:r>
    </w:p>
    <w:p w14:paraId="5646E9A2">
      <w:pPr>
        <w:pStyle w:val="BodyText"/>
        <w:jc w:val="both"/>
      </w:pPr>
      <w:r>
        <w:rPr>
          <w:rFonts w:ascii="Times New Roman;serif" w:hAnsi="Times New Roman;serif" w:eastAsia="Times New Roman;serif" w:cs="Times New Roman;serif"/>
          <w:sz w:val="24"/>
          <w:szCs w:val="24"/>
        </w:rPr>
        <w:t xml:space="preserve">Bir yapılandırma dosyasını programatik olarak değiştirmenin olağan yolu </w:t>
      </w:r>
      <w:r>
        <w:rPr>
          <w:rFonts w:ascii="Times New Roman;serif" w:hAnsi="Times New Roman;serif" w:eastAsia="Times New Roman;serif" w:cs="Times New Roman;serif"/>
          <w:i/>
          <w:iCs/>
          <w:sz w:val="24"/>
          <w:szCs w:val="24"/>
        </w:rPr>
        <w:t>ayrıştır → değiştir → serileştir</w:t>
      </w:r>
      <w:r>
        <w:rPr>
          <w:rFonts w:ascii="Times New Roman;serif" w:hAnsi="Times New Roman;serif" w:eastAsia="Times New Roman;serif" w:cs="Times New Roman;serif"/>
          <w:sz w:val="24"/>
          <w:szCs w:val="24"/>
        </w:rPr>
        <w:t xml:space="preserve"> akışıdır. Bu akışın sadakati, kullanılan ara temsile bağlıdır. Somut sözdizimi ağacı (CST) tutan araçlar kaynağın her karakterini saklar ve yalnızca dokunulan aralığı yeniden yazar; ruamel.yaml [4] ve eemeli/yaml [5] bu yaklaşımla yorumları ve biçimi korur. Buna karşılık yaml-cpp [3] gibi kütüphaneler belgeyi değiştirilebilir bir </w:t>
      </w:r>
      <w:r>
        <w:rPr>
          <w:rFonts w:ascii="Times New Roman;serif" w:hAnsi="Times New Roman;serif" w:eastAsia="Times New Roman;serif" w:cs="Times New Roman;serif"/>
          <w:i/>
          <w:iCs/>
          <w:sz w:val="24"/>
          <w:szCs w:val="24"/>
        </w:rPr>
        <w:t>düğüm ağacına</w:t>
      </w:r>
      <w:r>
        <w:rPr>
          <w:rFonts w:ascii="Times New Roman;serif" w:hAnsi="Times New Roman;serif" w:eastAsia="Times New Roman;serif" w:cs="Times New Roman;serif"/>
          <w:sz w:val="24"/>
          <w:szCs w:val="24"/>
        </w:rPr>
        <w:t xml:space="preserve"> ayrıştırır: yapı, anahtar sırası ve değerler korunur, ancak sunum bilgisinin bir kısmı ayrıştırmada kaybolur ve dosya kaydedilirken tüm belge yeniden üretilir. Bu, hedeflenen alanın dışındaki satırların da değişmesine (configuration churn) ve — giriş bölümünde gösterildiği gibi — değerlerin tipinin sessizce değişmesine yol açabilir.</w:t>
      </w:r>
    </w:p>
    <w:p w14:paraId="0A8DFF80">
      <w:pPr>
        <w:pStyle w:val="Heading3"/>
        <w:jc w:val="left"/>
      </w:pPr>
      <w:r>
        <w:rPr>
          <w:rFonts w:ascii="Liberation Serif" w:hAnsi="Liberation Serif" w:eastAsia="DejaVu Sans" w:cs="DejaVu Sans"/>
          <w:i/>
          <w:iCs/>
          <w:sz w:val="24"/>
          <w:szCs w:val="24"/>
        </w:rPr>
        <w:t>İleriye dönük uyumluluk</w:t>
      </w:r>
    </w:p>
    <w:p w14:paraId="0C268270">
      <w:pPr>
        <w:pStyle w:val="BodyText"/>
        <w:jc w:val="both"/>
      </w:pPr>
      <w:r>
        <w:rPr>
          <w:rFonts w:ascii="Times New Roman;serif" w:hAnsi="Times New Roman;serif" w:eastAsia="Times New Roman;serif" w:cs="Times New Roman;serif"/>
          <w:sz w:val="24"/>
          <w:szCs w:val="24"/>
        </w:rPr>
        <w:t xml:space="preserve">Compose Specification gelişmeye devam etmektedir. Bir düzenleme kütüphanesinin nesne modeli, spesifikasyonun her sürümünü takip edemez. Bu nedenle kütüphanenin bilmediği alanları </w:t>
      </w:r>
      <w:r>
        <w:rPr>
          <w:rFonts w:ascii="Times New Roman;serif" w:hAnsi="Times New Roman;serif" w:eastAsia="Times New Roman;serif" w:cs="Times New Roman;serif"/>
          <w:i/>
          <w:iCs/>
          <w:sz w:val="24"/>
          <w:szCs w:val="24"/>
        </w:rPr>
        <w:t>kaybetmemesi</w:t>
      </w:r>
      <w:r>
        <w:rPr>
          <w:rFonts w:ascii="Times New Roman;serif" w:hAnsi="Times New Roman;serif" w:eastAsia="Times New Roman;serif" w:cs="Times New Roman;serif"/>
          <w:sz w:val="24"/>
          <w:szCs w:val="24"/>
        </w:rPr>
        <w:t>, yani modellenmemiş her yapıyı olduğu gibi taşıması pratik bir gerekliliktir. Şema temelli (dataclass/Pydantic benzeri) yaklaşımlar bu noktada dezavantajlıdır: model, tanımadığı bir alanı saklayacak bir yere sahip değilse serileştirmede o alan kaybolur.</w:t>
      </w:r>
    </w:p>
    <w:p w14:paraId="5806EC61">
      <w:pPr>
        <w:pStyle w:val="Heading2"/>
        <w:jc w:val="left"/>
      </w:pPr>
      <w:r>
        <w:rPr>
          <w:rFonts w:ascii="Liberation Serif" w:hAnsi="Liberation Serif" w:eastAsia="DejaVu Sans" w:cs="DejaVu Sans"/>
          <w:b/>
          <w:bCs/>
          <w:sz w:val="24"/>
          <w:szCs w:val="24"/>
        </w:rPr>
        <w:t>III. İLGİLİ ÇALIŞMALAR</w:t>
      </w:r>
    </w:p>
    <w:p w14:paraId="7A474542">
      <w:pPr>
        <w:pStyle w:val="BodyText"/>
        <w:jc w:val="both"/>
      </w:pPr>
      <w:r>
        <w:rPr>
          <w:rFonts w:ascii="Times New Roman;serif" w:hAnsi="Times New Roman;serif" w:eastAsia="Times New Roman;serif" w:cs="Times New Roman;serif"/>
          <w:sz w:val="24"/>
          <w:szCs w:val="24"/>
        </w:rPr>
        <w:t>Bu bölüm, ayrıntılı taraması depoda yayımlanan sistematik inceleme üzerine kuruludur. (</w:t>
      </w:r>
      <w:r>
        <w:rPr>
          <w:rStyle w:val="KaynakMetin"/>
          <w:rFonts w:ascii="Courier New;monospace" w:hAnsi="Courier New;monospace" w:eastAsia="Courier New;monospace" w:cs="Courier New;monospace"/>
          <w:sz w:val="20"/>
          <w:szCs w:val="20"/>
        </w:rPr>
        <w:t>docs/related-work.md); issue durumları 11 Eylül 2026'da GitHub API üzerinden doğrulanmıştır.</w:t>
      </w:r>
    </w:p>
    <w:p w14:paraId="3CCD81A8">
      <w:pPr>
        <w:pStyle w:val="Heading3"/>
        <w:jc w:val="left"/>
      </w:pPr>
      <w:r>
        <w:rPr>
          <w:rFonts w:ascii="Liberation Serif" w:hAnsi="Liberation Serif" w:eastAsia="DejaVu Sans" w:cs="DejaVu Sans"/>
          <w:i/>
          <w:iCs/>
          <w:sz w:val="24"/>
          <w:szCs w:val="24"/>
        </w:rPr>
        <w:t>C ve C++ YAML kütüphaneleri</w:t>
      </w:r>
    </w:p>
    <w:p w14:paraId="36111AE4">
      <w:pPr>
        <w:pStyle w:val="BodyText"/>
        <w:jc w:val="both"/>
      </w:pPr>
      <w:r>
        <w:rPr>
          <w:rFonts w:ascii="Times New Roman;serif" w:hAnsi="Times New Roman;serif" w:eastAsia="Times New Roman;serif" w:cs="Times New Roman;serif"/>
          <w:sz w:val="24"/>
          <w:szCs w:val="24"/>
        </w:rPr>
        <w:t xml:space="preserve">İncelediğimiz C/C++ YAML kütüphanelerinin hiçbiri yorum veya biçim koruyan round-trip düzenlemeyi desteklenen bir özellik olarak belgelememektedir. yaml-cpp [3] yorumları ayrıştırma sırasında atar; bunların korunmasını isteyen talep 2015'ten beri açıktır [8] ve aynı isteği yineleyen ikinci bir kayıt 2026'da kütüphane geliştiricisi tarafından “şu anda böyle bir seçenek yok” notuyla kapatılmıştır [9]. libyaml [10] ayrıştırıcısı yorum belirteci hiç üretmez; bu, eksik bir kolaylık API'si değil mimari bir sınırdır [11]. rapidyaml [12] kaynağı kopyalamayan görünüm tabanlı bir tasarıma sahiptir ve yorum koruma iddiası taşımaz; serileştiricisinde skaler tip sadakatini bozan bir hata 2020'de bildirilmiş ve düzeltilmiştir [13]. O hatada serileştirici fazla tırnaklama yapmış, </w:t>
      </w:r>
      <w:r>
        <w:rPr>
          <w:rStyle w:val="KaynakMetin"/>
          <w:rFonts w:ascii="Courier New;monospace" w:hAnsi="Courier New;monospace" w:eastAsia="Courier New;monospace" w:cs="Courier New;monospace"/>
          <w:sz w:val="20"/>
          <w:szCs w:val="20"/>
        </w:rPr>
        <w:t>-1</w:t>
      </w:r>
      <w:r>
        <w:rPr>
          <w:rFonts w:ascii="Times New Roman;serif" w:hAnsi="Times New Roman;serif" w:eastAsia="Times New Roman;serif" w:cs="Times New Roman;serif"/>
          <w:sz w:val="24"/>
          <w:szCs w:val="24"/>
        </w:rPr>
        <w:t xml:space="preserve"> tam sayısını </w:t>
      </w:r>
      <w:r>
        <w:rPr>
          <w:rStyle w:val="KaynakMetin"/>
          <w:rFonts w:ascii="Courier New;monospace" w:hAnsi="Courier New;monospace" w:eastAsia="Courier New;monospace" w:cs="Courier New;monospace"/>
          <w:sz w:val="20"/>
          <w:szCs w:val="20"/>
        </w:rPr>
        <w:t>'-1'</w:t>
      </w:r>
      <w:r>
        <w:rPr>
          <w:rFonts w:ascii="Times New Roman;serif" w:hAnsi="Times New Roman;serif" w:eastAsia="Times New Roman;serif" w:cs="Times New Roman;serif"/>
          <w:sz w:val="24"/>
          <w:szCs w:val="24"/>
        </w:rPr>
        <w:t xml:space="preserve"> string'i olarak yazmıştır; bu bildiride ölçtüğümüz tırnak kaybının tersi yöndedir. İki durum birlikte, serileştiricinin tırnak kararlarının C++ YAML kütüphanelerinde tekrarlayan bir tip hatası kaynağı olduğunu göstermektedir. fkYAML [14] başlık-tabanlı ve hızlıdır, ancak belgelerinde round-trip koruma iddiası yoktur.</w:t>
      </w:r>
    </w:p>
    <w:p w14:paraId="6D413EE7">
      <w:pPr>
        <w:pStyle w:val="Heading3"/>
        <w:jc w:val="left"/>
      </w:pPr>
      <w:r>
        <w:rPr>
          <w:rFonts w:ascii="Liberation Serif" w:hAnsi="Liberation Serif" w:eastAsia="DejaVu Sans" w:cs="DejaVu Sans"/>
          <w:i/>
          <w:iCs/>
          <w:sz w:val="24"/>
          <w:szCs w:val="24"/>
        </w:rPr>
        <w:t>Yorum koruyan ve CST tabanlı araçlar</w:t>
      </w:r>
    </w:p>
    <w:p w14:paraId="0CDCCD24">
      <w:pPr>
        <w:pStyle w:val="BodyText"/>
        <w:jc w:val="both"/>
      </w:pPr>
      <w:r>
        <w:rPr>
          <w:rFonts w:ascii="Times New Roman;serif" w:hAnsi="Times New Roman;serif" w:eastAsia="Times New Roman;serif" w:cs="Times New Roman;serif"/>
          <w:sz w:val="24"/>
          <w:szCs w:val="24"/>
        </w:rPr>
        <w:t xml:space="preserve">Python'da ruamel.yaml [4] yorumları, anahtar sırasını ve akış biçimini </w:t>
      </w:r>
      <w:r>
        <w:rPr>
          <w:rFonts w:ascii="Times New Roman;serif" w:hAnsi="Times New Roman;serif" w:eastAsia="Times New Roman;serif" w:cs="Times New Roman;serif"/>
          <w:i/>
          <w:iCs/>
          <w:sz w:val="24"/>
          <w:szCs w:val="24"/>
        </w:rPr>
        <w:t>yükle–değiştir–yaz</w:t>
      </w:r>
      <w:r>
        <w:rPr>
          <w:rFonts w:ascii="Times New Roman;serif" w:hAnsi="Times New Roman;serif" w:eastAsia="Times New Roman;serif" w:cs="Times New Roman;serif"/>
          <w:sz w:val="24"/>
          <w:szCs w:val="24"/>
        </w:rPr>
        <w:t xml:space="preserve"> döngüsü boyunca korur. JavaScript'te eemeli/yaml [5] aynı yeteneği, kaynağın her karakterini saklayan bir CST katmanı üzerinden sunar. Rust tarafında yaml-edit [15], kayıpsız sözdizimi ağaçları için kullanılan </w:t>
      </w:r>
      <w:r>
        <w:rPr>
          <w:rStyle w:val="KaynakMetin"/>
          <w:rFonts w:ascii="Courier New;monospace" w:hAnsi="Courier New;monospace" w:eastAsia="Courier New;monospace" w:cs="Courier New;monospace"/>
          <w:sz w:val="20"/>
          <w:szCs w:val="20"/>
        </w:rPr>
        <w:t>rowan</w:t>
      </w:r>
      <w:r>
        <w:rPr>
          <w:rFonts w:ascii="Times New Roman;serif" w:hAnsi="Times New Roman;serif" w:eastAsia="Times New Roman;serif" w:cs="Times New Roman;serif"/>
          <w:sz w:val="24"/>
          <w:szCs w:val="24"/>
        </w:rPr>
        <w:t xml:space="preserve"> altyapısına dayanarak biçim, yorum ve boşlukları korur; benzer kayıpsız-ağaç deseni Python kaynak kodu için LibCST [16] ve genel amaçlı cstree [17] ile de kullanılmaktadır. Bu araçların tümü genel amaçlı YAML'a yöneliktir; hiçbiri Compose'a özgü bir nesne modeli sunmaz ve hiçbiri C++ değildir.</w:t>
      </w:r>
    </w:p>
    <w:p w14:paraId="5E59DC74">
      <w:pPr>
        <w:pStyle w:val="Heading3"/>
        <w:jc w:val="left"/>
      </w:pPr>
      <w:r>
        <w:rPr>
          <w:rFonts w:ascii="Liberation Serif" w:hAnsi="Liberation Serif" w:eastAsia="DejaVu Sans" w:cs="DejaVu Sans"/>
          <w:i/>
          <w:iCs/>
          <w:sz w:val="24"/>
          <w:szCs w:val="24"/>
        </w:rPr>
        <w:t>Kubernetes ve Docker Compose araçları</w:t>
      </w:r>
    </w:p>
    <w:p w14:paraId="256494E7">
      <w:pPr>
        <w:pStyle w:val="BodyText"/>
        <w:jc w:val="both"/>
      </w:pPr>
      <w:r>
        <w:rPr>
          <w:rFonts w:ascii="Times New Roman;serif" w:hAnsi="Times New Roman;serif" w:eastAsia="Times New Roman;serif" w:cs="Times New Roman;serif"/>
          <w:sz w:val="24"/>
          <w:szCs w:val="24"/>
        </w:rPr>
        <w:t xml:space="preserve">Kubernetes ekosisteminde kyaml [7], manifest dosyalarını dönüştürürken yapıyı ve yorumları korumayı hedefler; kustomize ve kpt bu kütüphane üzerine kuruludur. Belgelenmiş sınırı, altında kullandığı go-yaml'ın yorumları her zaman doğru işleyememesi ve bazı yorumların yanlış biçimlenmesi ya da kaybolmasıdır [18]. Docker Compose tarafında compose-go [6] spesifikasyonun resmî başvuru kütüphanesidir, ancak bir yükleyici/doğrulayıcıdır; koruma odaklı bir düzenleme API'si sunmaz. Diğer dillerde Compose dosyasını programatik olarak değiştiren kütüphaneler mevcuttur: Go'da fishfinger [19], Python'da Pydantic/dataclass modelleri üzerinden çalışan compose-py [20], JavaScript'te zincirlenebilir tipli bir API sunan ve bu yönüyle ComposeMorph'un </w:t>
      </w:r>
      <w:r>
        <w:rPr>
          <w:rStyle w:val="KaynakMetin"/>
          <w:rFonts w:ascii="Courier New;monospace" w:hAnsi="Courier New;monospace" w:eastAsia="Courier New;monospace" w:cs="Courier New;monospace"/>
          <w:sz w:val="20"/>
          <w:szCs w:val="20"/>
        </w:rPr>
        <w:t>Service</w:t>
      </w:r>
      <w:r>
        <w:rPr>
          <w:rFonts w:ascii="Times New Roman;serif" w:hAnsi="Times New Roman;serif" w:eastAsia="Times New Roman;serif" w:cs="Times New Roman;serif"/>
          <w:sz w:val="24"/>
          <w:szCs w:val="24"/>
        </w:rPr>
        <w:t xml:space="preserve"> API'sine en çok benzeyen docker-compose-yaml-parser [21]. Bunların hiçbiri bilinmeyen alan veya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koruma oranını ölçülmüş bir garanti olarak belgelemez.</w:t>
      </w:r>
    </w:p>
    <w:p w14:paraId="4EE5946D">
      <w:pPr>
        <w:pStyle w:val="Heading3"/>
        <w:jc w:val="left"/>
      </w:pPr>
      <w:r>
        <w:rPr>
          <w:rFonts w:ascii="Liberation Serif" w:hAnsi="Liberation Serif" w:eastAsia="DejaVu Sans" w:cs="DejaVu Sans"/>
          <w:i/>
          <w:iCs/>
          <w:sz w:val="24"/>
          <w:szCs w:val="24"/>
        </w:rPr>
        <w:t>Ampirik çalışmalar</w:t>
      </w:r>
    </w:p>
    <w:p w14:paraId="6236248D">
      <w:pPr>
        <w:pStyle w:val="BodyText"/>
        <w:jc w:val="both"/>
      </w:pPr>
      <w:r>
        <w:rPr>
          <w:rFonts w:ascii="Times New Roman;serif" w:hAnsi="Times New Roman;serif" w:eastAsia="Times New Roman;serif" w:cs="Times New Roman;serif"/>
          <w:sz w:val="24"/>
          <w:szCs w:val="24"/>
        </w:rPr>
        <w:t>Ibrahim ve arkadaşları 4.103 GitHub projesinde Compose kullanımını incelemiş, dosyaların büyük bölümünün küçük ve seyrek değiştirilen yapılandırmalar olduğunu raporlamıştır [2]; Eng ve arkadaşları gerçek projelerden çok konteynerli kompozisyon örüntülerini kataloglamıştır [22]. Bu çalışmalar, GitHub kaynaklı Compose korpuslarının bu tür değerlendirmeler için yerleşik bir veri kaynağı olduğunu göstermesi bakımından yöntemimizi destekler. Daha geniş çerçevede, YAML'ın model yönetimi dilleriyle işlenmesi üzerine yapılan çalışmalar [23] dönüşümü model seviyesinde ele alır; bu bildirinin odağı ise mevcut bir dosyanın en az yan etkiyle düzenlenmesidir.</w:t>
      </w:r>
    </w:p>
    <w:p w14:paraId="2F3EDFB7">
      <w:pPr>
        <w:pStyle w:val="Heading3"/>
        <w:jc w:val="left"/>
      </w:pPr>
      <w:r>
        <w:rPr>
          <w:rFonts w:ascii="Liberation Serif" w:hAnsi="Liberation Serif" w:eastAsia="DejaVu Sans" w:cs="DejaVu Sans"/>
          <w:i/>
          <w:iCs/>
          <w:sz w:val="24"/>
          <w:szCs w:val="24"/>
        </w:rPr>
        <w:t>Konumlandırma</w:t>
      </w:r>
    </w:p>
    <w:p w14:paraId="04DC8691">
      <w:pPr>
        <w:pStyle w:val="BodyText"/>
        <w:jc w:val="both"/>
      </w:pPr>
      <w:r>
        <w:rPr>
          <w:rFonts w:ascii="Times New Roman;serif" w:hAnsi="Times New Roman;serif" w:eastAsia="Times New Roman;serif" w:cs="Times New Roman;serif"/>
          <w:sz w:val="24"/>
          <w:szCs w:val="24"/>
        </w:rPr>
        <w:t>Bildiğimiz kadarıyla, Docker Compose'a özgü tip-farkında düzenlemeyi ve ölçülmüş ileriye dönük uyumlu bilinmeyen-özellik korumasını bir arada sunan bir C++ kütüphanesi bulunmamaktadır. Bu ifadeyi, taramamızın desteklediği sınırlar içinde kullanıyoruz: ComposeMorph yorum veya tam biçim koruma konusunda diğer ekosistemlerdeki olgun araçlardan daha iyi değildir ve bunu amaçlamaz (Bölüm XI).</w:t>
      </w:r>
    </w:p>
    <w:p w14:paraId="78DC8DAD">
      <w:pPr>
        <w:pStyle w:val="Heading2"/>
        <w:jc w:val="left"/>
      </w:pPr>
      <w:r>
        <w:rPr>
          <w:rFonts w:ascii="Liberation Serif" w:hAnsi="Liberation Serif" w:eastAsia="DejaVu Sans" w:cs="DejaVu Sans"/>
          <w:b/>
          <w:bCs/>
          <w:sz w:val="24"/>
          <w:szCs w:val="24"/>
        </w:rPr>
        <w:t>IV. TASARIM</w:t>
      </w:r>
    </w:p>
    <w:p w14:paraId="54007E3F">
      <w:pPr>
        <w:pStyle w:val="Heading3"/>
        <w:jc w:val="left"/>
      </w:pPr>
      <w:r>
        <w:rPr>
          <w:rFonts w:ascii="Liberation Serif" w:hAnsi="Liberation Serif" w:eastAsia="DejaVu Sans" w:cs="DejaVu Sans"/>
          <w:i/>
          <w:iCs/>
          <w:sz w:val="24"/>
          <w:szCs w:val="24"/>
        </w:rPr>
        <w:t>Nesne modeli</w:t>
      </w:r>
    </w:p>
    <w:p w14:paraId="5A2474F1">
      <w:pPr>
        <w:pStyle w:val="BodyText"/>
        <w:jc w:val="both"/>
      </w:pPr>
      <w:r>
        <w:rPr>
          <w:rFonts w:ascii="Times New Roman;serif" w:hAnsi="Times New Roman;serif" w:eastAsia="Times New Roman;serif" w:cs="Times New Roman;serif"/>
          <w:sz w:val="24"/>
          <w:szCs w:val="24"/>
        </w:rPr>
        <w:t xml:space="preserve">Kütüphanenin giriş noktası </w:t>
      </w:r>
      <w:r>
        <w:rPr>
          <w:rStyle w:val="KaynakMetin"/>
          <w:rFonts w:ascii="Courier New;monospace" w:hAnsi="Courier New;monospace" w:eastAsia="Courier New;monospace" w:cs="Courier New;monospace"/>
          <w:sz w:val="20"/>
          <w:szCs w:val="20"/>
        </w:rPr>
        <w:t>ComposeFile</w:t>
      </w:r>
      <w:r>
        <w:rPr>
          <w:rFonts w:ascii="Times New Roman;serif" w:hAnsi="Times New Roman;serif" w:eastAsia="Times New Roman;serif" w:cs="Times New Roman;serif"/>
          <w:sz w:val="24"/>
          <w:szCs w:val="24"/>
        </w:rPr>
        <w:t xml:space="preserve"> sınıfıdır: bir dosyayı yükler, servislere ve üst seviye koleksiyonlara erişim verir, dosyayı kaydeder. </w:t>
      </w:r>
      <w:r>
        <w:rPr>
          <w:rStyle w:val="KaynakMetin"/>
          <w:rFonts w:ascii="Courier New;monospace" w:hAnsi="Courier New;monospace" w:eastAsia="Courier New;monospace" w:cs="Courier New;monospace"/>
          <w:sz w:val="20"/>
          <w:szCs w:val="20"/>
        </w:rPr>
        <w:t>service(ad)</w:t>
      </w:r>
      <w:r>
        <w:rPr>
          <w:rFonts w:ascii="Times New Roman;serif" w:hAnsi="Times New Roman;serif" w:eastAsia="Times New Roman;serif" w:cs="Times New Roman;serif"/>
          <w:sz w:val="24"/>
          <w:szCs w:val="24"/>
        </w:rPr>
        <w:t xml:space="preserve"> çağrısı bir </w:t>
      </w:r>
      <w:r>
        <w:rPr>
          <w:rStyle w:val="KaynakMetin"/>
          <w:rFonts w:ascii="Courier New;monospace" w:hAnsi="Courier New;monospace" w:eastAsia="Courier New;monospace" w:cs="Courier New;monospace"/>
          <w:sz w:val="20"/>
          <w:szCs w:val="20"/>
        </w:rPr>
        <w:t>Service</w:t>
      </w:r>
      <w:r>
        <w:rPr>
          <w:rFonts w:ascii="Times New Roman;serif" w:hAnsi="Times New Roman;serif" w:eastAsia="Times New Roman;serif" w:cs="Times New Roman;serif"/>
          <w:sz w:val="24"/>
          <w:szCs w:val="24"/>
        </w:rPr>
        <w:t xml:space="preserve"> nesnesi döndürür; </w:t>
      </w:r>
      <w:r>
        <w:rPr>
          <w:rStyle w:val="KaynakMetin"/>
          <w:rFonts w:ascii="Courier New;monospace" w:hAnsi="Courier New;monospace" w:eastAsia="Courier New;monospace" w:cs="Courier New;monospace"/>
          <w:sz w:val="20"/>
          <w:szCs w:val="20"/>
        </w:rPr>
        <w:t>Service</w:t>
      </w:r>
      <w:r>
        <w:rPr>
          <w:rFonts w:ascii="Times New Roman;serif" w:hAnsi="Times New Roman;serif" w:eastAsia="Times New Roman;serif" w:cs="Times New Roman;serif"/>
          <w:sz w:val="24"/>
          <w:szCs w:val="24"/>
        </w:rPr>
        <w:t xml:space="preserve"> de Compose kavramlarını doğrudan yansıtan alt nesneler sunar (</w:t>
      </w:r>
      <w:r>
        <w:rPr>
          <w:rStyle w:val="KaynakMetin"/>
          <w:rFonts w:ascii="Courier New;monospace" w:hAnsi="Courier New;monospace" w:eastAsia="Courier New;monospace" w:cs="Courier New;monospace"/>
          <w:sz w:val="20"/>
          <w:szCs w:val="20"/>
        </w:rPr>
        <w:t>Environment</w:t>
      </w:r>
      <w:r>
        <w:rPr>
          <w:rFonts w:ascii="Times New Roman;serif" w:hAnsi="Times New Roman;serif" w:eastAsia="Times New Roman;serif" w:cs="Times New Roman;serif"/>
          <w:sz w:val="24"/>
          <w:szCs w:val="24"/>
        </w:rPr>
        <w:t xml:space="preserve"> sınıfı </w:t>
      </w:r>
      <w:r>
        <w:rPr>
          <w:rStyle w:val="KaynakMetin"/>
          <w:rFonts w:ascii="Courier New;monospace" w:hAnsi="Courier New;monospace" w:eastAsia="Courier New;monospace" w:cs="Courier New;monospace"/>
          <w:sz w:val="20"/>
          <w:szCs w:val="20"/>
        </w:rPr>
        <w:t>labels</w:t>
      </w:r>
      <w:r>
        <w:rPr>
          <w:rFonts w:ascii="Times New Roman;serif" w:hAnsi="Times New Roman;serif" w:eastAsia="Times New Roman;serif" w:cs="Times New Roman;serif"/>
          <w:sz w:val="24"/>
          <w:szCs w:val="24"/>
        </w:rPr>
        <w:t xml:space="preserve"> için de kullanılır). Şekil 1 sınıflar arasındaki ilişkiyi göstermektedir.</w:t>
      </w:r>
    </w:p>
    <w:p w14:paraId="55C0B2DE">
      <w:pPr>
        <w:pStyle w:val="ncedenBiimlendirilmiMetin"/>
        <w:jc w:val="left"/>
      </w:pPr>
      <w:r>
        <w:rPr>
          <w:rFonts w:ascii="Courier New;monospace" w:hAnsi="Courier New;monospace" w:eastAsia="Courier New;monospace" w:cs="Courier New;monospace"/>
          <w:sz w:val="20"/>
          <w:szCs w:val="20"/>
        </w:rPr>
        <w:t>ComposeFile</w:t>
      </w:r>
    </w:p>
    <w:p w14:paraId="01DB062A">
      <w:pPr>
        <w:pStyle w:val="ncedenBiimlendirilmiMetin"/>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 xml:space="preserve">+-- Service  (service(ad))</w:t>
      </w:r>
    </w:p>
    <w:p w14:paraId="374455EF">
      <w:pPr>
        <w:pStyle w:val="ncedenBiimlendirilmiMetin"/>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 xml:space="preserve">|    +-- Environment, ExtraHosts</w:t>
      </w:r>
    </w:p>
    <w:p w14:paraId="3AAA8D0A">
      <w:pPr>
        <w:pStyle w:val="ncedenBiimlendirilmiMetin"/>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 xml:space="preserve">|    +-- Ports, Volumes, Networks</w:t>
      </w:r>
    </w:p>
    <w:p w14:paraId="7718C6F6">
      <w:pPr>
        <w:pStyle w:val="ncedenBiimlendirilmiMetin"/>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 xml:space="preserve">|    +-- BuildConfig, HealthCheck</w:t>
      </w:r>
    </w:p>
    <w:p w14:paraId="65D5758E">
      <w:pPr>
        <w:pStyle w:val="ncedenBiimlendirilmiMetin"/>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 xml:space="preserve">|    +-- DependsOn, DeployConfig</w:t>
      </w:r>
    </w:p>
    <w:p w14:paraId="1B2996C6">
      <w:pPr>
        <w:pStyle w:val="ncedenBiimlendirilmiMetin"/>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 NetworkCollection, VolumeCollection</w:t>
      </w:r>
    </w:p>
    <w:p w14:paraId="4FDABE36">
      <w:pPr>
        <w:pStyle w:val="ncedenBiimlendirilmiMetin"/>
        <w:spacing w:before="0" w:after="283"/>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 ConfigCollection, SecretCollection</w:t>
      </w:r>
    </w:p>
    <w:p w14:paraId="04E35220">
      <w:pPr>
        <w:pStyle w:val="GvdeMetnicaption"/>
        <w:jc w:val="center"/>
      </w:pPr>
      <w:r>
        <w:rPr>
          <w:rFonts w:ascii="Times New Roman;serif" w:hAnsi="Times New Roman;serif" w:eastAsia="Times New Roman;serif" w:cs="Times New Roman;serif"/>
          <w:b/>
          <w:bCs/>
          <w:sz w:val="20"/>
          <w:szCs w:val="20"/>
        </w:rPr>
        <w:t>Şekil 1.</w:t>
      </w:r>
      <w:r>
        <w:rPr>
          <w:rFonts w:ascii="Times New Roman;serif" w:hAnsi="Times New Roman;serif" w:eastAsia="Times New Roman;serif" w:cs="Times New Roman;serif"/>
          <w:sz w:val="20"/>
          <w:szCs w:val="20"/>
        </w:rPr>
        <w:t xml:space="preserve"> ComposeMorph nesne modeli. Her sınıf, YAML düğüm ağacındaki ilgili düğüme tutunan ince bir görünümdür.</w:t>
      </w:r>
    </w:p>
    <w:p w14:paraId="2D051EEF">
      <w:pPr>
        <w:pStyle w:val="BodyText"/>
        <w:jc w:val="both"/>
      </w:pPr>
      <w:r>
        <w:rPr>
          <w:rFonts w:ascii="Times New Roman;serif" w:hAnsi="Times New Roman;serif" w:eastAsia="Times New Roman;serif" w:cs="Times New Roman;serif"/>
          <w:sz w:val="24"/>
          <w:szCs w:val="24"/>
        </w:rPr>
        <w:t xml:space="preserve">Bu sınıfların hiçbiri veriyi kendi içinde kopyalamaz; her biri, altta yatan YAML düğüm ağacının ilgili düğümüne tutunan ince bir görünümdür. Bir </w:t>
      </w:r>
      <w:r>
        <w:rPr>
          <w:rStyle w:val="KaynakMetin"/>
          <w:rFonts w:ascii="Courier New;monospace" w:hAnsi="Courier New;monospace" w:eastAsia="Courier New;monospace" w:cs="Courier New;monospace"/>
          <w:sz w:val="20"/>
          <w:szCs w:val="20"/>
        </w:rPr>
        <w:t>Service</w:t>
      </w:r>
      <w:r>
        <w:rPr>
          <w:rFonts w:ascii="Times New Roman;serif" w:hAnsi="Times New Roman;serif" w:eastAsia="Times New Roman;serif" w:cs="Times New Roman;serif"/>
          <w:sz w:val="24"/>
          <w:szCs w:val="24"/>
        </w:rPr>
        <w:t xml:space="preserve"> nesnesi, servisin düğümüne bir tutamaçtır; üzerinde yapılan her değişiklik doğrudan ağaçta gerçekleşir. Böylece kütüphanenin modellemediği kardeş alanlar, düzenleme sırasında hiçbir zaman okunup yeniden yazılmaz.</w:t>
      </w:r>
    </w:p>
    <w:p w14:paraId="7738189D">
      <w:pPr>
        <w:pStyle w:val="Heading3"/>
        <w:jc w:val="left"/>
      </w:pPr>
      <w:r>
        <w:rPr>
          <w:rFonts w:ascii="Liberation Serif" w:hAnsi="Liberation Serif" w:eastAsia="DejaVu Sans" w:cs="DejaVu Sans"/>
          <w:i/>
          <w:iCs/>
          <w:sz w:val="24"/>
          <w:szCs w:val="24"/>
        </w:rPr>
        <w:t>Tipli API ile genel API'nin ilişkisi</w:t>
      </w:r>
    </w:p>
    <w:p w14:paraId="3DFB44C1">
      <w:pPr>
        <w:pStyle w:val="BodyText"/>
        <w:jc w:val="both"/>
      </w:pPr>
      <w:r>
        <w:rPr>
          <w:rFonts w:ascii="Times New Roman;serif" w:hAnsi="Times New Roman;serif" w:eastAsia="Times New Roman;serif" w:cs="Times New Roman;serif"/>
          <w:sz w:val="24"/>
          <w:szCs w:val="24"/>
        </w:rPr>
        <w:t>Tipli API, spesifikasyonun sık kullanılan alanlarını adlandırılmış işlemlerle sunar; örneğin bir imaj etiketini güncellemek tek satırdır:</w:t>
      </w:r>
    </w:p>
    <w:p w14:paraId="6892FB9E">
      <w:pPr>
        <w:pStyle w:val="ncedenBiimlendirilmiMetin"/>
        <w:jc w:val="left"/>
      </w:pPr>
      <w:r>
        <w:rPr>
          <w:rFonts w:ascii="Courier New;monospace" w:hAnsi="Courier New;monospace" w:eastAsia="Courier New;monospace" w:cs="Courier New;monospace"/>
          <w:sz w:val="20"/>
          <w:szCs w:val="20"/>
        </w:rPr>
        <w:t>compose.service("api")</w:t>
      </w:r>
    </w:p>
    <w:p w14:paraId="0B6E1ABF">
      <w:pPr>
        <w:pStyle w:val="ncedenBiimlendirilmiMetin"/>
        <w:spacing w:before="0" w:after="283"/>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.setImage("company/api:2.0");</w:t>
      </w:r>
    </w:p>
    <w:p w14:paraId="5421D75B">
      <w:pPr>
        <w:pStyle w:val="BodyText"/>
        <w:jc w:val="both"/>
      </w:pPr>
      <w:r>
        <w:rPr>
          <w:rFonts w:ascii="Times New Roman;serif" w:hAnsi="Times New Roman;serif" w:eastAsia="Times New Roman;serif" w:cs="Times New Roman;serif"/>
          <w:sz w:val="24"/>
          <w:szCs w:val="24"/>
        </w:rPr>
        <w:t>Modellenmemiş her alan için aynı nesne, nokta-yollu genel bir özellik API'si sağlar:</w:t>
      </w:r>
    </w:p>
    <w:p w14:paraId="5E2BA064">
      <w:pPr>
        <w:pStyle w:val="ncedenBiimlendirilmiMetin"/>
        <w:jc w:val="left"/>
      </w:pPr>
      <w:r>
        <w:rPr>
          <w:rFonts w:ascii="Courier New;monospace" w:hAnsi="Courier New;monospace" w:eastAsia="Courier New;monospace" w:cs="Courier New;monospace"/>
          <w:sz w:val="20"/>
          <w:szCs w:val="20"/>
        </w:rPr>
        <w:t>api.set("x-company-security.hsm", "enabled");</w:t>
      </w:r>
    </w:p>
    <w:p w14:paraId="665912B6">
      <w:pPr>
        <w:pStyle w:val="ncedenBiimlendirilmiMetin"/>
        <w:jc w:val="left"/>
      </w:pPr>
      <w:r>
        <w:rPr>
          <w:rFonts w:ascii="Courier New;monospace" w:hAnsi="Courier New;monospace" w:eastAsia="Courier New;monospace" w:cs="Courier New;monospace"/>
          <w:sz w:val="20"/>
          <w:szCs w:val="20"/>
        </w:rPr>
        <w:t>auto v = api.get&lt;std::string&gt;(</w:t>
      </w:r>
    </w:p>
    <w:p w14:paraId="23DBB238">
      <w:pPr>
        <w:pStyle w:val="ncedenBiimlendirilmiMetin"/>
        <w:jc w:val="left"/>
      </w:pPr>
      <w:r>
        <w:rPr>
          <w:rFonts w:ascii="Courier New;monospace" w:hAnsi="Courier New;monospace" w:eastAsia="Courier New;monospace" w:cs="Courier New;monospace"/>
          <w:sz w:val="20"/>
          <w:szCs w:val="20"/>
        </w:rPr>
        <w:t xml:space="preserve">    </w:t>
      </w:r>
      <w:r>
        <w:rPr>
          <w:rFonts w:ascii="Courier New;monospace" w:hAnsi="Courier New;monospace" w:eastAsia="Courier New;monospace" w:cs="Courier New;monospace"/>
          <w:sz w:val="20"/>
          <w:szCs w:val="20"/>
        </w:rPr>
        <w:t>"logging.options.max-file");</w:t>
      </w:r>
    </w:p>
    <w:p w14:paraId="6109E44A">
      <w:pPr>
        <w:pStyle w:val="ncedenBiimlendirilmiMetin"/>
        <w:spacing w:before="0" w:after="283"/>
        <w:jc w:val="left"/>
      </w:pPr>
      <w:r>
        <w:rPr>
          <w:rFonts w:ascii="Courier New;monospace" w:hAnsi="Courier New;monospace" w:eastAsia="Courier New;monospace" w:cs="Courier New;monospace"/>
          <w:sz w:val="20"/>
          <w:szCs w:val="20"/>
        </w:rPr>
        <w:t>api.remove("deploy.placement.constraints");</w:t>
      </w:r>
    </w:p>
    <w:p w14:paraId="00B14A88">
      <w:pPr>
        <w:pStyle w:val="BodyText"/>
        <w:jc w:val="both"/>
      </w:pPr>
      <w:r>
        <w:rPr>
          <w:rFonts w:ascii="Times New Roman;serif" w:hAnsi="Times New Roman;serif" w:eastAsia="Times New Roman;serif" w:cs="Times New Roman;serif"/>
          <w:sz w:val="24"/>
          <w:szCs w:val="24"/>
        </w:rPr>
        <w:t>İki API aynı ağaç üzerinde çalışır ve birbirinin yerine geçebilir: tipli işlemler, genel API'nin yapacağı düğüm yazma işleminin adlandırılmış ve tip kontrollü bir kısayoludur. Bu ilişki, ileriye dönük uyumluluğun kaynağıdır. Spesifikasyona yarın eklenecek bir alan için kütüphanenin güncellenmesi gerekmez; alan genel API ile okunup yazılabilir, hiç dokunulmasa bile dosyada aynen kalır.</w:t>
      </w:r>
    </w:p>
    <w:p w14:paraId="23D36007">
      <w:pPr>
        <w:pStyle w:val="Heading3"/>
        <w:jc w:val="left"/>
      </w:pPr>
      <w:r>
        <w:rPr>
          <w:rFonts w:ascii="Liberation Serif" w:hAnsi="Liberation Serif" w:eastAsia="DejaVu Sans" w:cs="DejaVu Sans"/>
          <w:i/>
          <w:iCs/>
          <w:sz w:val="24"/>
          <w:szCs w:val="24"/>
        </w:rPr>
        <w:t>Kısa ve uzun sözdizimi</w:t>
      </w:r>
    </w:p>
    <w:p w14:paraId="37FDE4F5">
      <w:pPr>
        <w:pStyle w:val="BodyText"/>
        <w:jc w:val="both"/>
      </w:pPr>
      <w:r>
        <w:rPr>
          <w:rFonts w:ascii="Times New Roman;serif" w:hAnsi="Times New Roman;serif" w:eastAsia="Times New Roman;serif" w:cs="Times New Roman;serif"/>
          <w:sz w:val="24"/>
          <w:szCs w:val="24"/>
        </w:rPr>
        <w:t xml:space="preserve">Ortam değişkenleri, etiketler ve ek host kayıtları için kullanılan sınıflar, altlarındaki düğümün liste mi yoksa eşleme mi olduğunu çalışma zamanında tespit eder ve dosyanın mevcut biçimini korur. Örneğin ortam değişkenleri kısa sözdiziminde, yani </w:t>
      </w:r>
      <w:r>
        <w:rPr>
          <w:rStyle w:val="KaynakMetin"/>
          <w:rFonts w:ascii="Courier New;monospace" w:hAnsi="Courier New;monospace" w:eastAsia="Courier New;monospace" w:cs="Courier New;monospace"/>
          <w:sz w:val="20"/>
          <w:szCs w:val="20"/>
        </w:rPr>
        <w:t>KEY=value</w:t>
      </w:r>
      <w:r>
        <w:rPr>
          <w:rFonts w:ascii="Times New Roman;serif" w:hAnsi="Times New Roman;serif" w:eastAsia="Times New Roman;serif" w:cs="Times New Roman;serif"/>
          <w:sz w:val="24"/>
          <w:szCs w:val="24"/>
        </w:rPr>
        <w:t xml:space="preserve"> biçimindeki liste girdileri olarak yazılmışsa, bir değişkeni güncelleyen çağrı ilgili girdiyi yerinde değiştirir ya da listenin sonuna yeni bir girdi ekler; bölümü eşlemeye dönüştürmez. </w:t>
      </w:r>
      <w:r>
        <w:rPr>
          <w:rStyle w:val="KaynakMetin"/>
          <w:rFonts w:ascii="Courier New;monospace" w:hAnsi="Courier New;monospace" w:eastAsia="Courier New;monospace" w:cs="Courier New;monospace"/>
          <w:sz w:val="20"/>
          <w:szCs w:val="20"/>
        </w:rPr>
        <w:t>Ports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Volumes</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Networks</w:t>
      </w:r>
      <w:r>
        <w:rPr>
          <w:rFonts w:ascii="Times New Roman;serif" w:hAnsi="Times New Roman;serif" w:eastAsia="Times New Roman;serif" w:cs="Times New Roman;serif"/>
          <w:sz w:val="24"/>
          <w:szCs w:val="24"/>
        </w:rPr>
        <w:t xml:space="preserve"> yardımcıları ise yalnızca kısa sözdizimli liste girdilerini destekler; uzun sözdizimi desteği henüz yoktur (Bölüm XI).</w:t>
      </w:r>
    </w:p>
    <w:p w14:paraId="2AFEB631">
      <w:pPr>
        <w:pStyle w:val="Heading3"/>
        <w:jc w:val="left"/>
      </w:pPr>
      <w:r>
        <w:rPr>
          <w:rFonts w:ascii="Liberation Serif" w:hAnsi="Liberation Serif" w:eastAsia="DejaVu Sans" w:cs="DejaVu Sans"/>
          <w:i/>
          <w:iCs/>
          <w:sz w:val="24"/>
          <w:szCs w:val="24"/>
        </w:rPr>
        <w:t>Hata yönetimi ve güvenli kaydetme</w:t>
      </w:r>
    </w:p>
    <w:p w14:paraId="6764D2A6">
      <w:pPr>
        <w:pStyle w:val="BodyText"/>
        <w:jc w:val="both"/>
      </w:pPr>
      <w:r>
        <w:rPr>
          <w:rFonts w:ascii="Times New Roman;serif" w:hAnsi="Times New Roman;serif" w:eastAsia="Times New Roman;serif" w:cs="Times New Roman;serif"/>
          <w:sz w:val="24"/>
          <w:szCs w:val="24"/>
        </w:rPr>
        <w:t xml:space="preserve">Ayrıştırılamayan dosya, bulunamayan servis ve iş kuralı ihlali, her biri kendi istisna türüyle bildirilir; örneğin olmayan bir servise erişim </w:t>
      </w:r>
      <w:r>
        <w:rPr>
          <w:rStyle w:val="KaynakMetin"/>
          <w:rFonts w:ascii="Courier New;monospace" w:hAnsi="Courier New;monospace" w:eastAsia="Courier New;monospace" w:cs="Courier New;monospace"/>
          <w:sz w:val="20"/>
          <w:szCs w:val="20"/>
        </w:rPr>
        <w:t>ServiceNotFoundException</w:t>
      </w:r>
      <w:r>
        <w:rPr>
          <w:rFonts w:ascii="Times New Roman;serif" w:hAnsi="Times New Roman;serif" w:eastAsia="Times New Roman;serif" w:cs="Times New Roman;serif"/>
          <w:sz w:val="24"/>
          <w:szCs w:val="24"/>
        </w:rPr>
        <w:t xml:space="preserve"> fırlatır. Kaydetme varsayılan olarak atomiktir: içerik önce geçici bir dosyaya yazılır, ardından hedefin üzerine </w:t>
      </w:r>
      <w:r>
        <w:rPr>
          <w:rStyle w:val="KaynakMetin"/>
          <w:rFonts w:ascii="Courier New;monospace" w:hAnsi="Courier New;monospace" w:eastAsia="Courier New;monospace" w:cs="Courier New;monospace"/>
          <w:sz w:val="20"/>
          <w:szCs w:val="20"/>
        </w:rPr>
        <w:t>rename</w:t>
      </w:r>
      <w:r>
        <w:rPr>
          <w:rFonts w:ascii="Times New Roman;serif" w:hAnsi="Times New Roman;serif" w:eastAsia="Times New Roman;serif" w:cs="Times New Roman;serif"/>
          <w:sz w:val="24"/>
          <w:szCs w:val="24"/>
        </w:rPr>
        <w:t xml:space="preserve"> ile taşınır; böylece yazma sırasında oluşan bir kesinti mevcut dosyayı yarım bırakmaz. İsteğe bağlı olarak </w:t>
      </w:r>
      <w:r>
        <w:rPr>
          <w:rStyle w:val="KaynakMetin"/>
          <w:rFonts w:ascii="Courier New;monospace" w:hAnsi="Courier New;monospace" w:eastAsia="Courier New;monospace" w:cs="Courier New;monospace"/>
          <w:sz w:val="20"/>
          <w:szCs w:val="20"/>
        </w:rPr>
        <w:t>.bak</w:t>
      </w:r>
      <w:r>
        <w:rPr>
          <w:rFonts w:ascii="Times New Roman;serif" w:hAnsi="Times New Roman;serif" w:eastAsia="Times New Roman;serif" w:cs="Times New Roman;serif"/>
          <w:sz w:val="24"/>
          <w:szCs w:val="24"/>
        </w:rPr>
        <w:t xml:space="preserve"> yedeği alınabilir.</w:t>
      </w:r>
    </w:p>
    <w:p w14:paraId="0613BF8B">
      <w:pPr>
        <w:pStyle w:val="Heading2"/>
        <w:jc w:val="left"/>
      </w:pPr>
      <w:r>
        <w:rPr>
          <w:rFonts w:ascii="Liberation Serif" w:hAnsi="Liberation Serif" w:eastAsia="DejaVu Sans" w:cs="DejaVu Sans"/>
          <w:b/>
          <w:bCs/>
          <w:sz w:val="24"/>
          <w:szCs w:val="24"/>
        </w:rPr>
        <w:t>V. ROUND-TRIP DÖNÜŞÜM YAKLAŞIMI</w:t>
      </w:r>
    </w:p>
    <w:p w14:paraId="0899CA54">
      <w:pPr>
        <w:pStyle w:val="Heading3"/>
        <w:jc w:val="left"/>
      </w:pPr>
      <w:r>
        <w:rPr>
          <w:rFonts w:ascii="Liberation Serif" w:hAnsi="Liberation Serif" w:eastAsia="DejaVu Sans" w:cs="DejaVu Sans"/>
          <w:i/>
          <w:iCs/>
          <w:sz w:val="24"/>
          <w:szCs w:val="24"/>
        </w:rPr>
        <w:t>Ayrıştırma modeli ve neyin korunduğu</w:t>
      </w:r>
    </w:p>
    <w:p w14:paraId="47A27391">
      <w:pPr>
        <w:pStyle w:val="BodyText"/>
        <w:jc w:val="both"/>
      </w:pPr>
      <w:r>
        <w:rPr>
          <w:rFonts w:ascii="Times New Roman;serif" w:hAnsi="Times New Roman;serif" w:eastAsia="Times New Roman;serif" w:cs="Times New Roman;serif"/>
          <w:sz w:val="24"/>
          <w:szCs w:val="24"/>
        </w:rPr>
        <w:t xml:space="preserve">ComposeMorph, belgeyi yaml-cpp'nin değiştirilebilir düğüm ağacına ayrıştırır. Bu bir CST değildir: kaynak metnin karakter aralıkları saklanmaz. Ağaçta korunan bilgi şunlardır: belge yapısı, eşlemelerde anahtar sırası, koleksiyonların akış/blok stili, skaler değerlerin metni, anchor ile paylaşılan düğümlerin kimliği ve — bu çalışma için kritik olan — skalerin kaynakta tırnaksız yazılıp yazılmadığını gösteren </w:t>
      </w:r>
      <w:r>
        <w:rPr>
          <w:rFonts w:ascii="Times New Roman;serif" w:hAnsi="Times New Roman;serif" w:eastAsia="Times New Roman;serif" w:cs="Times New Roman;serif"/>
          <w:i/>
          <w:iCs/>
          <w:sz w:val="24"/>
          <w:szCs w:val="24"/>
        </w:rPr>
        <w:t>belirtisiz etiket</w:t>
      </w:r>
      <w:r>
        <w:rPr>
          <w:rFonts w:ascii="Times New Roman;serif" w:hAnsi="Times New Roman;serif" w:eastAsia="Times New Roman;serif" w:cs="Times New Roman;serif"/>
          <w:sz w:val="24"/>
          <w:szCs w:val="24"/>
        </w:rPr>
        <w:t xml:space="preserve">: tırnaksız (plain) skalerler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tırnaklı ve blok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&gt;</w:t>
      </w:r>
      <w:r>
        <w:rPr>
          <w:rFonts w:ascii="Times New Roman;serif" w:hAnsi="Times New Roman;serif" w:eastAsia="Times New Roman;serif" w:cs="Times New Roman;serif"/>
          <w:sz w:val="24"/>
          <w:szCs w:val="24"/>
        </w:rPr>
        <w:t xml:space="preserve">) skalerler ise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etiketi taşır. Ayrıştırmada kaybolan bilgi ise yorumlar, boş satırlar, girinti genişliği, tek/çift tırnak ayrımı, blok skaler stili ve anchor adlarıdır.</w:t>
      </w:r>
    </w:p>
    <w:p w14:paraId="621EB4B9">
      <w:pPr>
        <w:pStyle w:val="Heading3"/>
        <w:jc w:val="left"/>
      </w:pPr>
      <w:r>
        <w:rPr>
          <w:rFonts w:ascii="Liberation Serif" w:hAnsi="Liberation Serif" w:eastAsia="DejaVu Sans" w:cs="DejaVu Sans"/>
          <w:i/>
          <w:iCs/>
          <w:sz w:val="24"/>
          <w:szCs w:val="24"/>
        </w:rPr>
        <w:t>Değişiklik izleme ve çakışmalar</w:t>
      </w:r>
    </w:p>
    <w:p w14:paraId="65209D72">
      <w:pPr>
        <w:pStyle w:val="BodyText"/>
        <w:jc w:val="both"/>
      </w:pPr>
      <w:r>
        <w:rPr>
          <w:rFonts w:ascii="Times New Roman;serif" w:hAnsi="Times New Roman;serif" w:eastAsia="Times New Roman;serif" w:cs="Times New Roman;serif"/>
          <w:sz w:val="24"/>
          <w:szCs w:val="24"/>
        </w:rPr>
        <w:t xml:space="preserve">Kütüphane bir değişiklik günlüğü tutmaz. Her düzenleme, ilgili düğüme doğrudan yazar; dolayısıyla birleştirilecek iki sürüm ve çözülecek bir çakışma durumu oluşmaz. Modellenmemiş alanlar hiçbir aşamada okunmaz, kopyalanmaz veya yeniden inşa edilmez; kaydetmede ağaçta ne varsa o yazılır. Bilinmeyen özelliklerin ve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alanlarının korunması, ek bir mekanizmanın değil bu tasarım kararının sonucudur.</w:t>
      </w:r>
    </w:p>
    <w:p w14:paraId="25B32246">
      <w:pPr>
        <w:pStyle w:val="Heading3"/>
        <w:jc w:val="left"/>
      </w:pPr>
      <w:r>
        <w:rPr>
          <w:rFonts w:ascii="Liberation Serif" w:hAnsi="Liberation Serif" w:eastAsia="DejaVu Sans" w:cs="DejaVu Sans"/>
          <w:i/>
          <w:iCs/>
          <w:sz w:val="24"/>
          <w:szCs w:val="24"/>
        </w:rPr>
        <w:t>Serileştirme</w:t>
      </w:r>
    </w:p>
    <w:p w14:paraId="2CCF38B8">
      <w:pPr>
        <w:pStyle w:val="BodyText"/>
        <w:jc w:val="both"/>
      </w:pPr>
      <w:r>
        <w:rPr>
          <w:rFonts w:ascii="Times New Roman;serif" w:hAnsi="Times New Roman;serif" w:eastAsia="Times New Roman;serif" w:cs="Times New Roman;serif"/>
          <w:sz w:val="24"/>
          <w:szCs w:val="24"/>
        </w:rPr>
        <w:t xml:space="preserve">yaml-cpp'nin varsayılan serileştiricisi bir skaleri tırnaksız yazmanın güvenli olup olmadığına yalnızca metnine bakarak karar verir: 0.8.0 sürümünde </w:t>
      </w:r>
      <w:r>
        <w:rPr>
          <w:rStyle w:val="KaynakMetin"/>
          <w:rFonts w:ascii="Courier New;monospace" w:hAnsi="Courier New;monospace" w:eastAsia="Courier New;monospace" w:cs="Courier New;monospace"/>
          <w:sz w:val="20"/>
          <w:szCs w:val="20"/>
        </w:rPr>
        <w:t>IsValidPlainScalar</w:t>
      </w:r>
      <w:r>
        <w:rPr>
          <w:rFonts w:ascii="Times New Roman;serif" w:hAnsi="Times New Roman;serif" w:eastAsia="Times New Roman;serif" w:cs="Times New Roman;serif"/>
          <w:sz w:val="24"/>
          <w:szCs w:val="24"/>
        </w:rPr>
        <w:t xml:space="preserve"> işlevi değeri null benzeri değerlere (</w:t>
      </w:r>
      <w:r>
        <w:rPr>
          <w:rStyle w:val="KaynakMetin"/>
          <w:rFonts w:ascii="Courier New;monospace" w:hAnsi="Courier New;monospace" w:eastAsia="Courier New;monospace" w:cs="Courier New;monospace"/>
          <w:sz w:val="20"/>
          <w:szCs w:val="20"/>
        </w:rPr>
        <w:t>null</w:t>
      </w:r>
      <w:r>
        <w:rPr>
          <w:rFonts w:ascii="Times New Roman;serif" w:hAnsi="Times New Roman;serif" w:eastAsia="Times New Roman;serif" w:cs="Times New Roman;serif"/>
          <w:sz w:val="24"/>
          <w:szCs w:val="24"/>
        </w:rPr>
        <w:t xml:space="preserve">, , boş string) ve sözdizimsel olarak sakıncalı karakterlere karşı sınar, fakat boolean veya sayı gibi görünmesini dikkate almaz. Ayrıca ayrıştırmada üretilen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etiketi serileştirmede yok sayılır. Sonuç, giriş bölümünde örneklenen davranıştır: </w:t>
      </w:r>
      <w:r>
        <w:rPr>
          <w:rStyle w:val="KaynakMetin"/>
          <w:rFonts w:ascii="Courier New;monospace" w:hAnsi="Courier New;monospace" w:eastAsia="Courier New;monospace" w:cs="Courier New;monospace"/>
          <w:sz w:val="20"/>
          <w:szCs w:val="20"/>
        </w:rPr>
        <w:t>version: "3.8"</w:t>
      </w:r>
      <w:r>
        <w:rPr>
          <w:rFonts w:ascii="Times New Roman;serif" w:hAnsi="Times New Roman;serif" w:eastAsia="Times New Roman;serif" w:cs="Times New Roman;serif"/>
          <w:sz w:val="24"/>
          <w:szCs w:val="24"/>
        </w:rPr>
        <w:t xml:space="preserve"> tırnaksız yazılır ve yeniden okunduğunda artık string değil kayan noktalı sayıdır.</w:t>
      </w:r>
    </w:p>
    <w:p w14:paraId="2147F233">
      <w:pPr>
        <w:pStyle w:val="BodyText"/>
        <w:jc w:val="both"/>
      </w:pPr>
      <w:r>
        <w:rPr>
          <w:rFonts w:ascii="Times New Roman;serif" w:hAnsi="Times New Roman;serif" w:eastAsia="Times New Roman;serif" w:cs="Times New Roman;serif"/>
          <w:sz w:val="24"/>
          <w:szCs w:val="24"/>
        </w:rPr>
        <w:t>Bu nedenle ComposeMorph, kaydetmeyi kendi ağaç yürütücüsü üzerinden yapar. Yürütücü, yaml-cpp'nin kendi düğüm serileştiricisiyle aynı çıktıyı üretir (aynı anchor/alias numaralandırması, aynı etiketler, aynı akış/blok stili, aynı anahtar sırası); tek farkı skaler yazma kararıdır:</w:t>
      </w:r>
    </w:p>
    <w:p w14:paraId="37533975">
      <w:pPr>
        <w:pStyle w:val="BodyText"/>
        <w:numPr>
          <w:ilvl w:val="0"/>
          <w:numId w:val="2"/>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Birinci geçiş.</w:t>
      </w:r>
      <w:r>
        <w:rPr>
          <w:rFonts w:ascii="Times New Roman;serif" w:hAnsi="Times New Roman;serif" w:eastAsia="Times New Roman;serif" w:cs="Times New Roman;serif"/>
          <w:sz w:val="24"/>
          <w:szCs w:val="24"/>
        </w:rPr>
        <w:t xml:space="preserve"> Ağaç dolaşılarak her düğümün kaç kez referans edildiği sayılır. Bir düğüme birden çok yoldan ulaşılıyorsa o düğüm anchor gerektiriyor demektir. Kimlik karşılaştırması düğüm kimliği üzerinden yapılır; arama uzayını daraltmak için düğümler kaynaktaki konumlarına göre kovalara ayrılır.</w:t>
      </w:r>
    </w:p>
    <w:p w14:paraId="2AD6EB11">
      <w:pPr>
        <w:pStyle w:val="BodyText"/>
        <w:numPr>
          <w:ilvl w:val="0"/>
          <w:numId w:val="2"/>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İkinci geçiş.</w:t>
      </w:r>
      <w:r>
        <w:rPr>
          <w:rFonts w:ascii="Times New Roman;serif" w:hAnsi="Times New Roman;serif" w:eastAsia="Times New Roman;serif" w:cs="Times New Roman;serif"/>
          <w:sz w:val="24"/>
          <w:szCs w:val="24"/>
        </w:rPr>
        <w:t xml:space="preserve"> Ağaç yeniden dolaşılır ve yazılır. Birden çok referanslı bir düğüme ilk ulaşıldığında bir anchor atanır, sonraki ulaşımlarda alias yazılır. Eşlemeler ve diziler için düğümün stili (akış/blok) uygulanır.</w:t>
      </w:r>
    </w:p>
    <w:p w14:paraId="2195DC93">
      <w:pPr>
        <w:pStyle w:val="BodyText"/>
        <w:numPr>
          <w:ilvl w:val="0"/>
          <w:numId w:val="2"/>
        </w:numPr>
        <w:tabs>
          <w:tab w:val="clear" w:pos="709"/>
          <w:tab w:val="left" w:pos="709"/>
        </w:tabs>
        <w:ind w:left="709" w:hanging="283"/>
        <w:jc w:val="both"/>
      </w:pPr>
      <w:r>
        <w:rPr>
          <w:rFonts w:ascii="Times New Roman;serif" w:hAnsi="Times New Roman;serif" w:eastAsia="Times New Roman;serif" w:cs="Times New Roman;serif"/>
          <w:b/>
          <w:bCs/>
          <w:sz w:val="24"/>
          <w:szCs w:val="24"/>
        </w:rPr>
        <w:t>Skaler yazma kuralı.</w:t>
      </w:r>
      <w:r>
        <w:rPr>
          <w:rFonts w:ascii="Times New Roman;serif" w:hAnsi="Times New Roman;serif" w:eastAsia="Times New Roman;serif" w:cs="Times New Roman;serif"/>
          <w:sz w:val="24"/>
          <w:szCs w:val="24"/>
        </w:rPr>
        <w:t xml:space="preserve"> Düğüm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etiketi taşıyorsa (yani kaynakta tırnaklı ya da blok skaler olarak yazıldıysa) değer çift tırnakla yazılır; aksi hâlde yazma kararı yaml-cpp'nin varsayılan davranışına bırakılır. Böylece kaynakta tırnaksız yazılmış sayılar ve boolean'lar tırnaksız kalır, tırnaklı yazılmış string'ler string olarak kalır.</w:t>
      </w:r>
    </w:p>
    <w:p w14:paraId="0D979251">
      <w:pPr>
        <w:pStyle w:val="Heading3"/>
        <w:jc w:val="left"/>
      </w:pPr>
      <w:r>
        <w:rPr>
          <w:rFonts w:ascii="Liberation Serif" w:hAnsi="Liberation Serif" w:eastAsia="DejaVu Sans" w:cs="DejaVu Sans"/>
          <w:i/>
          <w:iCs/>
          <w:sz w:val="24"/>
          <w:szCs w:val="24"/>
        </w:rPr>
        <w:t>API üzerinden yazılan değerler</w:t>
      </w:r>
    </w:p>
    <w:p w14:paraId="08CC8C1D">
      <w:pPr>
        <w:pStyle w:val="BodyText"/>
        <w:jc w:val="both"/>
      </w:pPr>
      <w:r>
        <w:rPr>
          <w:rFonts w:ascii="Times New Roman;serif" w:hAnsi="Times New Roman;serif" w:eastAsia="Times New Roman;serif" w:cs="Times New Roman;serif"/>
          <w:sz w:val="24"/>
          <w:szCs w:val="24"/>
        </w:rPr>
        <w:t xml:space="preserve">Round-trip sadakati, yalnızca dosyadan gelen değerleri kapsar. API üzerinden yazılan bir string de aynı tuzağa düşebilir: örneğin </w:t>
      </w:r>
      <w:r>
        <w:rPr>
          <w:rStyle w:val="KaynakMetin"/>
          <w:rFonts w:ascii="Courier New;monospace" w:hAnsi="Courier New;monospace" w:eastAsia="Courier New;monospace" w:cs="Courier New;monospace"/>
          <w:sz w:val="20"/>
          <w:szCs w:val="20"/>
        </w:rPr>
        <w:t>setCommand({"run", "--workers", "4"})</w:t>
      </w:r>
      <w:r>
        <w:rPr>
          <w:rFonts w:ascii="Times New Roman;serif" w:hAnsi="Times New Roman;serif" w:eastAsia="Times New Roman;serif" w:cs="Times New Roman;serif"/>
          <w:sz w:val="24"/>
          <w:szCs w:val="24"/>
        </w:rPr>
        <w:t xml:space="preserve"> çağrısında </w:t>
      </w:r>
      <w:r>
        <w:rPr>
          <w:rStyle w:val="KaynakMetin"/>
          <w:rFonts w:ascii="Courier New;monospace" w:hAnsi="Courier New;monospace" w:eastAsia="Courier New;monospace" w:cs="Courier New;monospace"/>
          <w:sz w:val="20"/>
          <w:szCs w:val="20"/>
        </w:rPr>
        <w:t>"4"</w:t>
      </w:r>
      <w:r>
        <w:rPr>
          <w:rFonts w:ascii="Times New Roman;serif" w:hAnsi="Times New Roman;serif" w:eastAsia="Times New Roman;serif" w:cs="Times New Roman;serif"/>
          <w:sz w:val="24"/>
          <w:szCs w:val="24"/>
        </w:rPr>
        <w:t xml:space="preserve"> tırnaksız yazılırsa Compose şeması </w:t>
      </w:r>
      <w:r>
        <w:rPr>
          <w:rStyle w:val="KaynakMetin"/>
          <w:rFonts w:ascii="Courier New;monospace" w:hAnsi="Courier New;monospace" w:eastAsia="Courier New;monospace" w:cs="Courier New;monospace"/>
          <w:sz w:val="20"/>
          <w:szCs w:val="20"/>
        </w:rPr>
        <w:t>command</w:t>
      </w:r>
      <w:r>
        <w:rPr>
          <w:rFonts w:ascii="Times New Roman;serif" w:hAnsi="Times New Roman;serif" w:eastAsia="Times New Roman;serif" w:cs="Times New Roman;serif"/>
          <w:sz w:val="24"/>
          <w:szCs w:val="24"/>
        </w:rPr>
        <w:t xml:space="preserve"> dizisinin tüm elemanlarının string olmasını beklediği için dosya reddedilir. Bu nedenle string alan her setter, yazdığı değeri bir belirsizlik sınamasından geçirir: değer tırnaksız yazıldığında YAML 1.1 veya YAML 1.2 çekirdek şemasına göre null, boolean, tam sayı, kayan nokta, altmışlık sayı, zaman damgası ya da birleştirme anahtarı olarak çözümlenecekse düğüm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ile işaretlenir ve yukarıdaki kural gereği tırnaklı yazılır. Sınama kasıtlı olarak geniş tutulmuştur: gereksiz tırnaklamanın bedeli estetiktir, eksik tırnaklamanın bedeli sessiz tip değişimidir.</w:t>
      </w:r>
    </w:p>
    <w:p w14:paraId="492FFD6B">
      <w:pPr>
        <w:pStyle w:val="BodyText"/>
        <w:jc w:val="both"/>
      </w:pPr>
      <w:r>
        <w:rPr>
          <w:rFonts w:ascii="Times New Roman;serif" w:hAnsi="Times New Roman;serif" w:eastAsia="Times New Roman;serif" w:cs="Times New Roman;serif"/>
          <w:sz w:val="24"/>
          <w:szCs w:val="24"/>
        </w:rPr>
        <w:t>Mevcut bir değerin üzerine yazıldığında etiket korunduğu için, kaynakta tırnaklı olan bir alan güncellendikten sonra da tırnaklı kalır; kaynakta tırnaksız olan bir alan ise değeri belirsiz olmadıkça tırnaksız kalır.</w:t>
      </w:r>
    </w:p>
    <w:p w14:paraId="24162157">
      <w:pPr>
        <w:pStyle w:val="Heading3"/>
        <w:jc w:val="left"/>
      </w:pPr>
      <w:r>
        <w:rPr>
          <w:rFonts w:ascii="Liberation Serif" w:hAnsi="Liberation Serif" w:eastAsia="DejaVu Sans" w:cs="DejaVu Sans"/>
          <w:i/>
          <w:iCs/>
          <w:sz w:val="24"/>
          <w:szCs w:val="24"/>
        </w:rPr>
        <w:t>Desteklenmeyen YAML özellikleri</w:t>
      </w:r>
    </w:p>
    <w:p w14:paraId="28023C94">
      <w:pPr>
        <w:pStyle w:val="BodyText"/>
        <w:jc w:val="both"/>
      </w:pPr>
      <w:r>
        <w:rPr>
          <w:rFonts w:ascii="Times New Roman;serif" w:hAnsi="Times New Roman;serif" w:eastAsia="Times New Roman;serif" w:cs="Times New Roman;serif"/>
          <w:sz w:val="24"/>
          <w:szCs w:val="24"/>
        </w:rPr>
        <w:t>Yorumlar ve boş satırlar ayrıştırmada kaybolduğu için çıktıda bulunmaz. Anchor/alias yapıları korunur — somut değerlere genişletilmez — ancak anchor adları ayrıştırıcı tarafından saklanmadığından çıktıda otomatik üretilmiş sayısal adlarla (</w:t>
      </w:r>
      <w:r>
        <w:rPr>
          <w:rStyle w:val="KaynakMetin"/>
          <w:rFonts w:ascii="Courier New;monospace" w:hAnsi="Courier New;monospace" w:eastAsia="Courier New;monospace" w:cs="Courier New;monospace"/>
          <w:sz w:val="20"/>
          <w:szCs w:val="20"/>
        </w:rPr>
        <w:t>&amp;1</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*1</w:t>
      </w:r>
      <w:r>
        <w:rPr>
          <w:rFonts w:ascii="Times New Roman;serif" w:hAnsi="Times New Roman;serif" w:eastAsia="Times New Roman;serif" w:cs="Times New Roman;serif"/>
          <w:sz w:val="24"/>
          <w:szCs w:val="24"/>
        </w:rPr>
        <w:t>) yeniden yazılır. Tek tırnaklı skalerler çift tırnakla yazılır. Blok skalerlerin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&gt;</w:t>
      </w:r>
      <w:r>
        <w:rPr>
          <w:rFonts w:ascii="Times New Roman;serif" w:hAnsi="Times New Roman;serif" w:eastAsia="Times New Roman;serif" w:cs="Times New Roman;serif"/>
          <w:sz w:val="24"/>
          <w:szCs w:val="24"/>
        </w:rPr>
        <w:t xml:space="preserve">) içeriği korunur, ancak stil bilgisi saklanmadığından değer kaçış dizileri içeren tek satırlık çift tırnaklı bir string olarak yazılır (örneğin </w:t>
      </w:r>
      <w:r>
        <w:rPr>
          <w:rStyle w:val="KaynakMetin"/>
          <w:rFonts w:ascii="Courier New;monospace" w:hAnsi="Courier New;monospace" w:eastAsia="Courier New;monospace" w:cs="Courier New;monospace"/>
          <w:sz w:val="20"/>
          <w:szCs w:val="20"/>
        </w:rPr>
        <w:t>"echo one necho two n"</w:t>
      </w:r>
      <w:r>
        <w:rPr>
          <w:rFonts w:ascii="Times New Roman;serif" w:hAnsi="Times New Roman;serif" w:eastAsia="Times New Roman;serif" w:cs="Times New Roman;serif"/>
          <w:sz w:val="24"/>
          <w:szCs w:val="24"/>
        </w:rPr>
        <w:t>); Veri Kümesi B'deki 647 dosyanın 55'inde (%8,5) en az bir blok skaler bulunmaktadır. Bu davranışlar ölçümleriyle birlikte bulgular (Bölüm VIII) ve kısıtlamalar (Bölüm XI) bölümlerinde raporlanmaktadır.</w:t>
      </w:r>
    </w:p>
    <w:p w14:paraId="3ED24989">
      <w:pPr>
        <w:pStyle w:val="Heading2"/>
        <w:jc w:val="left"/>
      </w:pPr>
      <w:r>
        <w:rPr>
          <w:rFonts w:ascii="Liberation Serif" w:hAnsi="Liberation Serif" w:eastAsia="DejaVu Sans" w:cs="DejaVu Sans"/>
          <w:b/>
          <w:bCs/>
          <w:sz w:val="24"/>
          <w:szCs w:val="24"/>
        </w:rPr>
        <w:t>VI. GERÇEKLEŞTİRİM</w:t>
      </w:r>
    </w:p>
    <w:p w14:paraId="6A3BB15D">
      <w:pPr>
        <w:pStyle w:val="BodyText"/>
        <w:jc w:val="both"/>
      </w:pPr>
      <w:r>
        <w:rPr>
          <w:rFonts w:ascii="Times New Roman;serif" w:hAnsi="Times New Roman;serif" w:eastAsia="Times New Roman;serif" w:cs="Times New Roman;serif"/>
          <w:sz w:val="24"/>
          <w:szCs w:val="24"/>
        </w:rPr>
        <w:t>ComposeMorph C++20 ile yazılmıştır ve GCC 11 veya Clang 13 ve üzeri derleyicilerle kurulabilir; değerlendirmede GCC 14.2 kullanılmıştır. Derleme sistemi CMake (≥ 3.16), tek dış bağımlılık yaml-cpp'dir (≥ 0.7.0; ölçümlerde 0.8.0). Birim testleri GoogleTest ile yazılmış ve CTest'e bağlanmıştır; paket şu anda 11 test içermektedir ve bunların dördü bu çalışmada ortaya çıkan hatalar için yazılmış gerileme (regression) testleridir.</w:t>
      </w:r>
    </w:p>
    <w:p w14:paraId="1E075CE9">
      <w:pPr>
        <w:pStyle w:val="BodyText"/>
        <w:jc w:val="both"/>
      </w:pPr>
      <w:r>
        <w:rPr>
          <w:rFonts w:ascii="Times New Roman;serif" w:hAnsi="Times New Roman;serif" w:eastAsia="Times New Roman;serif" w:cs="Times New Roman;serif"/>
          <w:sz w:val="24"/>
          <w:szCs w:val="24"/>
        </w:rPr>
        <w:t xml:space="preserve">Kütüphanenin kendisi yaklaşık 2.100 satırdır (1.495 satır kaynak, 606 satır başlık). Değerlendirme altyapısı ayrıca beş adet C++ ölçüm aracı (toplam 557 satır) ve on iki Python betiği (toplam yaklaşık 4.140 satır) içerir. Depoda </w:t>
      </w:r>
      <w:r>
        <w:rPr>
          <w:rStyle w:val="KaynakMetin"/>
          <w:rFonts w:ascii="Courier New;monospace" w:hAnsi="Courier New;monospace" w:eastAsia="Courier New;monospace" w:cs="Courier New;monospace"/>
          <w:sz w:val="20"/>
          <w:szCs w:val="20"/>
        </w:rPr>
        <w:t>src/</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include/</w:t>
      </w:r>
      <w:r>
        <w:rPr>
          <w:rFonts w:ascii="Times New Roman;serif" w:hAnsi="Times New Roman;serif" w:eastAsia="Times New Roman;serif" w:cs="Times New Roman;serif"/>
          <w:sz w:val="24"/>
          <w:szCs w:val="24"/>
        </w:rPr>
        <w:t xml:space="preserve"> kütüphaneyi, </w:t>
      </w:r>
      <w:r>
        <w:rPr>
          <w:rStyle w:val="KaynakMetin"/>
          <w:rFonts w:ascii="Courier New;monospace" w:hAnsi="Courier New;monospace" w:eastAsia="Courier New;monospace" w:cs="Courier New;monospace"/>
          <w:sz w:val="20"/>
          <w:szCs w:val="20"/>
        </w:rPr>
        <w:t>benchmarks/</w:t>
      </w:r>
      <w:r>
        <w:rPr>
          <w:rFonts w:ascii="Times New Roman;serif" w:hAnsi="Times New Roman;serif" w:eastAsia="Times New Roman;serif" w:cs="Times New Roman;serif"/>
          <w:sz w:val="24"/>
          <w:szCs w:val="24"/>
        </w:rPr>
        <w:t xml:space="preserve"> ölçüm araçlarını, </w:t>
      </w:r>
      <w:r>
        <w:rPr>
          <w:rStyle w:val="KaynakMetin"/>
          <w:rFonts w:ascii="Courier New;monospace" w:hAnsi="Courier New;monospace" w:eastAsia="Courier New;monospace" w:cs="Courier New;monospace"/>
          <w:sz w:val="20"/>
          <w:szCs w:val="20"/>
        </w:rPr>
        <w:t>datasets/</w:t>
      </w:r>
      <w:r>
        <w:rPr>
          <w:rFonts w:ascii="Times New Roman;serif" w:hAnsi="Times New Roman;serif" w:eastAsia="Times New Roman;serif" w:cs="Times New Roman;serif"/>
          <w:sz w:val="24"/>
          <w:szCs w:val="24"/>
        </w:rPr>
        <w:t xml:space="preserve"> iki veri kümesini, </w:t>
      </w:r>
      <w:r>
        <w:rPr>
          <w:rStyle w:val="KaynakMetin"/>
          <w:rFonts w:ascii="Courier New;monospace" w:hAnsi="Courier New;monospace" w:eastAsia="Courier New;monospace" w:cs="Courier New;monospace"/>
          <w:sz w:val="20"/>
          <w:szCs w:val="20"/>
        </w:rPr>
        <w:t>scripts/</w:t>
      </w:r>
      <w:r>
        <w:rPr>
          <w:rFonts w:ascii="Times New Roman;serif" w:hAnsi="Times New Roman;serif" w:eastAsia="Times New Roman;serif" w:cs="Times New Roman;serif"/>
          <w:sz w:val="24"/>
          <w:szCs w:val="24"/>
        </w:rPr>
        <w:t xml:space="preserve"> deney sürücülerini, </w:t>
      </w:r>
      <w:r>
        <w:rPr>
          <w:rStyle w:val="KaynakMetin"/>
          <w:rFonts w:ascii="Courier New;monospace" w:hAnsi="Courier New;monospace" w:eastAsia="Courier New;monospace" w:cs="Courier New;monospace"/>
          <w:sz w:val="20"/>
          <w:szCs w:val="20"/>
        </w:rPr>
        <w:t>results/</w:t>
      </w:r>
      <w:r>
        <w:rPr>
          <w:rFonts w:ascii="Times New Roman;serif" w:hAnsi="Times New Roman;serif" w:eastAsia="Times New Roman;serif" w:cs="Times New Roman;serif"/>
          <w:sz w:val="24"/>
          <w:szCs w:val="24"/>
        </w:rPr>
        <w:t xml:space="preserve"> ham çıktıları, tabloları ve figürleri, </w:t>
      </w:r>
      <w:r>
        <w:rPr>
          <w:rStyle w:val="KaynakMetin"/>
          <w:rFonts w:ascii="Courier New;monospace" w:hAnsi="Courier New;monospace" w:eastAsia="Courier New;monospace" w:cs="Courier New;monospace"/>
          <w:sz w:val="20"/>
          <w:szCs w:val="20"/>
        </w:rPr>
        <w:t>paper/</w:t>
      </w:r>
      <w:r>
        <w:rPr>
          <w:rFonts w:ascii="Times New Roman;serif" w:hAnsi="Times New Roman;serif" w:eastAsia="Times New Roman;serif" w:cs="Times New Roman;serif"/>
          <w:sz w:val="24"/>
          <w:szCs w:val="24"/>
        </w:rPr>
        <w:t xml:space="preserve"> ise bu bildiriyi barındırır.</w:t>
      </w:r>
    </w:p>
    <w:p w14:paraId="4B76A450">
      <w:pPr>
        <w:pStyle w:val="BodyText"/>
        <w:jc w:val="both"/>
      </w:pPr>
      <w:r>
        <w:rPr>
          <w:rFonts w:ascii="Times New Roman;serif" w:hAnsi="Times New Roman;serif" w:eastAsia="Times New Roman;serif" w:cs="Times New Roman;serif"/>
          <w:sz w:val="24"/>
          <w:szCs w:val="24"/>
        </w:rPr>
        <w:t xml:space="preserve">Docker Compose ile bütünleşme iki düzeydedir. Kütüphane içinde </w:t>
      </w:r>
      <w:r>
        <w:rPr>
          <w:rStyle w:val="KaynakMetin"/>
          <w:rFonts w:ascii="Courier New;monospace" w:hAnsi="Courier New;monospace" w:eastAsia="Courier New;monospace" w:cs="Courier New;monospace"/>
          <w:sz w:val="20"/>
          <w:szCs w:val="20"/>
        </w:rPr>
        <w:t>ComposeFile::validate()</w:t>
      </w:r>
      <w:r>
        <w:rPr>
          <w:rFonts w:ascii="Times New Roman;serif" w:hAnsi="Times New Roman;serif" w:eastAsia="Times New Roman;serif" w:cs="Times New Roman;serif"/>
          <w:sz w:val="24"/>
          <w:szCs w:val="24"/>
        </w:rPr>
        <w:t xml:space="preserve"> temel iş kuralı denetimleri yapar (örneğin bir servisin </w:t>
      </w:r>
      <w:r>
        <w:rPr>
          <w:rStyle w:val="KaynakMetin"/>
          <w:rFonts w:ascii="Courier New;monospace" w:hAnsi="Courier New;monospace" w:eastAsia="Courier New;monospace" w:cs="Courier New;monospace"/>
          <w:sz w:val="20"/>
          <w:szCs w:val="20"/>
        </w:rPr>
        <w:t>image</w:t>
      </w:r>
      <w:r>
        <w:rPr>
          <w:rFonts w:ascii="Times New Roman;serif" w:hAnsi="Times New Roman;serif" w:eastAsia="Times New Roman;serif" w:cs="Times New Roman;serif"/>
          <w:sz w:val="24"/>
          <w:szCs w:val="24"/>
        </w:rPr>
        <w:t xml:space="preserve"> ya da </w:t>
      </w:r>
      <w:r>
        <w:rPr>
          <w:rStyle w:val="KaynakMetin"/>
          <w:rFonts w:ascii="Courier New;monospace" w:hAnsi="Courier New;monospace" w:eastAsia="Courier New;monospace" w:cs="Courier New;monospace"/>
          <w:sz w:val="20"/>
          <w:szCs w:val="20"/>
        </w:rPr>
        <w:t>build</w:t>
      </w:r>
      <w:r>
        <w:rPr>
          <w:rFonts w:ascii="Times New Roman;serif" w:hAnsi="Times New Roman;serif" w:eastAsia="Times New Roman;serif" w:cs="Times New Roman;serif"/>
          <w:sz w:val="24"/>
          <w:szCs w:val="24"/>
        </w:rPr>
        <w:t xml:space="preserve"> alanlarından en az birini taşıması). Asıl doğrulama ise dış araçla yapılır: üretilen her çıktı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komutundan geçirilir (Bölüm VII).</w:t>
      </w:r>
    </w:p>
    <w:p w14:paraId="2D2B4602">
      <w:pPr>
        <w:pStyle w:val="Heading2"/>
        <w:jc w:val="left"/>
      </w:pPr>
      <w:r>
        <w:rPr>
          <w:rFonts w:ascii="Liberation Serif" w:hAnsi="Liberation Serif" w:eastAsia="DejaVu Sans" w:cs="DejaVu Sans"/>
          <w:b/>
          <w:bCs/>
          <w:sz w:val="24"/>
          <w:szCs w:val="24"/>
        </w:rPr>
        <w:t>VII. DENEYSEL YÖNTEM</w:t>
      </w:r>
    </w:p>
    <w:p w14:paraId="5E20E802">
      <w:pPr>
        <w:pStyle w:val="Heading3"/>
        <w:jc w:val="left"/>
      </w:pPr>
      <w:r>
        <w:rPr>
          <w:rFonts w:ascii="Liberation Serif" w:hAnsi="Liberation Serif" w:eastAsia="DejaVu Sans" w:cs="DejaVu Sans"/>
          <w:i/>
          <w:iCs/>
          <w:sz w:val="24"/>
          <w:szCs w:val="24"/>
        </w:rPr>
        <w:t>Araştırma soruları</w:t>
      </w:r>
    </w:p>
    <w:p w14:paraId="20B15220">
      <w:pPr>
        <w:pStyle w:val="BodyText"/>
        <w:numPr>
          <w:ilvl w:val="0"/>
          <w:numId w:val="3"/>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RQ1 (Doğruluk):</w:t>
      </w:r>
      <w:r>
        <w:rPr>
          <w:rFonts w:ascii="Times New Roman;serif" w:hAnsi="Times New Roman;serif" w:eastAsia="Times New Roman;serif" w:cs="Times New Roman;serif"/>
          <w:sz w:val="24"/>
          <w:szCs w:val="24"/>
        </w:rPr>
        <w:t xml:space="preserve"> Kütüphane gerçek Compose dosyalarını ayrıştırıp değiştirdikten sonra geçerli Compose dosyaları üretiyor mu?</w:t>
      </w:r>
    </w:p>
    <w:p w14:paraId="2B376310">
      <w:pPr>
        <w:pStyle w:val="BodyText"/>
        <w:numPr>
          <w:ilvl w:val="0"/>
          <w:numId w:val="3"/>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RQ2 (Koruma):</w:t>
      </w:r>
      <w:r>
        <w:rPr>
          <w:rFonts w:ascii="Times New Roman;serif" w:hAnsi="Times New Roman;serif" w:eastAsia="Times New Roman;serif" w:cs="Times New Roman;serif"/>
          <w:sz w:val="24"/>
          <w:szCs w:val="24"/>
        </w:rPr>
        <w:t xml:space="preserve"> Yalnızca belirli bir alan değiştirildiğinde, değişiklikle ilgisi olmayan yapılandırma bilgisinin ne kadarı korunuyor?</w:t>
      </w:r>
    </w:p>
    <w:p w14:paraId="41B8ADCD">
      <w:pPr>
        <w:pStyle w:val="BodyText"/>
        <w:numPr>
          <w:ilvl w:val="0"/>
          <w:numId w:val="3"/>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RQ3 (Değişiklik yerelliği):</w:t>
      </w:r>
      <w:r>
        <w:rPr>
          <w:rFonts w:ascii="Times New Roman;serif" w:hAnsi="Times New Roman;serif" w:eastAsia="Times New Roman;serif" w:cs="Times New Roman;serif"/>
          <w:sz w:val="24"/>
          <w:szCs w:val="24"/>
        </w:rPr>
        <w:t xml:space="preserve"> Hedeflenen alan değiştirilirken dosyada ne kadar gereksiz değişiklik oluşuyor?</w:t>
      </w:r>
    </w:p>
    <w:p w14:paraId="7886C733">
      <w:pPr>
        <w:pStyle w:val="BodyText"/>
        <w:numPr>
          <w:ilvl w:val="0"/>
          <w:numId w:val="3"/>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RQ4 (İleriye dönük uyumluluk):</w:t>
      </w:r>
      <w:r>
        <w:rPr>
          <w:rFonts w:ascii="Times New Roman;serif" w:hAnsi="Times New Roman;serif" w:eastAsia="Times New Roman;serif" w:cs="Times New Roman;serif"/>
          <w:sz w:val="24"/>
          <w:szCs w:val="24"/>
        </w:rPr>
        <w:t xml:space="preserve"> Nesne modelinde tanımlanmamış Compose özellikleri kaybedilmeden taşınıyor mu?</w:t>
      </w:r>
    </w:p>
    <w:p w14:paraId="30BEFBEB">
      <w:pPr>
        <w:pStyle w:val="BodyText"/>
        <w:numPr>
          <w:ilvl w:val="0"/>
          <w:numId w:val="3"/>
        </w:numPr>
        <w:tabs>
          <w:tab w:val="clear" w:pos="709"/>
          <w:tab w:val="left" w:pos="709"/>
        </w:tabs>
        <w:ind w:left="709" w:hanging="283"/>
        <w:jc w:val="both"/>
      </w:pPr>
      <w:r>
        <w:rPr>
          <w:rFonts w:ascii="Times New Roman;serif" w:hAnsi="Times New Roman;serif" w:eastAsia="Times New Roman;serif" w:cs="Times New Roman;serif"/>
          <w:b/>
          <w:bCs/>
          <w:sz w:val="24"/>
          <w:szCs w:val="24"/>
        </w:rPr>
        <w:t>RQ5 (Performans):</w:t>
      </w:r>
      <w:r>
        <w:rPr>
          <w:rFonts w:ascii="Times New Roman;serif" w:hAnsi="Times New Roman;serif" w:eastAsia="Times New Roman;serif" w:cs="Times New Roman;serif"/>
          <w:sz w:val="24"/>
          <w:szCs w:val="24"/>
        </w:rPr>
        <w:t xml:space="preserve"> Yükleme, değiştirme ve serileştirme maliyeti gerçek kullanım için kabul edilebilir mi?</w:t>
      </w:r>
    </w:p>
    <w:p w14:paraId="037B4266">
      <w:pPr>
        <w:pStyle w:val="Heading3"/>
        <w:jc w:val="left"/>
      </w:pPr>
      <w:r>
        <w:rPr>
          <w:rFonts w:ascii="Liberation Serif" w:hAnsi="Liberation Serif" w:eastAsia="DejaVu Sans" w:cs="DejaVu Sans"/>
          <w:i/>
          <w:iCs/>
          <w:sz w:val="24"/>
          <w:szCs w:val="24"/>
        </w:rPr>
        <w:t>Veri kümeleri</w:t>
      </w:r>
    </w:p>
    <w:p w14:paraId="4876EB14">
      <w:pPr>
        <w:pStyle w:val="BodyText"/>
        <w:jc w:val="both"/>
      </w:pPr>
      <w:r>
        <w:rPr>
          <w:rFonts w:ascii="Times New Roman;serif" w:hAnsi="Times New Roman;serif" w:eastAsia="Times New Roman;serif" w:cs="Times New Roman;serif"/>
          <w:b/>
          <w:bCs/>
          <w:sz w:val="24"/>
          <w:szCs w:val="24"/>
        </w:rPr>
        <w:t>Veri Kümesi A (kontrollü)</w:t>
      </w:r>
      <w:r>
        <w:rPr>
          <w:rFonts w:ascii="Times New Roman;serif" w:hAnsi="Times New Roman;serif" w:eastAsia="Times New Roman;serif" w:cs="Times New Roman;serif"/>
          <w:sz w:val="24"/>
          <w:szCs w:val="24"/>
        </w:rPr>
        <w:t xml:space="preserve">, elle yazılmış 38 dosyadan oluşur: 24 dosya Compose özelliklerini tek tek (build, kısa ve uzun sözdizimli environment/ports/volumes, networks, depends_on, healthcheck, deploy, configs, secrets, labels, profiles, logging, sysctls, ulimits, devices,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uzantıları, bilinmeyen özellikler ve iç içe genel özellikler) izole eder; 2 dosya bunları birlikte içerir; 10 dosya sınır durumlarını (anchor/alias ve birleştirme anahtarı, tırnaklı skaler biçimleri, yalnızca build içeren servis, Unicode içerik, null ve boş değerler, external kaynaklar, extends, include, yalnızca büyük/küçük harfle ayrışan anahtarlar) sınar; 2 dosya ise koruma deneylerinin işaretçi kalıplarını taşır.</w:t>
      </w:r>
    </w:p>
    <w:p w14:paraId="64280DBE">
      <w:pPr>
        <w:pStyle w:val="BodyText"/>
        <w:jc w:val="both"/>
      </w:pPr>
      <w:r>
        <w:rPr>
          <w:rFonts w:ascii="Times New Roman;serif" w:hAnsi="Times New Roman;serif" w:eastAsia="Times New Roman;serif" w:cs="Times New Roman;serif"/>
          <w:b/>
          <w:bCs/>
          <w:sz w:val="24"/>
          <w:szCs w:val="24"/>
        </w:rPr>
        <w:t>Veri Kümesi B (gerçek dünya)</w:t>
      </w:r>
      <w:r>
        <w:rPr>
          <w:rFonts w:ascii="Times New Roman;serif" w:hAnsi="Times New Roman;serif" w:eastAsia="Times New Roman;serif" w:cs="Times New Roman;serif"/>
          <w:sz w:val="24"/>
          <w:szCs w:val="24"/>
        </w:rPr>
        <w:t xml:space="preserve">, açık kaynak GitHub projelerinden iki adımda otomatik olarak toplanmış 647 Compose dosyasından oluşur. İlk adımda GitHub kod arama API'sinin </w:t>
      </w:r>
      <w:r>
        <w:rPr>
          <w:rStyle w:val="KaynakMetin"/>
          <w:rFonts w:ascii="Courier New;monospace" w:hAnsi="Courier New;monospace" w:eastAsia="Courier New;monospace" w:cs="Courier New;monospace"/>
          <w:sz w:val="20"/>
          <w:szCs w:val="20"/>
        </w:rPr>
        <w:t>filename:docker-compose.yml</w:t>
      </w:r>
      <w:r>
        <w:rPr>
          <w:rFonts w:ascii="Times New Roman;serif" w:hAnsi="Times New Roman;serif" w:eastAsia="Times New Roman;serif" w:cs="Times New Roman;serif"/>
          <w:sz w:val="24"/>
          <w:szCs w:val="24"/>
        </w:rPr>
        <w:t xml:space="preserve"> sorgusundan 597, depo aramasının </w:t>
      </w:r>
      <w:r>
        <w:rPr>
          <w:rStyle w:val="KaynakMetin"/>
          <w:rFonts w:ascii="Courier New;monospace" w:hAnsi="Courier New;monospace" w:eastAsia="Courier New;monospace" w:cs="Courier New;monospace"/>
          <w:sz w:val="20"/>
          <w:szCs w:val="20"/>
        </w:rPr>
        <w:t>topic:docker-compose</w:t>
      </w:r>
      <w:r>
        <w:rPr>
          <w:rFonts w:ascii="Times New Roman;serif" w:hAnsi="Times New Roman;serif" w:eastAsia="Times New Roman;serif" w:cs="Times New Roman;serif"/>
          <w:sz w:val="24"/>
          <w:szCs w:val="24"/>
        </w:rPr>
        <w:t xml:space="preserve"> sorgusundan 3 dosya alınmıştır; adaylar depo ve dosya yolu düzeyinde tekilleştirilmiş, yalnızca geçerli YAML olarak ayrıştırılan ve bir </w:t>
      </w:r>
      <w:r>
        <w:rPr>
          <w:rStyle w:val="KaynakMetin"/>
          <w:rFonts w:ascii="Courier New;monospace" w:hAnsi="Courier New;monospace" w:eastAsia="Courier New;monospace" w:cs="Courier New;monospace"/>
          <w:sz w:val="20"/>
          <w:szCs w:val="20"/>
        </w:rPr>
        <w:t>services</w:t>
      </w:r>
      <w:r>
        <w:rPr>
          <w:rFonts w:ascii="Times New Roman;serif" w:hAnsi="Times New Roman;serif" w:eastAsia="Times New Roman;serif" w:cs="Times New Roman;serif"/>
          <w:sz w:val="24"/>
          <w:szCs w:val="24"/>
        </w:rPr>
        <w:t xml:space="preserve"> eşlemesi içeren dosyalar tutulmuştur. Bu dosyaların satır sayısı medyanı 36, en büyüğü ise 405 satırdır; büyük dosya grupları hiç temsil edilmemektedir. Bu nedenle ikinci adımda, çok servisli yığınlar barındırma olasılığı yüksek depolarda (homelab, self-hosted, izleme yığınları) tüm dosya ağacı taranarak 500 satırın üzerindeki 47 Compose dosyası ayrıca eklenmiştir. Dolayısıyla korpus büyük dosyalar yönünden bilinçli olarak zenginleştirilmiştir. Toplama ve analiz betikleri depoda yayımlanmıştır. Birleşik korpus yine de literatürdeki gözlemlerle uyumlu biçimde küçük dosyalara eğilimlidir: satır sayısı medyanı 39 (en büyük dosya 2.591 satır), servis sayısı medyanı 2 (en fazla 56), üst seviye bölüm sayısı medyanı 2, YAML iç içelik derinliği medyanı 4 ve uzantı alanı sayısı medyanı 0'dır. Son değer, uzantı ve bilinmeyen alan deneylerinde neden kontrollü işaretçi enjeksiyonuna başvurduğumuzu açıklar: bu alanlar gerçek dosyalarda doğal olarak nadirdir.</w:t>
      </w:r>
    </w:p>
    <w:p w14:paraId="4676FB45">
      <w:pPr>
        <w:pStyle w:val="Heading3"/>
        <w:jc w:val="left"/>
      </w:pPr>
      <w:r>
        <w:rPr>
          <w:rFonts w:ascii="Liberation Serif" w:hAnsi="Liberation Serif" w:eastAsia="DejaVu Sans" w:cs="DejaVu Sans"/>
          <w:i/>
          <w:iCs/>
          <w:sz w:val="24"/>
          <w:szCs w:val="24"/>
        </w:rPr>
        <w:t>Deneyler</w:t>
      </w:r>
    </w:p>
    <w:p w14:paraId="50393323">
      <w:pPr>
        <w:pStyle w:val="BodyText"/>
        <w:jc w:val="both"/>
      </w:pPr>
      <w:r>
        <w:rPr>
          <w:rFonts w:ascii="Times New Roman;serif" w:hAnsi="Times New Roman;serif" w:eastAsia="Times New Roman;serif" w:cs="Times New Roman;serif"/>
          <w:sz w:val="24"/>
          <w:szCs w:val="24"/>
        </w:rPr>
        <w:t xml:space="preserve">Yedi deney yürütülmüştür: (1) kimlik round-trip (değişiklik yapmadan yükle–kaydet), (2) hedefli değişiklik ve değişiklik yerelliği (on ayrı özellik üzerinde), (3–4) bilinmeyen özellik ve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 koruma, (5)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ile doğrulama, (6) ham yaml-cpp ile karşılaştırma, (7) performans. Her deney her iki veri kümesi üzerinde de koşulmuştur. Deney 6'da üç araç karşılaştırılır: ComposeMorph; düğümü yerinde değiştiren </w:t>
      </w:r>
      <w:r>
        <w:rPr>
          <w:rFonts w:ascii="Times New Roman;serif" w:hAnsi="Times New Roman;serif" w:eastAsia="Times New Roman;serif" w:cs="Times New Roman;serif"/>
          <w:i/>
          <w:iCs/>
          <w:sz w:val="24"/>
          <w:szCs w:val="24"/>
        </w:rPr>
        <w:t>dikkatli</w:t>
      </w:r>
      <w:r>
        <w:rPr>
          <w:rFonts w:ascii="Times New Roman;serif" w:hAnsi="Times New Roman;serif" w:eastAsia="Times New Roman;serif" w:cs="Times New Roman;serif"/>
          <w:sz w:val="24"/>
          <w:szCs w:val="24"/>
        </w:rPr>
        <w:t xml:space="preserve"> ham yaml-cpp kodu; ve aynı düzenlemeyi ilgili alt ağacı yeniden inşa ederek yapan </w:t>
      </w:r>
      <w:r>
        <w:rPr>
          <w:rFonts w:ascii="Times New Roman;serif" w:hAnsi="Times New Roman;serif" w:eastAsia="Times New Roman;serif" w:cs="Times New Roman;serif"/>
          <w:i/>
          <w:iCs/>
          <w:sz w:val="24"/>
          <w:szCs w:val="24"/>
        </w:rPr>
        <w:t>naif</w:t>
      </w:r>
      <w:r>
        <w:rPr>
          <w:rFonts w:ascii="Times New Roman;serif" w:hAnsi="Times New Roman;serif" w:eastAsia="Times New Roman;serif" w:cs="Times New Roman;serif"/>
          <w:sz w:val="24"/>
          <w:szCs w:val="24"/>
        </w:rPr>
        <w:t xml:space="preserve"> ham yaml-cpp kodu. Deney 2'de kütüphane </w:t>
      </w:r>
      <w:r>
        <w:rPr>
          <w:rStyle w:val="KaynakMetin"/>
          <w:rFonts w:ascii="Courier New;monospace" w:hAnsi="Courier New;monospace" w:eastAsia="Courier New;monospace" w:cs="Courier New;monospace"/>
          <w:sz w:val="20"/>
          <w:szCs w:val="20"/>
        </w:rPr>
        <w:t>ports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extra_hosts</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networks</w:t>
      </w:r>
      <w:r>
        <w:rPr>
          <w:rFonts w:ascii="Times New Roman;serif" w:hAnsi="Times New Roman;serif" w:eastAsia="Times New Roman;serif" w:cs="Times New Roman;serif"/>
          <w:sz w:val="24"/>
          <w:szCs w:val="24"/>
        </w:rPr>
        <w:t xml:space="preserve"> için yerinde değiştirme değil yalnızca ekleme ve çıkarma işlemi sunduğundan, bu üç özellikteki hedefli değişiklik listeye tek bir girdi eklemektir. </w:t>
      </w:r>
      <w:r>
        <w:rPr>
          <w:rStyle w:val="KaynakMetin"/>
          <w:rFonts w:ascii="Courier New;monospace" w:hAnsi="Courier New;monospace" w:eastAsia="Courier New;monospace" w:cs="Courier New;monospace"/>
          <w:sz w:val="20"/>
          <w:szCs w:val="20"/>
        </w:rPr>
        <w:t>volume-source</w:t>
      </w:r>
      <w:r>
        <w:rPr>
          <w:rFonts w:ascii="Times New Roman;serif" w:hAnsi="Times New Roman;serif" w:eastAsia="Times New Roman;serif" w:cs="Times New Roman;serif"/>
          <w:sz w:val="24"/>
          <w:szCs w:val="24"/>
        </w:rPr>
        <w:t xml:space="preserve"> düzenlemesinde en az bir kısa sözdizimli volume girdisi bulunan servisler uygun kabul edilmiş, volume girdilerinin tamamı uzun sözdizimli olan servisler deneyden dışlanmıştır (Bölüm XI). Dikkatli araç yaml-cpp'nin varsayılan serileştiricisini kullandığından, Deney 5 ve tırnak analizinde aynı zamanda “düzeltme öncesi” sütununu sağlar; bu eşdeğerlik ölçülmüştür (Bölüm VIII).</w:t>
      </w:r>
    </w:p>
    <w:p w14:paraId="38312762">
      <w:pPr>
        <w:pStyle w:val="Heading3"/>
        <w:jc w:val="left"/>
      </w:pPr>
      <w:r>
        <w:rPr>
          <w:rFonts w:ascii="Liberation Serif" w:hAnsi="Liberation Serif" w:eastAsia="DejaVu Sans" w:cs="DejaVu Sans"/>
          <w:i/>
          <w:iCs/>
          <w:sz w:val="24"/>
          <w:szCs w:val="24"/>
        </w:rPr>
        <w:t>Metrikler ve istatistiksel değerlendirme</w:t>
      </w:r>
    </w:p>
    <w:p w14:paraId="1836F4A0">
      <w:pPr>
        <w:pStyle w:val="BodyText"/>
        <w:jc w:val="both"/>
      </w:pPr>
      <w:r>
        <w:rPr>
          <w:rFonts w:ascii="Times New Roman;serif" w:hAnsi="Times New Roman;serif" w:eastAsia="Times New Roman;serif" w:cs="Times New Roman;serif"/>
          <w:sz w:val="24"/>
          <w:szCs w:val="24"/>
        </w:rPr>
        <w:t xml:space="preserve">Metinsel koruma, girdi ile çıktı arasındaki değişen satır sayısı, değişen satır oranı, satır düzeyinde Levenshtein uzaklığı ve normalize edilmiş düzenleme uzaklığı ile ölçülür. Değişiklik yerelliği için </w:t>
      </w:r>
      <w:r>
        <w:rPr>
          <w:rFonts w:ascii="Times New Roman;serif" w:hAnsi="Times New Roman;serif" w:eastAsia="Times New Roman;serif" w:cs="Times New Roman;serif"/>
          <w:i/>
          <w:iCs/>
          <w:sz w:val="24"/>
          <w:szCs w:val="24"/>
        </w:rPr>
        <w:t>beklenen değişen satır / gerçekleşen değişen satır</w:t>
      </w:r>
      <w:r>
        <w:rPr>
          <w:rFonts w:ascii="Times New Roman;serif" w:hAnsi="Times New Roman;serif" w:eastAsia="Times New Roman;serif" w:cs="Times New Roman;serif"/>
          <w:sz w:val="24"/>
          <w:szCs w:val="24"/>
        </w:rPr>
        <w:t xml:space="preserve"> oranı kullanılır; beklenen değer tek alanlık bir düzenleme için 1'dir. Aynı dosyanın değişiklik yapılmadan kaydedilmesindeki taban gürültü, düzeltilmiş oranda gerçekleşen satır sayısından düşülür. Anlamsal koruma iki bağımsız oracle ile ölçülür: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(Compose şemasının kendi doğrulayıcısı) ve PyYAML ile yeniden yükleme (değerlerin YAML tiplerinin korunup korunmadığı). Performans ölçümleri her dosya için 30 yinelemeyle yapılır; medyan, ortalama, standart sapma ve p95 raporlanır. İki serileştirici karşılaştırılırken ölçümler aynı süreçte, aynı ağaç üzerinde ve yineleme başına sıra değiştirerek eşleşik biçimde alınır; dağılım varsayımı yapmamak için Wilcoxon işaretli sıralar testi (normal yaklaşım) kullanılır.</w:t>
      </w:r>
    </w:p>
    <w:p w14:paraId="76E6FD32">
      <w:pPr>
        <w:pStyle w:val="Heading3"/>
        <w:jc w:val="left"/>
      </w:pPr>
      <w:r>
        <w:rPr>
          <w:rFonts w:ascii="Liberation Serif" w:hAnsi="Liberation Serif" w:eastAsia="DejaVu Sans" w:cs="DejaVu Sans"/>
          <w:i/>
          <w:iCs/>
          <w:sz w:val="24"/>
          <w:szCs w:val="24"/>
        </w:rPr>
        <w:t>Ortam ve tekrarlanabilirlik</w:t>
      </w:r>
    </w:p>
    <w:p w14:paraId="7411E7D9">
      <w:pPr>
        <w:pStyle w:val="BodyText"/>
        <w:jc w:val="both"/>
      </w:pPr>
      <w:r>
        <w:rPr>
          <w:rFonts w:ascii="Times New Roman;serif" w:hAnsi="Times New Roman;serif" w:eastAsia="Times New Roman;serif" w:cs="Times New Roman;serif"/>
          <w:sz w:val="24"/>
          <w:szCs w:val="24"/>
        </w:rPr>
        <w:t xml:space="preserve">Ölçümler 12. nesil Intel Core i7-1255U (12 mantıksal çekirdek), 15,3 GiB RAM, Debian GNU/Linux 13 (çekirdek 6.12), GCC 14.2.0, </w:t>
      </w:r>
      <w:r>
        <w:rPr>
          <w:rStyle w:val="KaynakMetin"/>
          <w:rFonts w:ascii="Courier New;monospace" w:hAnsi="Courier New;monospace" w:eastAsia="Courier New;monospace" w:cs="Courier New;monospace"/>
          <w:sz w:val="20"/>
          <w:szCs w:val="20"/>
        </w:rPr>
        <w:t>Release</w:t>
      </w:r>
      <w:r>
        <w:rPr>
          <w:rFonts w:ascii="Times New Roman;serif" w:hAnsi="Times New Roman;serif" w:eastAsia="Times New Roman;serif" w:cs="Times New Roman;serif"/>
          <w:sz w:val="24"/>
          <w:szCs w:val="24"/>
        </w:rPr>
        <w:t xml:space="preserve"> derleme, C++20 ve Docker Compose 2.26.1 ortamında yapılmıştır. Tüm deneyler depodaki tek bir komutla yeniden üretilebilir: </w:t>
      </w:r>
      <w:r>
        <w:rPr>
          <w:rStyle w:val="KaynakMetin"/>
          <w:rFonts w:ascii="Courier New;monospace" w:hAnsi="Courier New;monospace" w:eastAsia="Courier New;monospace" w:cs="Courier New;monospace"/>
          <w:sz w:val="20"/>
          <w:szCs w:val="20"/>
        </w:rPr>
        <w:t>./scripts/run-all-experiments.sh</w:t>
      </w:r>
      <w:r>
        <w:rPr>
          <w:rFonts w:ascii="Times New Roman;serif" w:hAnsi="Times New Roman;serif" w:eastAsia="Times New Roman;serif" w:cs="Times New Roman;serif"/>
          <w:sz w:val="24"/>
          <w:szCs w:val="24"/>
        </w:rPr>
        <w:t xml:space="preserve">. Ham çıktılar, tablolar ve figürler </w:t>
      </w:r>
      <w:r>
        <w:rPr>
          <w:rStyle w:val="KaynakMetin"/>
          <w:rFonts w:ascii="Courier New;monospace" w:hAnsi="Courier New;monospace" w:eastAsia="Courier New;monospace" w:cs="Courier New;monospace"/>
          <w:sz w:val="20"/>
          <w:szCs w:val="20"/>
        </w:rPr>
        <w:t>results/</w:t>
      </w:r>
      <w:r>
        <w:rPr>
          <w:rFonts w:ascii="Times New Roman;serif" w:hAnsi="Times New Roman;serif" w:eastAsia="Times New Roman;serif" w:cs="Times New Roman;serif"/>
          <w:sz w:val="24"/>
          <w:szCs w:val="24"/>
        </w:rPr>
        <w:t xml:space="preserve"> altında yayımlanmıştır; düzeltme öncesi tablolar karşılaştırma için </w:t>
      </w:r>
      <w:r>
        <w:rPr>
          <w:rStyle w:val="KaynakMetin"/>
          <w:rFonts w:ascii="Courier New;monospace" w:hAnsi="Courier New;monospace" w:eastAsia="Courier New;monospace" w:cs="Courier New;monospace"/>
          <w:sz w:val="20"/>
          <w:szCs w:val="20"/>
        </w:rPr>
        <w:t>results/pre-fix/</w:t>
      </w:r>
      <w:r>
        <w:rPr>
          <w:rFonts w:ascii="Times New Roman;serif" w:hAnsi="Times New Roman;serif" w:eastAsia="Times New Roman;serif" w:cs="Times New Roman;serif"/>
          <w:sz w:val="24"/>
          <w:szCs w:val="24"/>
        </w:rPr>
        <w:t xml:space="preserve"> altında saklanmıştır.</w:t>
      </w:r>
    </w:p>
    <w:p w14:paraId="26F3DFEC">
      <w:pPr>
        <w:pStyle w:val="Heading2"/>
        <w:jc w:val="left"/>
      </w:pPr>
      <w:r>
        <w:rPr>
          <w:rFonts w:ascii="Liberation Serif" w:hAnsi="Liberation Serif" w:eastAsia="DejaVu Sans" w:cs="DejaVu Sans"/>
          <w:b/>
          <w:bCs/>
          <w:sz w:val="24"/>
          <w:szCs w:val="24"/>
        </w:rPr>
        <w:t>VIII. BULGULAR</w:t>
      </w:r>
    </w:p>
    <w:p w14:paraId="4F339D56">
      <w:pPr>
        <w:pStyle w:val="BodyText"/>
        <w:jc w:val="both"/>
      </w:pPr>
      <w:r>
        <w:rPr>
          <w:rFonts w:ascii="Times New Roman;serif" w:hAnsi="Times New Roman;serif" w:eastAsia="Times New Roman;serif" w:cs="Times New Roman;serif"/>
          <w:sz w:val="24"/>
          <w:szCs w:val="24"/>
        </w:rPr>
        <w:t xml:space="preserve">Bu bölümdeki tüm sayılar </w:t>
      </w:r>
      <w:r>
        <w:rPr>
          <w:rStyle w:val="KaynakMetin"/>
          <w:rFonts w:ascii="Courier New;monospace" w:hAnsi="Courier New;monospace" w:eastAsia="Courier New;monospace" w:cs="Courier New;monospace"/>
          <w:sz w:val="20"/>
          <w:szCs w:val="20"/>
        </w:rPr>
        <w:t>results/tables/</w:t>
      </w:r>
      <w:r>
        <w:rPr>
          <w:rFonts w:ascii="Times New Roman;serif" w:hAnsi="Times New Roman;serif" w:eastAsia="Times New Roman;serif" w:cs="Times New Roman;serif"/>
          <w:sz w:val="24"/>
          <w:szCs w:val="24"/>
        </w:rPr>
        <w:t xml:space="preserve"> altındaki üretilmiş özetlerden alınmıştır. “Temel çizgi” sütunları, aynı düzenlemeleri yaml-cpp'nin varsayılan serileştiricisiyle yapan dikkatli ham yaml-cpp aracına aittir; bu araç düzeltme öncesi ComposeMorph ile aynı çıktıyı üretmektedir (100/100 dosyada bayt düzeyinde özdeş; </w:t>
      </w:r>
      <w:r>
        <w:rPr>
          <w:rStyle w:val="KaynakMetin"/>
          <w:rFonts w:ascii="Courier New;monospace" w:hAnsi="Courier New;monospace" w:eastAsia="Courier New;monospace" w:cs="Courier New;monospace"/>
          <w:sz w:val="20"/>
          <w:szCs w:val="20"/>
        </w:rPr>
        <w:t>results/pre-fix/tables/</w:t>
      </w:r>
      <w:r>
        <w:rPr>
          <w:rFonts w:ascii="Times New Roman;serif" w:hAnsi="Times New Roman;serif" w:eastAsia="Times New Roman;serif" w:cs="Times New Roman;serif"/>
          <w:sz w:val="24"/>
          <w:szCs w:val="24"/>
        </w:rPr>
        <w:t>).</w:t>
      </w:r>
    </w:p>
    <w:p w14:paraId="2D4F8F09">
      <w:pPr>
        <w:pStyle w:val="Heading3"/>
        <w:jc w:val="left"/>
      </w:pPr>
      <w:r>
        <w:rPr>
          <w:rFonts w:ascii="Liberation Serif" w:hAnsi="Liberation Serif" w:eastAsia="DejaVu Sans" w:cs="DejaVu Sans"/>
          <w:i/>
          <w:iCs/>
          <w:sz w:val="24"/>
          <w:szCs w:val="24"/>
        </w:rPr>
        <w:t>RQ1 — Doğruluk</w:t>
      </w:r>
    </w:p>
    <w:p w14:paraId="5228CAE7">
      <w:pPr>
        <w:pStyle w:val="BodyText"/>
        <w:jc w:val="both"/>
      </w:pPr>
      <w:r>
        <w:rPr>
          <w:rFonts w:ascii="Times New Roman;serif" w:hAnsi="Times New Roman;serif" w:eastAsia="Times New Roman;serif" w:cs="Times New Roman;serif"/>
          <w:sz w:val="24"/>
          <w:szCs w:val="24"/>
        </w:rPr>
        <w:t>Veri Kümesi B'deki 647 dosyanın tamamı ayrıştırılmış (647/647), kaydedilmiş ve kaydedilen çıktı yeniden ayrıştırılabilmiştir (647/647). Veri Kümesi A'da da 38/38 dosya için aynı sonuç alınmıştır.</w:t>
      </w:r>
    </w:p>
    <w:p w14:paraId="76D9B5A3">
      <w:pPr>
        <w:pStyle w:val="BodyText"/>
        <w:jc w:val="both"/>
      </w:pPr>
      <w:r>
        <w:rPr>
          <w:rFonts w:ascii="Times New Roman;serif" w:hAnsi="Times New Roman;serif" w:eastAsia="Times New Roman;serif" w:cs="Times New Roman;serif"/>
          <w:sz w:val="24"/>
          <w:szCs w:val="24"/>
        </w:rPr>
        <w:t xml:space="preserve">Asıl ayrım dış doğrulamada ortaya çıkar. Korpustaki 647 dosyanın 491'i (%75,9)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tarafından zaten geçerli kabul edilmektedir; kalanlar eksik </w:t>
      </w:r>
      <w:r>
        <w:rPr>
          <w:rStyle w:val="KaynakMetin"/>
          <w:rFonts w:ascii="Courier New;monospace" w:hAnsi="Courier New;monospace" w:eastAsia="Courier New;monospace" w:cs="Courier New;monospace"/>
          <w:sz w:val="20"/>
          <w:szCs w:val="20"/>
        </w:rPr>
        <w:t>.env</w:t>
      </w:r>
      <w:r>
        <w:rPr>
          <w:rFonts w:ascii="Times New Roman;serif" w:hAnsi="Times New Roman;serif" w:eastAsia="Times New Roman;serif" w:cs="Times New Roman;serif"/>
          <w:sz w:val="24"/>
          <w:szCs w:val="24"/>
        </w:rPr>
        <w:t xml:space="preserve"> dosyaları, tanımsız interpolasyon değişkenleri veya bozuk sözdizimi gibi kütüphaneden bağımsız nedenlerle reddedilir ve aşağıdaki oranların dışında tutulur. Tablo I, bu geçerli girdilerden üretilen çıktıların doğrulama sonuçlarını göstermektedir.</w:t>
      </w:r>
    </w:p>
    <w:p w14:paraId="62FA5A83">
      <w:pPr>
        <w:pStyle w:val="GvdeMetnicaption"/>
        <w:jc w:val="center"/>
      </w:pPr>
      <w:r>
        <w:rPr>
          <w:rFonts w:ascii="Times New Roman;serif" w:hAnsi="Times New Roman;serif" w:eastAsia="Times New Roman;serif" w:cs="Times New Roman;serif"/>
          <w:b/>
          <w:bCs/>
          <w:sz w:val="20"/>
          <w:szCs w:val="20"/>
        </w:rPr>
        <w:t>Tablo I.</w:t>
      </w:r>
      <w:r>
        <w:rPr>
          <w:rFonts w:ascii="Times New Roman;serif" w:hAnsi="Times New Roman;serif" w:eastAsia="Times New Roman;serif" w:cs="Times New Roman;serif"/>
          <w:sz w:val="20"/>
          <w:szCs w:val="20"/>
        </w:rPr>
        <w:t xml:space="preserve"> Docker Compose doğrulama başarı oranı (Veri Kümesi B)</w:t>
      </w:r>
    </w:p>
    <w:tbl>
      <w:tblPr>
        <w:tblW w:w="6229" w:type="dxa"/>
        <w:jc w:val="left"/>
        <w:tblInd w:w="0" w:type="dxa"/>
        <w:tblLayout w:type="fixed"/>
        <w:tblCellMar>
          <w:top w:w="28" w:type="dxa"/>
          <w:left w:w="28" w:type="dxa"/>
          <w:bottom w:w="28" w:type="dxa"/>
          <w:right w:w="28" w:type="dxa"/>
        </w:tblCellMar>
      </w:tblPr>
      <w:tblGrid>
        <w:gridCol w:w="2744"/>
        <w:gridCol w:w="1710"/>
        <w:gridCol w:w="1775"/>
      </w:tblGrid>
      <w:tr>
        <w:tc>
          <w:tcPr>
            <w:tcW w:w="2744" w:type="dxa"/>
            <w:tcMar>
              <w:top w:w="28" w:type="dxa"/>
              <w:left w:w="28" w:type="dxa"/>
              <w:bottom w:w="28" w:type="dxa"/>
              <w:right w:w="28" w:type="dxa"/>
            </w:tcMar>
            <w:vAlign w:val="center"/>
          </w:tcPr>
          <w:p w14:paraId="7F0F8CE5">
            <w:pPr>
              <w:pStyle w:val="Tabloerii"/>
              <w:widowControl w:val="0"/>
              <w:suppressLineNumbers/>
              <w:jc w:val="left"/>
            </w:pPr>
            <w:r>
              <w:rPr>
                <w:rFonts w:ascii="Times New Roman;serif" w:hAnsi="Times New Roman;serif" w:eastAsia="Times New Roman;serif" w:cs="Times New Roman;serif"/>
                <w:sz w:val="24"/>
                <w:szCs w:val="24"/>
              </w:rPr>
              <w:t>Çıktı</w:t>
            </w:r>
          </w:p>
        </w:tc>
        <w:tc>
          <w:tcPr>
            <w:tcW w:w="1710" w:type="dxa"/>
            <w:tcMar>
              <w:top w:w="28" w:type="dxa"/>
              <w:left w:w="28" w:type="dxa"/>
              <w:bottom w:w="28" w:type="dxa"/>
              <w:right w:w="28" w:type="dxa"/>
            </w:tcMar>
            <w:vAlign w:val="center"/>
          </w:tcPr>
          <w:p w14:paraId="04F4122A">
            <w:pPr>
              <w:pStyle w:val="Tabloerii"/>
              <w:widowControl w:val="0"/>
              <w:suppressLineNumbers/>
              <w:jc w:val="left"/>
            </w:pPr>
            <w:r>
              <w:rPr>
                <w:rFonts w:ascii="Times New Roman;serif" w:hAnsi="Times New Roman;serif" w:eastAsia="Times New Roman;serif" w:cs="Times New Roman;serif"/>
                <w:sz w:val="24"/>
                <w:szCs w:val="24"/>
              </w:rPr>
              <w:t>ComposeMorph</w:t>
            </w:r>
          </w:p>
        </w:tc>
        <w:tc>
          <w:tcPr>
            <w:tcW w:w="1775" w:type="dxa"/>
            <w:tcMar>
              <w:top w:w="28" w:type="dxa"/>
              <w:left w:w="28" w:type="dxa"/>
              <w:bottom w:w="28" w:type="dxa"/>
              <w:right w:w="28" w:type="dxa"/>
            </w:tcMar>
            <w:vAlign w:val="center"/>
          </w:tcPr>
          <w:p w14:paraId="213AEBB8">
            <w:pPr>
              <w:pStyle w:val="Tabloerii"/>
              <w:widowControl w:val="0"/>
              <w:suppressLineNumbers/>
              <w:jc w:val="left"/>
            </w:pPr>
            <w:r>
              <w:rPr>
                <w:rFonts w:ascii="Times New Roman;serif" w:hAnsi="Times New Roman;serif" w:eastAsia="Times New Roman;serif" w:cs="Times New Roman;serif"/>
                <w:sz w:val="24"/>
                <w:szCs w:val="24"/>
              </w:rPr>
              <w:t>Temel çizgi</w:t>
            </w:r>
          </w:p>
        </w:tc>
      </w:tr>
      <w:tr>
        <w:tc>
          <w:tcPr>
            <w:tcW w:w="2744" w:type="dxa"/>
            <w:tcMar>
              <w:top w:w="28" w:type="dxa"/>
              <w:left w:w="28" w:type="dxa"/>
              <w:bottom w:w="28" w:type="dxa"/>
              <w:right w:w="28" w:type="dxa"/>
            </w:tcMar>
            <w:vAlign w:val="center"/>
          </w:tcPr>
          <w:p w14:paraId="35AAD355">
            <w:pPr>
              <w:pStyle w:val="Tabloerii"/>
              <w:widowControl w:val="0"/>
              <w:suppressLineNumbers/>
              <w:jc w:val="left"/>
            </w:pPr>
            <w:r>
              <w:rPr>
                <w:rFonts w:ascii="Times New Roman;serif" w:hAnsi="Times New Roman;serif" w:eastAsia="Times New Roman;serif" w:cs="Times New Roman;serif"/>
                <w:sz w:val="24"/>
                <w:szCs w:val="24"/>
              </w:rPr>
              <w:t>Kimlik round-trip</w:t>
            </w:r>
          </w:p>
        </w:tc>
        <w:tc>
          <w:tcPr>
            <w:tcW w:w="1710" w:type="dxa"/>
            <w:tcMar>
              <w:top w:w="28" w:type="dxa"/>
              <w:left w:w="28" w:type="dxa"/>
              <w:bottom w:w="28" w:type="dxa"/>
              <w:right w:w="28" w:type="dxa"/>
            </w:tcMar>
            <w:vAlign w:val="center"/>
          </w:tcPr>
          <w:p w14:paraId="54B2E285">
            <w:pPr>
              <w:pStyle w:val="Tabloerii"/>
              <w:widowControl w:val="0"/>
              <w:suppressLineNumbers/>
              <w:jc w:val="left"/>
            </w:pPr>
            <w:r>
              <w:rPr>
                <w:rFonts w:ascii="Times New Roman;serif" w:hAnsi="Times New Roman;serif" w:eastAsia="Times New Roman;serif" w:cs="Times New Roman;serif"/>
                <w:sz w:val="24"/>
                <w:szCs w:val="24"/>
              </w:rPr>
              <w:t>491/491 (%100)</w:t>
            </w:r>
          </w:p>
        </w:tc>
        <w:tc>
          <w:tcPr>
            <w:tcW w:w="1775" w:type="dxa"/>
            <w:tcMar>
              <w:top w:w="28" w:type="dxa"/>
              <w:left w:w="28" w:type="dxa"/>
              <w:bottom w:w="28" w:type="dxa"/>
              <w:right w:w="28" w:type="dxa"/>
            </w:tcMar>
            <w:vAlign w:val="center"/>
          </w:tcPr>
          <w:p w14:paraId="08E4C494">
            <w:pPr>
              <w:pStyle w:val="Tabloerii"/>
              <w:widowControl w:val="0"/>
              <w:suppressLineNumbers/>
              <w:jc w:val="left"/>
            </w:pPr>
            <w:r>
              <w:rPr>
                <w:rFonts w:ascii="Times New Roman;serif" w:hAnsi="Times New Roman;serif" w:eastAsia="Times New Roman;serif" w:cs="Times New Roman;serif"/>
                <w:sz w:val="24"/>
                <w:szCs w:val="24"/>
              </w:rPr>
              <w:t>187/491 (%38,1)</w:t>
            </w:r>
          </w:p>
        </w:tc>
      </w:tr>
      <w:tr>
        <w:tc>
          <w:tcPr>
            <w:tcW w:w="2744" w:type="dxa"/>
            <w:tcMar>
              <w:top w:w="28" w:type="dxa"/>
              <w:left w:w="28" w:type="dxa"/>
              <w:bottom w:w="28" w:type="dxa"/>
              <w:right w:w="28" w:type="dxa"/>
            </w:tcMar>
            <w:vAlign w:val="center"/>
          </w:tcPr>
          <w:p w14:paraId="7924C919">
            <w:pPr>
              <w:pStyle w:val="Tabloerii"/>
              <w:widowControl w:val="0"/>
              <w:suppressLineNumbers/>
              <w:jc w:val="left"/>
            </w:pPr>
            <w:r>
              <w:rPr>
                <w:rFonts w:ascii="Times New Roman;serif" w:hAnsi="Times New Roman;serif" w:eastAsia="Times New Roman;serif" w:cs="Times New Roman;serif"/>
                <w:sz w:val="24"/>
                <w:szCs w:val="24"/>
              </w:rPr>
              <w:t xml:space="preserve">Hedefli </w:t>
            </w:r>
            <w:r>
              <w:rPr>
                <w:rStyle w:val="KaynakMetin"/>
                <w:rFonts w:ascii="Courier New;monospace" w:hAnsi="Courier New;monospace" w:eastAsia="Courier New;monospace" w:cs="Courier New;monospace"/>
                <w:sz w:val="20"/>
                <w:szCs w:val="20"/>
              </w:rPr>
              <w:t>image</w:t>
            </w:r>
            <w:r>
              <w:rPr>
                <w:rFonts w:ascii="Times New Roman;serif" w:hAnsi="Times New Roman;serif" w:eastAsia="Times New Roman;serif" w:cs="Times New Roman;serif"/>
                <w:sz w:val="24"/>
                <w:szCs w:val="24"/>
              </w:rPr>
              <w:t xml:space="preserve"> düzenlemesi</w:t>
            </w:r>
          </w:p>
        </w:tc>
        <w:tc>
          <w:tcPr>
            <w:tcW w:w="1710" w:type="dxa"/>
            <w:tcMar>
              <w:top w:w="28" w:type="dxa"/>
              <w:left w:w="28" w:type="dxa"/>
              <w:bottom w:w="28" w:type="dxa"/>
              <w:right w:w="28" w:type="dxa"/>
            </w:tcMar>
            <w:vAlign w:val="center"/>
          </w:tcPr>
          <w:p w14:paraId="0A17D7B3">
            <w:pPr>
              <w:pStyle w:val="Tabloerii"/>
              <w:widowControl w:val="0"/>
              <w:suppressLineNumbers/>
              <w:jc w:val="left"/>
            </w:pPr>
            <w:r>
              <w:rPr>
                <w:rFonts w:ascii="Times New Roman;serif" w:hAnsi="Times New Roman;serif" w:eastAsia="Times New Roman;serif" w:cs="Times New Roman;serif"/>
                <w:sz w:val="24"/>
                <w:szCs w:val="24"/>
              </w:rPr>
              <w:t>401/401 (%100)</w:t>
            </w:r>
          </w:p>
        </w:tc>
        <w:tc>
          <w:tcPr>
            <w:tcW w:w="1775" w:type="dxa"/>
            <w:tcMar>
              <w:top w:w="28" w:type="dxa"/>
              <w:left w:w="28" w:type="dxa"/>
              <w:bottom w:w="28" w:type="dxa"/>
              <w:right w:w="28" w:type="dxa"/>
            </w:tcMar>
            <w:vAlign w:val="center"/>
          </w:tcPr>
          <w:p w14:paraId="2E78792C">
            <w:pPr>
              <w:pStyle w:val="Tabloerii"/>
              <w:widowControl w:val="0"/>
              <w:suppressLineNumbers/>
              <w:jc w:val="left"/>
            </w:pPr>
            <w:r>
              <w:rPr>
                <w:rFonts w:ascii="Times New Roman;serif" w:hAnsi="Times New Roman;serif" w:eastAsia="Times New Roman;serif" w:cs="Times New Roman;serif"/>
                <w:sz w:val="24"/>
                <w:szCs w:val="24"/>
              </w:rPr>
              <w:t>153/401 (%38,2)</w:t>
            </w:r>
          </w:p>
        </w:tc>
      </w:tr>
      <w:tr>
        <w:tc>
          <w:tcPr>
            <w:tcW w:w="2744" w:type="dxa"/>
            <w:tcMar>
              <w:top w:w="28" w:type="dxa"/>
              <w:left w:w="28" w:type="dxa"/>
              <w:bottom w:w="28" w:type="dxa"/>
              <w:right w:w="28" w:type="dxa"/>
            </w:tcMar>
            <w:vAlign w:val="center"/>
          </w:tcPr>
          <w:p w14:paraId="59DD0726">
            <w:pPr>
              <w:pStyle w:val="Tabloerii"/>
              <w:jc w:val="left"/>
              <w:rPr>
                <w:b/>
              </w:rPr>
            </w:pPr>
            <w:r>
              <w:rPr>
                <w:rFonts w:ascii="Times New Roman;serif" w:hAnsi="Times New Roman;serif" w:eastAsia="Times New Roman;serif" w:cs="Times New Roman;serif"/>
                <w:b/>
                <w:bCs/>
                <w:sz w:val="24"/>
                <w:szCs w:val="24"/>
              </w:rPr>
              <w:t>Toplam</w:t>
            </w:r>
          </w:p>
        </w:tc>
        <w:tc>
          <w:tcPr>
            <w:tcW w:w="1710" w:type="dxa"/>
            <w:tcMar>
              <w:top w:w="28" w:type="dxa"/>
              <w:left w:w="28" w:type="dxa"/>
              <w:bottom w:w="28" w:type="dxa"/>
              <w:right w:w="28" w:type="dxa"/>
            </w:tcMar>
            <w:vAlign w:val="center"/>
          </w:tcPr>
          <w:p w14:paraId="22685E62">
            <w:pPr>
              <w:pStyle w:val="Tabloerii"/>
              <w:jc w:val="left"/>
              <w:rPr>
                <w:b/>
              </w:rPr>
            </w:pPr>
            <w:r>
              <w:rPr>
                <w:rFonts w:ascii="Times New Roman;serif" w:hAnsi="Times New Roman;serif" w:eastAsia="Times New Roman;serif" w:cs="Times New Roman;serif"/>
                <w:b/>
                <w:bCs/>
                <w:sz w:val="24"/>
                <w:szCs w:val="24"/>
              </w:rPr>
              <w:t>892/892 (%100)</w:t>
            </w:r>
          </w:p>
        </w:tc>
        <w:tc>
          <w:tcPr>
            <w:tcW w:w="1775" w:type="dxa"/>
            <w:tcMar>
              <w:top w:w="28" w:type="dxa"/>
              <w:left w:w="28" w:type="dxa"/>
              <w:bottom w:w="28" w:type="dxa"/>
              <w:right w:w="28" w:type="dxa"/>
            </w:tcMar>
            <w:vAlign w:val="center"/>
          </w:tcPr>
          <w:p w14:paraId="5513C3F9">
            <w:pPr>
              <w:pStyle w:val="Tabloerii"/>
              <w:widowControl w:val="0"/>
              <w:suppressLineNumbers/>
              <w:jc w:val="left"/>
            </w:pPr>
            <w:r>
              <w:rPr>
                <w:rFonts w:ascii="Times New Roman;serif" w:hAnsi="Times New Roman;serif" w:eastAsia="Times New Roman;serif" w:cs="Times New Roman;serif"/>
                <w:sz w:val="24"/>
                <w:szCs w:val="24"/>
              </w:rPr>
              <w:t>340/892 (%38,1)</w:t>
            </w:r>
          </w:p>
        </w:tc>
      </w:tr>
    </w:tbl>
    <w:p w14:paraId="4DC15619">
      <w:pPr>
        <w:pStyle w:val="BodyText"/>
        <w:jc w:val="both"/>
      </w:pPr>
      <w:r>
        <w:rPr>
          <w:rFonts w:ascii="Times New Roman;serif" w:hAnsi="Times New Roman;serif" w:eastAsia="Times New Roman;serif" w:cs="Times New Roman;serif"/>
          <w:sz w:val="24"/>
          <w:szCs w:val="24"/>
        </w:rPr>
        <w:t xml:space="preserve">Temel çizgide geçersizleşen 552 çıktının 548'i, tırnaklı bir skalerin tırnaksız yazılması sonucu string olması gereken bir alanın sayıya veya boolean'a dönüşmesinden kaynaklanmaktadır. Kalan 4 vakada çıktı, Docker'ın YAML ayrıştırıcısı için sözdizimsel olarak dahi geçerli değildir: kaynakta </w:t>
      </w:r>
      <w:r>
        <w:rPr>
          <w:rStyle w:val="KaynakMetin"/>
          <w:rFonts w:ascii="Courier New;monospace" w:hAnsi="Courier New;monospace" w:eastAsia="Courier New;monospace" w:cs="Courier New;monospace"/>
          <w:sz w:val="20"/>
          <w:szCs w:val="20"/>
        </w:rPr>
        <w:t>":80"</w:t>
      </w:r>
      <w:r>
        <w:rPr>
          <w:rFonts w:ascii="Times New Roman;serif" w:hAnsi="Times New Roman;serif" w:eastAsia="Times New Roman;serif" w:cs="Times New Roman;serif"/>
          <w:sz w:val="24"/>
          <w:szCs w:val="24"/>
        </w:rPr>
        <w:t xml:space="preserve"> biçiminde tırnaklanmış bir değer, akış dizisi içinde tırnaksız yazıldığında PyYAML ve go-yaml tarafından okunamamaktadır. ComposeMorph'un tırnak koruyan serileştiricisiyle bu vakaların tamamı ortadan kalkmıştır. Veri Kümesi A'da da ComposeMorph çıktılarının tamamı geçerlidir (64/64); temel çizgide yalnızca tırnaklı skaler biçimlerini sınayan dosyanın iki çıktısı reddedilmektedir (62/64).</w:t>
      </w:r>
    </w:p>
    <w:p w14:paraId="0BA8ADE9">
      <w:pPr>
        <w:pStyle w:val="Heading3"/>
        <w:jc w:val="left"/>
      </w:pPr>
      <w:r>
        <w:rPr>
          <w:rFonts w:ascii="Liberation Serif" w:hAnsi="Liberation Serif" w:eastAsia="DejaVu Sans" w:cs="DejaVu Sans"/>
          <w:i/>
          <w:iCs/>
          <w:sz w:val="24"/>
          <w:szCs w:val="24"/>
        </w:rPr>
        <w:t>RQ2 — Koruma</w:t>
      </w:r>
    </w:p>
    <w:p w14:paraId="495C1716">
      <w:pPr>
        <w:pStyle w:val="BodyText"/>
        <w:jc w:val="both"/>
      </w:pPr>
      <w:r>
        <w:rPr>
          <w:rFonts w:ascii="Times New Roman;serif" w:hAnsi="Times New Roman;serif" w:eastAsia="Times New Roman;serif" w:cs="Times New Roman;serif"/>
          <w:sz w:val="24"/>
          <w:szCs w:val="24"/>
        </w:rPr>
        <w:t>Koruma üç ayrı düzeyde ölçülmüştür.</w:t>
      </w:r>
    </w:p>
    <w:p w14:paraId="5306AEE7">
      <w:pPr>
        <w:pStyle w:val="BodyText"/>
        <w:jc w:val="both"/>
      </w:pPr>
      <w:r>
        <w:rPr>
          <w:rFonts w:ascii="Times New Roman;serif" w:hAnsi="Times New Roman;serif" w:eastAsia="Times New Roman;serif" w:cs="Times New Roman;serif"/>
          <w:i/>
          <w:iCs/>
          <w:sz w:val="24"/>
          <w:szCs w:val="24"/>
        </w:rPr>
        <w:t>Yapısal koruma.</w:t>
      </w:r>
      <w:r>
        <w:rPr>
          <w:rFonts w:ascii="Times New Roman;serif" w:hAnsi="Times New Roman;serif" w:eastAsia="Times New Roman;serif" w:cs="Times New Roman;serif"/>
          <w:sz w:val="24"/>
          <w:szCs w:val="24"/>
        </w:rPr>
        <w:t xml:space="preserve"> Gerçek dosyalara kontrollü olarak eklenen ve kütüphanenin modellemediği alanlar, ilgisiz bir alan değiştirildikten sonra tüm vakalarda korunmuştur: 802/802 bilinmeyen özellik ve 1.203/1.203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 alanı örneği (Veri Kümesi A'da 96/96 ve 144/144). Kontrollü sınır durumlarının altısı da (null değerli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skaler değerli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liste değerli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liste biçiminde bilinmeyen üst seviye bölüm, tipli bir bölümün içine gömülü bilinmeyen alan, başka bir bilinmeyen bloğun içine iki düzey gömülü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korunmuştur.</w:t>
      </w:r>
    </w:p>
    <w:p w14:paraId="6AA69E49">
      <w:pPr>
        <w:pStyle w:val="BodyText"/>
        <w:jc w:val="both"/>
      </w:pPr>
      <w:r>
        <w:rPr>
          <w:rFonts w:ascii="Times New Roman;serif" w:hAnsi="Times New Roman;serif" w:eastAsia="Times New Roman;serif" w:cs="Times New Roman;serif"/>
          <w:i/>
          <w:iCs/>
          <w:sz w:val="24"/>
          <w:szCs w:val="24"/>
        </w:rPr>
        <w:t>Değer tipleri.</w:t>
      </w:r>
      <w:r>
        <w:rPr>
          <w:rFonts w:ascii="Times New Roman;serif" w:hAnsi="Times New Roman;serif" w:eastAsia="Times New Roman;serif" w:cs="Times New Roman;serif"/>
          <w:sz w:val="24"/>
          <w:szCs w:val="24"/>
        </w:rPr>
        <w:t xml:space="preserve"> Korpustaki 617 dosyada açıkça tırnaklanmış 9.807 skaler değer tespit edilmiştir. ComposeMorph ile round-trip sonrasında bunların hiçbiri tip değiştirmemiştir. Temel çizgide ise 452 dosyada (tırnaklı skaler içeren dosyaların %73,3'ü) 2.570 değer tip değiştirmektedir: tam sayı görünümlü değerlerin %99,9'u, kayan nokta görünümlülerin %100'ü ve boolean kelimelerinin %99,5'i. Buna bağlı olarak, çıktının girdiyle PyYAML'a göre birebir aynı veriye çözümlenme oranı 33/100'den 100/100'e çıkmaktadır.</w:t>
      </w:r>
    </w:p>
    <w:p w14:paraId="6CDB6FB1">
      <w:pPr>
        <w:pStyle w:val="BodyText"/>
        <w:jc w:val="both"/>
      </w:pPr>
      <w:r>
        <w:rPr>
          <w:rFonts w:ascii="Times New Roman;serif" w:hAnsi="Times New Roman;serif" w:eastAsia="Times New Roman;serif" w:cs="Times New Roman;serif"/>
          <w:i/>
          <w:iCs/>
          <w:sz w:val="24"/>
          <w:szCs w:val="24"/>
        </w:rPr>
        <w:t>Metinsel koruma.</w:t>
      </w:r>
      <w:r>
        <w:rPr>
          <w:rFonts w:ascii="Times New Roman;serif" w:hAnsi="Times New Roman;serif" w:eastAsia="Times New Roman;serif" w:cs="Times New Roman;serif"/>
          <w:sz w:val="24"/>
          <w:szCs w:val="24"/>
        </w:rPr>
        <w:t xml:space="preserve"> Buna karşılık çıktı bayt düzeyinde girdinin aynısı değildir: değişiklik yapılmadan kaydedilen dosyaların yalnızca %4,0'ü (26/647) özdeştir; değişen satır oranının medyanı 0,167'dir (düzeltme öncesi %0,77 ve 0,250). Satır düzeyinde Levenshtein uzaklığının medyanı 7, normalize edilmiş düzenleme uzaklığının medyanı 0,167'dir. Kalan farklar yorumların ve boş satırların kaybından, girinti normalizasyonundan, tek tırnağın çift tırnağa ve blok skalerlerin tek satırlık çift tırnaklı string'e dönüşmesinden kaynaklanır. Anchor/alias ve birleştirme anahtarı yapıları somut değerlere genişletilmeden korunur, ancak anchor adları sayısal adlarla yeniden yazılır.</w:t>
      </w:r>
    </w:p>
    <w:p w14:paraId="478A6478">
      <w:pPr>
        <w:pStyle w:val="Heading3"/>
        <w:jc w:val="left"/>
      </w:pPr>
      <w:r>
        <w:rPr>
          <w:rFonts w:ascii="Liberation Serif" w:hAnsi="Liberation Serif" w:eastAsia="DejaVu Sans" w:cs="DejaVu Sans"/>
          <w:i/>
          <w:iCs/>
          <w:sz w:val="24"/>
          <w:szCs w:val="24"/>
        </w:rPr>
        <w:t>RQ3 — Değişiklik Yerelliği</w:t>
      </w:r>
    </w:p>
    <w:p w14:paraId="57036B00">
      <w:pPr>
        <w:pStyle w:val="BodyText"/>
        <w:jc w:val="both"/>
      </w:pPr>
      <w:r>
        <w:rPr>
          <w:rFonts w:ascii="Times New Roman;serif" w:hAnsi="Times New Roman;serif" w:eastAsia="Times New Roman;serif" w:cs="Times New Roman;serif"/>
          <w:sz w:val="24"/>
          <w:szCs w:val="24"/>
        </w:rPr>
        <w:t>On ayrı özellik üzerinde 1.467 düzenleme senaryosu koşulmuştur (Tablo II). Tek alanlık bir düzenleme, ham diff'te özelliğe göre medyan 8 ile 36 satırın değişmesine yol açmaktadır; ham yerellik oranının medyanı bu nedenle 0,03–0,13 arasındadır. Bu satırların neredeyse tamamı düzenlemenin kendisinden değil, kaydetmede yorum ve boş satır kaybından ve girinti normalizasyonundan doğan taban gürültüden kaynaklanır. Aynı dosyanın değişiklik yapılmadan kaydedilmesindeki gürültü düşüldüğünde, on özelliğin tamamında düzeltilmiş yerellik oranının medyanı 1,0'dır: düzenlemenin kendi katkısı tek satırla sınırlıdır. Buna karşın kod incelemesinde görülen ham diff taban gürültüyü de içerdiğinden tek satırlık değildir (Bölüm IX).</w:t>
      </w:r>
    </w:p>
    <w:p w14:paraId="2750C22F">
      <w:pPr>
        <w:pStyle w:val="GvdeMetnicaption"/>
        <w:jc w:val="center"/>
      </w:pPr>
      <w:r>
        <w:rPr>
          <w:rFonts w:ascii="Times New Roman;serif" w:hAnsi="Times New Roman;serif" w:eastAsia="Times New Roman;serif" w:cs="Times New Roman;serif"/>
          <w:b/>
          <w:bCs/>
          <w:sz w:val="20"/>
          <w:szCs w:val="20"/>
        </w:rPr>
        <w:t>Tablo II.</w:t>
      </w:r>
      <w:r>
        <w:rPr>
          <w:rFonts w:ascii="Times New Roman;serif" w:hAnsi="Times New Roman;serif" w:eastAsia="Times New Roman;serif" w:cs="Times New Roman;serif"/>
          <w:sz w:val="20"/>
          <w:szCs w:val="20"/>
        </w:rPr>
        <w:t xml:space="preserve"> Özelliğe göre değişiklik yerelliği (Veri Kümesi B)</w:t>
      </w:r>
    </w:p>
    <w:tbl>
      <w:tblPr>
        <w:tblW w:w="6043" w:type="dxa"/>
        <w:jc w:val="left"/>
        <w:tblInd w:w="0" w:type="dxa"/>
        <w:tblLayout w:type="fixed"/>
        <w:tblCellMar>
          <w:top w:w="28" w:type="dxa"/>
          <w:left w:w="28" w:type="dxa"/>
          <w:bottom w:w="28" w:type="dxa"/>
          <w:right w:w="28" w:type="dxa"/>
        </w:tblCellMar>
      </w:tblPr>
      <w:tblGrid>
        <w:gridCol w:w="2344"/>
        <w:gridCol w:w="466"/>
        <w:gridCol w:w="852"/>
        <w:gridCol w:w="892"/>
        <w:gridCol w:w="599"/>
        <w:gridCol w:w="890"/>
      </w:tblGrid>
      <w:tr>
        <w:tc>
          <w:tcPr>
            <w:tcW w:w="2344" w:type="dxa"/>
            <w:tcMar>
              <w:top w:w="28" w:type="dxa"/>
              <w:left w:w="28" w:type="dxa"/>
              <w:bottom w:w="28" w:type="dxa"/>
              <w:right w:w="28" w:type="dxa"/>
            </w:tcMar>
            <w:vAlign w:val="center"/>
          </w:tcPr>
          <w:p w14:paraId="1F6779E1">
            <w:pPr>
              <w:pStyle w:val="Tabloerii"/>
              <w:jc w:val="left"/>
              <w:rPr>
                <w:sz w:val="4"/>
                <w:szCs w:val="4"/>
              </w:rPr>
            </w:pPr>
            <w:r>
              <w:rPr>
                <w:sz w:val="4"/>
                <w:szCs w:val="4"/>
              </w:rPr>
            </w:r>
          </w:p>
        </w:tc>
        <w:tc>
          <w:tcPr>
            <w:tcW w:w="466" w:type="dxa"/>
            <w:tcMar>
              <w:top w:w="28" w:type="dxa"/>
              <w:left w:w="28" w:type="dxa"/>
              <w:bottom w:w="28" w:type="dxa"/>
              <w:right w:w="28" w:type="dxa"/>
            </w:tcMar>
            <w:vAlign w:val="center"/>
          </w:tcPr>
          <w:p w14:paraId="52008CCB">
            <w:pPr>
              <w:pStyle w:val="Tabloerii"/>
              <w:jc w:val="left"/>
              <w:rPr>
                <w:sz w:val="4"/>
                <w:szCs w:val="4"/>
              </w:rPr>
            </w:pPr>
            <w:r>
              <w:rPr>
                <w:sz w:val="4"/>
                <w:szCs w:val="4"/>
              </w:rPr>
            </w:r>
          </w:p>
        </w:tc>
        <w:tc>
          <w:tcPr>
            <w:tcW w:w="852" w:type="dxa"/>
            <w:tcMar>
              <w:top w:w="28" w:type="dxa"/>
              <w:left w:w="28" w:type="dxa"/>
              <w:bottom w:w="28" w:type="dxa"/>
              <w:right w:w="28" w:type="dxa"/>
            </w:tcMar>
            <w:vAlign w:val="center"/>
          </w:tcPr>
          <w:p w14:paraId="635ABF1D">
            <w:pPr>
              <w:pStyle w:val="Tabloerii"/>
              <w:jc w:val="left"/>
              <w:rPr>
                <w:sz w:val="4"/>
                <w:szCs w:val="4"/>
              </w:rPr>
            </w:pPr>
            <w:r>
              <w:rPr>
                <w:sz w:val="4"/>
                <w:szCs w:val="4"/>
              </w:rPr>
            </w:r>
          </w:p>
        </w:tc>
        <w:tc>
          <w:tcPr>
            <w:tcW w:w="892" w:type="dxa"/>
            <w:tcMar>
              <w:top w:w="28" w:type="dxa"/>
              <w:left w:w="28" w:type="dxa"/>
              <w:bottom w:w="28" w:type="dxa"/>
              <w:right w:w="28" w:type="dxa"/>
            </w:tcMar>
            <w:vAlign w:val="center"/>
          </w:tcPr>
          <w:p w14:paraId="54ECA186">
            <w:pPr>
              <w:pStyle w:val="Tabloerii"/>
              <w:widowControl w:val="0"/>
              <w:suppressLineNumbers/>
              <w:jc w:val="left"/>
            </w:pPr>
            <w:r>
              <w:rPr>
                <w:rFonts w:ascii="Times New Roman;serif" w:hAnsi="Times New Roman;serif" w:eastAsia="Times New Roman;serif" w:cs="Times New Roman;serif"/>
                <w:sz w:val="24"/>
                <w:szCs w:val="24"/>
              </w:rPr>
              <w:t>Değişen</w:t>
            </w:r>
          </w:p>
        </w:tc>
        <w:tc>
          <w:tcPr>
            <w:tcW w:w="1489" w:type="dxa"/>
            <w:gridSpan w:val="2"/>
            <w:tcMar>
              <w:top w:w="28" w:type="dxa"/>
              <w:left w:w="28" w:type="dxa"/>
              <w:bottom w:w="28" w:type="dxa"/>
              <w:right w:w="28" w:type="dxa"/>
            </w:tcMar>
            <w:vAlign w:val="center"/>
          </w:tcPr>
          <w:p w14:paraId="3A52AC51">
            <w:pPr>
              <w:pStyle w:val="Tabloerii"/>
              <w:widowControl w:val="0"/>
              <w:suppressLineNumbers/>
              <w:jc w:val="left"/>
            </w:pPr>
            <w:r>
              <w:rPr>
                <w:rFonts w:ascii="Times New Roman;serif" w:hAnsi="Times New Roman;serif" w:eastAsia="Times New Roman;serif" w:cs="Times New Roman;serif"/>
                <w:sz w:val="24"/>
                <w:szCs w:val="24"/>
              </w:rPr>
              <w:t>Yerellik oranı</w:t>
            </w:r>
          </w:p>
        </w:tc>
      </w:tr>
      <w:tr>
        <w:tc>
          <w:tcPr>
            <w:tcW w:w="2344" w:type="dxa"/>
            <w:tcMar>
              <w:top w:w="28" w:type="dxa"/>
              <w:left w:w="28" w:type="dxa"/>
              <w:bottom w:w="28" w:type="dxa"/>
              <w:right w:w="28" w:type="dxa"/>
            </w:tcMar>
            <w:vAlign w:val="center"/>
          </w:tcPr>
          <w:p w14:paraId="3F6F5543">
            <w:pPr>
              <w:pStyle w:val="Tabloerii"/>
              <w:widowControl w:val="0"/>
              <w:suppressLineNumbers/>
              <w:jc w:val="left"/>
            </w:pPr>
            <w:r>
              <w:rPr>
                <w:rFonts w:ascii="Times New Roman;serif" w:hAnsi="Times New Roman;serif" w:eastAsia="Times New Roman;serif" w:cs="Times New Roman;serif"/>
                <w:sz w:val="24"/>
                <w:szCs w:val="24"/>
              </w:rPr>
              <w:t>Özellik</w:t>
            </w:r>
          </w:p>
        </w:tc>
        <w:tc>
          <w:tcPr>
            <w:tcW w:w="466" w:type="dxa"/>
            <w:tcMar>
              <w:top w:w="28" w:type="dxa"/>
              <w:left w:w="28" w:type="dxa"/>
              <w:bottom w:w="28" w:type="dxa"/>
              <w:right w:w="28" w:type="dxa"/>
            </w:tcMar>
            <w:vAlign w:val="center"/>
          </w:tcPr>
          <w:p w14:paraId="74EB551F">
            <w:pPr>
              <w:pStyle w:val="Tabloerii"/>
              <w:widowControl w:val="0"/>
              <w:suppressLineNumbers/>
              <w:jc w:val="left"/>
            </w:pPr>
            <w:r>
              <w:rPr>
                <w:rFonts w:ascii="Times New Roman;serif" w:hAnsi="Times New Roman;serif" w:eastAsia="Times New Roman;serif" w:cs="Times New Roman;serif"/>
                <w:sz w:val="24"/>
                <w:szCs w:val="24"/>
              </w:rPr>
              <w:t>N</w:t>
            </w:r>
          </w:p>
        </w:tc>
        <w:tc>
          <w:tcPr>
            <w:tcW w:w="852" w:type="dxa"/>
            <w:tcMar>
              <w:top w:w="28" w:type="dxa"/>
              <w:left w:w="28" w:type="dxa"/>
              <w:bottom w:w="28" w:type="dxa"/>
              <w:right w:w="28" w:type="dxa"/>
            </w:tcMar>
            <w:vAlign w:val="center"/>
          </w:tcPr>
          <w:p w14:paraId="75ECF081">
            <w:pPr>
              <w:pStyle w:val="Tabloerii"/>
              <w:widowControl w:val="0"/>
              <w:suppressLineNumbers/>
              <w:jc w:val="left"/>
            </w:pPr>
            <w:r>
              <w:rPr>
                <w:rFonts w:ascii="Times New Roman;serif" w:hAnsi="Times New Roman;serif" w:eastAsia="Times New Roman;serif" w:cs="Times New Roman;serif"/>
                <w:sz w:val="24"/>
                <w:szCs w:val="24"/>
              </w:rPr>
              <w:t>Başarılı</w:t>
            </w:r>
          </w:p>
        </w:tc>
        <w:tc>
          <w:tcPr>
            <w:tcW w:w="892" w:type="dxa"/>
            <w:tcMar>
              <w:top w:w="28" w:type="dxa"/>
              <w:left w:w="28" w:type="dxa"/>
              <w:bottom w:w="28" w:type="dxa"/>
              <w:right w:w="28" w:type="dxa"/>
            </w:tcMar>
            <w:vAlign w:val="center"/>
          </w:tcPr>
          <w:p w14:paraId="7E6840FB">
            <w:pPr>
              <w:pStyle w:val="Tabloerii"/>
              <w:widowControl w:val="0"/>
              <w:suppressLineNumbers/>
              <w:jc w:val="left"/>
            </w:pPr>
            <w:r>
              <w:rPr>
                <w:rFonts w:ascii="Times New Roman;serif" w:hAnsi="Times New Roman;serif" w:eastAsia="Times New Roman;serif" w:cs="Times New Roman;serif"/>
                <w:sz w:val="24"/>
                <w:szCs w:val="24"/>
              </w:rPr>
              <w:t>satır</w:t>
            </w:r>
          </w:p>
        </w:tc>
        <w:tc>
          <w:tcPr>
            <w:tcW w:w="599" w:type="dxa"/>
            <w:tcMar>
              <w:top w:w="28" w:type="dxa"/>
              <w:left w:w="28" w:type="dxa"/>
              <w:bottom w:w="28" w:type="dxa"/>
              <w:right w:w="28" w:type="dxa"/>
            </w:tcMar>
            <w:vAlign w:val="center"/>
          </w:tcPr>
          <w:p w14:paraId="33D483A6">
            <w:pPr>
              <w:pStyle w:val="Tabloerii"/>
              <w:widowControl w:val="0"/>
              <w:suppressLineNumbers/>
              <w:jc w:val="left"/>
            </w:pPr>
            <w:r>
              <w:rPr>
                <w:rFonts w:ascii="Times New Roman;serif" w:hAnsi="Times New Roman;serif" w:eastAsia="Times New Roman;serif" w:cs="Times New Roman;serif"/>
                <w:sz w:val="24"/>
                <w:szCs w:val="24"/>
              </w:rPr>
              <w:t>Ham</w:t>
            </w:r>
          </w:p>
        </w:tc>
        <w:tc>
          <w:tcPr>
            <w:tcW w:w="890" w:type="dxa"/>
            <w:tcMar>
              <w:top w:w="28" w:type="dxa"/>
              <w:left w:w="28" w:type="dxa"/>
              <w:bottom w:w="28" w:type="dxa"/>
              <w:right w:w="28" w:type="dxa"/>
            </w:tcMar>
            <w:vAlign w:val="center"/>
          </w:tcPr>
          <w:p w14:paraId="07560C8B">
            <w:pPr>
              <w:pStyle w:val="Tabloerii"/>
              <w:widowControl w:val="0"/>
              <w:suppressLineNumbers/>
              <w:jc w:val="left"/>
            </w:pPr>
            <w:r>
              <w:rPr>
                <w:rFonts w:ascii="Times New Roman;serif" w:hAnsi="Times New Roman;serif" w:eastAsia="Times New Roman;serif" w:cs="Times New Roman;serif"/>
                <w:sz w:val="24"/>
                <w:szCs w:val="24"/>
              </w:rPr>
              <w:t>Düzelt.</w:t>
            </w:r>
          </w:p>
        </w:tc>
      </w:tr>
      <w:tr>
        <w:tc>
          <w:tcPr>
            <w:tcW w:w="2344" w:type="dxa"/>
            <w:tcMar>
              <w:top w:w="28" w:type="dxa"/>
              <w:left w:w="28" w:type="dxa"/>
              <w:bottom w:w="28" w:type="dxa"/>
              <w:right w:w="28" w:type="dxa"/>
            </w:tcMar>
            <w:vAlign w:val="center"/>
          </w:tcPr>
          <w:p w14:paraId="5B6BBDCE">
            <w:pPr>
              <w:pStyle w:val="Tabloerii"/>
              <w:widowControl w:val="0"/>
              <w:suppressLineNumbers/>
              <w:jc w:val="left"/>
            </w:pPr>
            <w:r>
              <w:rPr>
                <w:rStyle w:val="KaynakMetin"/>
                <w:rFonts w:ascii="Courier New;monospace" w:hAnsi="Courier New;monospace" w:eastAsia="Courier New;monospace" w:cs="Courier New;monospace"/>
                <w:sz w:val="20"/>
                <w:szCs w:val="20"/>
              </w:rPr>
              <w:t>image</w:t>
            </w:r>
          </w:p>
        </w:tc>
        <w:tc>
          <w:tcPr>
            <w:tcW w:w="466" w:type="dxa"/>
            <w:tcMar>
              <w:top w:w="28" w:type="dxa"/>
              <w:left w:w="28" w:type="dxa"/>
              <w:bottom w:w="28" w:type="dxa"/>
              <w:right w:w="28" w:type="dxa"/>
            </w:tcMar>
            <w:vAlign w:val="center"/>
          </w:tcPr>
          <w:p w14:paraId="70EF13D0">
            <w:pPr>
              <w:pStyle w:val="Tabloerii"/>
              <w:widowControl w:val="0"/>
              <w:suppressLineNumbers/>
              <w:jc w:val="left"/>
            </w:pPr>
            <w:r>
              <w:rPr>
                <w:rFonts w:ascii="Times New Roman;serif" w:hAnsi="Times New Roman;serif" w:eastAsia="Times New Roman;serif" w:cs="Times New Roman;serif"/>
                <w:sz w:val="24"/>
                <w:szCs w:val="24"/>
              </w:rPr>
              <w:t>200</w:t>
            </w:r>
          </w:p>
        </w:tc>
        <w:tc>
          <w:tcPr>
            <w:tcW w:w="852" w:type="dxa"/>
            <w:tcMar>
              <w:top w:w="28" w:type="dxa"/>
              <w:left w:w="28" w:type="dxa"/>
              <w:bottom w:w="28" w:type="dxa"/>
              <w:right w:w="28" w:type="dxa"/>
            </w:tcMar>
            <w:vAlign w:val="center"/>
          </w:tcPr>
          <w:p w14:paraId="44CE485D">
            <w:pPr>
              <w:pStyle w:val="Tabloerii"/>
              <w:widowControl w:val="0"/>
              <w:suppressLineNumbers/>
              <w:jc w:val="left"/>
            </w:pPr>
            <w:r>
              <w:rPr>
                <w:rFonts w:ascii="Times New Roman;serif" w:hAnsi="Times New Roman;serif" w:eastAsia="Times New Roman;serif" w:cs="Times New Roman;serif"/>
                <w:sz w:val="24"/>
                <w:szCs w:val="24"/>
              </w:rPr>
              <w:t>200</w:t>
            </w:r>
          </w:p>
        </w:tc>
        <w:tc>
          <w:tcPr>
            <w:tcW w:w="892" w:type="dxa"/>
            <w:tcMar>
              <w:top w:w="28" w:type="dxa"/>
              <w:left w:w="28" w:type="dxa"/>
              <w:bottom w:w="28" w:type="dxa"/>
              <w:right w:w="28" w:type="dxa"/>
            </w:tcMar>
            <w:vAlign w:val="center"/>
          </w:tcPr>
          <w:p w14:paraId="6F84E9B4">
            <w:pPr>
              <w:pStyle w:val="Tabloerii"/>
              <w:widowControl w:val="0"/>
              <w:suppressLineNumbers/>
              <w:jc w:val="left"/>
            </w:pPr>
            <w:r>
              <w:rPr>
                <w:rFonts w:ascii="Times New Roman;serif" w:hAnsi="Times New Roman;serif" w:eastAsia="Times New Roman;serif" w:cs="Times New Roman;serif"/>
                <w:sz w:val="24"/>
                <w:szCs w:val="24"/>
              </w:rPr>
              <w:t>9</w:t>
            </w:r>
          </w:p>
        </w:tc>
        <w:tc>
          <w:tcPr>
            <w:tcW w:w="599" w:type="dxa"/>
            <w:tcMar>
              <w:top w:w="28" w:type="dxa"/>
              <w:left w:w="28" w:type="dxa"/>
              <w:bottom w:w="28" w:type="dxa"/>
              <w:right w:w="28" w:type="dxa"/>
            </w:tcMar>
            <w:vAlign w:val="center"/>
          </w:tcPr>
          <w:p w14:paraId="13F3EB2B">
            <w:pPr>
              <w:pStyle w:val="Tabloerii"/>
              <w:widowControl w:val="0"/>
              <w:suppressLineNumbers/>
              <w:jc w:val="left"/>
            </w:pPr>
            <w:r>
              <w:rPr>
                <w:rFonts w:ascii="Times New Roman;serif" w:hAnsi="Times New Roman;serif" w:eastAsia="Times New Roman;serif" w:cs="Times New Roman;serif"/>
                <w:sz w:val="24"/>
                <w:szCs w:val="24"/>
              </w:rPr>
              <w:t>0,11</w:t>
            </w:r>
          </w:p>
        </w:tc>
        <w:tc>
          <w:tcPr>
            <w:tcW w:w="890" w:type="dxa"/>
            <w:tcMar>
              <w:top w:w="28" w:type="dxa"/>
              <w:left w:w="28" w:type="dxa"/>
              <w:bottom w:w="28" w:type="dxa"/>
              <w:right w:w="28" w:type="dxa"/>
            </w:tcMar>
            <w:vAlign w:val="center"/>
          </w:tcPr>
          <w:p w14:paraId="3B55B131">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3E8178D1">
            <w:pPr>
              <w:pStyle w:val="Tabloerii"/>
              <w:widowControl w:val="0"/>
              <w:suppressLineNumbers/>
              <w:jc w:val="left"/>
            </w:pPr>
            <w:r>
              <w:rPr>
                <w:rStyle w:val="KaynakMetin"/>
                <w:rFonts w:ascii="Courier New;monospace" w:hAnsi="Courier New;monospace" w:eastAsia="Courier New;monospace" w:cs="Courier New;monospace"/>
                <w:sz w:val="20"/>
                <w:szCs w:val="20"/>
              </w:rPr>
              <w:t>hostname</w:t>
            </w:r>
          </w:p>
        </w:tc>
        <w:tc>
          <w:tcPr>
            <w:tcW w:w="466" w:type="dxa"/>
            <w:tcMar>
              <w:top w:w="28" w:type="dxa"/>
              <w:left w:w="28" w:type="dxa"/>
              <w:bottom w:w="28" w:type="dxa"/>
              <w:right w:w="28" w:type="dxa"/>
            </w:tcMar>
            <w:vAlign w:val="center"/>
          </w:tcPr>
          <w:p w14:paraId="082088FA">
            <w:pPr>
              <w:pStyle w:val="Tabloerii"/>
              <w:widowControl w:val="0"/>
              <w:suppressLineNumbers/>
              <w:jc w:val="left"/>
            </w:pPr>
            <w:r>
              <w:rPr>
                <w:rFonts w:ascii="Times New Roman;serif" w:hAnsi="Times New Roman;serif" w:eastAsia="Times New Roman;serif" w:cs="Times New Roman;serif"/>
                <w:sz w:val="24"/>
                <w:szCs w:val="24"/>
              </w:rPr>
              <w:t>39</w:t>
            </w:r>
          </w:p>
        </w:tc>
        <w:tc>
          <w:tcPr>
            <w:tcW w:w="852" w:type="dxa"/>
            <w:tcMar>
              <w:top w:w="28" w:type="dxa"/>
              <w:left w:w="28" w:type="dxa"/>
              <w:bottom w:w="28" w:type="dxa"/>
              <w:right w:w="28" w:type="dxa"/>
            </w:tcMar>
            <w:vAlign w:val="center"/>
          </w:tcPr>
          <w:p w14:paraId="25F7B446">
            <w:pPr>
              <w:pStyle w:val="Tabloerii"/>
              <w:widowControl w:val="0"/>
              <w:suppressLineNumbers/>
              <w:jc w:val="left"/>
            </w:pPr>
            <w:r>
              <w:rPr>
                <w:rFonts w:ascii="Times New Roman;serif" w:hAnsi="Times New Roman;serif" w:eastAsia="Times New Roman;serif" w:cs="Times New Roman;serif"/>
                <w:sz w:val="24"/>
                <w:szCs w:val="24"/>
              </w:rPr>
              <w:t>39</w:t>
            </w:r>
          </w:p>
        </w:tc>
        <w:tc>
          <w:tcPr>
            <w:tcW w:w="892" w:type="dxa"/>
            <w:tcMar>
              <w:top w:w="28" w:type="dxa"/>
              <w:left w:w="28" w:type="dxa"/>
              <w:bottom w:w="28" w:type="dxa"/>
              <w:right w:w="28" w:type="dxa"/>
            </w:tcMar>
            <w:vAlign w:val="center"/>
          </w:tcPr>
          <w:p w14:paraId="62F5B17C">
            <w:pPr>
              <w:pStyle w:val="Tabloerii"/>
              <w:widowControl w:val="0"/>
              <w:suppressLineNumbers/>
              <w:jc w:val="left"/>
            </w:pPr>
            <w:r>
              <w:rPr>
                <w:rFonts w:ascii="Times New Roman;serif" w:hAnsi="Times New Roman;serif" w:eastAsia="Times New Roman;serif" w:cs="Times New Roman;serif"/>
                <w:sz w:val="24"/>
                <w:szCs w:val="24"/>
              </w:rPr>
              <w:t>23</w:t>
            </w:r>
          </w:p>
        </w:tc>
        <w:tc>
          <w:tcPr>
            <w:tcW w:w="599" w:type="dxa"/>
            <w:tcMar>
              <w:top w:w="28" w:type="dxa"/>
              <w:left w:w="28" w:type="dxa"/>
              <w:bottom w:w="28" w:type="dxa"/>
              <w:right w:w="28" w:type="dxa"/>
            </w:tcMar>
            <w:vAlign w:val="center"/>
          </w:tcPr>
          <w:p w14:paraId="7CDF557F">
            <w:pPr>
              <w:pStyle w:val="Tabloerii"/>
              <w:widowControl w:val="0"/>
              <w:suppressLineNumbers/>
              <w:jc w:val="left"/>
            </w:pPr>
            <w:r>
              <w:rPr>
                <w:rFonts w:ascii="Times New Roman;serif" w:hAnsi="Times New Roman;serif" w:eastAsia="Times New Roman;serif" w:cs="Times New Roman;serif"/>
                <w:sz w:val="24"/>
                <w:szCs w:val="24"/>
              </w:rPr>
              <w:t>0,04</w:t>
            </w:r>
          </w:p>
        </w:tc>
        <w:tc>
          <w:tcPr>
            <w:tcW w:w="890" w:type="dxa"/>
            <w:tcMar>
              <w:top w:w="28" w:type="dxa"/>
              <w:left w:w="28" w:type="dxa"/>
              <w:bottom w:w="28" w:type="dxa"/>
              <w:right w:w="28" w:type="dxa"/>
            </w:tcMar>
            <w:vAlign w:val="center"/>
          </w:tcPr>
          <w:p w14:paraId="1C4ECE07">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251D0A0B">
            <w:pPr>
              <w:pStyle w:val="Tabloerii"/>
              <w:widowControl w:val="0"/>
              <w:suppressLineNumbers/>
              <w:jc w:val="left"/>
            </w:pPr>
            <w:r>
              <w:rPr>
                <w:rStyle w:val="KaynakMetin"/>
                <w:rFonts w:ascii="Courier New;monospace" w:hAnsi="Courier New;monospace" w:eastAsia="Courier New;monospace" w:cs="Courier New;monospace"/>
                <w:sz w:val="20"/>
                <w:szCs w:val="20"/>
              </w:rPr>
              <w:t>restart</w:t>
            </w:r>
          </w:p>
        </w:tc>
        <w:tc>
          <w:tcPr>
            <w:tcW w:w="466" w:type="dxa"/>
            <w:tcMar>
              <w:top w:w="28" w:type="dxa"/>
              <w:left w:w="28" w:type="dxa"/>
              <w:bottom w:w="28" w:type="dxa"/>
              <w:right w:w="28" w:type="dxa"/>
            </w:tcMar>
            <w:vAlign w:val="center"/>
          </w:tcPr>
          <w:p w14:paraId="04BF1617">
            <w:pPr>
              <w:pStyle w:val="Tabloerii"/>
              <w:widowControl w:val="0"/>
              <w:suppressLineNumbers/>
              <w:jc w:val="left"/>
            </w:pPr>
            <w:r>
              <w:rPr>
                <w:rFonts w:ascii="Times New Roman;serif" w:hAnsi="Times New Roman;serif" w:eastAsia="Times New Roman;serif" w:cs="Times New Roman;serif"/>
                <w:sz w:val="24"/>
                <w:szCs w:val="24"/>
              </w:rPr>
              <w:t>200</w:t>
            </w:r>
          </w:p>
        </w:tc>
        <w:tc>
          <w:tcPr>
            <w:tcW w:w="852" w:type="dxa"/>
            <w:tcMar>
              <w:top w:w="28" w:type="dxa"/>
              <w:left w:w="28" w:type="dxa"/>
              <w:bottom w:w="28" w:type="dxa"/>
              <w:right w:w="28" w:type="dxa"/>
            </w:tcMar>
            <w:vAlign w:val="center"/>
          </w:tcPr>
          <w:p w14:paraId="304AD45C">
            <w:pPr>
              <w:pStyle w:val="Tabloerii"/>
              <w:widowControl w:val="0"/>
              <w:suppressLineNumbers/>
              <w:jc w:val="left"/>
            </w:pPr>
            <w:r>
              <w:rPr>
                <w:rFonts w:ascii="Times New Roman;serif" w:hAnsi="Times New Roman;serif" w:eastAsia="Times New Roman;serif" w:cs="Times New Roman;serif"/>
                <w:sz w:val="24"/>
                <w:szCs w:val="24"/>
              </w:rPr>
              <w:t>200</w:t>
            </w:r>
          </w:p>
        </w:tc>
        <w:tc>
          <w:tcPr>
            <w:tcW w:w="892" w:type="dxa"/>
            <w:tcMar>
              <w:top w:w="28" w:type="dxa"/>
              <w:left w:w="28" w:type="dxa"/>
              <w:bottom w:w="28" w:type="dxa"/>
              <w:right w:w="28" w:type="dxa"/>
            </w:tcMar>
            <w:vAlign w:val="center"/>
          </w:tcPr>
          <w:p w14:paraId="49D62E03">
            <w:pPr>
              <w:pStyle w:val="Tabloerii"/>
              <w:widowControl w:val="0"/>
              <w:suppressLineNumbers/>
              <w:jc w:val="left"/>
            </w:pPr>
            <w:r>
              <w:rPr>
                <w:rFonts w:ascii="Times New Roman;serif" w:hAnsi="Times New Roman;serif" w:eastAsia="Times New Roman;serif" w:cs="Times New Roman;serif"/>
                <w:sz w:val="24"/>
                <w:szCs w:val="24"/>
              </w:rPr>
              <w:t>10</w:t>
            </w:r>
          </w:p>
        </w:tc>
        <w:tc>
          <w:tcPr>
            <w:tcW w:w="599" w:type="dxa"/>
            <w:tcMar>
              <w:top w:w="28" w:type="dxa"/>
              <w:left w:w="28" w:type="dxa"/>
              <w:bottom w:w="28" w:type="dxa"/>
              <w:right w:w="28" w:type="dxa"/>
            </w:tcMar>
            <w:vAlign w:val="center"/>
          </w:tcPr>
          <w:p w14:paraId="2FFF07AC">
            <w:pPr>
              <w:pStyle w:val="Tabloerii"/>
              <w:widowControl w:val="0"/>
              <w:suppressLineNumbers/>
              <w:jc w:val="left"/>
            </w:pPr>
            <w:r>
              <w:rPr>
                <w:rFonts w:ascii="Times New Roman;serif" w:hAnsi="Times New Roman;serif" w:eastAsia="Times New Roman;serif" w:cs="Times New Roman;serif"/>
                <w:sz w:val="24"/>
                <w:szCs w:val="24"/>
              </w:rPr>
              <w:t>0,10</w:t>
            </w:r>
          </w:p>
        </w:tc>
        <w:tc>
          <w:tcPr>
            <w:tcW w:w="890" w:type="dxa"/>
            <w:tcMar>
              <w:top w:w="28" w:type="dxa"/>
              <w:left w:w="28" w:type="dxa"/>
              <w:bottom w:w="28" w:type="dxa"/>
              <w:right w:w="28" w:type="dxa"/>
            </w:tcMar>
            <w:vAlign w:val="center"/>
          </w:tcPr>
          <w:p w14:paraId="7A324E17">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11AA0A6E">
            <w:pPr>
              <w:pStyle w:val="Tabloerii"/>
              <w:widowControl w:val="0"/>
              <w:suppressLineNumbers/>
              <w:jc w:val="left"/>
            </w:pPr>
            <w:r>
              <w:rPr>
                <w:rStyle w:val="KaynakMetin"/>
                <w:rFonts w:ascii="Courier New;monospace" w:hAnsi="Courier New;monospace" w:eastAsia="Courier New;monospace" w:cs="Courier New;monospace"/>
                <w:sz w:val="20"/>
                <w:szCs w:val="20"/>
              </w:rPr>
              <w:t>env</w:t>
            </w:r>
          </w:p>
        </w:tc>
        <w:tc>
          <w:tcPr>
            <w:tcW w:w="466" w:type="dxa"/>
            <w:tcMar>
              <w:top w:w="28" w:type="dxa"/>
              <w:left w:w="28" w:type="dxa"/>
              <w:bottom w:w="28" w:type="dxa"/>
              <w:right w:w="28" w:type="dxa"/>
            </w:tcMar>
            <w:vAlign w:val="center"/>
          </w:tcPr>
          <w:p w14:paraId="12D52EF8">
            <w:pPr>
              <w:pStyle w:val="Tabloerii"/>
              <w:widowControl w:val="0"/>
              <w:suppressLineNumbers/>
              <w:jc w:val="left"/>
            </w:pPr>
            <w:r>
              <w:rPr>
                <w:rFonts w:ascii="Times New Roman;serif" w:hAnsi="Times New Roman;serif" w:eastAsia="Times New Roman;serif" w:cs="Times New Roman;serif"/>
                <w:sz w:val="24"/>
                <w:szCs w:val="24"/>
              </w:rPr>
              <w:t>200</w:t>
            </w:r>
          </w:p>
        </w:tc>
        <w:tc>
          <w:tcPr>
            <w:tcW w:w="852" w:type="dxa"/>
            <w:tcMar>
              <w:top w:w="28" w:type="dxa"/>
              <w:left w:w="28" w:type="dxa"/>
              <w:bottom w:w="28" w:type="dxa"/>
              <w:right w:w="28" w:type="dxa"/>
            </w:tcMar>
            <w:vAlign w:val="center"/>
          </w:tcPr>
          <w:p w14:paraId="7A73E570">
            <w:pPr>
              <w:pStyle w:val="Tabloerii"/>
              <w:widowControl w:val="0"/>
              <w:suppressLineNumbers/>
              <w:jc w:val="left"/>
            </w:pPr>
            <w:r>
              <w:rPr>
                <w:rFonts w:ascii="Times New Roman;serif" w:hAnsi="Times New Roman;serif" w:eastAsia="Times New Roman;serif" w:cs="Times New Roman;serif"/>
                <w:sz w:val="24"/>
                <w:szCs w:val="24"/>
              </w:rPr>
              <w:t>200</w:t>
            </w:r>
          </w:p>
        </w:tc>
        <w:tc>
          <w:tcPr>
            <w:tcW w:w="892" w:type="dxa"/>
            <w:tcMar>
              <w:top w:w="28" w:type="dxa"/>
              <w:left w:w="28" w:type="dxa"/>
              <w:bottom w:w="28" w:type="dxa"/>
              <w:right w:w="28" w:type="dxa"/>
            </w:tcMar>
            <w:vAlign w:val="center"/>
          </w:tcPr>
          <w:p w14:paraId="26643D82">
            <w:pPr>
              <w:pStyle w:val="Tabloerii"/>
              <w:widowControl w:val="0"/>
              <w:suppressLineNumbers/>
              <w:jc w:val="left"/>
            </w:pPr>
            <w:r>
              <w:rPr>
                <w:rFonts w:ascii="Times New Roman;serif" w:hAnsi="Times New Roman;serif" w:eastAsia="Times New Roman;serif" w:cs="Times New Roman;serif"/>
                <w:sz w:val="24"/>
                <w:szCs w:val="24"/>
              </w:rPr>
              <w:t>9</w:t>
            </w:r>
          </w:p>
        </w:tc>
        <w:tc>
          <w:tcPr>
            <w:tcW w:w="599" w:type="dxa"/>
            <w:tcMar>
              <w:top w:w="28" w:type="dxa"/>
              <w:left w:w="28" w:type="dxa"/>
              <w:bottom w:w="28" w:type="dxa"/>
              <w:right w:w="28" w:type="dxa"/>
            </w:tcMar>
            <w:vAlign w:val="center"/>
          </w:tcPr>
          <w:p w14:paraId="01D6F54C">
            <w:pPr>
              <w:pStyle w:val="Tabloerii"/>
              <w:widowControl w:val="0"/>
              <w:suppressLineNumbers/>
              <w:jc w:val="left"/>
            </w:pPr>
            <w:r>
              <w:rPr>
                <w:rFonts w:ascii="Times New Roman;serif" w:hAnsi="Times New Roman;serif" w:eastAsia="Times New Roman;serif" w:cs="Times New Roman;serif"/>
                <w:sz w:val="24"/>
                <w:szCs w:val="24"/>
              </w:rPr>
              <w:t>0,11</w:t>
            </w:r>
          </w:p>
        </w:tc>
        <w:tc>
          <w:tcPr>
            <w:tcW w:w="890" w:type="dxa"/>
            <w:tcMar>
              <w:top w:w="28" w:type="dxa"/>
              <w:left w:w="28" w:type="dxa"/>
              <w:bottom w:w="28" w:type="dxa"/>
              <w:right w:w="28" w:type="dxa"/>
            </w:tcMar>
            <w:vAlign w:val="center"/>
          </w:tcPr>
          <w:p w14:paraId="3E7B2E41">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40869107">
            <w:pPr>
              <w:pStyle w:val="Tabloerii"/>
              <w:widowControl w:val="0"/>
              <w:suppressLineNumbers/>
              <w:jc w:val="left"/>
            </w:pPr>
            <w:r>
              <w:rPr>
                <w:rStyle w:val="KaynakMetin"/>
                <w:rFonts w:ascii="Courier New;monospace" w:hAnsi="Courier New;monospace" w:eastAsia="Courier New;monospace" w:cs="Courier New;monospace"/>
                <w:sz w:val="20"/>
                <w:szCs w:val="20"/>
              </w:rPr>
              <w:t>port</w:t>
            </w:r>
          </w:p>
        </w:tc>
        <w:tc>
          <w:tcPr>
            <w:tcW w:w="466" w:type="dxa"/>
            <w:tcMar>
              <w:top w:w="28" w:type="dxa"/>
              <w:left w:w="28" w:type="dxa"/>
              <w:bottom w:w="28" w:type="dxa"/>
              <w:right w:w="28" w:type="dxa"/>
            </w:tcMar>
            <w:vAlign w:val="center"/>
          </w:tcPr>
          <w:p w14:paraId="606A7544">
            <w:pPr>
              <w:pStyle w:val="Tabloerii"/>
              <w:widowControl w:val="0"/>
              <w:suppressLineNumbers/>
              <w:jc w:val="left"/>
            </w:pPr>
            <w:r>
              <w:rPr>
                <w:rFonts w:ascii="Times New Roman;serif" w:hAnsi="Times New Roman;serif" w:eastAsia="Times New Roman;serif" w:cs="Times New Roman;serif"/>
                <w:sz w:val="24"/>
                <w:szCs w:val="24"/>
              </w:rPr>
              <w:t>200</w:t>
            </w:r>
          </w:p>
        </w:tc>
        <w:tc>
          <w:tcPr>
            <w:tcW w:w="852" w:type="dxa"/>
            <w:tcMar>
              <w:top w:w="28" w:type="dxa"/>
              <w:left w:w="28" w:type="dxa"/>
              <w:bottom w:w="28" w:type="dxa"/>
              <w:right w:w="28" w:type="dxa"/>
            </w:tcMar>
            <w:vAlign w:val="center"/>
          </w:tcPr>
          <w:p w14:paraId="0ABB8A2D">
            <w:pPr>
              <w:pStyle w:val="Tabloerii"/>
              <w:widowControl w:val="0"/>
              <w:suppressLineNumbers/>
              <w:jc w:val="left"/>
            </w:pPr>
            <w:r>
              <w:rPr>
                <w:rFonts w:ascii="Times New Roman;serif" w:hAnsi="Times New Roman;serif" w:eastAsia="Times New Roman;serif" w:cs="Times New Roman;serif"/>
                <w:sz w:val="24"/>
                <w:szCs w:val="24"/>
              </w:rPr>
              <w:t>199</w:t>
            </w:r>
          </w:p>
        </w:tc>
        <w:tc>
          <w:tcPr>
            <w:tcW w:w="892" w:type="dxa"/>
            <w:tcMar>
              <w:top w:w="28" w:type="dxa"/>
              <w:left w:w="28" w:type="dxa"/>
              <w:bottom w:w="28" w:type="dxa"/>
              <w:right w:w="28" w:type="dxa"/>
            </w:tcMar>
            <w:vAlign w:val="center"/>
          </w:tcPr>
          <w:p w14:paraId="7FD70BAA">
            <w:pPr>
              <w:pStyle w:val="Tabloerii"/>
              <w:widowControl w:val="0"/>
              <w:suppressLineNumbers/>
              <w:jc w:val="left"/>
            </w:pPr>
            <w:r>
              <w:rPr>
                <w:rFonts w:ascii="Times New Roman;serif" w:hAnsi="Times New Roman;serif" w:eastAsia="Times New Roman;serif" w:cs="Times New Roman;serif"/>
                <w:sz w:val="24"/>
                <w:szCs w:val="24"/>
              </w:rPr>
              <w:t>8</w:t>
            </w:r>
          </w:p>
        </w:tc>
        <w:tc>
          <w:tcPr>
            <w:tcW w:w="599" w:type="dxa"/>
            <w:tcMar>
              <w:top w:w="28" w:type="dxa"/>
              <w:left w:w="28" w:type="dxa"/>
              <w:bottom w:w="28" w:type="dxa"/>
              <w:right w:w="28" w:type="dxa"/>
            </w:tcMar>
            <w:vAlign w:val="center"/>
          </w:tcPr>
          <w:p w14:paraId="246AFE9E">
            <w:pPr>
              <w:pStyle w:val="Tabloerii"/>
              <w:widowControl w:val="0"/>
              <w:suppressLineNumbers/>
              <w:jc w:val="left"/>
            </w:pPr>
            <w:r>
              <w:rPr>
                <w:rFonts w:ascii="Times New Roman;serif" w:hAnsi="Times New Roman;serif" w:eastAsia="Times New Roman;serif" w:cs="Times New Roman;serif"/>
                <w:sz w:val="24"/>
                <w:szCs w:val="24"/>
              </w:rPr>
              <w:t>0,13</w:t>
            </w:r>
          </w:p>
        </w:tc>
        <w:tc>
          <w:tcPr>
            <w:tcW w:w="890" w:type="dxa"/>
            <w:tcMar>
              <w:top w:w="28" w:type="dxa"/>
              <w:left w:w="28" w:type="dxa"/>
              <w:bottom w:w="28" w:type="dxa"/>
              <w:right w:w="28" w:type="dxa"/>
            </w:tcMar>
            <w:vAlign w:val="center"/>
          </w:tcPr>
          <w:p w14:paraId="66E7F482">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7168031D">
            <w:pPr>
              <w:pStyle w:val="Tabloerii"/>
              <w:widowControl w:val="0"/>
              <w:suppressLineNumbers/>
              <w:jc w:val="left"/>
            </w:pPr>
            <w:r>
              <w:rPr>
                <w:rStyle w:val="KaynakMetin"/>
                <w:rFonts w:ascii="Courier New;monospace" w:hAnsi="Courier New;monospace" w:eastAsia="Courier New;monospace" w:cs="Courier New;monospace"/>
                <w:sz w:val="20"/>
                <w:szCs w:val="20"/>
              </w:rPr>
              <w:t>volume-source</w:t>
            </w:r>
          </w:p>
        </w:tc>
        <w:tc>
          <w:tcPr>
            <w:tcW w:w="466" w:type="dxa"/>
            <w:tcMar>
              <w:top w:w="28" w:type="dxa"/>
              <w:left w:w="28" w:type="dxa"/>
              <w:bottom w:w="28" w:type="dxa"/>
              <w:right w:w="28" w:type="dxa"/>
            </w:tcMar>
            <w:vAlign w:val="center"/>
          </w:tcPr>
          <w:p w14:paraId="5DA1A996">
            <w:pPr>
              <w:pStyle w:val="Tabloerii"/>
              <w:widowControl w:val="0"/>
              <w:suppressLineNumbers/>
              <w:jc w:val="left"/>
            </w:pPr>
            <w:r>
              <w:rPr>
                <w:rFonts w:ascii="Times New Roman;serif" w:hAnsi="Times New Roman;serif" w:eastAsia="Times New Roman;serif" w:cs="Times New Roman;serif"/>
                <w:sz w:val="24"/>
                <w:szCs w:val="24"/>
              </w:rPr>
              <w:t>200</w:t>
            </w:r>
          </w:p>
        </w:tc>
        <w:tc>
          <w:tcPr>
            <w:tcW w:w="852" w:type="dxa"/>
            <w:tcMar>
              <w:top w:w="28" w:type="dxa"/>
              <w:left w:w="28" w:type="dxa"/>
              <w:bottom w:w="28" w:type="dxa"/>
              <w:right w:w="28" w:type="dxa"/>
            </w:tcMar>
            <w:vAlign w:val="center"/>
          </w:tcPr>
          <w:p w14:paraId="478A01BA">
            <w:pPr>
              <w:pStyle w:val="Tabloerii"/>
              <w:widowControl w:val="0"/>
              <w:suppressLineNumbers/>
              <w:jc w:val="left"/>
            </w:pPr>
            <w:r>
              <w:rPr>
                <w:rFonts w:ascii="Times New Roman;serif" w:hAnsi="Times New Roman;serif" w:eastAsia="Times New Roman;serif" w:cs="Times New Roman;serif"/>
                <w:sz w:val="24"/>
                <w:szCs w:val="24"/>
              </w:rPr>
              <w:t>200</w:t>
            </w:r>
          </w:p>
        </w:tc>
        <w:tc>
          <w:tcPr>
            <w:tcW w:w="892" w:type="dxa"/>
            <w:tcMar>
              <w:top w:w="28" w:type="dxa"/>
              <w:left w:w="28" w:type="dxa"/>
              <w:bottom w:w="28" w:type="dxa"/>
              <w:right w:w="28" w:type="dxa"/>
            </w:tcMar>
            <w:vAlign w:val="center"/>
          </w:tcPr>
          <w:p w14:paraId="4DBC6EB7">
            <w:pPr>
              <w:pStyle w:val="Tabloerii"/>
              <w:widowControl w:val="0"/>
              <w:suppressLineNumbers/>
              <w:jc w:val="left"/>
            </w:pPr>
            <w:r>
              <w:rPr>
                <w:rFonts w:ascii="Times New Roman;serif" w:hAnsi="Times New Roman;serif" w:eastAsia="Times New Roman;serif" w:cs="Times New Roman;serif"/>
                <w:sz w:val="24"/>
                <w:szCs w:val="24"/>
              </w:rPr>
              <w:t>9</w:t>
            </w:r>
          </w:p>
        </w:tc>
        <w:tc>
          <w:tcPr>
            <w:tcW w:w="599" w:type="dxa"/>
            <w:tcMar>
              <w:top w:w="28" w:type="dxa"/>
              <w:left w:w="28" w:type="dxa"/>
              <w:bottom w:w="28" w:type="dxa"/>
              <w:right w:w="28" w:type="dxa"/>
            </w:tcMar>
            <w:vAlign w:val="center"/>
          </w:tcPr>
          <w:p w14:paraId="696C6DB5">
            <w:pPr>
              <w:pStyle w:val="Tabloerii"/>
              <w:widowControl w:val="0"/>
              <w:suppressLineNumbers/>
              <w:jc w:val="left"/>
            </w:pPr>
            <w:r>
              <w:rPr>
                <w:rFonts w:ascii="Times New Roman;serif" w:hAnsi="Times New Roman;serif" w:eastAsia="Times New Roman;serif" w:cs="Times New Roman;serif"/>
                <w:sz w:val="24"/>
                <w:szCs w:val="24"/>
              </w:rPr>
              <w:t>0,11</w:t>
            </w:r>
          </w:p>
        </w:tc>
        <w:tc>
          <w:tcPr>
            <w:tcW w:w="890" w:type="dxa"/>
            <w:tcMar>
              <w:top w:w="28" w:type="dxa"/>
              <w:left w:w="28" w:type="dxa"/>
              <w:bottom w:w="28" w:type="dxa"/>
              <w:right w:w="28" w:type="dxa"/>
            </w:tcMar>
            <w:vAlign w:val="center"/>
          </w:tcPr>
          <w:p w14:paraId="67309BD6">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63FF0CD3">
            <w:pPr>
              <w:pStyle w:val="Tabloerii"/>
              <w:widowControl w:val="0"/>
              <w:suppressLineNumbers/>
              <w:jc w:val="left"/>
            </w:pPr>
            <w:r>
              <w:rPr>
                <w:rStyle w:val="KaynakMetin"/>
                <w:rFonts w:ascii="Courier New;monospace" w:hAnsi="Courier New;monospace" w:eastAsia="Courier New;monospace" w:cs="Courier New;monospace"/>
                <w:sz w:val="20"/>
                <w:szCs w:val="20"/>
              </w:rPr>
              <w:t>extra-host</w:t>
            </w:r>
          </w:p>
        </w:tc>
        <w:tc>
          <w:tcPr>
            <w:tcW w:w="466" w:type="dxa"/>
            <w:tcMar>
              <w:top w:w="28" w:type="dxa"/>
              <w:left w:w="28" w:type="dxa"/>
              <w:bottom w:w="28" w:type="dxa"/>
              <w:right w:w="28" w:type="dxa"/>
            </w:tcMar>
            <w:vAlign w:val="center"/>
          </w:tcPr>
          <w:p w14:paraId="732E52B2">
            <w:pPr>
              <w:pStyle w:val="Tabloerii"/>
              <w:widowControl w:val="0"/>
              <w:suppressLineNumbers/>
              <w:jc w:val="left"/>
            </w:pPr>
            <w:r>
              <w:rPr>
                <w:rFonts w:ascii="Times New Roman;serif" w:hAnsi="Times New Roman;serif" w:eastAsia="Times New Roman;serif" w:cs="Times New Roman;serif"/>
                <w:sz w:val="24"/>
                <w:szCs w:val="24"/>
              </w:rPr>
              <w:t>34</w:t>
            </w:r>
          </w:p>
        </w:tc>
        <w:tc>
          <w:tcPr>
            <w:tcW w:w="852" w:type="dxa"/>
            <w:tcMar>
              <w:top w:w="28" w:type="dxa"/>
              <w:left w:w="28" w:type="dxa"/>
              <w:bottom w:w="28" w:type="dxa"/>
              <w:right w:w="28" w:type="dxa"/>
            </w:tcMar>
            <w:vAlign w:val="center"/>
          </w:tcPr>
          <w:p w14:paraId="20E5F81C">
            <w:pPr>
              <w:pStyle w:val="Tabloerii"/>
              <w:widowControl w:val="0"/>
              <w:suppressLineNumbers/>
              <w:jc w:val="left"/>
            </w:pPr>
            <w:r>
              <w:rPr>
                <w:rFonts w:ascii="Times New Roman;serif" w:hAnsi="Times New Roman;serif" w:eastAsia="Times New Roman;serif" w:cs="Times New Roman;serif"/>
                <w:sz w:val="24"/>
                <w:szCs w:val="24"/>
              </w:rPr>
              <w:t>34</w:t>
            </w:r>
          </w:p>
        </w:tc>
        <w:tc>
          <w:tcPr>
            <w:tcW w:w="892" w:type="dxa"/>
            <w:tcMar>
              <w:top w:w="28" w:type="dxa"/>
              <w:left w:w="28" w:type="dxa"/>
              <w:bottom w:w="28" w:type="dxa"/>
              <w:right w:w="28" w:type="dxa"/>
            </w:tcMar>
            <w:vAlign w:val="center"/>
          </w:tcPr>
          <w:p w14:paraId="4C88C03A">
            <w:pPr>
              <w:pStyle w:val="Tabloerii"/>
              <w:widowControl w:val="0"/>
              <w:suppressLineNumbers/>
              <w:jc w:val="left"/>
            </w:pPr>
            <w:r>
              <w:rPr>
                <w:rFonts w:ascii="Times New Roman;serif" w:hAnsi="Times New Roman;serif" w:eastAsia="Times New Roman;serif" w:cs="Times New Roman;serif"/>
                <w:sz w:val="24"/>
                <w:szCs w:val="24"/>
              </w:rPr>
              <w:t>36</w:t>
            </w:r>
          </w:p>
        </w:tc>
        <w:tc>
          <w:tcPr>
            <w:tcW w:w="599" w:type="dxa"/>
            <w:tcMar>
              <w:top w:w="28" w:type="dxa"/>
              <w:left w:w="28" w:type="dxa"/>
              <w:bottom w:w="28" w:type="dxa"/>
              <w:right w:w="28" w:type="dxa"/>
            </w:tcMar>
            <w:vAlign w:val="center"/>
          </w:tcPr>
          <w:p w14:paraId="25C2C3EB">
            <w:pPr>
              <w:pStyle w:val="Tabloerii"/>
              <w:widowControl w:val="0"/>
              <w:suppressLineNumbers/>
              <w:jc w:val="left"/>
            </w:pPr>
            <w:r>
              <w:rPr>
                <w:rFonts w:ascii="Times New Roman;serif" w:hAnsi="Times New Roman;serif" w:eastAsia="Times New Roman;serif" w:cs="Times New Roman;serif"/>
                <w:sz w:val="24"/>
                <w:szCs w:val="24"/>
              </w:rPr>
              <w:t>0,03</w:t>
            </w:r>
          </w:p>
        </w:tc>
        <w:tc>
          <w:tcPr>
            <w:tcW w:w="890" w:type="dxa"/>
            <w:tcMar>
              <w:top w:w="28" w:type="dxa"/>
              <w:left w:w="28" w:type="dxa"/>
              <w:bottom w:w="28" w:type="dxa"/>
              <w:right w:w="28" w:type="dxa"/>
            </w:tcMar>
            <w:vAlign w:val="center"/>
          </w:tcPr>
          <w:p w14:paraId="0476911E">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2DD1F445">
            <w:pPr>
              <w:pStyle w:val="Tabloerii"/>
              <w:widowControl w:val="0"/>
              <w:suppressLineNumbers/>
              <w:jc w:val="left"/>
            </w:pPr>
            <w:r>
              <w:rPr>
                <w:rStyle w:val="KaynakMetin"/>
                <w:rFonts w:ascii="Courier New;monospace" w:hAnsi="Courier New;monospace" w:eastAsia="Courier New;monospace" w:cs="Courier New;monospace"/>
                <w:sz w:val="20"/>
                <w:szCs w:val="20"/>
              </w:rPr>
              <w:t>network</w:t>
            </w:r>
          </w:p>
        </w:tc>
        <w:tc>
          <w:tcPr>
            <w:tcW w:w="466" w:type="dxa"/>
            <w:tcMar>
              <w:top w:w="28" w:type="dxa"/>
              <w:left w:w="28" w:type="dxa"/>
              <w:bottom w:w="28" w:type="dxa"/>
              <w:right w:w="28" w:type="dxa"/>
            </w:tcMar>
            <w:vAlign w:val="center"/>
          </w:tcPr>
          <w:p w14:paraId="7B7E9B4B">
            <w:pPr>
              <w:pStyle w:val="Tabloerii"/>
              <w:widowControl w:val="0"/>
              <w:suppressLineNumbers/>
              <w:jc w:val="left"/>
            </w:pPr>
            <w:r>
              <w:rPr>
                <w:rFonts w:ascii="Times New Roman;serif" w:hAnsi="Times New Roman;serif" w:eastAsia="Times New Roman;serif" w:cs="Times New Roman;serif"/>
                <w:sz w:val="24"/>
                <w:szCs w:val="24"/>
              </w:rPr>
              <w:t>200</w:t>
            </w:r>
          </w:p>
        </w:tc>
        <w:tc>
          <w:tcPr>
            <w:tcW w:w="852" w:type="dxa"/>
            <w:tcMar>
              <w:top w:w="28" w:type="dxa"/>
              <w:left w:w="28" w:type="dxa"/>
              <w:bottom w:w="28" w:type="dxa"/>
              <w:right w:w="28" w:type="dxa"/>
            </w:tcMar>
            <w:vAlign w:val="center"/>
          </w:tcPr>
          <w:p w14:paraId="63F3EACA">
            <w:pPr>
              <w:pStyle w:val="Tabloerii"/>
              <w:widowControl w:val="0"/>
              <w:suppressLineNumbers/>
              <w:jc w:val="left"/>
            </w:pPr>
            <w:r>
              <w:rPr>
                <w:rFonts w:ascii="Times New Roman;serif" w:hAnsi="Times New Roman;serif" w:eastAsia="Times New Roman;serif" w:cs="Times New Roman;serif"/>
                <w:sz w:val="24"/>
                <w:szCs w:val="24"/>
              </w:rPr>
              <w:t>169</w:t>
            </w:r>
          </w:p>
        </w:tc>
        <w:tc>
          <w:tcPr>
            <w:tcW w:w="892" w:type="dxa"/>
            <w:tcMar>
              <w:top w:w="28" w:type="dxa"/>
              <w:left w:w="28" w:type="dxa"/>
              <w:bottom w:w="28" w:type="dxa"/>
              <w:right w:w="28" w:type="dxa"/>
            </w:tcMar>
            <w:vAlign w:val="center"/>
          </w:tcPr>
          <w:p w14:paraId="525F00CB">
            <w:pPr>
              <w:pStyle w:val="Tabloerii"/>
              <w:widowControl w:val="0"/>
              <w:suppressLineNumbers/>
              <w:jc w:val="left"/>
            </w:pPr>
            <w:r>
              <w:rPr>
                <w:rFonts w:ascii="Times New Roman;serif" w:hAnsi="Times New Roman;serif" w:eastAsia="Times New Roman;serif" w:cs="Times New Roman;serif"/>
                <w:sz w:val="24"/>
                <w:szCs w:val="24"/>
              </w:rPr>
              <w:t>13</w:t>
            </w:r>
          </w:p>
        </w:tc>
        <w:tc>
          <w:tcPr>
            <w:tcW w:w="599" w:type="dxa"/>
            <w:tcMar>
              <w:top w:w="28" w:type="dxa"/>
              <w:left w:w="28" w:type="dxa"/>
              <w:bottom w:w="28" w:type="dxa"/>
              <w:right w:w="28" w:type="dxa"/>
            </w:tcMar>
            <w:vAlign w:val="center"/>
          </w:tcPr>
          <w:p w14:paraId="0C1D96BB">
            <w:pPr>
              <w:pStyle w:val="Tabloerii"/>
              <w:widowControl w:val="0"/>
              <w:suppressLineNumbers/>
              <w:jc w:val="left"/>
            </w:pPr>
            <w:r>
              <w:rPr>
                <w:rFonts w:ascii="Times New Roman;serif" w:hAnsi="Times New Roman;serif" w:eastAsia="Times New Roman;serif" w:cs="Times New Roman;serif"/>
                <w:sz w:val="24"/>
                <w:szCs w:val="24"/>
              </w:rPr>
              <w:t>0,08</w:t>
            </w:r>
          </w:p>
        </w:tc>
        <w:tc>
          <w:tcPr>
            <w:tcW w:w="890" w:type="dxa"/>
            <w:tcMar>
              <w:top w:w="28" w:type="dxa"/>
              <w:left w:w="28" w:type="dxa"/>
              <w:bottom w:w="28" w:type="dxa"/>
              <w:right w:w="28" w:type="dxa"/>
            </w:tcMar>
            <w:vAlign w:val="center"/>
          </w:tcPr>
          <w:p w14:paraId="6C5AEA6A">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662801FB">
            <w:pPr>
              <w:pStyle w:val="Tabloerii"/>
              <w:widowControl w:val="0"/>
              <w:suppressLineNumbers/>
              <w:jc w:val="left"/>
            </w:pPr>
            <w:r>
              <w:rPr>
                <w:rStyle w:val="KaynakMetin"/>
                <w:rFonts w:ascii="Courier New;monospace" w:hAnsi="Courier New;monospace" w:eastAsia="Courier New;monospace" w:cs="Courier New;monospace"/>
                <w:sz w:val="20"/>
                <w:szCs w:val="20"/>
              </w:rPr>
              <w:t>healthcheck-retries</w:t>
            </w:r>
          </w:p>
        </w:tc>
        <w:tc>
          <w:tcPr>
            <w:tcW w:w="466" w:type="dxa"/>
            <w:tcMar>
              <w:top w:w="28" w:type="dxa"/>
              <w:left w:w="28" w:type="dxa"/>
              <w:bottom w:w="28" w:type="dxa"/>
              <w:right w:w="28" w:type="dxa"/>
            </w:tcMar>
            <w:vAlign w:val="center"/>
          </w:tcPr>
          <w:p w14:paraId="7EFC260C">
            <w:pPr>
              <w:pStyle w:val="Tabloerii"/>
              <w:widowControl w:val="0"/>
              <w:suppressLineNumbers/>
              <w:jc w:val="left"/>
            </w:pPr>
            <w:r>
              <w:rPr>
                <w:rFonts w:ascii="Times New Roman;serif" w:hAnsi="Times New Roman;serif" w:eastAsia="Times New Roman;serif" w:cs="Times New Roman;serif"/>
                <w:sz w:val="24"/>
                <w:szCs w:val="24"/>
              </w:rPr>
              <w:t>185</w:t>
            </w:r>
          </w:p>
        </w:tc>
        <w:tc>
          <w:tcPr>
            <w:tcW w:w="852" w:type="dxa"/>
            <w:tcMar>
              <w:top w:w="28" w:type="dxa"/>
              <w:left w:w="28" w:type="dxa"/>
              <w:bottom w:w="28" w:type="dxa"/>
              <w:right w:w="28" w:type="dxa"/>
            </w:tcMar>
            <w:vAlign w:val="center"/>
          </w:tcPr>
          <w:p w14:paraId="47E69A9D">
            <w:pPr>
              <w:pStyle w:val="Tabloerii"/>
              <w:widowControl w:val="0"/>
              <w:suppressLineNumbers/>
              <w:jc w:val="left"/>
            </w:pPr>
            <w:r>
              <w:rPr>
                <w:rFonts w:ascii="Times New Roman;serif" w:hAnsi="Times New Roman;serif" w:eastAsia="Times New Roman;serif" w:cs="Times New Roman;serif"/>
                <w:sz w:val="24"/>
                <w:szCs w:val="24"/>
              </w:rPr>
              <w:t>185</w:t>
            </w:r>
          </w:p>
        </w:tc>
        <w:tc>
          <w:tcPr>
            <w:tcW w:w="892" w:type="dxa"/>
            <w:tcMar>
              <w:top w:w="28" w:type="dxa"/>
              <w:left w:w="28" w:type="dxa"/>
              <w:bottom w:w="28" w:type="dxa"/>
              <w:right w:w="28" w:type="dxa"/>
            </w:tcMar>
            <w:vAlign w:val="center"/>
          </w:tcPr>
          <w:p w14:paraId="660E4FA5">
            <w:pPr>
              <w:pStyle w:val="Tabloerii"/>
              <w:widowControl w:val="0"/>
              <w:suppressLineNumbers/>
              <w:jc w:val="left"/>
            </w:pPr>
            <w:r>
              <w:rPr>
                <w:rFonts w:ascii="Times New Roman;serif" w:hAnsi="Times New Roman;serif" w:eastAsia="Times New Roman;serif" w:cs="Times New Roman;serif"/>
                <w:sz w:val="24"/>
                <w:szCs w:val="24"/>
              </w:rPr>
              <w:t>13</w:t>
            </w:r>
          </w:p>
        </w:tc>
        <w:tc>
          <w:tcPr>
            <w:tcW w:w="599" w:type="dxa"/>
            <w:tcMar>
              <w:top w:w="28" w:type="dxa"/>
              <w:left w:w="28" w:type="dxa"/>
              <w:bottom w:w="28" w:type="dxa"/>
              <w:right w:w="28" w:type="dxa"/>
            </w:tcMar>
            <w:vAlign w:val="center"/>
          </w:tcPr>
          <w:p w14:paraId="046FB8AA">
            <w:pPr>
              <w:pStyle w:val="Tabloerii"/>
              <w:widowControl w:val="0"/>
              <w:suppressLineNumbers/>
              <w:jc w:val="left"/>
            </w:pPr>
            <w:r>
              <w:rPr>
                <w:rFonts w:ascii="Times New Roman;serif" w:hAnsi="Times New Roman;serif" w:eastAsia="Times New Roman;serif" w:cs="Times New Roman;serif"/>
                <w:sz w:val="24"/>
                <w:szCs w:val="24"/>
              </w:rPr>
              <w:t>0,08</w:t>
            </w:r>
          </w:p>
        </w:tc>
        <w:tc>
          <w:tcPr>
            <w:tcW w:w="890" w:type="dxa"/>
            <w:tcMar>
              <w:top w:w="28" w:type="dxa"/>
              <w:left w:w="28" w:type="dxa"/>
              <w:bottom w:w="28" w:type="dxa"/>
              <w:right w:w="28" w:type="dxa"/>
            </w:tcMar>
            <w:vAlign w:val="center"/>
          </w:tcPr>
          <w:p w14:paraId="5AFAB998">
            <w:pPr>
              <w:pStyle w:val="Tabloerii"/>
              <w:widowControl w:val="0"/>
              <w:suppressLineNumbers/>
              <w:jc w:val="left"/>
            </w:pPr>
            <w:r>
              <w:rPr>
                <w:rFonts w:ascii="Times New Roman;serif" w:hAnsi="Times New Roman;serif" w:eastAsia="Times New Roman;serif" w:cs="Times New Roman;serif"/>
                <w:sz w:val="24"/>
                <w:szCs w:val="24"/>
              </w:rPr>
              <w:t>1,0</w:t>
            </w:r>
          </w:p>
        </w:tc>
      </w:tr>
      <w:tr>
        <w:tc>
          <w:tcPr>
            <w:tcW w:w="2344" w:type="dxa"/>
            <w:tcMar>
              <w:top w:w="28" w:type="dxa"/>
              <w:left w:w="28" w:type="dxa"/>
              <w:bottom w:w="28" w:type="dxa"/>
              <w:right w:w="28" w:type="dxa"/>
            </w:tcMar>
            <w:vAlign w:val="center"/>
          </w:tcPr>
          <w:p w14:paraId="577BDC01">
            <w:pPr>
              <w:pStyle w:val="Tabloerii"/>
              <w:widowControl w:val="0"/>
              <w:suppressLineNumbers/>
              <w:jc w:val="left"/>
            </w:pPr>
            <w:r>
              <w:rPr>
                <w:rStyle w:val="KaynakMetin"/>
                <w:rFonts w:ascii="Courier New;monospace" w:hAnsi="Courier New;monospace" w:eastAsia="Courier New;monospace" w:cs="Courier New;monospace"/>
                <w:sz w:val="20"/>
                <w:szCs w:val="20"/>
              </w:rPr>
              <w:t>deploy-cpus</w:t>
            </w:r>
          </w:p>
        </w:tc>
        <w:tc>
          <w:tcPr>
            <w:tcW w:w="466" w:type="dxa"/>
            <w:tcMar>
              <w:top w:w="28" w:type="dxa"/>
              <w:left w:w="28" w:type="dxa"/>
              <w:bottom w:w="28" w:type="dxa"/>
              <w:right w:w="28" w:type="dxa"/>
            </w:tcMar>
            <w:vAlign w:val="center"/>
          </w:tcPr>
          <w:p w14:paraId="0B1A571C">
            <w:pPr>
              <w:pStyle w:val="Tabloerii"/>
              <w:widowControl w:val="0"/>
              <w:suppressLineNumbers/>
              <w:jc w:val="left"/>
            </w:pPr>
            <w:r>
              <w:rPr>
                <w:rFonts w:ascii="Times New Roman;serif" w:hAnsi="Times New Roman;serif" w:eastAsia="Times New Roman;serif" w:cs="Times New Roman;serif"/>
                <w:sz w:val="24"/>
                <w:szCs w:val="24"/>
              </w:rPr>
              <w:t>9</w:t>
            </w:r>
          </w:p>
        </w:tc>
        <w:tc>
          <w:tcPr>
            <w:tcW w:w="852" w:type="dxa"/>
            <w:tcMar>
              <w:top w:w="28" w:type="dxa"/>
              <w:left w:w="28" w:type="dxa"/>
              <w:bottom w:w="28" w:type="dxa"/>
              <w:right w:w="28" w:type="dxa"/>
            </w:tcMar>
            <w:vAlign w:val="center"/>
          </w:tcPr>
          <w:p w14:paraId="3AF963EC">
            <w:pPr>
              <w:pStyle w:val="Tabloerii"/>
              <w:widowControl w:val="0"/>
              <w:suppressLineNumbers/>
              <w:jc w:val="left"/>
            </w:pPr>
            <w:r>
              <w:rPr>
                <w:rFonts w:ascii="Times New Roman;serif" w:hAnsi="Times New Roman;serif" w:eastAsia="Times New Roman;serif" w:cs="Times New Roman;serif"/>
                <w:sz w:val="24"/>
                <w:szCs w:val="24"/>
              </w:rPr>
              <w:t>9</w:t>
            </w:r>
          </w:p>
        </w:tc>
        <w:tc>
          <w:tcPr>
            <w:tcW w:w="892" w:type="dxa"/>
            <w:tcMar>
              <w:top w:w="28" w:type="dxa"/>
              <w:left w:w="28" w:type="dxa"/>
              <w:bottom w:w="28" w:type="dxa"/>
              <w:right w:w="28" w:type="dxa"/>
            </w:tcMar>
            <w:vAlign w:val="center"/>
          </w:tcPr>
          <w:p w14:paraId="7D7BD557">
            <w:pPr>
              <w:pStyle w:val="Tabloerii"/>
              <w:widowControl w:val="0"/>
              <w:suppressLineNumbers/>
              <w:jc w:val="left"/>
            </w:pPr>
            <w:r>
              <w:rPr>
                <w:rFonts w:ascii="Times New Roman;serif" w:hAnsi="Times New Roman;serif" w:eastAsia="Times New Roman;serif" w:cs="Times New Roman;serif"/>
                <w:sz w:val="24"/>
                <w:szCs w:val="24"/>
              </w:rPr>
              <w:t>20</w:t>
            </w:r>
          </w:p>
        </w:tc>
        <w:tc>
          <w:tcPr>
            <w:tcW w:w="599" w:type="dxa"/>
            <w:tcMar>
              <w:top w:w="28" w:type="dxa"/>
              <w:left w:w="28" w:type="dxa"/>
              <w:bottom w:w="28" w:type="dxa"/>
              <w:right w:w="28" w:type="dxa"/>
            </w:tcMar>
            <w:vAlign w:val="center"/>
          </w:tcPr>
          <w:p w14:paraId="590DC3D4">
            <w:pPr>
              <w:pStyle w:val="Tabloerii"/>
              <w:widowControl w:val="0"/>
              <w:suppressLineNumbers/>
              <w:jc w:val="left"/>
            </w:pPr>
            <w:r>
              <w:rPr>
                <w:rFonts w:ascii="Times New Roman;serif" w:hAnsi="Times New Roman;serif" w:eastAsia="Times New Roman;serif" w:cs="Times New Roman;serif"/>
                <w:sz w:val="24"/>
                <w:szCs w:val="24"/>
              </w:rPr>
              <w:t>0,05</w:t>
            </w:r>
          </w:p>
        </w:tc>
        <w:tc>
          <w:tcPr>
            <w:tcW w:w="890" w:type="dxa"/>
            <w:tcMar>
              <w:top w:w="28" w:type="dxa"/>
              <w:left w:w="28" w:type="dxa"/>
              <w:bottom w:w="28" w:type="dxa"/>
              <w:right w:w="28" w:type="dxa"/>
            </w:tcMar>
            <w:vAlign w:val="center"/>
          </w:tcPr>
          <w:p w14:paraId="701515F6">
            <w:pPr>
              <w:pStyle w:val="Tabloerii"/>
              <w:widowControl w:val="0"/>
              <w:suppressLineNumbers/>
              <w:jc w:val="left"/>
            </w:pPr>
            <w:r>
              <w:rPr>
                <w:rFonts w:ascii="Times New Roman;serif" w:hAnsi="Times New Roman;serif" w:eastAsia="Times New Roman;serif" w:cs="Times New Roman;serif"/>
                <w:sz w:val="24"/>
                <w:szCs w:val="24"/>
              </w:rPr>
              <w:t>1,0</w:t>
            </w:r>
          </w:p>
        </w:tc>
      </w:tr>
    </w:tbl>
    <w:p w14:paraId="21E2962A">
      <w:pPr>
        <w:pStyle w:val="GvdeMetninote"/>
        <w:jc w:val="both"/>
      </w:pPr>
      <w:r>
        <w:rPr>
          <w:rFonts w:ascii="Times New Roman;serif" w:hAnsi="Times New Roman;serif" w:eastAsia="Times New Roman;serif" w:cs="Times New Roman;serif"/>
          <w:sz w:val="20"/>
          <w:szCs w:val="20"/>
        </w:rPr>
        <w:t>Değişen satır ve oranlar medyandır. Düzeltilmiş oran, dosyanın değişiklik yapılmadan kaydedilmesindeki değişen satırlar düşüldükten sonra hesaplanır; 1,0 değeri düzenlemenin yalnızca hedeflenen satırı eklediği ya da değiştirdiği anlamına gelir.</w:t>
      </w:r>
    </w:p>
    <w:p w14:paraId="5F29851D">
      <w:pPr>
        <w:pStyle w:val="BodyText"/>
        <w:jc w:val="both"/>
      </w:pPr>
      <w:r>
        <w:rPr>
          <w:rFonts w:ascii="Times New Roman;serif" w:hAnsi="Times New Roman;serif" w:eastAsia="Times New Roman;serif" w:cs="Times New Roman;serif"/>
          <w:sz w:val="24"/>
          <w:szCs w:val="24"/>
        </w:rPr>
        <w:t xml:space="preserve">Aynı ölçüm, kısa sözdizimi hatasının etkisini de ortaya koyar. Düzeltme öncesinde, liste biçimli </w:t>
      </w:r>
      <w:r>
        <w:rPr>
          <w:rStyle w:val="KaynakMetin"/>
          <w:rFonts w:ascii="Courier New;monospace" w:hAnsi="Courier New;monospace" w:eastAsia="Courier New;monospace" w:cs="Courier New;monospace"/>
          <w:sz w:val="20"/>
          <w:szCs w:val="20"/>
        </w:rPr>
        <w:t>environment</w:t>
      </w:r>
      <w:r>
        <w:rPr>
          <w:rFonts w:ascii="Times New Roman;serif" w:hAnsi="Times New Roman;serif" w:eastAsia="Times New Roman;serif" w:cs="Times New Roman;serif"/>
          <w:sz w:val="24"/>
          <w:szCs w:val="24"/>
        </w:rPr>
        <w:t xml:space="preserve"> bölümüne sahip 94 servisin 83'ünde düzenleme, gürültü düşüldükten sonra da birden fazla satırı değiştirmekteydi (medyan 3 satır), çünkü tek bir değişkenin güncellenmesi listenin tamamını eşlemeye dönüştürüyordu; </w:t>
      </w:r>
      <w:r>
        <w:rPr>
          <w:rStyle w:val="KaynakMetin"/>
          <w:rFonts w:ascii="Courier New;monospace" w:hAnsi="Courier New;monospace" w:eastAsia="Courier New;monospace" w:cs="Courier New;monospace"/>
          <w:sz w:val="20"/>
          <w:szCs w:val="20"/>
        </w:rPr>
        <w:t>extra_hosts</w:t>
      </w:r>
      <w:r>
        <w:rPr>
          <w:rFonts w:ascii="Times New Roman;serif" w:hAnsi="Times New Roman;serif" w:eastAsia="Times New Roman;serif" w:cs="Times New Roman;serif"/>
          <w:sz w:val="24"/>
          <w:szCs w:val="24"/>
        </w:rPr>
        <w:t xml:space="preserve">'a girdi eklemede bu sayı 9/34'tü. Düzeltmeden sonra her iki özellikte de böyle bir vaka kalmamıştır (0/94 ve 0/34). Kısa sözdizimi hatasından etkilenmeyen </w:t>
      </w:r>
      <w:r>
        <w:rPr>
          <w:rStyle w:val="KaynakMetin"/>
          <w:rFonts w:ascii="Courier New;monospace" w:hAnsi="Courier New;monospace" w:eastAsia="Courier New;monospace" w:cs="Courier New;monospace"/>
          <w:sz w:val="20"/>
          <w:szCs w:val="20"/>
        </w:rPr>
        <w:t>image</w:t>
      </w:r>
      <w:r>
        <w:rPr>
          <w:rFonts w:ascii="Times New Roman;serif" w:hAnsi="Times New Roman;serif" w:eastAsia="Times New Roman;serif" w:cs="Times New Roman;serif"/>
          <w:sz w:val="24"/>
          <w:szCs w:val="24"/>
        </w:rPr>
        <w:t xml:space="preserve"> düzenlemesinde bu sayı önce de sonra da sıfırdır. (Özet: </w:t>
      </w:r>
      <w:r>
        <w:rPr>
          <w:rStyle w:val="KaynakMetin"/>
          <w:rFonts w:ascii="Courier New;monospace" w:hAnsi="Courier New;monospace" w:eastAsia="Courier New;monospace" w:cs="Courier New;monospace"/>
          <w:sz w:val="20"/>
          <w:szCs w:val="20"/>
        </w:rPr>
        <w:t>results/tables/paper_supplementary_stats.md); düzeltme öncesi ham çıktı: results/pre-fix/raw/modification_dataset_b.csv</w:t>
      </w:r>
      <w:r>
        <w:rPr>
          <w:rFonts w:ascii="Times New Roman;serif" w:hAnsi="Times New Roman;serif" w:eastAsia="Times New Roman;serif" w:cs="Times New Roman;serif"/>
          <w:sz w:val="24"/>
          <w:szCs w:val="24"/>
        </w:rPr>
        <w:t>.</w:t>
      </w:r>
    </w:p>
    <w:p w14:paraId="767B330D">
      <w:pPr>
        <w:pStyle w:val="BodyText"/>
        <w:jc w:val="both"/>
      </w:pPr>
      <w:r>
        <w:rPr>
          <w:rFonts w:ascii="Times New Roman;serif" w:hAnsi="Times New Roman;serif" w:eastAsia="Times New Roman;serif" w:cs="Times New Roman;serif"/>
          <w:sz w:val="24"/>
          <w:szCs w:val="24"/>
        </w:rPr>
        <w:t xml:space="preserve">Deneyde 32 başarısızlık gözlenmiştir ve bunların tamamı kütüphanenin bilinen bir sınırından kaynaklanır: </w:t>
      </w:r>
      <w:r>
        <w:rPr>
          <w:rStyle w:val="KaynakMetin"/>
          <w:rFonts w:ascii="Courier New;monospace" w:hAnsi="Courier New;monospace" w:eastAsia="Courier New;monospace" w:cs="Courier New;monospace"/>
          <w:sz w:val="20"/>
          <w:szCs w:val="20"/>
        </w:rPr>
        <w:t>Networks::add</w:t>
      </w:r>
      <w:r>
        <w:rPr>
          <w:rFonts w:ascii="Times New Roman;serif" w:hAnsi="Times New Roman;serif" w:eastAsia="Times New Roman;serif" w:cs="Times New Roman;serif"/>
          <w:sz w:val="24"/>
          <w:szCs w:val="24"/>
        </w:rPr>
        <w:t xml:space="preserve"> hedef düğümün dizi olup olmadığını denetlemeden ekleme yapar, bu yüzden uzun sözdizimli (eşleme) </w:t>
      </w:r>
      <w:r>
        <w:rPr>
          <w:rStyle w:val="KaynakMetin"/>
          <w:rFonts w:ascii="Courier New;monospace" w:hAnsi="Courier New;monospace" w:eastAsia="Courier New;monospace" w:cs="Courier New;monospace"/>
          <w:sz w:val="20"/>
          <w:szCs w:val="20"/>
        </w:rPr>
        <w:t>networks</w:t>
      </w:r>
      <w:r>
        <w:rPr>
          <w:rFonts w:ascii="Times New Roman;serif" w:hAnsi="Times New Roman;serif" w:eastAsia="Times New Roman;serif" w:cs="Times New Roman;serif"/>
          <w:sz w:val="24"/>
          <w:szCs w:val="24"/>
        </w:rPr>
        <w:t xml:space="preserve"> tanımlarında hata verir (31 vaka); benzer biçimde </w:t>
      </w:r>
      <w:r>
        <w:rPr>
          <w:rStyle w:val="KaynakMetin"/>
          <w:rFonts w:ascii="Courier New;monospace" w:hAnsi="Courier New;monospace" w:eastAsia="Courier New;monospace" w:cs="Courier New;monospace"/>
          <w:sz w:val="20"/>
          <w:szCs w:val="20"/>
        </w:rPr>
        <w:t>Ports::has</w:t>
      </w:r>
      <w:r>
        <w:rPr>
          <w:rFonts w:ascii="Times New Roman;serif" w:hAnsi="Times New Roman;serif" w:eastAsia="Times New Roman;serif" w:cs="Times New Roman;serif"/>
          <w:sz w:val="24"/>
          <w:szCs w:val="24"/>
        </w:rPr>
        <w:t xml:space="preserve"> liste elemanlarının string olduğunu varsayar (1 vaka). Bu sınırlar Kısıtlamalar bölümünde (Bölüm XI) ayrıca ele alınmaktadır.</w:t>
      </w:r>
    </w:p>
    <w:p w14:paraId="2F5B1431">
      <w:pPr>
        <w:pStyle w:val="Heading3"/>
        <w:jc w:val="left"/>
      </w:pPr>
      <w:r>
        <w:rPr>
          <w:rFonts w:ascii="Liberation Serif" w:hAnsi="Liberation Serif" w:eastAsia="DejaVu Sans" w:cs="DejaVu Sans"/>
          <w:i/>
          <w:iCs/>
          <w:sz w:val="24"/>
          <w:szCs w:val="24"/>
        </w:rPr>
        <w:t>RQ4 — İleriye Dönük Uyumluluk</w:t>
      </w:r>
    </w:p>
    <w:p w14:paraId="63B5806A">
      <w:pPr>
        <w:pStyle w:val="BodyText"/>
        <w:jc w:val="both"/>
      </w:pPr>
      <w:r>
        <w:rPr>
          <w:rFonts w:ascii="Times New Roman;serif" w:hAnsi="Times New Roman;serif" w:eastAsia="Times New Roman;serif" w:cs="Times New Roman;serif"/>
          <w:sz w:val="24"/>
          <w:szCs w:val="24"/>
        </w:rPr>
        <w:t xml:space="preserve">Kütüphanenin nesne modelinde bulunmayan alanlar, hem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önekli uzantılar hem de gelecekteki spesifikasyon alanlarını temsil eden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öneksiz bilinmeyen özellikler için tam olarak korunmuştur (RQ2). Ancak koruma ile geçerlilik aynı şey değildir. Yalnızca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alanları eklenen dosyaların tamamı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tarafından kabul edilirken (83/83; temel çizgide 33/83),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öneksiz bilinmeyen alan eklenen dosyaların hiçbiri kabul edilmemiştir (0/83). Bunun nedeni kütüphane değil, Compose şemasının tanınmayan anahtarlara yalnızca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öneki taşıdıklarında izin vermesidir. Pratik sonuç şudur: ileriye dönük uyumluluk için ayrılmış resmî mekanizma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uzantılarıdır ve kütüphane bu mekanizmayı eksiksiz desteklemektedir.</w:t>
      </w:r>
    </w:p>
    <w:p w14:paraId="566E4C3B">
      <w:pPr>
        <w:pStyle w:val="Heading3"/>
        <w:jc w:val="left"/>
      </w:pPr>
      <w:r>
        <w:rPr>
          <w:rFonts w:ascii="Liberation Serif" w:hAnsi="Liberation Serif" w:eastAsia="DejaVu Sans" w:cs="DejaVu Sans"/>
          <w:i/>
          <w:iCs/>
          <w:sz w:val="24"/>
          <w:szCs w:val="24"/>
        </w:rPr>
        <w:t>RQ5 — Performans</w:t>
      </w:r>
    </w:p>
    <w:p w14:paraId="54973483">
      <w:pPr>
        <w:pStyle w:val="BodyText"/>
        <w:jc w:val="both"/>
      </w:pPr>
      <w:r>
        <w:rPr>
          <w:rFonts w:ascii="Times New Roman;serif" w:hAnsi="Times New Roman;serif" w:eastAsia="Times New Roman;serif" w:cs="Times New Roman;serif"/>
          <w:sz w:val="24"/>
          <w:szCs w:val="24"/>
        </w:rPr>
        <w:t xml:space="preserve">Tablo III, dosya boyutuna göre yükle–değiştir–kaydet sürelerinin medyanlarını vermektedir. Ölçümler, her boyut grubunda alfabetik sıradaki ilk 20 dosyadan </w:t>
      </w:r>
      <w:r>
        <w:rPr>
          <w:rStyle w:val="KaynakMetin"/>
          <w:rFonts w:ascii="Courier New;monospace" w:hAnsi="Courier New;monospace" w:eastAsia="Courier New;monospace" w:cs="Courier New;monospace"/>
          <w:sz w:val="20"/>
          <w:szCs w:val="20"/>
        </w:rPr>
        <w:t>image</w:t>
      </w:r>
      <w:r>
        <w:rPr>
          <w:rFonts w:ascii="Times New Roman;serif" w:hAnsi="Times New Roman;serif" w:eastAsia="Times New Roman;serif" w:cs="Times New Roman;serif"/>
          <w:sz w:val="24"/>
          <w:szCs w:val="24"/>
        </w:rPr>
        <w:t xml:space="preserve"> düzenlemesine uygun bir servis içerenler üzerinde yapılmıştır. Değiştirme adımının maliyeti diğer iki adımın yanında ihmal edilebilir düzeydedir; toplam süre en büyük dosyalarda bile onlarca milisaniye mertebesindedir. Tepe bellek kullanımı 4,7 MiB ile 8,2 MiB arasındadır.</w:t>
      </w:r>
    </w:p>
    <w:p w14:paraId="11C3B32A">
      <w:pPr>
        <w:pStyle w:val="GvdeMetnicaption"/>
        <w:jc w:val="center"/>
      </w:pPr>
      <w:r>
        <w:rPr>
          <w:rFonts w:ascii="Times New Roman;serif" w:hAnsi="Times New Roman;serif" w:eastAsia="Times New Roman;serif" w:cs="Times New Roman;serif"/>
          <w:b/>
          <w:bCs/>
          <w:sz w:val="20"/>
          <w:szCs w:val="20"/>
        </w:rPr>
        <w:t>Tablo III.</w:t>
      </w:r>
      <w:r>
        <w:rPr>
          <w:rFonts w:ascii="Times New Roman;serif" w:hAnsi="Times New Roman;serif" w:eastAsia="Times New Roman;serif" w:cs="Times New Roman;serif"/>
          <w:sz w:val="20"/>
          <w:szCs w:val="20"/>
        </w:rPr>
        <w:t xml:space="preserve"> Yükle–değiştir–kaydet süreleri, medyan, ms (Veri Kümesi B'den 59 dosya: 17/20/20/2; dosya başına 30 yineleme)</w:t>
      </w:r>
    </w:p>
    <w:tbl>
      <w:tblPr>
        <w:tblW w:w="5282" w:type="dxa"/>
        <w:jc w:val="left"/>
        <w:tblInd w:w="0" w:type="dxa"/>
        <w:tblLayout w:type="fixed"/>
        <w:tblCellMar>
          <w:top w:w="28" w:type="dxa"/>
          <w:left w:w="28" w:type="dxa"/>
          <w:bottom w:w="28" w:type="dxa"/>
          <w:right w:w="28" w:type="dxa"/>
        </w:tblCellMar>
      </w:tblPr>
      <w:tblGrid>
        <w:gridCol w:w="2015"/>
        <w:gridCol w:w="692"/>
        <w:gridCol w:w="879"/>
        <w:gridCol w:w="799"/>
        <w:gridCol w:w="897"/>
      </w:tblGrid>
      <w:tr>
        <w:tc>
          <w:tcPr>
            <w:tcW w:w="2015" w:type="dxa"/>
            <w:tcMar>
              <w:top w:w="28" w:type="dxa"/>
              <w:left w:w="28" w:type="dxa"/>
              <w:bottom w:w="28" w:type="dxa"/>
              <w:right w:w="28" w:type="dxa"/>
            </w:tcMar>
            <w:vAlign w:val="center"/>
          </w:tcPr>
          <w:p w14:paraId="74682E6C">
            <w:pPr>
              <w:pStyle w:val="Tabloerii"/>
              <w:widowControl w:val="0"/>
              <w:suppressLineNumbers/>
              <w:jc w:val="left"/>
            </w:pPr>
            <w:r>
              <w:rPr>
                <w:rFonts w:ascii="Times New Roman;serif" w:hAnsi="Times New Roman;serif" w:eastAsia="Times New Roman;serif" w:cs="Times New Roman;serif"/>
                <w:sz w:val="24"/>
                <w:szCs w:val="24"/>
              </w:rPr>
              <w:t>Grup</w:t>
            </w:r>
          </w:p>
        </w:tc>
        <w:tc>
          <w:tcPr>
            <w:tcW w:w="692" w:type="dxa"/>
            <w:tcMar>
              <w:top w:w="28" w:type="dxa"/>
              <w:left w:w="28" w:type="dxa"/>
              <w:bottom w:w="28" w:type="dxa"/>
              <w:right w:w="28" w:type="dxa"/>
            </w:tcMar>
            <w:vAlign w:val="center"/>
          </w:tcPr>
          <w:p w14:paraId="2E0F1F58">
            <w:pPr>
              <w:pStyle w:val="Tabloerii"/>
              <w:widowControl w:val="0"/>
              <w:suppressLineNumbers/>
              <w:jc w:val="left"/>
            </w:pPr>
            <w:r>
              <w:rPr>
                <w:rFonts w:ascii="Times New Roman;serif" w:hAnsi="Times New Roman;serif" w:eastAsia="Times New Roman;serif" w:cs="Times New Roman;serif"/>
                <w:sz w:val="24"/>
                <w:szCs w:val="24"/>
              </w:rPr>
              <w:t>Yükle</w:t>
            </w:r>
          </w:p>
        </w:tc>
        <w:tc>
          <w:tcPr>
            <w:tcW w:w="879" w:type="dxa"/>
            <w:tcMar>
              <w:top w:w="28" w:type="dxa"/>
              <w:left w:w="28" w:type="dxa"/>
              <w:bottom w:w="28" w:type="dxa"/>
              <w:right w:w="28" w:type="dxa"/>
            </w:tcMar>
            <w:vAlign w:val="center"/>
          </w:tcPr>
          <w:p w14:paraId="18D4F5C1">
            <w:pPr>
              <w:pStyle w:val="Tabloerii"/>
              <w:widowControl w:val="0"/>
              <w:suppressLineNumbers/>
              <w:jc w:val="left"/>
            </w:pPr>
            <w:r>
              <w:rPr>
                <w:rFonts w:ascii="Times New Roman;serif" w:hAnsi="Times New Roman;serif" w:eastAsia="Times New Roman;serif" w:cs="Times New Roman;serif"/>
                <w:sz w:val="24"/>
                <w:szCs w:val="24"/>
              </w:rPr>
              <w:t>Değiştir</w:t>
            </w:r>
          </w:p>
        </w:tc>
        <w:tc>
          <w:tcPr>
            <w:tcW w:w="799" w:type="dxa"/>
            <w:tcMar>
              <w:top w:w="28" w:type="dxa"/>
              <w:left w:w="28" w:type="dxa"/>
              <w:bottom w:w="28" w:type="dxa"/>
              <w:right w:w="28" w:type="dxa"/>
            </w:tcMar>
            <w:vAlign w:val="center"/>
          </w:tcPr>
          <w:p w14:paraId="2239117D">
            <w:pPr>
              <w:pStyle w:val="Tabloerii"/>
              <w:widowControl w:val="0"/>
              <w:suppressLineNumbers/>
              <w:jc w:val="left"/>
            </w:pPr>
            <w:r>
              <w:rPr>
                <w:rFonts w:ascii="Times New Roman;serif" w:hAnsi="Times New Roman;serif" w:eastAsia="Times New Roman;serif" w:cs="Times New Roman;serif"/>
                <w:sz w:val="24"/>
                <w:szCs w:val="24"/>
              </w:rPr>
              <w:t>Kaydet</w:t>
            </w:r>
          </w:p>
        </w:tc>
        <w:tc>
          <w:tcPr>
            <w:tcW w:w="897" w:type="dxa"/>
            <w:tcMar>
              <w:top w:w="28" w:type="dxa"/>
              <w:left w:w="28" w:type="dxa"/>
              <w:bottom w:w="28" w:type="dxa"/>
              <w:right w:w="28" w:type="dxa"/>
            </w:tcMar>
            <w:vAlign w:val="center"/>
          </w:tcPr>
          <w:p w14:paraId="6ECDB3BC">
            <w:pPr>
              <w:pStyle w:val="Tabloerii"/>
              <w:widowControl w:val="0"/>
              <w:suppressLineNumbers/>
              <w:jc w:val="left"/>
            </w:pPr>
            <w:r>
              <w:rPr>
                <w:rFonts w:ascii="Times New Roman;serif" w:hAnsi="Times New Roman;serif" w:eastAsia="Times New Roman;serif" w:cs="Times New Roman;serif"/>
                <w:sz w:val="24"/>
                <w:szCs w:val="24"/>
              </w:rPr>
              <w:t>Toplam</w:t>
            </w:r>
          </w:p>
        </w:tc>
      </w:tr>
      <w:tr>
        <w:tc>
          <w:tcPr>
            <w:tcW w:w="2015" w:type="dxa"/>
            <w:tcMar>
              <w:top w:w="28" w:type="dxa"/>
              <w:left w:w="28" w:type="dxa"/>
              <w:bottom w:w="28" w:type="dxa"/>
              <w:right w:w="28" w:type="dxa"/>
            </w:tcMar>
            <w:vAlign w:val="center"/>
          </w:tcPr>
          <w:p w14:paraId="1498D170">
            <w:pPr>
              <w:pStyle w:val="Tabloerii"/>
              <w:widowControl w:val="0"/>
              <w:suppressLineNumbers/>
              <w:jc w:val="left"/>
            </w:pPr>
            <w:r>
              <w:rPr>
                <w:rFonts w:ascii="Times New Roman;serif" w:hAnsi="Times New Roman;serif" w:eastAsia="Times New Roman;serif" w:cs="Times New Roman;serif"/>
                <w:sz w:val="24"/>
                <w:szCs w:val="24"/>
              </w:rPr>
              <w:t>Küçük (&lt;100 satır)</w:t>
            </w:r>
          </w:p>
        </w:tc>
        <w:tc>
          <w:tcPr>
            <w:tcW w:w="692" w:type="dxa"/>
            <w:tcMar>
              <w:top w:w="28" w:type="dxa"/>
              <w:left w:w="28" w:type="dxa"/>
              <w:bottom w:w="28" w:type="dxa"/>
              <w:right w:w="28" w:type="dxa"/>
            </w:tcMar>
            <w:vAlign w:val="center"/>
          </w:tcPr>
          <w:p w14:paraId="4A8E2748">
            <w:pPr>
              <w:pStyle w:val="Tabloerii"/>
              <w:widowControl w:val="0"/>
              <w:suppressLineNumbers/>
              <w:jc w:val="left"/>
            </w:pPr>
            <w:r>
              <w:rPr>
                <w:rFonts w:ascii="Times New Roman;serif" w:hAnsi="Times New Roman;serif" w:eastAsia="Times New Roman;serif" w:cs="Times New Roman;serif"/>
                <w:sz w:val="24"/>
                <w:szCs w:val="24"/>
              </w:rPr>
              <w:t>0,29</w:t>
            </w:r>
          </w:p>
        </w:tc>
        <w:tc>
          <w:tcPr>
            <w:tcW w:w="879" w:type="dxa"/>
            <w:tcMar>
              <w:top w:w="28" w:type="dxa"/>
              <w:left w:w="28" w:type="dxa"/>
              <w:bottom w:w="28" w:type="dxa"/>
              <w:right w:w="28" w:type="dxa"/>
            </w:tcMar>
            <w:vAlign w:val="center"/>
          </w:tcPr>
          <w:p w14:paraId="5356133E">
            <w:pPr>
              <w:pStyle w:val="Tabloerii"/>
              <w:widowControl w:val="0"/>
              <w:suppressLineNumbers/>
              <w:jc w:val="left"/>
            </w:pPr>
            <w:r>
              <w:rPr>
                <w:rFonts w:ascii="Times New Roman;serif" w:hAnsi="Times New Roman;serif" w:eastAsia="Times New Roman;serif" w:cs="Times New Roman;serif"/>
                <w:sz w:val="24"/>
                <w:szCs w:val="24"/>
              </w:rPr>
              <w:t>0,006</w:t>
            </w:r>
          </w:p>
        </w:tc>
        <w:tc>
          <w:tcPr>
            <w:tcW w:w="799" w:type="dxa"/>
            <w:tcMar>
              <w:top w:w="28" w:type="dxa"/>
              <w:left w:w="28" w:type="dxa"/>
              <w:bottom w:w="28" w:type="dxa"/>
              <w:right w:w="28" w:type="dxa"/>
            </w:tcMar>
            <w:vAlign w:val="center"/>
          </w:tcPr>
          <w:p w14:paraId="611794EF">
            <w:pPr>
              <w:pStyle w:val="Tabloerii"/>
              <w:widowControl w:val="0"/>
              <w:suppressLineNumbers/>
              <w:jc w:val="left"/>
            </w:pPr>
            <w:r>
              <w:rPr>
                <w:rFonts w:ascii="Times New Roman;serif" w:hAnsi="Times New Roman;serif" w:eastAsia="Times New Roman;serif" w:cs="Times New Roman;serif"/>
                <w:sz w:val="24"/>
                <w:szCs w:val="24"/>
              </w:rPr>
              <w:t>0,31</w:t>
            </w:r>
          </w:p>
        </w:tc>
        <w:tc>
          <w:tcPr>
            <w:tcW w:w="897" w:type="dxa"/>
            <w:tcMar>
              <w:top w:w="28" w:type="dxa"/>
              <w:left w:w="28" w:type="dxa"/>
              <w:bottom w:w="28" w:type="dxa"/>
              <w:right w:w="28" w:type="dxa"/>
            </w:tcMar>
            <w:vAlign w:val="center"/>
          </w:tcPr>
          <w:p w14:paraId="3641FBB0">
            <w:pPr>
              <w:pStyle w:val="Tabloerii"/>
              <w:widowControl w:val="0"/>
              <w:suppressLineNumbers/>
              <w:jc w:val="left"/>
            </w:pPr>
            <w:r>
              <w:rPr>
                <w:rFonts w:ascii="Times New Roman;serif" w:hAnsi="Times New Roman;serif" w:eastAsia="Times New Roman;serif" w:cs="Times New Roman;serif"/>
                <w:sz w:val="24"/>
                <w:szCs w:val="24"/>
              </w:rPr>
              <w:t>0,61</w:t>
            </w:r>
          </w:p>
        </w:tc>
      </w:tr>
      <w:tr>
        <w:tc>
          <w:tcPr>
            <w:tcW w:w="2015" w:type="dxa"/>
            <w:tcMar>
              <w:top w:w="28" w:type="dxa"/>
              <w:left w:w="28" w:type="dxa"/>
              <w:bottom w:w="28" w:type="dxa"/>
              <w:right w:w="28" w:type="dxa"/>
            </w:tcMar>
            <w:vAlign w:val="center"/>
          </w:tcPr>
          <w:p w14:paraId="0CFC7E90">
            <w:pPr>
              <w:pStyle w:val="Tabloerii"/>
              <w:widowControl w:val="0"/>
              <w:suppressLineNumbers/>
              <w:jc w:val="left"/>
            </w:pPr>
            <w:r>
              <w:rPr>
                <w:rFonts w:ascii="Times New Roman;serif" w:hAnsi="Times New Roman;serif" w:eastAsia="Times New Roman;serif" w:cs="Times New Roman;serif"/>
                <w:sz w:val="24"/>
                <w:szCs w:val="24"/>
              </w:rPr>
              <w:t>Orta (100–500)</w:t>
            </w:r>
          </w:p>
        </w:tc>
        <w:tc>
          <w:tcPr>
            <w:tcW w:w="692" w:type="dxa"/>
            <w:tcMar>
              <w:top w:w="28" w:type="dxa"/>
              <w:left w:w="28" w:type="dxa"/>
              <w:bottom w:w="28" w:type="dxa"/>
              <w:right w:w="28" w:type="dxa"/>
            </w:tcMar>
            <w:vAlign w:val="center"/>
          </w:tcPr>
          <w:p w14:paraId="325CF4B8">
            <w:pPr>
              <w:pStyle w:val="Tabloerii"/>
              <w:widowControl w:val="0"/>
              <w:suppressLineNumbers/>
              <w:jc w:val="left"/>
            </w:pPr>
            <w:r>
              <w:rPr>
                <w:rFonts w:ascii="Times New Roman;serif" w:hAnsi="Times New Roman;serif" w:eastAsia="Times New Roman;serif" w:cs="Times New Roman;serif"/>
                <w:sz w:val="24"/>
                <w:szCs w:val="24"/>
              </w:rPr>
              <w:t>1,31</w:t>
            </w:r>
          </w:p>
        </w:tc>
        <w:tc>
          <w:tcPr>
            <w:tcW w:w="879" w:type="dxa"/>
            <w:tcMar>
              <w:top w:w="28" w:type="dxa"/>
              <w:left w:w="28" w:type="dxa"/>
              <w:bottom w:w="28" w:type="dxa"/>
              <w:right w:w="28" w:type="dxa"/>
            </w:tcMar>
            <w:vAlign w:val="center"/>
          </w:tcPr>
          <w:p w14:paraId="1A4124EA">
            <w:pPr>
              <w:pStyle w:val="Tabloerii"/>
              <w:widowControl w:val="0"/>
              <w:suppressLineNumbers/>
              <w:jc w:val="left"/>
            </w:pPr>
            <w:r>
              <w:rPr>
                <w:rFonts w:ascii="Times New Roman;serif" w:hAnsi="Times New Roman;serif" w:eastAsia="Times New Roman;serif" w:cs="Times New Roman;serif"/>
                <w:sz w:val="24"/>
                <w:szCs w:val="24"/>
              </w:rPr>
              <w:t>0,015</w:t>
            </w:r>
          </w:p>
        </w:tc>
        <w:tc>
          <w:tcPr>
            <w:tcW w:w="799" w:type="dxa"/>
            <w:tcMar>
              <w:top w:w="28" w:type="dxa"/>
              <w:left w:w="28" w:type="dxa"/>
              <w:bottom w:w="28" w:type="dxa"/>
              <w:right w:w="28" w:type="dxa"/>
            </w:tcMar>
            <w:vAlign w:val="center"/>
          </w:tcPr>
          <w:p w14:paraId="495367C2">
            <w:pPr>
              <w:pStyle w:val="Tabloerii"/>
              <w:widowControl w:val="0"/>
              <w:suppressLineNumbers/>
              <w:jc w:val="left"/>
            </w:pPr>
            <w:r>
              <w:rPr>
                <w:rFonts w:ascii="Times New Roman;serif" w:hAnsi="Times New Roman;serif" w:eastAsia="Times New Roman;serif" w:cs="Times New Roman;serif"/>
                <w:sz w:val="24"/>
                <w:szCs w:val="24"/>
              </w:rPr>
              <w:t>1,12</w:t>
            </w:r>
          </w:p>
        </w:tc>
        <w:tc>
          <w:tcPr>
            <w:tcW w:w="897" w:type="dxa"/>
            <w:tcMar>
              <w:top w:w="28" w:type="dxa"/>
              <w:left w:w="28" w:type="dxa"/>
              <w:bottom w:w="28" w:type="dxa"/>
              <w:right w:w="28" w:type="dxa"/>
            </w:tcMar>
            <w:vAlign w:val="center"/>
          </w:tcPr>
          <w:p w14:paraId="49E755F1">
            <w:pPr>
              <w:pStyle w:val="Tabloerii"/>
              <w:widowControl w:val="0"/>
              <w:suppressLineNumbers/>
              <w:jc w:val="left"/>
            </w:pPr>
            <w:r>
              <w:rPr>
                <w:rFonts w:ascii="Times New Roman;serif" w:hAnsi="Times New Roman;serif" w:eastAsia="Times New Roman;serif" w:cs="Times New Roman;serif"/>
                <w:sz w:val="24"/>
                <w:szCs w:val="24"/>
              </w:rPr>
              <w:t>2,46</w:t>
            </w:r>
          </w:p>
        </w:tc>
      </w:tr>
      <w:tr>
        <w:tc>
          <w:tcPr>
            <w:tcW w:w="2015" w:type="dxa"/>
            <w:tcMar>
              <w:top w:w="28" w:type="dxa"/>
              <w:left w:w="28" w:type="dxa"/>
              <w:bottom w:w="28" w:type="dxa"/>
              <w:right w:w="28" w:type="dxa"/>
            </w:tcMar>
            <w:vAlign w:val="center"/>
          </w:tcPr>
          <w:p w14:paraId="65894045">
            <w:pPr>
              <w:pStyle w:val="Tabloerii"/>
              <w:widowControl w:val="0"/>
              <w:suppressLineNumbers/>
              <w:jc w:val="left"/>
            </w:pPr>
            <w:r>
              <w:rPr>
                <w:rFonts w:ascii="Times New Roman;serif" w:hAnsi="Times New Roman;serif" w:eastAsia="Times New Roman;serif" w:cs="Times New Roman;serif"/>
                <w:sz w:val="24"/>
                <w:szCs w:val="24"/>
              </w:rPr>
              <w:t>Büyük (500–2000)</w:t>
            </w:r>
          </w:p>
        </w:tc>
        <w:tc>
          <w:tcPr>
            <w:tcW w:w="692" w:type="dxa"/>
            <w:tcMar>
              <w:top w:w="28" w:type="dxa"/>
              <w:left w:w="28" w:type="dxa"/>
              <w:bottom w:w="28" w:type="dxa"/>
              <w:right w:w="28" w:type="dxa"/>
            </w:tcMar>
            <w:vAlign w:val="center"/>
          </w:tcPr>
          <w:p w14:paraId="6C9A2569">
            <w:pPr>
              <w:pStyle w:val="Tabloerii"/>
              <w:widowControl w:val="0"/>
              <w:suppressLineNumbers/>
              <w:jc w:val="left"/>
            </w:pPr>
            <w:r>
              <w:rPr>
                <w:rFonts w:ascii="Times New Roman;serif" w:hAnsi="Times New Roman;serif" w:eastAsia="Times New Roman;serif" w:cs="Times New Roman;serif"/>
                <w:sz w:val="24"/>
                <w:szCs w:val="24"/>
              </w:rPr>
              <w:t>4,58</w:t>
            </w:r>
          </w:p>
        </w:tc>
        <w:tc>
          <w:tcPr>
            <w:tcW w:w="879" w:type="dxa"/>
            <w:tcMar>
              <w:top w:w="28" w:type="dxa"/>
              <w:left w:w="28" w:type="dxa"/>
              <w:bottom w:w="28" w:type="dxa"/>
              <w:right w:w="28" w:type="dxa"/>
            </w:tcMar>
            <w:vAlign w:val="center"/>
          </w:tcPr>
          <w:p w14:paraId="5904E1AB">
            <w:pPr>
              <w:pStyle w:val="Tabloerii"/>
              <w:widowControl w:val="0"/>
              <w:suppressLineNumbers/>
              <w:jc w:val="left"/>
            </w:pPr>
            <w:r>
              <w:rPr>
                <w:rFonts w:ascii="Times New Roman;serif" w:hAnsi="Times New Roman;serif" w:eastAsia="Times New Roman;serif" w:cs="Times New Roman;serif"/>
                <w:sz w:val="24"/>
                <w:szCs w:val="24"/>
              </w:rPr>
              <w:t>0,038</w:t>
            </w:r>
          </w:p>
        </w:tc>
        <w:tc>
          <w:tcPr>
            <w:tcW w:w="799" w:type="dxa"/>
            <w:tcMar>
              <w:top w:w="28" w:type="dxa"/>
              <w:left w:w="28" w:type="dxa"/>
              <w:bottom w:w="28" w:type="dxa"/>
              <w:right w:w="28" w:type="dxa"/>
            </w:tcMar>
            <w:vAlign w:val="center"/>
          </w:tcPr>
          <w:p w14:paraId="607042A7">
            <w:pPr>
              <w:pStyle w:val="Tabloerii"/>
              <w:widowControl w:val="0"/>
              <w:suppressLineNumbers/>
              <w:jc w:val="left"/>
            </w:pPr>
            <w:r>
              <w:rPr>
                <w:rFonts w:ascii="Times New Roman;serif" w:hAnsi="Times New Roman;serif" w:eastAsia="Times New Roman;serif" w:cs="Times New Roman;serif"/>
                <w:sz w:val="24"/>
                <w:szCs w:val="24"/>
              </w:rPr>
              <w:t>3,57</w:t>
            </w:r>
          </w:p>
        </w:tc>
        <w:tc>
          <w:tcPr>
            <w:tcW w:w="897" w:type="dxa"/>
            <w:tcMar>
              <w:top w:w="28" w:type="dxa"/>
              <w:left w:w="28" w:type="dxa"/>
              <w:bottom w:w="28" w:type="dxa"/>
              <w:right w:w="28" w:type="dxa"/>
            </w:tcMar>
            <w:vAlign w:val="center"/>
          </w:tcPr>
          <w:p w14:paraId="661F01BC">
            <w:pPr>
              <w:pStyle w:val="Tabloerii"/>
              <w:widowControl w:val="0"/>
              <w:suppressLineNumbers/>
              <w:jc w:val="left"/>
            </w:pPr>
            <w:r>
              <w:rPr>
                <w:rFonts w:ascii="Times New Roman;serif" w:hAnsi="Times New Roman;serif" w:eastAsia="Times New Roman;serif" w:cs="Times New Roman;serif"/>
                <w:sz w:val="24"/>
                <w:szCs w:val="24"/>
              </w:rPr>
              <w:t>8,28</w:t>
            </w:r>
          </w:p>
        </w:tc>
      </w:tr>
      <w:tr>
        <w:tc>
          <w:tcPr>
            <w:tcW w:w="2015" w:type="dxa"/>
            <w:tcMar>
              <w:top w:w="28" w:type="dxa"/>
              <w:left w:w="28" w:type="dxa"/>
              <w:bottom w:w="28" w:type="dxa"/>
              <w:right w:w="28" w:type="dxa"/>
            </w:tcMar>
            <w:vAlign w:val="center"/>
          </w:tcPr>
          <w:p w14:paraId="3F8C4864">
            <w:pPr>
              <w:pStyle w:val="Tabloerii"/>
              <w:widowControl w:val="0"/>
              <w:suppressLineNumbers/>
              <w:jc w:val="left"/>
            </w:pPr>
            <w:r>
              <w:rPr>
                <w:rFonts w:ascii="Times New Roman;serif" w:hAnsi="Times New Roman;serif" w:eastAsia="Times New Roman;serif" w:cs="Times New Roman;serif"/>
                <w:sz w:val="24"/>
                <w:szCs w:val="24"/>
              </w:rPr>
              <w:t>Çok büyük (&gt;2000)</w:t>
            </w:r>
          </w:p>
        </w:tc>
        <w:tc>
          <w:tcPr>
            <w:tcW w:w="692" w:type="dxa"/>
            <w:tcMar>
              <w:top w:w="28" w:type="dxa"/>
              <w:left w:w="28" w:type="dxa"/>
              <w:bottom w:w="28" w:type="dxa"/>
              <w:right w:w="28" w:type="dxa"/>
            </w:tcMar>
            <w:vAlign w:val="center"/>
          </w:tcPr>
          <w:p w14:paraId="4822C61C">
            <w:pPr>
              <w:pStyle w:val="Tabloerii"/>
              <w:widowControl w:val="0"/>
              <w:suppressLineNumbers/>
              <w:jc w:val="left"/>
            </w:pPr>
            <w:r>
              <w:rPr>
                <w:rFonts w:ascii="Times New Roman;serif" w:hAnsi="Times New Roman;serif" w:eastAsia="Times New Roman;serif" w:cs="Times New Roman;serif"/>
                <w:sz w:val="24"/>
                <w:szCs w:val="24"/>
              </w:rPr>
              <w:t>15,83</w:t>
            </w:r>
          </w:p>
        </w:tc>
        <w:tc>
          <w:tcPr>
            <w:tcW w:w="879" w:type="dxa"/>
            <w:tcMar>
              <w:top w:w="28" w:type="dxa"/>
              <w:left w:w="28" w:type="dxa"/>
              <w:bottom w:w="28" w:type="dxa"/>
              <w:right w:w="28" w:type="dxa"/>
            </w:tcMar>
            <w:vAlign w:val="center"/>
          </w:tcPr>
          <w:p w14:paraId="54906127">
            <w:pPr>
              <w:pStyle w:val="Tabloerii"/>
              <w:widowControl w:val="0"/>
              <w:suppressLineNumbers/>
              <w:jc w:val="left"/>
            </w:pPr>
            <w:r>
              <w:rPr>
                <w:rFonts w:ascii="Times New Roman;serif" w:hAnsi="Times New Roman;serif" w:eastAsia="Times New Roman;serif" w:cs="Times New Roman;serif"/>
                <w:sz w:val="24"/>
                <w:szCs w:val="24"/>
              </w:rPr>
              <w:t>0,139</w:t>
            </w:r>
          </w:p>
        </w:tc>
        <w:tc>
          <w:tcPr>
            <w:tcW w:w="799" w:type="dxa"/>
            <w:tcMar>
              <w:top w:w="28" w:type="dxa"/>
              <w:left w:w="28" w:type="dxa"/>
              <w:bottom w:w="28" w:type="dxa"/>
              <w:right w:w="28" w:type="dxa"/>
            </w:tcMar>
            <w:vAlign w:val="center"/>
          </w:tcPr>
          <w:p w14:paraId="2E361744">
            <w:pPr>
              <w:pStyle w:val="Tabloerii"/>
              <w:widowControl w:val="0"/>
              <w:suppressLineNumbers/>
              <w:jc w:val="left"/>
            </w:pPr>
            <w:r>
              <w:rPr>
                <w:rFonts w:ascii="Times New Roman;serif" w:hAnsi="Times New Roman;serif" w:eastAsia="Times New Roman;serif" w:cs="Times New Roman;serif"/>
                <w:sz w:val="24"/>
                <w:szCs w:val="24"/>
              </w:rPr>
              <w:t>10,85</w:t>
            </w:r>
          </w:p>
        </w:tc>
        <w:tc>
          <w:tcPr>
            <w:tcW w:w="897" w:type="dxa"/>
            <w:tcMar>
              <w:top w:w="28" w:type="dxa"/>
              <w:left w:w="28" w:type="dxa"/>
              <w:bottom w:w="28" w:type="dxa"/>
              <w:right w:w="28" w:type="dxa"/>
            </w:tcMar>
            <w:vAlign w:val="center"/>
          </w:tcPr>
          <w:p w14:paraId="7386D1CA">
            <w:pPr>
              <w:pStyle w:val="Tabloerii"/>
              <w:widowControl w:val="0"/>
              <w:suppressLineNumbers/>
              <w:jc w:val="left"/>
            </w:pPr>
            <w:r>
              <w:rPr>
                <w:rFonts w:ascii="Times New Roman;serif" w:hAnsi="Times New Roman;serif" w:eastAsia="Times New Roman;serif" w:cs="Times New Roman;serif"/>
                <w:sz w:val="24"/>
                <w:szCs w:val="24"/>
              </w:rPr>
              <w:t>27,17</w:t>
            </w:r>
          </w:p>
        </w:tc>
      </w:tr>
    </w:tbl>
    <w:p w14:paraId="6B30F763">
      <w:pPr>
        <w:pStyle w:val="BodyText"/>
        <w:jc w:val="both"/>
      </w:pPr>
      <w:r>
        <w:rPr>
          <w:rFonts w:ascii="Times New Roman;serif" w:hAnsi="Times New Roman;serif" w:eastAsia="Times New Roman;serif" w:cs="Times New Roman;serif"/>
          <w:sz w:val="24"/>
          <w:szCs w:val="24"/>
        </w:rPr>
        <w:t>Tırnak koruyan serileştiricinin bir maliyeti olup olmadığını ölçmek için iki serileştirici aynı süreçte, aynı ağaç üzerinde ve yineleme başına sıra değiştirilerek karşılaştırılmıştır. ComposeMorph'un serileştiricisi tüm boyut gruplarında yaml-cpp'nin kendi serileştiricisinden hızlıdır: medyan oran küçük dosyalarda 0,97, orta ve büyük dosyalarda 0,94, çok büyük dosyalarda 0,79'dur ve fark her grupta istatistiksel olarak anlamlıdır (Wilcoxon işaretli sıralar testi, p &lt; 10⁻¹⁰). Her dosyanın ilk yinelemesi soğuk başlangıç maliyetini içerir: sayfa hataları, dosya sistemi önbelleği ve API üzerinden yazılan değerlerin belirsizlik sınamasında kullanılan düzenli ifadenin süreç başına bir kez derlenmesi. İlk yinelemede değiştirme adımının medyanı 1,26 ms'dir (59 dosyada en fazla 2,08 ms). Bu yinelemeler istatistiklerden çıkarılmamıştır; bu nedenle ortalama ve p95 değerleri yukarı çekilmiştir ve tipik maliyeti medyan daha iyi temsil eder.</w:t>
      </w:r>
    </w:p>
    <w:p w14:paraId="2D32AB6C">
      <w:pPr>
        <w:pStyle w:val="Heading3"/>
        <w:jc w:val="left"/>
      </w:pPr>
      <w:r>
        <w:rPr>
          <w:rFonts w:ascii="Liberation Serif" w:hAnsi="Liberation Serif" w:eastAsia="DejaVu Sans" w:cs="DejaVu Sans"/>
          <w:i/>
          <w:iCs/>
          <w:sz w:val="24"/>
          <w:szCs w:val="24"/>
        </w:rPr>
        <w:t>Ham yaml-cpp ile karşılaştırma</w:t>
      </w:r>
    </w:p>
    <w:p w14:paraId="168D7B2A">
      <w:pPr>
        <w:pStyle w:val="BodyText"/>
        <w:jc w:val="both"/>
      </w:pPr>
      <w:r>
        <w:rPr>
          <w:rFonts w:ascii="Times New Roman;serif" w:hAnsi="Times New Roman;serif" w:eastAsia="Times New Roman;serif" w:cs="Times New Roman;serif"/>
          <w:sz w:val="24"/>
          <w:szCs w:val="24"/>
        </w:rPr>
        <w:t>Deney 6, ComposeMorph'u iki ham yaml-cpp kullanımıyla karşılaştırır. Serileştirme düzeyinde ComposeMorph ile dikkatli ham kullanım arasındaki çıktı farkı 100 dosyanın 96'sında yalnızca tırnak karakterlerinden ibarettir, 4'ünde çıktı zaten özdeştir; tırnak dışında farklılık yoktur. Düzenleme güvenliği düzeyinde ise fark büyüktür (Şekil 2): alt ağacı yeniden inşa eden naif kullanım, ölçülebilen hiçbir vakada düzenlenen servisin diğer alanlarını koruyamamıştır (</w:t>
      </w:r>
      <w:r>
        <w:rPr>
          <w:rStyle w:val="KaynakMetin"/>
          <w:rFonts w:ascii="Courier New;monospace" w:hAnsi="Courier New;monospace" w:eastAsia="Courier New;monospace" w:cs="Courier New;monospace"/>
          <w:sz w:val="20"/>
          <w:szCs w:val="20"/>
        </w:rPr>
        <w:t>image</w:t>
      </w:r>
      <w:r>
        <w:rPr>
          <w:rFonts w:ascii="Times New Roman;serif" w:hAnsi="Times New Roman;serif" w:eastAsia="Times New Roman;serif" w:cs="Times New Roman;serif"/>
          <w:sz w:val="24"/>
          <w:szCs w:val="24"/>
        </w:rPr>
        <w:t xml:space="preserve"> için 0/149, </w:t>
      </w:r>
      <w:r>
        <w:rPr>
          <w:rStyle w:val="KaynakMetin"/>
          <w:rFonts w:ascii="Courier New;monospace" w:hAnsi="Courier New;monospace" w:eastAsia="Courier New;monospace" w:cs="Courier New;monospace"/>
          <w:sz w:val="20"/>
          <w:szCs w:val="20"/>
        </w:rPr>
        <w:t>hostname</w:t>
      </w:r>
      <w:r>
        <w:rPr>
          <w:rFonts w:ascii="Times New Roman;serif" w:hAnsi="Times New Roman;serif" w:eastAsia="Times New Roman;serif" w:cs="Times New Roman;serif"/>
          <w:sz w:val="24"/>
          <w:szCs w:val="24"/>
        </w:rPr>
        <w:t xml:space="preserve"> için 0/39, </w:t>
      </w:r>
      <w:r>
        <w:rPr>
          <w:rStyle w:val="KaynakMetin"/>
          <w:rFonts w:ascii="Courier New;monospace" w:hAnsi="Courier New;monospace" w:eastAsia="Courier New;monospace" w:cs="Courier New;monospace"/>
          <w:sz w:val="20"/>
          <w:szCs w:val="20"/>
        </w:rPr>
        <w:t>env</w:t>
      </w:r>
      <w:r>
        <w:rPr>
          <w:rFonts w:ascii="Times New Roman;serif" w:hAnsi="Times New Roman;serif" w:eastAsia="Times New Roman;serif" w:cs="Times New Roman;serif"/>
          <w:sz w:val="24"/>
          <w:szCs w:val="24"/>
        </w:rPr>
        <w:t xml:space="preserve"> için 0/116), ComposeMorph ise tümünü korumuştur (149/149, 39/39, 116/116). Aynı desen işaretçi alanlarında da görülür: naif kullanım servis düzeyindeki 200 işaretçinin tamamını kaybederken üst seviyedekilerin tamamını korur; hasar, üzerine yazılan alt ağaçla sınırlıdır.</w:t>
      </w:r>
    </w:p>
    <w:p w14:paraId="6CB6CC05">
      <w:pPr>
        <w:pStyle w:val="BodyText"/>
        <w:jc w:val="both"/>
      </w:pPr>
      <w:r>
        <w:rPr>
          <w:rFonts w:ascii="Times New Roman;serif" w:hAnsi="Times New Roman;serif" w:eastAsia="Times New Roman;serif" w:cs="Times New Roman;serif"/>
          <w:sz w:val="24"/>
          <w:szCs w:val="24"/>
        </w:rPr>
        <w:t xml:space="preserve">Şekil 2, dikkatli ham kullanımın da kardeş alanları her vakada korumadığını göstermektedir (130/149, 23/39, 100/116). Bu fark yapısal bir kayıp değildir. Korunma, kardeş değerlerin düzenleme öncesi ve sonrasında PyYAML ile karşılaştırılmasıyla ölçülür; dikkatli araç yaml-cpp'nin varsayılan serileştiricisini kullandığından tırnaklı kardeş değerler (ör. </w:t>
      </w:r>
      <w:r>
        <w:rPr>
          <w:rStyle w:val="KaynakMetin"/>
          <w:rFonts w:ascii="Courier New;monospace" w:hAnsi="Courier New;monospace" w:eastAsia="Courier New;monospace" w:cs="Courier New;monospace"/>
          <w:sz w:val="20"/>
          <w:szCs w:val="20"/>
        </w:rPr>
        <w:t>"8022:22"</w:t>
      </w:r>
      <w:r>
        <w:rPr>
          <w:rFonts w:ascii="Times New Roman;serif" w:hAnsi="Times New Roman;serif" w:eastAsia="Times New Roman;serif" w:cs="Times New Roman;serif"/>
          <w:sz w:val="24"/>
          <w:szCs w:val="24"/>
        </w:rPr>
        <w:t xml:space="preserve">) tip değiştirir. Bu 51 vakanın 48'inde kardeş alanların tümü çıktıda yerindedir ve yalnızca skaler gösterimleri değişmiştir; kalan 3 vakada çıktı, RQ1 altında açıklanan </w:t>
      </w:r>
      <w:r>
        <w:rPr>
          <w:rStyle w:val="KaynakMetin"/>
          <w:rFonts w:ascii="Courier New;monospace" w:hAnsi="Courier New;monospace" w:eastAsia="Courier New;monospace" w:cs="Courier New;monospace"/>
          <w:sz w:val="20"/>
          <w:szCs w:val="20"/>
        </w:rPr>
        <w:t>":80"</w:t>
      </w:r>
      <w:r>
        <w:rPr>
          <w:rFonts w:ascii="Times New Roman;serif" w:hAnsi="Times New Roman;serif" w:eastAsia="Times New Roman;serif" w:cs="Times New Roman;serif"/>
          <w:sz w:val="24"/>
          <w:szCs w:val="24"/>
        </w:rPr>
        <w:t xml:space="preserve"> sorunu nedeniyle ayrıştırılamaz hâle gelmiştir.</w:t>
      </w:r>
    </w:p>
    <w:p w14:paraId="32C65FBA">
      <w:pPr>
        <w:pStyle w:val="GvdeMetnifigure"/>
        <w:jc w:val="center"/>
      </w:pPr>
      <w:r>
        <w:drawing>
          <wp:inline distT="0" distB="0" distL="0" distR="0">
            <wp:extent cx="6096000" cy="21621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
                    <a:stretch>
                      <a:fillRect/>
                    </a:stretch>
                  </pic:blipFill>
                  <pic:spPr>
                    <a:xfrm>
                      <a:off x="0" y="0"/>
                      <a:ext cx="6096000" cy="2162175"/>
                    </a:xfrm>
                    <a:prstGeom prst="rect">
                      <a:avLst/>
                    </a:prstGeom>
                  </pic:spPr>
                </pic:pic>
              </a:graphicData>
            </a:graphic>
          </wp:inline>
        </w:drawing>
      </w:r>
    </w:p>
    <w:p w14:paraId="1DEF908F">
      <w:pPr>
        <w:pStyle w:val="GvdeMetnicaption"/>
        <w:jc w:val="center"/>
      </w:pPr>
      <w:r>
        <w:rPr>
          <w:rFonts w:ascii="Times New Roman;serif" w:hAnsi="Times New Roman;serif" w:eastAsia="Times New Roman;serif" w:cs="Times New Roman;serif"/>
          <w:b/>
          <w:bCs/>
          <w:sz w:val="20"/>
          <w:szCs w:val="20"/>
        </w:rPr>
        <w:t>Şekil 2.</w:t>
      </w:r>
      <w:r>
        <w:rPr>
          <w:rFonts w:ascii="Times New Roman;serif" w:hAnsi="Times New Roman;serif" w:eastAsia="Times New Roman;serif" w:cs="Times New Roman;serif"/>
          <w:sz w:val="20"/>
          <w:szCs w:val="20"/>
        </w:rPr>
        <w:t xml:space="preserve"> ComposeMorph ile iki ham yaml-cpp kullanımının karşılaştırması (Veri Kümesi B). Solda düzenleme başına değişen satır sayısının medyanı, sağda düzenlenen servisin </w:t>
      </w:r>
      <w:r>
        <w:rPr>
          <w:rFonts w:ascii="Times New Roman;serif" w:hAnsi="Times New Roman;serif" w:eastAsia="Times New Roman;serif" w:cs="Times New Roman;serif"/>
          <w:i/>
          <w:iCs/>
          <w:sz w:val="20"/>
          <w:szCs w:val="20"/>
        </w:rPr>
        <w:t>diğer</w:t>
      </w:r>
      <w:r>
        <w:rPr>
          <w:rFonts w:ascii="Times New Roman;serif" w:hAnsi="Times New Roman;serif" w:eastAsia="Times New Roman;serif" w:cs="Times New Roman;serif"/>
          <w:sz w:val="20"/>
          <w:szCs w:val="20"/>
        </w:rPr>
        <w:t xml:space="preserve"> alanlarının korunma oranı. Alt ağacı yeniden inşa eden naif kullanım hiçbir vakada kardeş alanları koruyamamaktadır (%0). Dikkatli kullanımdaki eksik, tırnak kaybı sonucu tip değişiminden kaynaklanır; kardeş alanlar yapısal olarak yerindedir.</w:t>
      </w:r>
    </w:p>
    <w:p w14:paraId="56FF54B7">
      <w:pPr>
        <w:pStyle w:val="BodyText"/>
        <w:jc w:val="both"/>
      </w:pPr>
      <w:r>
        <w:rPr>
          <w:rFonts w:ascii="Times New Roman;serif" w:hAnsi="Times New Roman;serif" w:eastAsia="Times New Roman;serif" w:cs="Times New Roman;serif"/>
          <w:sz w:val="24"/>
          <w:szCs w:val="24"/>
        </w:rPr>
        <w:t>Ergonomi açısından, ComposeMorph'ta on düzenlemenin her biri tek satırdır; aynı düzenlemeleri ham yaml-cpp ile doğru yapmak 1 ile 24 satır arasında kod gerektirir (</w:t>
      </w:r>
      <w:r>
        <w:rPr>
          <w:rStyle w:val="KaynakMetin"/>
          <w:rFonts w:ascii="Courier New;monospace" w:hAnsi="Courier New;monospace" w:eastAsia="Courier New;monospace" w:cs="Courier New;monospace"/>
          <w:sz w:val="20"/>
          <w:szCs w:val="20"/>
        </w:rPr>
        <w:t>volume-source</w:t>
      </w:r>
      <w:r>
        <w:rPr>
          <w:rFonts w:ascii="Times New Roman;serif" w:hAnsi="Times New Roman;serif" w:eastAsia="Times New Roman;serif" w:cs="Times New Roman;serif"/>
          <w:sz w:val="24"/>
          <w:szCs w:val="24"/>
        </w:rPr>
        <w:t xml:space="preserve"> için 24, </w:t>
      </w:r>
      <w:r>
        <w:rPr>
          <w:rStyle w:val="KaynakMetin"/>
          <w:rFonts w:ascii="Courier New;monospace" w:hAnsi="Courier New;monospace" w:eastAsia="Courier New;monospace" w:cs="Courier New;monospace"/>
          <w:sz w:val="20"/>
          <w:szCs w:val="20"/>
        </w:rPr>
        <w:t>extra-host</w:t>
      </w:r>
      <w:r>
        <w:rPr>
          <w:rFonts w:ascii="Times New Roman;serif" w:hAnsi="Times New Roman;serif" w:eastAsia="Times New Roman;serif" w:cs="Times New Roman;serif"/>
          <w:sz w:val="24"/>
          <w:szCs w:val="24"/>
        </w:rPr>
        <w:t xml:space="preserve"> için 22, </w:t>
      </w:r>
      <w:r>
        <w:rPr>
          <w:rStyle w:val="KaynakMetin"/>
          <w:rFonts w:ascii="Courier New;monospace" w:hAnsi="Courier New;monospace" w:eastAsia="Courier New;monospace" w:cs="Courier New;monospace"/>
          <w:sz w:val="20"/>
          <w:szCs w:val="20"/>
        </w:rPr>
        <w:t>env</w:t>
      </w:r>
      <w:r>
        <w:rPr>
          <w:rFonts w:ascii="Times New Roman;serif" w:hAnsi="Times New Roman;serif" w:eastAsia="Times New Roman;serif" w:cs="Times New Roman;serif"/>
          <w:sz w:val="24"/>
          <w:szCs w:val="24"/>
        </w:rPr>
        <w:t xml:space="preserve"> için 18 satır). Satır sayısı hatalı kodu ayırt etmez: </w:t>
      </w:r>
      <w:r>
        <w:rPr>
          <w:rStyle w:val="KaynakMetin"/>
          <w:rFonts w:ascii="Courier New;monospace" w:hAnsi="Courier New;monospace" w:eastAsia="Courier New;monospace" w:cs="Courier New;monospace"/>
          <w:sz w:val="20"/>
          <w:szCs w:val="20"/>
        </w:rPr>
        <w:t>env</w:t>
      </w:r>
      <w:r>
        <w:rPr>
          <w:rFonts w:ascii="Times New Roman;serif" w:hAnsi="Times New Roman;serif" w:eastAsia="Times New Roman;serif" w:cs="Times New Roman;serif"/>
          <w:sz w:val="24"/>
          <w:szCs w:val="24"/>
        </w:rPr>
        <w:t xml:space="preserve"> düzenlemesinde bölümün tamamını yeniden kuran naif sürüm (6 satır), doğru sürümün üçte biri uzunluğundadır. </w:t>
      </w:r>
      <w:r>
        <w:rPr>
          <w:rStyle w:val="KaynakMetin"/>
          <w:rFonts w:ascii="Courier New;monospace" w:hAnsi="Courier New;monospace" w:eastAsia="Courier New;monospace" w:cs="Courier New;monospace"/>
          <w:sz w:val="20"/>
          <w:szCs w:val="20"/>
        </w:rPr>
        <w:t>image</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hostname</w:t>
      </w:r>
      <w:r>
        <w:rPr>
          <w:rFonts w:ascii="Times New Roman;serif" w:hAnsi="Times New Roman;serif" w:eastAsia="Times New Roman;serif" w:cs="Times New Roman;serif"/>
          <w:sz w:val="24"/>
          <w:szCs w:val="24"/>
        </w:rPr>
        <w:t xml:space="preserve"> için ise doğru sürüm tek satırdır ve naif sürüm (5 ve 3 satır) daha uzundur.</w:t>
      </w:r>
    </w:p>
    <w:p w14:paraId="0A81499D">
      <w:pPr>
        <w:pStyle w:val="Heading2"/>
        <w:jc w:val="left"/>
      </w:pPr>
      <w:r>
        <w:rPr>
          <w:rFonts w:ascii="Liberation Serif" w:hAnsi="Liberation Serif" w:eastAsia="DejaVu Sans" w:cs="DejaVu Sans"/>
          <w:b/>
          <w:bCs/>
          <w:sz w:val="24"/>
          <w:szCs w:val="24"/>
        </w:rPr>
        <w:t>IX. TARTIŞMA</w:t>
      </w:r>
    </w:p>
    <w:p w14:paraId="1E41DB16">
      <w:pPr>
        <w:pStyle w:val="Heading3"/>
        <w:jc w:val="left"/>
      </w:pPr>
      <w:r>
        <w:rPr>
          <w:rFonts w:ascii="Liberation Serif" w:hAnsi="Liberation Serif" w:eastAsia="DejaVu Sans" w:cs="DejaVu Sans"/>
          <w:i/>
          <w:iCs/>
          <w:sz w:val="24"/>
          <w:szCs w:val="24"/>
        </w:rPr>
        <w:t>Tırnak, biçim değil anlamdır</w:t>
      </w:r>
    </w:p>
    <w:p w14:paraId="5F231D66">
      <w:pPr>
        <w:pStyle w:val="BodyText"/>
        <w:jc w:val="both"/>
      </w:pPr>
      <w:r>
        <w:rPr>
          <w:rFonts w:ascii="Times New Roman;serif" w:hAnsi="Times New Roman;serif" w:eastAsia="Times New Roman;serif" w:cs="Times New Roman;serif"/>
          <w:sz w:val="24"/>
          <w:szCs w:val="24"/>
        </w:rPr>
        <w:t>Bu çalışmanın en aktarılabilir bulgusu, düğüm ağacı tabanlı bir YAML kütüphanesinde tırnak kaybının kozmetik bir sorun olarak görülmesinin yanıltıcı olmasıdır. Ölçümlerimizde bu davranış, geçerli girdilerden üretilen çıktıların %62'sinin Docker tarafından reddedilmesine yol açmıştır. Kusurun kaynağı, ayrıştırıcının tırnak bilgisini aslında saklaması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belirtisiz etiketi), ancak serileştiricinin bu bilgiyi yok sayarak kararını yalnızca değerin metnine dayandırmasıdır. Düzeltme, yeni bir ara temsil gerektirmez: mevcut etiketin okunması yeterlidir. Bu nedenle aynı teknik, yaml-cpp üzerine kurulu diğer yapılandırma araçlarına da doğrudan uygulanabilir.</w:t>
      </w:r>
    </w:p>
    <w:p w14:paraId="47CE81F0">
      <w:pPr>
        <w:pStyle w:val="BodyText"/>
        <w:jc w:val="both"/>
      </w:pPr>
      <w:r>
        <w:rPr>
          <w:rFonts w:ascii="Times New Roman;serif" w:hAnsi="Times New Roman;serif" w:eastAsia="Times New Roman;serif" w:cs="Times New Roman;serif"/>
          <w:sz w:val="24"/>
          <w:szCs w:val="24"/>
        </w:rPr>
        <w:t xml:space="preserve">Bulgunun ikinci yüzü, hangi oracle ile bakıldığının sonucu değiştirmesidir. PyYAML'ın YAML 1.1 çözümleme kurallarına göre tip değiştiren her değer, Docker'ın kullandığı go-yaml için sorun oluşturmaz; örneğin altmışlık sayı biçimi go-yaml'da desteklenmez. Buna karşılık </w:t>
      </w:r>
      <w:r>
        <w:rPr>
          <w:rStyle w:val="KaynakMetin"/>
          <w:rFonts w:ascii="Courier New;monospace" w:hAnsi="Courier New;monospace" w:eastAsia="Courier New;monospace" w:cs="Courier New;monospace"/>
          <w:sz w:val="20"/>
          <w:szCs w:val="20"/>
        </w:rPr>
        <w:t>version</w:t>
      </w:r>
      <w:r>
        <w:rPr>
          <w:rFonts w:ascii="Times New Roman;serif" w:hAnsi="Times New Roman;serif" w:eastAsia="Times New Roman;serif" w:cs="Times New Roman;serif"/>
          <w:sz w:val="24"/>
          <w:szCs w:val="24"/>
        </w:rPr>
        <w:t xml:space="preserve"> ya da </w:t>
      </w:r>
      <w:r>
        <w:rPr>
          <w:rStyle w:val="KaynakMetin"/>
          <w:rFonts w:ascii="Courier New;monospace" w:hAnsi="Courier New;monospace" w:eastAsia="Courier New;monospace" w:cs="Courier New;monospace"/>
          <w:sz w:val="20"/>
          <w:szCs w:val="20"/>
        </w:rPr>
        <w:t>command</w:t>
      </w:r>
      <w:r>
        <w:rPr>
          <w:rFonts w:ascii="Times New Roman;serif" w:hAnsi="Times New Roman;serif" w:eastAsia="Times New Roman;serif" w:cs="Times New Roman;serif"/>
          <w:sz w:val="24"/>
          <w:szCs w:val="24"/>
        </w:rPr>
        <w:t xml:space="preserve"> elemanları gibi şemanın string dayattığı alanlarda hata kesindir. Bu yüzden ölçümü tek bir doğrulayıcıya bağlamak yerine iki bağımsız oracle kullandık.</w:t>
      </w:r>
    </w:p>
    <w:p w14:paraId="66345202">
      <w:pPr>
        <w:pStyle w:val="Heading3"/>
        <w:jc w:val="left"/>
      </w:pPr>
      <w:r>
        <w:rPr>
          <w:rFonts w:ascii="Liberation Serif" w:hAnsi="Liberation Serif" w:eastAsia="DejaVu Sans" w:cs="DejaVu Sans"/>
          <w:i/>
          <w:iCs/>
          <w:sz w:val="24"/>
          <w:szCs w:val="24"/>
        </w:rPr>
        <w:t>Hangi senaryoda ne beklenmeli</w:t>
      </w:r>
    </w:p>
    <w:p w14:paraId="1020BDA2">
      <w:pPr>
        <w:pStyle w:val="BodyText"/>
        <w:jc w:val="both"/>
      </w:pPr>
      <w:r>
        <w:rPr>
          <w:rFonts w:ascii="Times New Roman;serif" w:hAnsi="Times New Roman;serif" w:eastAsia="Times New Roman;serif" w:cs="Times New Roman;serif"/>
          <w:sz w:val="24"/>
          <w:szCs w:val="24"/>
        </w:rPr>
        <w:t xml:space="preserve">Kütüphane, otomasyonun dosyaya tek bir alanla dokunduğu senaryolar için uygundur: sürüm yükseltme, ortam değişkeni ayarlama, volume kaynağı değiştirme. Bu senaryolarda düzenleme, taban gürültü çıkarıldığında gerçekten tek satırda kalmakta, bilinmeyen ve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alanlar korunmakta ve çıktı Docker tarafından kabul edilmektedir. Buna karşılık dosyanın insan tarafından okunan biçimini — yorumlarını, boş satırlarını, girintisini, blok skalerlerini — olduğu gibi korumak gerekiyorsa, bu kütüphane uygun araç değildir; bunun için CST tabanlı çözümler (Python'da ruamel.yaml, JavaScript'te eemeli/yaml) gerekir. Kod incelemesinde yalnızca değiştirilen satırın görünmesi isteniyorsa, mevcut durumda ortaya çıkan diff bu beklentiyi karşılamaz.</w:t>
      </w:r>
    </w:p>
    <w:p w14:paraId="6B56BBB4">
      <w:pPr>
        <w:pStyle w:val="Heading3"/>
        <w:jc w:val="left"/>
      </w:pPr>
      <w:r>
        <w:rPr>
          <w:rFonts w:ascii="Liberation Serif" w:hAnsi="Liberation Serif" w:eastAsia="DejaVu Sans" w:cs="DejaVu Sans"/>
          <w:i/>
          <w:iCs/>
          <w:sz w:val="24"/>
          <w:szCs w:val="24"/>
        </w:rPr>
        <w:t>Performans ile koruma arasında bir ödünleşme yok</w:t>
      </w:r>
    </w:p>
    <w:p w14:paraId="49C4CC61">
      <w:pPr>
        <w:pStyle w:val="BodyText"/>
        <w:jc w:val="both"/>
      </w:pPr>
      <w:r>
        <w:rPr>
          <w:rFonts w:ascii="Times New Roman;serif" w:hAnsi="Times New Roman;serif" w:eastAsia="Times New Roman;serif" w:cs="Times New Roman;serif"/>
          <w:sz w:val="24"/>
          <w:szCs w:val="24"/>
        </w:rPr>
        <w:t>Beklenenin aksine, koruma için ödenen bir performans bedeli ölçülmemiştir. Tırnak koruyan serileştirici, yaml-cpp'nin kendi serileştiricisinden her boyut grubunda daha hızlıdır; bunun nedeni büyük olasılıkla yaml-cpp'nin düğüm serileştirmesini olay tabanlı bir ara katman üzerinden yapmasıdır. Düzenleme adımının maliyeti ise yükleme ve kaydetmenin yanında ölçülemeyecek kadar küçüktür. Dolayısıyla pratikte maliyet, dosyanın ayrıştırılması ve yeniden yazılmasıdır; bu da onlarca milisaniyeyi aşmaz.</w:t>
      </w:r>
    </w:p>
    <w:p w14:paraId="78BC83C9">
      <w:pPr>
        <w:pStyle w:val="Heading3"/>
        <w:jc w:val="left"/>
      </w:pPr>
      <w:r>
        <w:rPr>
          <w:rFonts w:ascii="Liberation Serif" w:hAnsi="Liberation Serif" w:eastAsia="DejaVu Sans" w:cs="DejaVu Sans"/>
          <w:i/>
          <w:iCs/>
          <w:sz w:val="24"/>
          <w:szCs w:val="24"/>
        </w:rPr>
        <w:t>Compose'a özgü API neden fark yaratıyor?</w:t>
      </w:r>
    </w:p>
    <w:p w14:paraId="73027D96">
      <w:pPr>
        <w:pStyle w:val="BodyText"/>
        <w:jc w:val="both"/>
      </w:pPr>
      <w:r>
        <w:rPr>
          <w:rFonts w:ascii="Times New Roman;serif" w:hAnsi="Times New Roman;serif" w:eastAsia="Times New Roman;serif" w:cs="Times New Roman;serif"/>
          <w:sz w:val="24"/>
          <w:szCs w:val="24"/>
        </w:rPr>
        <w:t xml:space="preserve">Deney 6, farkın nerede olduğunu net biçimde ayırır. Doğru yazılmış ham yaml-cpp kodu, ComposeMorph ile aynı yapısal koruma davranışını üretebilir; aradaki tek fark serileştiricinin tırnak kararıdır. Yani koruma, sihirli bir algoritmanın değil, doğru düzenleme tekniğinin sonucudur. Ancak bu tekniği her çağrı yerinde doğru uygulamak programcının sorumluluğundadır ve yanlış uygulamak her zaman daha fazla emek gerektirmez: </w:t>
      </w:r>
      <w:r>
        <w:rPr>
          <w:rStyle w:val="KaynakMetin"/>
          <w:rFonts w:ascii="Courier New;monospace" w:hAnsi="Courier New;monospace" w:eastAsia="Courier New;monospace" w:cs="Courier New;monospace"/>
          <w:sz w:val="20"/>
          <w:szCs w:val="20"/>
        </w:rPr>
        <w:t>env</w:t>
      </w:r>
      <w:r>
        <w:rPr>
          <w:rFonts w:ascii="Times New Roman;serif" w:hAnsi="Times New Roman;serif" w:eastAsia="Times New Roman;serif" w:cs="Times New Roman;serif"/>
          <w:sz w:val="24"/>
          <w:szCs w:val="24"/>
        </w:rPr>
        <w:t xml:space="preserve"> örneğinde alt ağacı yeniden inşa eden sürüm doğru sürümün üçte biri uzunluğundadır ve sorunsuz derlenir; kayıp yalnızca çalışma zamanında, üstelik sessizce görülür. Tipli API'nin katkısı, doğru olanı varsayılan yol hâline getirmesidir. Aynı gözlem kısa sözdizimi hatasında da doğrulanmıştır: liste biçimli </w:t>
      </w:r>
      <w:r>
        <w:rPr>
          <w:rStyle w:val="KaynakMetin"/>
          <w:rFonts w:ascii="Courier New;monospace" w:hAnsi="Courier New;monospace" w:eastAsia="Courier New;monospace" w:cs="Courier New;monospace"/>
          <w:sz w:val="20"/>
          <w:szCs w:val="20"/>
        </w:rPr>
        <w:t>environment</w:t>
      </w:r>
      <w:r>
        <w:rPr>
          <w:rFonts w:ascii="Times New Roman;serif" w:hAnsi="Times New Roman;serif" w:eastAsia="Times New Roman;serif" w:cs="Times New Roman;serif"/>
          <w:sz w:val="24"/>
          <w:szCs w:val="24"/>
        </w:rPr>
        <w:t xml:space="preserve"> bölümünü eşlemeye çeviren davranış, naif ham kullanımda da kütüphanenin ilk sürümünde de ortaya çıkmıştır. Dikkatli ham sürümün </w:t>
      </w:r>
      <w:r>
        <w:rPr>
          <w:rStyle w:val="KaynakMetin"/>
          <w:rFonts w:ascii="Courier New;monospace" w:hAnsi="Courier New;monospace" w:eastAsia="Courier New;monospace" w:cs="Courier New;monospace"/>
          <w:sz w:val="20"/>
          <w:szCs w:val="20"/>
        </w:rPr>
        <w:t>env</w:t>
      </w:r>
      <w:r>
        <w:rPr>
          <w:rFonts w:ascii="Times New Roman;serif" w:hAnsi="Times New Roman;serif" w:eastAsia="Times New Roman;serif" w:cs="Times New Roman;serif"/>
          <w:sz w:val="24"/>
          <w:szCs w:val="24"/>
        </w:rPr>
        <w:t xml:space="preserve"> için 18 satır tutmasının nedeni de liste biçimini ayrıca ele almasıdır.</w:t>
      </w:r>
    </w:p>
    <w:p w14:paraId="30313163">
      <w:pPr>
        <w:pStyle w:val="Heading2"/>
        <w:jc w:val="left"/>
      </w:pPr>
      <w:r>
        <w:rPr>
          <w:rFonts w:ascii="Liberation Serif" w:hAnsi="Liberation Serif" w:eastAsia="DejaVu Sans" w:cs="DejaVu Sans"/>
          <w:b/>
          <w:bCs/>
          <w:sz w:val="24"/>
          <w:szCs w:val="24"/>
        </w:rPr>
        <w:t>X. GEÇERLİLİK TEHDİTLERİ</w:t>
      </w:r>
    </w:p>
    <w:p w14:paraId="4B68AF21">
      <w:pPr>
        <w:pStyle w:val="Heading3"/>
        <w:jc w:val="left"/>
      </w:pPr>
      <w:r>
        <w:rPr>
          <w:rFonts w:ascii="Liberation Serif" w:hAnsi="Liberation Serif" w:eastAsia="DejaVu Sans" w:cs="DejaVu Sans"/>
          <w:i/>
          <w:iCs/>
          <w:sz w:val="24"/>
          <w:szCs w:val="24"/>
        </w:rPr>
        <w:t>İç Geçerlilik</w:t>
      </w:r>
    </w:p>
    <w:p w14:paraId="1EE8A409">
      <w:pPr>
        <w:pStyle w:val="BodyText"/>
        <w:jc w:val="both"/>
      </w:pPr>
      <w:r>
        <w:rPr>
          <w:rFonts w:ascii="Times New Roman;serif" w:hAnsi="Times New Roman;serif" w:eastAsia="Times New Roman;serif" w:cs="Times New Roman;serif"/>
          <w:sz w:val="24"/>
          <w:szCs w:val="24"/>
        </w:rPr>
        <w:t xml:space="preserve">Deney altyapısı bizim tarafımızdan yazılmıştır ve kendi hatalarını ölçümlere taşıyabilir. Nitekim ilk koşularda, imaj etiketini son iki nokta işaretinden ayıran ölçüm kodu, </w:t>
      </w:r>
      <w:r>
        <w:rPr>
          <w:rStyle w:val="KaynakMetin"/>
          <w:rFonts w:ascii="Courier New;monospace" w:hAnsi="Courier New;monospace" w:eastAsia="Courier New;monospace" w:cs="Courier New;monospace"/>
          <w:sz w:val="20"/>
          <w:szCs w:val="20"/>
        </w:rPr>
        <w:t>${VAR:-default}</w:t>
      </w:r>
      <w:r>
        <w:rPr>
          <w:rFonts w:ascii="Times New Roman;serif" w:hAnsi="Times New Roman;serif" w:eastAsia="Times New Roman;serif" w:cs="Times New Roman;serif"/>
          <w:sz w:val="24"/>
          <w:szCs w:val="24"/>
        </w:rPr>
        <w:t xml:space="preserve"> biçiminde interpolasyon içeren imaj adlarını bozmuş ve 11 dosyada kütüphaneye ait olmayan bir hata üretmişti; bu, doğrulama çıktılarında ayrı bir kategori olarak görünmüş ve düzeltilmiştir. Koruma deneylerinde kullanılan bilinmeyen ve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alanlar sentetiktir; gerçek dosyalarda bu alanların nadir olması (uzantı alanı sayısı medyanı 0) nedeniyle enjeksiyona başvurulmuştur, dolayısıyla ölçülen koruma oranı bu kalıplar için geçerlidir. Karşılaştırmadaki “naif” ham yaml-cpp kodu da bizim yazdığımız bir temsildir; gerçek projelerdeki hatalı kullanımların dağılımını temsil ettiği iddia edilmemektedir.</w:t>
      </w:r>
    </w:p>
    <w:p w14:paraId="37EF03BA">
      <w:pPr>
        <w:pStyle w:val="Heading3"/>
        <w:jc w:val="left"/>
      </w:pPr>
      <w:r>
        <w:rPr>
          <w:rFonts w:ascii="Liberation Serif" w:hAnsi="Liberation Serif" w:eastAsia="DejaVu Sans" w:cs="DejaVu Sans"/>
          <w:i/>
          <w:iCs/>
          <w:sz w:val="24"/>
          <w:szCs w:val="24"/>
        </w:rPr>
        <w:t>Dış Geçerlilik</w:t>
      </w:r>
    </w:p>
    <w:p w14:paraId="07A39E62">
      <w:pPr>
        <w:pStyle w:val="BodyText"/>
        <w:jc w:val="both"/>
      </w:pPr>
      <w:r>
        <w:rPr>
          <w:rFonts w:ascii="Times New Roman;serif" w:hAnsi="Times New Roman;serif" w:eastAsia="Times New Roman;serif" w:cs="Times New Roman;serif"/>
          <w:sz w:val="24"/>
          <w:szCs w:val="24"/>
        </w:rPr>
        <w:t>Veri Kümesi B, GitHub'daki açık kaynak projelerden toplanmış 647 dosyadan oluşur ve tüm gerçek kullanım biçimlerini temsil etmeyebilir; özel depolardaki, kurum içi üretim ortamlarındaki dosyalar farklı özellikler taşıyabilir. Korpusun küçük dosyalara eğilimli olması, aynı ekosistem üzerine yapılan daha geniş ölçekli ampirik çalışmalarla uyumludur [2, 22]. Ancak büyük dosyalar ayrı bir toplama adımıyla eklendiğinden, korpusun boyut dağılımı GitHub'daki doğal dağılımı birebir yansıtmaz. Buna rağmen 2.000 satırın üzerinde yalnızca iki dosya bulunduğundan, en büyük boyut grubuna ait performans sayıları küçük bir örnekleme dayanmaktadır. Veri Kümesi A bu boşluğu kapatmaz; amacı özellik kapsamını denetlemektir.</w:t>
      </w:r>
    </w:p>
    <w:p w14:paraId="03A1BBB7">
      <w:pPr>
        <w:pStyle w:val="Heading3"/>
        <w:jc w:val="left"/>
      </w:pPr>
      <w:r>
        <w:rPr>
          <w:rFonts w:ascii="Liberation Serif" w:hAnsi="Liberation Serif" w:eastAsia="DejaVu Sans" w:cs="DejaVu Sans"/>
          <w:i/>
          <w:iCs/>
          <w:sz w:val="24"/>
          <w:szCs w:val="24"/>
        </w:rPr>
        <w:t>Yapı Geçerliliği</w:t>
      </w:r>
    </w:p>
    <w:p w14:paraId="55B6E27A">
      <w:pPr>
        <w:pStyle w:val="BodyText"/>
        <w:jc w:val="both"/>
      </w:pPr>
      <w:r>
        <w:rPr>
          <w:rFonts w:ascii="Times New Roman;serif" w:hAnsi="Times New Roman;serif" w:eastAsia="Times New Roman;serif" w:cs="Times New Roman;serif"/>
          <w:sz w:val="24"/>
          <w:szCs w:val="24"/>
        </w:rPr>
        <w:t xml:space="preserve">Değişen satır sayısı, kullanıcının algıladığı koruma kalitesini tam olarak temsil etmez: aynı sayıda satır değişikliği, bir dosyada zararsız bir yeniden girintileme, başka bir dosyada anlam değiştiren bir düzenleme olabilir. Bu riski azaltmak için metinsel ölçümleri iki bağımsız anlamsal oracle ile birlikte raporladık: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ve PyYAML ile yeniden yükleme. Tip değişimi ölçümünde PyYAML'ın YAML 1.1 çözümleme kuralları bir vekil olarak kullanılmıştır; Docker'ın kullandığı go-yaml bazı biçimleri farklı çözümlediğinden, PyYAML'a göre tip değiştiren her değer Docker tarafından reddedilmez. Bu ayrım tablolarımızda ayrı sütunlarla verilmiştir.</w:t>
      </w:r>
    </w:p>
    <w:p w14:paraId="2CC57FC9">
      <w:pPr>
        <w:pStyle w:val="Heading3"/>
        <w:jc w:val="left"/>
      </w:pPr>
      <w:r>
        <w:rPr>
          <w:rFonts w:ascii="Liberation Serif" w:hAnsi="Liberation Serif" w:eastAsia="DejaVu Sans" w:cs="DejaVu Sans"/>
          <w:i/>
          <w:iCs/>
          <w:sz w:val="24"/>
          <w:szCs w:val="24"/>
        </w:rPr>
        <w:t>Sürüm Geçerliliği</w:t>
      </w:r>
    </w:p>
    <w:p w14:paraId="189E8B73">
      <w:pPr>
        <w:pStyle w:val="BodyText"/>
        <w:jc w:val="both"/>
      </w:pPr>
      <w:r>
        <w:rPr>
          <w:rFonts w:ascii="Times New Roman;serif" w:hAnsi="Times New Roman;serif" w:eastAsia="Times New Roman;serif" w:cs="Times New Roman;serif"/>
          <w:sz w:val="24"/>
          <w:szCs w:val="24"/>
        </w:rPr>
        <w:t xml:space="preserve">Sonuçlar belirli sürümlere bağlıdır: yaml-cpp 0.8.0, Docker Compose 2.26.1, GCC 14.2.0 ve ölçüm tarihindeki Compose Specification. Hem spesifikasyon hem de </w:t>
      </w:r>
      <w:r>
        <w:rPr>
          <w:rStyle w:val="KaynakMetin"/>
          <w:rFonts w:ascii="Courier New;monospace" w:hAnsi="Courier New;monospace" w:eastAsia="Courier New;monospace" w:cs="Courier New;monospace"/>
          <w:sz w:val="20"/>
          <w:szCs w:val="20"/>
        </w:rPr>
        <w:t>docker compose</w:t>
      </w:r>
      <w:r>
        <w:rPr>
          <w:rFonts w:ascii="Times New Roman;serif" w:hAnsi="Times New Roman;serif" w:eastAsia="Times New Roman;serif" w:cs="Times New Roman;serif"/>
          <w:sz w:val="24"/>
          <w:szCs w:val="24"/>
        </w:rPr>
        <w:t xml:space="preserve"> uygulaması zamanla değişmektedir; örneğin şemanın </w:t>
      </w:r>
      <w:r>
        <w:rPr>
          <w:rStyle w:val="KaynakMetin"/>
          <w:rFonts w:ascii="Courier New;monospace" w:hAnsi="Courier New;monospace" w:eastAsia="Courier New;monospace" w:cs="Courier New;monospace"/>
          <w:sz w:val="20"/>
          <w:szCs w:val="20"/>
        </w:rPr>
        <w:t>version</w:t>
      </w:r>
      <w:r>
        <w:rPr>
          <w:rFonts w:ascii="Times New Roman;serif" w:hAnsi="Times New Roman;serif" w:eastAsia="Times New Roman;serif" w:cs="Times New Roman;serif"/>
          <w:sz w:val="24"/>
          <w:szCs w:val="24"/>
        </w:rPr>
        <w:t xml:space="preserve"> alanına ilişkin katılığı değişirse, bulgulardaki (Bölüm VIII) temel çizgi oranları da değişir. Aynı biçimde, yaml-cpp ileride tırnak bilgisini serileştirmede kullanmaya başlarsa temel çizgi ile ComposeMorph arasındaki fark kapanacaktır. Tüm deneyler tek komutla yeniden koşulabildiği için bu sayılar yeni sürümlerde güncellenebilir.</w:t>
      </w:r>
    </w:p>
    <w:p w14:paraId="2A57B67A">
      <w:pPr>
        <w:pStyle w:val="Heading2"/>
        <w:jc w:val="left"/>
      </w:pPr>
      <w:r>
        <w:rPr>
          <w:rFonts w:ascii="Liberation Serif" w:hAnsi="Liberation Serif" w:eastAsia="DejaVu Sans" w:cs="DejaVu Sans"/>
          <w:b/>
          <w:bCs/>
          <w:sz w:val="24"/>
          <w:szCs w:val="24"/>
        </w:rPr>
        <w:t>XI. KISITLAMALAR</w:t>
      </w:r>
    </w:p>
    <w:p w14:paraId="09A7E20F">
      <w:pPr>
        <w:pStyle w:val="BodyText"/>
        <w:jc w:val="both"/>
      </w:pPr>
      <w:r>
        <w:rPr>
          <w:rFonts w:ascii="Times New Roman;serif" w:hAnsi="Times New Roman;serif" w:eastAsia="Times New Roman;serif" w:cs="Times New Roman;serif"/>
          <w:sz w:val="24"/>
          <w:szCs w:val="24"/>
        </w:rPr>
        <w:t>Aşağıdaki sınırlar ölçülmüş ve gizlenmemiştir.</w:t>
      </w:r>
    </w:p>
    <w:p w14:paraId="165589ED">
      <w:pPr>
        <w:pStyle w:val="BodyText"/>
        <w:numPr>
          <w:ilvl w:val="0"/>
          <w:numId w:val="4"/>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Yorum satırları korunmaz.</w:t>
      </w:r>
      <w:r>
        <w:rPr>
          <w:rFonts w:ascii="Times New Roman;serif" w:hAnsi="Times New Roman;serif" w:eastAsia="Times New Roman;serif" w:cs="Times New Roman;serif"/>
          <w:sz w:val="24"/>
          <w:szCs w:val="24"/>
        </w:rPr>
        <w:t xml:space="preserve"> Yorumlar yaml-cpp'nin ayrıştırıcısında veri modeline hiç taşınmadığı için çıktıda bulunmaz. Bu, kütüphanenin düzeltebileceği bir davranış değildir; altta yatan kütüphanede yorum koruma talebi 2015'ten beri açıktır [8].</w:t>
      </w:r>
    </w:p>
    <w:p w14:paraId="2257A7C5">
      <w:pPr>
        <w:pStyle w:val="BodyText"/>
        <w:numPr>
          <w:ilvl w:val="0"/>
          <w:numId w:val="4"/>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Round-trip bayt düzeyinde özdeş değildir.</w:t>
      </w:r>
      <w:r>
        <w:rPr>
          <w:rFonts w:ascii="Times New Roman;serif" w:hAnsi="Times New Roman;serif" w:eastAsia="Times New Roman;serif" w:cs="Times New Roman;serif"/>
          <w:sz w:val="24"/>
          <w:szCs w:val="24"/>
        </w:rPr>
        <w:t xml:space="preserve"> Boş satırlar ve girinti tercihleri korunmaz, tek tırnak çift tırnağa dönüşür; dosyaların yalnızca %4,0'ü değişiklik yapılmadan kaydedildiğinde özdeş kalır. Değerlerin YAML tipleri ise korunur.</w:t>
      </w:r>
    </w:p>
    <w:p w14:paraId="07679412">
      <w:pPr>
        <w:pStyle w:val="BodyText"/>
        <w:numPr>
          <w:ilvl w:val="0"/>
          <w:numId w:val="4"/>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Blok skaler stili kaybolur.</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&gt;</w:t>
      </w:r>
      <w:r>
        <w:rPr>
          <w:rFonts w:ascii="Times New Roman;serif" w:hAnsi="Times New Roman;serif" w:eastAsia="Times New Roman;serif" w:cs="Times New Roman;serif"/>
          <w:sz w:val="24"/>
          <w:szCs w:val="24"/>
        </w:rPr>
        <w:t xml:space="preserve"> ile yazılmış çok satırlı değerlerin içeriği korunur, ancak kaçış dizileri içeren tek satırlık çift tırnaklı string olarak yazılır. Bu, çok satırlı </w:t>
      </w:r>
      <w:r>
        <w:rPr>
          <w:rStyle w:val="KaynakMetin"/>
          <w:rFonts w:ascii="Courier New;monospace" w:hAnsi="Courier New;monospace" w:eastAsia="Courier New;monospace" w:cs="Courier New;monospace"/>
          <w:sz w:val="20"/>
          <w:szCs w:val="20"/>
        </w:rPr>
        <w:t>command</w:t>
      </w:r>
      <w:r>
        <w:rPr>
          <w:rFonts w:ascii="Times New Roman;serif" w:hAnsi="Times New Roman;serif" w:eastAsia="Times New Roman;serif" w:cs="Times New Roman;serif"/>
          <w:sz w:val="24"/>
          <w:szCs w:val="24"/>
        </w:rPr>
        <w:t xml:space="preserve"> veya sağlık kontrolü betiklerinin okunabilirliğini düşürür; Veri Kümesi B'deki dosyaların %8,5'i (55/647) blok skaler içermektedir.</w:t>
      </w:r>
    </w:p>
    <w:p w14:paraId="528157DA">
      <w:pPr>
        <w:pStyle w:val="BodyText"/>
        <w:numPr>
          <w:ilvl w:val="0"/>
          <w:numId w:val="4"/>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Anchor adları kaybolur.</w:t>
      </w:r>
      <w:r>
        <w:rPr>
          <w:rFonts w:ascii="Times New Roman;serif" w:hAnsi="Times New Roman;serif" w:eastAsia="Times New Roman;serif" w:cs="Times New Roman;serif"/>
          <w:sz w:val="24"/>
          <w:szCs w:val="24"/>
        </w:rPr>
        <w:t xml:space="preserve"> Anchor/alias ve birleştirme anahtarı yapıları genişletilmeden korunur, fakat adlar ayrıştırıcıda saklanmadığı için çıktıda </w:t>
      </w:r>
      <w:r>
        <w:rPr>
          <w:rStyle w:val="KaynakMetin"/>
          <w:rFonts w:ascii="Courier New;monospace" w:hAnsi="Courier New;monospace" w:eastAsia="Courier New;monospace" w:cs="Courier New;monospace"/>
          <w:sz w:val="20"/>
          <w:szCs w:val="20"/>
        </w:rPr>
        <w:t>&amp;1</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*1</w:t>
      </w:r>
      <w:r>
        <w:rPr>
          <w:rFonts w:ascii="Times New Roman;serif" w:hAnsi="Times New Roman;serif" w:eastAsia="Times New Roman;serif" w:cs="Times New Roman;serif"/>
          <w:sz w:val="24"/>
          <w:szCs w:val="24"/>
        </w:rPr>
        <w:t xml:space="preserve"> biçiminde yeniden üretilir.</w:t>
      </w:r>
    </w:p>
    <w:p w14:paraId="1B3EEC9F">
      <w:pPr>
        <w:pStyle w:val="BodyText"/>
        <w:numPr>
          <w:ilvl w:val="0"/>
          <w:numId w:val="4"/>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Uzun sözdizimi desteği kısmidir.</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environment</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labels</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extra_hosts</w:t>
      </w:r>
      <w:r>
        <w:rPr>
          <w:rFonts w:ascii="Times New Roman;serif" w:hAnsi="Times New Roman;serif" w:eastAsia="Times New Roman;serif" w:cs="Times New Roman;serif"/>
          <w:sz w:val="24"/>
          <w:szCs w:val="24"/>
        </w:rPr>
        <w:t xml:space="preserve"> için hem kısa hem uzun sözdizimi desteklenir; buna karşılık </w:t>
      </w:r>
      <w:r>
        <w:rPr>
          <w:rStyle w:val="KaynakMetin"/>
          <w:rFonts w:ascii="Courier New;monospace" w:hAnsi="Courier New;monospace" w:eastAsia="Courier New;monospace" w:cs="Courier New;monospace"/>
          <w:sz w:val="20"/>
          <w:szCs w:val="20"/>
        </w:rPr>
        <w:t>Ports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Volumes</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Networks</w:t>
      </w:r>
      <w:r>
        <w:rPr>
          <w:rFonts w:ascii="Times New Roman;serif" w:hAnsi="Times New Roman;serif" w:eastAsia="Times New Roman;serif" w:cs="Times New Roman;serif"/>
          <w:sz w:val="24"/>
          <w:szCs w:val="24"/>
        </w:rPr>
        <w:t xml:space="preserve"> yardımcıları liste elemanlarının string olduğunu varsayar. Eşleme biçiminde yazılmış </w:t>
      </w:r>
      <w:r>
        <w:rPr>
          <w:rStyle w:val="KaynakMetin"/>
          <w:rFonts w:ascii="Courier New;monospace" w:hAnsi="Courier New;monospace" w:eastAsia="Courier New;monospace" w:cs="Courier New;monospace"/>
          <w:sz w:val="20"/>
          <w:szCs w:val="20"/>
        </w:rPr>
        <w:t>networks</w:t>
      </w:r>
      <w:r>
        <w:rPr>
          <w:rFonts w:ascii="Times New Roman;serif" w:hAnsi="Times New Roman;serif" w:eastAsia="Times New Roman;serif" w:cs="Times New Roman;serif"/>
          <w:sz w:val="24"/>
          <w:szCs w:val="24"/>
        </w:rPr>
        <w:t xml:space="preserve"> tanımlarında </w:t>
      </w:r>
      <w:r>
        <w:rPr>
          <w:rStyle w:val="KaynakMetin"/>
          <w:rFonts w:ascii="Courier New;monospace" w:hAnsi="Courier New;monospace" w:eastAsia="Courier New;monospace" w:cs="Courier New;monospace"/>
          <w:sz w:val="20"/>
          <w:szCs w:val="20"/>
        </w:rPr>
        <w:t>Networks::add</w:t>
      </w:r>
      <w:r>
        <w:rPr>
          <w:rFonts w:ascii="Times New Roman;serif" w:hAnsi="Times New Roman;serif" w:eastAsia="Times New Roman;serif" w:cs="Times New Roman;serif"/>
          <w:sz w:val="24"/>
          <w:szCs w:val="24"/>
        </w:rPr>
        <w:t xml:space="preserve"> hata verir; uzun sözdizimli </w:t>
      </w:r>
      <w:r>
        <w:rPr>
          <w:rStyle w:val="KaynakMetin"/>
          <w:rFonts w:ascii="Courier New;monospace" w:hAnsi="Courier New;monospace" w:eastAsia="Courier New;monospace" w:cs="Courier New;monospace"/>
          <w:sz w:val="20"/>
          <w:szCs w:val="20"/>
        </w:rPr>
        <w:t>ports</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volumes</w:t>
      </w:r>
      <w:r>
        <w:rPr>
          <w:rFonts w:ascii="Times New Roman;serif" w:hAnsi="Times New Roman;serif" w:eastAsia="Times New Roman;serif" w:cs="Times New Roman;serif"/>
          <w:sz w:val="24"/>
          <w:szCs w:val="24"/>
        </w:rPr>
        <w:t xml:space="preserve"> girdilerinde </w:t>
      </w:r>
      <w:r>
        <w:rPr>
          <w:rStyle w:val="KaynakMetin"/>
          <w:rFonts w:ascii="Courier New;monospace" w:hAnsi="Courier New;monospace" w:eastAsia="Courier New;monospace" w:cs="Courier New;monospace"/>
          <w:sz w:val="20"/>
          <w:szCs w:val="20"/>
        </w:rPr>
        <w:t>has</w:t>
      </w:r>
      <w:r>
        <w:rPr>
          <w:rFonts w:ascii="Times New Roman;serif" w:hAnsi="Times New Roman;serif" w:eastAsia="Times New Roman;serif" w:cs="Times New Roman;serif"/>
          <w:sz w:val="24"/>
          <w:szCs w:val="24"/>
        </w:rPr>
        <w:t>/</w:t>
      </w:r>
      <w:r>
        <w:rPr>
          <w:rStyle w:val="KaynakMetin"/>
          <w:rFonts w:ascii="Courier New;monospace" w:hAnsi="Courier New;monospace" w:eastAsia="Courier New;monospace" w:cs="Courier New;monospace"/>
          <w:sz w:val="20"/>
          <w:szCs w:val="20"/>
        </w:rPr>
        <w:t>setSource</w:t>
      </w:r>
      <w:r>
        <w:rPr>
          <w:rFonts w:ascii="Times New Roman;serif" w:hAnsi="Times New Roman;serif" w:eastAsia="Times New Roman;serif" w:cs="Times New Roman;serif"/>
          <w:sz w:val="24"/>
          <w:szCs w:val="24"/>
        </w:rPr>
        <w:t xml:space="preserve"> tip dönüşümü hatasına düşer. Deney 2'deki 32 başarısızlığın tamamı bu sınırdan kaynaklanmaktadır; aynı nedenle, volume girdilerinin tamamı uzun sözdizimli olan servisler </w:t>
      </w:r>
      <w:r>
        <w:rPr>
          <w:rStyle w:val="KaynakMetin"/>
          <w:rFonts w:ascii="Courier New;monospace" w:hAnsi="Courier New;monospace" w:eastAsia="Courier New;monospace" w:cs="Courier New;monospace"/>
          <w:sz w:val="20"/>
          <w:szCs w:val="20"/>
        </w:rPr>
        <w:t>volume-source</w:t>
      </w:r>
      <w:r>
        <w:rPr>
          <w:rFonts w:ascii="Times New Roman;serif" w:hAnsi="Times New Roman;serif" w:eastAsia="Times New Roman;serif" w:cs="Times New Roman;serif"/>
          <w:sz w:val="24"/>
          <w:szCs w:val="24"/>
        </w:rPr>
        <w:t xml:space="preserve"> deneyinin kapsamı dışında bırakılmıştır.</w:t>
      </w:r>
    </w:p>
    <w:p w14:paraId="257E0DB9">
      <w:pPr>
        <w:pStyle w:val="BodyText"/>
        <w:numPr>
          <w:ilvl w:val="0"/>
          <w:numId w:val="4"/>
        </w:numPr>
        <w:tabs>
          <w:tab w:val="clear" w:pos="709"/>
          <w:tab w:val="left" w:pos="709"/>
        </w:tabs>
        <w:spacing w:before="0" w:after="0"/>
        <w:ind w:left="709" w:hanging="283"/>
        <w:jc w:val="both"/>
      </w:pPr>
      <w:r>
        <w:rPr>
          <w:rStyle w:val="KaynakMetin"/>
          <w:rFonts w:ascii="Courier New;monospace" w:hAnsi="Courier New;monospace" w:eastAsia="Courier New;monospace" w:cs="Courier New;monospace"/>
          <w:b/>
          <w:bCs/>
          <w:sz w:val="20"/>
          <w:szCs w:val="20"/>
        </w:rPr>
        <w:t>x-</w:t>
      </w:r>
      <w:r>
        <w:rPr>
          <w:rFonts w:ascii="Times New Roman;serif" w:hAnsi="Times New Roman;serif" w:eastAsia="Times New Roman;serif" w:cs="Times New Roman;serif"/>
          <w:b/>
          <w:bCs/>
          <w:sz w:val="24"/>
          <w:szCs w:val="24"/>
        </w:rPr>
        <w:t xml:space="preserve"> öneksiz bilinmeyen alanlar şemaya aykırıdır.</w:t>
      </w:r>
      <w:r>
        <w:rPr>
          <w:rFonts w:ascii="Times New Roman;serif" w:hAnsi="Times New Roman;serif" w:eastAsia="Times New Roman;serif" w:cs="Times New Roman;serif"/>
          <w:sz w:val="24"/>
          <w:szCs w:val="24"/>
        </w:rPr>
        <w:t xml:space="preserve"> Kütüphane bu alanları eksiksiz korur, ancak Compose şeması yalnızca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önekli uzantılara izin verdiğinden dosya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tarafından reddedilir. Bu, kütüphaneden bağımsız bir spesifikasyon kısıtıdır.</w:t>
      </w:r>
    </w:p>
    <w:p w14:paraId="55794788">
      <w:pPr>
        <w:pStyle w:val="BodyText"/>
        <w:numPr>
          <w:ilvl w:val="0"/>
          <w:numId w:val="4"/>
        </w:numPr>
        <w:tabs>
          <w:tab w:val="clear" w:pos="709"/>
          <w:tab w:val="left" w:pos="709"/>
        </w:tabs>
        <w:spacing w:before="0" w:after="0"/>
        <w:ind w:left="709" w:hanging="283"/>
        <w:jc w:val="both"/>
      </w:pPr>
      <w:r>
        <w:rPr>
          <w:rFonts w:ascii="Times New Roman;serif" w:hAnsi="Times New Roman;serif" w:eastAsia="Times New Roman;serif" w:cs="Times New Roman;serif"/>
          <w:b/>
          <w:bCs/>
          <w:sz w:val="24"/>
          <w:szCs w:val="24"/>
        </w:rPr>
        <w:t>Doğrulama yüzeyseldir.</w:t>
      </w:r>
      <w:r>
        <w:rPr>
          <w:rFonts w:ascii="Times New Roman;serif" w:hAnsi="Times New Roman;serif" w:eastAsia="Times New Roman;serif" w:cs="Times New Roman;serif"/>
          <w:sz w:val="24"/>
          <w:szCs w:val="24"/>
        </w:rPr>
        <w:t xml:space="preserve"> Kütüphanenin kendi doğrulama işlevi yalnızca birkaç iş kuralını denetler; şema doğrulaması dış araca, yani </w:t>
      </w:r>
      <w:r>
        <w:rPr>
          <w:rStyle w:val="KaynakMetin"/>
          <w:rFonts w:ascii="Courier New;monospace" w:hAnsi="Courier New;monospace" w:eastAsia="Courier New;monospace" w:cs="Courier New;monospace"/>
          <w:sz w:val="20"/>
          <w:szCs w:val="20"/>
        </w:rPr>
        <w:t>docker compose config</w:t>
      </w:r>
      <w:r>
        <w:rPr>
          <w:rFonts w:ascii="Times New Roman;serif" w:hAnsi="Times New Roman;serif" w:eastAsia="Times New Roman;serif" w:cs="Times New Roman;serif"/>
          <w:sz w:val="24"/>
          <w:szCs w:val="24"/>
        </w:rPr>
        <w:t xml:space="preserve"> komutuna bırakılmıştır.</w:t>
      </w:r>
    </w:p>
    <w:p w14:paraId="2C9561FC">
      <w:pPr>
        <w:pStyle w:val="BodyText"/>
        <w:numPr>
          <w:ilvl w:val="0"/>
          <w:numId w:val="4"/>
        </w:numPr>
        <w:tabs>
          <w:tab w:val="clear" w:pos="709"/>
          <w:tab w:val="left" w:pos="709"/>
        </w:tabs>
        <w:ind w:left="709" w:hanging="283"/>
        <w:jc w:val="both"/>
      </w:pPr>
      <w:r>
        <w:rPr>
          <w:rFonts w:ascii="Times New Roman;serif" w:hAnsi="Times New Roman;serif" w:eastAsia="Times New Roman;serif" w:cs="Times New Roman;serif"/>
          <w:b/>
          <w:bCs/>
          <w:sz w:val="24"/>
          <w:szCs w:val="24"/>
        </w:rPr>
        <w:t>Platform.</w:t>
      </w:r>
      <w:r>
        <w:rPr>
          <w:rFonts w:ascii="Times New Roman;serif" w:hAnsi="Times New Roman;serif" w:eastAsia="Times New Roman;serif" w:cs="Times New Roman;serif"/>
          <w:sz w:val="24"/>
          <w:szCs w:val="24"/>
        </w:rPr>
        <w:t xml:space="preserve"> Geliştirme ve ölçümler Linux üzerinde yapılmıştır; Windows ve macOS'ta test edilmemiştir.</w:t>
      </w:r>
    </w:p>
    <w:p w14:paraId="416A38E4">
      <w:pPr>
        <w:pStyle w:val="Heading2"/>
        <w:jc w:val="left"/>
      </w:pPr>
      <w:r>
        <w:rPr>
          <w:rFonts w:ascii="Liberation Serif" w:hAnsi="Liberation Serif" w:eastAsia="DejaVu Sans" w:cs="DejaVu Sans"/>
          <w:b/>
          <w:bCs/>
          <w:sz w:val="24"/>
          <w:szCs w:val="24"/>
        </w:rPr>
        <w:t>XII. SONUÇ</w:t>
      </w:r>
    </w:p>
    <w:p w14:paraId="20D22017">
      <w:pPr>
        <w:pStyle w:val="BodyText"/>
        <w:jc w:val="both"/>
      </w:pPr>
      <w:r>
        <w:rPr>
          <w:rFonts w:ascii="Times New Roman;serif" w:hAnsi="Times New Roman;serif" w:eastAsia="Times New Roman;serif" w:cs="Times New Roman;serif"/>
          <w:sz w:val="24"/>
          <w:szCs w:val="24"/>
        </w:rPr>
        <w:t>Docker Compose dosyalarının programatik olarak değiştirilmesi, YAML sözdizimini ayrıştırmaktan ibaret değildir: dosyada aracın modellemediği alanlar, kullanıcı uzantıları, farklı sözdizimi gösterimleri ve anlam taşıyan tırnak tercihleri bulunur. Bu bildiride, bu problemi C++ tarafında ele alan ComposeMorph kütüphanesini sunduk ve çözülebilen ile çözülemeyeni 647 gerçek dünya ve 38 kontrollü Compose dosyası üzerinde yedi deneyle ölçtük.</w:t>
      </w:r>
    </w:p>
    <w:p w14:paraId="5DB49DFE">
      <w:pPr>
        <w:pStyle w:val="BodyText"/>
        <w:jc w:val="both"/>
      </w:pPr>
      <w:r>
        <w:rPr>
          <w:rFonts w:ascii="Times New Roman;serif" w:hAnsi="Times New Roman;serif" w:eastAsia="Times New Roman;serif" w:cs="Times New Roman;serif"/>
          <w:sz w:val="24"/>
          <w:szCs w:val="24"/>
        </w:rPr>
        <w:t xml:space="preserve">Sonuçlar üç noktada toplanabilir. Birincisi, düzenlemeyi düğüm ağacında yerinde yapmak, modellenmemiş alanların korunması için yeterlidir: dosyalara eklenen bilinmeyen özelliklerin ve </w:t>
      </w:r>
      <w:r>
        <w:rPr>
          <w:rStyle w:val="KaynakMetin"/>
          <w:rFonts w:ascii="Courier New;monospace" w:hAnsi="Courier New;monospace" w:eastAsia="Courier New;monospace" w:cs="Courier New;monospace"/>
          <w:sz w:val="20"/>
          <w:szCs w:val="20"/>
        </w:rPr>
        <w:t>x-*</w:t>
      </w:r>
      <w:r>
        <w:rPr>
          <w:rFonts w:ascii="Times New Roman;serif" w:hAnsi="Times New Roman;serif" w:eastAsia="Times New Roman;serif" w:cs="Times New Roman;serif"/>
          <w:sz w:val="24"/>
          <w:szCs w:val="24"/>
        </w:rPr>
        <w:t xml:space="preserve"> uzantılarının tamamı korunmuştur. İkincisi, düğüm ağacı tabanlı serileştirme sessiz bir tip değişimi kusuru barındırır; ayrıştırıcının sakladığı tırnak bilgisinin serileştirmede kullanılması bu kusuru ortadan kaldırmış ve Docker doğrulama başarısını %38,1'den %100'e çıkarmıştır; üstelik bunun bir performans bedeli yoktur. Üçüncüsü, koruma davranışı doğru yazılmış ham yaml-cpp koduyla da elde edilebilir; tipli API'nin katkısı, doğru olanı varsayılan yol hâline getirmesidir — ölçümlerimizde makul görünen ama hatalı bir ham kullanım, düzenlenen servisin diğer alanlarını hiçbir vakada koruyamamıştır.</w:t>
      </w:r>
    </w:p>
    <w:p w14:paraId="378C0DF1">
      <w:pPr>
        <w:pStyle w:val="BodyText"/>
        <w:jc w:val="both"/>
      </w:pPr>
      <w:r>
        <w:rPr>
          <w:rFonts w:ascii="Times New Roman;serif" w:hAnsi="Times New Roman;serif" w:eastAsia="Times New Roman;serif" w:cs="Times New Roman;serif"/>
          <w:sz w:val="24"/>
          <w:szCs w:val="24"/>
        </w:rPr>
        <w:t xml:space="preserve">Gelecek çalışmalar için üç yön öne çıkmaktadır. Birincisi, yorum ve boşluk korumasını da kapsayan tam CST tabanlı düzenleme; bu, diğer ekosistemlerde çözülmüş olan problemin C++ tarafındaki karşılığıdır. İkincisi, uzun sözdizimi desteğinin </w:t>
      </w:r>
      <w:r>
        <w:rPr>
          <w:rStyle w:val="KaynakMetin"/>
          <w:rFonts w:ascii="Courier New;monospace" w:hAnsi="Courier New;monospace" w:eastAsia="Courier New;monospace" w:cs="Courier New;monospace"/>
          <w:sz w:val="20"/>
          <w:szCs w:val="20"/>
        </w:rPr>
        <w:t>ports</w:t>
      </w:r>
      <w:r>
        <w:rPr>
          <w:rFonts w:ascii="Times New Roman;serif" w:hAnsi="Times New Roman;serif" w:eastAsia="Times New Roman;serif" w:cs="Times New Roman;serif"/>
          <w:sz w:val="24"/>
          <w:szCs w:val="24"/>
        </w:rPr>
        <w:t xml:space="preserve">, </w:t>
      </w:r>
      <w:r>
        <w:rPr>
          <w:rStyle w:val="KaynakMetin"/>
          <w:rFonts w:ascii="Courier New;monospace" w:hAnsi="Courier New;monospace" w:eastAsia="Courier New;monospace" w:cs="Courier New;monospace"/>
          <w:sz w:val="20"/>
          <w:szCs w:val="20"/>
        </w:rPr>
        <w:t>volumes</w:t>
      </w:r>
      <w:r>
        <w:rPr>
          <w:rFonts w:ascii="Times New Roman;serif" w:hAnsi="Times New Roman;serif" w:eastAsia="Times New Roman;serif" w:cs="Times New Roman;serif"/>
          <w:sz w:val="24"/>
          <w:szCs w:val="24"/>
        </w:rPr>
        <w:t xml:space="preserve"> ve </w:t>
      </w:r>
      <w:r>
        <w:rPr>
          <w:rStyle w:val="KaynakMetin"/>
          <w:rFonts w:ascii="Courier New;monospace" w:hAnsi="Courier New;monospace" w:eastAsia="Courier New;monospace" w:cs="Courier New;monospace"/>
          <w:sz w:val="20"/>
          <w:szCs w:val="20"/>
        </w:rPr>
        <w:t>networks</w:t>
      </w:r>
      <w:r>
        <w:rPr>
          <w:rFonts w:ascii="Times New Roman;serif" w:hAnsi="Times New Roman;serif" w:eastAsia="Times New Roman;serif" w:cs="Times New Roman;serif"/>
          <w:sz w:val="24"/>
          <w:szCs w:val="24"/>
        </w:rPr>
        <w:t xml:space="preserve"> yardımcılarına genişletilmesi ve şema farkındalıklı doğrulamanın kütüphane içine taşınması. Üçüncüsü, nesne modelinin Compose Specification ile otomatik eşitlenmesi ve aynı yaklaşımın Kubernetes manifestoları gibi diğer yapılandırma biçimlerine uygulanması.</w:t>
      </w:r>
    </w:p>
    <w:p w14:paraId="431E444C">
      <w:pPr>
        <w:pStyle w:val="Heading2"/>
        <w:jc w:val="left"/>
      </w:pPr>
      <w:r>
        <w:rPr>
          <w:rFonts w:ascii="Liberation Serif" w:hAnsi="Liberation Serif" w:eastAsia="DejaVu Sans" w:cs="DejaVu Sans"/>
          <w:b/>
          <w:bCs/>
          <w:sz w:val="24"/>
          <w:szCs w:val="24"/>
        </w:rPr>
        <w:t>KAYNAKLAR</w:t>
      </w:r>
    </w:p>
    <w:p w14:paraId="6380C86F">
      <w:pPr>
        <w:pStyle w:val="GvdeMetniref"/>
        <w:jc w:val="both"/>
      </w:pPr>
      <w:r>
        <w:rPr>
          <w:rFonts w:ascii="Times New Roman;serif" w:hAnsi="Times New Roman;serif" w:eastAsia="Times New Roman;serif" w:cs="Times New Roman;serif"/>
          <w:sz w:val="20"/>
          <w:szCs w:val="20"/>
        </w:rPr>
        <w:t xml:space="preserve">[1] “The Compose specification,” </w:t>
      </w:r>
      <w:r>
        <w:rPr>
          <w:rStyle w:val="KaynakMetin"/>
          <w:rFonts w:ascii="Courier New;monospace" w:hAnsi="Courier New;monospace" w:eastAsia="Courier New;monospace" w:cs="Courier New;monospace"/>
          <w:sz w:val="20"/>
          <w:szCs w:val="20"/>
        </w:rPr>
        <w:t>https://github.com/compose-spec/compose-spec</w:t>
      </w:r>
      <w:r>
        <w:rPr>
          <w:rFonts w:ascii="Times New Roman;serif" w:hAnsi="Times New Roman;serif" w:eastAsia="Times New Roman;serif" w:cs="Times New Roman;serif"/>
          <w:sz w:val="20"/>
          <w:szCs w:val="20"/>
        </w:rPr>
        <w:t>, 2026.</w:t>
      </w:r>
    </w:p>
    <w:p w14:paraId="234B6C05">
      <w:pPr>
        <w:pStyle w:val="GvdeMetniref"/>
        <w:jc w:val="both"/>
      </w:pPr>
      <w:r>
        <w:rPr>
          <w:rFonts w:ascii="Times New Roman;serif" w:hAnsi="Times New Roman;serif" w:eastAsia="Times New Roman;serif" w:cs="Times New Roman;serif"/>
          <w:sz w:val="20"/>
          <w:szCs w:val="20"/>
        </w:rPr>
        <w:t xml:space="preserve">[2] M. H. Ibrahim, M. Sayagh ve A. E. Hassan, “A study of how Docker Compose is used to compose multi-component systems,” </w:t>
      </w:r>
      <w:r>
        <w:rPr>
          <w:rFonts w:ascii="Times New Roman;serif" w:hAnsi="Times New Roman;serif" w:eastAsia="Times New Roman;serif" w:cs="Times New Roman;serif"/>
          <w:i/>
          <w:iCs/>
          <w:sz w:val="20"/>
          <w:szCs w:val="20"/>
        </w:rPr>
        <w:t>Empirical Software Engineering</w:t>
      </w:r>
      <w:r>
        <w:rPr>
          <w:rFonts w:ascii="Times New Roman;serif" w:hAnsi="Times New Roman;serif" w:eastAsia="Times New Roman;serif" w:cs="Times New Roman;serif"/>
          <w:sz w:val="20"/>
          <w:szCs w:val="20"/>
        </w:rPr>
        <w:t xml:space="preserve">, vol. 26, 2021. </w:t>
      </w:r>
      <w:r>
        <w:rPr>
          <w:rStyle w:val="KaynakMetin"/>
          <w:rFonts w:ascii="Courier New;monospace" w:hAnsi="Courier New;monospace" w:eastAsia="Courier New;monospace" w:cs="Courier New;monospace"/>
          <w:sz w:val="20"/>
          <w:szCs w:val="20"/>
        </w:rPr>
        <w:t>https://doi.org/10.1007/s10664-021-10025-1</w:t>
      </w:r>
    </w:p>
    <w:p w14:paraId="149D9D69">
      <w:pPr>
        <w:pStyle w:val="GvdeMetniref"/>
        <w:jc w:val="both"/>
      </w:pPr>
      <w:r>
        <w:rPr>
          <w:rFonts w:ascii="Times New Roman;serif" w:hAnsi="Times New Roman;serif" w:eastAsia="Times New Roman;serif" w:cs="Times New Roman;serif"/>
          <w:sz w:val="20"/>
          <w:szCs w:val="20"/>
        </w:rPr>
        <w:t xml:space="preserve">[3] J. Beder ve katkıda bulunanlar, “yaml-cpp: A YAML parser and emitter in C++,” </w:t>
      </w:r>
      <w:r>
        <w:rPr>
          <w:rStyle w:val="KaynakMetin"/>
          <w:rFonts w:ascii="Courier New;monospace" w:hAnsi="Courier New;monospace" w:eastAsia="Courier New;monospace" w:cs="Courier New;monospace"/>
          <w:sz w:val="20"/>
          <w:szCs w:val="20"/>
        </w:rPr>
        <w:t>https://github.com/jbeder/yaml-cpp</w:t>
      </w:r>
      <w:r>
        <w:rPr>
          <w:rFonts w:ascii="Times New Roman;serif" w:hAnsi="Times New Roman;serif" w:eastAsia="Times New Roman;serif" w:cs="Times New Roman;serif"/>
          <w:sz w:val="20"/>
          <w:szCs w:val="20"/>
        </w:rPr>
        <w:t>, 2026.</w:t>
      </w:r>
    </w:p>
    <w:p w14:paraId="75C65907">
      <w:pPr>
        <w:pStyle w:val="GvdeMetniref"/>
        <w:jc w:val="both"/>
      </w:pPr>
      <w:r>
        <w:rPr>
          <w:rFonts w:ascii="Times New Roman;serif" w:hAnsi="Times New Roman;serif" w:eastAsia="Times New Roman;serif" w:cs="Times New Roman;serif"/>
          <w:sz w:val="20"/>
          <w:szCs w:val="20"/>
        </w:rPr>
        <w:t xml:space="preserve">[4] A. van der Neut, “ruamel.yaml: YAML 1.2 loader/dumper package for Python,” </w:t>
      </w:r>
      <w:r>
        <w:rPr>
          <w:rStyle w:val="KaynakMetin"/>
          <w:rFonts w:ascii="Courier New;monospace" w:hAnsi="Courier New;monospace" w:eastAsia="Courier New;monospace" w:cs="Courier New;monospace"/>
          <w:sz w:val="20"/>
          <w:szCs w:val="20"/>
        </w:rPr>
        <w:t>https://pypi.org/project/ruamel.yaml/</w:t>
      </w:r>
      <w:r>
        <w:rPr>
          <w:rFonts w:ascii="Times New Roman;serif" w:hAnsi="Times New Roman;serif" w:eastAsia="Times New Roman;serif" w:cs="Times New Roman;serif"/>
          <w:sz w:val="20"/>
          <w:szCs w:val="20"/>
        </w:rPr>
        <w:t>, 2026.</w:t>
      </w:r>
    </w:p>
    <w:p w14:paraId="6972E20F">
      <w:pPr>
        <w:pStyle w:val="GvdeMetniref"/>
        <w:jc w:val="both"/>
      </w:pPr>
      <w:r>
        <w:rPr>
          <w:rFonts w:ascii="Times New Roman;serif" w:hAnsi="Times New Roman;serif" w:eastAsia="Times New Roman;serif" w:cs="Times New Roman;serif"/>
          <w:sz w:val="20"/>
          <w:szCs w:val="20"/>
        </w:rPr>
        <w:t xml:space="preserve">[5] E. Aro, “yaml: YAML parser and serialiser for JavaScript,” </w:t>
      </w:r>
      <w:r>
        <w:rPr>
          <w:rStyle w:val="KaynakMetin"/>
          <w:rFonts w:ascii="Courier New;monospace" w:hAnsi="Courier New;monospace" w:eastAsia="Courier New;monospace" w:cs="Courier New;monospace"/>
          <w:sz w:val="20"/>
          <w:szCs w:val="20"/>
        </w:rPr>
        <w:t>https://github.com/eemeli/yaml</w:t>
      </w:r>
      <w:r>
        <w:rPr>
          <w:rFonts w:ascii="Times New Roman;serif" w:hAnsi="Times New Roman;serif" w:eastAsia="Times New Roman;serif" w:cs="Times New Roman;serif"/>
          <w:sz w:val="20"/>
          <w:szCs w:val="20"/>
        </w:rPr>
        <w:t>, 2026.</w:t>
      </w:r>
    </w:p>
    <w:p w14:paraId="626EF2AD">
      <w:pPr>
        <w:pStyle w:val="GvdeMetniref"/>
        <w:jc w:val="both"/>
      </w:pPr>
      <w:r>
        <w:rPr>
          <w:rFonts w:ascii="Times New Roman;serif" w:hAnsi="Times New Roman;serif" w:eastAsia="Times New Roman;serif" w:cs="Times New Roman;serif"/>
          <w:sz w:val="20"/>
          <w:szCs w:val="20"/>
        </w:rPr>
        <w:t xml:space="preserve">[6] “compose-go: Reference library for parsing and loading Compose YAML files,” </w:t>
      </w:r>
      <w:r>
        <w:rPr>
          <w:rStyle w:val="KaynakMetin"/>
          <w:rFonts w:ascii="Courier New;monospace" w:hAnsi="Courier New;monospace" w:eastAsia="Courier New;monospace" w:cs="Courier New;monospace"/>
          <w:sz w:val="20"/>
          <w:szCs w:val="20"/>
        </w:rPr>
        <w:t>https://github.com/compose-spec/compose-go</w:t>
      </w:r>
      <w:r>
        <w:rPr>
          <w:rFonts w:ascii="Times New Roman;serif" w:hAnsi="Times New Roman;serif" w:eastAsia="Times New Roman;serif" w:cs="Times New Roman;serif"/>
          <w:sz w:val="20"/>
          <w:szCs w:val="20"/>
        </w:rPr>
        <w:t>, 2026.</w:t>
      </w:r>
    </w:p>
    <w:p w14:paraId="4F29755C">
      <w:pPr>
        <w:pStyle w:val="GvdeMetniref"/>
        <w:jc w:val="both"/>
      </w:pPr>
      <w:r>
        <w:rPr>
          <w:rFonts w:ascii="Times New Roman;serif" w:hAnsi="Times New Roman;serif" w:eastAsia="Times New Roman;serif" w:cs="Times New Roman;serif"/>
          <w:sz w:val="20"/>
          <w:szCs w:val="20"/>
        </w:rPr>
        <w:t xml:space="preserve">[7] “kyaml: YAML processing for Kubernetes resource configuration,” </w:t>
      </w:r>
      <w:r>
        <w:rPr>
          <w:rStyle w:val="KaynakMetin"/>
          <w:rFonts w:ascii="Courier New;monospace" w:hAnsi="Courier New;monospace" w:eastAsia="Courier New;monospace" w:cs="Courier New;monospace"/>
          <w:sz w:val="20"/>
          <w:szCs w:val="20"/>
        </w:rPr>
        <w:t>https://pkg.go.dev/sigs.k8s.io/kustomize/kyaml</w:t>
      </w:r>
      <w:r>
        <w:rPr>
          <w:rFonts w:ascii="Times New Roman;serif" w:hAnsi="Times New Roman;serif" w:eastAsia="Times New Roman;serif" w:cs="Times New Roman;serif"/>
          <w:sz w:val="20"/>
          <w:szCs w:val="20"/>
        </w:rPr>
        <w:t>, 2026.</w:t>
      </w:r>
    </w:p>
    <w:p w14:paraId="780F20F5">
      <w:pPr>
        <w:pStyle w:val="GvdeMetniref"/>
        <w:jc w:val="both"/>
      </w:pPr>
      <w:r>
        <w:rPr>
          <w:rFonts w:ascii="Times New Roman;serif" w:hAnsi="Times New Roman;serif" w:eastAsia="Times New Roman;serif" w:cs="Times New Roman;serif"/>
          <w:sz w:val="20"/>
          <w:szCs w:val="20"/>
        </w:rPr>
        <w:t xml:space="preserve">[8] “option to not eat comments (#154),” </w:t>
      </w:r>
      <w:r>
        <w:rPr>
          <w:rStyle w:val="KaynakMetin"/>
          <w:rFonts w:ascii="Courier New;monospace" w:hAnsi="Courier New;monospace" w:eastAsia="Courier New;monospace" w:cs="Courier New;monospace"/>
          <w:sz w:val="20"/>
          <w:szCs w:val="20"/>
        </w:rPr>
        <w:t>https://github.com/jbeder/yaml-cpp/issues/154</w:t>
      </w:r>
      <w:r>
        <w:rPr>
          <w:rFonts w:ascii="Times New Roman;serif" w:hAnsi="Times New Roman;serif" w:eastAsia="Times New Roman;serif" w:cs="Times New Roman;serif"/>
          <w:sz w:val="20"/>
          <w:szCs w:val="20"/>
        </w:rPr>
        <w:t>, yaml-cpp hata kayıt sistemi, 2015.</w:t>
      </w:r>
    </w:p>
    <w:p w14:paraId="2F3CF212">
      <w:pPr>
        <w:pStyle w:val="GvdeMetniref"/>
        <w:jc w:val="both"/>
      </w:pPr>
      <w:r>
        <w:rPr>
          <w:rFonts w:ascii="Times New Roman;serif" w:hAnsi="Times New Roman;serif" w:eastAsia="Times New Roman;serif" w:cs="Times New Roman;serif"/>
          <w:sz w:val="20"/>
          <w:szCs w:val="20"/>
        </w:rPr>
        <w:t xml:space="preserve">[9] “Preserve comments after parsing and re-emit them (#457),” </w:t>
      </w:r>
      <w:r>
        <w:rPr>
          <w:rStyle w:val="KaynakMetin"/>
          <w:rFonts w:ascii="Courier New;monospace" w:hAnsi="Courier New;monospace" w:eastAsia="Courier New;monospace" w:cs="Courier New;monospace"/>
          <w:sz w:val="20"/>
          <w:szCs w:val="20"/>
        </w:rPr>
        <w:t>https://github.com/jbeder/yaml-cpp/issues/457</w:t>
      </w:r>
      <w:r>
        <w:rPr>
          <w:rFonts w:ascii="Times New Roman;serif" w:hAnsi="Times New Roman;serif" w:eastAsia="Times New Roman;serif" w:cs="Times New Roman;serif"/>
          <w:sz w:val="20"/>
          <w:szCs w:val="20"/>
        </w:rPr>
        <w:t>, yaml-cpp hata kayıt sistemi, 2026.</w:t>
      </w:r>
    </w:p>
    <w:p w14:paraId="77FD0580">
      <w:pPr>
        <w:pStyle w:val="GvdeMetniref"/>
        <w:jc w:val="both"/>
      </w:pPr>
      <w:r>
        <w:rPr>
          <w:rFonts w:ascii="Times New Roman;serif" w:hAnsi="Times New Roman;serif" w:eastAsia="Times New Roman;serif" w:cs="Times New Roman;serif"/>
          <w:sz w:val="20"/>
          <w:szCs w:val="20"/>
        </w:rPr>
        <w:t xml:space="preserve">[10] “libyaml: A C library for parsing and emitting YAML,” </w:t>
      </w:r>
      <w:r>
        <w:rPr>
          <w:rStyle w:val="KaynakMetin"/>
          <w:rFonts w:ascii="Courier New;monospace" w:hAnsi="Courier New;monospace" w:eastAsia="Courier New;monospace" w:cs="Courier New;monospace"/>
          <w:sz w:val="20"/>
          <w:szCs w:val="20"/>
        </w:rPr>
        <w:t>https://github.com/yaml/libyaml</w:t>
      </w:r>
      <w:r>
        <w:rPr>
          <w:rFonts w:ascii="Times New Roman;serif" w:hAnsi="Times New Roman;serif" w:eastAsia="Times New Roman;serif" w:cs="Times New Roman;serif"/>
          <w:sz w:val="20"/>
          <w:szCs w:val="20"/>
        </w:rPr>
        <w:t>, 2026.</w:t>
      </w:r>
    </w:p>
    <w:p w14:paraId="4BF624F8">
      <w:pPr>
        <w:pStyle w:val="GvdeMetniref"/>
        <w:jc w:val="both"/>
      </w:pPr>
      <w:r>
        <w:rPr>
          <w:rFonts w:ascii="Times New Roman;serif" w:hAnsi="Times New Roman;serif" w:eastAsia="Times New Roman;serif" w:cs="Times New Roman;serif"/>
          <w:sz w:val="20"/>
          <w:szCs w:val="20"/>
        </w:rPr>
        <w:t xml:space="preserve">[11] “Support for emitting and parsing comments (#42),” </w:t>
      </w:r>
      <w:r>
        <w:rPr>
          <w:rStyle w:val="KaynakMetin"/>
          <w:rFonts w:ascii="Courier New;monospace" w:hAnsi="Courier New;monospace" w:eastAsia="Courier New;monospace" w:cs="Courier New;monospace"/>
          <w:sz w:val="20"/>
          <w:szCs w:val="20"/>
        </w:rPr>
        <w:t>https://github.com/yaml/libyaml/issues/42</w:t>
      </w:r>
      <w:r>
        <w:rPr>
          <w:rFonts w:ascii="Times New Roman;serif" w:hAnsi="Times New Roman;serif" w:eastAsia="Times New Roman;serif" w:cs="Times New Roman;serif"/>
          <w:sz w:val="20"/>
          <w:szCs w:val="20"/>
        </w:rPr>
        <w:t>, libyaml hata kayıt sistemi, 2016.</w:t>
      </w:r>
    </w:p>
    <w:p w14:paraId="3743CDC9">
      <w:pPr>
        <w:pStyle w:val="GvdeMetniref"/>
        <w:jc w:val="both"/>
      </w:pPr>
      <w:r>
        <w:rPr>
          <w:rFonts w:ascii="Times New Roman;serif" w:hAnsi="Times New Roman;serif" w:eastAsia="Times New Roman;serif" w:cs="Times New Roman;serif"/>
          <w:sz w:val="20"/>
          <w:szCs w:val="20"/>
        </w:rPr>
        <w:t xml:space="preserve">[12] J. P. Magalhães ve katkıda bulunanlar, “rapidyaml (ryml): A library to parse and emit YAML, fast,” </w:t>
      </w:r>
      <w:r>
        <w:rPr>
          <w:rStyle w:val="KaynakMetin"/>
          <w:rFonts w:ascii="Courier New;monospace" w:hAnsi="Courier New;monospace" w:eastAsia="Courier New;monospace" w:cs="Courier New;monospace"/>
          <w:sz w:val="20"/>
          <w:szCs w:val="20"/>
        </w:rPr>
        <w:t>https://github.com/biojppm/rapidyaml</w:t>
      </w:r>
      <w:r>
        <w:rPr>
          <w:rFonts w:ascii="Times New Roman;serif" w:hAnsi="Times New Roman;serif" w:eastAsia="Times New Roman;serif" w:cs="Times New Roman;serif"/>
          <w:sz w:val="20"/>
          <w:szCs w:val="20"/>
        </w:rPr>
        <w:t>, 2026.</w:t>
      </w:r>
    </w:p>
    <w:p w14:paraId="507DFB13">
      <w:pPr>
        <w:pStyle w:val="GvdeMetniref"/>
        <w:jc w:val="both"/>
      </w:pPr>
      <w:r>
        <w:rPr>
          <w:rFonts w:ascii="Times New Roman;serif" w:hAnsi="Times New Roman;serif" w:eastAsia="Times New Roman;serif" w:cs="Times New Roman;serif"/>
          <w:sz w:val="20"/>
          <w:szCs w:val="20"/>
        </w:rPr>
        <w:t xml:space="preserve">[13] “Preserving scalar type information when emitting (#30),” </w:t>
      </w:r>
      <w:r>
        <w:rPr>
          <w:rStyle w:val="KaynakMetin"/>
          <w:rFonts w:ascii="Courier New;monospace" w:hAnsi="Courier New;monospace" w:eastAsia="Courier New;monospace" w:cs="Courier New;monospace"/>
          <w:sz w:val="20"/>
          <w:szCs w:val="20"/>
        </w:rPr>
        <w:t>https://github.com/biojppm/rapidyaml/issues/30</w:t>
      </w:r>
      <w:r>
        <w:rPr>
          <w:rFonts w:ascii="Times New Roman;serif" w:hAnsi="Times New Roman;serif" w:eastAsia="Times New Roman;serif" w:cs="Times New Roman;serif"/>
          <w:sz w:val="20"/>
          <w:szCs w:val="20"/>
        </w:rPr>
        <w:t>, rapidyaml hata kayıt sistemi, 2020.</w:t>
      </w:r>
    </w:p>
    <w:p w14:paraId="04867617">
      <w:pPr>
        <w:pStyle w:val="GvdeMetniref"/>
        <w:jc w:val="both"/>
      </w:pPr>
      <w:r>
        <w:rPr>
          <w:rFonts w:ascii="Times New Roman;serif" w:hAnsi="Times New Roman;serif" w:eastAsia="Times New Roman;serif" w:cs="Times New Roman;serif"/>
          <w:sz w:val="20"/>
          <w:szCs w:val="20"/>
        </w:rPr>
        <w:t xml:space="preserve">[14] “fkYAML: A C++ header-only YAML library,” </w:t>
      </w:r>
      <w:r>
        <w:rPr>
          <w:rStyle w:val="KaynakMetin"/>
          <w:rFonts w:ascii="Courier New;monospace" w:hAnsi="Courier New;monospace" w:eastAsia="Courier New;monospace" w:cs="Courier New;monospace"/>
          <w:sz w:val="20"/>
          <w:szCs w:val="20"/>
        </w:rPr>
        <w:t>https://fktn-k.github.io/fkYAML/</w:t>
      </w:r>
      <w:r>
        <w:rPr>
          <w:rFonts w:ascii="Times New Roman;serif" w:hAnsi="Times New Roman;serif" w:eastAsia="Times New Roman;serif" w:cs="Times New Roman;serif"/>
          <w:sz w:val="20"/>
          <w:szCs w:val="20"/>
        </w:rPr>
        <w:t>, 2026.</w:t>
      </w:r>
    </w:p>
    <w:p w14:paraId="063557B4">
      <w:pPr>
        <w:pStyle w:val="GvdeMetniref"/>
        <w:jc w:val="both"/>
      </w:pPr>
      <w:r>
        <w:rPr>
          <w:rFonts w:ascii="Times New Roman;serif" w:hAnsi="Times New Roman;serif" w:eastAsia="Times New Roman;serif" w:cs="Times New Roman;serif"/>
          <w:sz w:val="20"/>
          <w:szCs w:val="20"/>
        </w:rPr>
        <w:t xml:space="preserve">[15] “yaml-edit: A formatting-preserving YAML editor for Rust,” </w:t>
      </w:r>
      <w:r>
        <w:rPr>
          <w:rStyle w:val="KaynakMetin"/>
          <w:rFonts w:ascii="Courier New;monospace" w:hAnsi="Courier New;monospace" w:eastAsia="Courier New;monospace" w:cs="Courier New;monospace"/>
          <w:sz w:val="20"/>
          <w:szCs w:val="20"/>
        </w:rPr>
        <w:t>https://docs.rs/yaml-edit/latest/yaml_edit/</w:t>
      </w:r>
      <w:r>
        <w:rPr>
          <w:rFonts w:ascii="Times New Roman;serif" w:hAnsi="Times New Roman;serif" w:eastAsia="Times New Roman;serif" w:cs="Times New Roman;serif"/>
          <w:sz w:val="20"/>
          <w:szCs w:val="20"/>
        </w:rPr>
        <w:t>, 2026.</w:t>
      </w:r>
    </w:p>
    <w:p w14:paraId="585CC6B0">
      <w:pPr>
        <w:pStyle w:val="GvdeMetniref"/>
        <w:jc w:val="both"/>
      </w:pPr>
      <w:r>
        <w:rPr>
          <w:rFonts w:ascii="Times New Roman;serif" w:hAnsi="Times New Roman;serif" w:eastAsia="Times New Roman;serif" w:cs="Times New Roman;serif"/>
          <w:sz w:val="20"/>
          <w:szCs w:val="20"/>
        </w:rPr>
        <w:t xml:space="preserve">[16] Instagram Engineering, “LibCST: A concrete syntax tree parser and serializer library for Python,” </w:t>
      </w:r>
      <w:r>
        <w:rPr>
          <w:rStyle w:val="KaynakMetin"/>
          <w:rFonts w:ascii="Courier New;monospace" w:hAnsi="Courier New;monospace" w:eastAsia="Courier New;monospace" w:cs="Courier New;monospace"/>
          <w:sz w:val="20"/>
          <w:szCs w:val="20"/>
        </w:rPr>
        <w:t>https://github.com/Instagram/LibCST</w:t>
      </w:r>
      <w:r>
        <w:rPr>
          <w:rFonts w:ascii="Times New Roman;serif" w:hAnsi="Times New Roman;serif" w:eastAsia="Times New Roman;serif" w:cs="Times New Roman;serif"/>
          <w:sz w:val="20"/>
          <w:szCs w:val="20"/>
        </w:rPr>
        <w:t>, 2026.</w:t>
      </w:r>
    </w:p>
    <w:p w14:paraId="08049973">
      <w:pPr>
        <w:pStyle w:val="GvdeMetniref"/>
        <w:jc w:val="both"/>
      </w:pPr>
      <w:r>
        <w:rPr>
          <w:rFonts w:ascii="Times New Roman;serif" w:hAnsi="Times New Roman;serif" w:eastAsia="Times New Roman;serif" w:cs="Times New Roman;serif"/>
          <w:sz w:val="20"/>
          <w:szCs w:val="20"/>
        </w:rPr>
        <w:t xml:space="preserve">[17] D. Quirl, “cstree: Concrete syntax tree library,” </w:t>
      </w:r>
      <w:r>
        <w:rPr>
          <w:rStyle w:val="KaynakMetin"/>
          <w:rFonts w:ascii="Courier New;monospace" w:hAnsi="Courier New;monospace" w:eastAsia="Courier New;monospace" w:cs="Courier New;monospace"/>
          <w:sz w:val="20"/>
          <w:szCs w:val="20"/>
        </w:rPr>
        <w:t>https://github.com/domenicquirl/cstree</w:t>
      </w:r>
      <w:r>
        <w:rPr>
          <w:rFonts w:ascii="Times New Roman;serif" w:hAnsi="Times New Roman;serif" w:eastAsia="Times New Roman;serif" w:cs="Times New Roman;serif"/>
          <w:sz w:val="20"/>
          <w:szCs w:val="20"/>
        </w:rPr>
        <w:t>, 2026.</w:t>
      </w:r>
    </w:p>
    <w:p w14:paraId="19875AEC">
      <w:pPr>
        <w:pStyle w:val="GvdeMetniref"/>
        <w:jc w:val="both"/>
      </w:pPr>
      <w:r>
        <w:rPr>
          <w:rFonts w:ascii="Times New Roman;serif" w:hAnsi="Times New Roman;serif" w:eastAsia="Times New Roman;serif" w:cs="Times New Roman;serif"/>
          <w:sz w:val="20"/>
          <w:szCs w:val="20"/>
        </w:rPr>
        <w:t xml:space="preserve">[18] “Preserving comments and other human-readable syntax in output yaml (#259),” </w:t>
      </w:r>
      <w:r>
        <w:rPr>
          <w:rStyle w:val="KaynakMetin"/>
          <w:rFonts w:ascii="Courier New;monospace" w:hAnsi="Courier New;monospace" w:eastAsia="Courier New;monospace" w:cs="Courier New;monospace"/>
          <w:sz w:val="20"/>
          <w:szCs w:val="20"/>
        </w:rPr>
        <w:t>https://github.com/kubernetes-sigs/kustomize/issues/259</w:t>
      </w:r>
      <w:r>
        <w:rPr>
          <w:rFonts w:ascii="Times New Roman;serif" w:hAnsi="Times New Roman;serif" w:eastAsia="Times New Roman;serif" w:cs="Times New Roman;serif"/>
          <w:sz w:val="20"/>
          <w:szCs w:val="20"/>
        </w:rPr>
        <w:t>, kustomize hata kayıt sistemi, 2026.</w:t>
      </w:r>
    </w:p>
    <w:p w14:paraId="54FE1F8A">
      <w:pPr>
        <w:pStyle w:val="GvdeMetniref"/>
        <w:jc w:val="both"/>
      </w:pPr>
      <w:r>
        <w:rPr>
          <w:rFonts w:ascii="Times New Roman;serif" w:hAnsi="Times New Roman;serif" w:eastAsia="Times New Roman;serif" w:cs="Times New Roman;serif"/>
          <w:sz w:val="20"/>
          <w:szCs w:val="20"/>
        </w:rPr>
        <w:t xml:space="preserve">[19] T. Tosi, “fishfinger: A Go docker-compose programmatic library,” </w:t>
      </w:r>
      <w:r>
        <w:rPr>
          <w:rStyle w:val="KaynakMetin"/>
          <w:rFonts w:ascii="Courier New;monospace" w:hAnsi="Courier New;monospace" w:eastAsia="Courier New;monospace" w:cs="Courier New;monospace"/>
          <w:sz w:val="20"/>
          <w:szCs w:val="20"/>
        </w:rPr>
        <w:t>https://github.com/TimTosi/fishfinger</w:t>
      </w:r>
      <w:r>
        <w:rPr>
          <w:rFonts w:ascii="Times New Roman;serif" w:hAnsi="Times New Roman;serif" w:eastAsia="Times New Roman;serif" w:cs="Times New Roman;serif"/>
          <w:sz w:val="20"/>
          <w:szCs w:val="20"/>
        </w:rPr>
        <w:t>, 2026.</w:t>
      </w:r>
    </w:p>
    <w:p w14:paraId="1CC992C1">
      <w:pPr>
        <w:pStyle w:val="GvdeMetniref"/>
        <w:jc w:val="both"/>
      </w:pPr>
      <w:r>
        <w:rPr>
          <w:rFonts w:ascii="Times New Roman;serif" w:hAnsi="Times New Roman;serif" w:eastAsia="Times New Roman;serif" w:cs="Times New Roman;serif"/>
          <w:sz w:val="20"/>
          <w:szCs w:val="20"/>
        </w:rPr>
        <w:t xml:space="preserve">[20] “compose-py: Python library for parsing and loading compose files,” </w:t>
      </w:r>
      <w:r>
        <w:rPr>
          <w:rStyle w:val="KaynakMetin"/>
          <w:rFonts w:ascii="Courier New;monospace" w:hAnsi="Courier New;monospace" w:eastAsia="Courier New;monospace" w:cs="Courier New;monospace"/>
          <w:sz w:val="20"/>
          <w:szCs w:val="20"/>
        </w:rPr>
        <w:t>https://github.com/bonprosoft/compose-py</w:t>
      </w:r>
      <w:r>
        <w:rPr>
          <w:rFonts w:ascii="Times New Roman;serif" w:hAnsi="Times New Roman;serif" w:eastAsia="Times New Roman;serif" w:cs="Times New Roman;serif"/>
          <w:sz w:val="20"/>
          <w:szCs w:val="20"/>
        </w:rPr>
        <w:t>, 2026.</w:t>
      </w:r>
    </w:p>
    <w:p w14:paraId="4543F702">
      <w:pPr>
        <w:pStyle w:val="GvdeMetniref"/>
        <w:jc w:val="both"/>
      </w:pPr>
      <w:r>
        <w:rPr>
          <w:rFonts w:ascii="Times New Roman;serif" w:hAnsi="Times New Roman;serif" w:eastAsia="Times New Roman;serif" w:cs="Times New Roman;serif"/>
          <w:sz w:val="20"/>
          <w:szCs w:val="20"/>
        </w:rPr>
        <w:t xml:space="preserve">[21] “docker-compose-yaml-parser: Parse and modify docker-compose.yaml files,” </w:t>
      </w:r>
      <w:r>
        <w:rPr>
          <w:rStyle w:val="KaynakMetin"/>
          <w:rFonts w:ascii="Courier New;monospace" w:hAnsi="Courier New;monospace" w:eastAsia="Courier New;monospace" w:cs="Courier New;monospace"/>
          <w:sz w:val="20"/>
          <w:szCs w:val="20"/>
        </w:rPr>
        <w:t>https://github.com/WisdomSky/docker-compose-yaml-parser</w:t>
      </w:r>
      <w:r>
        <w:rPr>
          <w:rFonts w:ascii="Times New Roman;serif" w:hAnsi="Times New Roman;serif" w:eastAsia="Times New Roman;serif" w:cs="Times New Roman;serif"/>
          <w:sz w:val="20"/>
          <w:szCs w:val="20"/>
        </w:rPr>
        <w:t>, 2026.</w:t>
      </w:r>
    </w:p>
    <w:p w14:paraId="6105438E">
      <w:pPr>
        <w:pStyle w:val="GvdeMetniref"/>
        <w:jc w:val="both"/>
      </w:pPr>
      <w:r>
        <w:rPr>
          <w:rFonts w:ascii="Times New Roman;serif" w:hAnsi="Times New Roman;serif" w:eastAsia="Times New Roman;serif" w:cs="Times New Roman;serif"/>
          <w:sz w:val="20"/>
          <w:szCs w:val="20"/>
        </w:rPr>
        <w:t xml:space="preserve">[22] K. Eng, A. Hindle ve E. Stroulia, “Patterns of multi-container composition for service orchestration with Docker Compose,” </w:t>
      </w:r>
      <w:r>
        <w:rPr>
          <w:rFonts w:ascii="Times New Roman;serif" w:hAnsi="Times New Roman;serif" w:eastAsia="Times New Roman;serif" w:cs="Times New Roman;serif"/>
          <w:i/>
          <w:iCs/>
          <w:sz w:val="20"/>
          <w:szCs w:val="20"/>
        </w:rPr>
        <w:t>Empirical Software Engineering</w:t>
      </w:r>
      <w:r>
        <w:rPr>
          <w:rFonts w:ascii="Times New Roman;serif" w:hAnsi="Times New Roman;serif" w:eastAsia="Times New Roman;serif" w:cs="Times New Roman;serif"/>
          <w:sz w:val="20"/>
          <w:szCs w:val="20"/>
        </w:rPr>
        <w:t xml:space="preserve">, vol. 29, no. 3, makale 65, 2024. </w:t>
      </w:r>
      <w:r>
        <w:rPr>
          <w:rStyle w:val="KaynakMetin"/>
          <w:rFonts w:ascii="Courier New;monospace" w:hAnsi="Courier New;monospace" w:eastAsia="Courier New;monospace" w:cs="Courier New;monospace"/>
          <w:sz w:val="20"/>
          <w:szCs w:val="20"/>
        </w:rPr>
        <w:t>https://doi.org/10.1007/s10664-024-10462-8</w:t>
      </w:r>
    </w:p>
    <w:p w14:paraId="758BACCF">
      <w:pPr>
        <w:pStyle w:val="GvdeMetniref"/>
        <w:spacing w:before="0" w:after="120"/>
        <w:jc w:val="both"/>
      </w:pPr>
      <w:r>
        <w:rPr>
          <w:rFonts w:ascii="Times New Roman;serif" w:hAnsi="Times New Roman;serif" w:eastAsia="Times New Roman;serif" w:cs="Times New Roman;serif"/>
          <w:sz w:val="20"/>
          <w:szCs w:val="20"/>
        </w:rPr>
        <w:t xml:space="preserve">[23] I. Predoaia, D. Kolovos, A. Garcia-Dominguez, M. Lenk, W. Ebel ve J. Burkl, “Towards processing YAML documents with model management languages,” </w:t>
      </w:r>
      <w:r>
        <w:rPr>
          <w:rFonts w:ascii="Times New Roman;serif" w:hAnsi="Times New Roman;serif" w:eastAsia="Times New Roman;serif" w:cs="Times New Roman;serif"/>
          <w:i/>
          <w:iCs/>
          <w:sz w:val="20"/>
          <w:szCs w:val="20"/>
        </w:rPr>
        <w:t>Companion Proceedings of MODELS '24</w:t>
      </w:r>
      <w:r>
        <w:rPr>
          <w:rFonts w:ascii="Times New Roman;serif" w:hAnsi="Times New Roman;serif" w:eastAsia="Times New Roman;serif" w:cs="Times New Roman;serif"/>
          <w:sz w:val="20"/>
          <w:szCs w:val="20"/>
        </w:rPr>
        <w:t xml:space="preserve"> içinde, Linz, Avusturya, 2024.</w:t>
      </w:r>
    </w:p>
    <w:sectPr>
      <w:type w:val="nextPage"/>
      <w:pgSz w:w="11906" w:h="16838"/>
      <w:pgMar w:top="567" w:right="567" w:bottom="567" w:left="1134" w:header="0" w:footer="0" w:gutter="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tr-TR"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4"/>
      <w:szCs w:val="24"/>
      <w:lang w:val="tr-TR" w:eastAsia="zh-CN" w:bidi="hi-IN"/>
    </w:rPr>
  </w:style>
  <w:style w:type="paragraph" w:styleId="Heading2">
    <w:name w:val="heading 2"/>
    <w:basedOn w:val="Balk"/>
    <w:next w:val="BodyText"/>
    <w:qFormat/>
    <w:pPr>
      <w:spacing w:before="240" w:after="120"/>
      <w:ind w:left="240" w:right="240"/>
      <w:outlineLvl w:val="1"/>
    </w:pPr>
    <w:rPr>
      <w:rFonts w:ascii="Liberation Serif" w:hAnsi="Liberation Serif" w:eastAsia="DejaVu Sans" w:cs="DejaVu Sans"/>
      <w:b/>
      <w:bCs/>
      <w:sz w:val="24"/>
      <w:szCs w:val="24"/>
    </w:rPr>
  </w:style>
  <w:style w:type="paragraph" w:styleId="Heading3">
    <w:name w:val="heading 3"/>
    <w:basedOn w:val="Balk"/>
    <w:next w:val="BodyText"/>
    <w:qFormat/>
    <w:pPr>
      <w:spacing w:before="200" w:after="80"/>
      <w:ind w:left="200" w:right="200"/>
      <w:outlineLvl w:val="2"/>
    </w:pPr>
    <w:rPr>
      <w:rFonts w:ascii="Liberation Serif" w:hAnsi="Liberation Serif" w:eastAsia="DejaVu Sans" w:cs="DejaVu Sans"/>
      <w:b w:val="false"/>
      <w:bCs w:val="false"/>
      <w:i/>
      <w:iCs/>
      <w:sz w:val="24"/>
      <w:szCs w:val="24"/>
    </w:rPr>
  </w:style>
  <w:style w:type="character" w:styleId="KaynakMetin">
    <w:name w:val="Kaynak Metin"/>
    <w:qFormat/>
    <w:rPr>
      <w:rFonts w:ascii="Courier New;monospace" w:hAnsi="Courier New;monospace" w:eastAsia="Courier New;monospace" w:cs="Courier New;monospace"/>
      <w:sz w:val="20"/>
      <w:szCs w:val="20"/>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52" w:before="0" w:after="0"/>
      <w:ind w:firstLine="284"/>
      <w:jc w:val="both"/>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Dizin">
    <w:name w:val="Dizin"/>
    <w:basedOn w:val="Normal"/>
    <w:qFormat/>
    <w:pPr>
      <w:suppressLineNumbers/>
    </w:pPr>
    <w:rPr/>
  </w:style>
  <w:style w:type="paragraph" w:styleId="GvdeMetnititle">
    <w:name w:val="Gövde Metni.title"/>
    <w:basedOn w:val="BodyText"/>
    <w:qFormat/>
    <w:pPr>
      <w:ind w:firstLine="0"/>
      <w:jc w:val="center"/>
    </w:pPr>
    <w:rPr>
      <w:sz w:val="28"/>
      <w:szCs w:val="28"/>
    </w:rPr>
  </w:style>
  <w:style w:type="paragraph" w:styleId="GvdeMetnisubtitle">
    <w:name w:val="Gövde Metni.subtitle"/>
    <w:basedOn w:val="BodyText"/>
    <w:qFormat/>
    <w:pPr>
      <w:ind w:firstLine="0"/>
      <w:jc w:val="center"/>
    </w:pPr>
    <w:rPr/>
  </w:style>
  <w:style w:type="paragraph" w:styleId="GvdeMetniauthors">
    <w:name w:val="Gövde Metni.authors"/>
    <w:basedOn w:val="BodyText"/>
    <w:qFormat/>
    <w:pPr>
      <w:ind w:firstLine="0"/>
      <w:jc w:val="center"/>
    </w:pPr>
    <w:rPr/>
  </w:style>
  <w:style w:type="paragraph" w:styleId="GvdeMetniaffil">
    <w:name w:val="Gövde Metni.affil"/>
    <w:basedOn w:val="BodyText"/>
    <w:qFormat/>
    <w:pPr>
      <w:ind w:firstLine="0"/>
      <w:jc w:val="center"/>
    </w:pPr>
    <w:rPr>
      <w:sz w:val="20"/>
      <w:szCs w:val="20"/>
    </w:rPr>
  </w:style>
  <w:style w:type="paragraph" w:styleId="GvdeMetnicaption">
    <w:name w:val="Gövde Metni.caption"/>
    <w:basedOn w:val="BodyText"/>
    <w:qFormat/>
    <w:pPr>
      <w:ind w:firstLine="0"/>
      <w:jc w:val="center"/>
    </w:pPr>
    <w:rPr>
      <w:sz w:val="20"/>
      <w:szCs w:val="20"/>
    </w:rPr>
  </w:style>
  <w:style w:type="paragraph" w:styleId="GvdeMetnifigure">
    <w:name w:val="Gövde Metni.figure"/>
    <w:basedOn w:val="BodyText"/>
    <w:qFormat/>
    <w:pPr>
      <w:ind w:firstLine="0"/>
      <w:jc w:val="center"/>
    </w:pPr>
    <w:rPr/>
  </w:style>
  <w:style w:type="paragraph" w:styleId="GvdeMetninote">
    <w:name w:val="Gövde Metni.note"/>
    <w:basedOn w:val="BodyText"/>
    <w:qFormat/>
    <w:pPr>
      <w:ind w:firstLine="0"/>
    </w:pPr>
    <w:rPr>
      <w:sz w:val="20"/>
      <w:szCs w:val="20"/>
    </w:rPr>
  </w:style>
  <w:style w:type="paragraph" w:styleId="GvdeMetniref">
    <w:name w:val="Gövde Metni.ref"/>
    <w:basedOn w:val="BodyText"/>
    <w:qFormat/>
    <w:pPr>
      <w:ind w:firstLine="0"/>
    </w:pPr>
    <w:rPr>
      <w:sz w:val="20"/>
      <w:szCs w:val="20"/>
    </w:rPr>
  </w:style>
  <w:style w:type="paragraph" w:styleId="GvdeMetninoindent">
    <w:name w:val="Gövde Metni.noindent"/>
    <w:basedOn w:val="BodyText"/>
    <w:qFormat/>
    <w:pPr>
      <w:ind w:firstLine="0"/>
    </w:pPr>
    <w:rPr/>
  </w:style>
  <w:style w:type="paragraph" w:styleId="ncedenBiimlendirilmiMetin">
    <w:name w:val="Önceden Biçimlendirilmiş Metin"/>
    <w:basedOn w:val="Normal"/>
    <w:qFormat/>
    <w:pPr>
      <w:spacing w:before="0" w:after="0"/>
    </w:pPr>
    <w:rPr>
      <w:rFonts w:ascii="Courier New;monospace" w:hAnsi="Courier New;monospace" w:eastAsia="Courier New;monospace" w:cs="Courier New;monospace"/>
      <w:sz w:val="20"/>
      <w:szCs w:val="20"/>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7"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cp:revision>0</cp:revision>
  <dc:subject/>
  <dc:title/>
  <dcterms:modified xsi:type="dcterms:W3CDTF">2026-09-15T07:31:48.694Z</dcterms:modified>
</cp:coreProperties>
</file>

<file path=docProps/custom.xml><?xml version="1.0" encoding="utf-8"?>
<Properties xmlns="http://schemas.openxmlformats.org/officeDocument/2006/custom-properties" xmlns:vt="http://schemas.openxmlformats.org/officeDocument/2006/docPropsVTypes"/>
</file>