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shd w:val="clear" w:color="auto" w:fill="00467F"/>
      </w:pPr>
      <w:r>
        <w:rPr>
          <w:rFonts w:ascii="Calibri" w:hAnsi="Calibri"/>
          <w:b/>
          <w:color w:val="FFFFFF"/>
          <w:sz w:val="48"/>
        </w:rPr>
        <w:t xml:space="preserve">  Rapid Innovation Center</w:t>
      </w:r>
    </w:p>
    <w:p>
      <w:pPr>
        <w:spacing w:before="0" w:after="0"/>
        <w:jc w:val="left"/>
        <w:shd w:val="clear" w:color="auto" w:fill="00467F"/>
      </w:pPr>
      <w:r>
        <w:rPr>
          <w:rFonts w:ascii="Calibri" w:hAnsi="Calibri"/>
          <w:b/>
          <w:color w:val="FFFFFF"/>
          <w:sz w:val="36"/>
        </w:rPr>
        <w:t xml:space="preserve">  Monthly Executive Briefing</w:t>
      </w:r>
    </w:p>
    <w:p>
      <w:pPr>
        <w:spacing w:before="0" w:after="0"/>
        <w:shd w:val="clear" w:color="auto" w:fill="0070C0"/>
      </w:pPr>
      <w:r>
        <w:t xml:space="preserve">  </w:t>
      </w:r>
    </w:p>
    <w:p>
      <w:pPr>
        <w:spacing w:before="120" w:after="320"/>
        <w:jc w:val="left"/>
      </w:pPr>
      <w:r>
        <w:rPr>
          <w:rFonts w:ascii="Calibri" w:hAnsi="Calibri"/>
          <w:i/>
          <w:color w:val="787878"/>
          <w:sz w:val="26"/>
        </w:rPr>
        <w:t>May 2026  |  Prepared for Leadership Review</w:t>
      </w:r>
    </w:p>
    <w:p>
      <w:pPr>
        <w:spacing w:before="120" w:after="80"/>
        <w:jc w:val="left"/>
        <w:pBdr>
          <w:bottom w:val="single" w:sz="4" w:space="1" w:color="00467F"/>
        </w:pBdr>
      </w:pPr>
      <w:r>
        <w:rPr>
          <w:rFonts w:ascii="Calibri" w:hAnsi="Calibri"/>
          <w:b/>
          <w:color w:val="00467F"/>
          <w:sz w:val="28"/>
        </w:rPr>
        <w:t>EXECUTIVE SUMMARY</w:t>
      </w:r>
    </w:p>
    <w:p>
      <w:pPr>
        <w:spacing w:before="0" w:after="160"/>
        <w:jc w:val="left"/>
      </w:pPr>
      <w:r>
        <w:rPr>
          <w:rFonts w:ascii="Calibri" w:hAnsi="Calibri"/>
          <w:b w:val="0"/>
          <w:i w:val="0"/>
          <w:sz w:val="22"/>
        </w:rPr>
        <w:t>The Rapid Innovation Center delivered 5 completed initiatives in the past 30 days, all tied directly to active business development pursuits and client-facing innovation. The team closed a Databricks POC series for QDAS, delivered three recompete and proposal assets for CMS MESH, SBA OIG, and the State of New Mexico, and continued advancing 14 active initiatives across Health, Defense, and Civilian verticals.</w:t>
      </w:r>
    </w:p>
    <w:p>
      <w:pPr>
        <w:spacing w:before="0" w:after="80"/>
        <w:jc w:val="left"/>
      </w:pPr>
      <w:r>
        <w:rPr>
          <w:rFonts w:ascii="Calibri" w:hAnsi="Calibri"/>
          <w:b w:val="0"/>
          <w:i w:val="0"/>
          <w:sz w:val="22"/>
        </w:rPr>
        <w:t>The RIC enters this period with strong forward momentum: 8 new initiatives launched in the last 30 days, the SHINE platform advancing through MVP milestones, the Apex agent package in deployment, and two new partnership-track epics added for Databricks and Jira knowledge integration. The pipeline is active, the team is executing, and the RIC's outputs are directly supporting eSimplicity's most competitive BD opportunities.</w:t>
      </w:r>
    </w:p>
    <w:p>
      <w:pPr>
        <w:spacing w:before="280" w:after="80"/>
        <w:jc w:val="left"/>
        <w:pBdr>
          <w:bottom w:val="single" w:sz="4" w:space="1" w:color="00467F"/>
        </w:pBdr>
      </w:pPr>
      <w:r>
        <w:rPr>
          <w:rFonts w:ascii="Calibri" w:hAnsi="Calibri"/>
          <w:b/>
          <w:color w:val="00467F"/>
          <w:sz w:val="26"/>
        </w:rPr>
        <w:t>COMPLETED INITIATIVES — LAST 30 DAYS</w:t>
      </w:r>
    </w:p>
    <w:p>
      <w:pPr>
        <w:spacing w:before="200" w:after="40"/>
      </w:pPr>
      <w:r>
        <w:rPr>
          <w:rFonts w:ascii="Calibri" w:hAnsi="Calibri"/>
          <w:b/>
          <w:color w:val="0070C0"/>
          <w:sz w:val="24"/>
        </w:rPr>
        <w:t>1.  New Mexico RFP Demo (RIC-171)</w:t>
      </w:r>
    </w:p>
    <w:p>
      <w:pPr>
        <w:spacing w:before="0" w:after="80"/>
      </w:pPr>
      <w:r>
        <w:rPr>
          <w:rFonts w:ascii="Calibri" w:hAnsi="Calibri"/>
          <w:i/>
          <w:color w:val="787878"/>
          <w:sz w:val="20"/>
        </w:rPr>
        <w:t>Completed: May 12, 2026  |  Owner: Aaron West</w:t>
      </w:r>
    </w:p>
    <w:p>
      <w:pPr>
        <w:spacing w:before="0" w:after="80"/>
        <w:jc w:val="left"/>
      </w:pPr>
      <w:r>
        <w:rPr>
          <w:rFonts w:ascii="Calibri" w:hAnsi="Calibri"/>
          <w:b w:val="0"/>
          <w:i w:val="0"/>
          <w:sz w:val="22"/>
        </w:rPr>
        <w:t>Built a live modernization demo for the State of New Mexico's water rights document management system. Demonstrated a full discovery-to-design story: AI-assisted OCR extraction and classification of scanned records, human-in-the-loop validation, structured data promotion, and downstream analytics. Positioned eSimplicity as a credible modernization partner for a complex legacy system environment.</w:t>
      </w:r>
    </w:p>
    <w:p>
      <w:pPr>
        <w:spacing w:before="80" w:after="160"/>
        <w:ind w:left="216"/>
        <w:shd w:val="clear" w:color="auto" w:fill="EBF3FB"/>
      </w:pPr>
      <w:r>
        <w:rPr>
          <w:rFonts w:ascii="Calibri" w:hAnsi="Calibri"/>
          <w:b/>
          <w:color w:val="00467F"/>
          <w:sz w:val="20"/>
        </w:rPr>
        <w:t xml:space="preserve">Value Delivered:  </w:t>
      </w:r>
      <w:r>
        <w:rPr>
          <w:rFonts w:ascii="Calibri" w:hAnsi="Calibri"/>
          <w:color w:val="000000"/>
          <w:sz w:val="20"/>
        </w:rPr>
        <w:t>Competitive positioning in an active RFP downselect. A successful outcome opens new state government work and demonstrates RIC's ability to turn a complex modernization problem into a believable, testable demo under real client scrutiny.</w:t>
      </w:r>
    </w:p>
    <w:p>
      <w:pPr>
        <w:spacing w:before="200" w:after="40"/>
      </w:pPr>
      <w:r>
        <w:rPr>
          <w:rFonts w:ascii="Calibri" w:hAnsi="Calibri"/>
          <w:b/>
          <w:color w:val="0070C0"/>
          <w:sz w:val="24"/>
        </w:rPr>
        <w:t>2.  Databricks Apps POC — Use Case 4 (RIC-329)</w:t>
      </w:r>
    </w:p>
    <w:p>
      <w:pPr>
        <w:spacing w:before="0" w:after="80"/>
      </w:pPr>
      <w:r>
        <w:rPr>
          <w:rFonts w:ascii="Calibri" w:hAnsi="Calibri"/>
          <w:i/>
          <w:color w:val="787878"/>
          <w:sz w:val="20"/>
        </w:rPr>
        <w:t>Completed: May 8, 2026  |  Owner: Matt Wartell</w:t>
      </w:r>
    </w:p>
    <w:p>
      <w:pPr>
        <w:spacing w:before="0" w:after="80"/>
        <w:jc w:val="left"/>
      </w:pPr>
      <w:r>
        <w:rPr>
          <w:rFonts w:ascii="Calibri" w:hAnsi="Calibri"/>
          <w:b w:val="0"/>
          <w:i w:val="0"/>
          <w:sz w:val="22"/>
        </w:rPr>
        <w:t>Evaluated Databricks' native "Automatic App Deployment" capabilities for non-technical QDAS data consumers. Tested Genie Code, Playground, AgentBricks, and custom app templates — examining git integration, permissions, PII/PHI spillage prevention, and accessibility for non-Databricks users. Delivered a capability demonstration and 1-page write-up on viability for productionalization.</w:t>
      </w:r>
    </w:p>
    <w:p>
      <w:pPr>
        <w:spacing w:before="80" w:after="160"/>
        <w:ind w:left="216"/>
        <w:shd w:val="clear" w:color="auto" w:fill="EBF3FB"/>
      </w:pPr>
      <w:r>
        <w:rPr>
          <w:rFonts w:ascii="Calibri" w:hAnsi="Calibri"/>
          <w:b/>
          <w:color w:val="00467F"/>
          <w:sz w:val="20"/>
        </w:rPr>
        <w:t xml:space="preserve">Value Delivered:  </w:t>
      </w:r>
      <w:r>
        <w:rPr>
          <w:rFonts w:ascii="Calibri" w:hAnsi="Calibri"/>
          <w:color w:val="000000"/>
          <w:sz w:val="20"/>
        </w:rPr>
        <w:t>Directly addresses a known gap — QDAS users who can't use Databricks directly. Proves whether a no-code/low-code app layer can extend Databricks to a wider audience, reducing data scientist bottlenecks and expanding program adoption.</w:t>
      </w:r>
    </w:p>
    <w:p>
      <w:pPr>
        <w:spacing w:before="200" w:after="40"/>
      </w:pPr>
      <w:r>
        <w:rPr>
          <w:rFonts w:ascii="Calibri" w:hAnsi="Calibri"/>
          <w:b/>
          <w:color w:val="0070C0"/>
          <w:sz w:val="24"/>
        </w:rPr>
        <w:t>3.  Databricks Apps POC — Use Case 3 (RIC-164)</w:t>
      </w:r>
    </w:p>
    <w:p>
      <w:pPr>
        <w:spacing w:before="0" w:after="80"/>
      </w:pPr>
      <w:r>
        <w:rPr>
          <w:rFonts w:ascii="Calibri" w:hAnsi="Calibri"/>
          <w:i/>
          <w:color w:val="787878"/>
          <w:sz w:val="20"/>
        </w:rPr>
        <w:t>Completed: May 1, 2026  |  Owner: Lada Semicheva</w:t>
      </w:r>
    </w:p>
    <w:p>
      <w:pPr>
        <w:spacing w:before="0" w:after="80"/>
        <w:jc w:val="left"/>
      </w:pPr>
      <w:r>
        <w:rPr>
          <w:rFonts w:ascii="Calibri" w:hAnsi="Calibri"/>
          <w:b w:val="0"/>
          <w:i w:val="0"/>
          <w:sz w:val="22"/>
        </w:rPr>
        <w:t>Validated that the CCSQ Portal system can run inside Databricks Apps, testing microservices architecture support and Databricks Lakebase for persistent storage. Documented concessions and proposed solutions. Delivered 1-page write-up on productionalization viability.</w:t>
      </w:r>
    </w:p>
    <w:p>
      <w:pPr>
        <w:spacing w:before="80" w:after="160"/>
        <w:ind w:left="216"/>
        <w:shd w:val="clear" w:color="auto" w:fill="EBF3FB"/>
      </w:pPr>
      <w:r>
        <w:rPr>
          <w:rFonts w:ascii="Calibri" w:hAnsi="Calibri"/>
          <w:b/>
          <w:color w:val="00467F"/>
          <w:sz w:val="20"/>
        </w:rPr>
        <w:t xml:space="preserve">Value Delivered:  </w:t>
      </w:r>
      <w:r>
        <w:rPr>
          <w:rFonts w:ascii="Calibri" w:hAnsi="Calibri"/>
          <w:color w:val="000000"/>
          <w:sz w:val="20"/>
        </w:rPr>
        <w:t>Validated whether Databricks Apps can support a real production-grade portal — not a toy demo. This directly informs the QDAS program's roadmap and eSimplicity's Databricks partnership investment.</w:t>
      </w:r>
    </w:p>
    <w:p>
      <w:pPr>
        <w:spacing w:before="200" w:after="40"/>
      </w:pPr>
      <w:r>
        <w:rPr>
          <w:rFonts w:ascii="Calibri" w:hAnsi="Calibri"/>
          <w:b/>
          <w:color w:val="0070C0"/>
          <w:sz w:val="24"/>
        </w:rPr>
        <w:t>4.  SBA OIG — AI Innovation for Recompete (RIC-193)</w:t>
      </w:r>
    </w:p>
    <w:p>
      <w:pPr>
        <w:spacing w:before="0" w:after="80"/>
      </w:pPr>
      <w:r>
        <w:rPr>
          <w:rFonts w:ascii="Calibri" w:hAnsi="Calibri"/>
          <w:i/>
          <w:color w:val="787878"/>
          <w:sz w:val="20"/>
        </w:rPr>
        <w:t>Completed: April 24, 2026  |  Owner: Kyle Hogan</w:t>
      </w:r>
    </w:p>
    <w:p>
      <w:pPr>
        <w:spacing w:before="0" w:after="80"/>
        <w:jc w:val="left"/>
      </w:pPr>
      <w:r>
        <w:rPr>
          <w:rFonts w:ascii="Calibri" w:hAnsi="Calibri"/>
          <w:b w:val="0"/>
          <w:i w:val="0"/>
          <w:sz w:val="22"/>
        </w:rPr>
        <w:t>Built an AI prototype agent for SBA OIG fraud investigators — responding to plain language queries about anomaly data with auditable, traceable SQL generation. Delivered demo, white paper, agent workflow, technical documentation, and full presentation package.</w:t>
      </w:r>
    </w:p>
    <w:p>
      <w:pPr>
        <w:spacing w:before="80" w:after="160"/>
        <w:ind w:left="216"/>
        <w:shd w:val="clear" w:color="auto" w:fill="EBF3FB"/>
      </w:pPr>
      <w:r>
        <w:rPr>
          <w:rFonts w:ascii="Calibri" w:hAnsi="Calibri"/>
          <w:b/>
          <w:color w:val="00467F"/>
          <w:sz w:val="20"/>
        </w:rPr>
        <w:t xml:space="preserve">Value Delivered:  </w:t>
      </w:r>
      <w:r>
        <w:rPr>
          <w:rFonts w:ascii="Calibri" w:hAnsi="Calibri"/>
          <w:color w:val="000000"/>
          <w:sz w:val="20"/>
        </w:rPr>
        <w:t>High-stakes recompete positioning. A receptive Inspector General actively bullish on AI, combined with PRAC funding appropriations, creates significant opportunity to retain the contract and attract new AI implementation funding. Positions eSimplicity ahead of OIG engineers exploring AI with limited success.</w:t>
      </w:r>
    </w:p>
    <w:p>
      <w:pPr>
        <w:spacing w:before="200" w:after="40"/>
      </w:pPr>
      <w:r>
        <w:rPr>
          <w:rFonts w:ascii="Calibri" w:hAnsi="Calibri"/>
          <w:b/>
          <w:color w:val="0070C0"/>
          <w:sz w:val="24"/>
        </w:rPr>
        <w:t>5.  CMS MESH — Salesforce/M365 Integration (RIC-205)</w:t>
      </w:r>
    </w:p>
    <w:p>
      <w:pPr>
        <w:spacing w:before="0" w:after="80"/>
      </w:pPr>
      <w:r>
        <w:rPr>
          <w:rFonts w:ascii="Calibri" w:hAnsi="Calibri"/>
          <w:i/>
          <w:color w:val="787878"/>
          <w:sz w:val="20"/>
        </w:rPr>
        <w:t>Completed: April 17, 2026  |  Owner: Kyle Hogan</w:t>
      </w:r>
    </w:p>
    <w:p>
      <w:pPr>
        <w:spacing w:before="0" w:after="80"/>
        <w:jc w:val="left"/>
      </w:pPr>
      <w:r>
        <w:rPr>
          <w:rFonts w:ascii="Calibri" w:hAnsi="Calibri"/>
          <w:b w:val="0"/>
          <w:i w:val="0"/>
          <w:sz w:val="22"/>
        </w:rPr>
        <w:t>Closed a proposal-critical capability gap by building Salesforce integrations with Microsoft Outlook and Microsoft Teams for the CMS MESH submission, mirroring the existing Slack integration pattern.</w:t>
      </w:r>
    </w:p>
    <w:p>
      <w:pPr>
        <w:spacing w:before="80" w:after="160"/>
        <w:ind w:left="216"/>
        <w:shd w:val="clear" w:color="auto" w:fill="EBF3FB"/>
      </w:pPr>
      <w:r>
        <w:rPr>
          <w:rFonts w:ascii="Calibri" w:hAnsi="Calibri"/>
          <w:b/>
          <w:color w:val="00467F"/>
          <w:sz w:val="20"/>
        </w:rPr>
        <w:t xml:space="preserve">Value Delivered:  </w:t>
      </w:r>
      <w:r>
        <w:rPr>
          <w:rFonts w:ascii="Calibri" w:hAnsi="Calibri"/>
          <w:color w:val="000000"/>
          <w:sz w:val="20"/>
        </w:rPr>
        <w:t>Table-stakes proposal capability delivered on time. Without this integration, the MESH proposal would have gone in with a demonstrated gap in M365 experience — a requirement for CMS-level work.</w:t>
      </w:r>
    </w:p>
    <w:p>
      <w:pPr>
        <w:spacing w:before="280" w:after="80"/>
        <w:jc w:val="left"/>
        <w:pBdr>
          <w:bottom w:val="single" w:sz="4" w:space="1" w:color="00467F"/>
        </w:pBdr>
      </w:pPr>
      <w:r>
        <w:rPr>
          <w:rFonts w:ascii="Calibri" w:hAnsi="Calibri"/>
          <w:b/>
          <w:color w:val="00467F"/>
          <w:sz w:val="26"/>
        </w:rPr>
        <w:t>INITIATIVES SCORECARD</w:t>
      </w:r>
    </w:p>
    <w:tbl>
      <w:tblPr>
        <w:tblStyle w:val="TableGrid"/>
        <w:tblW w:type="auto" w:w="0"/>
        <w:jc w:val="left"/>
        <w:tblLook w:firstColumn="1" w:firstRow="1" w:lastColumn="0" w:lastRow="0" w:noHBand="0" w:noVBand="1" w:val="04A0"/>
      </w:tblPr>
      <w:tblGrid>
        <w:gridCol w:w="4680"/>
        <w:gridCol w:w="4680"/>
      </w:tblGrid>
      <w:tr>
        <w:trPr>
          <w:trHeight w:val="397"/>
        </w:trPr>
        <w:tc>
          <w:tcPr>
            <w:tcW w:type="dxa" w:w="5472"/>
            <w:shd w:val="clear" w:color="auto" w:fill="00467F"/>
            <w:vAlign w:val="center"/>
          </w:tcPr>
          <w:p>
            <w:pPr>
              <w:jc w:val="left"/>
            </w:pPr>
            <w:r>
              <w:rPr>
                <w:rFonts w:ascii="Calibri" w:hAnsi="Calibri"/>
                <w:b/>
                <w:color w:val="FFFFFF"/>
                <w:sz w:val="22"/>
              </w:rPr>
              <w:t>Metric</w:t>
            </w:r>
          </w:p>
        </w:tc>
        <w:tc>
          <w:tcPr>
            <w:tcW w:type="dxa" w:w="1728"/>
            <w:shd w:val="clear" w:color="auto" w:fill="00467F"/>
            <w:vAlign w:val="center"/>
          </w:tcPr>
          <w:p>
            <w:pPr>
              <w:jc w:val="center"/>
            </w:pPr>
            <w:r>
              <w:rPr>
                <w:rFonts w:ascii="Calibri" w:hAnsi="Calibri"/>
                <w:b/>
                <w:color w:val="FFFFFF"/>
                <w:sz w:val="22"/>
              </w:rPr>
              <w:t>Count</w:t>
            </w:r>
          </w:p>
        </w:tc>
      </w:tr>
      <w:tr>
        <w:tc>
          <w:tcPr>
            <w:tcW w:type="dxa" w:w="4680"/>
            <w:shd w:val="clear" w:color="auto" w:fill="F2F2F2"/>
            <w:vAlign w:val="center"/>
          </w:tcPr>
          <w:p>
            <w:pPr>
              <w:spacing w:before="40" w:after="40"/>
              <w:jc w:val="left"/>
            </w:pPr>
            <w:r>
              <w:rPr>
                <w:rFonts w:ascii="Calibri" w:hAnsi="Calibri"/>
                <w:sz w:val="22"/>
              </w:rPr>
              <w:t>Total Initiatives (All Time)</w:t>
            </w:r>
          </w:p>
        </w:tc>
        <w:tc>
          <w:tcPr>
            <w:tcW w:type="dxa" w:w="4680"/>
            <w:shd w:val="clear" w:color="auto" w:fill="F2F2F2"/>
            <w:vAlign w:val="center"/>
          </w:tcPr>
          <w:p>
            <w:pPr>
              <w:spacing w:before="40" w:after="40"/>
              <w:jc w:val="center"/>
            </w:pPr>
            <w:r>
              <w:rPr>
                <w:rFonts w:ascii="Calibri" w:hAnsi="Calibri"/>
                <w:b/>
                <w:color w:val="00467F"/>
                <w:sz w:val="22"/>
              </w:rPr>
              <w:t>35</w:t>
            </w:r>
          </w:p>
        </w:tc>
      </w:tr>
      <w:tr>
        <w:tc>
          <w:tcPr>
            <w:tcW w:type="dxa" w:w="4680"/>
            <w:shd w:val="clear" w:color="auto" w:fill="FFFFFF"/>
            <w:vAlign w:val="center"/>
          </w:tcPr>
          <w:p>
            <w:pPr>
              <w:spacing w:before="40" w:after="40"/>
              <w:jc w:val="left"/>
            </w:pPr>
            <w:r>
              <w:rPr>
                <w:rFonts w:ascii="Calibri" w:hAnsi="Calibri"/>
                <w:sz w:val="22"/>
              </w:rPr>
              <w:t>Completed</w:t>
            </w:r>
          </w:p>
        </w:tc>
        <w:tc>
          <w:tcPr>
            <w:tcW w:type="dxa" w:w="4680"/>
            <w:shd w:val="clear" w:color="auto" w:fill="FFFFFF"/>
            <w:vAlign w:val="center"/>
          </w:tcPr>
          <w:p>
            <w:pPr>
              <w:spacing w:before="40" w:after="40"/>
              <w:jc w:val="center"/>
            </w:pPr>
            <w:r>
              <w:rPr>
                <w:rFonts w:ascii="Calibri" w:hAnsi="Calibri"/>
                <w:b/>
                <w:color w:val="00467F"/>
                <w:sz w:val="22"/>
              </w:rPr>
              <w:t>11</w:t>
            </w:r>
          </w:p>
        </w:tc>
      </w:tr>
      <w:tr>
        <w:tc>
          <w:tcPr>
            <w:tcW w:type="dxa" w:w="4680"/>
            <w:shd w:val="clear" w:color="auto" w:fill="F2F2F2"/>
            <w:vAlign w:val="center"/>
          </w:tcPr>
          <w:p>
            <w:pPr>
              <w:spacing w:before="40" w:after="40"/>
              <w:jc w:val="left"/>
            </w:pPr>
            <w:r>
              <w:rPr>
                <w:rFonts w:ascii="Calibri" w:hAnsi="Calibri"/>
                <w:sz w:val="22"/>
              </w:rPr>
              <w:t>Active (In Progress / Always On)</w:t>
            </w:r>
          </w:p>
        </w:tc>
        <w:tc>
          <w:tcPr>
            <w:tcW w:type="dxa" w:w="4680"/>
            <w:shd w:val="clear" w:color="auto" w:fill="F2F2F2"/>
            <w:vAlign w:val="center"/>
          </w:tcPr>
          <w:p>
            <w:pPr>
              <w:spacing w:before="40" w:after="40"/>
              <w:jc w:val="center"/>
            </w:pPr>
            <w:r>
              <w:rPr>
                <w:rFonts w:ascii="Calibri" w:hAnsi="Calibri"/>
                <w:b/>
                <w:color w:val="00467F"/>
                <w:sz w:val="22"/>
              </w:rPr>
              <w:t>14</w:t>
            </w:r>
          </w:p>
        </w:tc>
      </w:tr>
      <w:tr>
        <w:tc>
          <w:tcPr>
            <w:tcW w:type="dxa" w:w="4680"/>
            <w:shd w:val="clear" w:color="auto" w:fill="FFFFFF"/>
            <w:vAlign w:val="center"/>
          </w:tcPr>
          <w:p>
            <w:pPr>
              <w:spacing w:before="40" w:after="40"/>
              <w:jc w:val="left"/>
            </w:pPr>
            <w:r>
              <w:rPr>
                <w:rFonts w:ascii="Calibri" w:hAnsi="Calibri"/>
                <w:sz w:val="22"/>
              </w:rPr>
              <w:t>Discovery / Ready for Work</w:t>
            </w:r>
          </w:p>
        </w:tc>
        <w:tc>
          <w:tcPr>
            <w:tcW w:type="dxa" w:w="4680"/>
            <w:shd w:val="clear" w:color="auto" w:fill="FFFFFF"/>
            <w:vAlign w:val="center"/>
          </w:tcPr>
          <w:p>
            <w:pPr>
              <w:spacing w:before="40" w:after="40"/>
              <w:jc w:val="center"/>
            </w:pPr>
            <w:r>
              <w:rPr>
                <w:rFonts w:ascii="Calibri" w:hAnsi="Calibri"/>
                <w:b/>
                <w:color w:val="00467F"/>
                <w:sz w:val="22"/>
              </w:rPr>
              <w:t>5</w:t>
            </w:r>
          </w:p>
        </w:tc>
      </w:tr>
      <w:tr>
        <w:tc>
          <w:tcPr>
            <w:tcW w:type="dxa" w:w="4680"/>
            <w:shd w:val="clear" w:color="auto" w:fill="F2F2F2"/>
            <w:vAlign w:val="center"/>
          </w:tcPr>
          <w:p>
            <w:pPr>
              <w:spacing w:before="40" w:after="40"/>
              <w:jc w:val="left"/>
            </w:pPr>
            <w:r>
              <w:rPr>
                <w:rFonts w:ascii="Calibri" w:hAnsi="Calibri"/>
                <w:sz w:val="22"/>
              </w:rPr>
              <w:t>To Do / Backlog</w:t>
            </w:r>
          </w:p>
        </w:tc>
        <w:tc>
          <w:tcPr>
            <w:tcW w:type="dxa" w:w="4680"/>
            <w:shd w:val="clear" w:color="auto" w:fill="F2F2F2"/>
            <w:vAlign w:val="center"/>
          </w:tcPr>
          <w:p>
            <w:pPr>
              <w:spacing w:before="40" w:after="40"/>
              <w:jc w:val="center"/>
            </w:pPr>
            <w:r>
              <w:rPr>
                <w:rFonts w:ascii="Calibri" w:hAnsi="Calibri"/>
                <w:b/>
                <w:color w:val="00467F"/>
                <w:sz w:val="22"/>
              </w:rPr>
              <w:t>5</w:t>
            </w:r>
          </w:p>
        </w:tc>
      </w:tr>
      <w:tr>
        <w:tc>
          <w:tcPr>
            <w:tcW w:type="dxa" w:w="4680"/>
            <w:shd w:val="clear" w:color="auto" w:fill="FFFFFF"/>
            <w:vAlign w:val="center"/>
          </w:tcPr>
          <w:p>
            <w:pPr>
              <w:spacing w:before="40" w:after="40"/>
              <w:jc w:val="left"/>
            </w:pPr>
            <w:r>
              <w:rPr>
                <w:rFonts w:ascii="Calibri" w:hAnsi="Calibri"/>
                <w:sz w:val="22"/>
              </w:rPr>
              <w:t>Blocked</w:t>
            </w:r>
          </w:p>
        </w:tc>
        <w:tc>
          <w:tcPr>
            <w:tcW w:type="dxa" w:w="4680"/>
            <w:shd w:val="clear" w:color="auto" w:fill="FFFFFF"/>
            <w:vAlign w:val="center"/>
          </w:tcPr>
          <w:p>
            <w:pPr>
              <w:spacing w:before="40" w:after="40"/>
              <w:jc w:val="center"/>
            </w:pPr>
            <w:r>
              <w:rPr>
                <w:rFonts w:ascii="Calibri" w:hAnsi="Calibri"/>
                <w:b/>
                <w:color w:val="00467F"/>
                <w:sz w:val="22"/>
              </w:rPr>
              <w:t>1</w:t>
            </w:r>
          </w:p>
        </w:tc>
      </w:tr>
      <w:tr>
        <w:tc>
          <w:tcPr>
            <w:tcW w:type="dxa" w:w="4680"/>
            <w:shd w:val="clear" w:color="auto" w:fill="F2F2F2"/>
            <w:vAlign w:val="center"/>
          </w:tcPr>
          <w:p>
            <w:pPr>
              <w:spacing w:before="40" w:after="40"/>
              <w:jc w:val="left"/>
            </w:pPr>
            <w:r>
              <w:rPr>
                <w:rFonts w:ascii="Calibri" w:hAnsi="Calibri"/>
                <w:sz w:val="22"/>
              </w:rPr>
              <w:t>Completed in Last 30 Days</w:t>
            </w:r>
          </w:p>
        </w:tc>
        <w:tc>
          <w:tcPr>
            <w:tcW w:type="dxa" w:w="4680"/>
            <w:shd w:val="clear" w:color="auto" w:fill="F2F2F2"/>
            <w:vAlign w:val="center"/>
          </w:tcPr>
          <w:p>
            <w:pPr>
              <w:spacing w:before="40" w:after="40"/>
              <w:jc w:val="center"/>
            </w:pPr>
            <w:r>
              <w:rPr>
                <w:rFonts w:ascii="Calibri" w:hAnsi="Calibri"/>
                <w:b/>
                <w:color w:val="00467F"/>
                <w:sz w:val="22"/>
              </w:rPr>
              <w:t>5</w:t>
            </w:r>
          </w:p>
        </w:tc>
      </w:tr>
      <w:tr>
        <w:tc>
          <w:tcPr>
            <w:tcW w:type="dxa" w:w="4680"/>
            <w:shd w:val="clear" w:color="auto" w:fill="FFFFFF"/>
            <w:vAlign w:val="center"/>
          </w:tcPr>
          <w:p>
            <w:pPr>
              <w:spacing w:before="40" w:after="40"/>
              <w:jc w:val="left"/>
            </w:pPr>
            <w:r>
              <w:rPr>
                <w:rFonts w:ascii="Calibri" w:hAnsi="Calibri"/>
                <w:sz w:val="22"/>
              </w:rPr>
              <w:t>New Initiatives Started (Last 30 Days)</w:t>
            </w:r>
          </w:p>
        </w:tc>
        <w:tc>
          <w:tcPr>
            <w:tcW w:type="dxa" w:w="4680"/>
            <w:shd w:val="clear" w:color="auto" w:fill="FFFFFF"/>
            <w:vAlign w:val="center"/>
          </w:tcPr>
          <w:p>
            <w:pPr>
              <w:spacing w:before="40" w:after="40"/>
              <w:jc w:val="center"/>
            </w:pPr>
            <w:r>
              <w:rPr>
                <w:rFonts w:ascii="Calibri" w:hAnsi="Calibri"/>
                <w:b/>
                <w:color w:val="00467F"/>
                <w:sz w:val="22"/>
              </w:rPr>
              <w:t>8</w:t>
            </w:r>
          </w:p>
        </w:tc>
      </w:tr>
      <w:tr>
        <w:tc>
          <w:tcPr>
            <w:tcW w:type="dxa" w:w="4680"/>
            <w:shd w:val="clear" w:color="auto" w:fill="F2F2F2"/>
            <w:vAlign w:val="center"/>
          </w:tcPr>
          <w:p>
            <w:pPr>
              <w:spacing w:before="40" w:after="40"/>
              <w:jc w:val="left"/>
            </w:pPr>
            <w:r>
              <w:rPr>
                <w:rFonts w:ascii="Calibri" w:hAnsi="Calibri"/>
                <w:sz w:val="22"/>
              </w:rPr>
              <w:t>All-Time Completion Rate</w:t>
            </w:r>
          </w:p>
        </w:tc>
        <w:tc>
          <w:tcPr>
            <w:tcW w:type="dxa" w:w="4680"/>
            <w:shd w:val="clear" w:color="auto" w:fill="F2F2F2"/>
            <w:vAlign w:val="center"/>
          </w:tcPr>
          <w:p>
            <w:pPr>
              <w:spacing w:before="40" w:after="40"/>
              <w:jc w:val="center"/>
            </w:pPr>
            <w:r>
              <w:rPr>
                <w:rFonts w:ascii="Calibri" w:hAnsi="Calibri"/>
                <w:b/>
                <w:color w:val="00467F"/>
                <w:sz w:val="22"/>
              </w:rPr>
              <w:t>31%</w:t>
            </w:r>
          </w:p>
        </w:tc>
      </w:tr>
    </w:tbl>
    <w:p>
      <w:pPr>
        <w:spacing w:after="80"/>
      </w:pPr>
    </w:p>
    <w:p>
      <w:pPr>
        <w:spacing w:before="280" w:after="80"/>
        <w:jc w:val="left"/>
        <w:pBdr>
          <w:bottom w:val="single" w:sz="4" w:space="1" w:color="00467F"/>
        </w:pBdr>
      </w:pPr>
      <w:r>
        <w:rPr>
          <w:rFonts w:ascii="Calibri" w:hAnsi="Calibri"/>
          <w:b/>
          <w:color w:val="00467F"/>
          <w:sz w:val="26"/>
        </w:rPr>
        <w:t>ACTIVE HIGHLIGHTS</w:t>
      </w:r>
    </w:p>
    <w:p>
      <w:pPr>
        <w:spacing w:before="80" w:after="80"/>
        <w:jc w:val="left"/>
      </w:pPr>
      <w:r>
        <w:rPr>
          <w:rFonts w:ascii="Calibri" w:hAnsi="Calibri"/>
          <w:b/>
          <w:i w:val="0"/>
          <w:color w:val="00467F"/>
          <w:sz w:val="22"/>
        </w:rPr>
        <w:t>SHINE Platform</w:t>
      </w:r>
      <w:r>
        <w:rPr>
          <w:rFonts w:ascii="Calibri" w:hAnsi="Calibri"/>
          <w:b w:val="0"/>
          <w:i w:val="0"/>
          <w:sz w:val="22"/>
        </w:rPr>
        <w:t xml:space="preserve">  —  </w:t>
      </w:r>
      <w:r>
        <w:rPr>
          <w:rFonts w:ascii="Calibri" w:hAnsi="Calibri"/>
          <w:b w:val="0"/>
          <w:i w:val="0"/>
          <w:sz w:val="22"/>
        </w:rPr>
        <w:t>MVP in progress across 6 milestones. Milestones 5 (GitHub integration) and 6 (Jira integration) added this week. Milestone 1 actively in progress.</w:t>
      </w:r>
    </w:p>
    <w:p>
      <w:pPr>
        <w:spacing w:before="80" w:after="80"/>
        <w:jc w:val="left"/>
      </w:pPr>
      <w:r>
        <w:rPr>
          <w:rFonts w:ascii="Calibri" w:hAnsi="Calibri"/>
          <w:b/>
          <w:i w:val="0"/>
          <w:color w:val="00467F"/>
          <w:sz w:val="22"/>
        </w:rPr>
        <w:t>Apex Agent Package</w:t>
      </w:r>
      <w:r>
        <w:rPr>
          <w:rFonts w:ascii="Calibri" w:hAnsi="Calibri"/>
          <w:b w:val="0"/>
          <w:i w:val="0"/>
          <w:sz w:val="22"/>
        </w:rPr>
        <w:t xml:space="preserve">  —  </w:t>
      </w:r>
      <w:r>
        <w:rPr>
          <w:rFonts w:ascii="Calibri" w:hAnsi="Calibri"/>
          <w:b w:val="0"/>
          <w:i w:val="0"/>
          <w:sz w:val="22"/>
        </w:rPr>
        <w:t>Deployment support underway for T-MSIS and CIO Growth programs. Package delivery in QA.</w:t>
      </w:r>
    </w:p>
    <w:p>
      <w:pPr>
        <w:spacing w:before="80" w:after="80"/>
        <w:jc w:val="left"/>
      </w:pPr>
      <w:r>
        <w:rPr>
          <w:rFonts w:ascii="Calibri" w:hAnsi="Calibri"/>
          <w:b/>
          <w:i w:val="0"/>
          <w:color w:val="00467F"/>
          <w:sz w:val="22"/>
        </w:rPr>
        <w:t>Agent Ranker</w:t>
      </w:r>
      <w:r>
        <w:rPr>
          <w:rFonts w:ascii="Calibri" w:hAnsi="Calibri"/>
          <w:b w:val="0"/>
          <w:i w:val="0"/>
          <w:sz w:val="22"/>
        </w:rPr>
        <w:t xml:space="preserve">  —  </w:t>
      </w:r>
      <w:r>
        <w:rPr>
          <w:rFonts w:ascii="Calibri" w:hAnsi="Calibri"/>
          <w:b w:val="0"/>
          <w:i w:val="0"/>
          <w:sz w:val="22"/>
        </w:rPr>
        <w:t>Critical priority development in progress for NHLBI. Ranking criteria and evaluation metrics being defined.</w:t>
      </w:r>
    </w:p>
    <w:p>
      <w:pPr>
        <w:spacing w:before="80" w:after="80"/>
        <w:jc w:val="left"/>
      </w:pPr>
      <w:r>
        <w:rPr>
          <w:rFonts w:ascii="Calibri" w:hAnsi="Calibri"/>
          <w:b/>
          <w:i w:val="0"/>
          <w:color w:val="00467F"/>
          <w:sz w:val="22"/>
        </w:rPr>
        <w:t>Databricks Partnership Day</w:t>
      </w:r>
      <w:r>
        <w:rPr>
          <w:rFonts w:ascii="Calibri" w:hAnsi="Calibri"/>
          <w:b w:val="0"/>
          <w:i w:val="0"/>
          <w:sz w:val="22"/>
        </w:rPr>
        <w:t xml:space="preserve">  —  </w:t>
      </w:r>
      <w:r>
        <w:rPr>
          <w:rFonts w:ascii="Calibri" w:hAnsi="Calibri"/>
          <w:b w:val="0"/>
          <w:i w:val="0"/>
          <w:sz w:val="22"/>
        </w:rPr>
        <w:t>July 8, 2026 event in progress. Partnership tier advancement (Bronze to Gold) epic underway.</w:t>
      </w:r>
    </w:p>
    <w:p>
      <w:pPr>
        <w:spacing w:before="80" w:after="80"/>
        <w:jc w:val="left"/>
      </w:pPr>
      <w:r>
        <w:rPr>
          <w:rFonts w:ascii="Calibri" w:hAnsi="Calibri"/>
          <w:b/>
          <w:i w:val="0"/>
          <w:color w:val="00467F"/>
          <w:sz w:val="22"/>
        </w:rPr>
        <w:t>Growth Opportunities Dashboard</w:t>
      </w:r>
      <w:r>
        <w:rPr>
          <w:rFonts w:ascii="Calibri" w:hAnsi="Calibri"/>
          <w:b w:val="0"/>
          <w:i w:val="0"/>
          <w:sz w:val="22"/>
        </w:rPr>
        <w:t xml:space="preserve">  —  </w:t>
      </w:r>
      <w:r>
        <w:rPr>
          <w:rFonts w:ascii="Calibri" w:hAnsi="Calibri"/>
          <w:b w:val="0"/>
          <w:i w:val="0"/>
          <w:sz w:val="22"/>
        </w:rPr>
        <w:t>In progress, supporting BD pipeline visibility across all programs.</w:t>
      </w:r>
    </w:p>
    <w:p>
      <w:pPr>
        <w:spacing w:before="280" w:after="80"/>
        <w:jc w:val="left"/>
        <w:pBdr>
          <w:bottom w:val="single" w:sz="4" w:space="1" w:color="00467F"/>
        </w:pBdr>
      </w:pPr>
      <w:r>
        <w:rPr>
          <w:rFonts w:ascii="Calibri" w:hAnsi="Calibri"/>
          <w:b/>
          <w:color w:val="00467F"/>
          <w:sz w:val="26"/>
        </w:rPr>
        <w:t>THEMES THIS MONTH</w:t>
      </w:r>
    </w:p>
    <w:tbl>
      <w:tblPr>
        <w:tblStyle w:val="TableGrid"/>
        <w:tblW w:type="auto" w:w="0"/>
        <w:jc w:val="left"/>
        <w:tblLook w:firstColumn="1" w:firstRow="1" w:lastColumn="0" w:lastRow="0" w:noHBand="0" w:noVBand="1" w:val="04A0"/>
      </w:tblPr>
      <w:tblGrid>
        <w:gridCol w:w="4680"/>
        <w:gridCol w:w="4680"/>
      </w:tblGrid>
      <w:tr>
        <w:trPr>
          <w:trHeight w:val="397"/>
        </w:trPr>
        <w:tc>
          <w:tcPr>
            <w:tcW w:type="dxa" w:w="3600"/>
            <w:shd w:val="clear" w:color="auto" w:fill="00467F"/>
            <w:vAlign w:val="center"/>
          </w:tcPr>
          <w:p>
            <w:pPr>
              <w:jc w:val="left"/>
            </w:pPr>
            <w:r>
              <w:rPr>
                <w:rFonts w:ascii="Calibri" w:hAnsi="Calibri"/>
                <w:b/>
                <w:color w:val="FFFFFF"/>
                <w:sz w:val="22"/>
              </w:rPr>
              <w:t>Theme</w:t>
            </w:r>
          </w:p>
        </w:tc>
        <w:tc>
          <w:tcPr>
            <w:tcW w:type="dxa" w:w="3600"/>
            <w:shd w:val="clear" w:color="auto" w:fill="00467F"/>
            <w:vAlign w:val="center"/>
          </w:tcPr>
          <w:p>
            <w:pPr>
              <w:jc w:val="left"/>
            </w:pPr>
            <w:r>
              <w:rPr>
                <w:rFonts w:ascii="Calibri" w:hAnsi="Calibri"/>
                <w:b/>
                <w:color w:val="FFFFFF"/>
                <w:sz w:val="22"/>
              </w:rPr>
              <w:t>Initiatives</w:t>
            </w:r>
          </w:p>
        </w:tc>
      </w:tr>
      <w:tr>
        <w:tc>
          <w:tcPr>
            <w:tcW w:type="dxa" w:w="4680"/>
            <w:shd w:val="clear" w:color="auto" w:fill="F2F2F2"/>
            <w:vAlign w:val="center"/>
          </w:tcPr>
          <w:p>
            <w:pPr>
              <w:spacing w:before="40" w:after="40"/>
            </w:pPr>
            <w:r>
              <w:rPr>
                <w:rFonts w:ascii="Calibri" w:hAnsi="Calibri"/>
                <w:sz w:val="22"/>
              </w:rPr>
              <w:t>Databricks / QDAS Innovation</w:t>
            </w:r>
          </w:p>
        </w:tc>
        <w:tc>
          <w:tcPr>
            <w:tcW w:type="dxa" w:w="4680"/>
            <w:shd w:val="clear" w:color="auto" w:fill="F2F2F2"/>
            <w:vAlign w:val="center"/>
          </w:tcPr>
          <w:p>
            <w:pPr>
              <w:spacing w:before="40" w:after="40"/>
            </w:pPr>
            <w:r>
              <w:rPr>
                <w:rFonts w:ascii="Calibri" w:hAnsi="Calibri"/>
                <w:sz w:val="22"/>
              </w:rPr>
              <w:t>Use Case 3, Use Case 4</w:t>
            </w:r>
          </w:p>
        </w:tc>
      </w:tr>
      <w:tr>
        <w:tc>
          <w:tcPr>
            <w:tcW w:type="dxa" w:w="4680"/>
            <w:shd w:val="clear" w:color="auto" w:fill="FFFFFF"/>
            <w:vAlign w:val="center"/>
          </w:tcPr>
          <w:p>
            <w:pPr>
              <w:spacing w:before="40" w:after="40"/>
            </w:pPr>
            <w:r>
              <w:rPr>
                <w:rFonts w:ascii="Calibri" w:hAnsi="Calibri"/>
                <w:sz w:val="22"/>
              </w:rPr>
              <w:t>BD &amp; Proposal Support</w:t>
            </w:r>
          </w:p>
        </w:tc>
        <w:tc>
          <w:tcPr>
            <w:tcW w:type="dxa" w:w="4680"/>
            <w:shd w:val="clear" w:color="auto" w:fill="FFFFFF"/>
            <w:vAlign w:val="center"/>
          </w:tcPr>
          <w:p>
            <w:pPr>
              <w:spacing w:before="40" w:after="40"/>
            </w:pPr>
            <w:r>
              <w:rPr>
                <w:rFonts w:ascii="Calibri" w:hAnsi="Calibri"/>
                <w:sz w:val="22"/>
              </w:rPr>
              <w:t>SBA OIG, CMS MESH, New Mexico RFP</w:t>
            </w:r>
          </w:p>
        </w:tc>
      </w:tr>
      <w:tr>
        <w:tc>
          <w:tcPr>
            <w:tcW w:type="dxa" w:w="4680"/>
            <w:shd w:val="clear" w:color="auto" w:fill="F2F2F2"/>
            <w:vAlign w:val="center"/>
          </w:tcPr>
          <w:p>
            <w:pPr>
              <w:spacing w:before="40" w:after="40"/>
            </w:pPr>
            <w:r>
              <w:rPr>
                <w:rFonts w:ascii="Calibri" w:hAnsi="Calibri"/>
                <w:sz w:val="22"/>
              </w:rPr>
              <w:t>Key Client: CMS</w:t>
            </w:r>
          </w:p>
        </w:tc>
        <w:tc>
          <w:tcPr>
            <w:tcW w:type="dxa" w:w="4680"/>
            <w:shd w:val="clear" w:color="auto" w:fill="F2F2F2"/>
            <w:vAlign w:val="center"/>
          </w:tcPr>
          <w:p>
            <w:pPr>
              <w:spacing w:before="40" w:after="40"/>
            </w:pPr>
            <w:r>
              <w:rPr>
                <w:rFonts w:ascii="Calibri" w:hAnsi="Calibri"/>
                <w:sz w:val="22"/>
              </w:rPr>
              <w:t>MESH (x2)</w:t>
            </w:r>
          </w:p>
        </w:tc>
      </w:tr>
      <w:tr>
        <w:tc>
          <w:tcPr>
            <w:tcW w:type="dxa" w:w="4680"/>
            <w:shd w:val="clear" w:color="auto" w:fill="FFFFFF"/>
            <w:vAlign w:val="center"/>
          </w:tcPr>
          <w:p>
            <w:pPr>
              <w:spacing w:before="40" w:after="40"/>
            </w:pPr>
            <w:r>
              <w:rPr>
                <w:rFonts w:ascii="Calibri" w:hAnsi="Calibri"/>
                <w:sz w:val="22"/>
              </w:rPr>
              <w:t>Key Client: SBA</w:t>
            </w:r>
          </w:p>
        </w:tc>
        <w:tc>
          <w:tcPr>
            <w:tcW w:type="dxa" w:w="4680"/>
            <w:shd w:val="clear" w:color="auto" w:fill="FFFFFF"/>
            <w:vAlign w:val="center"/>
          </w:tcPr>
          <w:p>
            <w:pPr>
              <w:spacing w:before="40" w:after="40"/>
            </w:pPr>
            <w:r>
              <w:rPr>
                <w:rFonts w:ascii="Calibri" w:hAnsi="Calibri"/>
                <w:sz w:val="22"/>
              </w:rPr>
              <w:t>OIG Recompete</w:t>
            </w:r>
          </w:p>
        </w:tc>
      </w:tr>
      <w:tr>
        <w:tc>
          <w:tcPr>
            <w:tcW w:type="dxa" w:w="4680"/>
            <w:shd w:val="clear" w:color="auto" w:fill="F2F2F2"/>
            <w:vAlign w:val="center"/>
          </w:tcPr>
          <w:p>
            <w:pPr>
              <w:spacing w:before="40" w:after="40"/>
            </w:pPr>
            <w:r>
              <w:rPr>
                <w:rFonts w:ascii="Calibri" w:hAnsi="Calibri"/>
                <w:sz w:val="22"/>
              </w:rPr>
              <w:t>Key Client: State of NM</w:t>
            </w:r>
          </w:p>
        </w:tc>
        <w:tc>
          <w:tcPr>
            <w:tcW w:type="dxa" w:w="4680"/>
            <w:shd w:val="clear" w:color="auto" w:fill="F2F2F2"/>
            <w:vAlign w:val="center"/>
          </w:tcPr>
          <w:p>
            <w:pPr>
              <w:spacing w:before="40" w:after="40"/>
            </w:pPr>
            <w:r>
              <w:rPr>
                <w:rFonts w:ascii="Calibri" w:hAnsi="Calibri"/>
                <w:sz w:val="22"/>
              </w:rPr>
              <w:t>RFP Demo</w:t>
            </w:r>
          </w:p>
        </w:tc>
      </w:tr>
    </w:tbl>
    <w:p>
      <w:pPr>
        <w:spacing w:after="80"/>
      </w:pPr>
    </w:p>
    <w:p>
      <w:pPr>
        <w:pBdr>
          <w:bottom w:val="single" w:sz="8" w:space="1" w:color="00467F"/>
        </w:pBdr>
        <w:spacing w:before="0" w:after="120"/>
      </w:pPr>
    </w:p>
    <w:p>
      <w:pPr>
        <w:spacing w:before="80" w:after="0"/>
        <w:jc w:val="center"/>
      </w:pPr>
      <w:r>
        <w:rPr>
          <w:rFonts w:ascii="Calibri" w:hAnsi="Calibri"/>
          <w:i/>
          <w:color w:val="787878"/>
          <w:sz w:val="18"/>
        </w:rPr>
        <w:t>Rapid Innovation Center  |  eSimplicity  |  Confidential  |  May 13,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