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3864"/>
          <w:sz w:val="34"/>
        </w:rPr>
        <w:t>YILLIK SATIŞ ANALİZİ - YÖNETİM RAPORU</w:t>
      </w:r>
    </w:p>
    <w:p>
      <w:pPr>
        <w:spacing w:after="80"/>
      </w:pPr>
      <w:r>
        <w:rPr>
          <w:b w:val="0"/>
          <w:i w:val="0"/>
          <w:color w:val="7F7F7F"/>
          <w:sz w:val="16"/>
        </w:rPr>
        <w:t>Net satış, ürün, plasiyer, müşteri ve müşteri grubu bazında analiz ve %10 net kârlılık senaryosu  |  Kaynak: MÜŞTERİ MAL.xls (18.162 satır, 1.474 müşteri kodu, 2.711 ürün)</w:t>
      </w:r>
    </w:p>
    <w:p>
      <w:pPr>
        <w:pStyle w:val="Heading1"/>
      </w:pPr>
      <w:r>
        <w:t>1. Yönetici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Net satış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Brüt satış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İskonto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İade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Net kâr (%10)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 sınıfı müşteri</w:t>
            </w:r>
          </w:p>
        </w:tc>
      </w:tr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sz w:val="19"/>
              </w:rPr>
              <w:t>190,0 M</w:t>
            </w:r>
          </w:p>
        </w:tc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sz w:val="19"/>
              </w:rPr>
              <w:t>195,0 M</w:t>
            </w:r>
          </w:p>
        </w:tc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sz w:val="19"/>
              </w:rPr>
              <w:t>2,15 M (%1,1)</w:t>
            </w:r>
          </w:p>
        </w:tc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sz w:val="19"/>
              </w:rPr>
              <w:t>2,84 M (%1,5)</w:t>
            </w:r>
          </w:p>
        </w:tc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sz w:val="19"/>
              </w:rPr>
              <w:t>19,0 M</w:t>
            </w:r>
          </w:p>
        </w:tc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b/>
                <w:sz w:val="19"/>
              </w:rPr>
              <w:t>263 (cironun %80'i)</w:t>
            </w:r>
          </w:p>
        </w:tc>
      </w:tr>
    </w:tbl>
    <w:p>
      <w:pPr>
        <w:spacing w:after="0" w:line="80" w:lineRule="exact"/>
      </w:pPr>
    </w:p>
    <w:p>
      <w:pPr>
        <w:pStyle w:val="ListBullet"/>
        <w:spacing w:after="20"/>
      </w:pPr>
      <w:r>
        <w:rPr>
          <w:b/>
        </w:rPr>
        <w:t>Plasiyer yoğunlaşması:</w:t>
      </w:r>
      <w:r>
        <w:t xml:space="preserve"> RFO ve MRK cironun %52,1'ini, ilk 4 plasiyer %77,0'ini yapıyor.</w:t>
      </w:r>
    </w:p>
    <w:p>
      <w:pPr>
        <w:pStyle w:val="ListBullet"/>
        <w:spacing w:after="20"/>
      </w:pPr>
      <w:r>
        <w:rPr>
          <w:b/>
        </w:rPr>
        <w:t>Müşteri yoğunlaşması:</w:t>
      </w:r>
      <w:r>
        <w:t xml:space="preserve"> 263 müşteri cironun %80'ini, ilk 10 müşteri %24,4'ini, ilk 50 müşteri %45,4'ini oluşturuyor; 834 C sınıfı müşteri yalnızca %5 ciro veriyor.</w:t>
      </w:r>
    </w:p>
    <w:p>
      <w:pPr>
        <w:pStyle w:val="ListBullet"/>
        <w:spacing w:after="20"/>
      </w:pPr>
      <w:r>
        <w:rPr>
          <w:b/>
        </w:rPr>
        <w:t>Segment / bölge:</w:t>
      </w:r>
      <w:r>
        <w:t xml:space="preserve"> R&amp;C grubu %27,0; ilk 5 grup %70,4. Lefkoşa tek başına %51,4.</w:t>
      </w:r>
    </w:p>
    <w:p>
      <w:pPr>
        <w:pStyle w:val="ListBullet"/>
        <w:spacing w:after="20"/>
      </w:pPr>
      <w:r>
        <w:rPr>
          <w:b/>
        </w:rPr>
        <w:t>İade riski:</w:t>
      </w:r>
      <w:r>
        <w:t xml:space="preserve"> ANL iade oranı %6,9 (1,23 M), Market grubu %5,5; şirket ortalaması %1,5. %10 marjda ANL'nin iadesi kendi net kârının %76'ini siliyor.</w:t>
      </w:r>
    </w:p>
    <w:p>
      <w:pPr>
        <w:pStyle w:val="ListBullet"/>
        <w:spacing w:after="20"/>
      </w:pPr>
      <w:r>
        <w:rPr>
          <w:b/>
        </w:rPr>
        <w:t>İskonto disiplini:</w:t>
      </w:r>
      <w:r>
        <w:t xml:space="preserve"> EMN %5,9, İskele %4,0 iskonto veriyor; ortalama %1,1.</w:t>
      </w:r>
    </w:p>
    <w:p>
      <w:pPr>
        <w:pStyle w:val="ListBullet"/>
        <w:spacing w:after="20"/>
      </w:pPr>
      <w:r>
        <w:rPr>
          <w:b/>
        </w:rPr>
        <w:t>Kâr duyarlılığı:</w:t>
      </w:r>
      <w:r>
        <w:t xml:space="preserve"> Oran 1 puan oynarsa net kâr 1,90 M değişir; 1 puanlık iskonto tasarrufu ~1,95 M ek kâr.</w:t>
      </w:r>
    </w:p>
    <w:p>
      <w:pPr>
        <w:pStyle w:val="ListBullet"/>
        <w:spacing w:after="20"/>
      </w:pPr>
      <w:r>
        <w:rPr>
          <w:b/>
        </w:rPr>
        <w:t>Veri uyarısı:</w:t>
      </w:r>
      <w:r>
        <w:t xml:space="preserve"> 87 müşterinin adında USD/EURO/$ var (21,0 M, %11,1); kur dönüşümü yapılmadan toplanmıştır, doğrulanmalı.</w:t>
      </w:r>
    </w:p>
    <w:p>
      <w:pPr>
        <w:pStyle w:val="Heading1"/>
      </w:pPr>
      <w:r>
        <w:t>2. Genel Yapı: İl ve Plasiyer Payı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2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4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701"/>
        <w:gridCol w:w="1134"/>
        <w:gridCol w:w="1247"/>
        <w:gridCol w:w="1417"/>
      </w:tblGrid>
      <w:tr>
        <w:tc>
          <w:tcPr>
            <w:tcW w:type="dxa" w:w="226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İl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Müşteri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Satış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Pay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İade %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İskonto %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5"/>
              </w:rPr>
              <w:t>LEFKOŞA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550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97,69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%51,4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%1,7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%0,9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GİRNE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383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44,91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%23,6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%1,2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5"/>
              </w:rPr>
              <w:t>MAĞUSA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364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35,20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%18,5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%1,3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%1,6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İSKELE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5,12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%2,7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%0,3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%4,0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5"/>
              </w:rPr>
              <w:t>GÜZELYURT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79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4,67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%2,5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%1,2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%1,6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BELİRSİZ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1,45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%0,3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</w:tr>
    </w:tbl>
    <w:p>
      <w:pPr>
        <w:spacing w:after="0" w:line="80" w:lineRule="exact"/>
      </w:pPr>
    </w:p>
    <w:p>
      <w:pPr>
        <w:spacing w:after="60"/>
      </w:pPr>
      <w:r>
        <w:rPr>
          <w:b w:val="0"/>
          <w:i w:val="0"/>
        </w:rPr>
        <w:t>Lefkoşa+Girne+Mağusa cironun %93,6'i. İskele'de iskonto diğer illerin belirgin üstünde; Güzelyurt ve Lefke büyüme alanı.</w:t>
      </w:r>
    </w:p>
    <w:p>
      <w:pPr>
        <w:pStyle w:val="Heading1"/>
      </w:pPr>
      <w:r>
        <w:t>3. Müşteri Grubu Bazında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0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04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964"/>
        <w:gridCol w:w="1191"/>
        <w:gridCol w:w="850"/>
        <w:gridCol w:w="1191"/>
        <w:gridCol w:w="850"/>
        <w:gridCol w:w="1020"/>
        <w:gridCol w:w="1247"/>
      </w:tblGrid>
      <w:tr>
        <w:tc>
          <w:tcPr>
            <w:tcW w:type="dxa" w:w="260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Müşteri Grubu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Müşteri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Satış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Pay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Müşteri Başı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İade %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İskonto %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Kâr %10</w:t>
            </w:r>
          </w:p>
        </w:tc>
      </w:tr>
      <w:tr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sz w:val="15"/>
              </w:rPr>
              <w:t>RESTAURANT&amp;CAFE GRUBU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334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51,4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%27,0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0,15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%1,1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5,14 M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GENEL GRUBU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278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27,1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%14,2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0,10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%1,4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2,71 M</w:t>
            </w:r>
          </w:p>
        </w:tc>
      </w:tr>
      <w:tr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sz w:val="15"/>
              </w:rPr>
              <w:t>RESTAURANT GRUBU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166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19,4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%10,2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0,12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%0,9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%1,7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1,94 M</w:t>
            </w:r>
          </w:p>
        </w:tc>
      </w:tr>
      <w:tr>
        <w:tc>
          <w:tcPr>
            <w:tcW w:type="dxa" w:w="2608"/>
            <w:shd w:val="clear" w:color="auto" w:fill="F2F2F2"/>
            <w:shd w:val="clear" w:color="auto" w:fill="FCE4D6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MARKET GRUBU</w:t>
            </w:r>
          </w:p>
        </w:tc>
        <w:tc>
          <w:tcPr>
            <w:tcW w:type="dxa" w:w="964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88</w:t>
            </w:r>
          </w:p>
        </w:tc>
        <w:tc>
          <w:tcPr>
            <w:tcW w:type="dxa" w:w="1191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18,9 M</w:t>
            </w:r>
          </w:p>
        </w:tc>
        <w:tc>
          <w:tcPr>
            <w:tcW w:type="dxa" w:w="850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%9,9</w:t>
            </w:r>
          </w:p>
        </w:tc>
        <w:tc>
          <w:tcPr>
            <w:tcW w:type="dxa" w:w="1191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0,21 M</w:t>
            </w:r>
          </w:p>
        </w:tc>
        <w:tc>
          <w:tcPr>
            <w:tcW w:type="dxa" w:w="850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%5,5</w:t>
            </w:r>
          </w:p>
        </w:tc>
        <w:tc>
          <w:tcPr>
            <w:tcW w:type="dxa" w:w="1020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%2,0</w:t>
            </w:r>
          </w:p>
        </w:tc>
        <w:tc>
          <w:tcPr>
            <w:tcW w:type="dxa" w:w="1247"/>
            <w:shd w:val="clear" w:color="auto" w:fill="F2F2F2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1,89 M</w:t>
            </w:r>
          </w:p>
        </w:tc>
      </w:tr>
      <w:tr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sz w:val="15"/>
              </w:rPr>
              <w:t>OTEL GRUBU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89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17,0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%9,0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0,19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%1,5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%0,6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1,70 M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TARIMCI GRUBU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29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10,5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%5,5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0,36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%0,0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1,05 M</w:t>
            </w:r>
          </w:p>
        </w:tc>
      </w:tr>
      <w:tr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sz w:val="15"/>
              </w:rPr>
              <w:t>B2B GRUBU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41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9,5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%5,0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0,23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%0,1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%0,5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0,95 M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CAFE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122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8,7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%4,6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0,07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%1,3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0,87 M</w:t>
            </w:r>
          </w:p>
        </w:tc>
      </w:tr>
      <w:tr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sz w:val="15"/>
              </w:rPr>
              <w:t>ŞARKÜTERİ GRUBU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7,2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%3,8</w:t>
            </w:r>
          </w:p>
        </w:tc>
        <w:tc>
          <w:tcPr>
            <w:tcW w:type="dxa" w:w="119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1,03 M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%0,2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%0,5</w:t>
            </w:r>
          </w:p>
        </w:tc>
        <w:tc>
          <w:tcPr>
            <w:tcW w:type="dxa" w:w="124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0,72 M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TANIMSIZ GRUP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77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6,0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%3,2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0,08 M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%0,3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%0,7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0,60 M</w:t>
            </w:r>
          </w:p>
        </w:tc>
      </w:tr>
    </w:tbl>
    <w:p>
      <w:pPr>
        <w:spacing w:after="0" w:line="80" w:lineRule="exact"/>
      </w:pPr>
    </w:p>
    <w:p>
      <w:pPr>
        <w:pStyle w:val="ListBullet"/>
        <w:spacing w:after="20"/>
      </w:pPr>
      <w:r>
        <w:rPr>
          <w:b/>
        </w:rPr>
        <w:t>Çekirdek segment:</w:t>
      </w:r>
      <w:r>
        <w:t xml:space="preserve"> R&amp;C + Restaurant %37,2; kapak, pipet, çatal-kaşık çapraz satışıyla müşteri başı ciro artırılabilir.</w:t>
      </w:r>
    </w:p>
    <w:p>
      <w:pPr>
        <w:pStyle w:val="ListBullet"/>
        <w:spacing w:after="20"/>
      </w:pPr>
      <w:r>
        <w:rPr>
          <w:b/>
        </w:rPr>
        <w:t>Yüksek müşteri başı ciro:</w:t>
      </w:r>
      <w:r>
        <w:t xml:space="preserve"> Şarküteri (1,03 M), tarım, hastane ve B2B az müşteriye bağlı; hesap kaybı riski yüksek, yeni hesap hedeflenmeli.</w:t>
      </w:r>
    </w:p>
    <w:p>
      <w:pPr>
        <w:pStyle w:val="ListBullet"/>
        <w:spacing w:after="20"/>
      </w:pPr>
      <w:r>
        <w:rPr>
          <w:b/>
        </w:rPr>
        <w:t>Dikkat:</w:t>
      </w:r>
      <w:r>
        <w:t xml:space="preserve"> Market: 88 müşteri, 18,9 M ciro, iade 1,13 M (%5.5). 77 müşteri grup kodsuz (6,0 M).</w:t>
      </w:r>
    </w:p>
    <w:p>
      <w:pPr>
        <w:pStyle w:val="Heading1"/>
      </w:pPr>
      <w:r>
        <w:t>4. Ürün Bazında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417"/>
        <w:gridCol w:w="1701"/>
        <w:gridCol w:w="1134"/>
        <w:gridCol w:w="1134"/>
      </w:tblGrid>
      <w:tr>
        <w:tc>
          <w:tcPr>
            <w:tcW w:type="dxa" w:w="3685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Ürün Kategorisi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Alıcı Müşteri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Satış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Pay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İade %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sz w:val="15"/>
              </w:rPr>
              <w:t>TÜM TARIM GRUBU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12,64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%6,6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PLASTIK BARDAKLAR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353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12,20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%6,4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%0,5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sz w:val="15"/>
              </w:rPr>
              <w:t>POŞET / TORBA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309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9,95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%5,2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%0,2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HARTUÇ / KESE KAĞITLARI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309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9,82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%5,2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%0,2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sz w:val="15"/>
              </w:rPr>
              <w:t>KARTON BARDAKLAR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400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9,09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%4,8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%0,4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GIDA YEMEK KAPLARI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320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8,38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%4,4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sz w:val="15"/>
              </w:rPr>
              <w:t>EL TİPİ STREÇ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62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7,78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%4,1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KAĞIT POŞETLER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188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7,32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%3,9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%1,3</w:t>
            </w:r>
          </w:p>
        </w:tc>
      </w:tr>
      <w:tr>
        <w:tc>
          <w:tcPr>
            <w:tcW w:type="dxa" w:w="3685"/>
          </w:tcPr>
          <w:p>
            <w:pPr>
              <w:spacing w:after="0" w:before="0"/>
            </w:pPr>
            <w:r/>
            <w:r>
              <w:rPr>
                <w:sz w:val="15"/>
              </w:rPr>
              <w:t>GIDA GRUBU</w:t>
            </w:r>
          </w:p>
        </w:tc>
        <w:tc>
          <w:tcPr>
            <w:tcW w:type="dxa" w:w="141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168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6,94 M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%3,7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%1,5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YAĞLI/SAMAN KAĞITLARI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279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6,89 M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%3,6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%0,1</w:t>
            </w:r>
          </w:p>
        </w:tc>
      </w:tr>
    </w:tbl>
    <w:p>
      <w:pPr>
        <w:spacing w:after="0" w:line="80" w:lineRule="exact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0" cy="2075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07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0"/>
          <w:i w:val="0"/>
        </w:rPr>
        <w:t>508 ürün (%18,7) cironun %80'ini üretiyor; 2203 ürün uzun kuyruk. İlk ürün (LUX rulo atlet poşet) %3,2; ilk 10 ürün %12,4. Tarım grubu 57 müşteriyle en yüksek kategori; bardaklar 350-400 müşteriyle en geniş penetrasyonlu. Stok kartında grubu boş 217 ürün tamamlanmalı.</w:t>
      </w:r>
    </w:p>
    <w:p>
      <w:pPr>
        <w:pStyle w:val="Heading1"/>
      </w:pPr>
      <w:r>
        <w:t>5. Müşteri Bazında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0" cy="2594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0"/>
          <w:i w:val="0"/>
        </w:rPr>
        <w:t>İlk 10 müşteri cironun %24,4'i; en büyüğü Akdoğdu Drifil (%4,5). İlk 3 müşterinin kaybı ~21,1 M ciro, %10 marjda ~2,1 M net kâr demektir: büyük hesaplar için yıllık sözleşme ve ikinci irtibat noktası önerilir.</w:t>
      </w:r>
    </w:p>
    <w:p>
      <w:pPr>
        <w:pStyle w:val="Heading1"/>
      </w:pPr>
      <w:r>
        <w:t>6. Plasiyer Bazında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2209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90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020"/>
        <w:gridCol w:w="1361"/>
        <w:gridCol w:w="907"/>
        <w:gridCol w:w="1361"/>
        <w:gridCol w:w="964"/>
        <w:gridCol w:w="1077"/>
        <w:gridCol w:w="1361"/>
      </w:tblGrid>
      <w:tr>
        <w:tc>
          <w:tcPr>
            <w:tcW w:type="dxa" w:w="136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Plasiyer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Müşteri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Satış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Pay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Müşteri Başı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İade %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İskonto %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Kâr %10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sz w:val="15"/>
              </w:rPr>
              <w:t>RFO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268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50,40 M</w:t>
            </w:r>
          </w:p>
        </w:tc>
        <w:tc>
          <w:tcPr>
            <w:tcW w:type="dxa" w:w="90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%26,5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0,19 M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5,04 M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MRK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385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48,68 M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%25,6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0,13 M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%1,0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%0,9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4,87 M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sz w:val="15"/>
              </w:rPr>
              <w:t>ERD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147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30,85 M</w:t>
            </w:r>
          </w:p>
        </w:tc>
        <w:tc>
          <w:tcPr>
            <w:tcW w:type="dxa" w:w="90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%16,2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0,21 M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3,08 M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YLMZ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119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16,50 M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%8,7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0,14 M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%0,7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1,65 M</w:t>
            </w:r>
          </w:p>
        </w:tc>
      </w:tr>
      <w:tr>
        <w:tc>
          <w:tcPr>
            <w:tcW w:type="dxa" w:w="1361"/>
            <w:shd w:val="clear" w:color="auto" w:fill="FCE4D6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ANL</w:t>
            </w:r>
          </w:p>
        </w:tc>
        <w:tc>
          <w:tcPr>
            <w:tcW w:type="dxa" w:w="1020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216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16,24 M</w:t>
            </w:r>
          </w:p>
        </w:tc>
        <w:tc>
          <w:tcPr>
            <w:tcW w:type="dxa" w:w="907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%8,5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0,08 M</w:t>
            </w:r>
          </w:p>
        </w:tc>
        <w:tc>
          <w:tcPr>
            <w:tcW w:type="dxa" w:w="964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%6,9</w:t>
            </w:r>
          </w:p>
        </w:tc>
        <w:tc>
          <w:tcPr>
            <w:tcW w:type="dxa" w:w="1077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%1,6</w:t>
            </w:r>
          </w:p>
        </w:tc>
        <w:tc>
          <w:tcPr>
            <w:tcW w:type="dxa" w:w="1361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1,62 M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TVF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114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9,95 M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%5,2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0,09 M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%2,5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0,99 M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sz w:val="15"/>
              </w:rPr>
              <w:t>BG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7,60 M</w:t>
            </w:r>
          </w:p>
        </w:tc>
        <w:tc>
          <w:tcPr>
            <w:tcW w:type="dxa" w:w="90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%4,0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0,10 M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%1,6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0,76 M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EMN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60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5,44 M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%2,9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0,09 M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%1,3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%5,9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0,54 M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sz w:val="15"/>
              </w:rPr>
              <w:t>CML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1,83 M</w:t>
            </w:r>
          </w:p>
        </w:tc>
        <w:tc>
          <w:tcPr>
            <w:tcW w:type="dxa" w:w="90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0,11 M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%1,8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0,18 M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AYS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1,02 M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%0,5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0,03 M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%0,6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%2,0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0,10 M</w:t>
            </w:r>
          </w:p>
        </w:tc>
      </w:tr>
      <w:tr>
        <w:tc>
          <w:tcPr>
            <w:tcW w:type="dxa" w:w="1361"/>
          </w:tcPr>
          <w:p>
            <w:pPr>
              <w:spacing w:after="0" w:before="0"/>
            </w:pPr>
            <w:r/>
            <w:r>
              <w:rPr>
                <w:sz w:val="15"/>
              </w:rPr>
              <w:t>ARZ</w:t>
            </w:r>
          </w:p>
        </w:tc>
        <w:tc>
          <w:tcPr>
            <w:tcW w:type="dxa" w:w="1020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0,81 M</w:t>
            </w:r>
          </w:p>
        </w:tc>
        <w:tc>
          <w:tcPr>
            <w:tcW w:type="dxa" w:w="90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%0,4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0,07 M</w:t>
            </w:r>
          </w:p>
        </w:tc>
        <w:tc>
          <w:tcPr>
            <w:tcW w:type="dxa" w:w="964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%0,8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%0,2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0,08 M</w:t>
            </w:r>
          </w:p>
        </w:tc>
      </w:tr>
    </w:tbl>
    <w:p>
      <w:pPr>
        <w:spacing w:after="0" w:line="80" w:lineRule="exact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b/>
        </w:rPr>
        <w:t>Lider plasiyerler:</w:t>
      </w:r>
      <w:r>
        <w:t xml:space="preserve"> MRK 385 müşteriyle en geniş portföye sahip ama müşteri başı ciro 126 bin (RFO 188, ERD 210 bin). C sınıfı müşterileri aktive etmek en büyük kaldıraç.</w:t>
      </w:r>
    </w:p>
    <w:p>
      <w:pPr>
        <w:pStyle w:val="ListBullet"/>
        <w:spacing w:after="20"/>
      </w:pPr>
      <w:r>
        <w:rPr>
          <w:b/>
        </w:rPr>
        <w:t>İade / iskonto:</w:t>
      </w:r>
      <w:r>
        <w:t xml:space="preserve"> ANL iade %6.9 (diğerleri %0,4-2,5); iadeler yarıya inerse +0,61 M. EMN iskonto %5,9 - onay limiti gerekli.</w:t>
      </w:r>
    </w:p>
    <w:p>
      <w:pPr>
        <w:pStyle w:val="ListBullet"/>
        <w:spacing w:after="20"/>
      </w:pPr>
      <w:r>
        <w:rPr>
          <w:b/>
        </w:rPr>
        <w:t>Sahipsiz hesaplar:</w:t>
      </w:r>
      <w:r>
        <w:t xml:space="preserve"> ATANMAMIŞ 0,44 M ciro (19 müşteri) için sorumlu atanmalı. Hedef kartları Excel'de PLS-xxx sayfalarında.</w:t>
      </w:r>
    </w:p>
    <w:p>
      <w:pPr>
        <w:pStyle w:val="Heading1"/>
      </w:pPr>
      <w:r>
        <w:t>7. Net Karlılık Senaryosu (%10)</w:t>
      </w:r>
    </w:p>
    <w:p>
      <w:pPr>
        <w:spacing w:after="60"/>
      </w:pPr>
      <w:r>
        <w:rPr>
          <w:b w:val="0"/>
          <w:i w:val="0"/>
        </w:rPr>
        <w:t>Dosyada maliyet verisi olmadığından kâr, net satışın %10'u olarak simüle edilmiştir (Excel'de Varsayımlar sayfasından değiştirilebilir).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DDEBF7"/>
          </w:tcPr>
          <w:p>
            <w:r/>
            <w:r>
              <w:rPr>
                <w:b/>
                <w:color w:val="1F3864"/>
                <w:sz w:val="18"/>
              </w:rPr>
              <w:t>%10 net kârlılıkta yıllık net kâr: 19,00 M  |  %8'e düşerse 15,20 M (-3,80 M)  |  %12'ye çıkarsa 22,81 M (+3,80 M)</w:t>
            </w:r>
          </w:p>
        </w:tc>
      </w:tr>
    </w:tbl>
    <w:p>
      <w:pPr>
        <w:spacing w:after="0" w:line="80" w:lineRule="exact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0" cy="22235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Net kârlılık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Yıllık net kâr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%10'a göre fark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5"/>
              </w:rPr>
              <w:t>%3</w:t>
            </w:r>
          </w:p>
        </w:tc>
        <w:tc>
          <w:tcPr>
            <w:tcW w:type="dxa" w:w="2268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5,70 M</w:t>
            </w:r>
          </w:p>
        </w:tc>
        <w:tc>
          <w:tcPr>
            <w:tcW w:type="dxa" w:w="2268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-13,30 M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%5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9,50 M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-9,50 M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5"/>
              </w:rPr>
              <w:t>%7</w:t>
            </w:r>
          </w:p>
        </w:tc>
        <w:tc>
          <w:tcPr>
            <w:tcW w:type="dxa" w:w="2268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13,30 M</w:t>
            </w:r>
          </w:p>
        </w:tc>
        <w:tc>
          <w:tcPr>
            <w:tcW w:type="dxa" w:w="2268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-5,70 M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%8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15,20 M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-3,80 M</w:t>
            </w:r>
          </w:p>
        </w:tc>
      </w:tr>
      <w:tr>
        <w:tc>
          <w:tcPr>
            <w:tcW w:type="dxa" w:w="2268"/>
            <w:shd w:val="clear" w:color="auto" w:fill="FCE4D6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%10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19,00 M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after="0" w:before="0"/>
              <w:jc w:val="right"/>
            </w:pPr>
            <w:r/>
            <w:r>
              <w:rPr>
                <w:b/>
                <w:sz w:val="15"/>
              </w:rPr>
              <w:t>+0,00 M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 w:before="0"/>
            </w:pPr>
            <w:r/>
            <w:r>
              <w:rPr>
                <w:sz w:val="15"/>
              </w:rPr>
              <w:t>%12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22,81 M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+3,80 M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5"/>
              </w:rPr>
              <w:t>%15</w:t>
            </w:r>
          </w:p>
        </w:tc>
        <w:tc>
          <w:tcPr>
            <w:tcW w:type="dxa" w:w="2268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28,51 M</w:t>
            </w:r>
          </w:p>
        </w:tc>
        <w:tc>
          <w:tcPr>
            <w:tcW w:type="dxa" w:w="2268"/>
          </w:tcPr>
          <w:p>
            <w:pPr>
              <w:spacing w:after="0" w:before="0"/>
              <w:jc w:val="right"/>
            </w:pPr>
            <w:r/>
            <w:r>
              <w:rPr>
                <w:sz w:val="15"/>
              </w:rPr>
              <w:t>+9,50 M</w:t>
            </w:r>
          </w:p>
        </w:tc>
      </w:tr>
    </w:tbl>
    <w:p>
      <w:pPr>
        <w:spacing w:after="0" w:line="80" w:lineRule="exact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0" cy="22235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b/>
        </w:rPr>
        <w:t>Etki:</w:t>
      </w:r>
      <w:r>
        <w:t xml:space="preserve"> İade 2,84 M = net kârın %15'i; iskonto 2,15 M. Net satış %5 artarsa +0,95 M; marj 1 puan artarsa +1,90 M.</w:t>
      </w:r>
    </w:p>
    <w:p>
      <w:pPr>
        <w:pStyle w:val="ListBullet"/>
        <w:spacing w:after="20"/>
      </w:pPr>
      <w:r>
        <w:rPr>
          <w:b/>
        </w:rPr>
        <w:t>Hedef senaryosu:</w:t>
      </w:r>
      <w:r>
        <w:t xml:space="preserve"> Excel'deki hedefler (%11,2 büyüme, ~211,3 M ciro) %10 marjda 21,1 M net kâr sağlar (+2,1 M). Gerçek marj ürün bazında değişir; maliyet listesiyle yenilenmelidir.</w:t>
      </w:r>
    </w:p>
    <w:p>
      <w:pPr>
        <w:pStyle w:val="Heading1"/>
      </w:pPr>
      <w:r>
        <w:t>8. Öneriler</w:t>
      </w:r>
    </w:p>
    <w:p>
      <w:pPr>
        <w:pStyle w:val="ListBullet"/>
        <w:spacing w:after="20"/>
      </w:pPr>
      <w:r>
        <w:rPr>
          <w:b/>
        </w:rPr>
        <w:t>Müşteri kaybı:</w:t>
      </w:r>
      <w:r>
        <w:t xml:space="preserve"> ilk 12 müşteri için hesap planı ve sözleşme (ilk 10 = %24,4 ciro).</w:t>
      </w:r>
    </w:p>
    <w:p>
      <w:pPr>
        <w:pStyle w:val="ListBullet"/>
        <w:spacing w:after="20"/>
      </w:pPr>
      <w:r>
        <w:rPr>
          <w:b/>
        </w:rPr>
        <w:t>Uzun kuyruk:</w:t>
      </w:r>
      <w:r>
        <w:t xml:space="preserve"> 834 C sınıfı müşteri için asgari sipariş ve çapraz satış kampanyası.</w:t>
      </w:r>
    </w:p>
    <w:p>
      <w:pPr>
        <w:pStyle w:val="ListBullet"/>
        <w:spacing w:after="20"/>
      </w:pPr>
      <w:r>
        <w:rPr>
          <w:b/>
        </w:rPr>
        <w:t>İade:</w:t>
      </w:r>
      <w:r>
        <w:t xml:space="preserve"> ANL ve Market için kök neden analizi, hedef %2.</w:t>
      </w:r>
    </w:p>
    <w:p>
      <w:pPr>
        <w:pStyle w:val="ListBullet"/>
        <w:spacing w:after="20"/>
      </w:pPr>
      <w:r>
        <w:rPr>
          <w:b/>
        </w:rPr>
        <w:t>İskonto:</w:t>
      </w:r>
      <w:r>
        <w:t xml:space="preserve"> EMN ve İskele için onay limiti, hedef %2 altı.</w:t>
      </w:r>
    </w:p>
    <w:p>
      <w:pPr>
        <w:pStyle w:val="ListBullet"/>
        <w:spacing w:after="20"/>
      </w:pPr>
      <w:r>
        <w:rPr>
          <w:b/>
        </w:rPr>
        <w:t>Prim modeli:</w:t>
      </w:r>
      <w:r>
        <w:t xml:space="preserve"> ciro + iade/iskonto sınırı + yeni aktif müşteri birlikte ölçülmeli.</w:t>
      </w:r>
    </w:p>
    <w:p>
      <w:pPr>
        <w:pStyle w:val="ListBullet"/>
        <w:spacing w:after="20"/>
      </w:pPr>
      <w:r>
        <w:rPr>
          <w:b/>
        </w:rPr>
        <w:t>Veri:</w:t>
      </w:r>
      <w:r>
        <w:t xml:space="preserve"> boş müşteri grubu, boş stok grubu, plasiyersiz ve dövizli hesaplar düzeltilmeli; tarih ve maliyet alanı eklenmeli.</w:t>
      </w:r>
    </w:p>
    <w:p>
      <w:pPr>
        <w:spacing w:after="60"/>
      </w:pPr>
      <w:r>
        <w:rPr>
          <w:b w:val="0"/>
          <w:i/>
          <w:sz w:val="15"/>
        </w:rPr>
        <w:t>Yöntem: Net satış = Gerçek Satış Tutarı (iade düşülmüş); iade/iskonto oranları brüt satışa göre; ABC: kümülatif A&lt;=%80, B&lt;=%95; Sheet2, Sheet1'in devamı olarak birleştirildi; para birimi belirtilmediğinden tutarlar M (milyon) olarak gösterilmiştir.</w:t>
      </w:r>
    </w:p>
    <w:sectPr w:rsidR="00FC693F" w:rsidRPr="0006063C" w:rsidSect="00034616">
      <w:footerReference w:type="default" r:id="rId1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