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9qs134pml2x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This guide will teach you how a buyer user can create a personal address. Addresses created in this way are only accessible to the buyer user that created them via the  [/me/addresss endpoints](https://documentation.ordercloud.io/api-reference#MeAddresses)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buarx7aoe2l" w:id="1"/>
      <w:bookmarkEnd w:id="1"/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Users And User Groups](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https://documentation.ordercloud.io/use-case-guides/buyer-and-seller-organization-management/create-and-assign-users-and-user-groups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[Familiarity with Using Impersonation in our Console](https://documentation.ordercloud.io/platform-guides/getting-started/using-the-api-console#Impersonation)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3u1hvimjb0t" w:id="2"/>
      <w:bookmarkEnd w:id="2"/>
      <w:r w:rsidDel="00000000" w:rsidR="00000000" w:rsidRPr="00000000">
        <w:rPr>
          <w:rtl w:val="0"/>
        </w:rPr>
        <w:t xml:space="preserve">## 1. Impersonate Buyer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 by learning how to [Impersonate a Buyer User](https://documentation.ordercloud.io/platform-guides/authentication/impersonation). The Buyer User you impersonate will need the [“MeAddressAdmin” role](https://documentation.ordercloud.io/guides/authentication/security-profiles#Roles) in order to access the appropriate endpoint.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gl2ospj9ow" w:id="3"/>
      <w:bookmarkEnd w:id="3"/>
      <w:r w:rsidDel="00000000" w:rsidR="00000000" w:rsidRPr="00000000">
        <w:rPr>
          <w:rtl w:val="0"/>
        </w:rPr>
        <w:t xml:space="preserve">## 2. Create a ME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Me Address](https://documentation.ordercloud.io/api-reference#MeAddresses_CreateAddress)&lt;/div&gt;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https://api.ordercloud.io/v1/me/</w:t>
      </w:r>
      <w:r w:rsidDel="00000000" w:rsidR="00000000" w:rsidRPr="00000000">
        <w:rPr>
          <w:highlight w:val="white"/>
          <w:rtl w:val="0"/>
        </w:rPr>
        <w:t xml:space="preserve">addresses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"Shipping":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"Billing":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"CompanyName": "Four51",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"FirstName": "Sarah",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"LastName": "Smith",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"Street1": "110 North 5th St.",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"Street2": "Suite 300",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"City": "Minneapolis",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"State": "MN",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"Zip": "55403",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"Country": "US",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"Phone": "9522940451",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"AddressName": "Four51",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class="note"&gt;The billing and shipping values designate whether the addresses can be used as a billing address, shipping address or both.&lt;/div&gt;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az3t0ihkf1ol" w:id="4"/>
      <w:bookmarkEnd w:id="4"/>
      <w:r w:rsidDel="00000000" w:rsidR="00000000" w:rsidRPr="00000000">
        <w:rPr>
          <w:color w:val="3c78d8"/>
          <w:rtl w:val="0"/>
        </w:rPr>
        <w:t xml:space="preserve">## Conclusion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authenticated buyer user would make the call in step two in order to make a personal address that only they can view and edit.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Often in a pure B2B scenario individual users may not have access to maintain a personal address book. The creation and delegation of available addresses may be maintained in an administrative context by the seller. Learn more about </w:t>
      </w:r>
      <w:r w:rsidDel="00000000" w:rsidR="00000000" w:rsidRPr="00000000">
        <w:rPr>
          <w:rtl w:val="0"/>
        </w:rPr>
        <w:t xml:space="preserve">creating and assigning shared addresses in an admin context in the </w:t>
      </w:r>
      <w:r w:rsidDel="00000000" w:rsidR="00000000" w:rsidRPr="00000000">
        <w:rPr>
          <w:rtl w:val="0"/>
        </w:rPr>
        <w:t xml:space="preserve">[Create and Assign A Saved Address](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https://documentation.ordercloud.io/use-case-guides/buyer-and-seller-organization-management/create-and-assign-a-saved-address</w:t>
      </w:r>
      <w:r w:rsidDel="00000000" w:rsidR="00000000" w:rsidRPr="00000000">
        <w:rPr>
          <w:rtl w:val="0"/>
        </w:rPr>
        <w:t xml:space="preserve">) guide.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