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il"/>
              <w:left w:val="nil"/>
              <w:bottom w:val="nil"/>
              <w:right w:val="nil"/>
            </w:tcBorders>
            <w:shd w:fill="1A3A5C" w:val="clear"/>
            <w:tcMar>
              <w:top w:type="dxa" w:w="600"/>
              <w:left w:type="dxa" w:w="400"/>
              <w:bottom w:type="dxa" w:w="600"/>
              <w:right w:type="dxa" w:w="400"/>
            </w:tcMar>
          </w:tcPr>
          <w:p>
            <w:pPr>
              <w:spacing w:after="40" w:before="200"/>
              <w:jc w:val="left"/>
            </w:pPr>
            <w:r>
              <w:rPr>
                <w:rFonts w:ascii="Arial" w:cs="Arial" w:eastAsia="Arial" w:hAnsi="Arial"/>
                <w:b/>
                <w:bCs/>
                <w:color w:val="FFFFFF"/>
                <w:sz w:val="40"/>
                <w:szCs w:val="40"/>
              </w:rPr>
              <w:t xml:space="preserve">BUSINESS ASSUMPTION DOCUMENT</w:t>
            </w:r>
          </w:p>
          <w:p>
            <w:pPr>
              <w:spacing w:after="40" w:before="0"/>
              <w:jc w:val="left"/>
            </w:pPr>
            <w:r>
              <w:rPr>
                <w:rFonts w:ascii="Arial" w:cs="Arial" w:eastAsia="Arial" w:hAnsi="Arial"/>
                <w:color w:val="AACCEE"/>
                <w:sz w:val="24"/>
                <w:szCs w:val="24"/>
              </w:rPr>
              <w:t xml:space="preserve">Epic : Pre-Projet — Phase 1</w:t>
            </w:r>
          </w:p>
          <w:p>
            <w:pPr>
              <w:spacing w:after="20" w:before="60"/>
              <w:jc w:val="left"/>
            </w:pPr>
            <w:r>
              <w:rPr>
                <w:rFonts w:ascii="Arial" w:cs="Arial" w:eastAsia="Arial" w:hAnsi="Arial"/>
                <w:color w:val="CCDDEE"/>
                <w:sz w:val="22"/>
                <w:szCs w:val="22"/>
              </w:rPr>
              <w:t xml:space="preserve">Client : Fintech — Outil de Recommandation de Crédit (ECL)</w:t>
            </w:r>
          </w:p>
          <w:p>
            <w:pPr>
              <w:spacing w:after="0" w:before="20"/>
              <w:jc w:val="left"/>
            </w:pPr>
            <w:r>
              <w:rPr>
                <w:rFonts w:ascii="Arial" w:cs="Arial" w:eastAsia="Arial" w:hAnsi="Arial"/>
                <w:color w:val="99BBCC"/>
                <w:sz w:val="18"/>
                <w:szCs w:val="18"/>
              </w:rPr>
              <w:t xml:space="preserve">Version 1.0  |  Confidentiel  |  Juin 2025</w:t>
            </w:r>
          </w:p>
        </w:tc>
      </w:tr>
    </w:tbl>
    <w:p>
      <w:pPr>
        <w:spacing w:after="0" w:before="0"/>
      </w:pPr>
      <w:r>
        <w:t xml:space="preserve"/>
      </w:r>
    </w:p>
    <w:p>
      <w:pPr>
        <w:spacing w:after="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7206"/>
      </w:tblGrid>
      <w:tr>
        <w:tc>
          <w:tcPr>
            <w:tcBorders>
              <w:top w:val="single" w:color="BDD5E8" w:sz="1"/>
              <w:left w:val="single" w:color="BDD5E8" w:sz="1"/>
              <w:bottom w:val="single" w:color="BDD5E8" w:sz="1"/>
              <w:right w:val="single" w:color="BDD5E8"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Projet</w:t>
            </w:r>
          </w:p>
        </w:tc>
        <w:tc>
          <w:tcPr>
            <w:tcBorders>
              <w:top w:val="single" w:color="BDD5E8" w:sz="1"/>
              <w:left w:val="single" w:color="BDD5E8" w:sz="1"/>
              <w:bottom w:val="single" w:color="BDD5E8" w:sz="1"/>
              <w:right w:val="single" w:color="BDD5E8" w:sz="1"/>
            </w:tcBorders>
            <w:tcMar>
              <w:top w:type="dxa" w:w="80"/>
              <w:left w:type="dxa" w:w="120"/>
              <w:bottom w:type="dxa" w:w="80"/>
              <w:right w:type="dxa" w:w="120"/>
            </w:tcMar>
          </w:tcPr>
          <w:p>
            <w:r>
              <w:rPr>
                <w:rFonts w:ascii="Arial" w:cs="Arial" w:eastAsia="Arial" w:hAnsi="Arial"/>
                <w:sz w:val="19"/>
                <w:szCs w:val="19"/>
              </w:rPr>
              <w:t xml:space="preserve">Outil ECL — Modèles PD / LGD / EAD + Recommandation Crédit</w:t>
            </w:r>
          </w:p>
        </w:tc>
      </w:tr>
      <w:tr>
        <w:tc>
          <w:tcPr>
            <w:tcBorders>
              <w:top w:val="single" w:color="BDD5E8" w:sz="1"/>
              <w:left w:val="single" w:color="BDD5E8" w:sz="1"/>
              <w:bottom w:val="single" w:color="BDD5E8" w:sz="1"/>
              <w:right w:val="single" w:color="BDD5E8"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Client</w:t>
            </w:r>
          </w:p>
        </w:tc>
        <w:tc>
          <w:tcPr>
            <w:tcBorders>
              <w:top w:val="single" w:color="BDD5E8" w:sz="1"/>
              <w:left w:val="single" w:color="BDD5E8" w:sz="1"/>
              <w:bottom w:val="single" w:color="BDD5E8" w:sz="1"/>
              <w:right w:val="single" w:color="BDD5E8" w:sz="1"/>
            </w:tcBorders>
            <w:tcMar>
              <w:top w:type="dxa" w:w="80"/>
              <w:left w:type="dxa" w:w="120"/>
              <w:bottom w:type="dxa" w:w="80"/>
              <w:right w:type="dxa" w:w="120"/>
            </w:tcMar>
          </w:tcPr>
          <w:p>
            <w:r>
              <w:rPr>
                <w:rFonts w:ascii="Arial" w:cs="Arial" w:eastAsia="Arial" w:hAnsi="Arial"/>
                <w:sz w:val="19"/>
                <w:szCs w:val="19"/>
              </w:rPr>
              <w:t xml:space="preserve">Fintech — Transfert de Fonds International</w:t>
            </w:r>
          </w:p>
        </w:tc>
      </w:tr>
      <w:tr>
        <w:tc>
          <w:tcPr>
            <w:tcBorders>
              <w:top w:val="single" w:color="BDD5E8" w:sz="1"/>
              <w:left w:val="single" w:color="BDD5E8" w:sz="1"/>
              <w:bottom w:val="single" w:color="BDD5E8" w:sz="1"/>
              <w:right w:val="single" w:color="BDD5E8"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Rédacteur</w:t>
            </w:r>
          </w:p>
        </w:tc>
        <w:tc>
          <w:tcPr>
            <w:tcBorders>
              <w:top w:val="single" w:color="BDD5E8" w:sz="1"/>
              <w:left w:val="single" w:color="BDD5E8" w:sz="1"/>
              <w:bottom w:val="single" w:color="BDD5E8" w:sz="1"/>
              <w:right w:val="single" w:color="BDD5E8" w:sz="1"/>
            </w:tcBorders>
            <w:tcMar>
              <w:top w:type="dxa" w:w="80"/>
              <w:left w:type="dxa" w:w="120"/>
              <w:bottom w:type="dxa" w:w="80"/>
              <w:right w:type="dxa" w:w="120"/>
            </w:tcMar>
          </w:tcPr>
          <w:p>
            <w:r>
              <w:rPr>
                <w:rFonts w:ascii="Arial" w:cs="Arial" w:eastAsia="Arial" w:hAnsi="Arial"/>
                <w:sz w:val="19"/>
                <w:szCs w:val="19"/>
              </w:rPr>
              <w:t xml:space="preserve">Équipe Consulting</w:t>
            </w:r>
          </w:p>
        </w:tc>
      </w:tr>
      <w:tr>
        <w:tc>
          <w:tcPr>
            <w:tcBorders>
              <w:top w:val="single" w:color="BDD5E8" w:sz="1"/>
              <w:left w:val="single" w:color="BDD5E8" w:sz="1"/>
              <w:bottom w:val="single" w:color="BDD5E8" w:sz="1"/>
              <w:right w:val="single" w:color="BDD5E8"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Statut</w:t>
            </w:r>
          </w:p>
        </w:tc>
        <w:tc>
          <w:tcPr>
            <w:tcBorders>
              <w:top w:val="single" w:color="BDD5E8" w:sz="1"/>
              <w:left w:val="single" w:color="BDD5E8" w:sz="1"/>
              <w:bottom w:val="single" w:color="BDD5E8" w:sz="1"/>
              <w:right w:val="single" w:color="BDD5E8" w:sz="1"/>
            </w:tcBorders>
            <w:tcMar>
              <w:top w:type="dxa" w:w="80"/>
              <w:left w:type="dxa" w:w="120"/>
              <w:bottom w:type="dxa" w:w="80"/>
              <w:right w:type="dxa" w:w="120"/>
            </w:tcMar>
          </w:tcPr>
          <w:p>
            <w:r>
              <w:rPr>
                <w:rFonts w:ascii="Arial" w:cs="Arial" w:eastAsia="Arial" w:hAnsi="Arial"/>
                <w:sz w:val="19"/>
                <w:szCs w:val="19"/>
              </w:rPr>
              <w:t xml:space="preserve">Draft v1.0 — Pour validation client</w:t>
            </w:r>
          </w:p>
        </w:tc>
      </w:tr>
      <w:tr>
        <w:tc>
          <w:tcPr>
            <w:tcBorders>
              <w:top w:val="single" w:color="BDD5E8" w:sz="1"/>
              <w:left w:val="single" w:color="BDD5E8" w:sz="1"/>
              <w:bottom w:val="single" w:color="BDD5E8" w:sz="1"/>
              <w:right w:val="single" w:color="BDD5E8"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Date</w:t>
            </w:r>
          </w:p>
        </w:tc>
        <w:tc>
          <w:tcPr>
            <w:tcBorders>
              <w:top w:val="single" w:color="BDD5E8" w:sz="1"/>
              <w:left w:val="single" w:color="BDD5E8" w:sz="1"/>
              <w:bottom w:val="single" w:color="BDD5E8" w:sz="1"/>
              <w:right w:val="single" w:color="BDD5E8" w:sz="1"/>
            </w:tcBorders>
            <w:tcMar>
              <w:top w:type="dxa" w:w="80"/>
              <w:left w:type="dxa" w:w="120"/>
              <w:bottom w:type="dxa" w:w="80"/>
              <w:right w:type="dxa" w:w="120"/>
            </w:tcMar>
          </w:tcPr>
          <w:p>
            <w:r>
              <w:rPr>
                <w:rFonts w:ascii="Arial" w:cs="Arial" w:eastAsia="Arial" w:hAnsi="Arial"/>
                <w:sz w:val="19"/>
                <w:szCs w:val="19"/>
              </w:rPr>
              <w:t xml:space="preserve">Juin 2025</w:t>
            </w:r>
          </w:p>
        </w:tc>
      </w:tr>
    </w:tbl>
    <w:p>
      <w:r>
        <w:br w:type="page"/>
      </w:r>
    </w:p>
    <w:p>
      <w:pPr>
        <w:pStyle w:val="Heading1"/>
        <w:pBdr>
          <w:bottom w:val="single" w:color="2E75B6" w:sz="8" w:space="4"/>
        </w:pBdr>
        <w:spacing w:after="120" w:before="400"/>
      </w:pPr>
      <w:r>
        <w:rPr>
          <w:rFonts w:ascii="Arial" w:cs="Arial" w:eastAsia="Arial" w:hAnsi="Arial"/>
          <w:b/>
          <w:bCs/>
          <w:color w:val="1A3A5C"/>
          <w:sz w:val="32"/>
          <w:szCs w:val="32"/>
        </w:rPr>
        <w:t xml:space="preserve">Résumé Exécutif</w:t>
      </w:r>
    </w:p>
    <w:p>
      <w:pPr>
        <w:spacing w:after="80" w:before="60"/>
      </w:pPr>
      <w:r>
        <w:rPr>
          <w:rFonts w:ascii="Arial" w:cs="Arial" w:eastAsia="Arial" w:hAnsi="Arial"/>
          <w:color w:val="1A1A1A"/>
          <w:sz w:val="20"/>
          <w:szCs w:val="20"/>
        </w:rPr>
        <w:t xml:space="preserve">Ce document formalise les hypothèses métier, réglementaires, stratégiques et techniques issues de la réunion de cadrage avec le client. Il constitue le livrable fondateur du pré-projet et servira de référentiel partagé tout au long des phases de conception et de développement.</w:t>
      </w:r>
    </w:p>
    <w:p>
      <w:pPr>
        <w:spacing w:after="0" w:before="0"/>
      </w:pPr>
      <w:r>
        <w:t xml:space="preserve"/>
      </w:r>
    </w:p>
    <w:p>
      <w:pPr>
        <w:spacing w:after="80" w:before="60"/>
      </w:pPr>
      <w:r>
        <w:rPr>
          <w:rFonts w:ascii="Arial" w:cs="Arial" w:eastAsia="Arial" w:hAnsi="Arial"/>
          <w:color w:val="1A1A1A"/>
          <w:sz w:val="20"/>
          <w:szCs w:val="20"/>
        </w:rPr>
        <w:t xml:space="preserve">Le client est une fintech spécialisée dans le transfert de fonds international souhaitant développer un outil de recommandation de crédit pour ses clients. Cet outil repose sur une gamme complète de modèles ECL (Expected Credit Loss) : modèle PD (Probabilité de Défaut), modèle LGD (Loss Given Default) et modèle EAD (Exposure at Default), dont les sorties alimentent un composant de recommandation de produits de crédit.</w:t>
      </w:r>
    </w:p>
    <w:p>
      <w:pPr>
        <w:spacing w:after="0" w:before="0"/>
      </w:pPr>
      <w:r>
        <w:t xml:space="preserve"/>
      </w:r>
    </w:p>
    <w:p>
      <w:pPr>
        <w:spacing w:after="80" w:before="60"/>
      </w:pPr>
      <w:r>
        <w:rPr>
          <w:rFonts w:ascii="Arial" w:cs="Arial" w:eastAsia="Arial" w:hAnsi="Arial"/>
          <w:color w:val="1A1A1A"/>
          <w:sz w:val="20"/>
          <w:szCs w:val="20"/>
        </w:rPr>
        <w:t xml:space="preserve">Le projet vise la mise en production d'un premier prototype opérationnel en deux semaines, avec une ambition d'évolution vers une application web complète à interface ergonomique.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3A5C" w:val="clear"/>
            <w:tcMar>
              <w:top w:type="dxa" w:w="120"/>
              <w:left w:type="dxa" w:w="240"/>
              <w:bottom w:type="dxa" w:w="120"/>
              <w:right w:type="dxa" w:w="240"/>
            </w:tcMar>
          </w:tcPr>
          <w:p>
            <w:r>
              <w:rPr>
                <w:rFonts w:ascii="Arial" w:cs="Arial" w:eastAsia="Arial" w:hAnsi="Arial"/>
                <w:b/>
                <w:bCs/>
                <w:color w:val="AACCEE"/>
                <w:sz w:val="24"/>
                <w:szCs w:val="24"/>
              </w:rPr>
              <w:t xml:space="preserve">AXE 1  </w:t>
            </w:r>
            <w:r>
              <w:rPr>
                <w:rFonts w:ascii="Arial" w:cs="Arial" w:eastAsia="Arial" w:hAnsi="Arial"/>
                <w:b/>
                <w:bCs/>
                <w:color w:val="FFFFFF"/>
                <w:sz w:val="24"/>
                <w:szCs w:val="24"/>
              </w:rPr>
              <w:t xml:space="preserve">  Business Context</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1.1 Business Context</w:t>
      </w:r>
    </w:p>
    <w:p>
      <w:pPr>
        <w:spacing w:after="80" w:before="60"/>
      </w:pPr>
      <w:r>
        <w:rPr>
          <w:rFonts w:ascii="Arial" w:cs="Arial" w:eastAsia="Arial" w:hAnsi="Arial"/>
          <w:color w:val="1A1A1A"/>
          <w:sz w:val="20"/>
          <w:szCs w:val="20"/>
        </w:rPr>
        <w:t xml:space="preserve">La société cliente est une fintech dont le cœur de métier est le transfert de fonds international. Dans le cadre d'une stratégie de diversification produit, elle souhaite intégrer un service de crédit comme nouvelle ligne d'activité.</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Secteur</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Fintech — Services financiers</w:t>
            </w:r>
          </w:p>
        </w:tc>
      </w:tr>
      <w:tr>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Activité principale</w:t>
            </w:r>
          </w:p>
        </w:tc>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sz w:val="19"/>
                <w:szCs w:val="19"/>
              </w:rPr>
              <w:t xml:space="preserve">Transferts de fonds internationaux</w:t>
            </w:r>
          </w:p>
        </w:tc>
      </w:tr>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Nouveau produit</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Outil de recommandation de crédit</w:t>
            </w:r>
          </w:p>
        </w:tc>
      </w:tr>
      <w:tr>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Positionnement</w:t>
            </w:r>
          </w:p>
        </w:tc>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sz w:val="19"/>
                <w:szCs w:val="19"/>
              </w:rPr>
              <w:t xml:space="preserve">Entrée agressive sur le marché du crédit</w:t>
            </w:r>
          </w:p>
        </w:tc>
      </w:tr>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Horizon MVP</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2 semaines (prototype opérationnel)</w:t>
            </w:r>
          </w:p>
        </w:tc>
      </w:tr>
    </w:tbl>
    <w:p>
      <w:pPr>
        <w:spacing w:after="0" w:before="0"/>
      </w:pPr>
      <w:r>
        <w:t xml:space="preserve"/>
      </w:r>
    </w:p>
    <w:p>
      <w:pPr>
        <w:spacing w:after="60" w:before="200"/>
      </w:pPr>
      <w:r>
        <w:rPr>
          <w:rFonts w:ascii="Arial" w:cs="Arial" w:eastAsia="Arial" w:hAnsi="Arial"/>
          <w:b/>
          <w:bCs/>
          <w:color w:val="1A3A5C"/>
          <w:sz w:val="22"/>
          <w:szCs w:val="22"/>
        </w:rPr>
        <w:t xml:space="preserve">Problématique centrale</w:t>
      </w:r>
    </w:p>
    <w:p>
      <w:pPr>
        <w:spacing w:after="80" w:before="60"/>
      </w:pPr>
      <w:r>
        <w:rPr>
          <w:rFonts w:ascii="Arial" w:cs="Arial" w:eastAsia="Arial" w:hAnsi="Arial"/>
          <w:color w:val="1A1A1A"/>
          <w:sz w:val="20"/>
          <w:szCs w:val="20"/>
        </w:rPr>
        <w:t xml:space="preserve">Le client souhaite protéger ses clients et se prémunir contre les pertes liées aux défauts de paiement. Pour ce faire, il ambitionne de déployer une suite complète de modèles ECL dont les trois composantes (PD, LGD, EAD) interagissent pour produire une recommandation de crédit personnalisée.</w:t>
      </w:r>
    </w:p>
    <w:p>
      <w:pPr>
        <w:pStyle w:val="ListParagraph"/>
        <w:numPr>
          <w:ilvl w:val="0"/>
          <w:numId w:val="2"/>
        </w:numPr>
        <w:spacing w:after="40" w:before="40"/>
      </w:pPr>
      <w:r>
        <w:rPr>
          <w:rFonts w:ascii="Arial" w:cs="Arial" w:eastAsia="Arial" w:hAnsi="Arial"/>
          <w:color w:val="1A1A1A"/>
          <w:sz w:val="20"/>
          <w:szCs w:val="20"/>
        </w:rPr>
        <w:t xml:space="preserve">Modèle PD : Prédiction de la probabilité de défaut d'un client</w:t>
      </w:r>
    </w:p>
    <w:p>
      <w:pPr>
        <w:pStyle w:val="ListParagraph"/>
        <w:numPr>
          <w:ilvl w:val="0"/>
          <w:numId w:val="2"/>
        </w:numPr>
        <w:spacing w:after="40" w:before="40"/>
      </w:pPr>
      <w:r>
        <w:rPr>
          <w:rFonts w:ascii="Arial" w:cs="Arial" w:eastAsia="Arial" w:hAnsi="Arial"/>
          <w:color w:val="1A1A1A"/>
          <w:sz w:val="20"/>
          <w:szCs w:val="20"/>
        </w:rPr>
        <w:t xml:space="preserve">Modèle LGD : Estimation de la perte en cas de défaut</w:t>
      </w:r>
    </w:p>
    <w:p>
      <w:pPr>
        <w:pStyle w:val="ListParagraph"/>
        <w:numPr>
          <w:ilvl w:val="0"/>
          <w:numId w:val="2"/>
        </w:numPr>
        <w:spacing w:after="40" w:before="40"/>
      </w:pPr>
      <w:r>
        <w:rPr>
          <w:rFonts w:ascii="Arial" w:cs="Arial" w:eastAsia="Arial" w:hAnsi="Arial"/>
          <w:color w:val="1A1A1A"/>
          <w:sz w:val="20"/>
          <w:szCs w:val="20"/>
        </w:rPr>
        <w:t xml:space="preserve">Modèle EAD : Estimation de l'exposition au moment du défaut</w:t>
      </w:r>
    </w:p>
    <w:p>
      <w:pPr>
        <w:pStyle w:val="ListParagraph"/>
        <w:numPr>
          <w:ilvl w:val="0"/>
          <w:numId w:val="2"/>
        </w:numPr>
        <w:spacing w:after="40" w:before="40"/>
      </w:pPr>
      <w:r>
        <w:rPr>
          <w:rFonts w:ascii="Arial" w:cs="Arial" w:eastAsia="Arial" w:hAnsi="Arial"/>
          <w:color w:val="1A1A1A"/>
          <w:sz w:val="20"/>
          <w:szCs w:val="20"/>
        </w:rPr>
        <w:t xml:space="preserve">Catalogue de produits de crédit ou offres sur mesure selon le profil client</w:t>
      </w:r>
    </w:p>
    <w:p>
      <w:pPr>
        <w:spacing w:after="0" w:before="0"/>
      </w:pPr>
      <w:r>
        <w:t xml:space="preserve"/>
      </w:r>
    </w:p>
    <w:p>
      <w:pPr>
        <w:pStyle w:val="Heading2"/>
        <w:spacing w:after="80" w:before="280"/>
      </w:pPr>
      <w:r>
        <w:rPr>
          <w:rFonts w:ascii="Arial" w:cs="Arial" w:eastAsia="Arial" w:hAnsi="Arial"/>
          <w:b/>
          <w:bCs/>
          <w:color w:val="2E75B6"/>
          <w:sz w:val="26"/>
          <w:szCs w:val="26"/>
        </w:rPr>
        <w:t xml:space="preserve">1.2 Product Vision</w:t>
      </w:r>
    </w:p>
    <w:p>
      <w:pPr>
        <w:spacing w:after="80" w:before="60"/>
      </w:pPr>
      <w:r>
        <w:rPr>
          <w:rFonts w:ascii="Arial" w:cs="Arial" w:eastAsia="Arial" w:hAnsi="Arial"/>
          <w:color w:val="1A1A1A"/>
          <w:sz w:val="20"/>
          <w:szCs w:val="20"/>
        </w:rPr>
        <w:t xml:space="preserve">La vision produit s'articule en deux temps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DD5E8" w:sz="1"/>
              <w:left w:val="single" w:color="BDD5E8" w:sz="1"/>
              <w:bottom w:val="single" w:color="BDD5E8" w:sz="1"/>
              <w:right w:val="single" w:color="BDD5E8"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Phase 1 — Prototype (J0 + 2 semaines)</w:t>
            </w:r>
          </w:p>
          <w:p>
            <w:r>
              <w:rPr>
                <w:rFonts w:ascii="Arial" w:cs="Arial" w:eastAsia="Arial" w:hAnsi="Arial"/>
                <w:sz w:val="19"/>
                <w:szCs w:val="19"/>
              </w:rPr>
              <w:t xml:space="preserve">Interface simple conteneurisée (Docker). Modèles ECL opérationnels. Validation interne.</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Phase 2 — Web App (évolution)</w:t>
            </w:r>
          </w:p>
          <w:p>
            <w:r>
              <w:rPr>
                <w:rFonts w:ascii="Arial" w:cs="Arial" w:eastAsia="Arial" w:hAnsi="Arial"/>
                <w:sz w:val="19"/>
                <w:szCs w:val="19"/>
              </w:rPr>
              <w:t xml:space="preserve">Application web complète, interface ergonomique. Recommandation en temps réel ou batch. Intégration métier.</w:t>
            </w:r>
          </w:p>
        </w:tc>
      </w:tr>
    </w:tbl>
    <w:p>
      <w:pPr>
        <w:spacing w:after="0" w:before="0"/>
      </w:pPr>
      <w:r>
        <w:t xml:space="preserve"/>
      </w:r>
    </w:p>
    <w:p>
      <w:pPr>
        <w:spacing w:after="80" w:before="60"/>
      </w:pPr>
      <w:r>
        <w:rPr>
          <w:rFonts w:ascii="Arial" w:cs="Arial" w:eastAsia="Arial" w:hAnsi="Arial"/>
          <w:color w:val="1A1A1A"/>
          <w:sz w:val="20"/>
          <w:szCs w:val="20"/>
        </w:rPr>
        <w:t xml:space="preserve">L'outil a une vocation initiale de recherche interne, avec pour objectif de tester les modèles et les améliorer avant une adoption réelle en production.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3A5C" w:val="clear"/>
            <w:tcMar>
              <w:top w:type="dxa" w:w="120"/>
              <w:left w:type="dxa" w:w="240"/>
              <w:bottom w:type="dxa" w:w="120"/>
              <w:right w:type="dxa" w:w="240"/>
            </w:tcMar>
          </w:tcPr>
          <w:p>
            <w:r>
              <w:rPr>
                <w:rFonts w:ascii="Arial" w:cs="Arial" w:eastAsia="Arial" w:hAnsi="Arial"/>
                <w:b/>
                <w:bCs/>
                <w:color w:val="AACCEE"/>
                <w:sz w:val="24"/>
                <w:szCs w:val="24"/>
              </w:rPr>
              <w:t xml:space="preserve">AXE 2  </w:t>
            </w:r>
            <w:r>
              <w:rPr>
                <w:rFonts w:ascii="Arial" w:cs="Arial" w:eastAsia="Arial" w:hAnsi="Arial"/>
                <w:b/>
                <w:bCs/>
                <w:color w:val="FFFFFF"/>
                <w:sz w:val="24"/>
                <w:szCs w:val="24"/>
              </w:rPr>
              <w:t xml:space="preserve">  Regulatory &amp; Risk Context</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2.1 Regulatory Scope</w:t>
      </w:r>
    </w:p>
    <w:p>
      <w:pPr>
        <w:spacing w:after="80" w:before="60"/>
      </w:pPr>
      <w:r>
        <w:rPr>
          <w:rFonts w:ascii="Arial" w:cs="Arial" w:eastAsia="Arial" w:hAnsi="Arial"/>
          <w:color w:val="1A1A1A"/>
          <w:sz w:val="20"/>
          <w:szCs w:val="20"/>
        </w:rPr>
        <w:t xml:space="preserve">Le client s'appuie sur deux référentiels réglementaires majeurs pour encadrer son équipe de recherche crédit et ses modèles ECL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IFRS 9</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Norme internationale de reporting financier imposant le provisionnement des pertes attendues sur crédit (Expected Credit Loss). Exige des modèles PD, LGD et EAD robustes et auditables.</w:t>
            </w:r>
          </w:p>
        </w:tc>
      </w:tr>
      <w:tr>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Bâle III</w:t>
            </w:r>
          </w:p>
        </w:tc>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sz w:val="19"/>
                <w:szCs w:val="19"/>
              </w:rPr>
              <w:t xml:space="preserve">Cadre prudentiel bancaire définissant les exigences en fonds propres, les méthodes de calcul du risque de crédit et les standards de modélisation interne (approche IRB).</w:t>
            </w:r>
          </w:p>
        </w:tc>
      </w:tr>
    </w:tbl>
    <w:p>
      <w:pPr>
        <w:spacing w:after="0" w:before="0"/>
      </w:pPr>
      <w:r>
        <w:t xml:space="preserve"/>
      </w:r>
    </w:p>
    <w:p>
      <w:pPr>
        <w:spacing w:after="80" w:before="60"/>
      </w:pPr>
      <w:r>
        <w:rPr>
          <w:rFonts w:ascii="Arial" w:cs="Arial" w:eastAsia="Arial" w:hAnsi="Arial"/>
          <w:color w:val="1A1A1A"/>
          <w:sz w:val="20"/>
          <w:szCs w:val="20"/>
        </w:rPr>
        <w:t xml:space="preserve">Ces deux référentiels dictent les contraintes de modélisation, de documentation et de gouvernance des modèles. Ils impliquent notamment des exigences sur la transparence des modèles, leur validation indépendante et leur auditabilité.</w:t>
      </w:r>
    </w:p>
    <w:p>
      <w:pPr>
        <w:spacing w:after="0" w:before="0"/>
      </w:pPr>
      <w:r>
        <w:t xml:space="preserve"/>
      </w:r>
    </w:p>
    <w:p>
      <w:pPr>
        <w:pStyle w:val="Heading2"/>
        <w:spacing w:after="80" w:before="280"/>
      </w:pPr>
      <w:r>
        <w:rPr>
          <w:rFonts w:ascii="Arial" w:cs="Arial" w:eastAsia="Arial" w:hAnsi="Arial"/>
          <w:b/>
          <w:bCs/>
          <w:color w:val="2E75B6"/>
          <w:sz w:val="26"/>
          <w:szCs w:val="26"/>
        </w:rPr>
        <w:t xml:space="preserve">2.2 Risk Modeling Scope</w:t>
      </w:r>
    </w:p>
    <w:p>
      <w:pPr>
        <w:spacing w:after="80" w:before="60"/>
      </w:pPr>
      <w:r>
        <w:rPr>
          <w:rFonts w:ascii="Arial" w:cs="Arial" w:eastAsia="Arial" w:hAnsi="Arial"/>
          <w:color w:val="1A1A1A"/>
          <w:sz w:val="20"/>
          <w:szCs w:val="20"/>
        </w:rPr>
        <w:t xml:space="preserve">Le périmètre de modélisation du risque couvre l'ensemble de la chaîne ECL :</w:t>
      </w:r>
    </w:p>
    <w:p>
      <w:pPr>
        <w:pStyle w:val="ListParagraph"/>
        <w:numPr>
          <w:ilvl w:val="0"/>
          <w:numId w:val="2"/>
        </w:numPr>
        <w:spacing w:after="40" w:before="40"/>
      </w:pPr>
      <w:r>
        <w:rPr>
          <w:rFonts w:ascii="Arial" w:cs="Arial" w:eastAsia="Arial" w:hAnsi="Arial"/>
          <w:color w:val="1A1A1A"/>
          <w:sz w:val="20"/>
          <w:szCs w:val="20"/>
        </w:rPr>
        <w:t xml:space="preserve">PD (Probability of Default) : modèle prédictif de défaut, seuil de base fixé à 0,28</w:t>
      </w:r>
    </w:p>
    <w:p>
      <w:pPr>
        <w:pStyle w:val="ListParagraph"/>
        <w:numPr>
          <w:ilvl w:val="0"/>
          <w:numId w:val="2"/>
        </w:numPr>
        <w:spacing w:after="40" w:before="40"/>
      </w:pPr>
      <w:r>
        <w:rPr>
          <w:rFonts w:ascii="Arial" w:cs="Arial" w:eastAsia="Arial" w:hAnsi="Arial"/>
          <w:color w:val="1A1A1A"/>
          <w:sz w:val="20"/>
          <w:szCs w:val="20"/>
        </w:rPr>
        <w:t xml:space="preserve">LGD (Loss Given Default) : modélisation des pertes en cas de réalisation du défaut</w:t>
      </w:r>
    </w:p>
    <w:p>
      <w:pPr>
        <w:pStyle w:val="ListParagraph"/>
        <w:numPr>
          <w:ilvl w:val="0"/>
          <w:numId w:val="2"/>
        </w:numPr>
        <w:spacing w:after="40" w:before="40"/>
      </w:pPr>
      <w:r>
        <w:rPr>
          <w:rFonts w:ascii="Arial" w:cs="Arial" w:eastAsia="Arial" w:hAnsi="Arial"/>
          <w:color w:val="1A1A1A"/>
          <w:sz w:val="20"/>
          <w:szCs w:val="20"/>
        </w:rPr>
        <w:t xml:space="preserve">EAD (Exposure at Default) : estimation de l'exposition effective au moment du défaut</w:t>
      </w:r>
    </w:p>
    <w:p>
      <w:pPr>
        <w:spacing w:after="0" w:before="0"/>
      </w:pPr>
      <w:r>
        <w:t xml:space="preserve"/>
      </w:r>
    </w:p>
    <w:p>
      <w:pPr>
        <w:spacing w:after="80" w:before="60"/>
      </w:pPr>
      <w:r>
        <w:rPr>
          <w:rFonts w:ascii="Arial" w:cs="Arial" w:eastAsia="Arial" w:hAnsi="Arial"/>
          <w:color w:val="1A1A1A"/>
          <w:sz w:val="20"/>
          <w:szCs w:val="20"/>
        </w:rPr>
        <w:t xml:space="preserve">Les règles d'orientation de la sortie du modèle sont gouvernées par deux axes :</w:t>
      </w:r>
    </w:p>
    <w:p>
      <w:pPr>
        <w:pStyle w:val="ListParagraph"/>
        <w:numPr>
          <w:ilvl w:val="0"/>
          <w:numId w:val="2"/>
        </w:numPr>
        <w:spacing w:after="40" w:before="40"/>
      </w:pPr>
      <w:r>
        <w:rPr>
          <w:rFonts w:ascii="Arial" w:cs="Arial" w:eastAsia="Arial" w:hAnsi="Arial"/>
          <w:color w:val="1A1A1A"/>
          <w:sz w:val="20"/>
          <w:szCs w:val="20"/>
        </w:rPr>
        <w:t xml:space="preserve">Le seuillage du défaut, qui exige de minimiser les Faux Négatifs (FN) — i.e. éviter de classer à tort un mauvais payeur comme bon client</w:t>
      </w:r>
    </w:p>
    <w:p>
      <w:pPr>
        <w:pStyle w:val="ListParagraph"/>
        <w:numPr>
          <w:ilvl w:val="0"/>
          <w:numId w:val="2"/>
        </w:numPr>
        <w:spacing w:after="40" w:before="40"/>
      </w:pPr>
      <w:r>
        <w:rPr>
          <w:rFonts w:ascii="Arial" w:cs="Arial" w:eastAsia="Arial" w:hAnsi="Arial"/>
          <w:color w:val="1A1A1A"/>
          <w:sz w:val="20"/>
          <w:szCs w:val="20"/>
        </w:rPr>
        <w:t xml:space="preserve">Les contraintes réglementaires IFRS 9 et Bâle III susmentionnées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3A5C" w:val="clear"/>
            <w:tcMar>
              <w:top w:type="dxa" w:w="120"/>
              <w:left w:type="dxa" w:w="240"/>
              <w:bottom w:type="dxa" w:w="120"/>
              <w:right w:type="dxa" w:w="240"/>
            </w:tcMar>
          </w:tcPr>
          <w:p>
            <w:r>
              <w:rPr>
                <w:rFonts w:ascii="Arial" w:cs="Arial" w:eastAsia="Arial" w:hAnsi="Arial"/>
                <w:b/>
                <w:bCs/>
                <w:color w:val="AACCEE"/>
                <w:sz w:val="24"/>
                <w:szCs w:val="24"/>
              </w:rPr>
              <w:t xml:space="preserve">AXE 3  </w:t>
            </w:r>
            <w:r>
              <w:rPr>
                <w:rFonts w:ascii="Arial" w:cs="Arial" w:eastAsia="Arial" w:hAnsi="Arial"/>
                <w:b/>
                <w:bCs/>
                <w:color w:val="FFFFFF"/>
                <w:sz w:val="24"/>
                <w:szCs w:val="24"/>
              </w:rPr>
              <w:t xml:space="preserve">  Decision Strategy</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3.1 Risk Appetite</w:t>
      </w:r>
    </w:p>
    <w:p>
      <w:pPr>
        <w:spacing w:after="80" w:before="60"/>
      </w:pPr>
      <w:r>
        <w:rPr>
          <w:rFonts w:ascii="Arial" w:cs="Arial" w:eastAsia="Arial" w:hAnsi="Arial"/>
          <w:color w:val="1A1A1A"/>
          <w:sz w:val="20"/>
          <w:szCs w:val="20"/>
        </w:rPr>
        <w:t xml:space="preserve">Le client adopte une stratégie de décision agressive pour son entrée sur le marché du crédit, ce qui se traduit par les paramètres suivants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Seuil de défaut (cutoff)</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0,28 (probabilité de défaut de base)</w:t>
            </w:r>
          </w:p>
        </w:tc>
      </w:tr>
      <w:tr>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Performance attendue — défauts</w:t>
            </w:r>
          </w:p>
        </w:tc>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sz w:val="19"/>
                <w:szCs w:val="19"/>
              </w:rPr>
              <w:t xml:space="preserve">~90% des individus en défaut correctement identifiés (Recall sur classe positive)</w:t>
            </w:r>
          </w:p>
        </w:tc>
      </w:tr>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Performance attendue — bons clients</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~80% des bons clients correctement identifiés (Recall sur classe négative)</w:t>
            </w:r>
          </w:p>
        </w:tc>
      </w:tr>
      <w:tr>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Tolérance aux FN</w:t>
            </w:r>
          </w:p>
        </w:tc>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sz w:val="19"/>
                <w:szCs w:val="19"/>
              </w:rPr>
              <w:t xml:space="preserve">Faible — priorité à la détection des défauts sur la précision globale</w:t>
            </w:r>
          </w:p>
        </w:tc>
      </w:tr>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Stratégie de marge</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Des concessions sont accordées pour garantir une marge de sécurité suffisante</w:t>
            </w:r>
          </w:p>
        </w:tc>
      </w:tr>
    </w:tbl>
    <w:p>
      <w:pPr>
        <w:spacing w:after="0" w:before="0"/>
      </w:pPr>
      <w:r>
        <w:t xml:space="preserve"/>
      </w:r>
    </w:p>
    <w:p>
      <w:pPr>
        <w:spacing w:after="80" w:before="60"/>
      </w:pPr>
      <w:r>
        <w:rPr>
          <w:rFonts w:ascii="Arial" w:cs="Arial" w:eastAsia="Arial" w:hAnsi="Arial"/>
          <w:color w:val="1A1A1A"/>
          <w:sz w:val="20"/>
          <w:szCs w:val="20"/>
        </w:rPr>
        <w:t xml:space="preserve">Ce positionnement implique un compromis délibéré : accepter un taux de faux positifs plus élevé (refus de bons clients) afin de minimiser le risque de crédit non détecté. Cette stratégie est cohérente avec une phase d'entrée de marché prudente sur le plan du risque.</w:t>
      </w:r>
    </w:p>
    <w:p>
      <w:pPr>
        <w:spacing w:after="0" w:before="0"/>
      </w:pPr>
      <w:r>
        <w:t xml:space="preserve"/>
      </w:r>
    </w:p>
    <w:p>
      <w:pPr>
        <w:pStyle w:val="Heading2"/>
        <w:spacing w:after="80" w:before="280"/>
      </w:pPr>
      <w:r>
        <w:rPr>
          <w:rFonts w:ascii="Arial" w:cs="Arial" w:eastAsia="Arial" w:hAnsi="Arial"/>
          <w:b/>
          <w:bCs/>
          <w:color w:val="2E75B6"/>
          <w:sz w:val="26"/>
          <w:szCs w:val="26"/>
        </w:rPr>
        <w:t xml:space="preserve">3.2 Decision Policy Assumptions</w:t>
      </w:r>
    </w:p>
    <w:p>
      <w:pPr>
        <w:spacing w:after="80" w:before="60"/>
      </w:pPr>
      <w:r>
        <w:rPr>
          <w:rFonts w:ascii="Arial" w:cs="Arial" w:eastAsia="Arial" w:hAnsi="Arial"/>
          <w:color w:val="1A1A1A"/>
          <w:sz w:val="20"/>
          <w:szCs w:val="20"/>
        </w:rPr>
        <w:t xml:space="preserve">Le client délègue à l'équipe de modélisation la définition d'une stratégie de prévention des pertes. Certains niveaux de perte doivent déclencher des alertes. Les hypothèses de politique de décision retenues sont :</w:t>
      </w:r>
    </w:p>
    <w:p>
      <w:pPr>
        <w:pStyle w:val="ListParagraph"/>
        <w:numPr>
          <w:ilvl w:val="0"/>
          <w:numId w:val="2"/>
        </w:numPr>
        <w:spacing w:after="40" w:before="40"/>
      </w:pPr>
      <w:r>
        <w:rPr>
          <w:rFonts w:ascii="Arial" w:cs="Arial" w:eastAsia="Arial" w:hAnsi="Arial"/>
          <w:color w:val="1A1A1A"/>
          <w:sz w:val="20"/>
          <w:szCs w:val="20"/>
        </w:rPr>
        <w:t xml:space="preserve">Prédiction binaire (défaut / non-défaut) avec sortie de probabilité continue</w:t>
      </w:r>
    </w:p>
    <w:p>
      <w:pPr>
        <w:pStyle w:val="ListParagraph"/>
        <w:numPr>
          <w:ilvl w:val="0"/>
          <w:numId w:val="2"/>
        </w:numPr>
        <w:spacing w:after="40" w:before="40"/>
      </w:pPr>
      <w:r>
        <w:rPr>
          <w:rFonts w:ascii="Arial" w:cs="Arial" w:eastAsia="Arial" w:hAnsi="Arial"/>
          <w:color w:val="1A1A1A"/>
          <w:sz w:val="20"/>
          <w:szCs w:val="20"/>
        </w:rPr>
        <w:t xml:space="preserve">Seuil de classification ajustable en fonction des résultats de validation</w:t>
      </w:r>
    </w:p>
    <w:p>
      <w:pPr>
        <w:pStyle w:val="ListParagraph"/>
        <w:numPr>
          <w:ilvl w:val="0"/>
          <w:numId w:val="2"/>
        </w:numPr>
        <w:spacing w:after="40" w:before="40"/>
      </w:pPr>
      <w:r>
        <w:rPr>
          <w:rFonts w:ascii="Arial" w:cs="Arial" w:eastAsia="Arial" w:hAnsi="Arial"/>
          <w:color w:val="1A1A1A"/>
          <w:sz w:val="20"/>
          <w:szCs w:val="20"/>
        </w:rPr>
        <w:t xml:space="preserve">Stratégie d'alerte à définir selon les niveaux de perte observés</w:t>
      </w:r>
    </w:p>
    <w:p>
      <w:pPr>
        <w:pStyle w:val="ListParagraph"/>
        <w:numPr>
          <w:ilvl w:val="0"/>
          <w:numId w:val="2"/>
        </w:numPr>
        <w:spacing w:after="40" w:before="40"/>
      </w:pPr>
      <w:r>
        <w:rPr>
          <w:rFonts w:ascii="Arial" w:cs="Arial" w:eastAsia="Arial" w:hAnsi="Arial"/>
          <w:color w:val="1A1A1A"/>
          <w:sz w:val="20"/>
          <w:szCs w:val="20"/>
        </w:rPr>
        <w:t xml:space="preserve">Intégration de règles métier dans le composant de recommandation (wrapping des modèles)</w:t>
      </w:r>
    </w:p>
    <w:p>
      <w:pPr>
        <w:pStyle w:val="ListParagraph"/>
        <w:numPr>
          <w:ilvl w:val="0"/>
          <w:numId w:val="2"/>
        </w:numPr>
        <w:spacing w:after="40" w:before="40"/>
      </w:pPr>
      <w:r>
        <w:rPr>
          <w:rFonts w:ascii="Arial" w:cs="Arial" w:eastAsia="Arial" w:hAnsi="Arial"/>
          <w:color w:val="1A1A1A"/>
          <w:sz w:val="20"/>
          <w:szCs w:val="20"/>
        </w:rPr>
        <w:t xml:space="preserve">Les modèles doivent prédire presque à 90% les individus en défaut et à 80% les bons clients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3A5C" w:val="clear"/>
            <w:tcMar>
              <w:top w:type="dxa" w:w="120"/>
              <w:left w:type="dxa" w:w="240"/>
              <w:bottom w:type="dxa" w:w="120"/>
              <w:right w:type="dxa" w:w="240"/>
            </w:tcMar>
          </w:tcPr>
          <w:p>
            <w:r>
              <w:rPr>
                <w:rFonts w:ascii="Arial" w:cs="Arial" w:eastAsia="Arial" w:hAnsi="Arial"/>
                <w:b/>
                <w:bCs/>
                <w:color w:val="AACCEE"/>
                <w:sz w:val="24"/>
                <w:szCs w:val="24"/>
              </w:rPr>
              <w:t xml:space="preserve">AXE 4  </w:t>
            </w:r>
            <w:r>
              <w:rPr>
                <w:rFonts w:ascii="Arial" w:cs="Arial" w:eastAsia="Arial" w:hAnsi="Arial"/>
                <w:b/>
                <w:bCs/>
                <w:color w:val="FFFFFF"/>
                <w:sz w:val="24"/>
                <w:szCs w:val="24"/>
              </w:rPr>
              <w:t xml:space="preserve">  Data Considerations</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4.1 Data Acquisition Strategy</w:t>
      </w:r>
    </w:p>
    <w:p>
      <w:pPr>
        <w:spacing w:after="80" w:before="60"/>
      </w:pPr>
      <w:r>
        <w:rPr>
          <w:rFonts w:ascii="Arial" w:cs="Arial" w:eastAsia="Arial" w:hAnsi="Arial"/>
          <w:color w:val="1A1A1A"/>
          <w:sz w:val="20"/>
          <w:szCs w:val="20"/>
        </w:rPr>
        <w:t xml:space="preserve">Le client ne dispose pas d'un historique de données de crédit propriétaire, étant donné que son activité principale est le transfert de fonds. La stratégie de données retenue est la suivante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Source de données</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Dataset public disponible se rapprochant du domaine d'activité</w:t>
            </w:r>
          </w:p>
        </w:tc>
      </w:tr>
      <w:tr>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Justification</w:t>
            </w:r>
          </w:p>
        </w:tc>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sz w:val="19"/>
                <w:szCs w:val="19"/>
              </w:rPr>
              <w:t xml:space="preserve">L'outil étant d'abord à usage de recherche interne, l'exploitation d'un dataset existant est acceptable pour la phase de prototypage</w:t>
            </w:r>
          </w:p>
        </w:tc>
      </w:tr>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Responsabilité</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L'équipe Data a la charge de trouver un dataset répondant aux exigences de temporalité et de proximité métier</w:t>
            </w:r>
          </w:p>
        </w:tc>
      </w:tr>
      <w:tr>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Mode d'ingestion (serving)</w:t>
            </w:r>
          </w:p>
        </w:tc>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sz w:val="19"/>
                <w:szCs w:val="19"/>
              </w:rPr>
              <w:t xml:space="preserve">Hybride — données batch et données temps réel selon le cas d'usage</w:t>
            </w:r>
          </w:p>
        </w:tc>
      </w:tr>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Critères de sélection</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Temporalité des données, représentativité du profil client, variables suffisantes pour PD/LGD/EAD</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4.2 Data Constraints</w:t>
      </w:r>
    </w:p>
    <w:p>
      <w:pPr>
        <w:spacing w:after="80" w:before="60"/>
      </w:pPr>
      <w:r>
        <w:rPr>
          <w:rFonts w:ascii="Arial" w:cs="Arial" w:eastAsia="Arial" w:hAnsi="Arial"/>
          <w:color w:val="1A1A1A"/>
          <w:sz w:val="20"/>
          <w:szCs w:val="20"/>
        </w:rPr>
        <w:t xml:space="preserve">Plusieurs contraintes critiques encadrent la gestion des données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BDD5E8" w:sz="1"/>
              <w:left w:val="single" w:color="BDD5E8" w:sz="1"/>
              <w:bottom w:val="single" w:color="BDD5E8" w:sz="1"/>
              <w:right w:val="single" w:color="BDD5E8"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Contrainte</w:t>
            </w:r>
          </w:p>
        </w:tc>
        <w:tc>
          <w:tcPr>
            <w:tcBorders>
              <w:top w:val="single" w:color="BDD5E8" w:sz="1"/>
              <w:left w:val="single" w:color="BDD5E8" w:sz="1"/>
              <w:bottom w:val="single" w:color="BDD5E8" w:sz="1"/>
              <w:right w:val="single" w:color="BDD5E8"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Description</w:t>
            </w:r>
          </w:p>
        </w:tc>
      </w:tr>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555555"/>
                <w:sz w:val="19"/>
                <w:szCs w:val="19"/>
              </w:rPr>
              <w:t xml:space="preserve">Data Leakage</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L'équipe Data doit identifier et isoler les variables sujettes au leakage (variables connues uniquement après le défaut, ou corrélées trivialement avec la variable cible). Traitement obligatoire avant modélisation.</w:t>
            </w:r>
          </w:p>
        </w:tc>
      </w:tr>
      <w:tr>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Temporalité</w:t>
            </w:r>
          </w:p>
        </w:tc>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sz w:val="19"/>
                <w:szCs w:val="19"/>
              </w:rPr>
              <w:t xml:space="preserve">Le dataset sélectionné doit respecter la temporalité inhérente au crédit — les données d'entrainement ne doivent pas contenir d'information future par rapport à la date d'observation.</w:t>
            </w:r>
          </w:p>
        </w:tc>
      </w:tr>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555555"/>
                <w:sz w:val="19"/>
                <w:szCs w:val="19"/>
              </w:rPr>
              <w:t xml:space="preserve">Représentativité</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Le dataset doit se rapprocher du profil de clients de la fintech (usage de transferts, profil international, comportement de paiement).</w:t>
            </w:r>
          </w:p>
        </w:tc>
      </w:tr>
      <w:tr>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Ingestion hybride</w:t>
            </w:r>
          </w:p>
        </w:tc>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sz w:val="19"/>
                <w:szCs w:val="19"/>
              </w:rPr>
              <w:t xml:space="preserve">Le serving sera hybride : données en batch pour les recommandations pré-calculées lors de l'ouverture de l'app, et données temps réel pour les recommandations dynamiques selon le comportement de navigation.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3A5C" w:val="clear"/>
            <w:tcMar>
              <w:top w:type="dxa" w:w="120"/>
              <w:left w:type="dxa" w:w="240"/>
              <w:bottom w:type="dxa" w:w="120"/>
              <w:right w:type="dxa" w:w="240"/>
            </w:tcMar>
          </w:tcPr>
          <w:p>
            <w:r>
              <w:rPr>
                <w:rFonts w:ascii="Arial" w:cs="Arial" w:eastAsia="Arial" w:hAnsi="Arial"/>
                <w:b/>
                <w:bCs/>
                <w:color w:val="AACCEE"/>
                <w:sz w:val="24"/>
                <w:szCs w:val="24"/>
              </w:rPr>
              <w:t xml:space="preserve">AXE 5  </w:t>
            </w:r>
            <w:r>
              <w:rPr>
                <w:rFonts w:ascii="Arial" w:cs="Arial" w:eastAsia="Arial" w:hAnsi="Arial"/>
                <w:b/>
                <w:bCs/>
                <w:color w:val="FFFFFF"/>
                <w:sz w:val="24"/>
                <w:szCs w:val="24"/>
              </w:rPr>
              <w:t xml:space="preserve">  System Usage</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5.1 Target System Vision</w:t>
      </w:r>
    </w:p>
    <w:p>
      <w:pPr>
        <w:spacing w:after="80" w:before="60"/>
      </w:pPr>
      <w:r>
        <w:rPr>
          <w:rFonts w:ascii="Arial" w:cs="Arial" w:eastAsia="Arial" w:hAnsi="Arial"/>
          <w:color w:val="1A1A1A"/>
          <w:sz w:val="20"/>
          <w:szCs w:val="20"/>
        </w:rPr>
        <w:t xml:space="preserve">L'architecture cible du système de recommandation de crédit est envisagée en deux phases d'évolution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Phase 1 — Conteneur</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Interface simple tournant dans un conteneur Docker. Les modèles ECL sont exposés via API. Le composant de recommandation wrappe les règles nécessaires et consomme les sorties des modèles.</w:t>
            </w:r>
          </w:p>
        </w:tc>
      </w:tr>
      <w:tr>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Phase 2 — Web App</w:t>
            </w:r>
          </w:p>
        </w:tc>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sz w:val="19"/>
                <w:szCs w:val="19"/>
              </w:rPr>
              <w:t xml:space="preserve">Application web complète avec interface ergonomique. Possibilité de recommandation en batch (au login) et en temps réel (navigation en cours).</w:t>
            </w:r>
          </w:p>
        </w:tc>
      </w:tr>
      <w:tr>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b/>
                <w:bCs/>
                <w:color w:val="1A3A5C"/>
                <w:sz w:val="19"/>
                <w:szCs w:val="19"/>
              </w:rPr>
              <w:t xml:space="preserve">Mode de recommandation</w:t>
            </w:r>
          </w:p>
        </w:tc>
        <w:tc>
          <w:tcPr>
            <w:tcBorders>
              <w:top w:val="single" w:color="BDD5E8" w:sz="1"/>
              <w:left w:val="single" w:color="BDD5E8" w:sz="1"/>
              <w:bottom w:val="single" w:color="BDD5E8" w:sz="1"/>
              <w:right w:val="single" w:color="BDD5E8" w:sz="1"/>
            </w:tcBorders>
            <w:shd w:fill="EBF3FA" w:val="clear"/>
            <w:tcMar>
              <w:top w:type="dxa" w:w="80"/>
              <w:left w:type="dxa" w:w="120"/>
              <w:bottom w:type="dxa" w:w="80"/>
              <w:right w:type="dxa" w:w="120"/>
            </w:tcMar>
          </w:tcPr>
          <w:p>
            <w:r>
              <w:rPr>
                <w:rFonts w:ascii="Arial" w:cs="Arial" w:eastAsia="Arial" w:hAnsi="Arial"/>
                <w:sz w:val="19"/>
                <w:szCs w:val="19"/>
              </w:rPr>
              <w:t xml:space="preserve">Batch : recommandations pré-calculées à l'ouverture de l'application, basées sur l'historique d'usage. Temps réel : recommandation dynamique selon le comportement en cours.</w:t>
            </w:r>
          </w:p>
        </w:tc>
      </w:tr>
      <w:tr>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b/>
                <w:bCs/>
                <w:color w:val="1A3A5C"/>
                <w:sz w:val="19"/>
                <w:szCs w:val="19"/>
              </w:rPr>
              <w:t xml:space="preserve">Consommation des modèles</w:t>
            </w:r>
          </w:p>
        </w:tc>
        <w:tc>
          <w:tcPr>
            <w:tcBorders>
              <w:top w:val="single" w:color="BDD5E8" w:sz="1"/>
              <w:left w:val="single" w:color="BDD5E8" w:sz="1"/>
              <w:bottom w:val="single" w:color="BDD5E8" w:sz="1"/>
              <w:right w:val="single" w:color="BDD5E8" w:sz="1"/>
            </w:tcBorders>
            <w:shd w:fill="FFFFFF" w:val="clear"/>
            <w:tcMar>
              <w:top w:type="dxa" w:w="80"/>
              <w:left w:type="dxa" w:w="120"/>
              <w:bottom w:type="dxa" w:w="80"/>
              <w:right w:type="dxa" w:w="120"/>
            </w:tcMar>
          </w:tcPr>
          <w:p>
            <w:r>
              <w:rPr>
                <w:rFonts w:ascii="Arial" w:cs="Arial" w:eastAsia="Arial" w:hAnsi="Arial"/>
                <w:sz w:val="19"/>
                <w:szCs w:val="19"/>
              </w:rPr>
              <w:t xml:space="preserve">Consommation API — les modèles issus de l'ECL alimentent un composant de recommandation qui wrappent les règles métier nécessaires.</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5.2 Integration Expectations</w:t>
      </w:r>
    </w:p>
    <w:p>
      <w:pPr>
        <w:spacing w:after="80" w:before="60"/>
      </w:pPr>
      <w:r>
        <w:rPr>
          <w:rFonts w:ascii="Arial" w:cs="Arial" w:eastAsia="Arial" w:hAnsi="Arial"/>
          <w:color w:val="1A1A1A"/>
          <w:sz w:val="20"/>
          <w:szCs w:val="20"/>
        </w:rPr>
        <w:t xml:space="preserve">Le composant de recommandation est central dans l'architecture. Il exploite les sorties des trois modèles ECL pour proposer des produits de crédit adaptés au profil de chaque client :</w:t>
      </w:r>
    </w:p>
    <w:p>
      <w:pPr>
        <w:pStyle w:val="ListParagraph"/>
        <w:numPr>
          <w:ilvl w:val="0"/>
          <w:numId w:val="2"/>
        </w:numPr>
        <w:spacing w:after="40" w:before="40"/>
      </w:pPr>
      <w:r>
        <w:rPr>
          <w:rFonts w:ascii="Arial" w:cs="Arial" w:eastAsia="Arial" w:hAnsi="Arial"/>
          <w:color w:val="1A1A1A"/>
          <w:sz w:val="20"/>
          <w:szCs w:val="20"/>
        </w:rPr>
        <w:t xml:space="preserve">Exploitation de l'historique d'usage passé du client pour personnaliser les recommandations</w:t>
      </w:r>
    </w:p>
    <w:p>
      <w:pPr>
        <w:pStyle w:val="ListParagraph"/>
        <w:numPr>
          <w:ilvl w:val="0"/>
          <w:numId w:val="2"/>
        </w:numPr>
        <w:spacing w:after="40" w:before="40"/>
      </w:pPr>
      <w:r>
        <w:rPr>
          <w:rFonts w:ascii="Arial" w:cs="Arial" w:eastAsia="Arial" w:hAnsi="Arial"/>
          <w:color w:val="1A1A1A"/>
          <w:sz w:val="20"/>
          <w:szCs w:val="20"/>
        </w:rPr>
        <w:t xml:space="preserve">Recommandation de crédit en temps réel pour un client cherchant à acheter des produits depuis l'étranger via crédit</w:t>
      </w:r>
    </w:p>
    <w:p>
      <w:pPr>
        <w:pStyle w:val="ListParagraph"/>
        <w:numPr>
          <w:ilvl w:val="0"/>
          <w:numId w:val="2"/>
        </w:numPr>
        <w:spacing w:after="40" w:before="40"/>
      </w:pPr>
      <w:r>
        <w:rPr>
          <w:rFonts w:ascii="Arial" w:cs="Arial" w:eastAsia="Arial" w:hAnsi="Arial"/>
          <w:color w:val="1A1A1A"/>
          <w:sz w:val="20"/>
          <w:szCs w:val="20"/>
        </w:rPr>
        <w:t xml:space="preserve">Recommandation batch pour des produits d'achat en gros (mêler logistique et crédit)</w:t>
      </w:r>
    </w:p>
    <w:p>
      <w:pPr>
        <w:pStyle w:val="ListParagraph"/>
        <w:numPr>
          <w:ilvl w:val="0"/>
          <w:numId w:val="2"/>
        </w:numPr>
        <w:spacing w:after="40" w:before="40"/>
      </w:pPr>
      <w:r>
        <w:rPr>
          <w:rFonts w:ascii="Arial" w:cs="Arial" w:eastAsia="Arial" w:hAnsi="Arial"/>
          <w:color w:val="1A1A1A"/>
          <w:sz w:val="20"/>
          <w:szCs w:val="20"/>
        </w:rPr>
        <w:t xml:space="preserve">Le système doit intégrer des prédispositions pour la recommandation dès la phase de design</w:t>
      </w:r>
    </w:p>
    <w:p>
      <w:pPr>
        <w:pStyle w:val="ListParagraph"/>
        <w:numPr>
          <w:ilvl w:val="0"/>
          <w:numId w:val="2"/>
        </w:numPr>
        <w:spacing w:after="40" w:before="40"/>
      </w:pPr>
      <w:r>
        <w:rPr>
          <w:rFonts w:ascii="Arial" w:cs="Arial" w:eastAsia="Arial" w:hAnsi="Arial"/>
          <w:color w:val="1A1A1A"/>
          <w:sz w:val="20"/>
          <w:szCs w:val="20"/>
        </w:rPr>
        <w:t xml:space="preserve">Les recommandations sont déclenchées à l'ouverture de l'app et correspondent aux usages historiques du client</w:t>
      </w:r>
    </w:p>
    <w:p>
      <w:pPr>
        <w:spacing w:after="0" w:before="0"/>
      </w:pPr>
      <w:r>
        <w:t xml:space="preserve"/>
      </w:r>
    </w:p>
    <w:p>
      <w:pPr>
        <w:spacing w:after="0" w:before="0"/>
      </w:pPr>
      <w:r>
        <w:t xml:space="preserve"/>
      </w:r>
    </w:p>
    <w:p>
      <w:pPr>
        <w:spacing w:after="80" w:before="60"/>
      </w:pPr>
      <w:r>
        <w:rPr>
          <w:rFonts w:ascii="Arial" w:cs="Arial" w:eastAsia="Arial" w:hAnsi="Arial"/>
          <w:color w:val="1A1A1A"/>
          <w:sz w:val="20"/>
          <w:szCs w:val="20"/>
        </w:rPr>
        <w:t xml:space="preserve">Le client a exprimé une vision d'offres combinant logistique et crédit, notamment pour faciliter l'achat de produits en gros depuis l'étranger — une spécificité forte liée à son activité de transferts internationaux.</w:t>
      </w:r>
    </w:p>
    <w:p>
      <w:r>
        <w:br w:type="page"/>
      </w:r>
    </w:p>
    <w:p>
      <w:pPr>
        <w:pStyle w:val="Heading1"/>
        <w:pBdr>
          <w:bottom w:val="single" w:color="2E75B6" w:sz="8" w:space="4"/>
        </w:pBdr>
        <w:spacing w:after="120" w:before="400"/>
      </w:pPr>
      <w:r>
        <w:rPr>
          <w:rFonts w:ascii="Arial" w:cs="Arial" w:eastAsia="Arial" w:hAnsi="Arial"/>
          <w:b/>
          <w:bCs/>
          <w:color w:val="1A3A5C"/>
          <w:sz w:val="32"/>
          <w:szCs w:val="32"/>
        </w:rPr>
        <w:t xml:space="preserve">Synthèse &amp; Points d'Attention</w:t>
      </w:r>
    </w:p>
    <w:p>
      <w:pPr>
        <w:spacing w:after="0" w:before="0"/>
      </w:pPr>
      <w:r>
        <w:t xml:space="preserve"/>
      </w:r>
    </w:p>
    <w:p>
      <w:pPr>
        <w:pStyle w:val="Heading2"/>
        <w:spacing w:after="80" w:before="280"/>
      </w:pPr>
      <w:r>
        <w:rPr>
          <w:rFonts w:ascii="Arial" w:cs="Arial" w:eastAsia="Arial" w:hAnsi="Arial"/>
          <w:b/>
          <w:bCs/>
          <w:color w:val="2E75B6"/>
          <w:sz w:val="26"/>
          <w:szCs w:val="26"/>
        </w:rPr>
        <w:t xml:space="preserve">Hypothèses critiques à valider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1800"/>
        <w:gridCol w:w="1560"/>
      </w:tblGrid>
      <w:tr>
        <w:tc>
          <w:tcPr>
            <w:tcBorders>
              <w:top w:val="single" w:color="BDD5E8" w:sz="1"/>
              <w:left w:val="single" w:color="BDD5E8" w:sz="1"/>
              <w:bottom w:val="single" w:color="BDD5E8" w:sz="1"/>
              <w:right w:val="single" w:color="BDD5E8"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BDD5E8" w:sz="1"/>
              <w:left w:val="single" w:color="BDD5E8" w:sz="1"/>
              <w:bottom w:val="single" w:color="BDD5E8" w:sz="1"/>
              <w:right w:val="single" w:color="BDD5E8"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Hypothèse</w:t>
            </w:r>
          </w:p>
        </w:tc>
        <w:tc>
          <w:tcPr>
            <w:tcBorders>
              <w:top w:val="single" w:color="BDD5E8" w:sz="1"/>
              <w:left w:val="single" w:color="BDD5E8" w:sz="1"/>
              <w:bottom w:val="single" w:color="BDD5E8" w:sz="1"/>
              <w:right w:val="single" w:color="BDD5E8"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Axe concerné</w:t>
            </w:r>
          </w:p>
        </w:tc>
        <w:tc>
          <w:tcPr>
            <w:tcBorders>
              <w:top w:val="single" w:color="BDD5E8" w:sz="1"/>
              <w:left w:val="single" w:color="BDD5E8" w:sz="1"/>
              <w:bottom w:val="single" w:color="BDD5E8" w:sz="1"/>
              <w:right w:val="single" w:color="BDD5E8"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Statut</w:t>
            </w:r>
          </w:p>
        </w:tc>
      </w:tr>
      <w:tr>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b/>
                <w:bCs/>
                <w:sz w:val="18"/>
                <w:szCs w:val="18"/>
              </w:rPr>
              <w:t xml:space="preserve">1</w:t>
            </w:r>
          </w:p>
        </w:tc>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sz w:val="18"/>
                <w:szCs w:val="18"/>
              </w:rPr>
              <w:t xml:space="preserve">Le seuil de défaut de 0,28 est validé par le métier et sera ajusté post-validation</w:t>
            </w:r>
          </w:p>
        </w:tc>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sz w:val="18"/>
                <w:szCs w:val="18"/>
              </w:rPr>
              <w:t xml:space="preserve">Axe 3</w:t>
            </w:r>
          </w:p>
        </w:tc>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b w:val="false"/>
                <w:bCs w:val="false"/>
                <w:color w:val="1A1A1A"/>
                <w:sz w:val="18"/>
                <w:szCs w:val="18"/>
              </w:rPr>
              <w:t xml:space="preserve">A valider</w:t>
            </w:r>
          </w:p>
        </w:tc>
      </w:tr>
      <w:tr>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b/>
                <w:bCs/>
                <w:sz w:val="18"/>
                <w:szCs w:val="18"/>
              </w:rPr>
              <w:t xml:space="preserve">2</w:t>
            </w:r>
          </w:p>
        </w:tc>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sz w:val="18"/>
                <w:szCs w:val="18"/>
              </w:rPr>
              <w:t xml:space="preserve">Le dataset public sélectionné par l'équipe Data est suffisamment représentatif</w:t>
            </w:r>
          </w:p>
        </w:tc>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sz w:val="18"/>
                <w:szCs w:val="18"/>
              </w:rPr>
              <w:t xml:space="preserve">Axe 4</w:t>
            </w:r>
          </w:p>
        </w:tc>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 valider</w:t>
            </w:r>
          </w:p>
        </w:tc>
      </w:tr>
      <w:tr>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b/>
                <w:bCs/>
                <w:sz w:val="18"/>
                <w:szCs w:val="18"/>
              </w:rPr>
              <w:t xml:space="preserve">3</w:t>
            </w:r>
          </w:p>
        </w:tc>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sz w:val="18"/>
                <w:szCs w:val="18"/>
              </w:rPr>
              <w:t xml:space="preserve">L'objectif de recall 90%/80% est atteignable avec le dataset retenu</w:t>
            </w:r>
          </w:p>
        </w:tc>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sz w:val="18"/>
                <w:szCs w:val="18"/>
              </w:rPr>
              <w:t xml:space="preserve">Axe 3</w:t>
            </w:r>
          </w:p>
        </w:tc>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b w:val="false"/>
                <w:bCs w:val="false"/>
                <w:color w:val="1A1A1A"/>
                <w:sz w:val="18"/>
                <w:szCs w:val="18"/>
              </w:rPr>
              <w:t xml:space="preserve">A valider</w:t>
            </w:r>
          </w:p>
        </w:tc>
      </w:tr>
      <w:tr>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b/>
                <w:bCs/>
                <w:sz w:val="18"/>
                <w:szCs w:val="18"/>
              </w:rPr>
              <w:t xml:space="preserve">4</w:t>
            </w:r>
          </w:p>
        </w:tc>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sz w:val="18"/>
                <w:szCs w:val="18"/>
              </w:rPr>
              <w:t xml:space="preserve">La conformité IFRS 9 et Bâle III s'applique dès le prototype ou uniquement en production</w:t>
            </w:r>
          </w:p>
        </w:tc>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sz w:val="18"/>
                <w:szCs w:val="18"/>
              </w:rPr>
              <w:t xml:space="preserve">Axe 2</w:t>
            </w:r>
          </w:p>
        </w:tc>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b/>
                <w:bCs/>
                <w:color w:val="C0392B"/>
                <w:sz w:val="18"/>
                <w:szCs w:val="18"/>
              </w:rPr>
              <w:t xml:space="preserve">A clarifier</w:t>
            </w:r>
          </w:p>
        </w:tc>
      </w:tr>
      <w:tr>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b/>
                <w:bCs/>
                <w:sz w:val="18"/>
                <w:szCs w:val="18"/>
              </w:rPr>
              <w:t xml:space="preserve">5</w:t>
            </w:r>
          </w:p>
        </w:tc>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sz w:val="18"/>
                <w:szCs w:val="18"/>
              </w:rPr>
              <w:t xml:space="preserve">Le mode d'ingestion hybride est techniquement faisable dans le délai de 2 semaines</w:t>
            </w:r>
          </w:p>
        </w:tc>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sz w:val="18"/>
                <w:szCs w:val="18"/>
              </w:rPr>
              <w:t xml:space="preserve">Axe 4 &amp; 5</w:t>
            </w:r>
          </w:p>
        </w:tc>
        <w:tc>
          <w:tcPr>
            <w:tcBorders>
              <w:top w:val="single" w:color="BDD5E8" w:sz="1"/>
              <w:left w:val="single" w:color="BDD5E8" w:sz="1"/>
              <w:bottom w:val="single" w:color="BDD5E8" w:sz="1"/>
              <w:right w:val="single" w:color="BDD5E8" w:sz="1"/>
            </w:tcBorders>
            <w:shd w:fill="EBF3FA" w:val="clear"/>
            <w:tcMar>
              <w:top w:type="dxa" w:w="80"/>
              <w:left w:type="dxa" w:w="100"/>
              <w:bottom w:type="dxa" w:w="80"/>
              <w:right w:type="dxa" w:w="100"/>
            </w:tcMar>
          </w:tcPr>
          <w:p>
            <w:r>
              <w:rPr>
                <w:rFonts w:ascii="Arial" w:cs="Arial" w:eastAsia="Arial" w:hAnsi="Arial"/>
                <w:b w:val="false"/>
                <w:bCs w:val="false"/>
                <w:color w:val="1A1A1A"/>
                <w:sz w:val="18"/>
                <w:szCs w:val="18"/>
              </w:rPr>
              <w:t xml:space="preserve">A valider</w:t>
            </w:r>
          </w:p>
        </w:tc>
      </w:tr>
      <w:tr>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b/>
                <w:bCs/>
                <w:sz w:val="18"/>
                <w:szCs w:val="18"/>
              </w:rPr>
              <w:t xml:space="preserve">6</w:t>
            </w:r>
          </w:p>
        </w:tc>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sz w:val="18"/>
                <w:szCs w:val="18"/>
              </w:rPr>
              <w:t xml:space="preserve">La recommandation batch au login est suffisante pour le MVP Phase 1</w:t>
            </w:r>
          </w:p>
        </w:tc>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sz w:val="18"/>
                <w:szCs w:val="18"/>
              </w:rPr>
              <w:t xml:space="preserve">Axe 5</w:t>
            </w:r>
          </w:p>
        </w:tc>
        <w:tc>
          <w:tcPr>
            <w:tcBorders>
              <w:top w:val="single" w:color="BDD5E8" w:sz="1"/>
              <w:left w:val="single" w:color="BDD5E8" w:sz="1"/>
              <w:bottom w:val="single" w:color="BDD5E8" w:sz="1"/>
              <w:right w:val="single" w:color="BDD5E8" w:sz="1"/>
            </w:tcBorders>
            <w:shd w:fill="FFFFFF" w:val="clear"/>
            <w:tcMar>
              <w:top w:type="dxa" w:w="80"/>
              <w:left w:type="dxa" w:w="100"/>
              <w:bottom w:type="dxa" w:w="80"/>
              <w:right w:type="dxa" w:w="100"/>
            </w:tcMar>
          </w:tcPr>
          <w:p>
            <w:r>
              <w:rPr>
                <w:rFonts w:ascii="Arial" w:cs="Arial" w:eastAsia="Arial" w:hAnsi="Arial"/>
                <w:b w:val="false"/>
                <w:bCs w:val="false"/>
                <w:color w:val="27AE60"/>
                <w:sz w:val="18"/>
                <w:szCs w:val="18"/>
              </w:rPr>
              <w:t xml:space="preserve">Assumé</w:t>
            </w:r>
          </w:p>
        </w:tc>
      </w:tr>
    </w:tbl>
    <w:p>
      <w:pPr>
        <w:spacing w:after="0" w:before="0"/>
      </w:pPr>
      <w:r>
        <w:t xml:space="preserve"/>
      </w:r>
    </w:p>
    <w:p>
      <w:pPr>
        <w:spacing w:after="0" w:before="0"/>
      </w:pPr>
      <w:r>
        <w:t xml:space="preserve"/>
      </w:r>
    </w:p>
    <w:p>
      <w:pPr>
        <w:pStyle w:val="Heading2"/>
        <w:spacing w:after="80" w:before="280"/>
      </w:pPr>
      <w:r>
        <w:rPr>
          <w:rFonts w:ascii="Arial" w:cs="Arial" w:eastAsia="Arial" w:hAnsi="Arial"/>
          <w:b/>
          <w:bCs/>
          <w:color w:val="2E75B6"/>
          <w:sz w:val="26"/>
          <w:szCs w:val="26"/>
        </w:rPr>
        <w:t xml:space="preserve">Prochaines étapes recommandées</w:t>
      </w:r>
    </w:p>
    <w:p>
      <w:pPr>
        <w:pStyle w:val="ListParagraph"/>
        <w:numPr>
          <w:ilvl w:val="0"/>
          <w:numId w:val="2"/>
        </w:numPr>
        <w:spacing w:after="40" w:before="40"/>
      </w:pPr>
      <w:r>
        <w:rPr>
          <w:rFonts w:ascii="Arial" w:cs="Arial" w:eastAsia="Arial" w:hAnsi="Arial"/>
          <w:color w:val="1A1A1A"/>
          <w:sz w:val="20"/>
          <w:szCs w:val="20"/>
        </w:rPr>
        <w:t xml:space="preserve">Validation du Business Assumption Document par le client (session de revue)</w:t>
      </w:r>
    </w:p>
    <w:p>
      <w:pPr>
        <w:pStyle w:val="ListParagraph"/>
        <w:numPr>
          <w:ilvl w:val="0"/>
          <w:numId w:val="2"/>
        </w:numPr>
        <w:spacing w:after="40" w:before="40"/>
      </w:pPr>
      <w:r>
        <w:rPr>
          <w:rFonts w:ascii="Arial" w:cs="Arial" w:eastAsia="Arial" w:hAnsi="Arial"/>
          <w:color w:val="1A1A1A"/>
          <w:sz w:val="20"/>
          <w:szCs w:val="20"/>
        </w:rPr>
        <w:t xml:space="preserve">Lancement de la recherche de dataset par l'équipe Data (contraintes de temporalité et de représentativité)</w:t>
      </w:r>
    </w:p>
    <w:p>
      <w:pPr>
        <w:pStyle w:val="ListParagraph"/>
        <w:numPr>
          <w:ilvl w:val="0"/>
          <w:numId w:val="2"/>
        </w:numPr>
        <w:spacing w:after="40" w:before="40"/>
      </w:pPr>
      <w:r>
        <w:rPr>
          <w:rFonts w:ascii="Arial" w:cs="Arial" w:eastAsia="Arial" w:hAnsi="Arial"/>
          <w:color w:val="1A1A1A"/>
          <w:sz w:val="20"/>
          <w:szCs w:val="20"/>
        </w:rPr>
        <w:t xml:space="preserve">Définition de la stratégie de prévention des pertes par l'équipe de modélisation</w:t>
      </w:r>
    </w:p>
    <w:p>
      <w:pPr>
        <w:pStyle w:val="ListParagraph"/>
        <w:numPr>
          <w:ilvl w:val="0"/>
          <w:numId w:val="2"/>
        </w:numPr>
        <w:spacing w:after="40" w:before="40"/>
      </w:pPr>
      <w:r>
        <w:rPr>
          <w:rFonts w:ascii="Arial" w:cs="Arial" w:eastAsia="Arial" w:hAnsi="Arial"/>
          <w:color w:val="1A1A1A"/>
          <w:sz w:val="20"/>
          <w:szCs w:val="20"/>
        </w:rPr>
        <w:t xml:space="preserve">Configuration de l'environnement de développement et de la stack technique</w:t>
      </w:r>
    </w:p>
    <w:p>
      <w:pPr>
        <w:pStyle w:val="ListParagraph"/>
        <w:numPr>
          <w:ilvl w:val="0"/>
          <w:numId w:val="2"/>
        </w:numPr>
        <w:spacing w:after="40" w:before="40"/>
      </w:pPr>
      <w:r>
        <w:rPr>
          <w:rFonts w:ascii="Arial" w:cs="Arial" w:eastAsia="Arial" w:hAnsi="Arial"/>
          <w:color w:val="1A1A1A"/>
          <w:sz w:val="20"/>
          <w:szCs w:val="20"/>
        </w:rPr>
        <w:t xml:space="preserve">Planification des sprints de la phase Projet (modélisation PD, LGD, EAD + serving)</w:t>
      </w:r>
    </w:p>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0"/>
      <w:gridCol w:w="3506"/>
    </w:tblGrid>
    <w:tr>
      <w:tc>
        <w:tcPr>
          <w:tcBorders>
            <w:top w:val="nil"/>
            <w:left w:val="nil"/>
            <w:bottom w:val="nil"/>
            <w:right w:val="nil"/>
          </w:tcBorders>
          <w:tcMar>
            <w:top w:type="dxa" w:w="60"/>
            <w:left w:type="dxa" w:w="0"/>
            <w:bottom w:type="dxa" w:w="60"/>
            <w:right w:type="dxa" w:w="0"/>
          </w:tcMar>
        </w:tcPr>
        <w:p>
          <w:r>
            <w:rPr>
              <w:rFonts w:ascii="Arial" w:cs="Arial" w:eastAsia="Arial" w:hAnsi="Arial"/>
              <w:b/>
              <w:bCs/>
              <w:color w:val="1A3A5C"/>
              <w:sz w:val="18"/>
              <w:szCs w:val="18"/>
            </w:rPr>
            <w:t xml:space="preserve">Business Assumption Document</w:t>
          </w:r>
        </w:p>
      </w:tc>
      <w:tc>
        <w:tcPr>
          <w:tcBorders>
            <w:top w:val="nil"/>
            <w:left w:val="nil"/>
            <w:bottom w:val="nil"/>
            <w:right w:val="nil"/>
          </w:tcBorders>
          <w:tcMar>
            <w:top w:type="dxa" w:w="60"/>
            <w:left w:type="dxa" w:w="0"/>
            <w:bottom w:type="dxa" w:w="60"/>
            <w:right w:type="dxa" w:w="0"/>
          </w:tcMar>
        </w:tcPr>
        <w:p>
          <w:pPr>
            <w:jc w:val="right"/>
          </w:pPr>
          <w:r>
            <w:rPr>
              <w:rFonts w:ascii="Arial" w:cs="Arial" w:eastAsia="Arial" w:hAnsi="Arial"/>
              <w:color w:val="555555"/>
              <w:sz w:val="16"/>
              <w:szCs w:val="16"/>
            </w:rPr>
            <w:t xml:space="preserve">Confidentiel  |  v1.0  |  </w:t>
          </w:r>
          <w:r>
            <w:rPr>
              <w:rFonts w:ascii="Arial" w:cs="Arial" w:eastAsia="Arial" w:hAnsi="Arial"/>
              <w:color w:val="555555"/>
              <w:sz w:val="16"/>
              <w:szCs w:val="16"/>
            </w:rPr>
            <w:t xml:space="preserve"/>
          </w:r>
        </w:p>
      </w:tc>
    </w:tr>
  </w:tbl>
  <w:p>
    <w:pPr>
      <w:pBdr>
        <w:bottom w:val="single" w:color="2E75B6" w:sz="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2026-06-02T22:26:58.540Z</dcterms:created>
  <dcterms:modified xsi:type="dcterms:W3CDTF">2026-06-02T22:26:58.540Z</dcterms:modified>
</cp:coreProperties>
</file>

<file path=docProps/custom.xml><?xml version="1.0" encoding="utf-8"?>
<Properties xmlns="http://schemas.openxmlformats.org/officeDocument/2006/custom-properties" xmlns:vt="http://schemas.openxmlformats.org/officeDocument/2006/docPropsVTypes"/>
</file>