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64" w:lineRule="auto"/>
        <w:snapToGrid w:val="0"/>
        <w:jc w:val="center"/>
      </w:pPr>
      <w:r>
        <w:rPr>
          <w:rFonts w:ascii="맑은 고딕" w:hAnsi="맑은 고딕" w:eastAsia="맑은 고딕"/>
          <w:b/>
          <w:color w:val="000000"/>
          <w:sz w:val="38"/>
        </w:rPr>
        <w:t>Sound1 음압별 ADC 기준값 산출 근거</w:t>
      </w:r>
    </w:p>
    <w:p>
      <w:pPr>
        <w:spacing w:before="0" w:after="200" w:line="300" w:lineRule="auto"/>
        <w:snapToGrid w:val="0"/>
      </w:pPr>
      <w:r>
        <w:rPr>
          <w:rFonts w:ascii="Noto Serif KR" w:hAnsi="Noto Serif KR" w:eastAsia="Noto Serif KR"/>
          <w:b w:val="0"/>
          <w:color w:val="000000"/>
          <w:sz w:val="22"/>
        </w:rPr>
        <w:t>작은 소리는 Sound1의 실측값을 반영하고, 120 dB의 ADC 기준값은 262,143으로 정했다. 아래에 29~120 dB의 기준값을 제시하고, 이어서 값을 정한 이유와 계산 방법, 실측 비교 결과를 설명한다.</w:t>
      </w:r>
    </w:p>
    <w:p>
      <w:pPr>
        <w:spacing w:before="0" w:after="200" w:line="300" w:lineRule="auto"/>
        <w:snapToGrid w:val="0"/>
      </w:pPr>
      <w:r>
        <w:rPr>
          <w:rFonts w:ascii="Noto Serif KR" w:hAnsi="Noto Serif KR" w:eastAsia="Noto Serif KR"/>
          <w:b w:val="0"/>
          <w:color w:val="000000"/>
          <w:sz w:val="22"/>
        </w:rPr>
        <w:t>표의 음압은 APx 기준 마이크 입력에 −6.29 dB 보정이 적용된 표시 음압이다. 보정 전 기준 마이크 음압은 표의 값에 6.29 dB를 더한 값이며, 시료 위치의 실제 음압과는 구분한다.</w:t>
      </w:r>
    </w:p>
    <w:p>
      <w:pPr>
        <w:pStyle w:val="Caption"/>
        <w:keepNext/>
        <w:spacing w:before="200" w:after="120" w:line="264" w:lineRule="auto"/>
      </w:pPr>
      <w:r>
        <w:rPr>
          <w:rFonts w:ascii="맑은 고딕" w:hAnsi="맑은 고딕" w:eastAsia="맑은 고딕"/>
          <w:b/>
          <w:i w:val="0"/>
          <w:color w:val="000000"/>
          <w:sz w:val="21"/>
        </w:rPr>
        <w:t xml:space="preserve">표 </w:t>
      </w:r>
      <w:fldSimple w:instr="SEQ Table \* ARABIC \* MERGEFORMAT">
        <w:r>
          <w:rPr>
            <w:rFonts w:ascii="맑은 고딕" w:hAnsi="맑은 고딕" w:eastAsia="맑은 고딕"/>
            <w:b/>
            <w:i w:val="0"/>
            <w:color w:val="000000"/>
            <w:sz w:val="21"/>
          </w:rPr>
          <w:t>1</w:t>
        </w:r>
      </w:fldSimple>
      <w:r>
        <w:rPr>
          <w:rFonts w:ascii="맑은 고딕" w:hAnsi="맑은 고딕" w:eastAsia="맑은 고딕"/>
          <w:b/>
          <w:i w:val="0"/>
          <w:color w:val="000000"/>
          <w:sz w:val="21"/>
        </w:rPr>
        <w:t xml:space="preserve">  Sound1 음압별 ADC 기준값</w:t>
      </w:r>
    </w:p>
    <w:tbl>
      <w:tblPr>
        <w:tblW w:type="auto" w:w="0"/>
        <w:tblLayout w:type="fixed"/>
        <w:tblLook w:firstColumn="1" w:firstRow="1" w:lastColumn="0" w:lastRow="0" w:noHBand="0" w:noVBand="1" w:val="04A0"/>
      </w:tblPr>
      <w:tblGrid>
        <w:gridCol w:w="4706"/>
        <w:gridCol w:w="4706"/>
      </w:tblGrid>
      <w:tr>
        <w:trPr>
          <w:cantSplit/>
          <w:tblHeader/>
        </w:trPr>
        <w:tc>
          <w:tcPr>
            <w:tcW w:type="dxa" w:w="4706"/>
            <w:tcBorders>
              <w:top w:val="single" w:sz="4" w:color="B7B7B7"/>
              <w:bottom w:val="single" w:sz="4" w:color="B7B7B7"/>
              <w:left w:val="single" w:sz="4" w:color="B7B7B7"/>
              <w:right w:val="single" w:sz="4" w:color="B7B7B7"/>
            </w:tcBorders>
            <w:shd w:fill="EEEEEE"/>
          </w:tcPr>
          <w:p>
            <w:pPr>
              <w:spacing w:before="60" w:after="60"/>
              <w:jc w:val="center"/>
            </w:pPr>
            <w:r>
              <w:rPr>
                <w:b/>
                <w:sz w:val="21"/>
              </w:rPr>
              <w:t>음압 dB SPL</w:t>
            </w:r>
          </w:p>
        </w:tc>
        <w:tc>
          <w:tcPr>
            <w:tcW w:type="dxa" w:w="4706"/>
            <w:tcBorders>
              <w:top w:val="single" w:sz="4" w:color="B7B7B7"/>
              <w:bottom w:val="single" w:sz="4" w:color="B7B7B7"/>
              <w:left w:val="single" w:sz="4" w:color="B7B7B7"/>
              <w:right w:val="single" w:sz="4" w:color="B7B7B7"/>
            </w:tcBorders>
            <w:shd w:fill="EEEEEE"/>
          </w:tcPr>
          <w:p>
            <w:pPr>
              <w:spacing w:before="60" w:after="60"/>
              <w:jc w:val="center"/>
            </w:pPr>
            <w:r>
              <w:rPr>
                <w:b/>
                <w:sz w:val="21"/>
              </w:rPr>
              <w:t>ADC 값</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29</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20</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30</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21</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31</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23</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32</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24</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33</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26</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34</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28</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35</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30</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36</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32</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37</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35</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38</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37</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39</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40</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40</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43</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41</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46</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42</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50</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43</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54</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44</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58</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45</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62</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46</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67</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47</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72</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48</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77</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49</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83</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50</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89</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51</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99</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52</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111</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53</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123</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54</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137</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55</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153</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56</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170</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57</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190</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58</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212</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59</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236</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60</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263</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61</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293</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62</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326</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63</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364</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64</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405</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65</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452</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66</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503</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67</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561</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68</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625</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69</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696</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70</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776</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71</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872</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72</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980</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73</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1,100</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74</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1,236</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75</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1,389</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76</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1,561</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77</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1,753</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78</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1,970</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79</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2,213</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80</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2,487</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81</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2,794</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82</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3,139</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83</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3,526</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84</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3,962</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85</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4,451</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86</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5,001</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87</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5,618</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88</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6,312</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89</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7,092</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90</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7,968</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91</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8,952</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92</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10,057</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93</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11,299</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94</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12,695</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95</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14,263</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96</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16,024</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97</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18,003</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98</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20,226</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99</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22,724</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100</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25,531</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101</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28,684</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102</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32,227</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103</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36,207</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104</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40,678</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105</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45,702</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106</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51,346</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107</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57,688</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108</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64,812</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109</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72,816</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110</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81,809</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111</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91,913</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112</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103,264</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113</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116,018</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114</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130,346</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115</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146,444</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116</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164,530</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117</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184,849</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118</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207,678</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119</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233,327</w:t>
            </w:r>
          </w:p>
        </w:tc>
      </w:tr>
      <w:tr>
        <w:trPr>
          <w:cantSplit/>
        </w:trPr>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120</w:t>
            </w:r>
          </w:p>
        </w:tc>
        <w:tc>
          <w:tcPr>
            <w:tcW w:type="dxa" w:w="4706"/>
            <w:tcBorders>
              <w:top w:val="single" w:sz="4" w:color="B7B7B7"/>
              <w:bottom w:val="single" w:sz="4" w:color="B7B7B7"/>
              <w:left w:val="single" w:sz="4" w:color="B7B7B7"/>
              <w:right w:val="single" w:sz="4" w:color="B7B7B7"/>
            </w:tcBorders>
          </w:tcPr>
          <w:p>
            <w:pPr>
              <w:spacing w:before="60" w:after="60"/>
              <w:jc w:val="center"/>
            </w:pPr>
            <w:r>
              <w:rPr>
                <w:b w:val="0"/>
                <w:sz w:val="21"/>
              </w:rPr>
              <w:t>262,143</w:t>
            </w:r>
          </w:p>
        </w:tc>
      </w:tr>
    </w:tbl>
    <w:p>
      <w:pPr>
        <w:keepNext/>
        <w:pageBreakBefore/>
        <w:spacing w:after="120"/>
        <w:jc w:val="center"/>
      </w:pPr>
      <w:r>
        <w:drawing>
          <wp:inline xmlns:a="http://schemas.openxmlformats.org/drawingml/2006/main" xmlns:pic="http://schemas.openxmlformats.org/drawingml/2006/picture">
            <wp:extent cx="5976000" cy="4482000"/>
            <wp:docPr id="1" name="Picture 1" descr="표 1의 29~120 dB SPL별 ADC 92개 값을 표시한 그래프. 가로축은 보정 후 표시 음압, 세로축은 로그 눈금이다. 50 dB와 70 dB에서 증가 비율이 달라진다."/>
            <wp:cNvGraphicFramePr>
              <a:graphicFrameLocks noChangeAspect="1"/>
            </wp:cNvGraphicFramePr>
            <a:graphic>
              <a:graphicData uri="http://schemas.openxmlformats.org/drawingml/2006/picture">
                <pic:pic>
                  <pic:nvPicPr>
                    <pic:cNvPr id="0" name="adc-log-chart.png"/>
                    <pic:cNvPicPr/>
                  </pic:nvPicPr>
                  <pic:blipFill>
                    <a:blip r:embed="rId10"/>
                    <a:stretch>
                      <a:fillRect/>
                    </a:stretch>
                  </pic:blipFill>
                  <pic:spPr>
                    <a:xfrm>
                      <a:off x="0" y="0"/>
                      <a:ext cx="5976000" cy="4482000"/>
                    </a:xfrm>
                    <a:prstGeom prst="rect"/>
                  </pic:spPr>
                </pic:pic>
              </a:graphicData>
            </a:graphic>
          </wp:inline>
        </w:drawing>
      </w:r>
    </w:p>
    <w:p>
      <w:pPr>
        <w:pStyle w:val="Caption"/>
        <w:keepNext/>
        <w:spacing w:before="0" w:after="200"/>
      </w:pPr>
      <w:r>
        <w:t xml:space="preserve">그림 </w:t>
      </w:r>
      <w:fldSimple w:instr="SEQ Figure \* ARABIC">
        <w:r>
          <w:t>1</w:t>
        </w:r>
      </w:fldSimple>
      <w:r>
        <w:t xml:space="preserve">  Sound1 음압별 ADC 기준곡선</w:t>
      </w:r>
    </w:p>
    <w:p>
      <w:pPr>
        <w:spacing w:before="0" w:after="200" w:line="300" w:lineRule="auto"/>
        <w:keepNext w:val="0"/>
        <w:pageBreakBefore w:val="0"/>
        <w:snapToGrid w:val="0"/>
      </w:pPr>
      <w:r>
        <w:rPr>
          <w:rFonts w:ascii="Noto Serif KR" w:hAnsi="Noto Serif KR" w:eastAsia="Noto Serif KR"/>
          <w:b w:val="0"/>
          <w:color w:val="000000"/>
          <w:sz w:val="22"/>
        </w:rPr>
        <w:t>그림 1의 점은 표 1에 적은 29~120 dB의 ADC 기준값이며, 선은 이 점들을 연결한 것이다. 가로축은 APx 보정 후 표시 음압을 그대로 사용하고, 세로축은 ADC가 10배 커질 때마다 같은 간격이 되도록 로그 눈금을 사용했다.</w:t>
      </w:r>
    </w:p>
    <w:p>
      <w:pPr>
        <w:spacing w:before="0" w:after="200" w:line="300" w:lineRule="auto"/>
        <w:keepNext w:val="0"/>
        <w:pageBreakBefore w:val="0"/>
        <w:snapToGrid w:val="0"/>
      </w:pPr>
      <w:r>
        <w:rPr>
          <w:rFonts w:ascii="Noto Serif KR" w:hAnsi="Noto Serif KR" w:eastAsia="Noto Serif KR"/>
          <w:b w:val="0"/>
          <w:color w:val="000000"/>
          <w:sz w:val="22"/>
        </w:rPr>
        <w:t>음압이 같은 dB만큼 증가할 때 ADC가 일정한 비율로 커지면 이 그래프에서는 직선으로 보인다. 이 기준표는 30~50 dB, 50~70 dB, 70~120 dB의 증가 비율이 달라 하나의 직선이 아니라 구간마다 기울기가 달라진다. 29 dB는 첫 구간의 계산을 연장한 값이다.</w:t>
      </w:r>
    </w:p>
    <w:p>
      <w:pPr>
        <w:spacing w:before="0" w:after="200" w:line="300" w:lineRule="auto"/>
        <w:keepNext w:val="0"/>
        <w:pageBreakBefore w:val="0"/>
        <w:snapToGrid w:val="0"/>
      </w:pPr>
      <w:r>
        <w:rPr>
          <w:rFonts w:ascii="Noto Serif KR" w:hAnsi="Noto Serif KR" w:eastAsia="Noto Serif KR"/>
          <w:b w:val="0"/>
          <w:color w:val="000000"/>
          <w:sz w:val="22"/>
        </w:rPr>
        <w:t>음압이 1 dB 커질 때 ADC의 크기를 dB로 환산한 증가량은 세 구간에서 각각 약 0.627, 0.940, 1.011 dB이다. 따라서 작은 소리 구간은 완만하고, 70 dB 이후는 거의 1 대 1로 증가한다. 점 사이의 미세한 차이는 ADC를 정수로 반올림하면서 생길 수 있다. 가로축의 dB 자체가 이미 로그로 나타낸 값이므로 가로축에 로그 눈금을 다시 적용하지 않는다.</w:t>
      </w:r>
    </w:p>
    <w:p>
      <w:pPr>
        <w:pStyle w:val="Heading1"/>
        <w:spacing w:before="200" w:after="160" w:line="264" w:lineRule="auto"/>
        <w:keepNext/>
        <w:snapToGrid w:val="0"/>
        <w:pageBreakBefore/>
        <w:shd w:fill="EFEFEF"/>
      </w:pPr>
      <w:r>
        <w:rPr>
          <w:rFonts w:ascii="맑은 고딕" w:hAnsi="맑은 고딕" w:eastAsia="맑은 고딕"/>
          <w:b/>
          <w:color w:val="000000"/>
          <w:sz w:val="28"/>
        </w:rPr>
        <w:t>1 기준값을 정한 방법과 측정 조건</w:t>
      </w:r>
    </w:p>
    <w:p>
      <w:pPr>
        <w:spacing w:before="0" w:after="200" w:line="300" w:lineRule="auto"/>
        <w:snapToGrid w:val="0"/>
      </w:pPr>
      <w:r>
        <w:rPr>
          <w:rFonts w:ascii="Noto Serif KR" w:hAnsi="Noto Serif KR" w:eastAsia="Noto Serif KR"/>
          <w:b w:val="0"/>
          <w:color w:val="000000"/>
          <w:sz w:val="22"/>
        </w:rPr>
        <w:t>□ 작은 소리는 측정 결과를 반영하고 120 dB의 최대 기준은 유지</w:t>
      </w:r>
    </w:p>
    <w:p>
      <w:pPr>
        <w:spacing w:before="0" w:after="200" w:line="300" w:lineRule="auto"/>
        <w:snapToGrid w:val="0"/>
      </w:pPr>
      <w:r>
        <w:rPr>
          <w:rFonts w:ascii="Noto Serif KR" w:hAnsi="Noto Serif KR" w:eastAsia="Noto Serif KR"/>
          <w:b w:val="0"/>
          <w:color w:val="000000"/>
          <w:sz w:val="22"/>
        </w:rPr>
        <w:t>이 표는 소리 크기에 따라 Sound1에서 어느 정도의 ADC 값이 나와야 하는지 판단하기 위한 기준이다. ADC 값은 마이크로 들어온 소리를 숫자로 나타낸 값이다. 30·50·70 dB에서는 두 시료의 측정값을 평균해 기준을 정했고, 120 dB에서는 최대 기준값인 262,143을 사용했다. 그 사이의 값은 계산으로 채웠다.</w:t>
      </w:r>
    </w:p>
    <w:p>
      <w:pPr>
        <w:spacing w:before="0" w:after="200" w:line="300" w:lineRule="auto"/>
        <w:snapToGrid w:val="0"/>
      </w:pPr>
      <w:r>
        <w:rPr>
          <w:rFonts w:ascii="Noto Serif KR" w:hAnsi="Noto Serif KR" w:eastAsia="Noto Serif KR"/>
          <w:b w:val="0"/>
          <w:color w:val="000000"/>
          <w:sz w:val="22"/>
        </w:rPr>
        <w:t>기구를 조립한 시료 500C와 500D에 1048 Hz의 일정한 높낮이를 가진 사인파 소리를 입력했다. 기준 마이크의 화면 표시에는 −6.29 dB 보정을 적용했다. 펌웨어는 소리 데이터를 16개씩 처리하면서 양수·음수 부호를 제외한 크기가 가장 큰 값을 전달한다. 이 문서의 실측 ADC는 그렇게 전달받은 값을 측정 중 평균한 값이다. 소리 데이터 전체를 직접 평균한 값과는 다르다.</w:t>
      </w:r>
    </w:p>
    <w:p>
      <w:pPr>
        <w:spacing w:before="0" w:after="200" w:line="300" w:lineRule="auto"/>
        <w:snapToGrid w:val="0"/>
      </w:pPr>
      <w:r>
        <w:rPr>
          <w:rFonts w:ascii="Noto Serif KR" w:hAnsi="Noto Serif KR" w:eastAsia="Noto Serif KR"/>
          <w:b w:val="0"/>
          <w:color w:val="000000"/>
          <w:sz w:val="22"/>
        </w:rPr>
        <w:t>‘멀리’와 ‘근접’은 스피커를 기준 마이크와 시료에서 멀리 또는 가까이 놓은 배치이다. 같은 표시 음압이라도 시료 위치에 따라 도달하는 소리 크기가 달라질 수 있어 두 배치를 구분했다. 재시험에서도 위치·방향·주파수와 ADC 측정 방법을 맞춰야 한다.</w:t>
      </w:r>
    </w:p>
    <w:p>
      <w:pPr>
        <w:pStyle w:val="Caption"/>
        <w:keepNext/>
        <w:spacing w:before="200" w:after="120" w:line="264" w:lineRule="auto"/>
      </w:pPr>
      <w:r>
        <w:rPr>
          <w:rFonts w:ascii="맑은 고딕" w:hAnsi="맑은 고딕" w:eastAsia="맑은 고딕"/>
          <w:b/>
          <w:i w:val="0"/>
          <w:color w:val="000000"/>
          <w:sz w:val="21"/>
        </w:rPr>
        <w:t xml:space="preserve">표 </w:t>
      </w:r>
      <w:fldSimple w:instr="SEQ Table \* ARABIC \* MERGEFORMAT">
        <w:r>
          <w:rPr>
            <w:rFonts w:ascii="맑은 고딕" w:hAnsi="맑은 고딕" w:eastAsia="맑은 고딕"/>
            <w:b/>
            <w:i w:val="0"/>
            <w:color w:val="000000"/>
            <w:sz w:val="21"/>
          </w:rPr>
          <w:t>2</w:t>
        </w:r>
      </w:fldSimple>
      <w:r>
        <w:rPr>
          <w:rFonts w:ascii="맑은 고딕" w:hAnsi="맑은 고딕" w:eastAsia="맑은 고딕"/>
          <w:b/>
          <w:i w:val="0"/>
          <w:color w:val="000000"/>
          <w:sz w:val="21"/>
        </w:rPr>
        <w:t xml:space="preserve">  기준값과 실제 측정값</w:t>
      </w:r>
    </w:p>
    <w:tbl>
      <w:tblPr>
        <w:tblW w:type="auto" w:w="0"/>
        <w:tblLayout w:type="fixed"/>
        <w:tblLook w:firstColumn="1" w:firstRow="1" w:lastColumn="0" w:lastRow="0" w:noHBand="0" w:noVBand="1" w:val="04A0"/>
      </w:tblPr>
      <w:tblGrid>
        <w:gridCol w:w="1681"/>
        <w:gridCol w:w="1681"/>
        <w:gridCol w:w="1681"/>
        <w:gridCol w:w="1681"/>
        <w:gridCol w:w="2689"/>
      </w:tblGrid>
      <w:tr>
        <w:trPr>
          <w:cantSplit/>
          <w:tblHeader/>
        </w:trPr>
        <w:tc>
          <w:tcPr>
            <w:tcW w:type="dxa" w:w="1681"/>
            <w:tcBorders>
              <w:top w:val="single" w:sz="4" w:color="B7B7B7"/>
              <w:bottom w:val="single" w:sz="4" w:color="B7B7B7"/>
              <w:left w:val="single" w:sz="4" w:color="B7B7B7"/>
              <w:right w:val="single" w:sz="4" w:color="B7B7B7"/>
            </w:tcBorders>
            <w:shd w:fill="EEEEEE"/>
          </w:tcPr>
          <w:p>
            <w:pPr>
              <w:spacing w:before="60" w:after="60"/>
              <w:jc w:val="center"/>
            </w:pPr>
            <w:r>
              <w:rPr>
                <w:b/>
                <w:sz w:val="21"/>
              </w:rPr>
              <w:t>음압 dB SPL</w:t>
            </w:r>
          </w:p>
        </w:tc>
        <w:tc>
          <w:tcPr>
            <w:tcW w:type="dxa" w:w="1681"/>
            <w:tcBorders>
              <w:top w:val="single" w:sz="4" w:color="B7B7B7"/>
              <w:bottom w:val="single" w:sz="4" w:color="B7B7B7"/>
              <w:left w:val="single" w:sz="4" w:color="B7B7B7"/>
              <w:right w:val="single" w:sz="4" w:color="B7B7B7"/>
            </w:tcBorders>
            <w:shd w:fill="EEEEEE"/>
          </w:tcPr>
          <w:p>
            <w:pPr>
              <w:spacing w:before="60" w:after="60"/>
              <w:jc w:val="center"/>
            </w:pPr>
            <w:r>
              <w:rPr>
                <w:b/>
                <w:sz w:val="21"/>
              </w:rPr>
              <w:t>500C 실측</w:t>
            </w:r>
          </w:p>
        </w:tc>
        <w:tc>
          <w:tcPr>
            <w:tcW w:type="dxa" w:w="1681"/>
            <w:tcBorders>
              <w:top w:val="single" w:sz="4" w:color="B7B7B7"/>
              <w:bottom w:val="single" w:sz="4" w:color="B7B7B7"/>
              <w:left w:val="single" w:sz="4" w:color="B7B7B7"/>
              <w:right w:val="single" w:sz="4" w:color="B7B7B7"/>
            </w:tcBorders>
            <w:shd w:fill="EEEEEE"/>
          </w:tcPr>
          <w:p>
            <w:pPr>
              <w:spacing w:before="60" w:after="60"/>
              <w:jc w:val="center"/>
            </w:pPr>
            <w:r>
              <w:rPr>
                <w:b/>
                <w:sz w:val="21"/>
              </w:rPr>
              <w:t>500D 실측</w:t>
            </w:r>
          </w:p>
        </w:tc>
        <w:tc>
          <w:tcPr>
            <w:tcW w:type="dxa" w:w="1681"/>
            <w:tcBorders>
              <w:top w:val="single" w:sz="4" w:color="B7B7B7"/>
              <w:bottom w:val="single" w:sz="4" w:color="B7B7B7"/>
              <w:left w:val="single" w:sz="4" w:color="B7B7B7"/>
              <w:right w:val="single" w:sz="4" w:color="B7B7B7"/>
            </w:tcBorders>
            <w:shd w:fill="EEEEEE"/>
          </w:tcPr>
          <w:p>
            <w:pPr>
              <w:spacing w:before="60" w:after="60"/>
              <w:jc w:val="center"/>
            </w:pPr>
            <w:r>
              <w:rPr>
                <w:b/>
                <w:sz w:val="21"/>
              </w:rPr>
              <w:t>정한 기준값</w:t>
            </w:r>
          </w:p>
        </w:tc>
        <w:tc>
          <w:tcPr>
            <w:tcW w:type="dxa" w:w="2689"/>
            <w:tcBorders>
              <w:top w:val="single" w:sz="4" w:color="B7B7B7"/>
              <w:bottom w:val="single" w:sz="4" w:color="B7B7B7"/>
              <w:left w:val="single" w:sz="4" w:color="B7B7B7"/>
              <w:right w:val="single" w:sz="4" w:color="B7B7B7"/>
            </w:tcBorders>
            <w:shd w:fill="EEEEEE"/>
          </w:tcPr>
          <w:p>
            <w:pPr>
              <w:spacing w:before="60" w:after="60"/>
              <w:jc w:val="center"/>
            </w:pPr>
            <w:r>
              <w:rPr>
                <w:b/>
                <w:sz w:val="21"/>
              </w:rPr>
              <w:t>정한 방법</w:t>
            </w:r>
          </w:p>
        </w:tc>
      </w:tr>
      <w:tr>
        <w:trPr>
          <w:cantSplit/>
        </w:trPr>
        <w:tc>
          <w:tcPr>
            <w:tcW w:type="dxa" w:w="1681"/>
            <w:tcBorders>
              <w:top w:val="single" w:sz="4" w:color="B7B7B7"/>
              <w:bottom w:val="single" w:sz="4" w:color="B7B7B7"/>
              <w:left w:val="single" w:sz="4" w:color="B7B7B7"/>
              <w:right w:val="single" w:sz="4" w:color="B7B7B7"/>
            </w:tcBorders>
          </w:tcPr>
          <w:p>
            <w:pPr>
              <w:spacing w:before="60" w:after="60"/>
              <w:jc w:val="center"/>
            </w:pPr>
            <w:r>
              <w:rPr>
                <w:b w:val="0"/>
                <w:sz w:val="21"/>
              </w:rPr>
              <w:t>30</w:t>
            </w:r>
          </w:p>
        </w:tc>
        <w:tc>
          <w:tcPr>
            <w:tcW w:type="dxa" w:w="1681"/>
            <w:tcBorders>
              <w:top w:val="single" w:sz="4" w:color="B7B7B7"/>
              <w:bottom w:val="single" w:sz="4" w:color="B7B7B7"/>
              <w:left w:val="single" w:sz="4" w:color="B7B7B7"/>
              <w:right w:val="single" w:sz="4" w:color="B7B7B7"/>
            </w:tcBorders>
          </w:tcPr>
          <w:p>
            <w:pPr>
              <w:spacing w:before="60" w:after="60"/>
              <w:jc w:val="center"/>
            </w:pPr>
            <w:r>
              <w:rPr>
                <w:b w:val="0"/>
                <w:sz w:val="21"/>
              </w:rPr>
              <w:t>19</w:t>
            </w:r>
          </w:p>
        </w:tc>
        <w:tc>
          <w:tcPr>
            <w:tcW w:type="dxa" w:w="1681"/>
            <w:tcBorders>
              <w:top w:val="single" w:sz="4" w:color="B7B7B7"/>
              <w:bottom w:val="single" w:sz="4" w:color="B7B7B7"/>
              <w:left w:val="single" w:sz="4" w:color="B7B7B7"/>
              <w:right w:val="single" w:sz="4" w:color="B7B7B7"/>
            </w:tcBorders>
          </w:tcPr>
          <w:p>
            <w:pPr>
              <w:spacing w:before="60" w:after="60"/>
              <w:jc w:val="center"/>
            </w:pPr>
            <w:r>
              <w:rPr>
                <w:b w:val="0"/>
                <w:sz w:val="21"/>
              </w:rPr>
              <w:t>23</w:t>
            </w:r>
          </w:p>
        </w:tc>
        <w:tc>
          <w:tcPr>
            <w:tcW w:type="dxa" w:w="1681"/>
            <w:tcBorders>
              <w:top w:val="single" w:sz="4" w:color="B7B7B7"/>
              <w:bottom w:val="single" w:sz="4" w:color="B7B7B7"/>
              <w:left w:val="single" w:sz="4" w:color="B7B7B7"/>
              <w:right w:val="single" w:sz="4" w:color="B7B7B7"/>
            </w:tcBorders>
          </w:tcPr>
          <w:p>
            <w:pPr>
              <w:spacing w:before="60" w:after="60"/>
              <w:jc w:val="center"/>
            </w:pPr>
            <w:r>
              <w:rPr>
                <w:b w:val="0"/>
                <w:sz w:val="21"/>
              </w:rPr>
              <w:t>21</w:t>
            </w:r>
          </w:p>
        </w:tc>
        <w:tc>
          <w:tcPr>
            <w:tcW w:type="dxa" w:w="2689"/>
            <w:tcBorders>
              <w:top w:val="single" w:sz="4" w:color="B7B7B7"/>
              <w:bottom w:val="single" w:sz="4" w:color="B7B7B7"/>
              <w:left w:val="single" w:sz="4" w:color="B7B7B7"/>
              <w:right w:val="single" w:sz="4" w:color="B7B7B7"/>
            </w:tcBorders>
          </w:tcPr>
          <w:p>
            <w:pPr>
              <w:spacing w:before="60" w:after="60"/>
              <w:jc w:val="center"/>
            </w:pPr>
            <w:r>
              <w:rPr>
                <w:b w:val="0"/>
                <w:sz w:val="21"/>
              </w:rPr>
              <w:t>멀리 배치 평균</w:t>
            </w:r>
          </w:p>
        </w:tc>
      </w:tr>
      <w:tr>
        <w:trPr>
          <w:cantSplit/>
        </w:trPr>
        <w:tc>
          <w:tcPr>
            <w:tcW w:type="dxa" w:w="1681"/>
            <w:tcBorders>
              <w:top w:val="single" w:sz="4" w:color="B7B7B7"/>
              <w:bottom w:val="single" w:sz="4" w:color="B7B7B7"/>
              <w:left w:val="single" w:sz="4" w:color="B7B7B7"/>
              <w:right w:val="single" w:sz="4" w:color="B7B7B7"/>
            </w:tcBorders>
          </w:tcPr>
          <w:p>
            <w:pPr>
              <w:spacing w:before="60" w:after="60"/>
              <w:jc w:val="center"/>
            </w:pPr>
            <w:r>
              <w:rPr>
                <w:b w:val="0"/>
                <w:sz w:val="21"/>
              </w:rPr>
              <w:t>50</w:t>
            </w:r>
          </w:p>
        </w:tc>
        <w:tc>
          <w:tcPr>
            <w:tcW w:type="dxa" w:w="1681"/>
            <w:tcBorders>
              <w:top w:val="single" w:sz="4" w:color="B7B7B7"/>
              <w:bottom w:val="single" w:sz="4" w:color="B7B7B7"/>
              <w:left w:val="single" w:sz="4" w:color="B7B7B7"/>
              <w:right w:val="single" w:sz="4" w:color="B7B7B7"/>
            </w:tcBorders>
          </w:tcPr>
          <w:p>
            <w:pPr>
              <w:spacing w:before="60" w:after="60"/>
              <w:jc w:val="center"/>
            </w:pPr>
            <w:r>
              <w:rPr>
                <w:b w:val="0"/>
                <w:sz w:val="21"/>
              </w:rPr>
              <w:t>86</w:t>
            </w:r>
          </w:p>
        </w:tc>
        <w:tc>
          <w:tcPr>
            <w:tcW w:type="dxa" w:w="1681"/>
            <w:tcBorders>
              <w:top w:val="single" w:sz="4" w:color="B7B7B7"/>
              <w:bottom w:val="single" w:sz="4" w:color="B7B7B7"/>
              <w:left w:val="single" w:sz="4" w:color="B7B7B7"/>
              <w:right w:val="single" w:sz="4" w:color="B7B7B7"/>
            </w:tcBorders>
          </w:tcPr>
          <w:p>
            <w:pPr>
              <w:spacing w:before="60" w:after="60"/>
              <w:jc w:val="center"/>
            </w:pPr>
            <w:r>
              <w:rPr>
                <w:b w:val="0"/>
                <w:sz w:val="21"/>
              </w:rPr>
              <w:t>92</w:t>
            </w:r>
          </w:p>
        </w:tc>
        <w:tc>
          <w:tcPr>
            <w:tcW w:type="dxa" w:w="1681"/>
            <w:tcBorders>
              <w:top w:val="single" w:sz="4" w:color="B7B7B7"/>
              <w:bottom w:val="single" w:sz="4" w:color="B7B7B7"/>
              <w:left w:val="single" w:sz="4" w:color="B7B7B7"/>
              <w:right w:val="single" w:sz="4" w:color="B7B7B7"/>
            </w:tcBorders>
          </w:tcPr>
          <w:p>
            <w:pPr>
              <w:spacing w:before="60" w:after="60"/>
              <w:jc w:val="center"/>
            </w:pPr>
            <w:r>
              <w:rPr>
                <w:b w:val="0"/>
                <w:sz w:val="21"/>
              </w:rPr>
              <w:t>89</w:t>
            </w:r>
          </w:p>
        </w:tc>
        <w:tc>
          <w:tcPr>
            <w:tcW w:type="dxa" w:w="2689"/>
            <w:tcBorders>
              <w:top w:val="single" w:sz="4" w:color="B7B7B7"/>
              <w:bottom w:val="single" w:sz="4" w:color="B7B7B7"/>
              <w:left w:val="single" w:sz="4" w:color="B7B7B7"/>
              <w:right w:val="single" w:sz="4" w:color="B7B7B7"/>
            </w:tcBorders>
          </w:tcPr>
          <w:p>
            <w:pPr>
              <w:spacing w:before="60" w:after="60"/>
              <w:jc w:val="center"/>
            </w:pPr>
            <w:r>
              <w:rPr>
                <w:b w:val="0"/>
                <w:sz w:val="21"/>
              </w:rPr>
              <w:t>멀리 배치 평균</w:t>
            </w:r>
          </w:p>
        </w:tc>
      </w:tr>
      <w:tr>
        <w:trPr>
          <w:cantSplit/>
        </w:trPr>
        <w:tc>
          <w:tcPr>
            <w:tcW w:type="dxa" w:w="1681"/>
            <w:tcBorders>
              <w:top w:val="single" w:sz="4" w:color="B7B7B7"/>
              <w:bottom w:val="single" w:sz="4" w:color="B7B7B7"/>
              <w:left w:val="single" w:sz="4" w:color="B7B7B7"/>
              <w:right w:val="single" w:sz="4" w:color="B7B7B7"/>
            </w:tcBorders>
          </w:tcPr>
          <w:p>
            <w:pPr>
              <w:spacing w:before="60" w:after="60"/>
              <w:jc w:val="center"/>
            </w:pPr>
            <w:r>
              <w:rPr>
                <w:b w:val="0"/>
                <w:sz w:val="21"/>
              </w:rPr>
              <w:t>70</w:t>
            </w:r>
          </w:p>
        </w:tc>
        <w:tc>
          <w:tcPr>
            <w:tcW w:type="dxa" w:w="1681"/>
            <w:tcBorders>
              <w:top w:val="single" w:sz="4" w:color="B7B7B7"/>
              <w:bottom w:val="single" w:sz="4" w:color="B7B7B7"/>
              <w:left w:val="single" w:sz="4" w:color="B7B7B7"/>
              <w:right w:val="single" w:sz="4" w:color="B7B7B7"/>
            </w:tcBorders>
          </w:tcPr>
          <w:p>
            <w:pPr>
              <w:spacing w:before="60" w:after="60"/>
              <w:jc w:val="center"/>
            </w:pPr>
            <w:r>
              <w:rPr>
                <w:b w:val="0"/>
                <w:sz w:val="21"/>
              </w:rPr>
              <w:t>773</w:t>
            </w:r>
          </w:p>
        </w:tc>
        <w:tc>
          <w:tcPr>
            <w:tcW w:type="dxa" w:w="1681"/>
            <w:tcBorders>
              <w:top w:val="single" w:sz="4" w:color="B7B7B7"/>
              <w:bottom w:val="single" w:sz="4" w:color="B7B7B7"/>
              <w:left w:val="single" w:sz="4" w:color="B7B7B7"/>
              <w:right w:val="single" w:sz="4" w:color="B7B7B7"/>
            </w:tcBorders>
          </w:tcPr>
          <w:p>
            <w:pPr>
              <w:spacing w:before="60" w:after="60"/>
              <w:jc w:val="center"/>
            </w:pPr>
            <w:r>
              <w:rPr>
                <w:b w:val="0"/>
                <w:sz w:val="21"/>
              </w:rPr>
              <w:t>779</w:t>
            </w:r>
          </w:p>
        </w:tc>
        <w:tc>
          <w:tcPr>
            <w:tcW w:type="dxa" w:w="1681"/>
            <w:tcBorders>
              <w:top w:val="single" w:sz="4" w:color="B7B7B7"/>
              <w:bottom w:val="single" w:sz="4" w:color="B7B7B7"/>
              <w:left w:val="single" w:sz="4" w:color="B7B7B7"/>
              <w:right w:val="single" w:sz="4" w:color="B7B7B7"/>
            </w:tcBorders>
          </w:tcPr>
          <w:p>
            <w:pPr>
              <w:spacing w:before="60" w:after="60"/>
              <w:jc w:val="center"/>
            </w:pPr>
            <w:r>
              <w:rPr>
                <w:b w:val="0"/>
                <w:sz w:val="21"/>
              </w:rPr>
              <w:t>776</w:t>
            </w:r>
          </w:p>
        </w:tc>
        <w:tc>
          <w:tcPr>
            <w:tcW w:type="dxa" w:w="2689"/>
            <w:tcBorders>
              <w:top w:val="single" w:sz="4" w:color="B7B7B7"/>
              <w:bottom w:val="single" w:sz="4" w:color="B7B7B7"/>
              <w:left w:val="single" w:sz="4" w:color="B7B7B7"/>
              <w:right w:val="single" w:sz="4" w:color="B7B7B7"/>
            </w:tcBorders>
          </w:tcPr>
          <w:p>
            <w:pPr>
              <w:spacing w:before="60" w:after="60"/>
              <w:jc w:val="center"/>
            </w:pPr>
            <w:r>
              <w:rPr>
                <w:b w:val="0"/>
                <w:sz w:val="21"/>
              </w:rPr>
              <w:t>멀리 배치 평균</w:t>
            </w:r>
          </w:p>
        </w:tc>
      </w:tr>
      <w:tr>
        <w:trPr>
          <w:cantSplit/>
        </w:trPr>
        <w:tc>
          <w:tcPr>
            <w:tcW w:type="dxa" w:w="1681"/>
            <w:tcBorders>
              <w:top w:val="single" w:sz="4" w:color="B7B7B7"/>
              <w:bottom w:val="single" w:sz="4" w:color="B7B7B7"/>
              <w:left w:val="single" w:sz="4" w:color="B7B7B7"/>
              <w:right w:val="single" w:sz="4" w:color="B7B7B7"/>
            </w:tcBorders>
          </w:tcPr>
          <w:p>
            <w:pPr>
              <w:spacing w:before="60" w:after="60"/>
              <w:jc w:val="center"/>
            </w:pPr>
            <w:r>
              <w:rPr>
                <w:b w:val="0"/>
                <w:sz w:val="21"/>
              </w:rPr>
              <w:t>120</w:t>
            </w:r>
          </w:p>
        </w:tc>
        <w:tc>
          <w:tcPr>
            <w:tcW w:type="dxa" w:w="1681"/>
            <w:tcBorders>
              <w:top w:val="single" w:sz="4" w:color="B7B7B7"/>
              <w:bottom w:val="single" w:sz="4" w:color="B7B7B7"/>
              <w:left w:val="single" w:sz="4" w:color="B7B7B7"/>
              <w:right w:val="single" w:sz="4" w:color="B7B7B7"/>
            </w:tcBorders>
          </w:tcPr>
          <w:p>
            <w:pPr>
              <w:spacing w:before="60" w:after="60"/>
              <w:jc w:val="center"/>
            </w:pPr>
            <w:r>
              <w:rPr>
                <w:b w:val="0"/>
                <w:sz w:val="21"/>
              </w:rPr>
              <w:t>159,834</w:t>
            </w:r>
          </w:p>
        </w:tc>
        <w:tc>
          <w:tcPr>
            <w:tcW w:type="dxa" w:w="1681"/>
            <w:tcBorders>
              <w:top w:val="single" w:sz="4" w:color="B7B7B7"/>
              <w:bottom w:val="single" w:sz="4" w:color="B7B7B7"/>
              <w:left w:val="single" w:sz="4" w:color="B7B7B7"/>
              <w:right w:val="single" w:sz="4" w:color="B7B7B7"/>
            </w:tcBorders>
          </w:tcPr>
          <w:p>
            <w:pPr>
              <w:spacing w:before="60" w:after="60"/>
              <w:jc w:val="center"/>
            </w:pPr>
            <w:r>
              <w:rPr>
                <w:b w:val="0"/>
                <w:sz w:val="21"/>
              </w:rPr>
              <w:t>172,560</w:t>
            </w:r>
          </w:p>
        </w:tc>
        <w:tc>
          <w:tcPr>
            <w:tcW w:type="dxa" w:w="1681"/>
            <w:tcBorders>
              <w:top w:val="single" w:sz="4" w:color="B7B7B7"/>
              <w:bottom w:val="single" w:sz="4" w:color="B7B7B7"/>
              <w:left w:val="single" w:sz="4" w:color="B7B7B7"/>
              <w:right w:val="single" w:sz="4" w:color="B7B7B7"/>
            </w:tcBorders>
          </w:tcPr>
          <w:p>
            <w:pPr>
              <w:spacing w:before="60" w:after="60"/>
              <w:jc w:val="center"/>
            </w:pPr>
            <w:r>
              <w:rPr>
                <w:b w:val="0"/>
                <w:sz w:val="21"/>
              </w:rPr>
              <w:t>262,143</w:t>
            </w:r>
          </w:p>
        </w:tc>
        <w:tc>
          <w:tcPr>
            <w:tcW w:type="dxa" w:w="2689"/>
            <w:tcBorders>
              <w:top w:val="single" w:sz="4" w:color="B7B7B7"/>
              <w:bottom w:val="single" w:sz="4" w:color="B7B7B7"/>
              <w:left w:val="single" w:sz="4" w:color="B7B7B7"/>
              <w:right w:val="single" w:sz="4" w:color="B7B7B7"/>
            </w:tcBorders>
          </w:tcPr>
          <w:p>
            <w:pPr>
              <w:spacing w:before="60" w:after="60"/>
              <w:jc w:val="center"/>
            </w:pPr>
            <w:r>
              <w:rPr>
                <w:b w:val="0"/>
                <w:sz w:val="21"/>
              </w:rPr>
              <w:t>최대 기준값 고정</w:t>
            </w:r>
          </w:p>
        </w:tc>
      </w:tr>
    </w:tbl>
    <w:p>
      <w:pPr>
        <w:spacing w:before="200" w:after="200" w:line="300" w:lineRule="auto"/>
        <w:snapToGrid w:val="0"/>
      </w:pPr>
      <w:r>
        <w:rPr>
          <w:rFonts w:ascii="Noto Serif KR" w:hAnsi="Noto Serif KR" w:eastAsia="Noto Serif KR"/>
          <w:b w:val="0"/>
          <w:color w:val="000000"/>
          <w:sz w:val="22"/>
        </w:rPr>
        <w:t>실측 평균은 30 dB에서 (19+23)÷2=21, 50 dB에서 (86+92)÷2=89, 70 dB에서 (773+779)÷2=776이다. 120 dB의 262,143은 실측 평균이 아니라 정해 둔 최대 기준이다. 이때의 실측값은 근접 배치에서 얻었다.</w:t>
      </w:r>
    </w:p>
    <w:p>
      <w:pPr>
        <w:pStyle w:val="Heading1"/>
        <w:spacing w:before="180" w:after="160" w:line="264" w:lineRule="auto"/>
        <w:keepNext/>
        <w:snapToGrid w:val="0"/>
        <w:pageBreakBefore/>
        <w:shd w:fill="EFEFEF"/>
      </w:pPr>
      <w:r>
        <w:rPr>
          <w:rFonts w:ascii="맑은 고딕" w:hAnsi="맑은 고딕" w:eastAsia="맑은 고딕"/>
          <w:b/>
          <w:color w:val="000000"/>
          <w:sz w:val="28"/>
        </w:rPr>
        <w:t>2 작은 소리의 기준을 조정하고 최대값을 유지한 이유</w:t>
      </w:r>
    </w:p>
    <w:p>
      <w:pPr>
        <w:spacing w:before="0" w:after="200" w:line="300" w:lineRule="auto"/>
        <w:snapToGrid w:val="0"/>
      </w:pPr>
      <w:r>
        <w:rPr>
          <w:rFonts w:ascii="Noto Serif KR" w:hAnsi="Noto Serif KR" w:eastAsia="Noto Serif KR"/>
          <w:b w:val="0"/>
          <w:color w:val="000000"/>
          <w:sz w:val="22"/>
        </w:rPr>
        <w:t>□ 30·50·70 dB는 실측 평균을 사용하고 120 dB는 262,143으로 설정</w:t>
      </w:r>
    </w:p>
    <w:p>
      <w:pPr>
        <w:spacing w:before="0" w:after="200" w:line="300" w:lineRule="auto"/>
        <w:snapToGrid w:val="0"/>
      </w:pPr>
      <w:r>
        <w:rPr>
          <w:rFonts w:ascii="Noto Serif KR" w:hAnsi="Noto Serif KR" w:eastAsia="Noto Serif KR"/>
          <w:b w:val="0"/>
          <w:color w:val="000000"/>
          <w:sz w:val="22"/>
        </w:rPr>
        <w:t>30 dB에서 측정한 ADC는 500C가 19, 500D가 23이었다. 기존 1.5세대의 기준값 8을 그대로 쓰기보다 Sound1에서 실제로 나온 값을 반영하기 위해 평균 21을 기준으로 삼았다. 소리를 끈 상태에서도 각각 15와 17이 기록되었다. 다만 이것이 마이크 자체 잡음 때문인지 주변 소음 때문인지는 이번 측정만으로 구분할 수 없다.</w:t>
      </w:r>
    </w:p>
    <w:p>
      <w:pPr>
        <w:spacing w:before="0" w:after="200" w:line="300" w:lineRule="auto"/>
        <w:snapToGrid w:val="0"/>
      </w:pPr>
      <w:r>
        <w:rPr>
          <w:rFonts w:ascii="Noto Serif KR" w:hAnsi="Noto Serif KR" w:eastAsia="Noto Serif KR"/>
          <w:b w:val="0"/>
          <w:color w:val="000000"/>
          <w:sz w:val="22"/>
        </w:rPr>
        <w:t>가장 큰 입력에서는 1.5세대와 동일하게 120 dB의 ADC 기준값을 262,143으로 정했다. 작은 소리의 기준은 Sound1에 맞추되, 최대 기준은 유지하려는 목적이다. 실제 제품에서는 기구를 통과하는 동안 소리가 줄고 신호 처리의 영향도 받으므로, 측정값이 반드시 262,143과 같을 필요는 없다. 정해 둔 ±5 dB 범위에 들어오는지로 판단한다.</w:t>
      </w:r>
    </w:p>
    <w:p>
      <w:pPr>
        <w:spacing w:before="0" w:after="200" w:line="300" w:lineRule="auto"/>
        <w:snapToGrid w:val="0"/>
      </w:pPr>
      <w:r>
        <w:rPr>
          <w:rFonts w:ascii="Noto Serif KR" w:hAnsi="Noto Serif KR" w:eastAsia="Noto Serif KR"/>
          <w:b w:val="0"/>
          <w:color w:val="000000"/>
          <w:sz w:val="22"/>
        </w:rPr>
        <w:t>여기서 120 dB와 262,143은 기준표를 만들기 위해 정한 대응값이다. 마이크 사양에 적힌 최대 음압만으로 완제품의 ADC가 반드시 이 값에 도달한다고 단정할 수는 없다. 마이크 사양의 음압은 실제 소리 크기를 뜻하지만, 이 표는 보정을 적용한 화면 표시값을 사용한다는 차이도 있다.</w:t>
      </w:r>
    </w:p>
    <w:p>
      <w:pPr>
        <w:spacing w:before="0" w:after="200" w:line="300" w:lineRule="auto"/>
        <w:snapToGrid w:val="0"/>
      </w:pPr>
      <w:r>
        <w:rPr>
          <w:rFonts w:ascii="Noto Serif KR" w:hAnsi="Noto Serif KR" w:eastAsia="Noto Serif KR"/>
          <w:b w:val="0"/>
          <w:color w:val="000000"/>
          <w:sz w:val="22"/>
        </w:rPr>
        <w:t>70 dB의 776에서 120 dB의 262,143까지 값이 일정한 비율로 증가하도록 계산했다. 예를 들어 119 dB는 233,327이 된다. 이렇게 하면 120 dB에서만 값이 갑자기 뛰지 않고 앞 구간에서부터 자연스럽게 이어진다. 70 dB 이하의 기준값은 이전에 계산한 값을 유지했다. 110 dB에서 측정한 평균 57,435는 곡선을 정하는 데 사용하지 않고, 새 기준에 들어오는지 확인하는 데 사용했다.</w:t>
      </w:r>
    </w:p>
    <w:p>
      <w:pPr>
        <w:pStyle w:val="Heading1"/>
        <w:spacing w:before="180" w:after="160" w:line="264" w:lineRule="auto"/>
        <w:keepNext/>
        <w:snapToGrid w:val="0"/>
        <w:pageBreakBefore/>
        <w:shd w:fill="EFEFEF"/>
      </w:pPr>
      <w:r>
        <w:rPr>
          <w:rFonts w:ascii="맑은 고딕" w:hAnsi="맑은 고딕" w:eastAsia="맑은 고딕"/>
          <w:b/>
          <w:color w:val="000000"/>
          <w:sz w:val="28"/>
        </w:rPr>
        <w:t>3 음압별 ADC 값을 계산하는 방법</w:t>
      </w:r>
    </w:p>
    <w:p>
      <w:pPr>
        <w:spacing w:before="0" w:after="200" w:line="300" w:lineRule="auto"/>
        <w:snapToGrid w:val="0"/>
      </w:pPr>
      <w:r>
        <w:rPr>
          <w:rFonts w:ascii="Noto Serif KR" w:hAnsi="Noto Serif KR" w:eastAsia="Noto Serif KR"/>
          <w:b w:val="0"/>
          <w:color w:val="000000"/>
          <w:sz w:val="22"/>
        </w:rPr>
        <w:t>□ 정해 둔 기준값 사이를 일정한 증가 비율로 계산</w:t>
      </w:r>
    </w:p>
    <w:p>
      <w:pPr>
        <w:spacing w:before="0" w:after="200" w:line="300" w:lineRule="auto"/>
        <w:snapToGrid w:val="0"/>
      </w:pPr>
      <w:r>
        <w:rPr>
          <w:rFonts w:ascii="Noto Serif KR" w:hAnsi="Noto Serif KR" w:eastAsia="Noto Serif KR"/>
          <w:b w:val="0"/>
          <w:color w:val="000000"/>
          <w:sz w:val="22"/>
        </w:rPr>
        <w:t>계산식에서 L은 보정 후 화면에 표시된 음압(dB SPL), A는 ADC 값이다. 소리 크기를 나타내는 dB는 단순한 덧셈 간격이 아니라 크기의 비율을 나타낸다. 그래서 ADC에 매번 같은 수를 더하지 않고, 정해진 두 기준값 사이에서 일정한 비율로 증가하도록 계산했다. 식의 log₁₀는 이 비율을 dB로 바꾸는 계산이며, 신호 크기의 비율을 다루므로 20을 곱한다.</w:t>
      </w:r>
    </w:p>
    <w:p>
      <w:pPr>
        <w:keepNext/>
        <w:keepLines/>
        <w:snapToGrid w:val="0"/>
        <w:spacing w:after="240" w:before="240" w:line="300" w:lineRule="auto"/>
        <w:ind w:left="198" w:right="198"/>
        <w:jc w:val="center"/>
        <w:shd w:fill="F7F7F7"/>
        <w:pBdr>
          <w:top w:val="single" w:sz="4" w:space="8" w:color="D9D9D9"/>
          <w:left w:val="single" w:sz="4" w:space="8" w:color="D9D9D9"/>
          <w:bottom w:val="single" w:sz="4" w:space="8" w:color="D9D9D9"/>
          <w:right w:val="single" w:sz="4" w:space="8" w:color="D9D9D9"/>
        </w:pBdr>
      </w:pPr>
      <m:oMathPara>
        <m:oMathParaPr>
          <m:jc m:val="center"/>
        </m:oMathParaPr>
        <m:oMath>
          <m:r>
            <w:rPr>
              <w:rFonts w:ascii="Cambria Math" w:hAnsi="Cambria Math" w:eastAsia="맑은 고딕"/>
              <w:sz w:val="24"/>
            </w:rPr>
            <m:t>s = 20 log₁₀(A₂ / A₁) / (L₂ − L₁)</m:t>
          </m:r>
        </m:oMath>
      </m:oMathPara>
    </w:p>
    <w:p>
      <w:pPr>
        <w:keepNext w:val="0"/>
        <w:keepLines/>
        <w:snapToGrid w:val="0"/>
        <w:spacing w:after="240" w:before="240" w:line="300" w:lineRule="auto"/>
        <w:ind w:left="198" w:right="198"/>
        <w:jc w:val="center"/>
        <w:shd w:fill="F7F7F7"/>
        <w:pBdr>
          <w:top w:val="single" w:sz="4" w:space="8" w:color="D9D9D9"/>
          <w:left w:val="single" w:sz="4" w:space="8" w:color="D9D9D9"/>
          <w:bottom w:val="single" w:sz="4" w:space="8" w:color="D9D9D9"/>
          <w:right w:val="single" w:sz="4" w:space="8" w:color="D9D9D9"/>
        </w:pBdr>
      </w:pPr>
      <m:oMathPara>
        <m:oMathParaPr>
          <m:jc m:val="center"/>
        </m:oMathParaPr>
        <m:oMath>
          <m:r>
            <w:rPr>
              <w:rFonts w:ascii="Cambria Math" w:hAnsi="Cambria Math" w:eastAsia="맑은 고딕"/>
              <w:sz w:val="24"/>
            </w:rPr>
            <m:t>G(L) = A₁ × </m:t>
          </m:r>
          <m:sSup>
            <m:e>
              <m:r>
                <w:rPr>
                  <w:rFonts w:ascii="Cambria Math" w:hAnsi="Cambria Math" w:eastAsia="맑은 고딕"/>
                  <w:sz w:val="24"/>
                </w:rPr>
                <m:t>10</m:t>
              </m:r>
            </m:e>
            <m:sup>
              <m:r>
                <w:rPr>
                  <w:rFonts w:ascii="Cambria Math" w:hAnsi="Cambria Math" w:eastAsia="맑은 고딕"/>
                  <w:sz w:val="24"/>
                </w:rPr>
                <m:t>s(L − L₁) / 20</m:t>
              </m:r>
            </m:sup>
          </m:sSup>
        </m:oMath>
      </m:oMathPara>
    </w:p>
    <w:p>
      <w:pPr>
        <w:pStyle w:val="Caption"/>
        <w:keepNext/>
        <w:spacing w:before="200" w:after="120" w:line="264" w:lineRule="auto"/>
      </w:pPr>
      <w:r>
        <w:rPr>
          <w:rFonts w:ascii="맑은 고딕" w:hAnsi="맑은 고딕" w:eastAsia="맑은 고딕"/>
          <w:b/>
          <w:i w:val="0"/>
          <w:color w:val="000000"/>
          <w:sz w:val="21"/>
        </w:rPr>
        <w:t xml:space="preserve">표 </w:t>
      </w:r>
      <w:fldSimple w:instr="SEQ Table \* ARABIC \* MERGEFORMAT">
        <w:r>
          <w:rPr>
            <w:rFonts w:ascii="맑은 고딕" w:hAnsi="맑은 고딕" w:eastAsia="맑은 고딕"/>
            <w:b/>
            <w:i w:val="0"/>
            <w:color w:val="000000"/>
            <w:sz w:val="21"/>
          </w:rPr>
          <w:t>3</w:t>
        </w:r>
      </w:fldSimple>
      <w:r>
        <w:rPr>
          <w:rFonts w:ascii="맑은 고딕" w:hAnsi="맑은 고딕" w:eastAsia="맑은 고딕"/>
          <w:b/>
          <w:i w:val="0"/>
          <w:color w:val="000000"/>
          <w:sz w:val="21"/>
        </w:rPr>
        <w:t xml:space="preserve">  구간별 기울기</w:t>
      </w:r>
    </w:p>
    <w:tbl>
      <w:tblPr>
        <w:tblW w:type="auto" w:w="0"/>
        <w:tblLayout w:type="fixed"/>
        <w:tblLook w:firstColumn="1" w:firstRow="1" w:lastColumn="0" w:lastRow="0" w:noHBand="0" w:noVBand="1" w:val="04A0"/>
      </w:tblPr>
      <w:tblGrid>
        <w:gridCol w:w="2403"/>
        <w:gridCol w:w="2002"/>
        <w:gridCol w:w="2002"/>
        <w:gridCol w:w="3004"/>
      </w:tblGrid>
      <w:tr>
        <w:trPr>
          <w:cantSplit/>
          <w:tblHeader/>
        </w:trPr>
        <w:tc>
          <w:tcPr>
            <w:tcW w:type="dxa" w:w="2403"/>
            <w:tcBorders>
              <w:top w:val="single" w:sz="4" w:color="B7B7B7"/>
              <w:bottom w:val="single" w:sz="4" w:color="B7B7B7"/>
              <w:left w:val="single" w:sz="4" w:color="B7B7B7"/>
              <w:right w:val="single" w:sz="4" w:color="B7B7B7"/>
            </w:tcBorders>
            <w:shd w:fill="EEEEEE"/>
          </w:tcPr>
          <w:p>
            <w:pPr>
              <w:spacing w:before="60" w:after="60"/>
              <w:jc w:val="center"/>
            </w:pPr>
            <w:r>
              <w:rPr>
                <w:b/>
                <w:sz w:val="21"/>
              </w:rPr>
              <w:t>음압 구간</w:t>
            </w:r>
          </w:p>
        </w:tc>
        <w:tc>
          <w:tcPr>
            <w:tcW w:type="dxa" w:w="2002"/>
            <w:tcBorders>
              <w:top w:val="single" w:sz="4" w:color="B7B7B7"/>
              <w:bottom w:val="single" w:sz="4" w:color="B7B7B7"/>
              <w:left w:val="single" w:sz="4" w:color="B7B7B7"/>
              <w:right w:val="single" w:sz="4" w:color="B7B7B7"/>
            </w:tcBorders>
            <w:shd w:fill="EEEEEE"/>
          </w:tcPr>
          <w:p>
            <w:pPr>
              <w:spacing w:before="60" w:after="60"/>
              <w:jc w:val="center"/>
            </w:pPr>
            <w:r>
              <w:rPr>
                <w:b/>
                <w:sz w:val="21"/>
              </w:rPr>
              <w:t>시작 ADC</w:t>
            </w:r>
          </w:p>
        </w:tc>
        <w:tc>
          <w:tcPr>
            <w:tcW w:type="dxa" w:w="2002"/>
            <w:tcBorders>
              <w:top w:val="single" w:sz="4" w:color="B7B7B7"/>
              <w:bottom w:val="single" w:sz="4" w:color="B7B7B7"/>
              <w:left w:val="single" w:sz="4" w:color="B7B7B7"/>
              <w:right w:val="single" w:sz="4" w:color="B7B7B7"/>
            </w:tcBorders>
            <w:shd w:fill="EEEEEE"/>
          </w:tcPr>
          <w:p>
            <w:pPr>
              <w:spacing w:before="60" w:after="60"/>
              <w:jc w:val="center"/>
            </w:pPr>
            <w:r>
              <w:rPr>
                <w:b/>
                <w:sz w:val="21"/>
              </w:rPr>
              <w:t>끝 ADC</w:t>
            </w:r>
          </w:p>
        </w:tc>
        <w:tc>
          <w:tcPr>
            <w:tcW w:type="dxa" w:w="3004"/>
            <w:tcBorders>
              <w:top w:val="single" w:sz="4" w:color="B7B7B7"/>
              <w:bottom w:val="single" w:sz="4" w:color="B7B7B7"/>
              <w:left w:val="single" w:sz="4" w:color="B7B7B7"/>
              <w:right w:val="single" w:sz="4" w:color="B7B7B7"/>
            </w:tcBorders>
            <w:shd w:fill="EEEEEE"/>
          </w:tcPr>
          <w:p>
            <w:pPr>
              <w:spacing w:before="60" w:after="60"/>
              <w:jc w:val="center"/>
            </w:pPr>
            <w:r>
              <w:rPr>
                <w:b/>
                <w:sz w:val="21"/>
              </w:rPr>
              <w:t>기울기 s</w:t>
            </w:r>
          </w:p>
        </w:tc>
      </w:tr>
      <w:tr>
        <w:trPr>
          <w:cantSplit/>
        </w:trPr>
        <w:tc>
          <w:tcPr>
            <w:tcW w:type="dxa" w:w="2403"/>
            <w:tcBorders>
              <w:top w:val="single" w:sz="4" w:color="B7B7B7"/>
              <w:bottom w:val="single" w:sz="4" w:color="B7B7B7"/>
              <w:left w:val="single" w:sz="4" w:color="B7B7B7"/>
              <w:right w:val="single" w:sz="4" w:color="B7B7B7"/>
            </w:tcBorders>
          </w:tcPr>
          <w:p>
            <w:pPr>
              <w:spacing w:before="60" w:after="60"/>
              <w:jc w:val="center"/>
            </w:pPr>
            <w:r>
              <w:rPr>
                <w:b w:val="0"/>
                <w:sz w:val="21"/>
              </w:rPr>
              <w:t>30~50 dB</w:t>
            </w:r>
          </w:p>
        </w:tc>
        <w:tc>
          <w:tcPr>
            <w:tcW w:type="dxa" w:w="2002"/>
            <w:tcBorders>
              <w:top w:val="single" w:sz="4" w:color="B7B7B7"/>
              <w:bottom w:val="single" w:sz="4" w:color="B7B7B7"/>
              <w:left w:val="single" w:sz="4" w:color="B7B7B7"/>
              <w:right w:val="single" w:sz="4" w:color="B7B7B7"/>
            </w:tcBorders>
          </w:tcPr>
          <w:p>
            <w:pPr>
              <w:spacing w:before="60" w:after="60"/>
              <w:jc w:val="center"/>
            </w:pPr>
            <w:r>
              <w:rPr>
                <w:b w:val="0"/>
                <w:sz w:val="21"/>
              </w:rPr>
              <w:t>21</w:t>
            </w:r>
          </w:p>
        </w:tc>
        <w:tc>
          <w:tcPr>
            <w:tcW w:type="dxa" w:w="2002"/>
            <w:tcBorders>
              <w:top w:val="single" w:sz="4" w:color="B7B7B7"/>
              <w:bottom w:val="single" w:sz="4" w:color="B7B7B7"/>
              <w:left w:val="single" w:sz="4" w:color="B7B7B7"/>
              <w:right w:val="single" w:sz="4" w:color="B7B7B7"/>
            </w:tcBorders>
          </w:tcPr>
          <w:p>
            <w:pPr>
              <w:spacing w:before="60" w:after="60"/>
              <w:jc w:val="center"/>
            </w:pPr>
            <w:r>
              <w:rPr>
                <w:b w:val="0"/>
                <w:sz w:val="21"/>
              </w:rPr>
              <w:t>89</w:t>
            </w:r>
          </w:p>
        </w:tc>
        <w:tc>
          <w:tcPr>
            <w:tcW w:type="dxa" w:w="3004"/>
            <w:tcBorders>
              <w:top w:val="single" w:sz="4" w:color="B7B7B7"/>
              <w:bottom w:val="single" w:sz="4" w:color="B7B7B7"/>
              <w:left w:val="single" w:sz="4" w:color="B7B7B7"/>
              <w:right w:val="single" w:sz="4" w:color="B7B7B7"/>
            </w:tcBorders>
          </w:tcPr>
          <w:p>
            <w:pPr>
              <w:spacing w:before="60" w:after="60"/>
              <w:jc w:val="center"/>
            </w:pPr>
            <w:r>
              <w:rPr>
                <w:b w:val="0"/>
                <w:sz w:val="21"/>
              </w:rPr>
              <w:t>0.6271707119</w:t>
            </w:r>
          </w:p>
        </w:tc>
      </w:tr>
      <w:tr>
        <w:trPr>
          <w:cantSplit/>
        </w:trPr>
        <w:tc>
          <w:tcPr>
            <w:tcW w:type="dxa" w:w="2403"/>
            <w:tcBorders>
              <w:top w:val="single" w:sz="4" w:color="B7B7B7"/>
              <w:bottom w:val="single" w:sz="4" w:color="B7B7B7"/>
              <w:left w:val="single" w:sz="4" w:color="B7B7B7"/>
              <w:right w:val="single" w:sz="4" w:color="B7B7B7"/>
            </w:tcBorders>
          </w:tcPr>
          <w:p>
            <w:pPr>
              <w:spacing w:before="60" w:after="60"/>
              <w:jc w:val="center"/>
            </w:pPr>
            <w:r>
              <w:rPr>
                <w:b w:val="0"/>
                <w:sz w:val="21"/>
              </w:rPr>
              <w:t>50~70 dB</w:t>
            </w:r>
          </w:p>
        </w:tc>
        <w:tc>
          <w:tcPr>
            <w:tcW w:type="dxa" w:w="2002"/>
            <w:tcBorders>
              <w:top w:val="single" w:sz="4" w:color="B7B7B7"/>
              <w:bottom w:val="single" w:sz="4" w:color="B7B7B7"/>
              <w:left w:val="single" w:sz="4" w:color="B7B7B7"/>
              <w:right w:val="single" w:sz="4" w:color="B7B7B7"/>
            </w:tcBorders>
          </w:tcPr>
          <w:p>
            <w:pPr>
              <w:spacing w:before="60" w:after="60"/>
              <w:jc w:val="center"/>
            </w:pPr>
            <w:r>
              <w:rPr>
                <w:b w:val="0"/>
                <w:sz w:val="21"/>
              </w:rPr>
              <w:t>89</w:t>
            </w:r>
          </w:p>
        </w:tc>
        <w:tc>
          <w:tcPr>
            <w:tcW w:type="dxa" w:w="2002"/>
            <w:tcBorders>
              <w:top w:val="single" w:sz="4" w:color="B7B7B7"/>
              <w:bottom w:val="single" w:sz="4" w:color="B7B7B7"/>
              <w:left w:val="single" w:sz="4" w:color="B7B7B7"/>
              <w:right w:val="single" w:sz="4" w:color="B7B7B7"/>
            </w:tcBorders>
          </w:tcPr>
          <w:p>
            <w:pPr>
              <w:spacing w:before="60" w:after="60"/>
              <w:jc w:val="center"/>
            </w:pPr>
            <w:r>
              <w:rPr>
                <w:b w:val="0"/>
                <w:sz w:val="21"/>
              </w:rPr>
              <w:t>776</w:t>
            </w:r>
          </w:p>
        </w:tc>
        <w:tc>
          <w:tcPr>
            <w:tcW w:type="dxa" w:w="3004"/>
            <w:tcBorders>
              <w:top w:val="single" w:sz="4" w:color="B7B7B7"/>
              <w:bottom w:val="single" w:sz="4" w:color="B7B7B7"/>
              <w:left w:val="single" w:sz="4" w:color="B7B7B7"/>
              <w:right w:val="single" w:sz="4" w:color="B7B7B7"/>
            </w:tcBorders>
          </w:tcPr>
          <w:p>
            <w:pPr>
              <w:spacing w:before="60" w:after="60"/>
              <w:jc w:val="center"/>
            </w:pPr>
            <w:r>
              <w:rPr>
                <w:b w:val="0"/>
                <w:sz w:val="21"/>
              </w:rPr>
              <w:t>0.9404717146</w:t>
            </w:r>
          </w:p>
        </w:tc>
      </w:tr>
      <w:tr>
        <w:trPr>
          <w:cantSplit/>
        </w:trPr>
        <w:tc>
          <w:tcPr>
            <w:tcW w:type="dxa" w:w="2403"/>
            <w:tcBorders>
              <w:top w:val="single" w:sz="4" w:color="B7B7B7"/>
              <w:bottom w:val="single" w:sz="4" w:color="B7B7B7"/>
              <w:left w:val="single" w:sz="4" w:color="B7B7B7"/>
              <w:right w:val="single" w:sz="4" w:color="B7B7B7"/>
            </w:tcBorders>
          </w:tcPr>
          <w:p>
            <w:pPr>
              <w:spacing w:before="60" w:after="60"/>
              <w:jc w:val="center"/>
            </w:pPr>
            <w:r>
              <w:rPr>
                <w:b w:val="0"/>
                <w:sz w:val="21"/>
              </w:rPr>
              <w:t>70~120 dB</w:t>
            </w:r>
          </w:p>
        </w:tc>
        <w:tc>
          <w:tcPr>
            <w:tcW w:type="dxa" w:w="2002"/>
            <w:tcBorders>
              <w:top w:val="single" w:sz="4" w:color="B7B7B7"/>
              <w:bottom w:val="single" w:sz="4" w:color="B7B7B7"/>
              <w:left w:val="single" w:sz="4" w:color="B7B7B7"/>
              <w:right w:val="single" w:sz="4" w:color="B7B7B7"/>
            </w:tcBorders>
          </w:tcPr>
          <w:p>
            <w:pPr>
              <w:spacing w:before="60" w:after="60"/>
              <w:jc w:val="center"/>
            </w:pPr>
            <w:r>
              <w:rPr>
                <w:b w:val="0"/>
                <w:sz w:val="21"/>
              </w:rPr>
              <w:t>776</w:t>
            </w:r>
          </w:p>
        </w:tc>
        <w:tc>
          <w:tcPr>
            <w:tcW w:type="dxa" w:w="2002"/>
            <w:tcBorders>
              <w:top w:val="single" w:sz="4" w:color="B7B7B7"/>
              <w:bottom w:val="single" w:sz="4" w:color="B7B7B7"/>
              <w:left w:val="single" w:sz="4" w:color="B7B7B7"/>
              <w:right w:val="single" w:sz="4" w:color="B7B7B7"/>
            </w:tcBorders>
          </w:tcPr>
          <w:p>
            <w:pPr>
              <w:spacing w:before="60" w:after="60"/>
              <w:jc w:val="center"/>
            </w:pPr>
            <w:r>
              <w:rPr>
                <w:b w:val="0"/>
                <w:sz w:val="21"/>
              </w:rPr>
              <w:t>262,143</w:t>
            </w:r>
          </w:p>
        </w:tc>
        <w:tc>
          <w:tcPr>
            <w:tcW w:type="dxa" w:w="3004"/>
            <w:tcBorders>
              <w:top w:val="single" w:sz="4" w:color="B7B7B7"/>
              <w:bottom w:val="single" w:sz="4" w:color="B7B7B7"/>
              <w:left w:val="single" w:sz="4" w:color="B7B7B7"/>
              <w:right w:val="single" w:sz="4" w:color="B7B7B7"/>
            </w:tcBorders>
          </w:tcPr>
          <w:p>
            <w:pPr>
              <w:spacing w:before="60" w:after="60"/>
              <w:jc w:val="center"/>
            </w:pPr>
            <w:r>
              <w:rPr>
                <w:b w:val="0"/>
                <w:sz w:val="21"/>
              </w:rPr>
              <w:t>1.0114706176</w:t>
            </w:r>
          </w:p>
        </w:tc>
      </w:tr>
    </w:tbl>
    <w:p>
      <w:pPr>
        <w:spacing w:before="200" w:after="200" w:line="300" w:lineRule="auto"/>
        <w:snapToGrid w:val="0"/>
      </w:pPr>
      <w:r>
        <w:rPr>
          <w:rFonts w:ascii="Noto Serif KR" w:hAnsi="Noto Serif KR" w:eastAsia="Noto Serif KR"/>
          <w:b w:val="0"/>
          <w:color w:val="000000"/>
          <w:sz w:val="22"/>
        </w:rPr>
        <w:t>s는 음압이 1 dB 커질 때 ADC가 얼마나 증가하는지를 정하는 값이다. 표 3에는 소수점 10자리까지 표시했지만 계산할 때는 중간에 반올림하지 않는다. 아래 식에 원하는 음압 L을 넣으면 표 1의 기준값을 계산할 수 있다.</w:t>
      </w:r>
    </w:p>
    <w:p>
      <w:pPr>
        <w:keepNext/>
        <w:keepLines/>
        <w:snapToGrid w:val="0"/>
        <w:spacing w:after="240" w:before="240" w:line="300" w:lineRule="auto"/>
        <w:ind w:left="198" w:right="198"/>
        <w:jc w:val="center"/>
        <w:shd w:fill="F7F7F7"/>
        <w:pBdr>
          <w:top w:val="single" w:sz="4" w:space="8" w:color="D9D9D9"/>
          <w:left w:val="single" w:sz="4" w:space="8" w:color="D9D9D9"/>
          <w:bottom w:val="single" w:sz="4" w:space="8" w:color="D9D9D9"/>
          <w:right w:val="single" w:sz="4" w:space="8" w:color="D9D9D9"/>
        </w:pBdr>
      </w:pPr>
      <m:oMathPara>
        <m:oMathParaPr>
          <m:jc m:val="center"/>
        </m:oMathParaPr>
        <m:oMath>
          <m:r>
            <w:rPr>
              <w:rFonts w:ascii="Cambria Math" w:hAnsi="Cambria Math" w:eastAsia="맑은 고딕"/>
              <w:sz w:val="24"/>
            </w:rPr>
            <m:t>L &lt; 50 :  G(L) = 21 × </m:t>
          </m:r>
          <m:sSup>
            <m:e>
              <m:r>
                <w:rPr>
                  <w:rFonts w:ascii="Cambria Math" w:hAnsi="Cambria Math" w:eastAsia="맑은 고딕"/>
                  <w:sz w:val="24"/>
                </w:rPr>
                <m:t>(89 / 21)</m:t>
              </m:r>
            </m:e>
            <m:sup>
              <m:r>
                <w:rPr>
                  <w:rFonts w:ascii="Cambria Math" w:hAnsi="Cambria Math" w:eastAsia="맑은 고딕"/>
                  <w:sz w:val="24"/>
                </w:rPr>
                <m:t>(L − 30) / 20</m:t>
              </m:r>
            </m:sup>
          </m:sSup>
        </m:oMath>
      </m:oMathPara>
    </w:p>
    <w:p>
      <w:pPr>
        <w:keepNext/>
        <w:keepLines/>
        <w:snapToGrid w:val="0"/>
        <w:spacing w:after="240" w:before="240" w:line="300" w:lineRule="auto"/>
        <w:ind w:left="198" w:right="198"/>
        <w:jc w:val="center"/>
        <w:shd w:fill="F7F7F7"/>
        <w:pBdr>
          <w:top w:val="single" w:sz="4" w:space="8" w:color="D9D9D9"/>
          <w:left w:val="single" w:sz="4" w:space="8" w:color="D9D9D9"/>
          <w:bottom w:val="single" w:sz="4" w:space="8" w:color="D9D9D9"/>
          <w:right w:val="single" w:sz="4" w:space="8" w:color="D9D9D9"/>
        </w:pBdr>
      </w:pPr>
      <m:oMathPara>
        <m:oMathParaPr>
          <m:jc m:val="center"/>
        </m:oMathParaPr>
        <m:oMath>
          <m:r>
            <w:rPr>
              <w:rFonts w:ascii="Cambria Math" w:hAnsi="Cambria Math" w:eastAsia="맑은 고딕"/>
              <w:sz w:val="24"/>
            </w:rPr>
            <m:t>50 ≤ L &lt; 70 :  G(L) = 89 × </m:t>
          </m:r>
          <m:sSup>
            <m:e>
              <m:r>
                <w:rPr>
                  <w:rFonts w:ascii="Cambria Math" w:hAnsi="Cambria Math" w:eastAsia="맑은 고딕"/>
                  <w:sz w:val="24"/>
                </w:rPr>
                <m:t>(776 / 89)</m:t>
              </m:r>
            </m:e>
            <m:sup>
              <m:r>
                <w:rPr>
                  <w:rFonts w:ascii="Cambria Math" w:hAnsi="Cambria Math" w:eastAsia="맑은 고딕"/>
                  <w:sz w:val="24"/>
                </w:rPr>
                <m:t>(L − 50) / 20</m:t>
              </m:r>
            </m:sup>
          </m:sSup>
        </m:oMath>
      </m:oMathPara>
    </w:p>
    <w:p>
      <w:pPr>
        <w:keepNext w:val="0"/>
        <w:keepLines/>
        <w:snapToGrid w:val="0"/>
        <w:spacing w:after="240" w:before="240" w:line="300" w:lineRule="auto"/>
        <w:ind w:left="198" w:right="198"/>
        <w:jc w:val="center"/>
        <w:shd w:fill="F7F7F7"/>
        <w:pBdr>
          <w:top w:val="single" w:sz="4" w:space="8" w:color="D9D9D9"/>
          <w:left w:val="single" w:sz="4" w:space="8" w:color="D9D9D9"/>
          <w:bottom w:val="single" w:sz="4" w:space="8" w:color="D9D9D9"/>
          <w:right w:val="single" w:sz="4" w:space="8" w:color="D9D9D9"/>
        </w:pBdr>
      </w:pPr>
      <m:oMathPara>
        <m:oMathParaPr>
          <m:jc m:val="center"/>
        </m:oMathParaPr>
        <m:oMath>
          <m:r>
            <w:rPr>
              <w:rFonts w:ascii="Cambria Math" w:hAnsi="Cambria Math" w:eastAsia="맑은 고딕"/>
              <w:sz w:val="24"/>
            </w:rPr>
            <m:t>70 ≤ L :  G(L) = 776 × </m:t>
          </m:r>
          <m:sSup>
            <m:e>
              <m:r>
                <w:rPr>
                  <w:rFonts w:ascii="Cambria Math" w:hAnsi="Cambria Math" w:eastAsia="맑은 고딕"/>
                  <w:sz w:val="24"/>
                </w:rPr>
                <m:t>(262143 / 776)</m:t>
              </m:r>
            </m:e>
            <m:sup>
              <m:r>
                <w:rPr>
                  <w:rFonts w:ascii="Cambria Math" w:hAnsi="Cambria Math" w:eastAsia="맑은 고딕"/>
                  <w:sz w:val="24"/>
                </w:rPr>
                <m:t>(L − 70) / 50</m:t>
              </m:r>
            </m:sup>
          </m:sSup>
        </m:oMath>
      </m:oMathPara>
    </w:p>
    <w:p>
      <w:pPr>
        <w:spacing w:before="0" w:after="200" w:line="300" w:lineRule="auto"/>
        <w:snapToGrid w:val="0"/>
      </w:pPr>
      <w:r>
        <w:rPr>
          <w:rFonts w:ascii="Noto Serif KR" w:hAnsi="Noto Serif KR" w:eastAsia="Noto Serif KR"/>
          <w:b w:val="0"/>
          <w:color w:val="000000"/>
          <w:sz w:val="22"/>
        </w:rPr>
        <w:t>29 dB에는 30~50 dB 구간의 계산 방법을 한 단계 낮은 음압까지 연장해 적용했다. 50 dB와 70 dB에서는 앞뒤 구간의 계산 결과가 같다. 예를 들어 119 dB는 776×(262143÷776)의 (49÷50)승으로 계산한 뒤 정수로 반올림하면 233,327이 된다.</w:t>
      </w:r>
    </w:p>
    <w:p>
      <w:pPr>
        <w:pStyle w:val="Heading1"/>
        <w:spacing w:before="180" w:after="160" w:line="264" w:lineRule="auto"/>
        <w:keepNext/>
        <w:snapToGrid w:val="0"/>
        <w:pageBreakBefore/>
        <w:shd w:fill="EFEFEF"/>
      </w:pPr>
      <w:r>
        <w:rPr>
          <w:rFonts w:ascii="맑은 고딕" w:hAnsi="맑은 고딕" w:eastAsia="맑은 고딕"/>
          <w:b/>
          <w:color w:val="000000"/>
          <w:sz w:val="28"/>
        </w:rPr>
        <w:t>4 허용범위와 통과 여부를 판단하는 방법</w:t>
      </w:r>
    </w:p>
    <w:p>
      <w:pPr>
        <w:spacing w:before="0" w:after="200" w:line="300" w:lineRule="auto"/>
        <w:snapToGrid w:val="0"/>
      </w:pPr>
      <w:r>
        <w:rPr>
          <w:rFonts w:ascii="Noto Serif KR" w:hAnsi="Noto Serif KR" w:eastAsia="Noto Serif KR"/>
          <w:b w:val="0"/>
          <w:color w:val="000000"/>
          <w:sz w:val="22"/>
        </w:rPr>
        <w:t>□ 시험 음압보다 5 dB 낮은 값과 높은 값 사이이면 통과</w:t>
      </w:r>
    </w:p>
    <w:p>
      <w:pPr>
        <w:spacing w:before="0" w:after="200" w:line="300" w:lineRule="auto"/>
        <w:snapToGrid w:val="0"/>
      </w:pPr>
      <w:r>
        <w:rPr>
          <w:rFonts w:ascii="Noto Serif KR" w:hAnsi="Noto Serif KR" w:eastAsia="Noto Serif KR"/>
          <w:b w:val="0"/>
          <w:color w:val="000000"/>
          <w:sz w:val="22"/>
        </w:rPr>
        <w:t>먼저 계산한 값 G(L)이 262,143보다 크면 262,143으로 제한한다. 그 결과를 소수점 8자리까지 반올림한 값을 F(L)이라고 하고, 다시 정수로 반올림해 표 1에 적었다. 식에서 MIN은 두 값 중 작은 값을 고르는 계산이다. ROUND는 반올림, ROUNDUP은 올림, ROUNDDOWN은 내림을 뜻한다.</w:t>
      </w:r>
    </w:p>
    <w:p>
      <w:pPr>
        <w:keepNext/>
        <w:keepLines/>
        <w:snapToGrid w:val="0"/>
        <w:spacing w:after="240" w:before="240" w:line="300" w:lineRule="auto"/>
        <w:ind w:left="198" w:right="198"/>
        <w:jc w:val="center"/>
        <w:shd w:fill="F7F7F7"/>
        <w:pBdr>
          <w:top w:val="single" w:sz="4" w:space="8" w:color="D9D9D9"/>
          <w:left w:val="single" w:sz="4" w:space="8" w:color="D9D9D9"/>
          <w:bottom w:val="single" w:sz="4" w:space="8" w:color="D9D9D9"/>
          <w:right w:val="single" w:sz="4" w:space="8" w:color="D9D9D9"/>
        </w:pBdr>
      </w:pPr>
      <m:oMathPara>
        <m:oMathParaPr>
          <m:jc m:val="center"/>
        </m:oMathParaPr>
        <m:oMath>
          <m:r>
            <w:rPr>
              <w:rFonts w:ascii="Cambria Math" w:hAnsi="Cambria Math" w:eastAsia="맑은 고딕"/>
              <w:sz w:val="24"/>
            </w:rPr>
            <m:t>F(L) = ROUND(MIN(262143, G(L)), 8)</m:t>
          </m:r>
        </m:oMath>
      </m:oMathPara>
    </w:p>
    <w:p>
      <w:pPr>
        <w:keepNext/>
        <w:keepLines/>
        <w:snapToGrid w:val="0"/>
        <w:spacing w:after="240" w:before="240" w:line="300" w:lineRule="auto"/>
        <w:ind w:left="198" w:right="198"/>
        <w:jc w:val="center"/>
        <w:shd w:fill="F7F7F7"/>
        <w:pBdr>
          <w:top w:val="single" w:sz="4" w:space="8" w:color="D9D9D9"/>
          <w:left w:val="single" w:sz="4" w:space="8" w:color="D9D9D9"/>
          <w:bottom w:val="single" w:sz="4" w:space="8" w:color="D9D9D9"/>
          <w:right w:val="single" w:sz="4" w:space="8" w:color="D9D9D9"/>
        </w:pBdr>
      </w:pPr>
      <m:oMathPara>
        <m:oMathParaPr>
          <m:jc m:val="center"/>
        </m:oMathParaPr>
        <m:oMath>
          <m:r>
            <w:rPr>
              <w:rFonts w:ascii="Cambria Math" w:hAnsi="Cambria Math" w:eastAsia="맑은 고딕"/>
              <w:sz w:val="24"/>
            </w:rPr>
            <m:t>기준 ADC = ROUND(F(L), 0)</m:t>
          </m:r>
        </m:oMath>
      </m:oMathPara>
    </w:p>
    <w:p>
      <w:pPr>
        <w:keepNext/>
        <w:keepLines/>
        <w:snapToGrid w:val="0"/>
        <w:spacing w:after="240" w:before="240" w:line="300" w:lineRule="auto"/>
        <w:ind w:left="198" w:right="198"/>
        <w:jc w:val="center"/>
        <w:shd w:fill="F7F7F7"/>
        <w:pBdr>
          <w:top w:val="single" w:sz="4" w:space="8" w:color="D9D9D9"/>
          <w:left w:val="single" w:sz="4" w:space="8" w:color="D9D9D9"/>
          <w:bottom w:val="single" w:sz="4" w:space="8" w:color="D9D9D9"/>
          <w:right w:val="single" w:sz="4" w:space="8" w:color="D9D9D9"/>
        </w:pBdr>
      </w:pPr>
      <m:oMathPara>
        <m:oMathParaPr>
          <m:jc m:val="center"/>
        </m:oMathParaPr>
        <m:oMath>
          <m:r>
            <w:rPr>
              <w:rFonts w:ascii="Cambria Math" w:hAnsi="Cambria Math" w:eastAsia="맑은 고딕"/>
              <w:sz w:val="24"/>
            </w:rPr>
            <m:t>하한 = ROUNDUP(F(L − 5), 0)</m:t>
          </m:r>
        </m:oMath>
      </m:oMathPara>
    </w:p>
    <w:p>
      <w:pPr>
        <w:keepNext w:val="0"/>
        <w:keepLines/>
        <w:snapToGrid w:val="0"/>
        <w:spacing w:after="240" w:before="240" w:line="300" w:lineRule="auto"/>
        <w:ind w:left="198" w:right="198"/>
        <w:jc w:val="center"/>
        <w:shd w:fill="F7F7F7"/>
        <w:pBdr>
          <w:top w:val="single" w:sz="4" w:space="8" w:color="D9D9D9"/>
          <w:left w:val="single" w:sz="4" w:space="8" w:color="D9D9D9"/>
          <w:bottom w:val="single" w:sz="4" w:space="8" w:color="D9D9D9"/>
          <w:right w:val="single" w:sz="4" w:space="8" w:color="D9D9D9"/>
        </w:pBdr>
      </w:pPr>
      <m:oMathPara>
        <m:oMathParaPr>
          <m:jc m:val="center"/>
        </m:oMathParaPr>
        <m:oMath>
          <m:r>
            <w:rPr>
              <w:rFonts w:ascii="Cambria Math" w:hAnsi="Cambria Math" w:eastAsia="맑은 고딕"/>
              <w:sz w:val="24"/>
            </w:rPr>
            <m:t>상한 = ROUNDDOWN(F(L + 5), 0)</m:t>
          </m:r>
        </m:oMath>
      </m:oMathPara>
    </w:p>
    <w:p>
      <w:pPr>
        <w:spacing w:before="0" w:after="200" w:line="300" w:lineRule="auto"/>
        <w:snapToGrid w:val="0"/>
      </w:pPr>
      <w:r>
        <w:rPr>
          <w:rFonts w:ascii="Noto Serif KR" w:hAnsi="Noto Serif KR" w:eastAsia="Noto Serif KR"/>
          <w:b w:val="0"/>
          <w:color w:val="000000"/>
          <w:sz w:val="22"/>
        </w:rPr>
        <w:t>예를 들어 70 dB를 시험한다면 65 dB의 계산값을 허용범위의 아래쪽 기준으로, 75 dB의 계산값을 위쪽 기준으로 사용한다. 아래쪽은 올림, 위쪽은 내림하여 정수로 만들고, 측정 ADC가 그 사이에 있으면 이 항목을 통과한다. 소리 크기에 따라 증가 비율이 다르므로 ADC에 같은 비율을 일괄 곱해 허용범위를 만들지는 않는다.</w:t>
      </w:r>
    </w:p>
    <w:p>
      <w:pPr>
        <w:spacing w:before="0" w:after="200" w:line="300" w:lineRule="auto"/>
        <w:snapToGrid w:val="0"/>
      </w:pPr>
      <w:r>
        <w:rPr>
          <w:rFonts w:ascii="Noto Serif KR" w:hAnsi="Noto Serif KR" w:eastAsia="Noto Serif KR"/>
          <w:b w:val="0"/>
          <w:color w:val="000000"/>
          <w:sz w:val="22"/>
        </w:rPr>
        <w:t>120 dB 시험의 아래쪽 기준은 115 dB에서 계산한 146,444이다. 위쪽은 최대값인 262,143으로 제한한다. 따라서 120 dB를 입력했을 때 ADC가 146,444~262,143이면 이 항목을 통과한다. 시험 소리를 115 dB로 낮춰도 된다는 뜻은 아니다.</w:t>
      </w:r>
    </w:p>
    <w:p>
      <w:pPr>
        <w:spacing w:before="0" w:after="200" w:line="300" w:lineRule="auto"/>
        <w:snapToGrid w:val="0"/>
      </w:pPr>
      <w:r>
        <w:rPr>
          <w:rFonts w:ascii="Noto Serif KR" w:hAnsi="Noto Serif KR" w:eastAsia="Noto Serif KR"/>
          <w:b w:val="0"/>
          <w:color w:val="000000"/>
          <w:sz w:val="22"/>
        </w:rPr>
        <w:t>±5 dB 범위를 구하려면 표에 없는 24~28 dB와 121~125 dB도 계산해야 한다. 30 dB 아래에서는 첫 구간의 증가 비율을 이어 쓰고, 120 dB 위에서는 계산값을 262,143으로 제한한다. ±5 dB는 시험에서 허용하기로 정한 차이이며, 이번 두 시료의 측정 편차에서 새로 구한 값은 아니다.</w:t>
      </w:r>
    </w:p>
    <w:p>
      <w:pPr>
        <w:pStyle w:val="Heading1"/>
        <w:spacing w:before="180" w:after="160" w:line="264" w:lineRule="auto"/>
        <w:keepNext/>
        <w:snapToGrid w:val="0"/>
        <w:pageBreakBefore/>
        <w:shd w:fill="EFEFEF"/>
      </w:pPr>
      <w:r>
        <w:rPr>
          <w:rFonts w:ascii="맑은 고딕" w:hAnsi="맑은 고딕" w:eastAsia="맑은 고딕"/>
          <w:b/>
          <w:color w:val="000000"/>
          <w:sz w:val="28"/>
        </w:rPr>
        <w:t>5 실제 측정값과 비교한 결과</w:t>
      </w:r>
    </w:p>
    <w:p>
      <w:pPr>
        <w:spacing w:before="0" w:after="200" w:line="300" w:lineRule="auto"/>
        <w:snapToGrid w:val="0"/>
      </w:pPr>
      <w:r>
        <w:rPr>
          <w:rFonts w:ascii="Noto Serif KR" w:hAnsi="Noto Serif KR" w:eastAsia="Noto Serif KR"/>
          <w:b w:val="0"/>
          <w:color w:val="000000"/>
          <w:sz w:val="22"/>
        </w:rPr>
        <w:t>□ 62건 중 61건 충족하며 29 dB의 500D는 범위 초과</w:t>
      </w:r>
    </w:p>
    <w:p>
      <w:pPr>
        <w:spacing w:before="0" w:after="200" w:line="300" w:lineRule="auto"/>
        <w:snapToGrid w:val="0"/>
      </w:pPr>
      <w:r>
        <w:rPr>
          <w:rFonts w:ascii="Noto Serif KR" w:hAnsi="Noto Serif KR" w:eastAsia="Noto Serif KR"/>
          <w:b w:val="0"/>
          <w:color w:val="000000"/>
          <w:sz w:val="22"/>
        </w:rPr>
        <w:t>31개 측정 조건에서 두 시료의 ADC를 각각 비교했다. 총 62건 중 61건이 허용범위에 들어왔다. 30~120 dB에서는 두 시료 모두 범위 안에 있었고, 29 dB에서는 500D만 위쪽 기준을 넘었다. 각 조건의 측정값과 허용범위는 표 4와 같다.</w:t>
      </w:r>
    </w:p>
    <w:p>
      <w:pPr>
        <w:pStyle w:val="Caption"/>
        <w:keepNext/>
        <w:spacing w:before="200" w:after="120" w:line="264" w:lineRule="auto"/>
      </w:pPr>
      <w:r>
        <w:rPr>
          <w:rFonts w:ascii="맑은 고딕" w:hAnsi="맑은 고딕" w:eastAsia="맑은 고딕"/>
          <w:b/>
          <w:i w:val="0"/>
          <w:color w:val="000000"/>
          <w:sz w:val="21"/>
        </w:rPr>
        <w:t xml:space="preserve">표 </w:t>
      </w:r>
      <w:fldSimple w:instr="SEQ Table \* ARABIC \* MERGEFORMAT">
        <w:r>
          <w:rPr>
            <w:rFonts w:ascii="맑은 고딕" w:hAnsi="맑은 고딕" w:eastAsia="맑은 고딕"/>
            <w:b/>
            <w:i w:val="0"/>
            <w:color w:val="000000"/>
            <w:sz w:val="21"/>
          </w:rPr>
          <w:t>4</w:t>
        </w:r>
      </w:fldSimple>
      <w:r>
        <w:rPr>
          <w:rFonts w:ascii="맑은 고딕" w:hAnsi="맑은 고딕" w:eastAsia="맑은 고딕"/>
          <w:b/>
          <w:i w:val="0"/>
          <w:color w:val="000000"/>
          <w:sz w:val="21"/>
        </w:rPr>
        <w:t xml:space="preserve">  실측 평균 ADC와 허용범위</w:t>
      </w:r>
    </w:p>
    <w:tbl>
      <w:tblPr>
        <w:tblW w:type="auto" w:w="0"/>
        <w:tblLayout w:type="fixed"/>
        <w:tblLook w:firstColumn="1" w:firstRow="1" w:lastColumn="0" w:lastRow="0" w:noHBand="0" w:noVBand="1" w:val="04A0"/>
      </w:tblPr>
      <w:tblGrid>
        <w:gridCol w:w="1356"/>
        <w:gridCol w:w="1037"/>
        <w:gridCol w:w="1436"/>
        <w:gridCol w:w="1436"/>
        <w:gridCol w:w="2393"/>
        <w:gridCol w:w="1755"/>
      </w:tblGrid>
      <w:tr>
        <w:trPr>
          <w:cantSplit/>
          <w:tblHeader/>
        </w:trPr>
        <w:tc>
          <w:tcPr>
            <w:tcW w:type="dxa" w:w="1356"/>
            <w:tcBorders>
              <w:top w:val="single" w:sz="4" w:color="B7B7B7"/>
              <w:bottom w:val="single" w:sz="4" w:color="B7B7B7"/>
              <w:left w:val="single" w:sz="4" w:color="B7B7B7"/>
              <w:right w:val="single" w:sz="4" w:color="B7B7B7"/>
            </w:tcBorders>
            <w:shd w:fill="EEEEEE"/>
          </w:tcPr>
          <w:p>
            <w:pPr>
              <w:spacing w:before="60" w:after="60"/>
              <w:jc w:val="center"/>
            </w:pPr>
            <w:r>
              <w:rPr>
                <w:b/>
                <w:sz w:val="21"/>
              </w:rPr>
              <w:t>음압 dB SPL</w:t>
            </w:r>
          </w:p>
        </w:tc>
        <w:tc>
          <w:tcPr>
            <w:tcW w:type="dxa" w:w="1037"/>
            <w:tcBorders>
              <w:top w:val="single" w:sz="4" w:color="B7B7B7"/>
              <w:bottom w:val="single" w:sz="4" w:color="B7B7B7"/>
              <w:left w:val="single" w:sz="4" w:color="B7B7B7"/>
              <w:right w:val="single" w:sz="4" w:color="B7B7B7"/>
            </w:tcBorders>
            <w:shd w:fill="EEEEEE"/>
          </w:tcPr>
          <w:p>
            <w:pPr>
              <w:spacing w:before="60" w:after="60"/>
              <w:jc w:val="center"/>
            </w:pPr>
            <w:r>
              <w:rPr>
                <w:b/>
                <w:sz w:val="21"/>
              </w:rPr>
              <w:t>배치</w:t>
            </w:r>
          </w:p>
        </w:tc>
        <w:tc>
          <w:tcPr>
            <w:tcW w:type="dxa" w:w="1436"/>
            <w:tcBorders>
              <w:top w:val="single" w:sz="4" w:color="B7B7B7"/>
              <w:bottom w:val="single" w:sz="4" w:color="B7B7B7"/>
              <w:left w:val="single" w:sz="4" w:color="B7B7B7"/>
              <w:right w:val="single" w:sz="4" w:color="B7B7B7"/>
            </w:tcBorders>
            <w:shd w:fill="EEEEEE"/>
          </w:tcPr>
          <w:p>
            <w:pPr>
              <w:spacing w:before="60" w:after="60"/>
              <w:jc w:val="center"/>
            </w:pPr>
            <w:r>
              <w:rPr>
                <w:b/>
                <w:sz w:val="21"/>
              </w:rPr>
              <w:t>500C</w:t>
            </w:r>
          </w:p>
        </w:tc>
        <w:tc>
          <w:tcPr>
            <w:tcW w:type="dxa" w:w="1436"/>
            <w:tcBorders>
              <w:top w:val="single" w:sz="4" w:color="B7B7B7"/>
              <w:bottom w:val="single" w:sz="4" w:color="B7B7B7"/>
              <w:left w:val="single" w:sz="4" w:color="B7B7B7"/>
              <w:right w:val="single" w:sz="4" w:color="B7B7B7"/>
            </w:tcBorders>
            <w:shd w:fill="EEEEEE"/>
          </w:tcPr>
          <w:p>
            <w:pPr>
              <w:spacing w:before="60" w:after="60"/>
              <w:jc w:val="center"/>
            </w:pPr>
            <w:r>
              <w:rPr>
                <w:b/>
                <w:sz w:val="21"/>
              </w:rPr>
              <w:t>500D</w:t>
            </w:r>
          </w:p>
        </w:tc>
        <w:tc>
          <w:tcPr>
            <w:tcW w:type="dxa" w:w="2393"/>
            <w:tcBorders>
              <w:top w:val="single" w:sz="4" w:color="B7B7B7"/>
              <w:bottom w:val="single" w:sz="4" w:color="B7B7B7"/>
              <w:left w:val="single" w:sz="4" w:color="B7B7B7"/>
              <w:right w:val="single" w:sz="4" w:color="B7B7B7"/>
            </w:tcBorders>
            <w:shd w:fill="EEEEEE"/>
          </w:tcPr>
          <w:p>
            <w:pPr>
              <w:spacing w:before="60" w:after="60"/>
              <w:jc w:val="center"/>
            </w:pPr>
            <w:r>
              <w:rPr>
                <w:b/>
                <w:sz w:val="21"/>
              </w:rPr>
              <w:t>허용 ADC 범위</w:t>
            </w:r>
          </w:p>
        </w:tc>
        <w:tc>
          <w:tcPr>
            <w:tcW w:type="dxa" w:w="1755"/>
            <w:tcBorders>
              <w:top w:val="single" w:sz="4" w:color="B7B7B7"/>
              <w:bottom w:val="single" w:sz="4" w:color="B7B7B7"/>
              <w:left w:val="single" w:sz="4" w:color="B7B7B7"/>
              <w:right w:val="single" w:sz="4" w:color="B7B7B7"/>
            </w:tcBorders>
            <w:shd w:fill="EEEEEE"/>
          </w:tcPr>
          <w:p>
            <w:pPr>
              <w:spacing w:before="60" w:after="60"/>
              <w:jc w:val="center"/>
            </w:pPr>
            <w:r>
              <w:rPr>
                <w:b/>
                <w:sz w:val="21"/>
              </w:rPr>
              <w:t>판정</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29</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22</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30</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14~28</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500D 초과</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30</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19</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23</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15~30</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31</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21</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25</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16~32</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32</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20</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26</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17~34</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33</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23</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27</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19~37</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34</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22</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31</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20~40</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35</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23</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28</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21~43</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40</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35</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41</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31~62</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45</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54</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60</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44~89</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50</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86</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92</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63~152</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55</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146</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152</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89~262</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60</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252</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259</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153~451</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65</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444</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447</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263~776</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70</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773</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779</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452~1,389</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75</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1,374</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1,379</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776~2,486</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80</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2,453</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2,459</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1,390~4,451</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80</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근접</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1,634</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2,000</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1,390~4,451</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85</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4,377</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4,394</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2,487~7,967</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85</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근접</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2,896</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3,542</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2,487~7,967</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90</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멀리</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7,866</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7,963</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4,452~14,262</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90</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근접</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5,162</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6,300</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4,452~14,262</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95</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근접</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9,483</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11,547</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7,968~25,530</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100</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근접</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16,762</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20,496</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14,263~45,702</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105</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근접</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29,718</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36,099</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25,531~81,809</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110</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근접</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50,633</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64,237</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45,703~146,443</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115</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근접</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94,175</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108,783</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81,810~262,143</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116</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근접</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103,093</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121,056</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91,913~262,143</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117</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근접</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149,227</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138,175</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103,265~262,143</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118</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근접</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140,403</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119,873</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116,018~262,143</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119</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근접</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147,838</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132,445</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130,346~262,143</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r>
        <w:trPr>
          <w:cantSplit/>
        </w:trPr>
        <w:tc>
          <w:tcPr>
            <w:tcW w:type="dxa" w:w="1356"/>
            <w:tcBorders>
              <w:top w:val="single" w:sz="4" w:color="B7B7B7"/>
              <w:bottom w:val="single" w:sz="4" w:color="B7B7B7"/>
              <w:left w:val="single" w:sz="4" w:color="B7B7B7"/>
              <w:right w:val="single" w:sz="4" w:color="B7B7B7"/>
            </w:tcBorders>
          </w:tcPr>
          <w:p>
            <w:pPr>
              <w:spacing w:before="60" w:after="60"/>
              <w:jc w:val="center"/>
            </w:pPr>
            <w:r>
              <w:rPr>
                <w:b w:val="0"/>
                <w:sz w:val="21"/>
              </w:rPr>
              <w:t>120</w:t>
            </w:r>
          </w:p>
        </w:tc>
        <w:tc>
          <w:tcPr>
            <w:tcW w:type="dxa" w:w="1037"/>
            <w:tcBorders>
              <w:top w:val="single" w:sz="4" w:color="B7B7B7"/>
              <w:bottom w:val="single" w:sz="4" w:color="B7B7B7"/>
              <w:left w:val="single" w:sz="4" w:color="B7B7B7"/>
              <w:right w:val="single" w:sz="4" w:color="B7B7B7"/>
            </w:tcBorders>
          </w:tcPr>
          <w:p>
            <w:pPr>
              <w:spacing w:before="60" w:after="60"/>
              <w:jc w:val="center"/>
            </w:pPr>
            <w:r>
              <w:rPr>
                <w:b w:val="0"/>
                <w:sz w:val="21"/>
              </w:rPr>
              <w:t>근접</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159,834</w:t>
            </w:r>
          </w:p>
        </w:tc>
        <w:tc>
          <w:tcPr>
            <w:tcW w:type="dxa" w:w="1436"/>
            <w:tcBorders>
              <w:top w:val="single" w:sz="4" w:color="B7B7B7"/>
              <w:bottom w:val="single" w:sz="4" w:color="B7B7B7"/>
              <w:left w:val="single" w:sz="4" w:color="B7B7B7"/>
              <w:right w:val="single" w:sz="4" w:color="B7B7B7"/>
            </w:tcBorders>
          </w:tcPr>
          <w:p>
            <w:pPr>
              <w:spacing w:before="60" w:after="60"/>
              <w:jc w:val="center"/>
            </w:pPr>
            <w:r>
              <w:rPr>
                <w:b w:val="0"/>
                <w:sz w:val="21"/>
              </w:rPr>
              <w:t>172,560</w:t>
            </w:r>
          </w:p>
        </w:tc>
        <w:tc>
          <w:tcPr>
            <w:tcW w:type="dxa" w:w="2393"/>
            <w:tcBorders>
              <w:top w:val="single" w:sz="4" w:color="B7B7B7"/>
              <w:bottom w:val="single" w:sz="4" w:color="B7B7B7"/>
              <w:left w:val="single" w:sz="4" w:color="B7B7B7"/>
              <w:right w:val="single" w:sz="4" w:color="B7B7B7"/>
            </w:tcBorders>
          </w:tcPr>
          <w:p>
            <w:pPr>
              <w:spacing w:before="60" w:after="60"/>
              <w:jc w:val="center"/>
            </w:pPr>
            <w:r>
              <w:rPr>
                <w:b w:val="0"/>
                <w:sz w:val="21"/>
              </w:rPr>
              <w:t>146,444~262,143</w:t>
            </w:r>
          </w:p>
        </w:tc>
        <w:tc>
          <w:tcPr>
            <w:tcW w:type="dxa" w:w="1755"/>
            <w:tcBorders>
              <w:top w:val="single" w:sz="4" w:color="B7B7B7"/>
              <w:bottom w:val="single" w:sz="4" w:color="B7B7B7"/>
              <w:left w:val="single" w:sz="4" w:color="B7B7B7"/>
              <w:right w:val="single" w:sz="4" w:color="B7B7B7"/>
            </w:tcBorders>
          </w:tcPr>
          <w:p>
            <w:pPr>
              <w:spacing w:before="60" w:after="60"/>
              <w:jc w:val="center"/>
            </w:pPr>
            <w:r>
              <w:rPr>
                <w:b w:val="0"/>
                <w:sz w:val="21"/>
              </w:rPr>
              <w:t>둘 다 충족</w:t>
            </w:r>
          </w:p>
        </w:tc>
      </w:tr>
    </w:tbl>
    <w:p>
      <w:pPr>
        <w:spacing w:before="200" w:after="200" w:line="300" w:lineRule="auto"/>
        <w:snapToGrid w:val="0"/>
      </w:pPr>
      <w:r>
        <w:rPr>
          <w:rFonts w:ascii="Noto Serif KR" w:hAnsi="Noto Serif KR" w:eastAsia="Noto Serif KR"/>
          <w:b w:val="0"/>
          <w:color w:val="000000"/>
          <w:sz w:val="22"/>
        </w:rPr>
        <w:t>120 dB의 실측 ADC는 500C가 159,834, 500D가 172,560으로, 둘 다 아래쪽 기준 146,444보다 높았다. 이 값을 새 기준표의 소리 크기로 바꾸어 보면 120 dB보다 각각 약 4.25 dB와 3.59 dB 낮은 수준이다. 두 시료 모두 허용한 5 dB 차이 안에 있으므로 최대 ADC 기준값을 262,143으로 유지해도 이 시험 조건을 통과한다.</w:t>
      </w:r>
    </w:p>
    <w:p>
      <w:pPr>
        <w:spacing w:before="0" w:after="200" w:line="300" w:lineRule="auto"/>
        <w:snapToGrid w:val="0"/>
      </w:pPr>
      <w:r>
        <w:rPr>
          <w:rFonts w:ascii="Noto Serif KR" w:hAnsi="Noto Serif KR" w:eastAsia="Noto Serif KR"/>
          <w:b w:val="0"/>
          <w:color w:val="000000"/>
          <w:sz w:val="22"/>
        </w:rPr>
        <w:t>29 dB에서 500D의 ADC는 30으로 허용범위 14~28을 넘었다. 새 기준으로 환산하면 약 5.94 dB 높은 값이다. 한편 119 dB의 500D는 132,445로 아래쪽 기준 130,346보다 높지만, 허용한 차이 5 dB에 가까운 약 4.86 dB 차이를 보였다. 이 두 조건은 반복 측정에서 다시 확인할 필요가 있다.</w:t>
      </w:r>
    </w:p>
    <w:p>
      <w:pPr>
        <w:pStyle w:val="Heading1"/>
        <w:spacing w:before="180" w:after="160" w:line="264" w:lineRule="auto"/>
        <w:keepNext/>
        <w:snapToGrid w:val="0"/>
        <w:pageBreakBefore/>
        <w:shd w:fill="EFEFEF"/>
      </w:pPr>
      <w:r>
        <w:rPr>
          <w:rFonts w:ascii="맑은 고딕" w:hAnsi="맑은 고딕" w:eastAsia="맑은 고딕"/>
          <w:b/>
          <w:color w:val="000000"/>
          <w:sz w:val="28"/>
        </w:rPr>
        <w:t>6 기준표를 사용할 때 확인할 사항</w:t>
      </w:r>
    </w:p>
    <w:p>
      <w:pPr>
        <w:spacing w:before="0" w:after="200" w:line="300" w:lineRule="auto"/>
        <w:snapToGrid w:val="0"/>
      </w:pPr>
      <w:r>
        <w:rPr>
          <w:rFonts w:ascii="Noto Serif KR" w:hAnsi="Noto Serif KR" w:eastAsia="Noto Serif KR"/>
          <w:b w:val="0"/>
          <w:color w:val="000000"/>
          <w:sz w:val="22"/>
        </w:rPr>
        <w:t>작은 소리의 기준은 Sound1의 측정 결과에 맞추고, 120 dB의 최대 기준은 262,143으로 유지했다. 현재 두 시료의 측정값을 대조했을 때 중간 크기부터 큰 소리까지 모두 ±5 dB 범위에 들어왔다. 다만 두 시료의 결과이므로 모든 제품에서 같은 결과가 나온다고 단정할 수는 없다.</w:t>
      </w:r>
    </w:p>
    <w:p>
      <w:pPr>
        <w:spacing w:before="0" w:after="200" w:line="300" w:lineRule="auto"/>
        <w:snapToGrid w:val="0"/>
      </w:pPr>
      <w:r>
        <w:rPr>
          <w:rFonts w:ascii="Noto Serif KR" w:hAnsi="Noto Serif KR" w:eastAsia="Noto Serif KR"/>
          <w:b w:val="0"/>
          <w:color w:val="000000"/>
          <w:sz w:val="22"/>
        </w:rPr>
        <w:t>이 표는 1048 Hz 사인파, 기구 조립 상태, APx 표시 보정 −6.29 dB 및 같은 ADC 측정 방법을 전제로 한다. 다른 주파수나 조립 상태, 펌웨어의 신호 증폭 설정을 사용하면 기준도 다시 확인해야 한다. 화면의 120 dB는 보정 전 기준 마이크에서 126.29 dB SPL에 해당한다.</w:t>
      </w:r>
    </w:p>
    <w:p>
      <w:pPr>
        <w:spacing w:before="0" w:after="200" w:line="300" w:lineRule="auto"/>
        <w:snapToGrid w:val="0"/>
      </w:pPr>
      <w:r>
        <w:rPr>
          <w:rFonts w:ascii="Noto Serif KR" w:hAnsi="Noto Serif KR" w:eastAsia="Noto Serif KR"/>
          <w:b w:val="0"/>
          <w:color w:val="000000"/>
          <w:sz w:val="22"/>
        </w:rPr>
        <w:t>제품 공통 기준으로 사용하기 전에는 스피커·기준 마이크·시료의 위치와 방향을 고정하고, 시료를 추가하거나 다시 조립해도 비슷한 결과가 나오는지 확인해야 한다. 특히 29 dB와 119 dB 조건을 점검한다. 가장 큰 소리에서 신호가 찌그러지거나 더 이상 증가하지 않는지도 ADC 허용범위 시험과 별도로 확인한다.</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Sound1 음압별 ADC 기준값 산출 근거</dc:title>
  <dc:subject>측정 자료와 구간별 보간에 근거한 기준곡선 제안</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