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639"/>
      </w:tblGrid>
      <w:tr>
        <w:tc>
          <w:tcPr>
            <w:tcW w:type="dxa" w:w="9638"/>
          </w:tcPr>
          <w:p>
            <w:pPr>
              <w:spacing w:before="520" w:after="160"/>
              <w:jc w:val="center"/>
            </w:pPr>
            <w:r/>
            <w:r>
              <w:rPr>
                <w:b/>
                <w:i w:val="0"/>
                <w:sz w:val="48"/>
                <w:rFonts w:eastAsia="맑은 고딕" w:ascii="맑은 고딕" w:hAnsi="맑은 고딕"/>
              </w:rPr>
              <w:t>소프트웨어 아키텍쳐 기술서</w:t>
            </w:r>
          </w:p>
          <w:p>
            <w:pPr>
              <w:spacing w:after="520"/>
              <w:jc w:val="center"/>
            </w:pPr>
            <w:r>
              <w:rPr>
                <w:b w:val="0"/>
                <w:i w:val="0"/>
                <w:sz w:val="28"/>
                <w:rFonts w:eastAsia="맑은 고딕" w:ascii="맑은 고딕" w:hAnsi="맑은 고딕"/>
              </w:rPr>
              <w:t>(SND1-A-EXT)</w:t>
            </w:r>
          </w:p>
        </w:tc>
      </w:tr>
    </w:tbl>
    <w:p>
      <w:pPr>
        <w:spacing w:before="60" w:after="800" w:line="324" w:lineRule="auto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74"/>
        <w:gridCol w:w="2722"/>
        <w:gridCol w:w="2722"/>
        <w:gridCol w:w="2722"/>
      </w:tblGrid>
      <w:tr>
        <w:tc>
          <w:tcPr>
            <w:tcW w:type="dxa" w:w="1474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20"/>
                <w:rFonts w:eastAsia="맑은 고딕" w:ascii="맑은 고딕" w:hAnsi="맑은 고딕"/>
              </w:rPr>
            </w:r>
          </w:p>
        </w:tc>
        <w:tc>
          <w:tcPr>
            <w:tcW w:type="dxa" w:w="272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20"/>
                <w:rFonts w:eastAsia="맑은 고딕" w:ascii="맑은 고딕" w:hAnsi="맑은 고딕"/>
              </w:rPr>
              <w:t>작성</w:t>
            </w:r>
          </w:p>
        </w:tc>
        <w:tc>
          <w:tcPr>
            <w:tcW w:type="dxa" w:w="272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20"/>
                <w:rFonts w:eastAsia="맑은 고딕" w:ascii="맑은 고딕" w:hAnsi="맑은 고딕"/>
              </w:rPr>
              <w:t>검토</w:t>
            </w:r>
          </w:p>
        </w:tc>
        <w:tc>
          <w:tcPr>
            <w:tcW w:type="dxa" w:w="272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20"/>
                <w:rFonts w:eastAsia="맑은 고딕" w:ascii="맑은 고딕" w:hAnsi="맑은 고딕"/>
              </w:rPr>
              <w:t>승인</w:t>
            </w:r>
          </w:p>
        </w:tc>
      </w:tr>
      <w:tr>
        <w:trPr>
          <w:trHeight w:val="567"/>
        </w:trPr>
        <w:tc>
          <w:tcPr>
            <w:tcW w:type="dxa" w:w="1474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9"/>
                <w:rFonts w:eastAsia="맑은 고딕" w:ascii="맑은 고딕" w:hAnsi="맑은 고딕"/>
              </w:rPr>
              <w:t>성함</w:t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</w:tr>
      <w:tr>
        <w:trPr>
          <w:trHeight w:val="567"/>
        </w:trPr>
        <w:tc>
          <w:tcPr>
            <w:tcW w:type="dxa" w:w="1474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9"/>
                <w:rFonts w:eastAsia="맑은 고딕" w:ascii="맑은 고딕" w:hAnsi="맑은 고딕"/>
              </w:rPr>
              <w:t>직책</w:t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</w:tr>
      <w:tr>
        <w:trPr>
          <w:trHeight w:val="567"/>
        </w:trPr>
        <w:tc>
          <w:tcPr>
            <w:tcW w:type="dxa" w:w="1474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9"/>
                <w:rFonts w:eastAsia="맑은 고딕" w:ascii="맑은 고딕" w:hAnsi="맑은 고딕"/>
              </w:rPr>
              <w:t>일자</w:t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</w:tr>
      <w:tr>
        <w:trPr>
          <w:trHeight w:val="567"/>
        </w:trPr>
        <w:tc>
          <w:tcPr>
            <w:tcW w:type="dxa" w:w="1474"/>
            <w:shd w:val="clear" w:color="auto" w:fill="F2F2F2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9"/>
                <w:rFonts w:eastAsia="맑은 고딕" w:ascii="맑은 고딕" w:hAnsi="맑은 고딕"/>
              </w:rPr>
              <w:t>서명</w:t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  <w:tc>
          <w:tcPr>
            <w:tcW w:type="dxa" w:w="272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9"/>
                <w:rFonts w:eastAsia="맑은 고딕" w:ascii="맑은 고딕" w:hAnsi="맑은 고딕"/>
              </w:rPr>
            </w:r>
          </w:p>
        </w:tc>
      </w:tr>
    </w:tbl>
    <w:p>
      <w:pPr>
        <w:spacing w:before="60" w:after="600" w:line="324" w:lineRule="auto"/>
        <w:jc w:val="both"/>
      </w:pPr>
    </w:p>
    <w:p>
      <w:pPr>
        <w:spacing w:before="200" w:after="100" w:line="324" w:lineRule="auto"/>
        <w:jc w:val="left"/>
      </w:pPr>
      <w:r>
        <w:rPr>
          <w:b/>
          <w:i w:val="0"/>
          <w:sz w:val="22"/>
          <w:rFonts w:eastAsia="맑은 고딕" w:ascii="맑은 고딕" w:hAnsi="맑은 고딕"/>
        </w:rPr>
        <w:t>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"/>
        <w:gridCol w:w="4763"/>
        <w:gridCol w:w="1984"/>
        <w:gridCol w:w="1984"/>
      </w:tblGrid>
      <w:tr>
        <w:tc>
          <w:tcPr>
            <w:tcW w:type="dxa" w:w="907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9"/>
                <w:rFonts w:eastAsia="맑은 고딕" w:ascii="맑은 고딕" w:hAnsi="맑은 고딕"/>
              </w:rPr>
              <w:t>No.</w:t>
            </w:r>
          </w:p>
        </w:tc>
        <w:tc>
          <w:tcPr>
            <w:tcW w:type="dxa" w:w="4762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9"/>
                <w:rFonts w:eastAsia="맑은 고딕" w:ascii="맑은 고딕" w:hAnsi="맑은 고딕"/>
              </w:rPr>
              <w:t>개정 내용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9"/>
                <w:rFonts w:eastAsia="맑은 고딕" w:ascii="맑은 고딕" w:hAnsi="맑은 고딕"/>
              </w:rPr>
              <w:t>개정 위치</w:t>
            </w:r>
          </w:p>
        </w:tc>
        <w:tc>
          <w:tcPr>
            <w:tcW w:type="dxa" w:w="1984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9"/>
                <w:rFonts w:eastAsia="맑은 고딕" w:ascii="맑은 고딕" w:hAnsi="맑은 고딕"/>
              </w:rPr>
              <w:t>개정 날짜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0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최초 제정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YYYY.MM.DD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1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4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5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6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7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8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9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</w:r>
          </w:p>
        </w:tc>
      </w:tr>
    </w:tbl>
    <w:p>
      <w:r>
        <w:br w:type="page"/>
      </w:r>
    </w:p>
    <w:p>
      <w:pPr>
        <w:keepNext/>
        <w:spacing w:before="400" w:after="100"/>
        <w:jc w:val="left"/>
      </w:pPr>
      <w:r>
        <w:rPr>
          <w:b/>
          <w:i w:val="0"/>
          <w:sz w:val="30"/>
          <w:rFonts w:eastAsia="맑은 고딕" w:ascii="맑은 고딕" w:hAnsi="맑은 고딕"/>
        </w:rPr>
        <w:t>1.  서론</w:t>
      </w:r>
    </w:p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1.1.  개요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본 문서는 인공와우 외부장치(외부기) 펌웨어를 개발하기 위한 소프트웨어 아키텍쳐를 설계하고 기술한다.</w:t>
      </w:r>
    </w:p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1.2.  목적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인공와우 외부장치 소프트웨어의 요구사항을 포함한 소프트웨어 아키텍쳐를 설계함으로써, 소프트웨어 개발 절차에 따라 안전하고 일관성 및 정확성을 보장하는 소프트웨어가 개발되는 것을 목적으로 한다.</w:t>
      </w:r>
    </w:p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1.3.  대상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소프트웨어 개발 프로젝트에 참여하는 모든 구성원은 이 문서를 참고하도록 한다.</w:t>
      </w:r>
    </w:p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1.4.  적용 범위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본 문서는 외부기의 메인 칩셋인 Ezairo 8300 에서 동작하는 소프트웨어를 대상으로 한다. 외부기에 함께 실장되는 블루투스 콤보 칩셋(QCC5181)의 펌웨어는 별도로 관리되므로 본 문서에서는 시스템 구성 요소와 인터페이스로만 다루고 내부 아키텍쳐는 기술하지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3402"/>
        <w:gridCol w:w="4536"/>
      </w:tblGrid>
      <w:tr>
        <w:trPr>
          <w:tblHeader w:val="true"/>
        </w:trPr>
        <w:tc>
          <w:tcPr>
            <w:tcW w:type="dxa" w:w="170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구분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대상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본 문서에서의 취급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포함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Ezairo 8300 - CFX Core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모듈 및 항목까지 기술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포함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Ezairo 8300 - HEAR Core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모듈 및 항목까지 기술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포함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Ezairo 8300 - Cortex-M3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모듈 및 항목까지 기술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포함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부트로더 및 무선 갱신(OTA)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모듈 및 항목까지 기술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제외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QCC5181 펌웨어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시스템 구성 요소 및 인터페이스로만 기술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제외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생산 및 서비스용 캘리브레이션 실행체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제품 출하 펌웨어에 포함되지 않음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제외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FPGA 로직, 내부 이식장치 펌웨어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별도 문서에서 관리</w:t>
            </w:r>
          </w:p>
        </w:tc>
      </w:tr>
    </w:tbl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1.5.  관련문서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1.5.1.  프로젝트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"/>
        <w:gridCol w:w="3062"/>
        <w:gridCol w:w="5670"/>
      </w:tblGrid>
      <w:tr>
        <w:trPr>
          <w:tblHeader w:val="true"/>
        </w:trPr>
        <w:tc>
          <w:tcPr>
            <w:tcW w:type="dxa" w:w="907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No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문서번호</w:t>
            </w:r>
          </w:p>
        </w:tc>
        <w:tc>
          <w:tcPr>
            <w:tcW w:type="dxa" w:w="5669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문서 제목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1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SDP-FW-SND1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소프트웨어 개발 계획서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SGR-FW-SND1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소프트웨어 일반 요구사항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3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SR-FW-SND1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소프트웨어 요구사항</w:t>
            </w:r>
          </w:p>
        </w:tc>
      </w:tr>
    </w:tbl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1.5.2.  표준 및 규제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907"/>
        <w:gridCol w:w="3062"/>
        <w:gridCol w:w="5670"/>
      </w:tblGrid>
      <w:tr>
        <w:trPr>
          <w:tblHeader w:val="true"/>
        </w:trPr>
        <w:tc>
          <w:tcPr>
            <w:tcW w:type="dxa" w:w="907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No</w:t>
            </w:r>
          </w:p>
        </w:tc>
        <w:tc>
          <w:tcPr>
            <w:tcW w:type="dxa" w:w="306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문서번호</w:t>
            </w:r>
          </w:p>
        </w:tc>
        <w:tc>
          <w:tcPr>
            <w:tcW w:type="dxa" w:w="5669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문서 제목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1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IEC 62304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Medical device software - Software life cycle processes</w:t>
            </w:r>
          </w:p>
        </w:tc>
      </w:tr>
      <w:tr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2</w:t>
            </w:r>
          </w:p>
        </w:tc>
        <w:tc>
          <w:tcPr>
            <w:tcW w:type="dxa" w:w="306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ISO 14971</w:t>
            </w:r>
          </w:p>
        </w:tc>
        <w:tc>
          <w:tcPr>
            <w:tcW w:type="dxa" w:w="56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Medical devices - Application of risk management to medical devices</w:t>
            </w:r>
          </w:p>
        </w:tc>
      </w:tr>
    </w:tbl>
    <w:p>
      <w:r>
        <w:br w:type="page"/>
      </w:r>
    </w:p>
    <w:p>
      <w:pPr>
        <w:keepNext/>
        <w:spacing w:before="400" w:after="100"/>
        <w:jc w:val="left"/>
      </w:pPr>
      <w:r>
        <w:rPr>
          <w:b/>
          <w:i w:val="0"/>
          <w:sz w:val="30"/>
          <w:rFonts w:eastAsia="맑은 고딕" w:ascii="맑은 고딕" w:hAnsi="맑은 고딕"/>
        </w:rPr>
        <w:t>2.  하드웨어 플랫폼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인공와우 시스템 전체의 하드웨어 플랫폼은 아래 &lt;그림 1.&gt;과 같으며, 본 문서가 다루는 소프트웨어는 Ezairo 8300 에서 동작한다.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41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시스템_블록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41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b/>
          <w:i w:val="0"/>
          <w:sz w:val="19"/>
          <w:rFonts w:eastAsia="맑은 고딕" w:ascii="맑은 고딕" w:hAnsi="맑은 고딕"/>
        </w:rPr>
        <w:t>&lt; 그림 1. 인공와우 시스템 블록도 &gt;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외부기를 구성하는 주요 부품과 소프트웨어의 관계는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969"/>
      </w:tblGrid>
      <w:tr>
        <w:trPr>
          <w:tblHeader w:val="true"/>
        </w:trPr>
        <w:tc>
          <w:tcPr>
            <w:tcW w:type="dxa" w:w="2268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구성 요소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역할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소프트웨어와의 관계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Ezairo 8300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메인 칩셋. CFX Core, HEAR Core, Cortex-M3 로 구성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본 문서가 기술하는 소프트웨어가 동작한다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디지털 마이크 (2)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주변 소리를 PDM 으로 입력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CFX 오디오 입력 및 믹서 항목이 수신한다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QCC5181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블루투스 콤보. 무선 통신, 배터리 및 충전 관리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SPI 및 I2S 로 연결된다. 펌웨어는 별도 관리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FPGA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자극 비트스트림 생성 및 링크 구동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가 I2C 로 설정하고 CFX 가 PCM 을 공급한다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TX PMIC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경피 유도 링크 전력 제어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가 I2C 로 제어한다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터치 센서 (IQS323)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사용자 입력(롱 터치) 검출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가 I2C 로 상태를 읽는다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EEPROM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맵 데이터 및 설정 저장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가 SPI 로 접근한다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LED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동작 상태 표시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가 출력을 제어한다</w:t>
            </w:r>
          </w:p>
        </w:tc>
      </w:tr>
      <w:tr>
        <w:tc>
          <w:tcPr>
            <w:tcW w:type="dxa" w:w="226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송신 코일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내부 이식장치와의 경피 유도 링크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FPGA 및 TX PMIC 를 통해 구동된다</w:t>
            </w:r>
          </w:p>
        </w:tc>
      </w:tr>
    </w:tbl>
    <w:p>
      <w:r>
        <w:br w:type="page"/>
      </w:r>
    </w:p>
    <w:p>
      <w:pPr>
        <w:keepNext/>
        <w:spacing w:before="400" w:after="100"/>
        <w:jc w:val="left"/>
      </w:pPr>
      <w:r>
        <w:rPr>
          <w:b/>
          <w:i w:val="0"/>
          <w:sz w:val="30"/>
          <w:rFonts w:eastAsia="맑은 고딕" w:ascii="맑은 고딕" w:hAnsi="맑은 고딕"/>
        </w:rPr>
        <w:t>3.  소프트웨어 아키텍쳐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앞 절의 하드웨어 플랫폼을 기반으로 동작하는 인공와우 외부장치 소프트웨어의 아키텍쳐는 &lt;그림 2.&gt;와 같이 설계되었다. 각 프로세서 별로 소프트웨어가 개별적으로 실행되므로, 프로세서 별로 아키텍쳐를 설계하고 각각을 모듈과 항목의 2단 구조로 분해한다.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4081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2_소프트웨어_아키텍쳐_블록도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40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80"/>
        <w:jc w:val="center"/>
      </w:pPr>
      <w:r>
        <w:rPr>
          <w:b/>
          <w:i w:val="0"/>
          <w:sz w:val="19"/>
          <w:rFonts w:eastAsia="맑은 고딕" w:ascii="맑은 고딕" w:hAnsi="맑은 고딕"/>
        </w:rPr>
        <w:t>&lt; 그림 2. 인공와우 소프트웨어 아키텍쳐 블록도 &gt;</w:t>
      </w:r>
    </w:p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3.1.  CFX Core 용 소프트웨어 아키텍쳐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CFX Core 는 오디오 입력부터 자극 신호 생성까지의 실시간 신호처리를 담당한다.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3.1.1.  시스템 제어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하드웨어 설정, 공유 메모리 접근, 오디오 입력 및 믹싱과 관련된 유닛들로 구성되어 CFX Core 의 전체 동작을 제어한다. 소프트웨어 항목은 다음과 같다.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3.1.1.1.  시스템 초기화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CFX 코어와 오디오 입력 하드웨어(ADC, 디지털 마이크 인터페이스, I2S, 인터럽트)를 초기화한다.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3.1.1.2.  시스템 제어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오디오 입력 인터럽트를 기준으로 신호처리 주기를 형성하고, 신호처리 모듈과 내부 자극 장치 실행 모듈의 실행 순서를 제어하며, HEAR Core 의 Function Chain 을 호출한다. 이 항목이 완성되면 CFX Core 의 소프트웨어 구현이 완료된다.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3.1.1.3.  오디오 입력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두 개의 디지털 마이크로부터 PDM 신호를 수신하고 표본화 주파수로 변환한다. 블루투스 콤보 칩셋에서 I2S 로 전달되는 오디오도 입력 소스로 취급한다.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3.1.1.4.  오디오 믹서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입력 소스를 선택하고, 두 마이크의 신호를 지연 후 합산하여 지향성을 형성한 뒤 신호처리 모듈에 전달한다.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3.1.2.  신호처리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사운드 신호를 전기 자극 신호로 변환하기 위한 오디오 신호처리 유닛들로 구성되며, 최종적으로 시스템 제어 항목에서 호출되어 실행된다.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3.1.2.1.  자동 이득 제어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입력 신호의 크기에 따라 이득을 조절하여 후단 처리의 동작 범위를 유지한다.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3.1.2.2.  주파수 분석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입력 신호를 주파수 분석하여 대역별 크기를 산출한다.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3.1.2.3.  비선형 매핑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대역별 크기를 매핑 데이터에 따라 자극 크기로 변환한다.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3.1.2.4.  자극 기법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설정된 자극 기법에 따라 자극할 대역과 순서를 결정한다. 지원하는 기법은 다음과 같다.</w:t>
      </w:r>
    </w:p>
    <w:p>
      <w:pPr>
        <w:spacing w:before="20" w:after="20" w:line="312" w:lineRule="auto"/>
        <w:ind w:left="624" w:hanging="283"/>
      </w:pPr>
      <w:r>
        <w:rPr>
          <w:b w:val="0"/>
          <w:i w:val="0"/>
          <w:sz w:val="20"/>
          <w:rFonts w:eastAsia="맑은 고딕" w:ascii="맑은 고딕" w:hAnsi="맑은 고딕"/>
        </w:rPr>
        <w:t>- CIS - 모든 대역을 정해진 순서로 자극한다.</w:t>
      </w:r>
    </w:p>
    <w:p>
      <w:pPr>
        <w:spacing w:before="20" w:after="20" w:line="312" w:lineRule="auto"/>
        <w:ind w:left="624" w:hanging="283"/>
      </w:pPr>
      <w:r>
        <w:rPr>
          <w:b w:val="0"/>
          <w:i w:val="0"/>
          <w:sz w:val="20"/>
          <w:rFonts w:eastAsia="맑은 고딕" w:ascii="맑은 고딕" w:hAnsi="맑은 고딕"/>
        </w:rPr>
        <w:t>- NofM - 대역별 크기를 기준으로 상위 N 개 대역을 선택하여 자극한다.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3.1.3.  내부 자극 장치 실행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내부 자극 장치에 전달되는 비트스트림 생성과 관련된 유닛들로 구성되어 있다.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3.1.3.1.  PCM 제어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Cortex-M3 가 지정한 PCM 출력 모드에 따라 내부 이식장치에 전달되는 PCM 을 생성한다.</w:t>
      </w:r>
    </w:p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3.2.  HEAR Core 용 소프트웨어 아키텍쳐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3.2.1.  하드웨어 가속 연산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HEAR Core 의 소프트웨어는 디지털 신호처리 라이브러리를 묶은 Function Chain 으로 동작이 실행되도록 되어 있으며, Function Chain 은 CFX Core 의 시스템 제어 항목에서 호출한다.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3.2.1.1.  Function Chain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신호처리에 필요한 반복 연산을 하드웨어 가속기에서 수행하고 그 결과를 CFX Core 가 읽을 수 있는 위치에 기록한다.</w:t>
      </w:r>
    </w:p>
    <w:p>
      <w:r>
        <w:br w:type="page"/>
      </w:r>
    </w:p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3.3.  Cortex-M3 용 소프트웨어 아키텍쳐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Cortex-M3 는 시스템 전체의 상태 관리와 외부 장치 제어를 담당한다.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3.3.1.  시스템 제어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하드웨어 설정, 공유 메모리 접근, 보조장치 제어 등과 관련된 유닛들로 구성되어 시스템의 전체 동작을 제어한다. 소프트웨어 항목은 다음과 같다.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3.3.1.1.  시스템 초기화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Cortex-M3 와 주변 하드웨어(I2C, SPI, 타이머, 터치 센서, FPGA)를 초기화한다.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3.3.1.2.  시스템 제어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다른 모듈 및 유닛의 파라미터를 확인하여 시스템 동작을 제어한다. 이 항목이 완성되면 Cortex-M3 의 소프트웨어 구현이 완료된다.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3.3.1.3.  사용자 입력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터치 센서의 상태를 주기적으로 읽어 롱 터치를 판별하고, 그 결과로 전원 모드 변경을 요청한다.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3.3.1.4.  전원 및 배터리 상태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블루투스 콤보 칩셋이 SPI 로 전달하는 배터리 잔량, 충전기 연결 상태, 크래들 뚜껑 상태를 수신하여 시스템 상태에 반영한다. 저전압 상태에서는 사용자에게 주기적으로 알린다.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3.3.1.5.  상태 표시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외부기의 동작 상태, 충전 상태, 배터리 저전압 상태를 구분 가능한 LED 패턴으로 출력한다.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3.3.1.6.  오류 처리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설정 데이터가 유효 범위를 벗어나거나 주변 장치 통신에 실패한 경우 오류를 기록하고 안전한 상태로 전이한다.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3.3.2.  신호처리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CFX Core 가 공유한 매핑 데이터를 사용하여 C/T 전류 크기를 C/T 자극 레벨로 변환하여 CFX Core 에 공유하는 유닛으로 구성되어 있다.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3.3.2.1.  자극 파라미터 산출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매핑 데이터와 볼륨 설정으로부터 자극 레벨을 산출하여 공유 메모리에 기록한다.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3.3.3.  내부 자극 장치 실행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내부 자극 장치 제어 및 자극 출력 실행과 관련된 유닛들로 구성되어 있다.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3.3.3.1.  내부기 실행 제어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내부 자극 장치 실행과 관련된 보조장치 설정, 내부 자극 장치 설정 및 내부 자극 장치 연결 검사와 관련된 유닛을 실행하여 내부기를 제어한다. 등록된 내부 이식장치와만 근접 통신을 연결한다.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3.3.3.2.  매핑 실행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매핑 프로그램의 요청에 따라 특정 자극 출력, 실시간 자극 출력, 임피던스 측정, eCAP 측정, 맵 데이터 읽기 및 쓰기를 실행한다.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3.3.3.3.  출력 억제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시동 과정과 종료 과정에서는 자극 출력을 생성하지 않는다.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3.3.4.  블루투스 통신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리모콘 앱 및 매핑 프로그램과의 통신과 관련된 유닛들로 구성되어 있다.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3.3.4.1.  블루투스 통신 제어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블루투스 콤보 칩셋에서 SPI 통신으로 수신된 명령에 따라 관련 유닛을 실행하고 응답을 회신한다. 명령은 규정된 프로토콜에 부합하고 CRC 검사를 통과한 경우에만 실행한다.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3.3.4.2.  리모콘 명령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맵 번호 변경, 오디오 볼륨 조절, 자극 볼륨 조절, LED 알림 설정, 자극 알림 설정 명령을 처리하고 현재 설정과 배터리 상태를 응답한다. 내부기 제어용 Passkey 매칭이 확인된 뒤에 리모콘 제어를 활성화한다.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3.3.4.3.  매핑 명령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시스템 상태 확인, 특정 자극 출력, 실시간 자극 출력 진행 명령을 처리하고 결과를 응답한다.</w:t>
      </w:r>
    </w:p>
    <w:p>
      <w:r>
        <w:br w:type="page"/>
      </w:r>
    </w:p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3.4.  부트로더 소프트웨어 아키텍쳐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부트로더는 응용 소프트웨어보다 먼저 실행되어 하드웨어를 초기 상태로 만들고, 비휘발성 저장장치에 보관된 실행 이미지를 검증 및 복호화하여 메모리에 적재한 뒤 각 코어를 기동한다. 또한 무선으로 전달된 갱신 이미지를 보관하고, 다음 기동에서 적용하거나 실패 시 이전 이미지로 되돌린다.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3.4.1.  부트 제어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기동 직후의 하드웨어 설정과 동작 모드 판정, 코어 기동을 담당한다.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3.4.1.1.  시스템 초기화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인터럽트를 모두 차단하고 필수 입출력을 설정한다. 블루투스 콤보 칩셋을 절전 상태로 두고 내부기 연결 상태를 미연결로 표시하여, 기동 과정에서 자극이나 무선 동작이 일어나지 않게 한다. 코어 간 공유 메모리의 적재 완료 표시를 지운다.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3.4.1.2.  동작 모드 판정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지정된 입력 핀의 레벨을 확인하여 정상 기동과 서비스 모드 중 하나를 선택한다. 서비스 모드는 생산 및 정비 과정에서 저장된 이미지를 확인하기 위한 경로이며 자극 출력을 수행하지 않는다.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3.4.1.3.  코어 기동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적재와 검증을 통과한 이미지로 Cortex-M3 와 CFX Core 를 기동한다. 기동에 필요한 시작 주소와 스택 위치는 이미지 헤더가 제공한다. 검증에 실패하면 기동하지 않고 오류 상태로 남는다.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3.4.2.  이미지 적재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저장장치의 실행 이미지를 읽어 검증, 복호화, 적재하는 유닛들로 구성된다.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3.4.2.1.  부트 대상 결정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시스템 변수에 기록된 기동 대상 번호를 읽어 적재할 이미지 목록 파일을 결정한다. 번호가 지정되지 않은 경우 저장장치의 기본 목록을 사용한다.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3.4.2.2.  무결성 검증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이미지 헤더와 각 데이터 구획에 대해 순환 중복 검사 값을 산출하여 기록된 값과 비교한다. 불일치가 있으면 적재를 중단하고 오류를 기록한다.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3.4.2.3.  복호화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저장장치에는 실행 이미지가 암호화된 상태로 보관된다. 장치에 내장된 키로 복호화한 뒤 적재한다. 이로써 저장 매체를 물리적으로 분리하더라도 실행 코드를 그대로 얻을 수 없다.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3.4.2.4.  메모리 적재 및 보호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복호화된 구획을 각 코어의 프로그램 메모리 영역에 전송하고, 전송이 끝난 영역을 쓰기 금지 상태로 잠근다. 응용 소프트웨어가 실행 중에 자신의 코드 영역을 덮어쓰는 것을 막는다.</w:t>
      </w:r>
    </w:p>
    <w:p>
      <w:pPr>
        <w:keepNext/>
        <w:spacing w:before="200" w:after="100"/>
        <w:ind w:left="227"/>
        <w:jc w:val="left"/>
      </w:pPr>
      <w:r>
        <w:rPr>
          <w:b/>
          <w:i w:val="0"/>
          <w:sz w:val="22"/>
          <w:rFonts w:eastAsia="맑은 고딕" w:ascii="맑은 고딕" w:hAnsi="맑은 고딕"/>
        </w:rPr>
        <w:t>3.4.3.  무선 갱신 모듈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무선으로 전달된 갱신 이미지를 보관하고 적용하며, 실패 시 복구한다.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3.4.3.1.  갱신 이미지 수신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블루투스 콤보 칩셋을 경유하여 전달되는 갱신 이미지를 저장장치에 기록한다. 수신은 응용 소프트웨어가 수행하고, 부트로더는 기록된 결과를 사용한다.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3.4.3.2.  적용 대상 선택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실행 이미지는 두 개의 보관 위치에 번갈아 저장된다. 기동 시 보관 정보를 읽어 이번에 사용할 위치를 결정한다.</w:t>
      </w:r>
    </w:p>
    <w:p>
      <w:pPr>
        <w:keepNext/>
        <w:spacing w:before="160" w:after="100"/>
        <w:ind w:left="454"/>
        <w:jc w:val="left"/>
      </w:pPr>
      <w:r>
        <w:rPr>
          <w:b/>
          <w:i w:val="0"/>
          <w:sz w:val="21"/>
          <w:rFonts w:eastAsia="맑은 고딕" w:ascii="맑은 고딕" w:hAnsi="맑은 고딕"/>
        </w:rPr>
        <w:t>3.4.3.3.  복구 항목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선택된 이미지가 검증을 통과하지 못하면 직전에 정상 동작하던 위치의 이미지로 되돌려 기동한다. 갱신 실패로 제품이 기동하지 못하는 상태가 되지 않게 한다.</w:t>
      </w:r>
    </w:p>
    <w:p>
      <w:pPr>
        <w:keepNext/>
        <w:spacing w:before="280" w:after="100"/>
        <w:jc w:val="left"/>
      </w:pPr>
      <w:r>
        <w:rPr>
          <w:b/>
          <w:i w:val="0"/>
          <w:sz w:val="25"/>
          <w:rFonts w:eastAsia="맑은 고딕" w:ascii="맑은 고딕" w:hAnsi="맑은 고딕"/>
        </w:rPr>
        <w:t>3.5.  블루투스 콤보 칩셋(QCC5181) 소프트웨어 아키텍쳐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블루투스 콤보 칩셋의 펌웨어는 본 문서의 범위에 포함되지 않는다. 해당 펌웨어는 별도의 개발 및 형상 관리 체계에서 관리되며, 본 문서는 시스템 구성 요소로서의 위치와 Ezairo 8300 과의 인터페이스만 기술한다.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본 문서가 외부기 전체의 소프트웨어 아키텍쳐 기술서로 확장되는 경우, 블루투스 콤보 칩셋 펌웨어의 모듈 및 항목은 본 절에 기술한다. 아래 표는 Ezairo 8300 소프트웨어가 해당 펌웨어에 의존하는 기능의 목록이며, 확장 시 각 기능이 어느 모듈에 대응하는지를 이 표에서 이어 기술한다.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608"/>
        <w:gridCol w:w="4536"/>
        <w:gridCol w:w="2495"/>
      </w:tblGrid>
      <w:tr>
        <w:trPr>
          <w:tblHeader w:val="true"/>
        </w:trPr>
        <w:tc>
          <w:tcPr>
            <w:tcW w:type="dxa" w:w="2608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의존 기능</w:t>
            </w:r>
          </w:p>
        </w:tc>
        <w:tc>
          <w:tcPr>
            <w:tcW w:type="dxa" w:w="4535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Ezairo 8300 이 기대하는 동작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전달 경로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무선 통신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리모콘 앱 및 매핑 프로그램의 명령을 수신하여 전달하고, 응답을 회신한다</w:t>
            </w:r>
          </w:p>
        </w:tc>
        <w:tc>
          <w:tcPr>
            <w:tcW w:type="dxa" w:w="249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SPI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통신 보안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페어링을 적용하여 데이터 통신 보안을 확보한다</w:t>
            </w:r>
          </w:p>
        </w:tc>
        <w:tc>
          <w:tcPr>
            <w:tcW w:type="dxa" w:w="249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SPI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배터리 관리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배터리 잔량을 측정하여 주기적으로 전달한다</w:t>
            </w:r>
          </w:p>
        </w:tc>
        <w:tc>
          <w:tcPr>
            <w:tcW w:type="dxa" w:w="249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SPI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충전 관리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충전기 연결 상태와 크래들 뚜껑 상태를 전달한다</w:t>
            </w:r>
          </w:p>
        </w:tc>
        <w:tc>
          <w:tcPr>
            <w:tcW w:type="dxa" w:w="249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SPI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오디오 전달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외부 오디오 스트림을 전달한다</w:t>
            </w:r>
          </w:p>
        </w:tc>
        <w:tc>
          <w:tcPr>
            <w:tcW w:type="dxa" w:w="249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I2S</w:t>
            </w:r>
          </w:p>
        </w:tc>
      </w:tr>
      <w:tr>
        <w:tc>
          <w:tcPr>
            <w:tcW w:type="dxa" w:w="260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갱신 중계</w:t>
            </w:r>
          </w:p>
        </w:tc>
        <w:tc>
          <w:tcPr>
            <w:tcW w:type="dxa" w:w="453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무선으로 수신한 갱신 이미지를 전달한다</w:t>
            </w:r>
          </w:p>
        </w:tc>
        <w:tc>
          <w:tcPr>
            <w:tcW w:type="dxa" w:w="249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SPI</w:t>
            </w:r>
          </w:p>
        </w:tc>
      </w:tr>
    </w:tbl>
    <w:p>
      <w:r>
        <w:br w:type="page"/>
      </w:r>
    </w:p>
    <w:p>
      <w:pPr>
        <w:keepNext/>
        <w:spacing w:before="400" w:after="100"/>
        <w:jc w:val="left"/>
      </w:pPr>
      <w:r>
        <w:rPr>
          <w:b/>
          <w:i w:val="0"/>
          <w:sz w:val="30"/>
          <w:rFonts w:eastAsia="맑은 고딕" w:ascii="맑은 고딕" w:hAnsi="맑은 고딕"/>
        </w:rPr>
        <w:t>4.  프로세서 간 인터페이스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본 절은 각 소프트웨어가 경계에서 주고받는 데이터를 규정한다. 각 프로세서 내부의 구현은 앞 절에서 기술하며, 본 절은 경계에서 오가는 내용만 다룬다.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041"/>
        <w:gridCol w:w="1474"/>
        <w:gridCol w:w="1361"/>
        <w:gridCol w:w="4763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경계</w:t>
            </w:r>
          </w:p>
        </w:tc>
        <w:tc>
          <w:tcPr>
            <w:tcW w:type="dxa" w:w="1474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매체</w:t>
            </w:r>
          </w:p>
        </w:tc>
        <w:tc>
          <w:tcPr>
            <w:tcW w:type="dxa" w:w="136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방향</w:t>
            </w:r>
          </w:p>
        </w:tc>
        <w:tc>
          <w:tcPr>
            <w:tcW w:type="dxa" w:w="4762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주고받는 내용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CFX Core &lt;-&gt; Cortex-M3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공유 메모리</w:t>
            </w:r>
          </w:p>
        </w:tc>
        <w:tc>
          <w:tcPr>
            <w:tcW w:type="dxa" w:w="136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양방향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오디오 입력 최대값, 자극 파라미터, 매핑 데이터, 시스템 상태 및 제어 요청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CFX Core -&gt; HEAR Core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Function Chain</w:t>
            </w:r>
          </w:p>
        </w:tc>
        <w:tc>
          <w:tcPr>
            <w:tcW w:type="dxa" w:w="136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단방향 호출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신호처리 가속 연산 요청 및 결과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&lt;-&gt; QCC5181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SPI</w:t>
            </w:r>
          </w:p>
        </w:tc>
        <w:tc>
          <w:tcPr>
            <w:tcW w:type="dxa" w:w="136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양방향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리모콘 및 매핑 명령과 응답, 배터리 잔량, 충전기 연결 상태, 크래들 뚜껑 상태, 갱신 이미지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CFX Core &lt;-&gt; QCC5181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I2S</w:t>
            </w:r>
          </w:p>
        </w:tc>
        <w:tc>
          <w:tcPr>
            <w:tcW w:type="dxa" w:w="136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양방향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오디오 스트림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Cortex-M3 -&gt; FPGA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I2C</w:t>
            </w:r>
          </w:p>
        </w:tc>
        <w:tc>
          <w:tcPr>
            <w:tcW w:type="dxa" w:w="136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단방향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자극 출력 설정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CFX Core -&gt; FPGA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PCM</w:t>
            </w:r>
          </w:p>
        </w:tc>
        <w:tc>
          <w:tcPr>
            <w:tcW w:type="dxa" w:w="136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단방향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자극 비트스트림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Cortex-M3 -&gt; TX PMIC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I2C</w:t>
            </w:r>
          </w:p>
        </w:tc>
        <w:tc>
          <w:tcPr>
            <w:tcW w:type="dxa" w:w="136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단방향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경피 유도 링크 전력 설정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&lt;-&gt; 터치 센서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I2C</w:t>
            </w:r>
          </w:p>
        </w:tc>
        <w:tc>
          <w:tcPr>
            <w:tcW w:type="dxa" w:w="136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양방향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터치 센서 설정 및 검출 상태</w:t>
            </w:r>
          </w:p>
        </w:tc>
      </w:tr>
      <w:tr>
        <w:tc>
          <w:tcPr>
            <w:tcW w:type="dxa" w:w="204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Cortex-M3 &lt;-&gt; EEPROM</w:t>
            </w:r>
          </w:p>
        </w:tc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SPI</w:t>
            </w:r>
          </w:p>
        </w:tc>
        <w:tc>
          <w:tcPr>
            <w:tcW w:type="dxa" w:w="136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양방향</w:t>
            </w:r>
          </w:p>
        </w:tc>
        <w:tc>
          <w:tcPr>
            <w:tcW w:type="dxa" w:w="4762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맵 데이터 및 설정 값</w:t>
            </w:r>
          </w:p>
        </w:tc>
      </w:tr>
    </w:tbl>
    <w:p>
      <w:r>
        <w:br w:type="page"/>
      </w:r>
    </w:p>
    <w:p>
      <w:pPr>
        <w:keepNext/>
        <w:spacing w:before="400" w:after="100"/>
        <w:jc w:val="left"/>
      </w:pPr>
      <w:r>
        <w:rPr>
          <w:b/>
          <w:i w:val="0"/>
          <w:sz w:val="30"/>
          <w:rFonts w:eastAsia="맑은 고딕" w:ascii="맑은 고딕" w:hAnsi="맑은 고딕"/>
        </w:rPr>
        <w:t>5.  소프트웨어 요구사항 추적성</w:t>
      </w:r>
    </w:p>
    <w:p>
      <w:pPr>
        <w:spacing w:before="60" w:after="60" w:line="324" w:lineRule="auto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소프트웨어 요구사항이 어느 소프트웨어 모듈로 사상되는지를 아래 표에 기술한다. 상태 열은 이전 세대(1.5세대) 요구사항 대비 본 제품에서의 처리를 나타낸다.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701"/>
        <w:gridCol w:w="7938"/>
      </w:tblGrid>
      <w:tr>
        <w:trPr>
          <w:tblHeader w:val="true"/>
        </w:trPr>
        <w:tc>
          <w:tcPr>
            <w:tcW w:type="dxa" w:w="170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상태</w:t>
            </w:r>
          </w:p>
        </w:tc>
        <w:tc>
          <w:tcPr>
            <w:tcW w:type="dxa" w:w="7937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8"/>
                <w:rFonts w:eastAsia="맑은 고딕" w:ascii="맑은 고딕" w:hAnsi="맑은 고딕"/>
              </w:rPr>
              <w:t>의미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이전 세대와 동일하게 적용된다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요구사항은 유지되나 이를 실현하는 구성 요소가 변경되었다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삭제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해당 기능이 제품에서 제거되어 적용되지 않는다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본 제품에서 새로 추가되었다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확인 필요</w:t>
            </w:r>
          </w:p>
        </w:tc>
        <w:tc>
          <w:tcPr>
            <w:tcW w:type="dxa" w:w="793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8"/>
                <w:rFonts w:eastAsia="맑은 고딕" w:ascii="맑은 고딕" w:hAnsi="맑은 고딕"/>
              </w:rPr>
              <w:t>본 문서 작성 시점에 확정되지 않았다</w:t>
            </w:r>
          </w:p>
        </w:tc>
      </w:tr>
    </w:tbl>
    <w:p>
      <w:pPr>
        <w:spacing w:before="60" w:after="160" w:line="324" w:lineRule="auto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531"/>
        <w:gridCol w:w="2892"/>
        <w:gridCol w:w="2438"/>
        <w:gridCol w:w="907"/>
        <w:gridCol w:w="1871"/>
      </w:tblGrid>
      <w:tr>
        <w:trPr>
          <w:tblHeader w:val="true"/>
        </w:trPr>
        <w:tc>
          <w:tcPr>
            <w:tcW w:type="dxa" w:w="4422"/>
            <w:gridSpan w:val="2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7"/>
                <w:rFonts w:eastAsia="맑은 고딕" w:ascii="맑은 고딕" w:hAnsi="맑은 고딕"/>
              </w:rPr>
              <w:t>Software requirements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7"/>
                <w:rFonts w:eastAsia="맑은 고딕" w:ascii="맑은 고딕" w:hAnsi="맑은 고딕"/>
              </w:rPr>
              <w:t>Software Module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7"/>
                <w:rFonts w:eastAsia="맑은 고딕" w:ascii="맑은 고딕" w:hAnsi="맑은 고딕"/>
              </w:rPr>
              <w:t>상태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7"/>
                <w:rFonts w:eastAsia="맑은 고딕" w:ascii="맑은 고딕" w:hAnsi="맑은 고딕"/>
              </w:rPr>
              <w:t>비고</w:t>
            </w:r>
          </w:p>
        </w:tc>
      </w:tr>
      <w:tr>
        <w:trPr>
          <w:tblHeader w:val="true"/>
        </w:trPr>
        <w:tc>
          <w:tcPr>
            <w:tcW w:type="dxa" w:w="153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7"/>
                <w:rFonts w:eastAsia="맑은 고딕" w:ascii="맑은 고딕" w:hAnsi="맑은 고딕"/>
              </w:rPr>
              <w:t>Requirements ID</w:t>
            </w:r>
          </w:p>
        </w:tc>
        <w:tc>
          <w:tcPr>
            <w:tcW w:type="dxa" w:w="289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7"/>
                <w:rFonts w:eastAsia="맑은 고딕" w:ascii="맑은 고딕" w:hAnsi="맑은 고딕"/>
              </w:rPr>
              <w:t>Subject</w:t>
            </w:r>
          </w:p>
        </w:tc>
        <w:tc>
          <w:tcPr>
            <w:tcW w:type="dxa" w:w="2438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7"/>
                <w:rFonts w:eastAsia="맑은 고딕" w:ascii="맑은 고딕" w:hAnsi="맑은 고딕"/>
              </w:rPr>
              <w:t>Software Module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7"/>
                <w:rFonts w:eastAsia="맑은 고딕" w:ascii="맑은 고딕" w:hAnsi="맑은 고딕"/>
              </w:rPr>
              <w:t>상태</w:t>
            </w:r>
          </w:p>
        </w:tc>
        <w:tc>
          <w:tcPr>
            <w:tcW w:type="dxa" w:w="1871"/>
            <w:shd w:val="clear" w:color="auto" w:fill="D9D9D9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7"/>
                <w:rFonts w:eastAsia="맑은 고딕" w:ascii="맑은 고딕" w:hAnsi="맑은 고딕"/>
              </w:rPr>
              <w:t>비고</w:t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전채널 자극률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채널별 자극률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자극 모드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선행 펄스 모양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자극 크기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자극 펄스 폭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자극 최대 전하량 제한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SW-FW-RID-8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AGC 볼륨 10단계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SW-FW-RID-9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FFT 주파수 분석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SW-FW-RID-10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주파수 분석 대역수(최대 32개)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SW-FW-RID-11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CIS 자극 기법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SW-FW-RID-12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신호처리 주기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SW-FW-RID-13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맵 데이터 개수(4개)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SW-FW-RID-14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자극 볼륨 4단계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SW-FW-RID-15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오디오 입력 소스 최소 2개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SW-FW-RID-16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사운드 입력 주파수 최대 8kHz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SW-FW-RID-17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PCM 출력(FPGA 입력)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SW-FW-RID-18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매핑 데이터 기반 자극 파라미터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 / 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SW-FW-RID-19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사용자 입력을 사용한 전원 모드 변경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가속도 센서(더블 클릭) -&gt; 터치 센서(롱 터치)</w:t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SW-FW-RID-20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외부기 동작상태 LED 출력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SW-FW-RID-21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충전기 연결 상태 LED 출력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USB 전원 커넥터 제거. 크래들 연결 상태를 SPI 로 수신</w:t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SW-FW-RID-22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배터리 저전압 상태 LED 출력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배터리 측정 주체가 블루투스 콤보 칩셋으로 이동</w:t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SW-FW-RID-23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배터리 저전압 상태 자극 출력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 / Signal Processing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배터리 측정 주체 이동에 따른 변경</w:t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SW-FW-RID-24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수신(처리), 맵 번호 변경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SW-FW-RID-25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수신(처리), 오디오 볼륨 조절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SW-FW-RID-26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수신(처리), 자극 볼륨 조절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SW-FW-RID-27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수신(처리), LED 알림 설정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SW-FW-RID-28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수신(처리), 자극 알림 설정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SW-FW-RID-29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응답(송신), 배터리 상태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SW-FW-RID-30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응답(송신), 맵 번호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SW-FW-RID-31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응답(송신), 오디오 볼륨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SW-FW-RID-32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응답(송신), 자극 볼륨 설정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SW-FW-RID-33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응답(송신), LED 알림 설정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SW-FW-RID-34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명령 응답(송신), 자극 알림 설정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SW-FW-RID-35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매핑 명령 수신(처리), 시스템 상태 확인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SW-FW-RID-36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매핑 명령 수신(처리), 특정 자극 출력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SW-FW-RID-37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매핑 명령 수신(처리), 실시간 자극 출력 진행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SW-FW-RID-38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매핑 명령 응답(송신), 시스템 상태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SW-FW-RID-39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매핑 명령 응답(송신), 특정 자극 출력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SW-FW-RID-40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매핑 명령 응답(송신), 실시간 자극 출력 진행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SW-FW-RID-41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I2C 통신, FPGA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SW-FW-RID-42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I2C 통신, 터치 센서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가속도 센서 -&gt; 터치 센서(IQS323)</w:t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SW-FW-RID-43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I2C 통신, Tx PMIC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SW-FW-RID-44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리모콘 앱과 블루투스를 사용한 무선통신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무선 칩셋이 블루투스 콤보 칩셋으로 변경</w:t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SW-FW-RID-45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매핑 프로그램과 블루투스를 사용한 무선통신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무선 칩셋이 블루투스 콤보 칩셋으로 변경</w:t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SW-FW-RID-46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등록된 내부이식장치와만 근접 통신을 연결한다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SW-FW-RID-47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내부기 연결 상태에서 블루투스 활성화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SW-FW-RID-48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블루투스 통신에 페어링 기능을 적용한 보안 데이터 통신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페어링 수행 주체가 블루투스 콤보 칩셋으로 이동</w:t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SW-FW-RID-49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통신 데이터 보안 규격 적용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확인 필요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적용 규격 버전 및 암호화 방식 확정 필요</w:t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SW-FW-RID-50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블루투스 통신 접속 로그 기록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확인 필요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기록 주체가 블루투스 콤보 칩셋으로 이관되었는지 확정 필요</w:t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SW-FW-RID-51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설정 데이터가 유효 범위를 벗어날 경우 에러 모드 진입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 / 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SW-FW-RID-52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내부기 제어용 Passkey 매칭 확인 후 리모콘 제어 활성화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SW-FW-RID-53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소프트웨어 유지보수 절차를 따른다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N/A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SW-FW-RID-54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Cortex-M3 실행코드 크기 제한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N/A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확인 필요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본 제품 기준 상한 값 재산출 필요</w:t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SW-FW-RID-55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배터리 저전압을 주기적으로 반복하여 알려준다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SW-FW-RID-56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볼륨 증가를 단계적으로 진행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SW-FW-RID-57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필수 성능 시험 진행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N/A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SW-FW-RID-58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실시간 신호처리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 / Signal Processing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SW-FW-RID-59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제어 명령이 프로토콜에 맞게 전송되어야 실행한다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SW-FW-RID-60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CRC 기능이 내장된 통신 프로토콜 사용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Bluetooth Communication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SW-FW-RID-61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정상사용을 위한 준비상태 표시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SW-FW-RID-62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충전기가 연결되면 연결을 확인할 수 있어야 한다(충전모드 표시)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USB 전원 커넥터 -&gt; 크래들</w:t>
            </w:r>
          </w:p>
        </w:tc>
      </w:tr>
      <w:tr>
        <w:tc>
          <w:tcPr>
            <w:tcW w:type="dxa" w:w="1531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SW-FW-RID-63</w:t>
            </w:r>
          </w:p>
        </w:tc>
        <w:tc>
          <w:tcPr>
            <w:tcW w:type="dxa" w:w="289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배터리 잔량을 표시할 수 있어야 한다</w:t>
            </w:r>
          </w:p>
        </w:tc>
        <w:tc>
          <w:tcPr>
            <w:tcW w:type="dxa" w:w="2438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  <w:shd w:val="clear" w:color="auto" w:fill="FFF2C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변경</w:t>
            </w:r>
          </w:p>
        </w:tc>
        <w:tc>
          <w:tcPr>
            <w:tcW w:type="dxa" w:w="1871"/>
            <w:shd w:val="clear" w:color="auto" w:fill="FFF2CC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배터리 측정 주체가 블루투스 콤보 칩셋으로 이동</w:t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SW-FW-RID-64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구분이 쉬운 LED 패턴 설계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SW-FW-RID-65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사회 통념적으로 사용되는 색상을 LED 패턴에 적용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FBE5E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SW-FW-RID-66</w:t>
            </w:r>
          </w:p>
        </w:tc>
        <w:tc>
          <w:tcPr>
            <w:tcW w:type="dxa" w:w="2891"/>
            <w:shd w:val="clear" w:color="auto" w:fill="FBE5E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이어피스가 연결되면 이어피스 연결 상태가 확인되어야 한다</w:t>
            </w:r>
          </w:p>
        </w:tc>
        <w:tc>
          <w:tcPr>
            <w:tcW w:type="dxa" w:w="2438"/>
            <w:shd w:val="clear" w:color="auto" w:fill="FBE5E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-</w:t>
            </w:r>
          </w:p>
        </w:tc>
        <w:tc>
          <w:tcPr>
            <w:tcW w:type="dxa" w:w="907"/>
            <w:shd w:val="clear" w:color="auto" w:fill="FBE5E5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삭제</w:t>
            </w:r>
          </w:p>
        </w:tc>
        <w:tc>
          <w:tcPr>
            <w:tcW w:type="dxa" w:w="1871"/>
            <w:shd w:val="clear" w:color="auto" w:fill="FBE5E5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이어피스가 제품에서 제거됨</w:t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SW-FW-RID-67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시동과정에서는 출력을 생성하지 않게 한다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 / 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SW-FW-RID-68</w:t>
            </w:r>
          </w:p>
        </w:tc>
        <w:tc>
          <w:tcPr>
            <w:tcW w:type="dxa" w:w="289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종료과정에서는 출력을 생성하지 않게 한다</w:t>
            </w:r>
          </w:p>
        </w:tc>
        <w:tc>
          <w:tcPr>
            <w:tcW w:type="dxa" w:w="2438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 / Internal Stimulation Device Execution Module</w:t>
            </w:r>
          </w:p>
        </w:tc>
        <w:tc>
          <w:tcPr>
            <w:tcW w:type="dxa" w:w="90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유지</w:t>
            </w:r>
          </w:p>
        </w:tc>
        <w:tc>
          <w:tcPr>
            <w:tcW w:type="dxa" w:w="1871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SW-FW-RID-69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두 개의 마이크를 사용한 지향성 오디오 입력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마이크 2개 구성으로 변경됨</w:t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SW-FW-RID-70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터치 센서 롱 터치에 의한 전원 제어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SW-FW-RID-71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배터리, 충전기, 크래들 뚜껑 상태 수신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블루투스 콤보 칩셋이 측정하여 SPI 로 전달</w:t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SW-FW-RID-72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I2S 를 통한 외부 오디오 입력 경로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Signal Processing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SW-FW-RID-73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NofM 자극 기법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Internal Stimulation Device Execution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SW-FW-RID-74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SPI 통신, 블루투스 콤보 칩셋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System Control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SW-FW-RID-75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기동 시 실행 이미지 무결성 검증 후 코어 기동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Bootloader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SW-FW-RID-76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무선(OTA) 펌웨어 갱신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Bootloader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SW-FW-RID-77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실행 이미지를 암호화하여 보관하고 기동 시 복호화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Bootloader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저장 매체 분리 시 코드 노출 방지</w:t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SW-FW-RID-78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적재한 코드 영역을 쓰기 금지로 보호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Bootloader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실행 중 코드 영역 훼손 방지</w:t>
            </w:r>
          </w:p>
        </w:tc>
      </w:tr>
      <w:tr>
        <w:tc>
          <w:tcPr>
            <w:tcW w:type="dxa" w:w="1531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SW-FW-RID-79</w:t>
            </w:r>
          </w:p>
        </w:tc>
        <w:tc>
          <w:tcPr>
            <w:tcW w:type="dxa" w:w="289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6"/>
                <w:rFonts w:eastAsia="맑은 고딕" w:ascii="맑은 고딕" w:hAnsi="맑은 고딕"/>
              </w:rPr>
              <w:t>갱신 실패 시 직전 정상 이미지로 복구</w:t>
            </w:r>
          </w:p>
        </w:tc>
        <w:tc>
          <w:tcPr>
            <w:tcW w:type="dxa" w:w="2438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Bootloader Module</w:t>
            </w:r>
          </w:p>
        </w:tc>
        <w:tc>
          <w:tcPr>
            <w:tcW w:type="dxa" w:w="907"/>
            <w:shd w:val="clear" w:color="auto" w:fill="E2EFD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sz w:val="16"/>
                <w:rFonts w:eastAsia="맑은 고딕" w:ascii="맑은 고딕" w:hAnsi="맑은 고딕"/>
              </w:rPr>
              <w:t>신규</w:t>
            </w:r>
          </w:p>
        </w:tc>
        <w:tc>
          <w:tcPr>
            <w:tcW w:type="dxa" w:w="1871"/>
            <w:shd w:val="clear" w:color="auto" w:fill="E2EFDA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sz w:val="15"/>
                <w:rFonts w:eastAsia="맑은 고딕" w:ascii="맑은 고딕" w:hAnsi="맑은 고딕"/>
              </w:rPr>
              <w:t>갱신 실패로 기동 불능이 되지 않게 함</w:t>
            </w:r>
          </w:p>
        </w:tc>
      </w:tr>
    </w:tbl>
    <w:p>
      <w:r>
        <w:br w:type="page"/>
      </w:r>
    </w:p>
    <w:p>
      <w:pPr>
        <w:keepNext/>
        <w:spacing w:before="400" w:after="100"/>
        <w:jc w:val="left"/>
      </w:pPr>
      <w:r>
        <w:rPr>
          <w:b/>
          <w:i w:val="0"/>
          <w:sz w:val="30"/>
          <w:rFonts w:eastAsia="맑은 고딕" w:ascii="맑은 고딕" w:hAnsi="맑은 고딕"/>
        </w:rPr>
        <w:t>6.  소프트웨어 아키텍쳐 검증</w:t>
      </w:r>
    </w:p>
    <w:p>
      <w:pPr>
        <w:spacing w:before="200" w:after="40"/>
        <w:ind w:left="454" w:hanging="454"/>
      </w:pPr>
      <w:r>
        <w:rPr>
          <w:b/>
          <w:i w:val="0"/>
          <w:sz w:val="21"/>
          <w:rFonts w:eastAsia="맑은 고딕" w:ascii="맑은 고딕" w:hAnsi="맑은 고딕"/>
        </w:rPr>
        <w:t>1)  소프트웨어 요구사항이 모두 포함되었는가?</w:t>
      </w:r>
    </w:p>
    <w:p>
      <w:pPr>
        <w:spacing w:after="40" w:line="324" w:lineRule="auto"/>
        <w:ind w:left="454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: 예. 소프트웨어 요구사항 추적성을 통하여 모든 소프트웨어 요구사항이 소프트웨어 아키텍쳐의 모듈로 사상되었음을 확인하였다. 다만 상태가 «확인 필요»인 요구사항은 확정 후 본 문서를 개정한다.</w:t>
      </w:r>
    </w:p>
    <w:p>
      <w:pPr>
        <w:spacing w:before="200" w:after="40"/>
        <w:ind w:left="454" w:hanging="454"/>
      </w:pPr>
      <w:r>
        <w:rPr>
          <w:b/>
          <w:i w:val="0"/>
          <w:sz w:val="21"/>
          <w:rFonts w:eastAsia="맑은 고딕" w:ascii="맑은 고딕" w:hAnsi="맑은 고딕"/>
        </w:rPr>
        <w:t>2)  소프트웨어 모듈(항목) 간 연계성 및 하드웨어 사이의 연계성이 확인되는가?</w:t>
      </w:r>
    </w:p>
    <w:p>
      <w:pPr>
        <w:spacing w:after="40" w:line="324" w:lineRule="auto"/>
        <w:ind w:left="454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: 예. 하드웨어 아키텍쳐를 기반으로 소프트웨어 아키텍쳐를 설계하였으며, 프로세서 간 및 주변 장치와의 경계는 별도의 인터페이스 절에 규정하였다.</w:t>
      </w:r>
    </w:p>
    <w:p>
      <w:pPr>
        <w:spacing w:before="200" w:after="40"/>
        <w:ind w:left="454" w:hanging="454"/>
      </w:pPr>
      <w:r>
        <w:rPr>
          <w:b/>
          <w:i w:val="0"/>
          <w:sz w:val="21"/>
          <w:rFonts w:eastAsia="맑은 고딕" w:ascii="맑은 고딕" w:hAnsi="맑은 고딕"/>
        </w:rPr>
        <w:t>3)  SOUP 항목의 적절한 운영이 지원되는가?</w:t>
      </w:r>
    </w:p>
    <w:p>
      <w:pPr>
        <w:spacing w:after="40" w:line="324" w:lineRule="auto"/>
        <w:ind w:left="454"/>
        <w:jc w:val="both"/>
      </w:pPr>
      <w:r>
        <w:rPr>
          <w:b w:val="0"/>
          <w:i w:val="0"/>
          <w:sz w:val="20"/>
          <w:rFonts w:eastAsia="맑은 고딕" w:ascii="맑은 고딕" w:hAnsi="맑은 고딕"/>
        </w:rPr>
        <w:t>: 블루투스 콤보 칩셋의 펌웨어는 본 문서의 범위 밖에서 별도로 관리되며, Ezairo 8300 소프트웨어는 규정된 인터페이스를 통해서만 해당 펌웨어에 의존한다. 그 외 SOUP 항목은 없다.</w:t>
      </w:r>
    </w:p>
    <w:sectPr w:rsidR="00FC693F" w:rsidRPr="0006063C" w:rsidSect="00034616">
      <w:headerReference w:type="default" r:id="rId9"/>
      <w:pgSz w:w="11906" w:h="16838"/>
      <w:pgMar w:top="1134" w:right="1134" w:bottom="850" w:left="1134" w:header="567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  <w:tblLayout w:type="fixed"/>
    </w:tblPr>
    <w:tblGrid>
      <w:gridCol w:w="2041"/>
      <w:gridCol w:w="3629"/>
      <w:gridCol w:w="1928"/>
      <w:gridCol w:w="2041"/>
    </w:tblGrid>
    <w:tr>
      <w:tc>
        <w:tcPr>
          <w:tcW w:type="dxa" w:w="2041"/>
          <w:vMerge w:val="restart"/>
        </w:tcPr>
        <w:p>
          <w:pPr>
            <w:spacing w:before="40" w:after="40"/>
            <w:jc w:val="center"/>
          </w:pPr>
          <w:r/>
          <w:r>
            <w:rPr>
              <w:b/>
              <w:i w:val="0"/>
              <w:sz w:val="18"/>
              <w:rFonts w:eastAsia="맑은 고딕" w:ascii="맑은 고딕" w:hAnsi="맑은 고딕"/>
            </w:rPr>
            <w:t>SND1-A-EXT</w:t>
          </w:r>
        </w:p>
      </w:tc>
      <w:tc>
        <w:tcPr>
          <w:tcW w:type="dxa" w:w="3628"/>
          <w:vMerge w:val="restart"/>
        </w:tcPr>
        <w:p>
          <w:pPr>
            <w:spacing w:before="40" w:after="40"/>
            <w:jc w:val="center"/>
          </w:pPr>
          <w:r/>
          <w:r>
            <w:rPr>
              <w:b/>
              <w:i w:val="0"/>
              <w:sz w:val="20"/>
              <w:rFonts w:eastAsia="맑은 고딕" w:ascii="맑은 고딕" w:hAnsi="맑은 고딕"/>
            </w:rPr>
            <w:t>소프트웨어 아키텍쳐 기술서</w:t>
          </w:r>
        </w:p>
      </w:tc>
      <w:tc>
        <w:tcPr>
          <w:tcW w:type="dxa" w:w="1928"/>
          <w:shd w:val="clear" w:color="auto" w:fill="F2F2F2"/>
        </w:tcPr>
        <w:p>
          <w:pPr>
            <w:spacing w:before="40" w:after="40"/>
            <w:jc w:val="center"/>
          </w:pPr>
          <w:r/>
          <w:r>
            <w:rPr>
              <w:b/>
              <w:i w:val="0"/>
              <w:sz w:val="17"/>
              <w:rFonts w:eastAsia="맑은 고딕" w:ascii="맑은 고딕" w:hAnsi="맑은 고딕"/>
            </w:rPr>
            <w:t>표준번호</w:t>
          </w:r>
        </w:p>
      </w:tc>
      <w:tc>
        <w:tcPr>
          <w:tcW w:type="dxa" w:w="2041"/>
        </w:tcPr>
        <w:p>
          <w:pPr>
            <w:spacing w:before="40" w:after="40"/>
            <w:jc w:val="center"/>
          </w:pPr>
          <w:r/>
          <w:r>
            <w:rPr>
              <w:b w:val="0"/>
              <w:i w:val="0"/>
              <w:sz w:val="17"/>
              <w:rFonts w:eastAsia="맑은 고딕" w:ascii="맑은 고딕" w:hAnsi="맑은 고딕"/>
            </w:rPr>
            <w:t>SAD-FW-SND1</w:t>
          </w:r>
        </w:p>
      </w:tc>
    </w:tr>
    <w:tr>
      <w:tc>
        <w:tcPr>
          <w:tcW w:type="dxa" w:w="2409"/>
          <w:vMerge/>
        </w:tcPr>
        <w:p/>
      </w:tc>
      <w:tc>
        <w:tcPr>
          <w:tcW w:type="dxa" w:w="2409"/>
          <w:vMerge/>
        </w:tcPr>
        <w:p/>
      </w:tc>
      <w:tc>
        <w:tcPr>
          <w:tcW w:type="dxa" w:w="1928"/>
          <w:shd w:val="clear" w:color="auto" w:fill="F2F2F2"/>
        </w:tcPr>
        <w:p>
          <w:pPr>
            <w:spacing w:before="40" w:after="40"/>
            <w:jc w:val="center"/>
          </w:pPr>
          <w:r/>
          <w:r>
            <w:rPr>
              <w:b/>
              <w:i w:val="0"/>
              <w:sz w:val="17"/>
              <w:rFonts w:eastAsia="맑은 고딕" w:ascii="맑은 고딕" w:hAnsi="맑은 고딕"/>
            </w:rPr>
            <w:t>제(개)정일자</w:t>
          </w:r>
        </w:p>
      </w:tc>
      <w:tc>
        <w:tcPr>
          <w:tcW w:type="dxa" w:w="2041"/>
        </w:tcPr>
        <w:p>
          <w:pPr>
            <w:spacing w:before="40" w:after="40"/>
            <w:jc w:val="center"/>
          </w:pPr>
          <w:r/>
          <w:r>
            <w:rPr>
              <w:b w:val="0"/>
              <w:i w:val="0"/>
              <w:sz w:val="17"/>
              <w:rFonts w:eastAsia="맑은 고딕" w:ascii="맑은 고딕" w:hAnsi="맑은 고딕"/>
            </w:rPr>
            <w:t>YYYY.MM.DD</w:t>
          </w:r>
        </w:p>
      </w:tc>
    </w:tr>
    <w:tr>
      <w:tc>
        <w:tcPr>
          <w:tcW w:type="dxa" w:w="2409"/>
          <w:vMerge/>
        </w:tcPr>
        <w:p/>
      </w:tc>
      <w:tc>
        <w:tcPr>
          <w:tcW w:type="dxa" w:w="2409"/>
          <w:vMerge/>
        </w:tcPr>
        <w:p/>
      </w:tc>
      <w:tc>
        <w:tcPr>
          <w:tcW w:type="dxa" w:w="1928"/>
          <w:shd w:val="clear" w:color="auto" w:fill="F2F2F2"/>
        </w:tcPr>
        <w:p>
          <w:pPr>
            <w:spacing w:before="40" w:after="40"/>
            <w:jc w:val="center"/>
          </w:pPr>
          <w:r/>
          <w:r>
            <w:rPr>
              <w:b/>
              <w:i w:val="0"/>
              <w:sz w:val="17"/>
              <w:rFonts w:eastAsia="맑은 고딕" w:ascii="맑은 고딕" w:hAnsi="맑은 고딕"/>
            </w:rPr>
            <w:t>제(개)정 번호</w:t>
          </w:r>
        </w:p>
      </w:tc>
      <w:tc>
        <w:tcPr>
          <w:tcW w:type="dxa" w:w="2041"/>
        </w:tcPr>
        <w:p>
          <w:pPr>
            <w:spacing w:before="40" w:after="40"/>
            <w:jc w:val="center"/>
          </w:pPr>
          <w:r/>
          <w:r>
            <w:rPr>
              <w:b w:val="0"/>
              <w:i w:val="0"/>
              <w:sz w:val="17"/>
              <w:rFonts w:eastAsia="맑은 고딕" w:ascii="맑은 고딕" w:hAnsi="맑은 고딕"/>
            </w:rPr>
            <w:t>0</w:t>
          </w:r>
        </w:p>
      </w:tc>
    </w:tr>
    <w:tr>
      <w:tc>
        <w:tcPr>
          <w:tcW w:type="dxa" w:w="2409"/>
          <w:vMerge/>
        </w:tcPr>
        <w:p/>
      </w:tc>
      <w:tc>
        <w:tcPr>
          <w:tcW w:type="dxa" w:w="2409"/>
          <w:vMerge/>
        </w:tcPr>
        <w:p/>
      </w:tc>
      <w:tc>
        <w:tcPr>
          <w:tcW w:type="dxa" w:w="1928"/>
          <w:shd w:val="clear" w:color="auto" w:fill="F2F2F2"/>
        </w:tcPr>
        <w:p>
          <w:pPr>
            <w:spacing w:before="40" w:after="40"/>
            <w:jc w:val="center"/>
          </w:pPr>
          <w:r/>
          <w:r>
            <w:rPr>
              <w:b/>
              <w:i w:val="0"/>
              <w:sz w:val="17"/>
              <w:rFonts w:eastAsia="맑은 고딕" w:ascii="맑은 고딕" w:hAnsi="맑은 고딕"/>
            </w:rPr>
            <w:t>페 이 지</w:t>
          </w:r>
        </w:p>
      </w:tc>
      <w:tc>
        <w:tcPr>
          <w:tcW w:type="dxa" w:w="2041"/>
        </w:tcPr>
        <w:p>
          <w:pPr>
            <w:jc w:val="center"/>
          </w:pPr>
          <w:r>
            <w:rPr>
              <w:b w:val="0"/>
              <w:i w:val="0"/>
              <w:sz w:val="17"/>
              <w:rFonts w:eastAsia="맑은 고딕" w:ascii="맑은 고딕" w:hAnsi="맑은 고딕"/>
            </w:rPr>
            <w:fldChar w:fldCharType="begin"/>
            <w:instrText xml:space="preserve"> PAGE </w:instrText>
            <w:fldChar w:fldCharType="end"/>
          </w:r>
          <w:r>
            <w:rPr>
              <w:b w:val="0"/>
              <w:i w:val="0"/>
              <w:sz w:val="17"/>
              <w:rFonts w:eastAsia="맑은 고딕" w:ascii="맑은 고딕" w:hAnsi="맑은 고딕"/>
            </w:rPr>
            <w:t xml:space="preserve"> / </w:t>
          </w:r>
          <w:r>
            <w:rPr>
              <w:b w:val="0"/>
              <w:i w:val="0"/>
              <w:sz w:val="17"/>
              <w:rFonts w:eastAsia="맑은 고딕" w:ascii="맑은 고딕" w:hAnsi="맑은 고딕"/>
            </w:rPr>
            <w:fldChar w:fldCharType="begin"/>
            <w:instrText xml:space="preserve"> NUMPAGES </w:instrTex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