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wmf" ContentType="image/x-wmf"/>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0" allowOverlap="1" relativeHeight="49">
                <wp:simplePos x="0" y="0"/>
                <wp:positionH relativeFrom="column">
                  <wp:posOffset>4445</wp:posOffset>
                </wp:positionH>
                <wp:positionV relativeFrom="paragraph">
                  <wp:posOffset>2373630</wp:posOffset>
                </wp:positionV>
                <wp:extent cx="5962015" cy="1894840"/>
                <wp:effectExtent l="0" t="0" r="0" b="0"/>
                <wp:wrapSquare wrapText="bothSides"/>
                <wp:docPr id="1" name="Frame1"/>
                <a:graphic xmlns:a="http://schemas.openxmlformats.org/drawingml/2006/main">
                  <a:graphicData uri="http://schemas.microsoft.com/office/word/2010/wordprocessingShape">
                    <wps:wsp>
                      <wps:cNvSpPr/>
                      <wps:spPr>
                        <a:xfrm>
                          <a:off x="0" y="0"/>
                          <a:ext cx="5961240" cy="1894320"/>
                        </a:xfrm>
                        <a:prstGeom prst="rect">
                          <a:avLst/>
                        </a:prstGeom>
                        <a:noFill/>
                        <a:ln w="0">
                          <a:noFill/>
                        </a:ln>
                      </wps:spPr>
                      <wps:style>
                        <a:lnRef idx="0"/>
                        <a:fillRef idx="0"/>
                        <a:effectRef idx="0"/>
                        <a:fontRef idx="minor"/>
                      </wps:style>
                      <wps:txbx>
                        <w:txbxContent>
                          <w:tbl>
                            <w:tblPr>
                              <w:tblW w:w="5000" w:type="pct"/>
                              <w:jc w:val="center"/>
                              <w:tblInd w:w="0" w:type="dxa"/>
                              <w:tblLayout w:type="fixed"/>
                              <w:tblCellMar>
                                <w:top w:w="216" w:type="dxa"/>
                                <w:left w:w="216" w:type="dxa"/>
                                <w:bottom w:w="216" w:type="dxa"/>
                                <w:right w:w="216" w:type="dxa"/>
                              </w:tblCellMar>
                              <w:tblLook w:firstRow="1" w:noVBand="1" w:lastRow="0" w:firstColumn="1" w:lastColumn="0" w:noHBand="0" w:val="04a0"/>
                            </w:tblPr>
                            <w:tblGrid>
                              <w:gridCol w:w="3372"/>
                              <w:gridCol w:w="1754"/>
                              <w:gridCol w:w="4262"/>
                            </w:tblGrid>
                            <w:tr>
                              <w:trPr>
                                <w:trHeight w:val="1584" w:hRule="atLeast"/>
                              </w:trPr>
                              <w:tc>
                                <w:tcPr>
                                  <w:tcW w:w="3372" w:type="dxa"/>
                                  <w:tcBorders>
                                    <w:bottom w:val="single" w:sz="18" w:space="0" w:color="808080"/>
                                    <w:right w:val="single" w:sz="18" w:space="0" w:color="808080"/>
                                  </w:tcBorders>
                                  <w:shd w:fill="auto" w:val="clear"/>
                                  <w:vAlign w:val="bottom"/>
                                </w:tcPr>
                                <w:sdt>
                                  <w:sdtPr>
                                    <w:docPartObj>
                                      <w:docPartGallery w:val="Cover Pages"/>
                                      <w:docPartUnique w:val="true"/>
                                    </w:docPartObj>
                                    <w:id w:val="1706756071"/>
                                  </w:sdtPr>
                                  <w:sdtContent>
                                    <w:p>
                                      <w:pPr>
                                        <w:pStyle w:val="Normal"/>
                                        <w:widowControl w:val="false"/>
                                        <w:spacing w:before="0" w:after="200"/>
                                        <w:jc w:val="right"/>
                                        <w:rPr/>
                                      </w:pPr>
                                      <w:bookmarkStart w:id="0" w:name="__UnoMark__543_17296386731"/>
                                      <w:bookmarkEnd w:id="0"/>
                                      <w:r>
                                        <w:rPr/>
                                        <w:fldChar w:fldCharType="begin"/>
                                      </w:r>
                                      <w:r>
                                        <w:rPr/>
                                        <w:instrText> TIME \@"d\ MMMM\ yyyy" </w:instrText>
                                      </w:r>
                                      <w:r>
                                        <w:rPr/>
                                        <w:fldChar w:fldCharType="separate"/>
                                      </w:r>
                                      <w:r>
                                        <w:rPr/>
                                        <w:t>7 December 2021</w:t>
                                      </w:r>
                                      <w:r>
                                        <w:rPr/>
                                        <w:fldChar w:fldCharType="end"/>
                                      </w:r>
                                    </w:p>
                                  </w:sdtContent>
                                </w:sdt>
                              </w:tc>
                              <w:tc>
                                <w:tcPr>
                                  <w:tcW w:w="6016"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widowControl w:val="false"/>
                                    <w:rPr>
                                      <w:color w:val="auto"/>
                                    </w:rPr>
                                  </w:pPr>
                                  <w:bookmarkStart w:id="1" w:name="__UnoMark__544_17296386731"/>
                                  <w:bookmarkEnd w:id="1"/>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eastAsia="" w:cs="Arial" w:ascii="Arial" w:hAnsi="Arial"/>
                                      <w:color w:val="auto"/>
                                      <w:kern w:val="0"/>
                                      <w:sz w:val="72"/>
                                      <w:szCs w:val="100"/>
                                      <w:lang w:val="en-US" w:eastAsia="ja-JP" w:bidi="ar-SA"/>
                                    </w:rPr>
                                    <w:t>1</w:t>
                                  </w:r>
                                  <w:r>
                                    <w:rPr>
                                      <w:rFonts w:cs="Arial" w:ascii="Arial" w:hAnsi="Arial"/>
                                      <w:color w:val="auto"/>
                                      <w:sz w:val="52"/>
                                      <w:szCs w:val="100"/>
                                    </w:rPr>
                                    <w:t>.</w:t>
                                  </w:r>
                                  <w:bookmarkStart w:id="2" w:name="__UnoMark__545_17296386731"/>
                                  <w:bookmarkEnd w:id="2"/>
                                  <w:r>
                                    <w:rPr>
                                      <w:rFonts w:cs="Arial" w:ascii="Arial" w:hAnsi="Arial"/>
                                      <w:color w:val="auto"/>
                                      <w:sz w:val="52"/>
                                      <w:szCs w:val="100"/>
                                    </w:rPr>
                                    <w:t>0</w:t>
                                  </w:r>
                                </w:p>
                              </w:tc>
                            </w:tr>
                            <w:tr>
                              <w:trPr/>
                              <w:tc>
                                <w:tcPr>
                                  <w:tcW w:w="5126" w:type="dxa"/>
                                  <w:gridSpan w:val="2"/>
                                  <w:tcBorders>
                                    <w:top w:val="single" w:sz="18" w:space="0" w:color="808080"/>
                                    <w:bottom w:val="single" w:sz="18" w:space="0" w:color="808080"/>
                                    <w:right w:val="single" w:sz="18" w:space="0" w:color="808080"/>
                                  </w:tcBorders>
                                  <w:shd w:fill="auto" w:val="clear"/>
                                  <w:vAlign w:val="center"/>
                                </w:tcPr>
                                <w:sdt>
                                  <w:sdtPr>
                                    <w:text/>
                                    <w:id w:val="1714755447"/>
                                    <w:dataBinding w:prefixMappings="xmlns:ns0='http://schemas.microsoft.com/office/2006/coverPageProps'" w:xpath="/ns0:CoverPageProperties[1]/ns0:Abstract[1]" w:storeItemID="{55AF091B-3C7A-41E3-B477-F2FDAA23CFDA}"/>
                                    <w:alias w:val="Abstract"/>
                                  </w:sdtPr>
                                  <w:sdtContent>
                                    <w:p>
                                      <w:pPr>
                                        <w:pStyle w:val="NoSpacing"/>
                                        <w:widowControl w:val="false"/>
                                        <w:rPr>
                                          <w:color w:val="auto"/>
                                        </w:rPr>
                                      </w:pPr>
                                      <w:bookmarkStart w:id="3" w:name="__UnoMark__546_17296386731"/>
                                      <w:bookmarkEnd w:id="3"/>
                                      <w:r>
                                        <w:rPr>
                                          <w:color w:val="auto"/>
                                          <w:sz w:val="16"/>
                                        </w:rPr>
                                        <w:t>This document provides a brief summary of the usage of 3D-ICE. This includes illustrative examples of generating the input stack and floorplan files, and the various functions used for printing the results.</w:t>
                                      </w:r>
                                    </w:p>
                                  </w:sdtContent>
                                </w:sdt>
                              </w:tc>
                              <w:tc>
                                <w:tcPr>
                                  <w:tcW w:w="4262" w:type="dxa"/>
                                  <w:tcBorders>
                                    <w:top w:val="single" w:sz="18" w:space="0" w:color="808080"/>
                                    <w:left w:val="single" w:sz="18" w:space="0" w:color="808080"/>
                                    <w:bottom w:val="single" w:sz="18" w:space="0" w:color="808080"/>
                                    <w:right w:val="single" w:sz="18" w:space="0" w:color="808080"/>
                                  </w:tcBorders>
                                  <w:shd w:fill="auto" w:val="clear"/>
                                  <w:tcMar>
                                    <w:left w:w="0" w:type="dxa"/>
                                  </w:tcMar>
                                  <w:vAlign w:val="center"/>
                                </w:tcPr>
                                <w:sdt>
                                  <w:sdtPr>
                                    <w:text/>
                                    <w:id w:val="704081442"/>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widowControl w:val="false"/>
                                        <w:rPr>
                                          <w:color w:val="auto"/>
                                        </w:rPr>
                                      </w:pPr>
                                      <w:bookmarkStart w:id="4" w:name="__UnoMark__548_17296386731"/>
                                      <w:bookmarkEnd w:id="4"/>
                                      <w:r>
                                        <w:rPr>
                                          <w:rFonts w:eastAsia=""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35pt;margin-top:186.9pt;width:469.35pt;height:149.1pt;mso-wrap-style:none;v-text-anchor:middle">
                <v:fill o:detectmouseclick="t" on="false"/>
                <v:stroke color="#3465a4" joinstyle="round" endcap="flat"/>
                <v:textbox>
                  <w:txbxContent>
                    <w:tbl>
                      <w:tblPr>
                        <w:tblW w:w="5000" w:type="pct"/>
                        <w:jc w:val="center"/>
                        <w:tblInd w:w="0" w:type="dxa"/>
                        <w:tblLayout w:type="fixed"/>
                        <w:tblCellMar>
                          <w:top w:w="216" w:type="dxa"/>
                          <w:left w:w="216" w:type="dxa"/>
                          <w:bottom w:w="216" w:type="dxa"/>
                          <w:right w:w="216" w:type="dxa"/>
                        </w:tblCellMar>
                        <w:tblLook w:firstRow="1" w:noVBand="1" w:lastRow="0" w:firstColumn="1" w:lastColumn="0" w:noHBand="0" w:val="04a0"/>
                      </w:tblPr>
                      <w:tblGrid>
                        <w:gridCol w:w="3372"/>
                        <w:gridCol w:w="1754"/>
                        <w:gridCol w:w="4262"/>
                      </w:tblGrid>
                      <w:tr>
                        <w:trPr>
                          <w:trHeight w:val="1584" w:hRule="atLeast"/>
                        </w:trPr>
                        <w:tc>
                          <w:tcPr>
                            <w:tcW w:w="3372" w:type="dxa"/>
                            <w:tcBorders>
                              <w:bottom w:val="single" w:sz="18" w:space="0" w:color="808080"/>
                              <w:right w:val="single" w:sz="18" w:space="0" w:color="808080"/>
                            </w:tcBorders>
                            <w:shd w:fill="auto" w:val="clear"/>
                            <w:vAlign w:val="bottom"/>
                          </w:tcPr>
                          <w:sdt>
                            <w:sdtPr>
                              <w:docPartObj>
                                <w:docPartGallery w:val="Cover Pages"/>
                                <w:docPartUnique w:val="true"/>
                              </w:docPartObj>
                              <w:id w:val="1062222006"/>
                            </w:sdtPr>
                            <w:sdtContent>
                              <w:p>
                                <w:pPr>
                                  <w:pStyle w:val="Normal"/>
                                  <w:widowControl w:val="false"/>
                                  <w:spacing w:before="0" w:after="200"/>
                                  <w:jc w:val="right"/>
                                  <w:rPr/>
                                </w:pPr>
                                <w:bookmarkStart w:id="5" w:name="__UnoMark__543_17296386731"/>
                                <w:bookmarkEnd w:id="5"/>
                                <w:r>
                                  <w:rPr/>
                                  <w:fldChar w:fldCharType="begin"/>
                                </w:r>
                                <w:r>
                                  <w:rPr/>
                                  <w:instrText> TIME \@"d\ MMMM\ yyyy" </w:instrText>
                                </w:r>
                                <w:r>
                                  <w:rPr/>
                                  <w:fldChar w:fldCharType="separate"/>
                                </w:r>
                                <w:r>
                                  <w:rPr/>
                                  <w:t>7 December 2021</w:t>
                                </w:r>
                                <w:r>
                                  <w:rPr/>
                                  <w:fldChar w:fldCharType="end"/>
                                </w:r>
                              </w:p>
                            </w:sdtContent>
                          </w:sdt>
                        </w:tc>
                        <w:tc>
                          <w:tcPr>
                            <w:tcW w:w="6016" w:type="dxa"/>
                            <w:gridSpan w:val="2"/>
                            <w:tcBorders>
                              <w:left w:val="single" w:sz="18" w:space="0" w:color="808080"/>
                              <w:bottom w:val="single" w:sz="18" w:space="0" w:color="808080"/>
                              <w:right w:val="single" w:sz="18" w:space="0" w:color="808080"/>
                            </w:tcBorders>
                            <w:shd w:fill="auto" w:val="clear"/>
                            <w:tcMar>
                              <w:left w:w="0" w:type="dxa"/>
                            </w:tcMar>
                            <w:vAlign w:val="center"/>
                          </w:tcPr>
                          <w:p>
                            <w:pPr>
                              <w:pStyle w:val="NoSpacing"/>
                              <w:widowControl w:val="false"/>
                              <w:rPr>
                                <w:color w:val="auto"/>
                              </w:rPr>
                            </w:pPr>
                            <w:bookmarkStart w:id="6" w:name="__UnoMark__544_17296386731"/>
                            <w:bookmarkEnd w:id="6"/>
                            <w:r>
                              <w:rPr>
                                <w:rFonts w:cs="Arial" w:ascii="Arial" w:hAnsi="Arial"/>
                                <w:color w:val="auto"/>
                                <w:sz w:val="100"/>
                                <w:szCs w:val="100"/>
                              </w:rPr>
                              <w:t xml:space="preserve">3D-ICE </w:t>
                            </w:r>
                            <w:r>
                              <w:rPr>
                                <w:rFonts w:eastAsia="ＭＳ 明朝" w:cs="Arial" w:ascii="Arial" w:hAnsi="Arial"/>
                                <w:color w:val="auto"/>
                                <w:kern w:val="0"/>
                                <w:sz w:val="72"/>
                                <w:szCs w:val="100"/>
                                <w:lang w:val="en-US" w:eastAsia="ja-JP" w:bidi="ar-SA"/>
                              </w:rPr>
                              <w:t>3</w:t>
                            </w:r>
                            <w:r>
                              <w:rPr>
                                <w:rFonts w:cs="Arial" w:ascii="Arial" w:hAnsi="Arial"/>
                                <w:color w:val="auto"/>
                                <w:sz w:val="72"/>
                                <w:szCs w:val="100"/>
                              </w:rPr>
                              <w:t>.</w:t>
                            </w:r>
                            <w:r>
                              <w:rPr>
                                <w:rFonts w:eastAsia="" w:cs="Arial" w:ascii="Arial" w:hAnsi="Arial"/>
                                <w:color w:val="auto"/>
                                <w:kern w:val="0"/>
                                <w:sz w:val="72"/>
                                <w:szCs w:val="100"/>
                                <w:lang w:val="en-US" w:eastAsia="ja-JP" w:bidi="ar-SA"/>
                              </w:rPr>
                              <w:t>1</w:t>
                            </w:r>
                            <w:r>
                              <w:rPr>
                                <w:rFonts w:cs="Arial" w:ascii="Arial" w:hAnsi="Arial"/>
                                <w:color w:val="auto"/>
                                <w:sz w:val="52"/>
                                <w:szCs w:val="100"/>
                              </w:rPr>
                              <w:t>.</w:t>
                            </w:r>
                            <w:bookmarkStart w:id="7" w:name="__UnoMark__545_17296386731"/>
                            <w:bookmarkEnd w:id="7"/>
                            <w:r>
                              <w:rPr>
                                <w:rFonts w:cs="Arial" w:ascii="Arial" w:hAnsi="Arial"/>
                                <w:color w:val="auto"/>
                                <w:sz w:val="52"/>
                                <w:szCs w:val="100"/>
                              </w:rPr>
                              <w:t>0</w:t>
                            </w:r>
                          </w:p>
                        </w:tc>
                      </w:tr>
                      <w:tr>
                        <w:trPr/>
                        <w:tc>
                          <w:tcPr>
                            <w:tcW w:w="5126" w:type="dxa"/>
                            <w:gridSpan w:val="2"/>
                            <w:tcBorders>
                              <w:top w:val="single" w:sz="18" w:space="0" w:color="808080"/>
                              <w:bottom w:val="single" w:sz="18" w:space="0" w:color="808080"/>
                              <w:right w:val="single" w:sz="18" w:space="0" w:color="808080"/>
                            </w:tcBorders>
                            <w:shd w:fill="auto" w:val="clear"/>
                            <w:vAlign w:val="center"/>
                          </w:tcPr>
                          <w:sdt>
                            <w:sdtPr>
                              <w:text/>
                              <w:id w:val="1088034647"/>
                              <w:dataBinding w:prefixMappings="xmlns:ns0='http://schemas.microsoft.com/office/2006/coverPageProps'" w:xpath="/ns0:CoverPageProperties[1]/ns0:Abstract[1]" w:storeItemID="{55AF091B-3C7A-41E3-B477-F2FDAA23CFDA}"/>
                              <w:alias w:val="Abstract"/>
                            </w:sdtPr>
                            <w:sdtContent>
                              <w:p>
                                <w:pPr>
                                  <w:pStyle w:val="NoSpacing"/>
                                  <w:widowControl w:val="false"/>
                                  <w:rPr>
                                    <w:color w:val="auto"/>
                                  </w:rPr>
                                </w:pPr>
                                <w:bookmarkStart w:id="8" w:name="__UnoMark__546_17296386731"/>
                                <w:bookmarkEnd w:id="8"/>
                                <w:r>
                                  <w:rPr>
                                    <w:color w:val="auto"/>
                                    <w:sz w:val="16"/>
                                  </w:rPr>
                                  <w:t>This document provides a brief summary of the usage of 3D-ICE. This includes illustrative examples of generating the input stack and floorplan files, and the various functions used for printing the results.</w:t>
                                </w:r>
                              </w:p>
                            </w:sdtContent>
                          </w:sdt>
                        </w:tc>
                        <w:tc>
                          <w:tcPr>
                            <w:tcW w:w="4262" w:type="dxa"/>
                            <w:tcBorders>
                              <w:top w:val="single" w:sz="18" w:space="0" w:color="808080"/>
                              <w:left w:val="single" w:sz="18" w:space="0" w:color="808080"/>
                              <w:bottom w:val="single" w:sz="18" w:space="0" w:color="808080"/>
                              <w:right w:val="single" w:sz="18" w:space="0" w:color="808080"/>
                            </w:tcBorders>
                            <w:shd w:fill="auto" w:val="clear"/>
                            <w:tcMar>
                              <w:left w:w="0" w:type="dxa"/>
                            </w:tcMar>
                            <w:vAlign w:val="center"/>
                          </w:tcPr>
                          <w:sdt>
                            <w:sdtPr>
                              <w:text/>
                              <w:id w:val="199593830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widowControl w:val="false"/>
                                  <w:rPr>
                                    <w:color w:val="auto"/>
                                  </w:rPr>
                                </w:pPr>
                                <w:bookmarkStart w:id="9" w:name="__UnoMark__548_17296386731"/>
                                <w:bookmarkEnd w:id="9"/>
                                <w:r>
                                  <w:rPr>
                                    <w:rFonts w:eastAsia=""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r>
                    </w:p>
                  </w:txbxContent>
                </v:textbox>
                <w10:wrap type="square"/>
              </v:rect>
            </w:pict>
          </mc:Fallback>
        </mc:AlternateContent>
      </w:r>
      <w:r>
        <w:br w:type="page"/>
      </w:r>
    </w:p>
    <w:p>
      <w:pPr>
        <w:pStyle w:val="Normal"/>
        <w:rPr/>
      </w:pPr>
      <w:r>
        <w:rPr/>
      </w:r>
    </w:p>
    <w:sdt>
      <w:sdtPr>
        <w:docPartObj>
          <w:docPartGallery w:val="Table of Contents"/>
          <w:docPartUnique w:val="true"/>
        </w:docPartObj>
        <w:id w:val="1575076102"/>
      </w:sdtPr>
      <w:sdtContent>
        <w:p>
          <w:pPr>
            <w:pStyle w:val="ContentsHeading"/>
            <w:rPr/>
          </w:pPr>
          <w:r>
            <w:rPr/>
            <w:t>Table of Contents</w:t>
          </w:r>
        </w:p>
      </w:sdtContent>
    </w:sdt>
    <w:sdt>
      <w:sdtPr>
        <w:docPartObj>
          <w:docPartGallery w:val="Table of Contents"/>
          <w:docPartUnique w:val="true"/>
        </w:docPartObj>
        <w:id w:val="3180779"/>
      </w:sdtPr>
      <w:sdtContent>
        <w:p>
          <w:pPr>
            <w:pStyle w:val="Contents1"/>
            <w:tabs>
              <w:tab w:val="clear" w:pos="720"/>
              <w:tab w:val="right" w:pos="936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931_2393532176">
            <w:r>
              <w:rPr>
                <w:webHidden/>
                <w:rStyle w:val="IndexLink"/>
                <w:vanish w:val="false"/>
              </w:rPr>
              <w:t>1. License and Copyright</w:t>
              <w:tab/>
              <w:t>3</w:t>
            </w:r>
          </w:hyperlink>
        </w:p>
        <w:p>
          <w:pPr>
            <w:pStyle w:val="Contents1"/>
            <w:tabs>
              <w:tab w:val="clear" w:pos="720"/>
              <w:tab w:val="right" w:pos="9360" w:leader="dot"/>
            </w:tabs>
            <w:rPr/>
          </w:pPr>
          <w:hyperlink w:anchor="__RefHeading___Toc2933_2393532176">
            <w:r>
              <w:rPr>
                <w:webHidden/>
                <w:rStyle w:val="IndexLink"/>
                <w:vanish w:val="false"/>
              </w:rPr>
              <w:t>2. What is new in 3.x?</w:t>
              <w:tab/>
              <w:t>4</w:t>
            </w:r>
          </w:hyperlink>
        </w:p>
        <w:p>
          <w:pPr>
            <w:pStyle w:val="Contents1"/>
            <w:tabs>
              <w:tab w:val="clear" w:pos="720"/>
              <w:tab w:val="right" w:pos="9360" w:leader="dot"/>
            </w:tabs>
            <w:rPr/>
          </w:pPr>
          <w:hyperlink w:anchor="__RefHeading___Toc2935_2393532176">
            <w:r>
              <w:rPr>
                <w:webHidden/>
                <w:rStyle w:val="IndexLink"/>
                <w:vanish w:val="false"/>
              </w:rPr>
              <w:t>3. What is new in 2.x?</w:t>
              <w:tab/>
              <w:t>4</w:t>
            </w:r>
          </w:hyperlink>
        </w:p>
        <w:p>
          <w:pPr>
            <w:pStyle w:val="Contents1"/>
            <w:tabs>
              <w:tab w:val="clear" w:pos="720"/>
              <w:tab w:val="right" w:pos="9360" w:leader="dot"/>
            </w:tabs>
            <w:rPr/>
          </w:pPr>
          <w:hyperlink w:anchor="__RefHeading___Toc2937_2393532176">
            <w:r>
              <w:rPr>
                <w:webHidden/>
                <w:rStyle w:val="IndexLink"/>
                <w:vanish w:val="false"/>
              </w:rPr>
              <w:t>4. Who needs 3D-ICE?</w:t>
              <w:tab/>
              <w:t>6</w:t>
            </w:r>
          </w:hyperlink>
        </w:p>
        <w:p>
          <w:pPr>
            <w:pStyle w:val="Contents1"/>
            <w:tabs>
              <w:tab w:val="clear" w:pos="720"/>
              <w:tab w:val="right" w:pos="9360" w:leader="dot"/>
            </w:tabs>
            <w:rPr/>
          </w:pPr>
          <w:hyperlink w:anchor="__RefHeading___Toc2939_2393532176">
            <w:r>
              <w:rPr>
                <w:webHidden/>
                <w:rStyle w:val="IndexLink"/>
                <w:vanish w:val="false"/>
              </w:rPr>
              <w:t>5. Before you begin</w:t>
              <w:tab/>
              <w:t>7</w:t>
            </w:r>
          </w:hyperlink>
        </w:p>
        <w:p>
          <w:pPr>
            <w:pStyle w:val="Contents2"/>
            <w:tabs>
              <w:tab w:val="clear" w:pos="720"/>
              <w:tab w:val="right" w:pos="9360" w:leader="dot"/>
            </w:tabs>
            <w:rPr/>
          </w:pPr>
          <w:hyperlink w:anchor="__RefHeading___Toc2941_2393532176">
            <w:r>
              <w:rPr>
                <w:webHidden/>
                <w:rStyle w:val="IndexLink"/>
                <w:vanish w:val="false"/>
              </w:rPr>
              <w:t>A. Compile SuperLU</w:t>
              <w:tab/>
              <w:t>7</w:t>
            </w:r>
          </w:hyperlink>
        </w:p>
        <w:p>
          <w:pPr>
            <w:pStyle w:val="Contents2"/>
            <w:tabs>
              <w:tab w:val="clear" w:pos="720"/>
              <w:tab w:val="right" w:pos="9360" w:leader="dot"/>
            </w:tabs>
            <w:rPr/>
          </w:pPr>
          <w:hyperlink w:anchor="__RefHeading___Toc2943_2393532176">
            <w:r>
              <w:rPr>
                <w:webHidden/>
                <w:rStyle w:val="IndexLink"/>
                <w:vanish w:val="false"/>
              </w:rPr>
              <w:t>B. Compile 3D-ICE</w:t>
              <w:tab/>
              <w:t>7</w:t>
            </w:r>
          </w:hyperlink>
        </w:p>
        <w:p>
          <w:pPr>
            <w:pStyle w:val="Contents2"/>
            <w:tabs>
              <w:tab w:val="clear" w:pos="720"/>
              <w:tab w:val="right" w:pos="9360" w:leader="dot"/>
            </w:tabs>
            <w:rPr/>
          </w:pPr>
          <w:hyperlink w:anchor="__RefHeading___Toc2945_2393532176">
            <w:r>
              <w:rPr>
                <w:webHidden/>
                <w:rStyle w:val="IndexLink"/>
                <w:vanish w:val="false"/>
              </w:rPr>
              <w:t>C. Pluggable heat sink and co-simulation interface</w:t>
              <w:tab/>
              <w:t>8</w:t>
            </w:r>
          </w:hyperlink>
        </w:p>
        <w:p>
          <w:pPr>
            <w:pStyle w:val="Contents2"/>
            <w:tabs>
              <w:tab w:val="clear" w:pos="720"/>
              <w:tab w:val="right" w:pos="9360" w:leader="dot"/>
            </w:tabs>
            <w:rPr/>
          </w:pPr>
          <w:hyperlink w:anchor="__RefHeading___Toc2947_2393532176">
            <w:r>
              <w:rPr>
                <w:webHidden/>
                <w:rStyle w:val="IndexLink"/>
                <w:vanish w:val="false"/>
              </w:rPr>
              <w:t>D. Testing installation</w:t>
              <w:tab/>
              <w:t>8</w:t>
            </w:r>
          </w:hyperlink>
        </w:p>
        <w:p>
          <w:pPr>
            <w:pStyle w:val="Contents1"/>
            <w:tabs>
              <w:tab w:val="clear" w:pos="720"/>
              <w:tab w:val="right" w:pos="9360" w:leader="dot"/>
            </w:tabs>
            <w:rPr/>
          </w:pPr>
          <w:hyperlink w:anchor="__RefHeading___Toc2949_2393532176">
            <w:r>
              <w:rPr>
                <w:webHidden/>
                <w:rStyle w:val="IndexLink"/>
                <w:vanish w:val="false"/>
              </w:rPr>
              <w:t>6. Overview of 3D-ICE</w:t>
              <w:tab/>
              <w:t>9</w:t>
            </w:r>
          </w:hyperlink>
        </w:p>
        <w:p>
          <w:pPr>
            <w:pStyle w:val="Contents2"/>
            <w:tabs>
              <w:tab w:val="clear" w:pos="720"/>
              <w:tab w:val="right" w:pos="9360" w:leader="dot"/>
            </w:tabs>
            <w:rPr/>
          </w:pPr>
          <w:hyperlink w:anchor="__RefHeading___Toc2951_2393532176">
            <w:r>
              <w:rPr>
                <w:webHidden/>
                <w:rStyle w:val="IndexLink"/>
                <w:vanish w:val="false"/>
              </w:rPr>
              <w:t>A. Principle of thermal simulation</w:t>
              <w:tab/>
              <w:t>9</w:t>
            </w:r>
          </w:hyperlink>
        </w:p>
        <w:p>
          <w:pPr>
            <w:pStyle w:val="Contents3"/>
            <w:tabs>
              <w:tab w:val="clear" w:pos="720"/>
              <w:tab w:val="right" w:pos="9360" w:leader="dot"/>
            </w:tabs>
            <w:rPr/>
          </w:pPr>
          <w:hyperlink w:anchor="__RefHeading___Toc2953_2393532176">
            <w:r>
              <w:rPr>
                <w:webHidden/>
                <w:rStyle w:val="IndexLink"/>
                <w:vanish w:val="false"/>
              </w:rPr>
              <w:t>i. Microchannel 4-resistor model</w:t>
              <w:tab/>
              <w:t>9</w:t>
            </w:r>
          </w:hyperlink>
        </w:p>
        <w:p>
          <w:pPr>
            <w:pStyle w:val="Contents3"/>
            <w:tabs>
              <w:tab w:val="clear" w:pos="720"/>
              <w:tab w:val="right" w:pos="9360" w:leader="dot"/>
            </w:tabs>
            <w:rPr/>
          </w:pPr>
          <w:hyperlink w:anchor="__RefHeading___Toc2955_2393532176">
            <w:r>
              <w:rPr>
                <w:webHidden/>
                <w:rStyle w:val="IndexLink"/>
                <w:vanish w:val="false"/>
              </w:rPr>
              <w:t>ii. Microchannel 2-resistor model</w:t>
              <w:tab/>
              <w:t>10</w:t>
            </w:r>
          </w:hyperlink>
        </w:p>
        <w:p>
          <w:pPr>
            <w:pStyle w:val="Contents3"/>
            <w:tabs>
              <w:tab w:val="clear" w:pos="720"/>
              <w:tab w:val="right" w:pos="9360" w:leader="dot"/>
            </w:tabs>
            <w:rPr/>
          </w:pPr>
          <w:hyperlink w:anchor="__RefHeading___Toc2957_2393532176">
            <w:r>
              <w:rPr>
                <w:webHidden/>
                <w:rStyle w:val="IndexLink"/>
                <w:vanish w:val="false"/>
              </w:rPr>
              <w:t>iii. Pinfins in-line</w:t>
              <w:tab/>
              <w:t>10</w:t>
            </w:r>
          </w:hyperlink>
        </w:p>
        <w:p>
          <w:pPr>
            <w:pStyle w:val="Contents3"/>
            <w:tabs>
              <w:tab w:val="clear" w:pos="720"/>
              <w:tab w:val="right" w:pos="9360" w:leader="dot"/>
            </w:tabs>
            <w:rPr/>
          </w:pPr>
          <w:hyperlink w:anchor="__RefHeading___Toc2959_2393532176">
            <w:r>
              <w:rPr>
                <w:webHidden/>
                <w:rStyle w:val="IndexLink"/>
                <w:vanish w:val="false"/>
              </w:rPr>
              <w:t>iv. Pinfins staggered</w:t>
              <w:tab/>
              <w:t>11</w:t>
            </w:r>
          </w:hyperlink>
        </w:p>
        <w:p>
          <w:pPr>
            <w:pStyle w:val="Contents2"/>
            <w:tabs>
              <w:tab w:val="clear" w:pos="720"/>
              <w:tab w:val="right" w:pos="9360" w:leader="dot"/>
            </w:tabs>
            <w:rPr/>
          </w:pPr>
          <w:hyperlink w:anchor="__RefHeading___Toc2961_2393532176">
            <w:r>
              <w:rPr>
                <w:webHidden/>
                <w:rStyle w:val="IndexLink"/>
                <w:vanish w:val="false"/>
              </w:rPr>
              <w:t>B. Inputs to 3D-ICE</w:t>
              <w:tab/>
              <w:t>11</w:t>
            </w:r>
          </w:hyperlink>
        </w:p>
        <w:p>
          <w:pPr>
            <w:pStyle w:val="Contents2"/>
            <w:tabs>
              <w:tab w:val="clear" w:pos="720"/>
              <w:tab w:val="right" w:pos="9360" w:leader="dot"/>
            </w:tabs>
            <w:rPr/>
          </w:pPr>
          <w:hyperlink w:anchor="__RefHeading___Toc2963_2393532176">
            <w:r>
              <w:rPr>
                <w:webHidden/>
                <w:rStyle w:val="IndexLink"/>
                <w:vanish w:val="false"/>
              </w:rPr>
              <w:t>C. Convention and Terminology</w:t>
              <w:tab/>
              <w:t>12</w:t>
            </w:r>
          </w:hyperlink>
        </w:p>
        <w:p>
          <w:pPr>
            <w:pStyle w:val="Contents1"/>
            <w:tabs>
              <w:tab w:val="clear" w:pos="720"/>
              <w:tab w:val="right" w:pos="9360" w:leader="dot"/>
            </w:tabs>
            <w:rPr/>
          </w:pPr>
          <w:hyperlink w:anchor="__RefHeading___Toc2965_2393532176">
            <w:r>
              <w:rPr>
                <w:webHidden/>
                <w:rStyle w:val="IndexLink"/>
                <w:vanish w:val="false"/>
              </w:rPr>
              <w:t>7. Creating a 3D-ICE project</w:t>
              <w:tab/>
              <w:t>14</w:t>
            </w:r>
          </w:hyperlink>
        </w:p>
        <w:p>
          <w:pPr>
            <w:pStyle w:val="Contents2"/>
            <w:tabs>
              <w:tab w:val="clear" w:pos="720"/>
              <w:tab w:val="right" w:pos="9360" w:leader="dot"/>
            </w:tabs>
            <w:rPr/>
          </w:pPr>
          <w:hyperlink w:anchor="__RefHeading___Toc2967_2393532176">
            <w:r>
              <w:rPr>
                <w:webHidden/>
                <w:rStyle w:val="IndexLink"/>
                <w:vanish w:val="false"/>
              </w:rPr>
              <w:t>A. Stack Description File</w:t>
              <w:tab/>
              <w:t>14</w:t>
            </w:r>
          </w:hyperlink>
        </w:p>
        <w:p>
          <w:pPr>
            <w:pStyle w:val="Contents3"/>
            <w:tabs>
              <w:tab w:val="clear" w:pos="720"/>
              <w:tab w:val="right" w:pos="9360" w:leader="dot"/>
            </w:tabs>
            <w:rPr/>
          </w:pPr>
          <w:hyperlink w:anchor="__RefHeading___Toc2969_2393532176">
            <w:r>
              <w:rPr>
                <w:webHidden/>
                <w:rStyle w:val="IndexLink"/>
                <w:vanish w:val="false"/>
              </w:rPr>
              <w:t>i. Materials</w:t>
              <w:tab/>
              <w:t>14</w:t>
            </w:r>
          </w:hyperlink>
        </w:p>
        <w:p>
          <w:pPr>
            <w:pStyle w:val="Contents3"/>
            <w:tabs>
              <w:tab w:val="clear" w:pos="720"/>
              <w:tab w:val="right" w:pos="9360" w:leader="dot"/>
            </w:tabs>
            <w:rPr/>
          </w:pPr>
          <w:hyperlink w:anchor="__RefHeading___Toc2971_2393532176">
            <w:r>
              <w:rPr>
                <w:webHidden/>
                <w:rStyle w:val="IndexLink"/>
                <w:vanish w:val="false"/>
              </w:rPr>
              <w:t>ii. Layers</w:t>
              <w:tab/>
              <w:t>15</w:t>
            </w:r>
          </w:hyperlink>
        </w:p>
        <w:p>
          <w:pPr>
            <w:pStyle w:val="Contents3"/>
            <w:tabs>
              <w:tab w:val="clear" w:pos="720"/>
              <w:tab w:val="right" w:pos="9360" w:leader="dot"/>
            </w:tabs>
            <w:rPr/>
          </w:pPr>
          <w:hyperlink w:anchor="__RefHeading___Toc2973_2393532176">
            <w:r>
              <w:rPr>
                <w:webHidden/>
                <w:rStyle w:val="IndexLink"/>
                <w:vanish w:val="false"/>
              </w:rPr>
              <w:t>iii. Dies</w:t>
              <w:tab/>
              <w:t>15</w:t>
            </w:r>
          </w:hyperlink>
        </w:p>
        <w:p>
          <w:pPr>
            <w:pStyle w:val="Contents3"/>
            <w:tabs>
              <w:tab w:val="clear" w:pos="720"/>
              <w:tab w:val="right" w:pos="9360" w:leader="dot"/>
            </w:tabs>
            <w:rPr/>
          </w:pPr>
          <w:hyperlink w:anchor="__RefHeading___Toc2975_2393532176">
            <w:r>
              <w:rPr>
                <w:webHidden/>
                <w:rStyle w:val="IndexLink"/>
                <w:vanish w:val="false"/>
              </w:rPr>
              <w:t>iv. Heat Sink</w:t>
              <w:tab/>
              <w:t>16</w:t>
            </w:r>
          </w:hyperlink>
        </w:p>
        <w:p>
          <w:pPr>
            <w:pStyle w:val="Contents3"/>
            <w:tabs>
              <w:tab w:val="clear" w:pos="720"/>
              <w:tab w:val="right" w:pos="9360" w:leader="dot"/>
            </w:tabs>
            <w:rPr/>
          </w:pPr>
          <w:hyperlink w:anchor="__RefHeading___Toc2977_2393532176">
            <w:r>
              <w:rPr>
                <w:webHidden/>
                <w:rStyle w:val="IndexLink"/>
                <w:vanish w:val="false"/>
              </w:rPr>
              <w:t>v. Liquid-cooled cavity</w:t>
              <w:tab/>
              <w:t>18</w:t>
            </w:r>
          </w:hyperlink>
        </w:p>
        <w:p>
          <w:pPr>
            <w:pStyle w:val="Contents3"/>
            <w:tabs>
              <w:tab w:val="clear" w:pos="720"/>
              <w:tab w:val="right" w:pos="9360" w:leader="dot"/>
            </w:tabs>
            <w:rPr/>
          </w:pPr>
          <w:hyperlink w:anchor="__RefHeading___Toc2981_2393532176">
            <w:r>
              <w:rPr>
                <w:webHidden/>
                <w:rStyle w:val="IndexLink"/>
                <w:vanish w:val="false"/>
              </w:rPr>
              <w:t>vi. Dimensions</w:t>
              <w:tab/>
              <w:t>22</w:t>
            </w:r>
          </w:hyperlink>
        </w:p>
        <w:p>
          <w:pPr>
            <w:pStyle w:val="Contents3"/>
            <w:tabs>
              <w:tab w:val="clear" w:pos="720"/>
              <w:tab w:val="right" w:pos="9360" w:leader="dot"/>
            </w:tabs>
            <w:rPr/>
          </w:pPr>
          <w:hyperlink w:anchor="__RefHeading___Toc3088_2224355866">
            <w:r>
              <w:rPr>
                <w:webHidden/>
                <w:rStyle w:val="IndexLink"/>
                <w:vanish w:val="false"/>
              </w:rPr>
              <w:t>vii. Stack</w:t>
              <w:tab/>
              <w:t>24</w:t>
            </w:r>
          </w:hyperlink>
        </w:p>
        <w:p>
          <w:pPr>
            <w:pStyle w:val="Contents3"/>
            <w:tabs>
              <w:tab w:val="clear" w:pos="720"/>
              <w:tab w:val="right" w:pos="9360" w:leader="dot"/>
            </w:tabs>
            <w:rPr/>
          </w:pPr>
          <w:hyperlink w:anchor="__RefHeading___Toc2983_2393532176">
            <w:r>
              <w:rPr>
                <w:webHidden/>
                <w:rStyle w:val="IndexLink"/>
                <w:vanish w:val="false"/>
              </w:rPr>
              <w:t>viii. Analysis options</w:t>
              <w:tab/>
              <w:t>26</w:t>
            </w:r>
          </w:hyperlink>
        </w:p>
        <w:p>
          <w:pPr>
            <w:pStyle w:val="Contents3"/>
            <w:tabs>
              <w:tab w:val="clear" w:pos="720"/>
              <w:tab w:val="right" w:pos="9360" w:leader="dot"/>
            </w:tabs>
            <w:rPr/>
          </w:pPr>
          <w:hyperlink w:anchor="__RefHeading___Toc2985_2393532176">
            <w:r>
              <w:rPr>
                <w:webHidden/>
                <w:rStyle w:val="IndexLink"/>
                <w:vanish w:val="false"/>
              </w:rPr>
              <w:t>ix. Output Instructions</w:t>
              <w:tab/>
              <w:t>27</w:t>
            </w:r>
          </w:hyperlink>
        </w:p>
        <w:p>
          <w:pPr>
            <w:pStyle w:val="Contents2"/>
            <w:tabs>
              <w:tab w:val="clear" w:pos="720"/>
              <w:tab w:val="right" w:pos="9360" w:leader="dot"/>
            </w:tabs>
            <w:rPr/>
          </w:pPr>
          <w:hyperlink w:anchor="__RefHeading___Toc2987_2393532176">
            <w:r>
              <w:rPr>
                <w:webHidden/>
                <w:rStyle w:val="IndexLink"/>
                <w:vanish w:val="false"/>
              </w:rPr>
              <w:t>Examples</w:t>
              <w:tab/>
              <w:t>30</w:t>
            </w:r>
          </w:hyperlink>
        </w:p>
        <w:p>
          <w:pPr>
            <w:pStyle w:val="Contents2"/>
            <w:tabs>
              <w:tab w:val="clear" w:pos="720"/>
              <w:tab w:val="right" w:pos="9360" w:leader="dot"/>
            </w:tabs>
            <w:rPr/>
          </w:pPr>
          <w:hyperlink w:anchor="__RefHeading___Toc2989_2393532176">
            <w:r>
              <w:rPr>
                <w:webHidden/>
                <w:rStyle w:val="IndexLink"/>
                <w:vanish w:val="false"/>
              </w:rPr>
              <w:t>B. Floorplan File</w:t>
              <w:tab/>
              <w:t>32</w:t>
            </w:r>
          </w:hyperlink>
        </w:p>
        <w:p>
          <w:pPr>
            <w:pStyle w:val="Contents3"/>
            <w:tabs>
              <w:tab w:val="clear" w:pos="720"/>
              <w:tab w:val="right" w:pos="9360" w:leader="dot"/>
            </w:tabs>
            <w:rPr/>
          </w:pPr>
          <w:hyperlink w:anchor="__RefHeading___Toc2991_2393532176">
            <w:r>
              <w:rPr>
                <w:webHidden/>
                <w:rStyle w:val="IndexLink"/>
                <w:vanish w:val="false"/>
              </w:rPr>
              <w:t>Time Slots</w:t>
              <w:tab/>
              <w:t>35</w:t>
            </w:r>
          </w:hyperlink>
        </w:p>
        <w:p>
          <w:pPr>
            <w:pStyle w:val="Contents1"/>
            <w:tabs>
              <w:tab w:val="clear" w:pos="720"/>
              <w:tab w:val="right" w:pos="9360" w:leader="dot"/>
            </w:tabs>
            <w:rPr/>
          </w:pPr>
          <w:hyperlink w:anchor="__RefHeading___Toc2993_2393532176">
            <w:r>
              <w:rPr>
                <w:webHidden/>
                <w:rStyle w:val="IndexLink"/>
                <w:vanish w:val="false"/>
              </w:rPr>
              <w:t>8. Co-simulation and plugin interface</w:t>
              <w:tab/>
              <w:t>37</w:t>
            </w:r>
          </w:hyperlink>
        </w:p>
        <w:p>
          <w:pPr>
            <w:pStyle w:val="Contents1"/>
            <w:tabs>
              <w:tab w:val="clear" w:pos="720"/>
              <w:tab w:val="right" w:pos="9360" w:leader="dot"/>
            </w:tabs>
            <w:rPr/>
          </w:pPr>
          <w:hyperlink w:anchor="__RefHeading___Toc2995_2393532176">
            <w:r>
              <w:rPr>
                <w:webHidden/>
                <w:rStyle w:val="IndexLink"/>
                <w:vanish w:val="false"/>
              </w:rPr>
              <w:t>9. Network interface for remote simulations</w:t>
              <w:tab/>
              <w:t>42</w:t>
            </w:r>
          </w:hyperlink>
        </w:p>
        <w:p>
          <w:pPr>
            <w:pStyle w:val="Contents1"/>
            <w:tabs>
              <w:tab w:val="clear" w:pos="720"/>
              <w:tab w:val="right" w:pos="9360" w:leader="dot"/>
            </w:tabs>
            <w:rPr/>
          </w:pPr>
          <w:hyperlink w:anchor="__RefHeading___Toc2937_2842897094">
            <w:r>
              <w:rPr>
                <w:webHidden/>
                <w:rStyle w:val="IndexLink"/>
                <w:vanish w:val="false"/>
              </w:rPr>
              <w:t>10. Running 3D-ICE</w:t>
              <w:tab/>
              <w:t>43</w:t>
            </w:r>
          </w:hyperlink>
        </w:p>
        <w:p>
          <w:pPr>
            <w:pStyle w:val="Contents1"/>
            <w:tabs>
              <w:tab w:val="clear" w:pos="720"/>
              <w:tab w:val="right" w:pos="9360" w:leader="dot"/>
            </w:tabs>
            <w:rPr/>
          </w:pPr>
          <w:hyperlink w:anchor="__RefHeading___Toc2939_2842897094">
            <w:r>
              <w:rPr>
                <w:webHidden/>
                <w:rStyle w:val="IndexLink"/>
                <w:vanish w:val="false"/>
              </w:rPr>
              <w:t>11. Usage of the 3D-ICE as Software Thermal Library</w:t>
              <w:tab/>
              <w:t>44</w:t>
            </w:r>
          </w:hyperlink>
        </w:p>
        <w:p>
          <w:pPr>
            <w:pStyle w:val="Contents2"/>
            <w:tabs>
              <w:tab w:val="clear" w:pos="720"/>
              <w:tab w:val="right" w:pos="9360" w:leader="dot"/>
            </w:tabs>
            <w:rPr/>
          </w:pPr>
          <w:hyperlink w:anchor="__RefHeading___Toc3001_2393532176">
            <w:r>
              <w:rPr>
                <w:webHidden/>
                <w:rStyle w:val="IndexLink"/>
                <w:vanish w:val="false"/>
              </w:rPr>
              <w:t>A. StackDescription_t, Analysis_t and Output_t</w:t>
              <w:tab/>
              <w:t>45</w:t>
            </w:r>
          </w:hyperlink>
        </w:p>
        <w:p>
          <w:pPr>
            <w:pStyle w:val="Contents2"/>
            <w:tabs>
              <w:tab w:val="clear" w:pos="720"/>
              <w:tab w:val="right" w:pos="9360" w:leader="dot"/>
            </w:tabs>
            <w:rPr/>
          </w:pPr>
          <w:hyperlink w:anchor="__RefHeading___Toc3003_2393532176">
            <w:r>
              <w:rPr>
                <w:webHidden/>
                <w:rStyle w:val="IndexLink"/>
                <w:vanish w:val="false"/>
              </w:rPr>
              <w:t>B. ThermalData_t</w:t>
              <w:tab/>
              <w:t>46</w:t>
            </w:r>
          </w:hyperlink>
        </w:p>
        <w:p>
          <w:pPr>
            <w:pStyle w:val="Contents2"/>
            <w:tabs>
              <w:tab w:val="clear" w:pos="720"/>
              <w:tab w:val="right" w:pos="9360" w:leader="dot"/>
            </w:tabs>
            <w:rPr/>
          </w:pPr>
          <w:hyperlink w:anchor="__RefHeading___Toc3005_2393532176">
            <w:r>
              <w:rPr>
                <w:webHidden/>
                <w:rStyle w:val="IndexLink"/>
                <w:vanish w:val="false"/>
              </w:rPr>
              <w:t>C. Emulation and thermal output</w:t>
              <w:tab/>
              <w:t>46</w:t>
            </w:r>
          </w:hyperlink>
        </w:p>
        <w:p>
          <w:pPr>
            <w:pStyle w:val="Contents2"/>
            <w:tabs>
              <w:tab w:val="clear" w:pos="720"/>
              <w:tab w:val="right" w:pos="9360" w:leader="dot"/>
            </w:tabs>
            <w:rPr/>
          </w:pPr>
          <w:hyperlink w:anchor="__RefHeading___Toc3007_2393532176">
            <w:r>
              <w:rPr>
                <w:webHidden/>
                <w:rStyle w:val="IndexLink"/>
                <w:vanish w:val="false"/>
              </w:rPr>
              <w:t>D. Socket</w:t>
              <w:tab/>
              <w:t>47</w:t>
            </w:r>
          </w:hyperlink>
        </w:p>
        <w:p>
          <w:pPr>
            <w:pStyle w:val="Contents2"/>
            <w:tabs>
              <w:tab w:val="clear" w:pos="720"/>
              <w:tab w:val="right" w:pos="9360" w:leader="dot"/>
            </w:tabs>
            <w:rPr/>
          </w:pPr>
          <w:hyperlink w:anchor="__RefHeading___Toc3009_2393532176">
            <w:r>
              <w:rPr>
                <w:webHidden/>
                <w:rStyle w:val="IndexLink"/>
                <w:vanish w:val="false"/>
              </w:rPr>
              <w:t>E. NetworkMessage</w:t>
              <w:tab/>
              <w:t>48</w:t>
            </w:r>
          </w:hyperlink>
        </w:p>
        <w:p>
          <w:pPr>
            <w:pStyle w:val="Contents2"/>
            <w:tabs>
              <w:tab w:val="clear" w:pos="720"/>
              <w:tab w:val="right" w:pos="9360" w:leader="dot"/>
            </w:tabs>
            <w:rPr/>
          </w:pPr>
          <w:hyperlink w:anchor="__RefHeading___Toc3011_2393532176">
            <w:r>
              <w:rPr>
                <w:webHidden/>
                <w:rStyle w:val="IndexLink"/>
                <w:vanish w:val="false"/>
              </w:rPr>
              <w:t>F. Debugging of ThermalSimulation</w:t>
              <w:tab/>
              <w:t>49</w:t>
            </w:r>
          </w:hyperlink>
        </w:p>
        <w:p>
          <w:pPr>
            <w:pStyle w:val="Contents2"/>
            <w:tabs>
              <w:tab w:val="clear" w:pos="720"/>
              <w:tab w:val="right" w:pos="9360" w:leader="dot"/>
            </w:tabs>
            <w:rPr/>
          </w:pPr>
          <w:hyperlink w:anchor="__RefHeading___Toc3013_2393532176">
            <w:r>
              <w:rPr>
                <w:webHidden/>
                <w:rStyle w:val="IndexLink"/>
                <w:vanish w:val="false"/>
              </w:rPr>
              <w:t>G. Binding to SystemC/TLM2.0 Applications</w:t>
              <w:tab/>
              <w:t>50</w:t>
            </w:r>
          </w:hyperlink>
        </w:p>
        <w:p>
          <w:pPr>
            <w:pStyle w:val="Contents1"/>
            <w:tabs>
              <w:tab w:val="clear" w:pos="720"/>
              <w:tab w:val="right" w:pos="9360" w:leader="dot"/>
            </w:tabs>
            <w:rPr/>
          </w:pPr>
          <w:hyperlink w:anchor="__RefHeading___Toc3015_2393532176">
            <w:r>
              <w:rPr>
                <w:webHidden/>
                <w:rStyle w:val="IndexLink"/>
                <w:vanish w:val="false"/>
              </w:rPr>
              <w:t>12. References</w:t>
              <w:tab/>
              <w:t>51</w:t>
            </w:r>
          </w:hyperlink>
          <w:r>
            <w:rPr>
              <w:rStyle w:val="IndexLink"/>
              <w:vanish w:val="false"/>
            </w:rPr>
            <w:fldChar w:fldCharType="end"/>
          </w:r>
        </w:p>
      </w:sdtContent>
    </w:sdt>
    <w:p>
      <w:pPr>
        <w:pStyle w:val="Normal"/>
        <w:widowControl/>
        <w:bidi w:val="0"/>
        <w:spacing w:lineRule="auto" w:line="276" w:before="0" w:after="200"/>
        <w:jc w:val="left"/>
        <w:rPr>
          <w:rFonts w:ascii="Calibri" w:hAnsi="Calibri" w:eastAsia="Calibri" w:cs="" w:asciiTheme="minorHAnsi" w:cstheme="minorBidi" w:eastAsiaTheme="minorHAnsi" w:hAnsiTheme="minorHAnsi"/>
          <w:color w:val="00000A"/>
          <w:kern w:val="0"/>
          <w:sz w:val="22"/>
          <w:szCs w:val="22"/>
          <w:lang w:val="en-US" w:eastAsia="en-US" w:bidi="ar-SA"/>
        </w:rPr>
      </w:pPr>
      <w:r>
        <w:rPr>
          <w:rFonts w:eastAsia="Calibri" w:cs="" w:cstheme="minorBidi" w:eastAsiaTheme="minorHAnsi"/>
          <w:color w:val="00000A"/>
          <w:kern w:val="0"/>
          <w:sz w:val="22"/>
          <w:szCs w:val="22"/>
          <w:lang w:val="en-US" w:eastAsia="en-US" w:bidi="ar-SA"/>
        </w:rPr>
      </w:r>
    </w:p>
    <w:p>
      <w:pPr>
        <w:pStyle w:val="Normal"/>
        <w:rPr/>
      </w:pPr>
      <w:r>
        <w:rPr/>
      </w:r>
      <w:r>
        <w:br w:type="page"/>
      </w:r>
    </w:p>
    <w:p>
      <w:pPr>
        <w:pStyle w:val="Heading1"/>
        <w:numPr>
          <w:ilvl w:val="0"/>
          <w:numId w:val="2"/>
        </w:numPr>
        <w:rPr/>
      </w:pPr>
      <w:bookmarkStart w:id="10" w:name="__RefHeading___Toc2931_2393532176"/>
      <w:bookmarkStart w:id="11" w:name="_Toc442446429"/>
      <w:bookmarkEnd w:id="10"/>
      <w:bookmarkEnd w:id="11"/>
      <w:r>
        <w:rPr/>
        <w:t>License and Copyright</w:t>
      </w:r>
    </w:p>
    <w:p>
      <w:pPr>
        <w:pStyle w:val="Normal"/>
        <w:rPr/>
      </w:pPr>
      <w:r>
        <w:rPr/>
        <w:t>This file is part of 3D-ICE.</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[2] and [</w:t>
      </w:r>
      <w:r>
        <w:rPr>
          <w:b/>
        </w:rPr>
        <w:t>10</w:t>
      </w:r>
      <w:r>
        <w:rPr>
          <w:b/>
        </w:rPr>
        <w:t>]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Copyright©2021,</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Layout w:type="fixed"/>
        <w:tblCellMar>
          <w:top w:w="0" w:type="dxa"/>
          <w:left w:w="158" w:type="dxa"/>
          <w:bottom w:w="0" w:type="dxa"/>
          <w:right w:w="108" w:type="dxa"/>
        </w:tblCellMar>
        <w:tblLook w:firstRow="1" w:noVBand="1" w:lastRow="0" w:firstColumn="1" w:lastColumn="0" w:noHBand="0" w:val="04a0"/>
      </w:tblPr>
      <w:tblGrid>
        <w:gridCol w:w="4788"/>
        <w:gridCol w:w="1835"/>
        <w:gridCol w:w="2953"/>
      </w:tblGrid>
      <w:tr>
        <w:trPr>
          <w:trHeight w:val="2459" w:hRule="atLeast"/>
        </w:trPr>
        <w:tc>
          <w:tcPr>
            <w:tcW w:w="4788" w:type="dxa"/>
            <w:tcBorders>
              <w:top w:val="nil"/>
              <w:left w:val="nil"/>
              <w:bottom w:val="nil"/>
              <w:right w:val="nil"/>
            </w:tcBorders>
            <w:shd w:fill="auto" w:val="clear"/>
          </w:tcPr>
          <w:p>
            <w:pPr>
              <w:pStyle w:val="Normal"/>
              <w:widowControl w:val="false"/>
              <w:spacing w:lineRule="auto" w:line="240" w:before="0" w:after="0"/>
              <w:jc w:val="left"/>
              <w:rPr>
                <w:b/>
                <w:b/>
                <w:lang w:val="it-IT"/>
              </w:rPr>
            </w:pPr>
            <w:r>
              <w:rPr>
                <w:b/>
                <w:sz w:val="20"/>
                <w:lang w:val="it-IT"/>
              </w:rPr>
              <w:t>Authors:</w:t>
            </w:r>
          </w:p>
          <w:p>
            <w:pPr>
              <w:pStyle w:val="Normal"/>
              <w:widowControl w:val="false"/>
              <w:spacing w:lineRule="auto" w:line="240" w:before="0" w:after="0"/>
              <w:ind w:left="1440" w:hanging="0"/>
              <w:jc w:val="left"/>
              <w:rPr>
                <w:sz w:val="18"/>
                <w:szCs w:val="18"/>
              </w:rPr>
            </w:pPr>
            <w:r>
              <w:rPr>
                <w:i/>
                <w:sz w:val="18"/>
                <w:szCs w:val="18"/>
                <w:lang w:val="it-IT"/>
              </w:rPr>
              <w:t>Arvind Sridhar</w:t>
            </w:r>
            <w:bookmarkStart w:id="12" w:name="_Ref272855554"/>
            <w:bookmarkEnd w:id="12"/>
            <w:r>
              <w:rPr>
                <w:rStyle w:val="FootnoteAnchor"/>
                <w:i/>
                <w:sz w:val="18"/>
                <w:szCs w:val="18"/>
                <w:lang w:val="it-IT"/>
              </w:rPr>
              <w:footnoteReference w:id="2"/>
            </w:r>
          </w:p>
          <w:p>
            <w:pPr>
              <w:pStyle w:val="Normal"/>
              <w:widowControl w:val="false"/>
              <w:spacing w:lineRule="auto" w:line="240" w:before="0" w:after="0"/>
              <w:ind w:left="1440" w:hanging="0"/>
              <w:jc w:val="left"/>
              <w:rPr>
                <w:sz w:val="18"/>
                <w:szCs w:val="18"/>
              </w:rPr>
            </w:pPr>
            <w:r>
              <w:rPr>
                <w:i/>
                <w:sz w:val="18"/>
                <w:szCs w:val="18"/>
                <w:lang w:val="it-IT"/>
              </w:rPr>
              <w:t>Alessandro Vincenzi</w:t>
            </w:r>
            <w:r>
              <w:rPr>
                <w:i/>
                <w:sz w:val="18"/>
                <w:szCs w:val="18"/>
                <w:vertAlign w:val="superscript"/>
                <w:lang w:val="it-IT"/>
              </w:rPr>
              <w:t>1</w:t>
            </w:r>
            <w:r>
              <w:fldChar w:fldCharType="begin"/>
            </w:r>
            <w:r>
              <w:rPr>
                <w:sz w:val="18"/>
                <w:i/>
                <w:szCs w:val="18"/>
                <w:lang w:val="it-IT"/>
              </w:rPr>
              <w:instrText>NOTEREF _Ref272855554 \h  \* MERGEFORMAT</w:instrText>
            </w:r>
            <w:r>
              <w:rPr>
                <w:i/>
                <w:sz w:val="18"/>
                <w:szCs w:val="18"/>
                <w:lang w:val="it-IT"/>
              </w:rPr>
            </w:r>
            <w:r>
              <w:rPr>
                <w:sz w:val="18"/>
                <w:i/>
                <w:szCs w:val="18"/>
                <w:lang w:val="it-IT"/>
              </w:rPr>
              <w:fldChar w:fldCharType="separate"/>
            </w:r>
            <w:r>
              <w:rPr>
                <w:i/>
                <w:sz w:val="18"/>
                <w:szCs w:val="18"/>
                <w:lang w:val="it-IT"/>
              </w:rPr>
            </w:r>
            <w:bookmarkStart w:id="13" w:name="__Fieldmark__794_3229276388"/>
            <w:bookmarkStart w:id="14" w:name="__Fieldmark__550_1512499319"/>
            <w:r>
              <w:rPr>
                <w:i/>
                <w:sz w:val="18"/>
                <w:szCs w:val="18"/>
                <w:lang w:val="it-IT"/>
              </w:rPr>
            </w:r>
            <w:r>
              <w:rPr>
                <w:sz w:val="18"/>
                <w:i/>
                <w:szCs w:val="18"/>
                <w:lang w:val="it-IT"/>
              </w:rPr>
              <w:fldChar w:fldCharType="end"/>
            </w:r>
            <w:bookmarkStart w:id="15" w:name="__Fieldmark__546_1448524884"/>
            <w:bookmarkStart w:id="16" w:name="__Fieldmark__538_4214130128"/>
            <w:bookmarkStart w:id="17" w:name="__Fieldmark__540_2287972815"/>
            <w:bookmarkStart w:id="18" w:name="__Fieldmark__536_2590191016"/>
            <w:bookmarkStart w:id="19" w:name="__Fieldmark__557_1729638673"/>
            <w:bookmarkStart w:id="20" w:name="__Fieldmark__542_2565834834"/>
            <w:bookmarkStart w:id="21" w:name="__Fieldmark__538_1339933418"/>
            <w:bookmarkStart w:id="22" w:name="__Fieldmark__544_2347309188"/>
            <w:bookmarkStart w:id="23" w:name="__Fieldmark__548_3255371111"/>
            <w:bookmarkEnd w:id="13"/>
            <w:bookmarkEnd w:id="14"/>
            <w:bookmarkEnd w:id="15"/>
            <w:bookmarkEnd w:id="16"/>
            <w:bookmarkEnd w:id="17"/>
            <w:bookmarkEnd w:id="18"/>
            <w:bookmarkEnd w:id="19"/>
            <w:bookmarkEnd w:id="20"/>
            <w:bookmarkEnd w:id="21"/>
            <w:bookmarkEnd w:id="22"/>
            <w:bookmarkEnd w:id="23"/>
          </w:p>
          <w:p>
            <w:pPr>
              <w:pStyle w:val="Normal"/>
              <w:widowControl w:val="false"/>
              <w:spacing w:lineRule="auto" w:line="240" w:before="0" w:after="0"/>
              <w:ind w:left="1440" w:hanging="0"/>
              <w:jc w:val="left"/>
              <w:rPr>
                <w:i/>
                <w:i/>
                <w:sz w:val="18"/>
                <w:szCs w:val="18"/>
                <w:lang w:val="it-IT"/>
              </w:rPr>
            </w:pPr>
            <w:r>
              <w:rPr>
                <w:i/>
                <w:sz w:val="18"/>
                <w:szCs w:val="18"/>
                <w:lang w:val="it-IT"/>
              </w:rPr>
              <w:t>Giseong Bak</w:t>
            </w:r>
            <w:r>
              <w:rPr>
                <w:i/>
                <w:sz w:val="18"/>
                <w:szCs w:val="18"/>
                <w:vertAlign w:val="superscript"/>
                <w:lang w:val="it-IT"/>
              </w:rPr>
              <w:t>1</w:t>
            </w:r>
          </w:p>
          <w:p>
            <w:pPr>
              <w:pStyle w:val="Normal"/>
              <w:widowControl w:val="false"/>
              <w:spacing w:lineRule="auto" w:line="240" w:before="0" w:after="0"/>
              <w:ind w:left="1440" w:hanging="0"/>
              <w:jc w:val="left"/>
              <w:rPr>
                <w:sz w:val="18"/>
                <w:szCs w:val="18"/>
              </w:rPr>
            </w:pPr>
            <w:r>
              <w:rPr>
                <w:i/>
                <w:sz w:val="18"/>
                <w:szCs w:val="18"/>
                <w:lang w:val="it-IT"/>
              </w:rPr>
              <w:t>Martino Ruggiero</w:t>
            </w:r>
            <w:r>
              <w:rPr>
                <w:i/>
                <w:sz w:val="18"/>
                <w:szCs w:val="18"/>
                <w:vertAlign w:val="superscript"/>
                <w:lang w:val="it-IT"/>
              </w:rPr>
              <w:t>1</w:t>
            </w:r>
            <w:r>
              <w:fldChar w:fldCharType="begin"/>
            </w:r>
            <w:r>
              <w:rPr>
                <w:sz w:val="18"/>
                <w:i/>
                <w:szCs w:val="18"/>
                <w:lang w:val="it-IT"/>
              </w:rPr>
              <w:instrText>NOTEREF _Ref272855554 \h  \* MERGEFORMAT</w:instrText>
            </w:r>
            <w:r>
              <w:rPr>
                <w:i/>
                <w:sz w:val="18"/>
                <w:szCs w:val="18"/>
                <w:lang w:val="it-IT"/>
              </w:rPr>
            </w:r>
            <w:r>
              <w:rPr>
                <w:sz w:val="18"/>
                <w:i/>
                <w:szCs w:val="18"/>
                <w:lang w:val="it-IT"/>
              </w:rPr>
              <w:fldChar w:fldCharType="separate"/>
            </w:r>
            <w:r>
              <w:rPr>
                <w:i/>
                <w:sz w:val="18"/>
                <w:szCs w:val="18"/>
                <w:lang w:val="it-IT"/>
              </w:rPr>
            </w:r>
            <w:bookmarkStart w:id="24" w:name="__Fieldmark__830_3229276388"/>
            <w:bookmarkStart w:id="25" w:name="__Fieldmark__583_1512499319"/>
            <w:r>
              <w:rPr>
                <w:i/>
                <w:sz w:val="18"/>
                <w:szCs w:val="18"/>
                <w:lang w:val="it-IT"/>
              </w:rPr>
            </w:r>
            <w:r>
              <w:rPr>
                <w:sz w:val="18"/>
                <w:i/>
                <w:szCs w:val="18"/>
                <w:lang w:val="it-IT"/>
              </w:rPr>
              <w:fldChar w:fldCharType="end"/>
            </w:r>
            <w:bookmarkStart w:id="26" w:name="__Fieldmark__568_2347309188"/>
            <w:bookmarkStart w:id="27" w:name="__Fieldmark__548_2590191016"/>
            <w:bookmarkStart w:id="28" w:name="__Fieldmark__565_1729638673"/>
            <w:bookmarkStart w:id="29" w:name="__Fieldmark__553_4214130128"/>
            <w:bookmarkStart w:id="30" w:name="__Fieldmark__563_2565834834"/>
            <w:bookmarkStart w:id="31" w:name="__Fieldmark__573_1448524884"/>
            <w:bookmarkStart w:id="32" w:name="__Fieldmark__558_2287972815"/>
            <w:bookmarkStart w:id="33" w:name="__Fieldmark__548_1339933418"/>
            <w:bookmarkStart w:id="34" w:name="__Fieldmark__578_3255371111"/>
            <w:bookmarkEnd w:id="24"/>
            <w:bookmarkEnd w:id="25"/>
            <w:bookmarkEnd w:id="26"/>
            <w:bookmarkEnd w:id="27"/>
            <w:bookmarkEnd w:id="28"/>
            <w:bookmarkEnd w:id="29"/>
            <w:bookmarkEnd w:id="30"/>
            <w:bookmarkEnd w:id="31"/>
            <w:bookmarkEnd w:id="32"/>
            <w:bookmarkEnd w:id="33"/>
            <w:bookmarkEnd w:id="34"/>
          </w:p>
          <w:p>
            <w:pPr>
              <w:pStyle w:val="Normal"/>
              <w:widowControl w:val="false"/>
              <w:spacing w:lineRule="auto" w:line="240" w:before="0" w:after="0"/>
              <w:ind w:left="1440" w:hanging="0"/>
              <w:jc w:val="left"/>
              <w:rPr>
                <w:i/>
                <w:i/>
                <w:sz w:val="18"/>
                <w:szCs w:val="18"/>
                <w:lang w:val="it-IT"/>
              </w:rPr>
            </w:pPr>
            <w:r>
              <w:rPr>
                <w:i/>
                <w:sz w:val="18"/>
                <w:szCs w:val="18"/>
                <w:lang w:val="it-IT"/>
              </w:rPr>
              <w:t>Thomas Brunschwiler</w:t>
            </w:r>
            <w:r>
              <w:rPr>
                <w:rStyle w:val="FootnoteAnchor"/>
                <w:i/>
                <w:sz w:val="18"/>
                <w:szCs w:val="18"/>
                <w:lang w:val="it-IT"/>
              </w:rPr>
              <w:footnoteReference w:id="3"/>
            </w:r>
          </w:p>
          <w:p>
            <w:pPr>
              <w:pStyle w:val="Normal"/>
              <w:widowControl w:val="false"/>
              <w:spacing w:lineRule="auto" w:line="240" w:before="0" w:after="0"/>
              <w:ind w:left="1440" w:hanging="0"/>
              <w:jc w:val="left"/>
              <w:rPr>
                <w:i/>
                <w:i/>
                <w:sz w:val="18"/>
                <w:szCs w:val="18"/>
                <w:lang w:val="it-IT"/>
              </w:rPr>
            </w:pPr>
            <w:r>
              <w:rPr>
                <w:i/>
                <w:sz w:val="18"/>
                <w:szCs w:val="18"/>
                <w:lang w:val="it-IT"/>
              </w:rPr>
              <w:t>Matthias Jung</w:t>
            </w:r>
            <w:bookmarkStart w:id="35" w:name="__DdeLink__4130_1729638673"/>
            <w:bookmarkEnd w:id="35"/>
            <w:r>
              <w:rPr>
                <w:rStyle w:val="FootnoteAnchor"/>
                <w:i/>
                <w:sz w:val="18"/>
                <w:szCs w:val="18"/>
                <w:lang w:val="it-IT"/>
              </w:rPr>
              <w:footnoteReference w:id="4"/>
            </w:r>
          </w:p>
          <w:p>
            <w:pPr>
              <w:pStyle w:val="Normal"/>
              <w:widowControl w:val="false"/>
              <w:spacing w:lineRule="auto" w:line="240" w:before="0" w:after="0"/>
              <w:ind w:left="1440" w:hanging="0"/>
              <w:jc w:val="left"/>
              <w:rPr>
                <w:sz w:val="18"/>
                <w:szCs w:val="18"/>
              </w:rPr>
            </w:pPr>
            <w:r>
              <w:rPr>
                <w:i/>
                <w:sz w:val="18"/>
                <w:szCs w:val="18"/>
                <w:lang w:val="it-IT"/>
              </w:rPr>
              <w:t>Éder Zulian</w:t>
            </w:r>
            <w:r>
              <w:rPr>
                <w:rFonts w:eastAsia="Cambria" w:cs="Cambria" w:ascii="Cambria" w:hAnsi="Cambria"/>
                <w:i/>
                <w:sz w:val="18"/>
                <w:szCs w:val="18"/>
                <w:vertAlign w:val="superscript"/>
                <w:lang w:val="de-DE"/>
              </w:rPr>
              <w:t>3</w:t>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Federico Terraneo</w:t>
            </w:r>
            <w:r>
              <w:rPr>
                <w:rStyle w:val="FootnoteAnchor"/>
                <w:rFonts w:eastAsia="Cambria" w:cs="Cambria"/>
                <w:i/>
                <w:position w:val="0"/>
                <w:sz w:val="18"/>
                <w:sz w:val="18"/>
                <w:szCs w:val="18"/>
                <w:vertAlign w:val="baseline"/>
                <w:lang w:val="de-DE"/>
              </w:rPr>
              <w:footnoteReference w:id="5"/>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Darong Huang</w:t>
            </w:r>
            <w:r>
              <w:rPr>
                <w:rFonts w:eastAsia="Cambria" w:cs="Cambria"/>
                <w:i/>
                <w:sz w:val="18"/>
                <w:szCs w:val="18"/>
                <w:vertAlign w:val="superscript"/>
                <w:lang w:val="it-IT"/>
              </w:rPr>
              <w:t>1</w:t>
            </w:r>
          </w:p>
          <w:p>
            <w:pPr>
              <w:pStyle w:val="Normal"/>
              <w:widowControl w:val="false"/>
              <w:spacing w:lineRule="auto" w:line="240" w:before="0" w:after="0"/>
              <w:ind w:left="1440" w:hanging="0"/>
              <w:jc w:val="left"/>
              <w:rPr>
                <w:sz w:val="18"/>
                <w:szCs w:val="18"/>
              </w:rPr>
            </w:pPr>
            <w:r>
              <w:rPr>
                <w:rFonts w:eastAsia="Cambria" w:cs="Cambria"/>
                <w:i/>
                <w:position w:val="0"/>
                <w:sz w:val="18"/>
                <w:sz w:val="18"/>
                <w:szCs w:val="18"/>
                <w:vertAlign w:val="baseline"/>
                <w:lang w:val="de-DE"/>
              </w:rPr>
              <w:t>Luis Costero</w:t>
            </w:r>
            <w:r>
              <w:rPr>
                <w:rFonts w:eastAsia="Cambria" w:cs="Cambria"/>
                <w:i/>
                <w:sz w:val="18"/>
                <w:szCs w:val="18"/>
                <w:vertAlign w:val="superscript"/>
                <w:lang w:val="it-IT"/>
              </w:rPr>
              <w:t>1</w:t>
            </w:r>
          </w:p>
          <w:p>
            <w:pPr>
              <w:pStyle w:val="Normal"/>
              <w:widowControl w:val="false"/>
              <w:spacing w:lineRule="auto" w:line="240" w:before="0" w:after="0"/>
              <w:ind w:left="1440" w:hanging="0"/>
              <w:jc w:val="left"/>
              <w:rPr/>
            </w:pPr>
            <w:r>
              <w:rPr>
                <w:rFonts w:eastAsia="Cambria" w:cs="Cambria"/>
                <w:i/>
                <w:position w:val="0"/>
                <w:sz w:val="18"/>
                <w:sz w:val="18"/>
                <w:szCs w:val="18"/>
                <w:vertAlign w:val="baseline"/>
                <w:lang w:val="it-IT"/>
              </w:rPr>
              <w:t>Marina Zapater</w:t>
            </w:r>
            <w:r>
              <w:rPr>
                <w:rFonts w:eastAsia="Cambria" w:cs="Cambria"/>
                <w:i/>
                <w:sz w:val="18"/>
                <w:szCs w:val="18"/>
                <w:vertAlign w:val="superscript"/>
                <w:lang w:val="it-IT"/>
              </w:rPr>
              <w:t>1</w:t>
            </w:r>
            <w:r>
              <w:rPr>
                <w:rFonts w:eastAsia="Cambria" w:cs="Cambria" w:ascii="Cambria" w:hAnsi="Cambria"/>
                <w:i/>
                <w:sz w:val="24"/>
                <w:szCs w:val="32"/>
                <w:vertAlign w:val="superscript"/>
                <w:lang w:val="de-DE"/>
              </w:rPr>
              <w:br/>
            </w:r>
            <w:r>
              <w:rPr>
                <w:i/>
                <w:sz w:val="18"/>
                <w:szCs w:val="18"/>
                <w:lang w:val="it-IT"/>
              </w:rPr>
              <w:t>David Atienza</w:t>
            </w:r>
            <w:r>
              <w:rPr>
                <w:i/>
                <w:sz w:val="18"/>
                <w:szCs w:val="18"/>
                <w:vertAlign w:val="superscript"/>
                <w:lang w:val="it-IT"/>
              </w:rPr>
              <w:t>1</w:t>
            </w:r>
            <w:r>
              <w:fldChar w:fldCharType="begin"/>
            </w:r>
            <w:r>
              <w:rPr>
                <w:sz w:val="20"/>
                <w:i/>
                <w:szCs w:val="18"/>
                <w:lang w:val="it-IT"/>
              </w:rPr>
              <w:instrText>NOTEREF _Ref272855554 \h  \* MERGEFORMAT</w:instrText>
            </w:r>
            <w:r>
              <w:rPr>
                <w:i/>
                <w:sz w:val="20"/>
                <w:szCs w:val="18"/>
                <w:lang w:val="it-IT"/>
              </w:rPr>
            </w:r>
            <w:r>
              <w:rPr>
                <w:sz w:val="20"/>
                <w:i/>
                <w:szCs w:val="18"/>
                <w:lang w:val="it-IT"/>
              </w:rPr>
              <w:fldChar w:fldCharType="separate"/>
            </w:r>
            <w:r>
              <w:rPr>
                <w:i/>
                <w:sz w:val="20"/>
                <w:szCs w:val="18"/>
                <w:lang w:val="it-IT"/>
              </w:rPr>
            </w:r>
            <w:bookmarkStart w:id="36" w:name="__Fieldmark__588_1729638673"/>
            <w:bookmarkStart w:id="37" w:name="__Fieldmark__678_3255371111"/>
            <w:bookmarkStart w:id="38" w:name="__Fieldmark__600_2590191016"/>
            <w:bookmarkStart w:id="39" w:name="__Fieldmark__692_1512499319"/>
            <w:bookmarkStart w:id="40" w:name="__Fieldmark__636_2565834834"/>
            <w:bookmarkStart w:id="41" w:name="__Fieldmark__599_1339933418"/>
            <w:bookmarkStart w:id="42" w:name="__Fieldmark__608_4214130128"/>
            <w:bookmarkStart w:id="43" w:name="__Fieldmark__650_2347309188"/>
            <w:bookmarkStart w:id="44" w:name="__Fieldmark__664_1448524884"/>
            <w:bookmarkStart w:id="45" w:name="__Fieldmark__622_2287972815"/>
            <w:bookmarkStart w:id="46" w:name="__Fieldmark__900_3229276388"/>
            <w:r>
              <w:rPr>
                <w:i/>
                <w:sz w:val="20"/>
                <w:szCs w:val="18"/>
                <w:lang w:val="it-IT"/>
              </w:rPr>
            </w:r>
            <w:r>
              <w:rPr>
                <w:sz w:val="20"/>
                <w:i/>
                <w:szCs w:val="18"/>
                <w:lang w:val="it-IT"/>
              </w:rPr>
              <w:fldChar w:fldCharType="end"/>
            </w:r>
            <w:bookmarkEnd w:id="36"/>
            <w:bookmarkEnd w:id="37"/>
            <w:bookmarkEnd w:id="38"/>
            <w:bookmarkEnd w:id="39"/>
            <w:bookmarkEnd w:id="40"/>
            <w:bookmarkEnd w:id="41"/>
            <w:bookmarkEnd w:id="42"/>
            <w:bookmarkEnd w:id="43"/>
            <w:bookmarkEnd w:id="44"/>
            <w:bookmarkEnd w:id="45"/>
            <w:bookmarkEnd w:id="46"/>
          </w:p>
        </w:tc>
        <w:tc>
          <w:tcPr>
            <w:tcW w:w="4788" w:type="dxa"/>
            <w:gridSpan w:val="2"/>
            <w:tcBorders>
              <w:top w:val="nil"/>
              <w:left w:val="nil"/>
              <w:bottom w:val="nil"/>
              <w:right w:val="nil"/>
            </w:tcBorders>
            <w:shd w:fill="auto" w:val="clear"/>
          </w:tcPr>
          <w:p>
            <w:pPr>
              <w:pStyle w:val="Normal"/>
              <w:widowControl w:val="false"/>
              <w:spacing w:lineRule="auto" w:line="240" w:before="0" w:after="0"/>
              <w:jc w:val="left"/>
              <w:rPr>
                <w:lang w:val="it-IT"/>
              </w:rPr>
            </w:pPr>
            <w:r>
              <w:rPr>
                <w:sz w:val="20"/>
                <w:lang w:val="it-IT"/>
              </w:rPr>
              <w:drawing>
                <wp:anchor behindDoc="0" distT="0" distB="0" distL="0" distR="0" simplePos="0" locked="0" layoutInCell="1" allowOverlap="1" relativeHeight="30">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widowControl w:val="false"/>
              <w:spacing w:lineRule="auto" w:line="240" w:before="0" w:after="0"/>
              <w:jc w:val="left"/>
              <w:rPr>
                <w:lang w:val="it-IT"/>
              </w:rPr>
            </w:pPr>
            <w:r>
              <w:rPr>
                <w:sz w:val="20"/>
                <w:lang w:val="it-IT"/>
              </w:rPr>
              <w:drawing>
                <wp:anchor behindDoc="0" distT="0" distB="0" distL="0" distR="0" simplePos="0" locked="0" layoutInCell="1" allowOverlap="1" relativeHeight="48">
                  <wp:simplePos x="0" y="0"/>
                  <wp:positionH relativeFrom="column">
                    <wp:posOffset>1124585</wp:posOffset>
                  </wp:positionH>
                  <wp:positionV relativeFrom="paragraph">
                    <wp:posOffset>1118235</wp:posOffset>
                  </wp:positionV>
                  <wp:extent cx="1279525" cy="248920"/>
                  <wp:effectExtent l="0" t="0" r="0" b="0"/>
                  <wp:wrapNone/>
                  <wp:docPr id="5"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8" descr=""/>
                          <pic:cNvPicPr>
                            <a:picLocks noChangeAspect="1" noChangeArrowheads="1"/>
                          </pic:cNvPicPr>
                        </pic:nvPicPr>
                        <pic:blipFill>
                          <a:blip r:embed="rId5"/>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tcBorders>
            <w:shd w:fill="auto" w:val="clear"/>
          </w:tcPr>
          <w:p>
            <w:pPr>
              <w:pStyle w:val="Normal"/>
              <w:widowControl w:val="false"/>
              <w:spacing w:lineRule="auto" w:line="240" w:before="0" w:after="0"/>
              <w:jc w:val="left"/>
              <w:rPr>
                <w:b/>
                <w:b/>
                <w:lang w:val="it-IT"/>
              </w:rPr>
            </w:pPr>
            <w:r>
              <w:rPr>
                <w:b/>
                <w:sz w:val="20"/>
                <w:lang w:val="it-IT"/>
              </w:rPr>
            </w:r>
          </w:p>
          <w:p>
            <w:pPr>
              <w:pStyle w:val="Normal"/>
              <w:widowControl w:val="false"/>
              <w:spacing w:lineRule="auto" w:line="240" w:before="0" w:after="0"/>
              <w:jc w:val="left"/>
              <w:rPr>
                <w:b/>
                <w:b/>
              </w:rPr>
            </w:pPr>
            <w:r>
              <w:rPr>
                <w:b/>
                <w:sz w:val="20"/>
              </w:rPr>
              <w:t>Contact Information:</w:t>
            </w:r>
          </w:p>
          <w:p>
            <w:pPr>
              <w:pStyle w:val="Normal"/>
              <w:widowControl w:val="false"/>
              <w:spacing w:lineRule="auto" w:line="240" w:before="0" w:after="0"/>
              <w:ind w:left="1440" w:hanging="0"/>
              <w:jc w:val="left"/>
              <w:rPr>
                <w:sz w:val="20"/>
              </w:rPr>
            </w:pPr>
            <w:r>
              <w:rPr>
                <w:sz w:val="20"/>
              </w:rPr>
              <w:t>EPFL-STI-IEL-ESL</w:t>
            </w:r>
          </w:p>
          <w:p>
            <w:pPr>
              <w:pStyle w:val="Normal"/>
              <w:widowControl w:val="false"/>
              <w:spacing w:lineRule="auto" w:line="240" w:before="0" w:after="0"/>
              <w:ind w:left="1440" w:hanging="0"/>
              <w:jc w:val="left"/>
              <w:rPr>
                <w:sz w:val="20"/>
              </w:rPr>
            </w:pPr>
            <w:r>
              <w:rPr>
                <w:sz w:val="20"/>
              </w:rPr>
              <w:t>Bâtiment ELG, ELG 130</w:t>
            </w:r>
          </w:p>
          <w:p>
            <w:pPr>
              <w:pStyle w:val="Normal"/>
              <w:widowControl w:val="false"/>
              <w:spacing w:lineRule="auto" w:line="240" w:before="0" w:after="0"/>
              <w:ind w:left="1440" w:hanging="0"/>
              <w:jc w:val="left"/>
              <w:rPr>
                <w:sz w:val="20"/>
              </w:rPr>
            </w:pPr>
            <w:r>
              <w:rPr>
                <w:sz w:val="20"/>
              </w:rPr>
              <w:t>Station 11</w:t>
            </w:r>
          </w:p>
          <w:p>
            <w:pPr>
              <w:pStyle w:val="Normal"/>
              <w:widowControl w:val="false"/>
              <w:spacing w:lineRule="auto" w:line="240" w:before="0" w:after="0"/>
              <w:ind w:left="1440" w:hanging="0"/>
              <w:jc w:val="left"/>
              <w:rPr>
                <w:b/>
                <w:b/>
              </w:rPr>
            </w:pPr>
            <w:r>
              <w:rPr>
                <w:sz w:val="20"/>
              </w:rPr>
              <w:t>1015 Lausanne, Switzerland</w:t>
            </w:r>
          </w:p>
        </w:tc>
        <w:tc>
          <w:tcPr>
            <w:tcW w:w="1835" w:type="dxa"/>
            <w:tcBorders>
              <w:top w:val="nil"/>
              <w:left w:val="nil"/>
              <w:bottom w:val="nil"/>
              <w:right w:val="nil"/>
            </w:tcBorders>
            <w:shd w:fill="auto" w:val="clear"/>
            <w:vAlign w:val="bottom"/>
          </w:tcPr>
          <w:p>
            <w:pPr>
              <w:pStyle w:val="Normal"/>
              <w:widowControl w:val="false"/>
              <w:spacing w:lineRule="auto" w:line="240" w:before="0" w:after="0"/>
              <w:jc w:val="right"/>
              <w:rPr>
                <w:b/>
                <w:b/>
              </w:rPr>
            </w:pPr>
            <w:r>
              <w:rPr>
                <w:b/>
                <w:sz w:val="20"/>
              </w:rPr>
              <w:t>Email:</w:t>
            </w:r>
          </w:p>
          <w:p>
            <w:pPr>
              <w:pStyle w:val="Normal"/>
              <w:widowControl w:val="false"/>
              <w:spacing w:lineRule="auto" w:line="240" w:before="0" w:after="0"/>
              <w:jc w:val="right"/>
              <w:rPr>
                <w:b/>
                <w:b/>
              </w:rPr>
            </w:pPr>
            <w:r>
              <w:rPr>
                <w:b/>
                <w:sz w:val="20"/>
              </w:rPr>
            </w:r>
          </w:p>
          <w:p>
            <w:pPr>
              <w:pStyle w:val="Normal"/>
              <w:widowControl w:val="false"/>
              <w:spacing w:lineRule="auto" w:line="240" w:before="0" w:after="0"/>
              <w:jc w:val="right"/>
              <w:rPr>
                <w:sz w:val="20"/>
              </w:rPr>
            </w:pPr>
            <w:r>
              <w:rPr>
                <w:b/>
                <w:sz w:val="20"/>
              </w:rPr>
              <w:t>URL:</w:t>
            </w:r>
          </w:p>
        </w:tc>
        <w:tc>
          <w:tcPr>
            <w:tcW w:w="2953" w:type="dxa"/>
            <w:tcBorders>
              <w:top w:val="nil"/>
              <w:left w:val="nil"/>
              <w:bottom w:val="nil"/>
              <w:right w:val="nil"/>
            </w:tcBorders>
            <w:shd w:fill="auto" w:val="clear"/>
            <w:vAlign w:val="bottom"/>
          </w:tcPr>
          <w:p>
            <w:pPr>
              <w:pStyle w:val="Normal"/>
              <w:widowControl w:val="false"/>
              <w:spacing w:lineRule="auto" w:line="240" w:before="0" w:after="0"/>
              <w:jc w:val="left"/>
              <w:rPr/>
            </w:pPr>
            <w:hyperlink r:id="rId6">
              <w:r>
                <w:rPr>
                  <w:rStyle w:val="InternetLink"/>
                  <w:vanish/>
                  <w:sz w:val="20"/>
                </w:rPr>
                <w:t>3d-ice@listes.epfl.ch</w:t>
              </w:r>
            </w:hyperlink>
          </w:p>
          <w:p>
            <w:pPr>
              <w:pStyle w:val="Normal"/>
              <w:widowControl w:val="false"/>
              <w:spacing w:lineRule="auto" w:line="240" w:before="0" w:after="0"/>
              <w:jc w:val="left"/>
              <w:rPr>
                <w:sz w:val="20"/>
              </w:rPr>
            </w:pPr>
            <w:r>
              <w:rPr>
                <w:rStyle w:val="InternetLink"/>
                <w:color w:val="00000A"/>
                <w:sz w:val="20"/>
                <w:u w:val="none"/>
              </w:rPr>
              <w:t>3d-ice@listes.epfl.ch</w:t>
            </w:r>
          </w:p>
          <w:p>
            <w:pPr>
              <w:pStyle w:val="Normal"/>
              <w:widowControl w:val="false"/>
              <w:spacing w:lineRule="auto" w:line="240" w:before="0" w:after="0"/>
              <w:jc w:val="left"/>
              <w:rPr>
                <w:sz w:val="20"/>
              </w:rPr>
            </w:pPr>
            <w:r>
              <w:rPr>
                <w:color w:val="00000A"/>
                <w:sz w:val="20"/>
                <w:u w:val="none"/>
              </w:rPr>
              <w:t>(SUBSCRIPTION NECESSARY!)</w:t>
            </w:r>
          </w:p>
          <w:p>
            <w:pPr>
              <w:pStyle w:val="Normal"/>
              <w:widowControl w:val="false"/>
              <w:spacing w:lineRule="auto" w:line="240" w:before="0" w:after="0"/>
              <w:jc w:val="left"/>
              <w:rPr>
                <w:sz w:val="20"/>
              </w:rPr>
            </w:pPr>
            <w:r>
              <w:rPr>
                <w:color w:val="00000A"/>
                <w:sz w:val="20"/>
                <w:u w:val="none"/>
              </w:rPr>
              <w:t>http://esl.epfl.ch/3d-ice</w:t>
            </w:r>
          </w:p>
          <w:p>
            <w:pPr>
              <w:pStyle w:val="Normal"/>
              <w:widowControl w:val="false"/>
              <w:spacing w:lineRule="auto" w:line="240" w:before="0" w:after="0"/>
              <w:jc w:val="left"/>
              <w:rPr/>
            </w:pPr>
            <w:hyperlink r:id="rId7">
              <w:r>
                <w:rPr>
                  <w:rStyle w:val="InternetLink"/>
                  <w:vanish/>
                  <w:sz w:val="20"/>
                </w:rPr>
                <w:t>http://esl.epfl.ch/3d-ice.html</w:t>
              </w:r>
            </w:hyperlink>
          </w:p>
        </w:tc>
      </w:tr>
      <w:tr>
        <w:trPr>
          <w:trHeight w:val="70" w:hRule="atLeast"/>
        </w:trPr>
        <w:tc>
          <w:tcPr>
            <w:tcW w:w="4788" w:type="dxa"/>
            <w:tcBorders>
              <w:top w:val="nil"/>
              <w:left w:val="nil"/>
              <w:bottom w:val="nil"/>
              <w:right w:val="nil"/>
            </w:tcBorders>
            <w:shd w:fill="auto" w:val="clear"/>
          </w:tcPr>
          <w:p>
            <w:pPr>
              <w:pStyle w:val="Normal"/>
              <w:widowControl w:val="false"/>
              <w:spacing w:lineRule="auto" w:line="240" w:before="0" w:after="0"/>
              <w:jc w:val="left"/>
              <w:rPr>
                <w:b/>
                <w:b/>
              </w:rPr>
            </w:pPr>
            <w:r>
              <w:rPr>
                <w:b/>
                <w:sz w:val="20"/>
              </w:rPr>
            </w:r>
          </w:p>
        </w:tc>
        <w:tc>
          <w:tcPr>
            <w:tcW w:w="1835" w:type="dxa"/>
            <w:tcBorders>
              <w:top w:val="nil"/>
              <w:left w:val="nil"/>
              <w:bottom w:val="nil"/>
              <w:right w:val="nil"/>
            </w:tcBorders>
            <w:shd w:fill="auto" w:val="clear"/>
            <w:vAlign w:val="bottom"/>
          </w:tcPr>
          <w:p>
            <w:pPr>
              <w:pStyle w:val="Normal"/>
              <w:widowControl w:val="false"/>
              <w:spacing w:lineRule="auto" w:line="240" w:before="0" w:after="0"/>
              <w:jc w:val="right"/>
              <w:rPr>
                <w:b/>
                <w:b/>
              </w:rPr>
            </w:pPr>
            <w:r>
              <w:rPr>
                <w:b/>
                <w:sz w:val="20"/>
              </w:rPr>
            </w:r>
          </w:p>
        </w:tc>
        <w:tc>
          <w:tcPr>
            <w:tcW w:w="2953" w:type="dxa"/>
            <w:tcBorders>
              <w:top w:val="nil"/>
              <w:left w:val="nil"/>
              <w:bottom w:val="nil"/>
              <w:right w:val="nil"/>
            </w:tcBorders>
            <w:shd w:fill="auto" w:val="clear"/>
            <w:vAlign w:val="bottom"/>
          </w:tcPr>
          <w:p>
            <w:pPr>
              <w:pStyle w:val="Normal"/>
              <w:widowControl w:val="false"/>
              <w:spacing w:lineRule="auto" w:line="240" w:before="0" w:after="0"/>
              <w:jc w:val="left"/>
              <w:rPr>
                <w:sz w:val="20"/>
              </w:rPr>
            </w:pPr>
            <w:r>
              <w:rPr>
                <w:sz w:val="20"/>
              </w:rPr>
            </w:r>
          </w:p>
        </w:tc>
      </w:tr>
      <w:tr>
        <w:trPr/>
        <w:tc>
          <w:tcPr>
            <w:tcW w:w="9576" w:type="dxa"/>
            <w:gridSpan w:val="3"/>
            <w:tcBorders>
              <w:top w:val="nil"/>
              <w:left w:val="nil"/>
              <w:bottom w:val="nil"/>
              <w:right w:val="nil"/>
            </w:tcBorders>
            <w:shd w:fill="auto" w:val="clear"/>
          </w:tcPr>
          <w:p>
            <w:pPr>
              <w:pStyle w:val="Normal"/>
              <w:widowControl w:val="false"/>
              <w:spacing w:lineRule="auto" w:line="240" w:before="0" w:after="0"/>
              <w:jc w:val="both"/>
              <w:rPr>
                <w:sz w:val="18"/>
              </w:rPr>
            </w:pPr>
            <w:r>
              <w:rPr>
                <w:sz w:val="18"/>
              </w:rPr>
              <w:t>This research has been partially funded by the EC H2020 RECIPE project (GA No. 801137), and the ERC Consolidator Grant COMPUSAPIEN (GA No. 725657), and by the EC EUROLAB-4-HPC CSA Grant (GA No. 800962) through a Short Term Collaboration Project  for Dr. Federico Terraneo with EPFL.</w:t>
            </w:r>
          </w:p>
          <w:p>
            <w:pPr>
              <w:pStyle w:val="Normal"/>
              <w:widowControl w:val="false"/>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bookmarkStart w:id="47" w:name="__DdeLink__3506_3229276388"/>
            <w:bookmarkEnd w:id="47"/>
          </w:p>
          <w:p>
            <w:pPr>
              <w:pStyle w:val="Normal"/>
              <w:widowControl w:val="false"/>
              <w:spacing w:lineRule="auto" w:line="240" w:before="0" w:after="0"/>
              <w:jc w:val="both"/>
              <w:rPr>
                <w:sz w:val="20"/>
              </w:rPr>
            </w:pPr>
            <w:r>
              <w:rPr>
                <w:sz w:val="20"/>
              </w:rPr>
            </w:r>
          </w:p>
        </w:tc>
      </w:tr>
    </w:tbl>
    <w:p>
      <w:pPr>
        <w:pStyle w:val="Heading1"/>
        <w:numPr>
          <w:ilvl w:val="0"/>
          <w:numId w:val="2"/>
        </w:numPr>
        <w:jc w:val="both"/>
        <w:rPr/>
      </w:pPr>
      <w:bookmarkStart w:id="48" w:name="__RefHeading___Toc2933_2393532176"/>
      <w:bookmarkEnd w:id="48"/>
      <w:r>
        <w:rPr/>
        <w:t>What is new in 3.x?</w:t>
      </w:r>
    </w:p>
    <w:p>
      <w:pPr>
        <w:pStyle w:val="Normal"/>
        <w:widowControl/>
        <w:suppressAutoHyphens w:val="true"/>
        <w:bidi w:val="0"/>
        <w:spacing w:lineRule="auto" w:line="276" w:before="0" w:after="200"/>
        <w:ind w:left="360" w:right="0" w:hanging="360"/>
        <w:jc w:val="left"/>
        <w:rPr/>
      </w:pPr>
      <w:r>
        <w:rPr/>
        <w:t>3D-ICE 3.x features several new additions:</w:t>
      </w:r>
    </w:p>
    <w:p>
      <w:pPr>
        <w:pStyle w:val="ListParagraph"/>
        <w:numPr>
          <w:ilvl w:val="0"/>
          <w:numId w:val="19"/>
        </w:numPr>
        <w:jc w:val="both"/>
        <w:rPr/>
      </w:pPr>
      <w:r>
        <w:rPr/>
        <w:t>Supported non-uniform discretization for floorplan elements. Floorplan elements can have different cell sizes in thermal modeling and simulation.</w:t>
      </w:r>
    </w:p>
    <w:p>
      <w:pPr>
        <w:pStyle w:val="ListParagraph"/>
        <w:numPr>
          <w:ilvl w:val="0"/>
          <w:numId w:val="19"/>
        </w:numPr>
        <w:jc w:val="both"/>
        <w:rPr/>
      </w:pPr>
      <w:r>
        <w:rPr/>
        <w:t>Non-uniform discretization for layers is also supported.</w:t>
      </w:r>
    </w:p>
    <w:p>
      <w:pPr>
        <w:pStyle w:val="ListParagraph"/>
        <w:numPr>
          <w:ilvl w:val="0"/>
          <w:numId w:val="19"/>
        </w:numPr>
        <w:jc w:val="both"/>
        <w:rPr/>
      </w:pPr>
      <w:r>
        <w:rPr/>
        <w:t>Supported non-uniform discretization in both steady and transient simulation, and it is compatible with all other functions in the uniform mode.</w:t>
      </w:r>
    </w:p>
    <w:p>
      <w:pPr>
        <w:pStyle w:val="ListParagraph"/>
        <w:numPr>
          <w:ilvl w:val="0"/>
          <w:numId w:val="19"/>
        </w:numPr>
        <w:jc w:val="both"/>
        <w:rPr/>
      </w:pPr>
      <w:r>
        <w:rPr/>
        <w:t>Added models of two COTS heat sinks, the HS483 air sink and the cuplex kryos 21606 water block.</w:t>
      </w:r>
    </w:p>
    <w:p>
      <w:pPr>
        <w:pStyle w:val="ListParagraph"/>
        <w:numPr>
          <w:ilvl w:val="0"/>
          <w:numId w:val="19"/>
        </w:numPr>
        <w:jc w:val="both"/>
        <w:rPr/>
      </w:pPr>
      <w:r>
        <w:rPr/>
        <w:t>Added Modelica libraries for heat sink modeling to produce FMIs for co-simulation.</w:t>
      </w:r>
    </w:p>
    <w:p>
      <w:pPr>
        <w:pStyle w:val="ListParagraph"/>
        <w:numPr>
          <w:ilvl w:val="0"/>
          <w:numId w:val="19"/>
        </w:numPr>
        <w:jc w:val="both"/>
        <w:rPr/>
      </w:pPr>
      <w:r>
        <w:rPr/>
        <w:t>Added grid pitch mapping to FMI interface to allow simulation of heat sinks using a coarser grid.</w:t>
      </w:r>
    </w:p>
    <w:p>
      <w:pPr>
        <w:pStyle w:val="ListParagraph"/>
        <w:numPr>
          <w:ilvl w:val="0"/>
          <w:numId w:val="19"/>
        </w:numPr>
        <w:jc w:val="both"/>
        <w:rPr/>
      </w:pPr>
      <w:r>
        <w:rPr/>
        <w:t>Made wrappers for FMI, C++ and Python for the co-simulation interface for pluggable heat sinks.</w:t>
      </w:r>
    </w:p>
    <w:p>
      <w:pPr>
        <w:pStyle w:val="ListParagraph"/>
        <w:numPr>
          <w:ilvl w:val="0"/>
          <w:numId w:val="19"/>
        </w:numPr>
        <w:jc w:val="both"/>
        <w:rPr/>
      </w:pPr>
      <w:r>
        <w:rPr/>
        <w:t>Added a pluggable heat sink C interface that makes it possible to extend 3D-ICE with third party heat sink models.</w:t>
      </w:r>
    </w:p>
    <w:p>
      <w:pPr>
        <w:pStyle w:val="ListParagraph"/>
        <w:numPr>
          <w:ilvl w:val="0"/>
          <w:numId w:val="19"/>
        </w:numPr>
        <w:jc w:val="both"/>
        <w:rPr/>
      </w:pPr>
      <w:r>
        <w:rPr/>
        <w:t>Added co-simulation support with a separate thermal model for the heat sink.</w:t>
      </w:r>
    </w:p>
    <w:p>
      <w:pPr>
        <w:pStyle w:val="ListParagraph"/>
        <w:numPr>
          <w:ilvl w:val="0"/>
          <w:numId w:val="19"/>
        </w:numPr>
        <w:jc w:val="both"/>
        <w:rPr/>
      </w:pPr>
      <w:r>
        <w:rPr/>
        <w:t>Made it possible for the last layer of the 3D-ICE stack to have a different size than the other layers, to support heat spreader modeling and passive air convection packages.</w:t>
      </w:r>
    </w:p>
    <w:p>
      <w:pPr>
        <w:pStyle w:val="Heading1"/>
        <w:numPr>
          <w:ilvl w:val="0"/>
          <w:numId w:val="2"/>
        </w:numPr>
        <w:jc w:val="both"/>
        <w:rPr/>
      </w:pPr>
      <w:bookmarkStart w:id="49" w:name="__RefHeading___Toc2935_2393532176"/>
      <w:bookmarkEnd w:id="49"/>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 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 xml:space="preserve">Floorplan elements can now be of irregular shapes, as long as they can be represented as a combination of rectangles (defined as an IC element). This feature has been introduced to support the more complex floorplanning that is seen in realistic architectures. </w:t>
      </w:r>
      <w:r>
        <w:rPr>
          <w:b/>
        </w:rPr>
        <w:t>A new technique to align the IC elements on the undelaying thermal cells has been implemented. It allows declaring IC elements smaller than thermal cells as well as posing more than one IC element on the same 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50" w:name="__RefHeading___Toc2937_2393532176"/>
      <w:bookmarkStart w:id="51" w:name="_Toc442446431"/>
      <w:bookmarkEnd w:id="50"/>
      <w:bookmarkEnd w:id="51"/>
      <w:r>
        <w:rPr/>
        <w:t>Who needs 3D-ICE?</w:t>
      </w:r>
    </w:p>
    <w:p>
      <w:pPr>
        <w:pStyle w:val="Normal"/>
        <w:jc w:val="both"/>
        <w:rPr/>
      </w:pPr>
      <w:r>
        <w:rPr>
          <w:b/>
        </w:rPr>
        <w:t>3D-ICE</w:t>
      </w:r>
      <w:r>
        <w:rPr/>
        <w:t>, or “</w:t>
      </w:r>
      <w:r>
        <w:rPr>
          <w:b/>
        </w:rPr>
        <w:t>3D Interlayer Cooling Emulator</w:t>
      </w:r>
      <w:r>
        <w:rPr/>
        <w:t xml:space="preserve">”, is a Linux based </w:t>
      </w:r>
      <w:r>
        <w:rPr>
          <w:i/>
        </w:rPr>
        <w:t xml:space="preserve">generic simulation platform </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 With numerous functions to access a variety of thermal data during the simulation, the user can reach deep into the heart of the thermal simulation, 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 [1] and [2] available with this library.</w:t>
      </w:r>
      <w:r>
        <w:br w:type="page"/>
      </w:r>
    </w:p>
    <w:p>
      <w:pPr>
        <w:pStyle w:val="Heading1"/>
        <w:numPr>
          <w:ilvl w:val="0"/>
          <w:numId w:val="2"/>
        </w:numPr>
        <w:rPr/>
      </w:pPr>
      <w:bookmarkStart w:id="52" w:name="__RefHeading___Toc2939_2393532176"/>
      <w:bookmarkStart w:id="53" w:name="_Toc442446432"/>
      <w:bookmarkEnd w:id="52"/>
      <w:bookmarkEnd w:id="53"/>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 Newer versions should be supported as well, unless backward compatibility issues have been introduced in those packages.</w:t>
      </w:r>
    </w:p>
    <w:p>
      <w:pPr>
        <w:pStyle w:val="Normal"/>
        <w:jc w:val="both"/>
        <w:rPr/>
      </w:pPr>
      <w:r>
        <w:rPr/>
        <w:t xml:space="preserve">Additionally, the C shell is required to </w:t>
      </w:r>
      <w:r>
        <w:rPr>
          <w:rFonts w:eastAsia="Calibri" w:cs="" w:cstheme="minorBidi" w:eastAsiaTheme="minorHAnsi"/>
          <w:color w:val="00000A"/>
          <w:kern w:val="0"/>
          <w:sz w:val="22"/>
          <w:szCs w:val="22"/>
          <w:lang w:val="en-US" w:eastAsia="en-US" w:bidi="ar-SA"/>
        </w:rPr>
        <w:t>build the SuperLU library</w:t>
      </w:r>
      <w:r>
        <w:rPr/>
        <w:t>.</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w:t>
      </w:r>
      <w:r>
        <w:rPr>
          <w:rFonts w:eastAsia="Calibri" w:cs="Courier New" w:ascii="Courier New" w:hAnsi="Courier New" w:eastAsiaTheme="minorHAnsi"/>
          <w:color w:val="00000A"/>
          <w:kern w:val="0"/>
          <w:sz w:val="18"/>
          <w:szCs w:val="22"/>
          <w:lang w:val="en-US" w:eastAsia="en-US" w:bidi="ar-SA"/>
        </w:rPr>
        <w:t>&lt;version&gt;</w:t>
      </w:r>
      <w:r>
        <w:rPr>
          <w:rFonts w:cs="Courier New" w:ascii="Courier New" w:hAnsi="Courier New"/>
          <w:sz w:val="18"/>
        </w:rPr>
        <w:t>.zip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54" w:name="__RefHeading___Toc2941_2393532176"/>
      <w:bookmarkStart w:id="55" w:name="_Toc442446433"/>
      <w:bookmarkEnd w:id="54"/>
      <w:bookmarkEnd w:id="55"/>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Fonts w:cs="Calibri" w:cstheme="minorHAnsi" w:ascii="Courier New" w:hAnsi="Courier New"/>
          <w:sz w:val="18"/>
        </w:rPr>
      </w:r>
    </w:p>
    <w:p>
      <w:pPr>
        <w:pStyle w:val="Heading2"/>
        <w:numPr>
          <w:ilvl w:val="0"/>
          <w:numId w:val="3"/>
        </w:numPr>
        <w:rPr/>
      </w:pPr>
      <w:bookmarkStart w:id="56" w:name="__RefHeading___Toc2943_2393532176"/>
      <w:bookmarkStart w:id="57" w:name="_Toc442446434"/>
      <w:bookmarkEnd w:id="56"/>
      <w:bookmarkEnd w:id="57"/>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w:t>
      </w:r>
      <w:r>
        <w:rPr>
          <w:u w:val="single"/>
        </w:rPr>
        <w:t>if you used the convenience script above, this should be already set up for you</w:t>
      </w:r>
      <w:r>
        <w:rPr/>
        <w:t>).</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bookmarkStart w:id="58" w:name="__RefHeading___Toc2945_2393532176"/>
      <w:bookmarkEnd w:id="58"/>
      <w:r>
        <w:rPr/>
        <w:t>Pluggable heat sink and co-simulation interface</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or greater (install guide at </w:t>
      </w:r>
      <w:hyperlink r:id="rId9">
        <w:r>
          <w:rPr>
            <w:rStyle w:val="InternetLink"/>
            <w:color w:val="000000"/>
            <w:highlight w:val="white"/>
          </w:rPr>
          <w:t>https://www.openmodelica.org</w:t>
        </w:r>
      </w:hyperlink>
      <w:r>
        <w:rPr>
          <w:color w:val="000000"/>
          <w:highlight w:val="white"/>
        </w:rPr>
        <w:t>)</w:t>
      </w:r>
    </w:p>
    <w:p>
      <w:pPr>
        <w:pStyle w:val="ListParagraph"/>
        <w:numPr>
          <w:ilvl w:val="1"/>
          <w:numId w:val="1"/>
        </w:numPr>
        <w:jc w:val="both"/>
        <w:rPr>
          <w:u w:val="single"/>
        </w:rPr>
      </w:pPr>
      <w:r>
        <w:rPr>
          <w:color w:val="000000"/>
          <w:highlight w:val="white"/>
          <w:u w:val="single"/>
        </w:rPr>
        <w:t>Do not install any version earlier than 1.16.0</w:t>
      </w:r>
    </w:p>
    <w:p>
      <w:pPr>
        <w:pStyle w:val="ListParagraph"/>
        <w:numPr>
          <w:ilvl w:val="0"/>
          <w:numId w:val="1"/>
        </w:numPr>
        <w:jc w:val="both"/>
        <w:rPr/>
      </w:pPr>
      <w:r>
        <w:rPr/>
        <w:t>Pugixml 1.8.1 or greater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1"/>
        </w:numPr>
        <w:jc w:val="both"/>
        <w:rPr/>
      </w:pPr>
      <w:r>
        <w:rPr/>
        <w:t>Pkg-config (</w:t>
      </w:r>
      <w:r>
        <w:rPr>
          <w:rFonts w:ascii="Courier new" w:hAnsi="Courier new"/>
          <w:sz w:val="18"/>
          <w:szCs w:val="18"/>
        </w:rPr>
        <w:t>sudo apt install p</w:t>
      </w:r>
      <w:r>
        <w:rPr>
          <w:rFonts w:eastAsia="Calibri" w:cs="" w:ascii="Courier new" w:hAnsi="Courier new" w:cstheme="minorBidi" w:eastAsiaTheme="minorHAnsi"/>
          <w:color w:val="00000A"/>
          <w:kern w:val="0"/>
          <w:sz w:val="18"/>
          <w:szCs w:val="18"/>
          <w:lang w:val="en-US" w:eastAsia="en-US" w:bidi="ar-SA"/>
        </w:rPr>
        <w:t>kg-config</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r>
        <w:rPr/>
        <w:t>You can then compile the 3D-ICE Plugin sources with:</w:t>
      </w:r>
    </w:p>
    <w:p>
      <w:pPr>
        <w:pStyle w:val="Normal"/>
        <w:numPr>
          <w:ilvl w:val="0"/>
          <w:numId w:val="0"/>
        </w:numPr>
        <w:ind w:left="720" w:hanging="0"/>
        <w:jc w:val="both"/>
        <w:rPr/>
      </w:pPr>
      <w:bookmarkStart w:id="59" w:name="__DdeLink__2812_1512499319"/>
      <w:r>
        <w:rPr>
          <w:rFonts w:cs="Courier New" w:ascii="Courier New" w:hAnsi="Courier New"/>
          <w:sz w:val="18"/>
        </w:rPr>
        <w:t>$ make plugin</w:t>
      </w:r>
      <w:bookmarkEnd w:id="59"/>
    </w:p>
    <w:p>
      <w:pPr>
        <w:pStyle w:val="Heading2"/>
        <w:numPr>
          <w:ilvl w:val="0"/>
          <w:numId w:val="3"/>
        </w:numPr>
        <w:rPr/>
      </w:pPr>
      <w:bookmarkStart w:id="60" w:name="__RefHeading___Toc2947_2393532176"/>
      <w:bookmarkEnd w:id="60"/>
      <w:r>
        <w:rPr/>
        <w:t>Testing installation</w:t>
      </w:r>
    </w:p>
    <w:p>
      <w:pPr>
        <w:pStyle w:val="ListParagraph"/>
        <w:numPr>
          <w:ilvl w:val="0"/>
          <w:numId w:val="0"/>
        </w:numPr>
        <w:ind w:left="360" w:hanging="0"/>
        <w:jc w:val="both"/>
        <w:rPr/>
      </w:pPr>
      <w:r>
        <w:rPr/>
        <w:t>You can then test the 3D-ICE installation 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Fonts w:cs="Courier New" w:ascii="Courier New" w:hAnsi="Courier New"/>
          <w:sz w:val="18"/>
        </w:rPr>
      </w:r>
    </w:p>
    <w:p>
      <w:pPr>
        <w:pStyle w:val="Normal"/>
        <w:jc w:val="both"/>
        <w:rPr>
          <w:rFonts w:ascii="Courier New" w:hAnsi="Courier New" w:cs="Courier New"/>
          <w:sz w:val="18"/>
        </w:rPr>
      </w:pPr>
      <w:r>
        <w:rPr>
          <w:rFonts w:cs="Courier New" w:ascii="Courier New" w:hAnsi="Courier New"/>
          <w:sz w:val="18"/>
        </w:rPr>
      </w:r>
      <w:r>
        <w:br w:type="page"/>
      </w:r>
    </w:p>
    <w:p>
      <w:pPr>
        <w:pStyle w:val="Heading1"/>
        <w:numPr>
          <w:ilvl w:val="0"/>
          <w:numId w:val="2"/>
        </w:numPr>
        <w:rPr/>
      </w:pPr>
      <w:bookmarkStart w:id="61" w:name="__RefHeading___Toc2949_2393532176"/>
      <w:bookmarkStart w:id="62" w:name="_Toc442446435"/>
      <w:bookmarkEnd w:id="61"/>
      <w:bookmarkEnd w:id="62"/>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63" w:name="__RefHeading___Toc2951_2393532176"/>
      <w:bookmarkStart w:id="64" w:name="_Toc442446436"/>
      <w:bookmarkEnd w:id="63"/>
      <w:bookmarkEnd w:id="64"/>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65" w:name="__RefHeading___Toc2953_2393532176"/>
      <w:bookmarkStart w:id="66" w:name="_Toc442446437"/>
      <w:bookmarkEnd w:id="65"/>
      <w:bookmarkEnd w:id="66"/>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67" w:name="__RefHeading___Toc2955_2393532176"/>
      <w:bookmarkStart w:id="68" w:name="_Toc442446438"/>
      <w:bookmarkEnd w:id="67"/>
      <w:bookmarkEnd w:id="68"/>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0" allowOverlap="1" relativeHeight="47">
            <wp:simplePos x="0" y="0"/>
            <wp:positionH relativeFrom="column">
              <wp:posOffset>2545715</wp:posOffset>
            </wp:positionH>
            <wp:positionV relativeFrom="paragraph">
              <wp:posOffset>635</wp:posOffset>
            </wp:positionV>
            <wp:extent cx="2769870" cy="1538605"/>
            <wp:effectExtent l="0" t="0" r="0" b="0"/>
            <wp:wrapSquare wrapText="bothSides"/>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69" w:name="__RefHeading___Toc2957_2393532176"/>
      <w:bookmarkStart w:id="70" w:name="_Toc442446439"/>
      <w:bookmarkEnd w:id="69"/>
      <w:bookmarkEnd w:id="70"/>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71" w:name="__RefHeading___Toc2959_2393532176"/>
      <w:bookmarkStart w:id="72" w:name="_Toc442446440"/>
      <w:bookmarkEnd w:id="71"/>
      <w:bookmarkEnd w:id="72"/>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Para xmlns:m="http://schemas.openxmlformats.org/officeDocument/2006/math">
        <m:oMathParaPr>
          <m:jc m:val="center"/>
        </m:oMathParaPr>
        <m:o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m:oMathPara>
    </w:p>
    <w:p>
      <w:pPr>
        <w:pStyle w:val="Normal"/>
        <w:rPr/>
      </w:pPr>
      <w:r>
        <w:rPr/>
      </w:r>
    </w:p>
    <w:p>
      <w:pPr>
        <w:pStyle w:val="Heading2"/>
        <w:numPr>
          <w:ilvl w:val="0"/>
          <w:numId w:val="18"/>
        </w:numPr>
        <w:rPr/>
      </w:pPr>
      <w:bookmarkStart w:id="73" w:name="__RefHeading___Toc2961_2393532176"/>
      <w:bookmarkStart w:id="74" w:name="_Toc442446441"/>
      <w:bookmarkEnd w:id="73"/>
      <w:bookmarkEnd w:id="74"/>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75" w:name="__RefHeading___Toc2963_2393532176"/>
      <w:bookmarkStart w:id="76" w:name="_Toc442446442"/>
      <w:bookmarkEnd w:id="75"/>
      <w:bookmarkEnd w:id="76"/>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 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lear" w:pos="720"/>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77" w:name="__RefHeading___Toc2965_2393532176"/>
      <w:bookmarkStart w:id="78" w:name="_Toc442446443"/>
      <w:bookmarkEnd w:id="77"/>
      <w:bookmarkEnd w:id="78"/>
      <w:r>
        <w:rPr/>
        <w:t>Creating a 3D-ICE project</w:t>
      </w:r>
    </w:p>
    <w:p>
      <w:pPr>
        <w:pStyle w:val="Normal"/>
        <w:jc w:val="both"/>
        <w:rPr/>
      </w:pPr>
      <w:r>
        <w:rPr/>
        <w:t xml:space="preserve">As mentioned in Section 6.B, a 3D-ICE project consists of writing a stack descriptor file and one or more floorplan files. See the example Stack Description File and Floorplan files providedin the </w:t>
      </w:r>
      <w:r>
        <w:rPr>
          <w:rFonts w:cs="Courier New" w:ascii="Courier New" w:hAnsi="Courier New"/>
          <w:sz w:val="18"/>
        </w:rPr>
        <w:t xml:space="preserve">./bin </w:t>
      </w:r>
      <w:r>
        <w:rPr/>
        <w:t>folder for reference.</w:t>
      </w:r>
    </w:p>
    <w:p>
      <w:pPr>
        <w:pStyle w:val="Heading2"/>
        <w:numPr>
          <w:ilvl w:val="0"/>
          <w:numId w:val="20"/>
        </w:numPr>
        <w:rPr/>
      </w:pPr>
      <w:bookmarkStart w:id="79" w:name="__RefHeading___Toc2967_2393532176"/>
      <w:bookmarkStart w:id="80" w:name="_Toc442446444"/>
      <w:bookmarkEnd w:id="79"/>
      <w:bookmarkEnd w:id="80"/>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81" w:name="__RefHeading___Toc2969_2393532176"/>
      <w:bookmarkStart w:id="82" w:name="_Toc442446445"/>
      <w:bookmarkEnd w:id="81"/>
      <w:bookmarkEnd w:id="82"/>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83" w:name="__DdeLink__2639_4214130128"/>
      <w:r>
        <w:rPr>
          <w:rFonts w:cs="Calibri" w:cstheme="minorHAnsi"/>
        </w:rPr>
        <w:t>μ</w:t>
      </w:r>
      <w:r>
        <w:rPr/>
        <w:t>m</w:t>
      </w:r>
      <w:bookmarkEnd w:id="83"/>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 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Heading3"/>
        <w:numPr>
          <w:ilvl w:val="0"/>
          <w:numId w:val="22"/>
        </w:numPr>
        <w:ind w:left="426" w:hanging="142"/>
        <w:rPr/>
      </w:pPr>
      <w:bookmarkStart w:id="84" w:name="__RefHeading___Toc2971_2393532176"/>
      <w:bookmarkStart w:id="85" w:name="_Toc442446446"/>
      <w:bookmarkEnd w:id="84"/>
      <w:bookmarkEnd w:id="85"/>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 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pPr>
      <w:r>
        <w:rPr/>
      </w:r>
    </w:p>
    <w:p>
      <w:pPr>
        <w:pStyle w:val="Heading3"/>
        <w:numPr>
          <w:ilvl w:val="0"/>
          <w:numId w:val="22"/>
        </w:numPr>
        <w:ind w:left="426" w:hanging="142"/>
        <w:rPr/>
      </w:pPr>
      <w:bookmarkStart w:id="86" w:name="__RefHeading___Toc2973_2393532176"/>
      <w:bookmarkStart w:id="87" w:name="_Toc442446447"/>
      <w:bookmarkEnd w:id="86"/>
      <w:bookmarkEnd w:id="87"/>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2882"/>
        <w:gridCol w:w="6767"/>
      </w:tblGrid>
      <w:tr>
        <w:trPr/>
        <w:tc>
          <w:tcPr>
            <w:tcW w:w="2882"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w:t>
            </w:r>
          </w:p>
          <w:p>
            <w:pPr>
              <w:pStyle w:val="Normal"/>
              <w:widowControl w:val="false"/>
              <w:spacing w:lineRule="auto" w:line="240" w:before="0" w:after="0"/>
              <w:jc w:val="both"/>
              <w:rPr>
                <w:sz w:val="20"/>
              </w:rPr>
            </w:pPr>
            <w:r>
              <w:rPr>
                <w:sz w:val="20"/>
              </w:rPr>
            </w:r>
          </w:p>
          <w:p>
            <w:pPr>
              <w:pStyle w:val="Normal"/>
              <w:widowControl w:val="false"/>
              <w:spacing w:lineRule="auto" w:line="240" w:before="0" w:after="0"/>
              <w:jc w:val="both"/>
              <w:rPr>
                <w:sz w:val="20"/>
              </w:rPr>
            </w:pPr>
            <w:r>
              <w:rPr>
                <w:sz w:val="20"/>
              </w:rPr>
            </w:r>
          </w:p>
        </w:tc>
        <w:tc>
          <w:tcPr>
            <w:tcW w:w="6767"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2882"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3425190" cy="101790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widowControl w:val="false"/>
              <w:spacing w:before="0" w:after="0"/>
              <w:jc w:val="center"/>
              <w:rPr>
                <w:sz w:val="20"/>
              </w:rPr>
            </w:pPr>
            <w:r>
              <w:rPr>
                <w:sz w:val="20"/>
              </w:rPr>
            </w:r>
          </w:p>
        </w:tc>
      </w:tr>
      <w:tr>
        <w:trPr/>
        <w:tc>
          <w:tcPr>
            <w:tcW w:w="2882"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3443605" cy="109220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88" w:name="__RefHeading___Toc2975_2393532176"/>
      <w:bookmarkStart w:id="89" w:name="_Toc442446448"/>
      <w:bookmarkEnd w:id="88"/>
      <w:bookmarkEnd w:id="89"/>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53" w:type="dxa"/>
        <w:tblLayout w:type="fixed"/>
        <w:tblCellMar>
          <w:top w:w="0" w:type="dxa"/>
          <w:left w:w="53"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rFonts w:ascii="Courier New" w:hAnsi="Courier New" w:cs="Courier New"/>
                <w:b/>
                <w:b/>
                <w:sz w:val="18"/>
              </w:rPr>
            </w:pPr>
            <w:r>
              <w:rPr>
                <w:b/>
                <w:sz w:val="20"/>
              </w:rPr>
              <w:t>Example</w:t>
            </w:r>
          </w:p>
        </w:tc>
        <w:tc>
          <w:tcPr>
            <w:tcW w:w="5044" w:type="dxa"/>
            <w:tcBorders>
              <w:left w:val="nil"/>
              <w:bottom w:val="nil"/>
            </w:tcBorders>
            <w:shd w:fill="auto" w:val="clear"/>
            <w:vAlign w:val="center"/>
          </w:tcPr>
          <w:p>
            <w:pPr>
              <w:pStyle w:val="Normal"/>
              <w:keepNext w:val="true"/>
              <w:widowControl w:val="false"/>
              <w:spacing w:lineRule="auto" w:line="240" w:before="0" w:after="0"/>
              <w:jc w:val="left"/>
              <w:rPr>
                <w:sz w:val="20"/>
              </w:rPr>
            </w:pPr>
            <w:r>
              <w:rPr>
                <w:sz w:val="20"/>
              </w:rPr>
            </w:r>
          </w:p>
        </w:tc>
      </w:tr>
      <w:tr>
        <w:trPr/>
        <w:tc>
          <w:tcPr>
            <w:tcW w:w="4605" w:type="dxa"/>
            <w:tcBorders>
              <w:top w:val="nil"/>
              <w:bottom w:val="nil"/>
              <w:right w:val="nil"/>
            </w:tcBorders>
            <w:shd w:fill="auto" w:val="clear"/>
            <w:vAlign w:val="center"/>
          </w:tcPr>
          <w:p>
            <w:pPr>
              <w:pStyle w:val="Normal"/>
              <w:widowControl w:val="false"/>
              <w:spacing w:lineRule="auto" w:line="240" w:before="0" w:after="0"/>
              <w:jc w:val="both"/>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tcBorders>
            <w:shd w:fill="auto" w:val="clear"/>
            <w:vAlign w:val="center"/>
          </w:tcPr>
          <w:p>
            <w:pPr>
              <w:pStyle w:val="Normal"/>
              <w:keepNext w:val="true"/>
              <w:widowControl w:val="false"/>
              <w:spacing w:before="0" w:after="0"/>
              <w:jc w:val="center"/>
              <w:rPr>
                <w:sz w:val="20"/>
              </w:rPr>
            </w:pPr>
            <w:r>
              <w:rPr>
                <w:sz w:val="20"/>
              </w:rPr>
              <w:drawing>
                <wp:inline distT="0" distB="0" distL="0" distR="0">
                  <wp:extent cx="2901315" cy="98615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widowControl w:val="false"/>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5044" w:type="dxa"/>
            <w:tcBorders>
              <w:top w:val="nil"/>
              <w:left w:val="nil"/>
            </w:tcBorders>
            <w:shd w:fill="auto" w:val="clear"/>
            <w:vAlign w:val="center"/>
          </w:tcPr>
          <w:p>
            <w:pPr>
              <w:pStyle w:val="Normal"/>
              <w:keepNext w:val="true"/>
              <w:widowControl w:val="false"/>
              <w:spacing w:lineRule="auto" w:line="240" w:before="0" w:after="0"/>
              <w:jc w:val="left"/>
              <w:rPr>
                <w:sz w:val="20"/>
              </w:rPr>
            </w:pPr>
            <w:r>
              <w:rPr>
                <w:sz w:val="20"/>
              </w:rPr>
            </w:r>
          </w:p>
        </w:tc>
      </w:tr>
    </w:tbl>
    <w:p>
      <w:pPr>
        <w:pStyle w:val="Normal"/>
        <w:jc w:val="both"/>
        <w:rPr/>
      </w:pPr>
      <w:r>
        <w:rPr/>
      </w:r>
    </w:p>
    <w:p>
      <w:pPr>
        <w:pStyle w:val="Heading4"/>
        <w:rPr/>
      </w:pPr>
      <w:r>
        <w:rPr/>
        <w:t>Pluggable heat sinks</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Refer to the chapter “Co-simulation and plugin interface” for more information about </w:t>
      </w:r>
      <w:r>
        <w:rPr>
          <w:rFonts w:eastAsia="Calibri" w:cs="" w:cstheme="minorBidi" w:eastAsiaTheme="minorHAnsi"/>
          <w:color w:val="00000A"/>
          <w:kern w:val="0"/>
          <w:sz w:val="22"/>
          <w:szCs w:val="22"/>
          <w:lang w:val="en-US" w:eastAsia="en-US" w:bidi="ar-SA"/>
        </w:rPr>
        <w:t>co-simulation in 3D-ICE</w:t>
      </w:r>
      <w:r>
        <w:rPr/>
        <w:t>.</w:t>
      </w:r>
    </w:p>
    <w:p>
      <w:pPr>
        <w:pStyle w:val="Normal"/>
        <w:jc w:val="both"/>
        <w:rPr/>
      </w:pPr>
      <w:r>
        <w:rPr/>
        <w:t>The syntax to add a pluggable heat 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MATERIAL_ID</w:t>
      </w:r>
      <w:r>
        <w:rPr/>
        <w:t xml:space="preserve"> is the spreader material</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PATH</w:t>
      </w:r>
      <w:r>
        <w:rPr>
          <w:rFonts w:cs="Courier New" w:ascii="Courier New" w:hAnsi="Courier New"/>
          <w:sz w:val="18"/>
        </w:rPr>
        <w:t xml:space="preserve"> </w:t>
      </w:r>
      <w:r>
        <w:rPr/>
        <w:t>is the path to the heat sink plugin</w:t>
      </w:r>
    </w:p>
    <w:p>
      <w:pPr>
        <w:pStyle w:val="ListParagraph"/>
        <w:numPr>
          <w:ilvl w:val="0"/>
          <w:numId w:val="29"/>
        </w:numPr>
        <w:jc w:val="both"/>
        <w:rPr/>
      </w:pPr>
      <w:r>
        <w:rPr>
          <w:rFonts w:eastAsia="Calibri" w:cs="Courier New" w:ascii="Courier New" w:hAnsi="Courier New" w:eastAsiaTheme="minorHAnsi"/>
          <w:color w:val="00000A"/>
          <w:kern w:val="0"/>
          <w:sz w:val="18"/>
          <w:szCs w:val="22"/>
          <w:lang w:val="en-US" w:eastAsia="en-US" w:bidi="ar-SA"/>
        </w:rPr>
        <w:t>ARGS</w:t>
      </w:r>
      <w:r>
        <w:rPr/>
        <w:t xml:space="preserve"> is an optional string of arguments passed as-is to the plugin (like the command line arguments of an executable program)</w:t>
      </w:r>
    </w:p>
    <w:p>
      <w:pPr>
        <w:pStyle w:val="ListParagraph"/>
        <w:jc w:val="both"/>
        <w:rPr/>
      </w:pPr>
      <w:r>
        <w:rPr/>
      </w:r>
    </w:p>
    <w:p>
      <w:pPr>
        <w:pStyle w:val="ListParagraph"/>
        <w:jc w:val="both"/>
        <w:rPr/>
      </w:pPr>
      <w:r>
        <w:rPr/>
      </w:r>
    </w:p>
    <w:p>
      <w:pPr>
        <w:pStyle w:val="ListParagraph"/>
        <w:jc w:val="both"/>
        <w:rPr/>
      </w:pPr>
      <w:r>
        <w:rPr/>
      </w:r>
    </w:p>
    <w:tbl>
      <w:tblPr>
        <w:tblStyle w:val="Tabellenraster"/>
        <w:tblpPr w:bottomFromText="0" w:horzAnchor="margin" w:leftFromText="180" w:rightFromText="180" w:tblpX="0" w:tblpY="1800" w:topFromText="0" w:vertAnchor="text"/>
        <w:tblW w:w="9650" w:type="dxa"/>
        <w:jc w:val="left"/>
        <w:tblInd w:w="53" w:type="dxa"/>
        <w:tblLayout w:type="fixed"/>
        <w:tblCellMar>
          <w:top w:w="0" w:type="dxa"/>
          <w:left w:w="53" w:type="dxa"/>
          <w:bottom w:w="0" w:type="dxa"/>
          <w:right w:w="108" w:type="dxa"/>
        </w:tblCellMar>
        <w:tblLook w:firstRow="1" w:noVBand="1" w:lastRow="0" w:firstColumn="1" w:lastColumn="0" w:noHBand="0" w:val="04a0"/>
      </w:tblPr>
      <w:tblGrid>
        <w:gridCol w:w="4788"/>
        <w:gridCol w:w="4861"/>
      </w:tblGrid>
      <w:tr>
        <w:trPr/>
        <w:tc>
          <w:tcPr>
            <w:tcW w:w="4788" w:type="dxa"/>
            <w:tcBorders>
              <w:bottom w:val="nil"/>
              <w:right w:val="nil"/>
            </w:tcBorders>
            <w:shd w:fill="auto" w:val="clear"/>
            <w:vAlign w:val="center"/>
          </w:tcPr>
          <w:p>
            <w:pPr>
              <w:pStyle w:val="Normal"/>
              <w:widowControl w:val="false"/>
              <w:spacing w:lineRule="auto" w:line="240" w:before="0" w:after="0"/>
              <w:jc w:val="left"/>
              <w:rPr>
                <w:rFonts w:ascii="Courier New" w:hAnsi="Courier New" w:cs="Courier New"/>
                <w:b/>
                <w:b/>
                <w:sz w:val="18"/>
              </w:rPr>
            </w:pPr>
            <w:r>
              <w:rPr>
                <w:b/>
                <w:sz w:val="20"/>
              </w:rPr>
              <w:t>Example</w:t>
            </w:r>
          </w:p>
        </w:tc>
        <w:tc>
          <w:tcPr>
            <w:tcW w:w="4861" w:type="dxa"/>
            <w:tcBorders>
              <w:left w:val="nil"/>
              <w:bottom w:val="nil"/>
            </w:tcBorders>
            <w:shd w:fill="auto" w:val="clear"/>
            <w:vAlign w:val="center"/>
          </w:tcPr>
          <w:p>
            <w:pPr>
              <w:pStyle w:val="Normal"/>
              <w:keepNext w:val="true"/>
              <w:widowControl w:val="false"/>
              <w:spacing w:lineRule="auto" w:line="240" w:before="0" w:after="0"/>
              <w:jc w:val="left"/>
              <w:rPr>
                <w:sz w:val="20"/>
              </w:rPr>
            </w:pPr>
            <w:r>
              <w:rPr>
                <w:sz w:val="20"/>
              </w:rPr>
            </w:r>
          </w:p>
        </w:tc>
      </w:tr>
      <w:tr>
        <w:trPr/>
        <w:tc>
          <w:tcPr>
            <w:tcW w:w="4788" w:type="dxa"/>
            <w:tcBorders>
              <w:top w:val="nil"/>
              <w:bottom w:val="nil"/>
              <w:right w:val="nil"/>
            </w:tcBorders>
            <w:shd w:fill="auto" w:val="clear"/>
            <w:vAlign w:val="center"/>
          </w:tcPr>
          <w:p>
            <w:pPr>
              <w:pStyle w:val="Normal"/>
              <w:widowControl w:val="false"/>
              <w:spacing w:lineRule="auto" w:line="240" w:before="0" w:after="0"/>
              <w:jc w:val="both"/>
              <w:rPr/>
            </w:pPr>
            <w:r>
              <w:rPr>
                <w:rFonts w:cs="Courier New" w:ascii="Courier New" w:hAnsi="Courier New"/>
                <w:sz w:val="18"/>
              </w:rPr>
              <w:t>top pluggable heat sink:</w:t>
            </w:r>
          </w:p>
          <w:p>
            <w:pPr>
              <w:pStyle w:val="Normal"/>
              <w:widowControl w:val="false"/>
              <w:spacing w:lineRule="auto" w:line="240" w:before="0" w:after="0"/>
              <w:ind w:left="720" w:hanging="0"/>
              <w:jc w:val="both"/>
              <w:rPr/>
            </w:pPr>
            <w:r>
              <w:rPr>
                <w:rFonts w:cs="Courier New" w:ascii="Courier New" w:hAnsi="Courier New"/>
                <w:sz w:val="18"/>
              </w:rPr>
              <w:t>spreader length 2e4,</w:t>
            </w:r>
          </w:p>
          <w:p>
            <w:pPr>
              <w:pStyle w:val="Normal"/>
              <w:widowControl w:val="false"/>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widowControl w:val="false"/>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widowControl w:val="false"/>
              <w:spacing w:lineRule="auto" w:line="240" w:before="0" w:after="0"/>
              <w:ind w:left="720" w:hanging="0"/>
              <w:jc w:val="both"/>
              <w:rPr/>
            </w:pPr>
            <w:r>
              <w:rPr>
                <w:rFonts w:cs="Courier New" w:ascii="Courier New" w:hAnsi="Courier New"/>
                <w:sz w:val="18"/>
              </w:rPr>
              <w:t>material  COPPER;</w:t>
            </w:r>
          </w:p>
          <w:p>
            <w:pPr>
              <w:pStyle w:val="Normal"/>
              <w:widowControl w:val="false"/>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tcBorders>
            <w:shd w:fill="auto" w:val="clear"/>
            <w:vAlign w:val="center"/>
          </w:tcPr>
          <w:p>
            <w:pPr>
              <w:pStyle w:val="Normal"/>
              <w:keepNext w:val="true"/>
              <w:widowControl w:val="false"/>
              <w:spacing w:before="0" w:after="0"/>
              <w:jc w:val="center"/>
              <w:rPr>
                <w:sz w:val="20"/>
              </w:rPr>
            </w:pPr>
            <w:r>
              <w:rPr>
                <w:sz w:val="20"/>
              </w:rPr>
              <w:drawing>
                <wp:inline distT="0" distB="0" distL="0" distR="0">
                  <wp:extent cx="2851785" cy="988060"/>
                  <wp:effectExtent l="0" t="0" r="0" b="0"/>
                  <wp:docPr id="16"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widowControl w:val="false"/>
              <w:spacing w:before="0" w:after="0"/>
              <w:jc w:val="center"/>
              <w:rPr/>
            </w:pPr>
            <w:r>
              <w:rPr/>
              <w:t>Figure 10: Pluggable heat sink</w:t>
            </w:r>
          </w:p>
        </w:tc>
      </w:tr>
      <w:tr>
        <w:trPr/>
        <w:tc>
          <w:tcPr>
            <w:tcW w:w="4788"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4861" w:type="dxa"/>
            <w:tcBorders>
              <w:top w:val="nil"/>
              <w:left w:val="nil"/>
            </w:tcBorders>
            <w:shd w:fill="auto" w:val="clear"/>
            <w:vAlign w:val="center"/>
          </w:tcPr>
          <w:p>
            <w:pPr>
              <w:pStyle w:val="Normal"/>
              <w:keepNext w:val="true"/>
              <w:widowControl w:val="false"/>
              <w:spacing w:lineRule="auto" w:line="240" w:before="0" w:after="0"/>
              <w:jc w:val="left"/>
              <w:rPr>
                <w:sz w:val="20"/>
              </w:rPr>
            </w:pPr>
            <w:r>
              <w:rPr>
                <w:sz w:val="20"/>
              </w:rPr>
            </w:r>
          </w:p>
        </w:tc>
      </w:tr>
    </w:tbl>
    <w:p>
      <w:pPr>
        <w:pStyle w:val="Normal"/>
        <w:jc w:val="both"/>
        <w:rPr>
          <w:rFonts w:cs="Courier New"/>
          <w:sz w:val="22"/>
          <w:szCs w:val="22"/>
        </w:rPr>
      </w:pPr>
      <w:r>
        <w:rPr>
          <w:rFonts w:cs="Courier New"/>
          <w:sz w:val="22"/>
          <w:szCs w:val="22"/>
        </w:rPr>
      </w:r>
    </w:p>
    <w:p>
      <w:pPr>
        <w:pStyle w:val="Heading3"/>
        <w:numPr>
          <w:ilvl w:val="0"/>
          <w:numId w:val="22"/>
        </w:numPr>
        <w:ind w:left="426" w:hanging="142"/>
        <w:rPr/>
      </w:pPr>
      <w:bookmarkStart w:id="90" w:name="__RefHeading___Toc2977_2393532176"/>
      <w:bookmarkStart w:id="91" w:name="_Toc442446449"/>
      <w:bookmarkEnd w:id="90"/>
      <w:bookmarkEnd w:id="91"/>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clear" w:pos="720"/>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 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 xml:space="preserve">channellength </w:t>
      </w:r>
      <w:r>
        <w:rPr/>
        <w:t xml:space="preserve">and </w:t>
      </w:r>
      <w:r>
        <w:rPr>
          <w:rFonts w:cs="Courier New" w:ascii="Courier New" w:hAnsi="Courier New"/>
          <w:sz w:val="18"/>
        </w:rPr>
        <w:t>walllength</w:t>
      </w:r>
      <w:r>
        <w:rPr/>
        <w:t xml:space="preserve"> are the cross sectional lengths 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 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 incoming temperature </w:t>
      </w:r>
      <w:r>
        <w:rPr/>
        <w:t>is the inlet coolant temperature expressed in K.</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side 2.7132e-8,</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widowControl w:val="false"/>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jc w:val="right"/>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w:t>
            </w:r>
          </w:p>
          <w:p>
            <w:pPr>
              <w:pStyle w:val="Normal"/>
              <w:widowControl w:val="false"/>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612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0"/>
                          <a:stretch>
                            <a:fillRect/>
                          </a:stretch>
                        </pic:blipFill>
                        <pic:spPr bwMode="auto">
                          <a:xfrm>
                            <a:off x="0" y="0"/>
                            <a:ext cx="2707005" cy="746125"/>
                          </a:xfrm>
                          <a:prstGeom prst="rect">
                            <a:avLst/>
                          </a:prstGeom>
                        </pic:spPr>
                      </pic:pic>
                    </a:graphicData>
                  </a:graphic>
                </wp:inline>
              </w:drawing>
            </w:r>
          </w:p>
          <w:p>
            <w:pPr>
              <w:pStyle w:val="Caption1"/>
              <w:widowControl w:val="false"/>
              <w:spacing w:before="0" w:after="0"/>
              <w:jc w:val="center"/>
              <w:rPr/>
            </w:pPr>
            <w:r>
              <w:rPr/>
              <w:t>Figure 11: Microchannel cavity layer</w:t>
            </w:r>
          </w:p>
          <w:p>
            <w:pPr>
              <w:pStyle w:val="Normal"/>
              <w:widowControl w:val="false"/>
              <w:spacing w:before="0" w:after="0"/>
              <w:jc w:val="center"/>
              <w:rPr>
                <w:sz w:val="20"/>
              </w:rPr>
            </w:pPr>
            <w:r>
              <w:rPr>
                <w:sz w:val="20"/>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 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clear" w:pos="720"/>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clear" w:pos="720"/>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Para xmlns:m="http://schemas.openxmlformats.org/officeDocument/2006/math">
        <m:oMathParaPr>
          <m:jc m:val="center"/>
        </m:oMathParaPr>
        <m:o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m:oMathPara>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widowControl w:val="false"/>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widowControl w:val="false"/>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612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widowControl w:val="false"/>
              <w:spacing w:before="0" w:after="0"/>
              <w:jc w:val="center"/>
              <w:rPr/>
            </w:pPr>
            <w:r>
              <w:rPr/>
              <w:t>Figure 12: Microchannel cavity layer</w:t>
            </w:r>
          </w:p>
          <w:p>
            <w:pPr>
              <w:pStyle w:val="Normal"/>
              <w:widowControl w:val="false"/>
              <w:spacing w:before="0" w:after="0"/>
              <w:jc w:val="center"/>
              <w:rPr>
                <w:sz w:val="20"/>
              </w:rPr>
            </w:pPr>
            <w:r>
              <w:rPr>
                <w:sz w:val="20"/>
              </w:rPr>
            </w:r>
          </w:p>
        </w:tc>
      </w:tr>
    </w:tbl>
    <w:p>
      <w:pPr>
        <w:pStyle w:val="Heading4"/>
        <w:rPr/>
      </w:pPr>
      <w:r>
        <w:rPr/>
        <w:t>Pinfins</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clear" w:pos="720"/>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(Pinfins inline)</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pinfin: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diameter   50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pitch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distribution inline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darcy velocity 1.1066e+06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br/>
              <w:t>4.172638e-12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358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2"/>
                          <a:stretch>
                            <a:fillRect/>
                          </a:stretch>
                        </pic:blipFill>
                        <pic:spPr bwMode="auto">
                          <a:xfrm>
                            <a:off x="0" y="0"/>
                            <a:ext cx="2707005" cy="743585"/>
                          </a:xfrm>
                          <a:prstGeom prst="rect">
                            <a:avLst/>
                          </a:prstGeom>
                        </pic:spPr>
                      </pic:pic>
                    </a:graphicData>
                  </a:graphic>
                </wp:inline>
              </w:drawing>
            </w:r>
          </w:p>
          <w:p>
            <w:pPr>
              <w:pStyle w:val="Caption1"/>
              <w:widowControl w:val="false"/>
              <w:spacing w:before="0" w:after="0"/>
              <w:jc w:val="center"/>
              <w:rPr/>
            </w:pPr>
            <w:r>
              <w:rPr/>
              <w:t>Figure 13: Pinfin inline cavity layer</w:t>
            </w:r>
          </w:p>
          <w:p>
            <w:pPr>
              <w:pStyle w:val="Normal"/>
              <w:widowControl w:val="false"/>
              <w:spacing w:before="0" w:after="0"/>
              <w:jc w:val="center"/>
              <w:rPr>
                <w:sz w:val="20"/>
              </w:rPr>
            </w:pPr>
            <w:r>
              <w:rPr>
                <w:sz w:val="20"/>
              </w:rPr>
            </w:r>
          </w:p>
        </w:tc>
      </w:tr>
    </w:tbl>
    <w:p>
      <w:pPr>
        <w:pStyle w:val="Normal"/>
        <w:jc w:val="both"/>
        <w:rPr/>
      </w:pPr>
      <w:r>
        <w:rPr/>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4605"/>
        <w:gridCol w:w="5044"/>
      </w:tblGrid>
      <w:tr>
        <w:trPr/>
        <w:tc>
          <w:tcPr>
            <w:tcW w:w="4605"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(Pinfins staggered)</w:t>
            </w:r>
          </w:p>
        </w:tc>
        <w:tc>
          <w:tcPr>
            <w:tcW w:w="5044"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c>
          <w:tcPr>
            <w:tcW w:w="4605" w:type="dxa"/>
            <w:tcBorders>
              <w:top w:val="nil"/>
              <w:right w:val="nil"/>
            </w:tcBorders>
            <w:shd w:fill="auto" w:val="clear"/>
            <w:vAlign w:val="center"/>
          </w:tcPr>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pinfin: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diameter   50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pitch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distribution staggered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pin 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darcy velocity 1.1066e+06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widowControl w:val="false"/>
              <w:spacing w:before="0" w:after="0"/>
              <w:jc w:val="center"/>
              <w:rPr>
                <w:sz w:val="20"/>
              </w:rPr>
            </w:pPr>
            <w:r>
              <w:rPr>
                <w:sz w:val="20"/>
              </w:rPr>
              <w:drawing>
                <wp:inline distT="0" distB="0" distL="0" distR="0">
                  <wp:extent cx="2707005" cy="74358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widowControl w:val="false"/>
              <w:spacing w:before="0" w:after="0"/>
              <w:jc w:val="center"/>
              <w:rPr/>
            </w:pPr>
            <w:r>
              <w:rPr/>
              <w:t>Figure 14: Channel layer</w:t>
            </w:r>
          </w:p>
          <w:p>
            <w:pPr>
              <w:pStyle w:val="Normal"/>
              <w:widowControl w:val="false"/>
              <w:spacing w:before="0" w:after="0"/>
              <w:jc w:val="center"/>
              <w:rPr>
                <w:sz w:val="20"/>
              </w:rPr>
            </w:pPr>
            <w:r>
              <w:rPr>
                <w:sz w:val="20"/>
              </w:rPr>
            </w:r>
          </w:p>
        </w:tc>
      </w:tr>
    </w:tbl>
    <w:p>
      <w:pPr>
        <w:pStyle w:val="Normal"/>
        <w:jc w:val="both"/>
        <w:rPr/>
      </w:pPr>
      <w:r>
        <w:rPr/>
      </w:r>
    </w:p>
    <w:p>
      <w:pPr>
        <w:pStyle w:val="Normal"/>
        <w:jc w:val="both"/>
        <w:rPr/>
      </w:pPr>
      <w:r>
        <w:rPr>
          <w:b/>
        </w:rPr>
        <w:t xml:space="preserve">Note: </w:t>
      </w:r>
      <w:r>
        <w:rPr/>
        <w:t>If neither the conventional nor the liquid-cooled heat sink is declared in the Stack Description 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92" w:name="__RefHeading___Toc2981_2393532176"/>
      <w:bookmarkStart w:id="93" w:name="_Toc442446451"/>
      <w:bookmarkEnd w:id="92"/>
      <w:bookmarkEnd w:id="93"/>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ind w:left="1440" w:hanging="0"/>
        <w:jc w:val="both"/>
        <w:rPr>
          <w:rFonts w:ascii="Courier New" w:hAnsi="Courier New" w:cs="Courier New"/>
          <w:sz w:val="18"/>
        </w:rPr>
      </w:pPr>
      <w:r>
        <w:rPr>
          <w:rFonts w:cs="Courier New" w:ascii="Courier New" w:hAnsi="Courier New"/>
          <w:sz w:val="18"/>
        </w:rPr>
        <w:t>[non-uniform  DVALUE ; ]?</w:t>
      </w:r>
    </w:p>
    <w:p>
      <w:pPr>
        <w:pStyle w:val="Normal"/>
        <w:jc w:val="both"/>
        <w:rPr>
          <w:b/>
          <w:b/>
          <w:bCs/>
          <w:i/>
          <w:i/>
          <w:iCs/>
          <w:color w:val="C9211E"/>
        </w:rPr>
      </w:pPr>
      <w:r>
        <w:rPr>
          <w:b/>
          <w:bCs/>
          <w:i/>
          <w:iCs/>
          <w:color w:val="C9211E"/>
        </w:rPr>
        <w:t>Uniform mode</w:t>
      </w:r>
    </w:p>
    <w:p>
      <w:pPr>
        <w:pStyle w:val="Normal"/>
        <w:jc w:val="both"/>
        <w:rPr/>
      </w:pPr>
      <w:r>
        <w:rPr/>
        <w:t>By default or when non-uniform mode is disabled (</w:t>
      </w:r>
      <w:r>
        <w:rPr>
          <w:rFonts w:cs="Courier New" w:ascii="Courier New" w:hAnsi="Courier New"/>
          <w:sz w:val="18"/>
        </w:rPr>
        <w:t>non-uniform 0;</w:t>
      </w:r>
      <w:r>
        <w:rPr/>
        <w:t xml:space="preserve">), 3D-ICE will discretize the chip’s uniformily. In this case, 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
                    <pic:cNvPicPr>
                      <a:picLocks noChangeAspect="1" noChangeArrowheads="1"/>
                    </pic:cNvPicPr>
                  </pic:nvPicPr>
                  <pic:blipFill>
                    <a:blip r:embed="rId24"/>
                    <a:stretch>
                      <a:fillRect/>
                    </a:stretch>
                  </pic:blipFill>
                  <pic:spPr bwMode="auto">
                    <a:xfrm>
                      <a:off x="0" y="0"/>
                      <a:ext cx="3714115" cy="880110"/>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5</w:t>
      </w:r>
      <w:r>
        <w:rPr/>
        <w:t>: Discretization of a single layer</w:t>
      </w:r>
    </w:p>
    <w:p>
      <w:pPr>
        <w:pStyle w:val="Normal"/>
        <w:keepNext w:val="true"/>
        <w:jc w:val="center"/>
        <w:rPr/>
      </w:pPr>
      <w:r>
        <w:rPr/>
        <w:drawing>
          <wp:inline distT="0" distB="0" distL="0" distR="0">
            <wp:extent cx="3787140" cy="1000760"/>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5"/>
                    <a:stretch>
                      <a:fillRect/>
                    </a:stretch>
                  </pic:blipFill>
                  <pic:spPr bwMode="auto">
                    <a:xfrm>
                      <a:off x="0" y="0"/>
                      <a:ext cx="3787140" cy="1000760"/>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6</w:t>
      </w:r>
      <w:r>
        <w:rPr/>
        <w:t>: Discretization of a single layer split into 2 layers</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 xml:space="preserve">cell length </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3"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43" descr=""/>
                    <pic:cNvPicPr>
                      <a:picLocks noChangeAspect="1" noChangeArrowheads="1"/>
                    </pic:cNvPicPr>
                  </pic:nvPicPr>
                  <pic:blipFill>
                    <a:blip r:embed="rId26"/>
                    <a:stretch>
                      <a:fillRect/>
                    </a:stretch>
                  </pic:blipFill>
                  <pic:spPr bwMode="auto">
                    <a:xfrm>
                      <a:off x="0" y="0"/>
                      <a:ext cx="2508885" cy="2973705"/>
                    </a:xfrm>
                    <a:prstGeom prst="rect">
                      <a:avLst/>
                    </a:prstGeom>
                  </pic:spPr>
                </pic:pic>
              </a:graphicData>
            </a:graphic>
          </wp:inline>
        </w:drawing>
      </w:r>
    </w:p>
    <w:p>
      <w:pPr>
        <w:pStyle w:val="Caption1"/>
        <w:jc w:val="center"/>
        <w:rPr/>
      </w:pPr>
      <w:r>
        <w:rPr/>
        <w:t>Figure 1</w:t>
      </w:r>
      <w:r>
        <w:rPr>
          <w:rFonts w:eastAsia="Calibri" w:cs=""/>
          <w:b/>
          <w:bCs/>
          <w:color w:val="000000" w:themeColor="text1"/>
          <w:kern w:val="0"/>
          <w:sz w:val="18"/>
          <w:szCs w:val="18"/>
          <w:lang w:val="en-US" w:eastAsia="en-US" w:bidi="ar-SA"/>
        </w:rPr>
        <w:t>7</w:t>
      </w:r>
      <w:r>
        <w:rPr/>
        <w:t>: Discretized computational domain for the stack shown in Fig. 15</w:t>
      </w:r>
    </w:p>
    <w:p>
      <w:pPr>
        <w:pStyle w:val="Caption1"/>
        <w:bidi w:val="0"/>
        <w:ind w:left="0" w:right="0" w:hanging="0"/>
        <w:jc w:val="left"/>
        <w:rPr>
          <w:color w:val="C9211E"/>
        </w:rPr>
      </w:pPr>
      <w:r>
        <w:rPr>
          <w:i/>
          <w:iCs/>
          <w:color w:val="C9211E"/>
          <w:sz w:val="22"/>
          <w:szCs w:val="22"/>
        </w:rPr>
        <w:t>Non-uniform mode</w:t>
      </w:r>
    </w:p>
    <w:p>
      <w:pPr>
        <w:pStyle w:val="Normal"/>
        <w:bidi w:val="0"/>
        <w:spacing w:lineRule="auto" w:line="276"/>
        <w:ind w:left="0" w:right="0" w:hanging="0"/>
        <w:jc w:val="both"/>
        <w:rPr/>
      </w:pPr>
      <w:r>
        <w:rPr/>
        <w:t>When non-uniform mode is enabled (</w:t>
      </w:r>
      <w:r>
        <w:rPr>
          <w:rFonts w:cs="Courier New" w:ascii="Courier New" w:hAnsi="Courier New"/>
          <w:sz w:val="18"/>
        </w:rPr>
        <w:t>non-uniform 1;</w:t>
      </w:r>
      <w:r>
        <w:rPr/>
        <w:t xml:space="preserve">), 3D-ICE will discretize the chip based on the cell length (along </w:t>
      </w:r>
      <w:r>
        <w:rPr>
          <w:i/>
        </w:rPr>
        <w:t>x</w:t>
      </w:r>
      <w:r>
        <w:rPr/>
        <w:t xml:space="preserve"> direction) and width (along </w:t>
      </w:r>
      <w:r>
        <w:rPr>
          <w:i/>
        </w:rPr>
        <w:t>y</w:t>
      </w:r>
      <w:r>
        <w:rPr/>
        <w:t xml:space="preserve"> direction) values. For instance, 200x200 in the following example. The default discretization granularity can be overwritten later in the stack and floorplan's definition.</w:t>
      </w:r>
    </w:p>
    <w:tbl>
      <w:tblPr>
        <w:tblW w:w="9576" w:type="dxa"/>
        <w:jc w:val="left"/>
        <w:tblInd w:w="-113" w:type="dxa"/>
        <w:tblLayout w:type="fixed"/>
        <w:tblCellMar>
          <w:top w:w="0" w:type="dxa"/>
          <w:left w:w="93" w:type="dxa"/>
          <w:bottom w:w="0" w:type="dxa"/>
          <w:right w:w="108" w:type="dxa"/>
        </w:tblCellMar>
      </w:tblPr>
      <w:tblGrid>
        <w:gridCol w:w="7036"/>
        <w:gridCol w:w="2539"/>
      </w:tblGrid>
      <w:tr>
        <w:trPr/>
        <w:tc>
          <w:tcPr>
            <w:tcW w:w="7036" w:type="dxa"/>
            <w:tcBorders>
              <w:top w:val="single" w:sz="4" w:space="0" w:color="000000"/>
              <w:left w:val="single" w:sz="4" w:space="0" w:color="000000"/>
            </w:tcBorders>
            <w:shd w:fill="auto" w:val="clear"/>
          </w:tcPr>
          <w:p>
            <w:pPr>
              <w:pStyle w:val="Normal"/>
              <w:widowControl w:val="false"/>
              <w:tabs>
                <w:tab w:val="clear" w:pos="720"/>
              </w:tabs>
              <w:bidi w:val="0"/>
              <w:spacing w:before="0" w:after="0"/>
              <w:ind w:left="0" w:right="0" w:hanging="0"/>
              <w:jc w:val="both"/>
              <w:rPr/>
            </w:pPr>
            <w:r>
              <w:rPr>
                <w:b/>
              </w:rPr>
              <w:t>Example</w:t>
            </w:r>
          </w:p>
        </w:tc>
        <w:tc>
          <w:tcPr>
            <w:tcW w:w="2539" w:type="dxa"/>
            <w:tcBorders>
              <w:top w:val="single" w:sz="4" w:space="0" w:color="000000"/>
              <w:right w:val="single" w:sz="4" w:space="0" w:color="000000"/>
            </w:tcBorders>
            <w:shd w:fill="auto" w:val="clear"/>
            <w:tcMar>
              <w:left w:w="113" w:type="dxa"/>
            </w:tcMar>
          </w:tcPr>
          <w:p>
            <w:pPr>
              <w:pStyle w:val="Normal"/>
              <w:widowControl w:val="false"/>
              <w:tabs>
                <w:tab w:val="clear" w:pos="720"/>
              </w:tabs>
              <w:bidi w:val="0"/>
              <w:spacing w:before="0" w:after="0"/>
              <w:ind w:left="0" w:right="0" w:hanging="0"/>
              <w:jc w:val="both"/>
              <w:rPr/>
            </w:pPr>
            <w:r>
              <w:rPr/>
            </w:r>
          </w:p>
        </w:tc>
      </w:tr>
      <w:tr>
        <w:trPr/>
        <w:tc>
          <w:tcPr>
            <w:tcW w:w="7036" w:type="dxa"/>
            <w:tcBorders>
              <w:left w:val="single" w:sz="4" w:space="0" w:color="000000"/>
              <w:bottom w:val="single" w:sz="4" w:space="0" w:color="000000"/>
            </w:tcBorders>
            <w:shd w:fill="auto" w:val="clear"/>
          </w:tcPr>
          <w:p>
            <w:pPr>
              <w:pStyle w:val="Normal"/>
              <w:widowControl w:val="false"/>
              <w:tabs>
                <w:tab w:val="clear" w:pos="720"/>
              </w:tabs>
              <w:bidi w:val="0"/>
              <w:spacing w:before="0" w:after="0"/>
              <w:ind w:left="720" w:right="0" w:hanging="0"/>
              <w:jc w:val="both"/>
              <w:rPr/>
            </w:pPr>
            <w:r>
              <w:rPr>
                <w:rFonts w:cs="Courier New" w:ascii="Courier New" w:hAnsi="Courier New"/>
                <w:sz w:val="18"/>
              </w:rPr>
              <w:t>dimension :</w:t>
            </w:r>
          </w:p>
          <w:p>
            <w:pPr>
              <w:pStyle w:val="Normal"/>
              <w:widowControl w:val="false"/>
              <w:tabs>
                <w:tab w:val="clear" w:pos="720"/>
              </w:tabs>
              <w:bidi w:val="0"/>
              <w:spacing w:before="0" w:after="0"/>
              <w:ind w:left="1440" w:right="0" w:hanging="0"/>
              <w:jc w:val="both"/>
              <w:rPr/>
            </w:pPr>
            <w:r>
              <w:rPr>
                <w:rFonts w:cs="Courier New" w:ascii="Courier New" w:hAnsi="Courier New"/>
                <w:sz w:val="18"/>
              </w:rPr>
              <w:t>chip length 10000, width 10000;</w:t>
            </w:r>
          </w:p>
          <w:p>
            <w:pPr>
              <w:pStyle w:val="Normal"/>
              <w:widowControl w:val="false"/>
              <w:tabs>
                <w:tab w:val="clear" w:pos="720"/>
              </w:tabs>
              <w:bidi w:val="0"/>
              <w:spacing w:before="0" w:after="0"/>
              <w:ind w:left="1440" w:right="0" w:hanging="0"/>
              <w:jc w:val="both"/>
              <w:rPr/>
            </w:pPr>
            <w:r>
              <w:rPr>
                <w:rFonts w:cs="Courier New" w:ascii="Courier New" w:hAnsi="Courier New"/>
                <w:sz w:val="18"/>
              </w:rPr>
              <w:t>cell length 50, width 50;</w:t>
            </w:r>
          </w:p>
          <w:p>
            <w:pPr>
              <w:pStyle w:val="Normal"/>
              <w:widowControl w:val="false"/>
              <w:tabs>
                <w:tab w:val="clear" w:pos="720"/>
              </w:tabs>
              <w:bidi w:val="0"/>
              <w:spacing w:before="0" w:after="0"/>
              <w:ind w:left="1440" w:right="0" w:hanging="0"/>
              <w:jc w:val="both"/>
              <w:rPr/>
            </w:pPr>
            <w:r>
              <w:rPr>
                <w:rFonts w:cs="Courier New" w:ascii="Courier New" w:hAnsi="Courier New"/>
                <w:sz w:val="18"/>
              </w:rPr>
              <w:t>non-uniform 1;</w:t>
            </w:r>
          </w:p>
        </w:tc>
        <w:tc>
          <w:tcPr>
            <w:tcW w:w="2539" w:type="dxa"/>
            <w:tcBorders>
              <w:bottom w:val="single" w:sz="4" w:space="0" w:color="000000"/>
              <w:right w:val="single" w:sz="4" w:space="0" w:color="000000"/>
            </w:tcBorders>
            <w:shd w:fill="auto" w:val="clear"/>
            <w:tcMar>
              <w:left w:w="113" w:type="dxa"/>
            </w:tcMar>
          </w:tcPr>
          <w:p>
            <w:pPr>
              <w:pStyle w:val="Normal"/>
              <w:widowControl w:val="false"/>
              <w:tabs>
                <w:tab w:val="clear" w:pos="720"/>
              </w:tabs>
              <w:bidi w:val="0"/>
              <w:spacing w:before="0" w:after="0"/>
              <w:ind w:left="0" w:right="0" w:hanging="0"/>
              <w:jc w:val="both"/>
              <w:rPr/>
            </w:pPr>
            <w:r>
              <w:rPr/>
            </w:r>
          </w:p>
        </w:tc>
      </w:tr>
    </w:tbl>
    <w:p>
      <w:pPr>
        <w:pStyle w:val="Normal"/>
        <w:bidi w:val="0"/>
        <w:spacing w:lineRule="auto" w:line="276" w:before="0" w:after="0"/>
        <w:ind w:left="0" w:right="0" w:hanging="0"/>
        <w:jc w:val="left"/>
        <w:rPr/>
      </w:pPr>
      <w:r>
        <w:rPr/>
      </w:r>
    </w:p>
    <w:p>
      <w:pPr>
        <w:pStyle w:val="Normal"/>
        <w:bidi w:val="0"/>
        <w:spacing w:lineRule="auto" w:line="276" w:before="0" w:after="0"/>
        <w:ind w:left="0" w:right="0" w:hanging="0"/>
        <w:jc w:val="left"/>
        <w:rPr/>
      </w:pPr>
      <w:r>
        <w:rPr/>
        <w:t>Contrary to the uniform mode, the discretization level of each layer strictly follows its own discretization setting and will not be overwritten  by the microchannel’s channel length setting. Note that due to the complexity of liquid cooling, the microchannel layer still follows the same discretization method as the uniform mode.</w:t>
      </w:r>
    </w:p>
    <w:p>
      <w:pPr>
        <w:pStyle w:val="Normal"/>
        <w:rPr/>
      </w:pPr>
      <w:r>
        <w:rPr/>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94" w:name="__RefHeading___Toc3088_2224355866"/>
      <w:bookmarkEnd w:id="94"/>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[discretization DVALUE DVALUE]?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[discretization DVALUE DVALUE]?;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ListParagraph"/>
        <w:numPr>
          <w:ilvl w:val="0"/>
          <w:numId w:val="10"/>
        </w:numPr>
        <w:jc w:val="both"/>
        <w:rPr/>
      </w:pPr>
      <w:r>
        <w:rPr>
          <w:rFonts w:ascii="Courier New" w:hAnsi="Courier New"/>
          <w:sz w:val="18"/>
          <w:szCs w:val="18"/>
        </w:rPr>
        <w:t xml:space="preserve">[discretization DVALUE DVALUE]? </w:t>
      </w:r>
      <w:r>
        <w:rPr/>
        <w:t>is the optional discretization level for layers or die. This argument only takes effect in the non-uniform mode. In the non-uniform mode, If the discretization level is not specified, the layer or die will take default values from the dimension setting. Otherwise, the defined discretization values will overwrite the default one derived from the dimension setting. In this way, the user can have a fully custom discretization design for different layers.</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5474"/>
        <w:gridCol w:w="4175"/>
      </w:tblGrid>
      <w:tr>
        <w:trPr/>
        <w:tc>
          <w:tcPr>
            <w:tcW w:w="5474"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uniform mode</w:t>
            </w:r>
          </w:p>
        </w:tc>
        <w:tc>
          <w:tcPr>
            <w:tcW w:w="4175"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rHeight w:val="3331" w:hRule="atLeast"/>
        </w:trPr>
        <w:tc>
          <w:tcPr>
            <w:tcW w:w="5474"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pPr>
            <w:r>
              <w:rPr>
                <w:rFonts w:cs="Courier New" w:ascii="Courier New" w:hAnsi="Courier New"/>
                <w:sz w:val="18"/>
              </w:rPr>
              <w:t>top heat sink:</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 300;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widowControl w:val="false"/>
              <w:spacing w:before="0" w:after="0"/>
              <w:rPr/>
            </w:pPr>
            <w:r>
              <w:rPr/>
            </w:r>
          </w:p>
          <w:p>
            <w:pPr>
              <w:pStyle w:val="Normal"/>
              <w:keepNext w:val="true"/>
              <w:widowControl w:val="false"/>
              <w:spacing w:before="0" w:after="0"/>
              <w:jc w:val="center"/>
              <w:rPr>
                <w:sz w:val="20"/>
              </w:rPr>
            </w:pPr>
            <w:r>
              <w:rPr>
                <w:sz w:val="20"/>
              </w:rPr>
              <w:drawing>
                <wp:inline distT="0" distB="0" distL="0" distR="0">
                  <wp:extent cx="2513965" cy="2363470"/>
                  <wp:effectExtent l="0" t="0" r="0" b="0"/>
                  <wp:docPr id="24"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2" descr=""/>
                          <pic:cNvPicPr>
                            <a:picLocks noChangeAspect="1" noChangeArrowheads="1"/>
                          </pic:cNvPicPr>
                        </pic:nvPicPr>
                        <pic:blipFill>
                          <a:blip r:embed="rId27"/>
                          <a:stretch>
                            <a:fillRect/>
                          </a:stretch>
                        </pic:blipFill>
                        <pic:spPr bwMode="auto">
                          <a:xfrm>
                            <a:off x="0" y="0"/>
                            <a:ext cx="2513965" cy="2363470"/>
                          </a:xfrm>
                          <a:prstGeom prst="rect">
                            <a:avLst/>
                          </a:prstGeom>
                        </pic:spPr>
                      </pic:pic>
                    </a:graphicData>
                  </a:graphic>
                </wp:inline>
              </w:drawing>
            </w:r>
          </w:p>
          <w:p>
            <w:pPr>
              <w:pStyle w:val="Caption1"/>
              <w:widowControl w:val="false"/>
              <w:spacing w:before="0" w:after="0"/>
              <w:jc w:val="center"/>
              <w:rPr/>
            </w:pPr>
            <w:r>
              <w:rPr/>
              <w:t>Figure 1</w:t>
            </w:r>
            <w:r>
              <w:rPr>
                <w:rFonts w:eastAsia="Calibri" w:cs=""/>
                <w:b/>
                <w:bCs/>
                <w:color w:val="000000" w:themeColor="text1"/>
                <w:kern w:val="0"/>
                <w:sz w:val="18"/>
                <w:szCs w:val="18"/>
                <w:lang w:val="en-US" w:eastAsia="en-US" w:bidi="ar-SA"/>
              </w:rPr>
              <w:t>8 (a)</w:t>
            </w:r>
            <w:r>
              <w:rPr/>
              <w:t>: Complete stack</w:t>
            </w:r>
          </w:p>
        </w:tc>
      </w:tr>
      <w:tr>
        <w:trPr>
          <w:trHeight w:val="1873" w:hRule="atLeast"/>
        </w:trPr>
        <w:tc>
          <w:tcPr>
            <w:tcW w:w="9649" w:type="dxa"/>
            <w:gridSpan w:val="2"/>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u w:val="double"/>
              </w:rPr>
            </w:pPr>
            <w:r>
              <w:rPr>
                <w:rFonts w:cs="Courier New" w:ascii="Courier New" w:hAnsi="Courier New"/>
                <w:sz w:val="20"/>
                <w:u w:val="double"/>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 “./core.flp”;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keepNext w:val="true"/>
              <w:widowControl w:val="false"/>
              <w:tabs>
                <w:tab w:val="clear" w:pos="720"/>
                <w:tab w:val="left" w:pos="1703" w:leader="none"/>
              </w:tabs>
              <w:spacing w:lineRule="auto" w:line="240" w:before="0" w:after="0"/>
              <w:ind w:left="720" w:hanging="0"/>
              <w:jc w:val="left"/>
              <w:rPr/>
            </w:pPr>
            <w:r>
              <w:rPr>
                <w:rFonts w:cs="Courier New" w:ascii="Courier New" w:hAnsi="Courier New"/>
                <w:sz w:val="18"/>
              </w:rPr>
              <w:t>layer   BOTTOM_MOST    PCB ;</w:t>
            </w:r>
          </w:p>
        </w:tc>
      </w:tr>
    </w:tbl>
    <w:p>
      <w:pPr>
        <w:pStyle w:val="Normal"/>
        <w:jc w:val="both"/>
        <w:rPr/>
      </w:pPr>
      <w:r>
        <w:rPr/>
      </w:r>
    </w:p>
    <w:tbl>
      <w:tblPr>
        <w:tblStyle w:val="Tabellenraster"/>
        <w:tblW w:w="9650"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5474"/>
        <w:gridCol w:w="4175"/>
      </w:tblGrid>
      <w:tr>
        <w:trPr/>
        <w:tc>
          <w:tcPr>
            <w:tcW w:w="5474" w:type="dxa"/>
            <w:tcBorders>
              <w:bottom w:val="nil"/>
              <w:right w:val="nil"/>
            </w:tcBorders>
            <w:shd w:fill="auto" w:val="clear"/>
            <w:vAlign w:val="center"/>
          </w:tcPr>
          <w:p>
            <w:pPr>
              <w:pStyle w:val="Normal"/>
              <w:widowControl w:val="false"/>
              <w:spacing w:lineRule="auto" w:line="240" w:before="0" w:after="0"/>
              <w:jc w:val="left"/>
              <w:rPr>
                <w:b/>
                <w:b/>
              </w:rPr>
            </w:pPr>
            <w:r>
              <w:rPr>
                <w:b/>
                <w:sz w:val="20"/>
              </w:rPr>
              <w:t>Example: non-uniform mode</w:t>
            </w:r>
          </w:p>
        </w:tc>
        <w:tc>
          <w:tcPr>
            <w:tcW w:w="4175" w:type="dxa"/>
            <w:tcBorders>
              <w:left w:val="nil"/>
              <w:bottom w:val="nil"/>
            </w:tcBorders>
            <w:shd w:fill="auto" w:val="clear"/>
            <w:tcMar>
              <w:left w:w="113" w:type="dxa"/>
            </w:tcMar>
            <w:vAlign w:val="center"/>
          </w:tcPr>
          <w:p>
            <w:pPr>
              <w:pStyle w:val="Normal"/>
              <w:keepNext w:val="true"/>
              <w:widowControl w:val="false"/>
              <w:spacing w:lineRule="auto" w:line="240" w:before="0" w:after="0"/>
              <w:jc w:val="center"/>
              <w:rPr>
                <w:sz w:val="20"/>
              </w:rPr>
            </w:pPr>
            <w:r>
              <w:rPr>
                <w:sz w:val="20"/>
              </w:rPr>
            </w:r>
          </w:p>
        </w:tc>
      </w:tr>
      <w:tr>
        <w:trPr>
          <w:trHeight w:val="3331" w:hRule="atLeast"/>
        </w:trPr>
        <w:tc>
          <w:tcPr>
            <w:tcW w:w="5474"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pPr>
            <w:r>
              <w:rPr>
                <w:rFonts w:cs="Courier New" w:ascii="Courier New" w:hAnsi="Courier New"/>
                <w:sz w:val="18"/>
              </w:rPr>
              <w:t>top heat sink:</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tcBorders>
            <w:shd w:fill="auto" w:val="clear"/>
            <w:tcMar>
              <w:left w:w="113" w:type="dxa"/>
            </w:tcMar>
            <w:vAlign w:val="center"/>
          </w:tcPr>
          <w:p>
            <w:pPr>
              <w:pStyle w:val="Caption1"/>
              <w:widowControl w:val="false"/>
              <w:spacing w:before="0" w:after="0"/>
              <w:rPr/>
            </w:pPr>
            <w:r>
              <w:rPr/>
              <w:drawing>
                <wp:anchor behindDoc="0" distT="0" distB="0" distL="0" distR="0" simplePos="0" locked="0" layoutInCell="1" allowOverlap="1" relativeHeight="54">
                  <wp:simplePos x="0" y="0"/>
                  <wp:positionH relativeFrom="column">
                    <wp:posOffset>34290</wp:posOffset>
                  </wp:positionH>
                  <wp:positionV relativeFrom="paragraph">
                    <wp:posOffset>292100</wp:posOffset>
                  </wp:positionV>
                  <wp:extent cx="2511425" cy="161163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28"/>
                          <a:stretch>
                            <a:fillRect/>
                          </a:stretch>
                        </pic:blipFill>
                        <pic:spPr bwMode="auto">
                          <a:xfrm>
                            <a:off x="0" y="0"/>
                            <a:ext cx="2511425" cy="1611630"/>
                          </a:xfrm>
                          <a:prstGeom prst="rect">
                            <a:avLst/>
                          </a:prstGeom>
                        </pic:spPr>
                      </pic:pic>
                    </a:graphicData>
                  </a:graphic>
                </wp:anchor>
              </w:drawing>
            </w:r>
          </w:p>
          <w:p>
            <w:pPr>
              <w:pStyle w:val="Normal"/>
              <w:keepNext w:val="true"/>
              <w:widowControl w:val="false"/>
              <w:spacing w:before="0" w:after="0"/>
              <w:jc w:val="center"/>
              <w:rPr>
                <w:sz w:val="20"/>
              </w:rPr>
            </w:pPr>
            <w:r>
              <w:rPr>
                <w:sz w:val="20"/>
              </w:rPr>
            </w:r>
          </w:p>
          <w:p>
            <w:pPr>
              <w:pStyle w:val="Caption1"/>
              <w:widowControl w:val="false"/>
              <w:spacing w:before="0" w:after="0"/>
              <w:jc w:val="center"/>
              <w:rPr/>
            </w:pPr>
            <w:r>
              <w:rPr/>
              <w:t>Figure 18 (b): Complete stack and discretization</w:t>
            </w:r>
          </w:p>
        </w:tc>
      </w:tr>
      <w:tr>
        <w:trPr>
          <w:trHeight w:val="1873" w:hRule="atLeast"/>
        </w:trPr>
        <w:tc>
          <w:tcPr>
            <w:tcW w:w="9649" w:type="dxa"/>
            <w:gridSpan w:val="2"/>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non-uniform 1;</w:t>
            </w:r>
          </w:p>
          <w:p>
            <w:pPr>
              <w:pStyle w:val="Normal"/>
              <w:widowControl w:val="false"/>
              <w:spacing w:lineRule="auto" w:line="240" w:before="0" w:after="0"/>
              <w:ind w:left="1440" w:hanging="0"/>
              <w:jc w:val="left"/>
              <w:rPr>
                <w:rFonts w:ascii="Courier New" w:hAnsi="Courier New" w:cs="Courier New"/>
                <w:sz w:val="18"/>
                <w:u w:val="double"/>
              </w:rPr>
            </w:pPr>
            <w:r>
              <w:rPr>
                <w:rFonts w:cs="Courier New" w:ascii="Courier New" w:hAnsi="Courier New"/>
                <w:sz w:val="20"/>
                <w:u w:val="double"/>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 discretization 3 3;</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 xml:space="preserve">die     CORE_DIE       BOTTOM_IC floorplan “./core.flp”discretization </w:t>
            </w:r>
            <w:r>
              <w:rPr>
                <w:rFonts w:eastAsia="Calibri" w:cs="Courier New" w:ascii="Courier New" w:hAnsi="Courier New" w:eastAsiaTheme="minorHAnsi"/>
                <w:color w:val="00000A"/>
                <w:kern w:val="0"/>
                <w:sz w:val="18"/>
                <w:szCs w:val="22"/>
                <w:lang w:val="en-US" w:eastAsia="en-US" w:bidi="ar-SA"/>
              </w:rPr>
              <w:t>5</w:t>
            </w:r>
            <w:r>
              <w:rPr>
                <w:rFonts w:cs="Courier New" w:ascii="Courier New" w:hAnsi="Courier New"/>
                <w:sz w:val="18"/>
              </w:rPr>
              <w:t xml:space="preserve"> </w:t>
            </w:r>
            <w:r>
              <w:rPr>
                <w:rFonts w:eastAsia="Calibri" w:cs="Courier New" w:ascii="Courier New" w:hAnsi="Courier New" w:eastAsiaTheme="minorHAnsi"/>
                <w:color w:val="00000A"/>
                <w:kern w:val="0"/>
                <w:sz w:val="18"/>
                <w:szCs w:val="22"/>
                <w:lang w:val="en-US" w:eastAsia="en-US" w:bidi="ar-SA"/>
              </w:rPr>
              <w:t>5</w:t>
            </w:r>
            <w:r>
              <w:rPr>
                <w:rFonts w:cs="Courier New" w:ascii="Courier New" w:hAnsi="Courier New"/>
                <w:sz w:val="18"/>
              </w:rPr>
              <w:t>;</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keepNext w:val="true"/>
              <w:widowControl w:val="false"/>
              <w:tabs>
                <w:tab w:val="clear" w:pos="720"/>
                <w:tab w:val="left" w:pos="1703" w:leader="none"/>
              </w:tabs>
              <w:spacing w:lineRule="auto" w:line="240" w:before="0" w:after="0"/>
              <w:ind w:left="720" w:hanging="0"/>
              <w:jc w:val="left"/>
              <w:rPr/>
            </w:pPr>
            <w:r>
              <w:rPr>
                <w:rFonts w:cs="Courier New" w:ascii="Courier New" w:hAnsi="Courier New"/>
                <w:sz w:val="18"/>
              </w:rPr>
              <w:t>layer   BOTTOM_MOST    PCB ;</w:t>
            </w:r>
          </w:p>
        </w:tc>
      </w:tr>
    </w:tbl>
    <w:p>
      <w:pPr>
        <w:pStyle w:val="Heading3"/>
        <w:numPr>
          <w:ilvl w:val="0"/>
          <w:numId w:val="22"/>
        </w:numPr>
        <w:ind w:left="426" w:hanging="142"/>
        <w:rPr/>
      </w:pPr>
      <w:bookmarkStart w:id="95" w:name="__RefHeading___Toc2983_2393532176"/>
      <w:bookmarkEnd w:id="95"/>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 transient simulation in 3D-ICE (note that while performing co-simulation this is also the step at which the heat sink model will be simulated),</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 xml:space="preserve">initial temperature </w:t>
      </w:r>
      <w:r>
        <w:rPr/>
        <w:t>denotes the initial temperature (in K) for the simulation.</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 (steady state)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bottom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steady;</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c>
          <w:tcPr>
            <w:tcW w:w="2538" w:type="dxa"/>
            <w:tcBorders>
              <w:top w:val="nil"/>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bottom w:val="nil"/>
              <w:right w:val="nil"/>
            </w:tcBorders>
            <w:shd w:fill="auto" w:val="clear"/>
          </w:tcPr>
          <w:p>
            <w:pPr>
              <w:pStyle w:val="Normal"/>
              <w:widowControl w:val="false"/>
              <w:spacing w:lineRule="auto" w:line="240" w:before="0" w:after="0"/>
              <w:jc w:val="both"/>
              <w:rPr>
                <w:rFonts w:ascii="Courier New" w:hAnsi="Courier New" w:cs="Courier New"/>
                <w:sz w:val="18"/>
              </w:rPr>
            </w:pPr>
            <w:r>
              <w:rPr>
                <w:b/>
                <w:sz w:val="20"/>
              </w:rPr>
              <w:t>Example (transient)</w:t>
            </w:r>
          </w:p>
        </w:tc>
        <w:tc>
          <w:tcPr>
            <w:tcW w:w="2538" w:type="dxa"/>
            <w:tcBorders>
              <w:top w:val="nil"/>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transient step 0.02, slot 0.2;</w:t>
            </w:r>
          </w:p>
          <w:p>
            <w:pPr>
              <w:pStyle w:val="Normal"/>
              <w:widowControl w:val="false"/>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widowControl w:val="false"/>
              <w:spacing w:lineRule="auto" w:line="240" w:before="0" w:after="0"/>
              <w:ind w:left="720" w:hanging="0"/>
              <w:jc w:val="both"/>
              <w:rPr>
                <w:b/>
                <w:b/>
              </w:rPr>
            </w:pPr>
            <w:r>
              <w:rPr>
                <w:b/>
                <w:sz w:val="20"/>
              </w:rPr>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b/>
          <w:b/>
        </w:rPr>
      </w:pPr>
      <w:r>
        <w:rPr>
          <w:b/>
        </w:rPr>
      </w:r>
    </w:p>
    <w:p>
      <w:pPr>
        <w:pStyle w:val="Heading3"/>
        <w:numPr>
          <w:ilvl w:val="0"/>
          <w:numId w:val="22"/>
        </w:numPr>
        <w:ind w:left="426" w:hanging="153"/>
        <w:rPr/>
      </w:pPr>
      <w:bookmarkStart w:id="96" w:name="__RefHeading___Toc2985_2393532176"/>
      <w:bookmarkStart w:id="97" w:name="_Toc442446453"/>
      <w:bookmarkEnd w:id="96"/>
      <w:bookmarkEnd w:id="97"/>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 xml:space="preserve">INSTANCE_ID </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 xml:space="preserve">Tflp </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 xml:space="preserve">OUTTYPE_ID </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respectively, </w:t>
      </w:r>
    </w:p>
    <w:p>
      <w:pPr>
        <w:pStyle w:val="ListParagraph"/>
        <w:numPr>
          <w:ilvl w:val="1"/>
          <w:numId w:val="7"/>
        </w:numPr>
        <w:jc w:val="both"/>
        <w:rPr/>
      </w:pPr>
      <w:r>
        <w:rPr>
          <w:rFonts w:cs="Courier New" w:ascii="Courier New" w:hAnsi="Courier New"/>
          <w:sz w:val="18"/>
        </w:rPr>
        <w:t xml:space="preserve">INSTANCE_ID </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 xml:space="preserve">Tflpel </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Tmap </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Pmap </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 xml:space="preserve">Tcoolant </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98" w:name="__RefHeading___Toc2987_2393532176"/>
      <w:bookmarkStart w:id="99" w:name="_Toc442446454"/>
      <w:bookmarkEnd w:id="98"/>
      <w:bookmarkEnd w:id="99"/>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9606"/>
      </w:tblGrid>
      <w:tr>
        <w:trPr/>
        <w:tc>
          <w:tcPr>
            <w:tcW w:w="9606"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 (steady state)</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left"/>
              <w:rPr/>
            </w:pPr>
            <w:r>
              <w:rPr>
                <w:rFonts w:cs="Courier New" w:ascii="Courier New" w:hAnsi="Courier New"/>
                <w:sz w:val="18"/>
              </w:rPr>
              <w:t>temperature 300;</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 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temperature300;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layer   BOTTOM_MOST    PCB ;</w:t>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solver:</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steady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initial temperature 300.0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output:</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 MEMORY_DIE, 5000, 3000, "output1.txt",final);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Tmap( CORE_DIE, "output2.txt",  final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Pmap( CORE_DIE, "output3.txt",  final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Tflpel(CORE_DIE.core1, "output4.txt", average);</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tc>
      </w:tr>
    </w:tbl>
    <w:p>
      <w:pPr>
        <w:pStyle w:val="Normal"/>
        <w:rPr/>
      </w:pPr>
      <w:r>
        <w:rPr/>
      </w:r>
    </w:p>
    <w:tbl>
      <w:tblPr>
        <w:tblStyle w:val="Tabellenraster"/>
        <w:tblW w:w="960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9606"/>
      </w:tblGrid>
      <w:tr>
        <w:trPr/>
        <w:tc>
          <w:tcPr>
            <w:tcW w:w="9606" w:type="dxa"/>
            <w:tcBorders>
              <w:bottom w:val="nil"/>
              <w:right w:val="nil"/>
            </w:tcBorders>
            <w:shd w:fill="auto" w:val="clear"/>
            <w:vAlign w:val="center"/>
          </w:tcPr>
          <w:p>
            <w:pPr>
              <w:pStyle w:val="Normal"/>
              <w:widowControl w:val="false"/>
              <w:spacing w:lineRule="auto" w:line="240" w:before="0" w:after="0"/>
              <w:jc w:val="both"/>
              <w:rPr>
                <w:b/>
                <w:b/>
              </w:rPr>
            </w:pPr>
            <w:r>
              <w:rPr>
                <w:b/>
                <w:sz w:val="20"/>
              </w:rPr>
              <w:t>Example (transient)</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1.30e-4;</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1.628e-12;</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thermal conductivity     2.25e-6;</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volumetric heat capacity 2.175e-12;</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widowControl w:val="false"/>
              <w:spacing w:lineRule="auto" w:line="240" w:before="0" w:after="0"/>
              <w:ind w:left="720" w:hanging="0"/>
              <w:jc w:val="left"/>
              <w:rPr/>
            </w:pPr>
            <w:r>
              <w:rPr>
                <w:rFonts w:cs="Courier New" w:ascii="Courier New" w:hAnsi="Courier New"/>
                <w:sz w:val="18"/>
              </w:rPr>
              <w:t>temperature 300;</w:t>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microchannel4rm:</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height 100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channel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length 50;</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first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last  wall length 25;</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wall material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flow rate 42;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heat transfer coefficient top 5.7132e-8,</w:t>
            </w:r>
          </w:p>
          <w:p>
            <w:pPr>
              <w:pStyle w:val="Normal"/>
              <w:widowControl w:val="false"/>
              <w:spacing w:lineRule="auto" w:line="240" w:before="0" w:after="0"/>
              <w:ind w:left="2160" w:hanging="0"/>
              <w:jc w:val="left"/>
              <w:rPr>
                <w:rFonts w:ascii="Courier New" w:hAnsi="Courier New" w:cs="Courier New"/>
                <w:sz w:val="18"/>
              </w:rPr>
            </w:pPr>
            <w:r>
              <w:rPr>
                <w:rFonts w:cs="Courier New" w:ascii="Courier New" w:hAnsi="Courier New"/>
                <w:sz w:val="18"/>
              </w:rPr>
              <w:t>bottom 4.7132e-8;</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volumetric heat capacity 4.172e-12;</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coolant incoming temperature 300;</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layer PCB:</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material BEOL ;</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left"/>
              <w:rPr>
                <w:rFonts w:ascii="Courier New" w:hAnsi="Courier New" w:cs="Courier New"/>
                <w:sz w:val="18"/>
              </w:rPr>
            </w:pPr>
            <w:r>
              <w:rPr>
                <w:rFonts w:cs="Courier New" w:ascii="Courier New" w:hAnsi="Courier New"/>
                <w:sz w:val="18"/>
              </w:rPr>
              <w:t>layer 50 SILICON;</w:t>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tcBorders>
            <w:shd w:fill="auto" w:val="clear"/>
            <w:vAlign w:val="center"/>
          </w:tcPr>
          <w:p>
            <w:pPr>
              <w:pStyle w:val="Normal"/>
              <w:widowControl w:val="false"/>
              <w:spacing w:lineRule="auto" w:line="240" w:before="0" w:after="0"/>
              <w:jc w:val="both"/>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chip length 10000, width 10000;</w:t>
            </w:r>
          </w:p>
          <w:p>
            <w:pPr>
              <w:pStyle w:val="Normal"/>
              <w:widowControl w:val="false"/>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widowControl w:val="false"/>
              <w:spacing w:lineRule="auto" w:line="240" w:before="0" w:after="0"/>
              <w:ind w:left="1440" w:hanging="0"/>
              <w:jc w:val="left"/>
              <w:rPr>
                <w:rFonts w:ascii="Courier New" w:hAnsi="Courier New" w:cs="Courier New"/>
                <w:sz w:val="18"/>
              </w:rPr>
            </w:pPr>
            <w:r>
              <w:rPr>
                <w:rFonts w:cs="Courier New" w:ascii="Courier New" w:hAnsi="Courier New"/>
                <w:sz w:val="20"/>
              </w:rPr>
            </w:r>
          </w:p>
          <w:p>
            <w:pPr>
              <w:pStyle w:val="Normal"/>
              <w:widowControl w:val="false"/>
              <w:spacing w:lineRule="auto" w:line="240" w:before="0" w:after="0"/>
              <w:jc w:val="left"/>
              <w:rPr>
                <w:rFonts w:ascii="Courier New" w:hAnsi="Courier New" w:cs="Courier New"/>
                <w:sz w:val="18"/>
              </w:rPr>
            </w:pPr>
            <w:r>
              <w:rPr>
                <w:rFonts w:cs="Courier New" w:ascii="Courier New" w:hAnsi="Courier New"/>
                <w:sz w:val="18"/>
              </w:rPr>
              <w:t>stack:</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MEMORY_DIE     TOP_IC    floorplan “./mem.flp”;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TOP_CHANNEL;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die     CORE_DIE       BOTTOM_IC floorplan “./core.flp”;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channel BOTTOM_CHANNEL;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layer   BOTTOM_MOST    PCB ;</w:t>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solver:</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transient step 0.02, slot 0.2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initial temperature 300.0 ;</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20"/>
              </w:rPr>
            </w:r>
          </w:p>
          <w:p>
            <w:pPr>
              <w:pStyle w:val="Normal"/>
              <w:widowControl w:val="false"/>
              <w:tabs>
                <w:tab w:val="clear" w:pos="720"/>
                <w:tab w:val="left" w:pos="1700" w:leader="none"/>
              </w:tabs>
              <w:spacing w:lineRule="auto" w:line="240" w:before="0" w:after="0"/>
              <w:jc w:val="left"/>
              <w:rPr>
                <w:rFonts w:ascii="Courier New" w:hAnsi="Courier New" w:cs="Courier New"/>
                <w:sz w:val="18"/>
              </w:rPr>
            </w:pPr>
            <w:r>
              <w:rPr>
                <w:rFonts w:cs="Courier New" w:ascii="Courier New" w:hAnsi="Courier New"/>
                <w:sz w:val="18"/>
              </w:rPr>
              <w:t>output:</w:t>
            </w:r>
          </w:p>
          <w:p>
            <w:pPr>
              <w:pStyle w:val="Normal"/>
              <w:widowControl w:val="false"/>
              <w:tabs>
                <w:tab w:val="clear" w:pos="720"/>
                <w:tab w:val="left" w:pos="1700" w:leader="none"/>
              </w:tabs>
              <w:spacing w:lineRule="auto" w:line="240" w:before="0" w:after="0"/>
              <w:ind w:left="720" w:hanging="0"/>
              <w:jc w:val="left"/>
              <w:rPr>
                <w:rFonts w:ascii="Courier New" w:hAnsi="Courier New" w:cs="Courier New"/>
                <w:sz w:val="18"/>
              </w:rPr>
            </w:pPr>
            <w:r>
              <w:rPr>
                <w:rFonts w:cs="Courier New" w:ascii="Courier New" w:hAnsi="Courier New"/>
                <w:sz w:val="18"/>
              </w:rPr>
              <w:t>T( MEMORY_DIE, 5000, 3000, "output1.txt",step);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Tmap( CORE_DIE, "output2.txt",  slot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Pmap( CORE_DIE, "output3.txt",  slot );</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 MEMORY_DIE, "output4.txt", minimum, step);</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Tflpel(CORE_DIE.core1, "output5.txt", average, final);</w:t>
            </w:r>
          </w:p>
          <w:p>
            <w:pPr>
              <w:pStyle w:val="Normal"/>
              <w:widowControl w:val="false"/>
              <w:tabs>
                <w:tab w:val="clear" w:pos="720"/>
                <w:tab w:val="left" w:pos="1703" w:leader="none"/>
              </w:tabs>
              <w:spacing w:lineRule="auto" w:line="240" w:before="0" w:after="0"/>
              <w:ind w:left="720" w:hanging="0"/>
              <w:jc w:val="left"/>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tcBorders>
            <w:shd w:fill="auto" w:val="clear"/>
            <w:vAlign w:val="center"/>
          </w:tcPr>
          <w:p>
            <w:pPr>
              <w:pStyle w:val="Normal"/>
              <w:widowControl w:val="false"/>
              <w:spacing w:lineRule="auto" w:line="240" w:before="0" w:after="0"/>
              <w:jc w:val="both"/>
              <w:rPr>
                <w:b/>
                <w:b/>
              </w:rPr>
            </w:pPr>
            <w:r>
              <w:rPr>
                <w:b/>
                <w:sz w:val="20"/>
              </w:rPr>
            </w:r>
          </w:p>
        </w:tc>
      </w:tr>
    </w:tbl>
    <w:p>
      <w:pPr>
        <w:pStyle w:val="Normal"/>
        <w:rPr/>
      </w:pPr>
      <w:r>
        <w:rPr/>
      </w:r>
    </w:p>
    <w:p>
      <w:pPr>
        <w:pStyle w:val="Heading2"/>
        <w:numPr>
          <w:ilvl w:val="0"/>
          <w:numId w:val="20"/>
        </w:numPr>
        <w:rPr/>
      </w:pPr>
      <w:bookmarkStart w:id="100" w:name="__RefHeading___Toc2989_2393532176"/>
      <w:bookmarkStart w:id="101" w:name="_Toc442446455"/>
      <w:bookmarkEnd w:id="100"/>
      <w:bookmarkEnd w:id="101"/>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 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ListParagraph"/>
        <w:ind w:left="1440" w:hanging="0"/>
        <w:jc w:val="both"/>
        <w:rPr>
          <w:rFonts w:ascii="Courier New" w:hAnsi="Courier New" w:cs="Courier New"/>
          <w:sz w:val="18"/>
          <w:lang w:val="fr-CH"/>
        </w:rPr>
      </w:pPr>
      <w:r>
        <w:rPr>
          <w:rFonts w:cs="Courier New" w:ascii="Courier New" w:hAnsi="Courier New"/>
          <w:sz w:val="18"/>
          <w:szCs w:val="18"/>
          <w:lang w:val="fr-CH"/>
        </w:rPr>
        <w:t>[discretization DVALUE,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supported(only in the uniform mode):</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ListParagraph"/>
        <w:numPr>
          <w:ilvl w:val="0"/>
          <w:numId w:val="12"/>
        </w:numPr>
        <w:jc w:val="both"/>
        <w:rPr/>
      </w:pPr>
      <w:r>
        <w:rPr>
          <w:rFonts w:ascii="Courier New" w:hAnsi="Courier New"/>
          <w:sz w:val="18"/>
          <w:szCs w:val="18"/>
        </w:rPr>
        <w:t xml:space="preserve">[discretization DVALUE, DVALUE ;]? </w:t>
      </w:r>
      <w:r>
        <w:rPr/>
        <w:t>is the discretization level the floorplan element has. This argument only takes effect in non-uniform mode. If this argument is not specified, it inherits the default disretization level the die has.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7037"/>
        <w:gridCol w:w="2538"/>
      </w:tblGrid>
      <w:tr>
        <w:trPr/>
        <w:tc>
          <w:tcPr>
            <w:tcW w:w="7037" w:type="dxa"/>
            <w:tcBorders>
              <w:bottom w:val="nil"/>
              <w:right w:val="nil"/>
            </w:tcBorders>
            <w:shd w:fill="auto" w:val="clear"/>
          </w:tcPr>
          <w:p>
            <w:pPr>
              <w:pStyle w:val="Normal"/>
              <w:widowControl w:val="false"/>
              <w:spacing w:lineRule="auto" w:line="240" w:before="0" w:after="0"/>
              <w:jc w:val="both"/>
              <w:rPr>
                <w:b/>
                <w:b/>
              </w:rPr>
            </w:pPr>
            <w:r>
              <w:rPr>
                <w:b/>
                <w:sz w:val="20"/>
              </w:rPr>
              <w:t>Example</w:t>
            </w:r>
          </w:p>
        </w:tc>
        <w:tc>
          <w:tcPr>
            <w:tcW w:w="2538" w:type="dxa"/>
            <w:tcBorders>
              <w:left w:val="nil"/>
              <w:bottom w:val="nil"/>
            </w:tcBorders>
            <w:shd w:fill="auto" w:val="clear"/>
            <w:tcMar>
              <w:left w:w="113" w:type="dxa"/>
            </w:tcMar>
          </w:tcPr>
          <w:p>
            <w:pPr>
              <w:pStyle w:val="Normal"/>
              <w:widowControl w:val="false"/>
              <w:spacing w:lineRule="auto" w:line="240" w:before="0" w:after="0"/>
              <w:jc w:val="both"/>
              <w:rPr>
                <w:sz w:val="20"/>
              </w:rPr>
            </w:pPr>
            <w:r>
              <w:rPr>
                <w:sz w:val="20"/>
              </w:rPr>
            </w:r>
          </w:p>
        </w:tc>
      </w:tr>
      <w:tr>
        <w:trPr/>
        <w:tc>
          <w:tcPr>
            <w:tcW w:w="7037" w:type="dxa"/>
            <w:tcBorders>
              <w:top w:val="nil"/>
              <w:right w:val="nil"/>
            </w:tcBorders>
            <w:shd w:fill="auto" w:val="clear"/>
          </w:tcPr>
          <w:p>
            <w:pPr>
              <w:pStyle w:val="Normal"/>
              <w:keepNext w:val="true"/>
              <w:keepLines/>
              <w:widowControl w:val="false"/>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position 0, 1750;</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widowControl w:val="false"/>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widowControl w:val="false"/>
              <w:spacing w:lineRule="auto" w:line="276" w:before="0" w:after="0"/>
              <w:ind w:left="720" w:hanging="0"/>
              <w:jc w:val="both"/>
              <w:rPr>
                <w:rFonts w:ascii="Courier New" w:hAnsi="Courier New" w:cs="Courier New"/>
                <w:sz w:val="18"/>
                <w:lang w:val="fr-FR"/>
              </w:rPr>
            </w:pPr>
            <w:r>
              <w:rPr>
                <w:rFonts w:cs="Courier New" w:ascii="Courier New" w:hAnsi="Courier New"/>
                <w:sz w:val="20"/>
                <w:lang w:val="fr-FR"/>
              </w:rPr>
            </w:r>
          </w:p>
          <w:p>
            <w:pPr>
              <w:pStyle w:val="Normal"/>
              <w:widowControl w:val="false"/>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   0,    0, 1250, 1750)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widowControl w:val="false"/>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widowControl w:val="false"/>
              <w:spacing w:lineRule="auto" w:line="240" w:before="0" w:after="0"/>
              <w:jc w:val="both"/>
              <w:rPr>
                <w:sz w:val="20"/>
              </w:rPr>
            </w:pPr>
            <w:r>
              <w:rPr>
                <w:sz w:val="20"/>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9"/>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 checked to verify that all the elements are inside the chip and that they donot overlap. </w:t>
      </w:r>
    </w:p>
    <w:p>
      <w:pPr>
        <w:pStyle w:val="Normal"/>
        <w:numPr>
          <w:ilvl w:val="0"/>
          <w:numId w:val="13"/>
        </w:numPr>
        <w:jc w:val="both"/>
        <w:rPr/>
      </w:pPr>
      <w:r>
        <w:rPr/>
        <w:t>In the non-uniform mode, each floorplan element is discretized into a number of cells following the discretization setting.  There will be no intersect area between different floorplan elements.</w:t>
      </w:r>
    </w:p>
    <w:p>
      <w:pPr>
        <w:pStyle w:val="ListParagraph"/>
        <w:numPr>
          <w:ilvl w:val="0"/>
          <w:numId w:val="13"/>
        </w:numPr>
        <w:jc w:val="both"/>
        <w:rPr/>
      </w:pPr>
      <w:r>
        <w:rPr/>
        <w:t xml:space="preserve">In the uniform mode, when the stack structure is discretized based on the given thermal cell dimensions, the power dissipated by a floorplan element is </w:t>
      </w:r>
      <w:r>
        <w:rPr>
          <w:b/>
        </w:rPr>
        <w:t>uniformly</w:t>
      </w:r>
      <w:r>
        <w:rPr/>
        <w:t xml:space="preserve"> divided among the thermal cells that </w:t>
      </w:r>
      <w:r>
        <w:rPr>
          <w:i/>
        </w:rPr>
        <w:t>intersect its surface</w:t>
      </w:r>
      <w:r>
        <w:rPr/>
        <w:t xml:space="preserve">. </w:t>
      </w:r>
      <w:r>
        <w:rPr>
          <w:b/>
        </w:rPr>
        <w:t xml:space="preserve">It is not required that the position and dimensions of the floorplan elements are an exact multiple of the dimensions of the thermal cells. </w:t>
      </w:r>
      <w:r>
        <w:rPr/>
        <w:t xml:space="preserve">Therefore, depending on the layout of the IC, </w:t>
      </w:r>
      <w:r>
        <w:rPr>
          <w:b/>
        </w:rPr>
        <w:t>a thermal cell can receive the power from different floorplan elements</w:t>
      </w:r>
      <w:r>
        <w:rPr/>
        <w:t xml:space="preserve">. For the same reason, </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 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left"/>
        <w:rPr/>
      </w:pPr>
      <w:r>
        <w:rPr/>
      </w:r>
      <m:oMathPara xmlns:m="http://schemas.openxmlformats.org/officeDocument/2006/math">
        <m:oMathParaPr>
          <m:jc m:val="left"/>
        </m:oMathParaPr>
        <m:o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m:oMathPara>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 xml:space="preserve">In the uniform mode, it is possible to have gaps in the floorplan- regions where there is no floorplan element and hence, no power dissipation. The thermal cells in these regions will simply not be assigned any source value during the solving of system equations. However, it is not allowed to have gaps in the floorplan regions in the non-unifrom mode because of </w:t>
      </w:r>
      <w:r>
        <w:rPr>
          <w:rFonts w:eastAsia="Calibri" w:cs="" w:cstheme="minorBidi" w:eastAsiaTheme="minorHAnsi"/>
          <w:color w:val="00000A"/>
          <w:kern w:val="0"/>
          <w:sz w:val="22"/>
          <w:szCs w:val="22"/>
          <w:lang w:val="en-US" w:eastAsia="en-US" w:bidi="ar-SA"/>
        </w:rPr>
        <w:t>its</w:t>
      </w:r>
      <w:r>
        <w:rPr/>
        <w:t xml:space="preserve"> unique modeling method.</w:t>
      </w:r>
    </w:p>
    <w:p>
      <w:pPr>
        <w:pStyle w:val="Caption1"/>
        <w:jc w:val="center"/>
        <w:rPr/>
      </w:pPr>
      <w:r>
        <w:rPr/>
      </w:r>
    </w:p>
    <w:p>
      <w:pPr>
        <w:pStyle w:val="Caption1"/>
        <w:jc w:val="center"/>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3600" cy="2475865"/>
            <wp:effectExtent l="0" t="0" r="0" b="0"/>
            <wp:wrapTopAndBottom/>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0"/>
                    <a:stretch>
                      <a:fillRect/>
                    </a:stretch>
                  </pic:blipFill>
                  <pic:spPr bwMode="auto">
                    <a:xfrm>
                      <a:off x="0" y="0"/>
                      <a:ext cx="5943600" cy="2475865"/>
                    </a:xfrm>
                    <a:prstGeom prst="rect">
                      <a:avLst/>
                    </a:prstGeom>
                  </pic:spPr>
                </pic:pic>
              </a:graphicData>
            </a:graphic>
          </wp:anchor>
        </w:drawing>
      </w:r>
      <w:r>
        <w:rPr/>
        <w:t>Figure20: Assignment of thermal cells to floorplan elements</w:t>
      </w:r>
    </w:p>
    <w:p>
      <w:pPr>
        <w:pStyle w:val="Heading3"/>
        <w:rPr/>
      </w:pPr>
      <w:bookmarkStart w:id="102" w:name="__RefHeading___Toc2991_2393532176"/>
      <w:bookmarkStart w:id="103" w:name="_Toc442446456"/>
      <w:bookmarkEnd w:id="102"/>
      <w:bookmarkEnd w:id="103"/>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1"/>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104" w:name="__RefHeading___Toc2993_2393532176"/>
      <w:bookmarkEnd w:id="104"/>
      <w:r>
        <w:rPr/>
        <w:t>Co-simulation and plugin interface</w:t>
      </w:r>
    </w:p>
    <w:p>
      <w:pPr>
        <w:pStyle w:val="Normal"/>
        <w:rPr/>
      </w:pPr>
      <w:r>
        <w:rPr/>
        <w:t xml:space="preserve">3D-ICE starting from version </w:t>
      </w:r>
      <w:r>
        <w:rPr>
          <w:rFonts w:eastAsia="Calibri" w:cs="" w:cstheme="minorBidi" w:eastAsiaTheme="minorHAnsi"/>
          <w:color w:val="00000A"/>
          <w:kern w:val="0"/>
          <w:sz w:val="22"/>
          <w:szCs w:val="22"/>
          <w:lang w:val="en-US" w:eastAsia="en-US" w:bidi="ar-SA"/>
        </w:rPr>
        <w:t>3.0.0</w:t>
      </w:r>
      <w:r>
        <w:rPr/>
        <w:t xml:space="preserve"> supports a pluggable heat sink interface that allow it to perform co-simulation with a separate heat sink model. 3D-ICE pluggable heat sinks can be found in the </w:t>
      </w:r>
      <w:r>
        <w:rPr>
          <w:rFonts w:ascii="Courier new" w:hAnsi="Courier new"/>
          <w:sz w:val="18"/>
          <w:szCs w:val="18"/>
        </w:rPr>
        <w:t>heatsink_plugin/heatsinks</w:t>
      </w:r>
      <w:r>
        <w:rPr/>
        <w:t xml:space="preserve"> directory. User-supplied heat sinks can also be simulated. In this configuration, 3D-ICE simulates the 3D IC stack and an heat spreader connected to the top of the 3D IC stack, whose dimensions can be larger than the stack itself. If the heat dissipation stack to be simulated does not include a heat spreader, the last layer of the IC can take the place of the heat spreader.</w:t>
      </w:r>
    </w:p>
    <w:p>
      <w:pPr>
        <w:pStyle w:val="Normal"/>
        <w:rPr/>
      </w:pPr>
      <w:r>
        <w:rPr/>
        <w:t>The simulation of the heat sink is instead performed by a heat sink plugin, in the form of a dynamic library loaded by 3D-ICE.</w:t>
      </w:r>
    </w:p>
    <w:p>
      <w:pPr>
        <w:pStyle w:val="Normal"/>
        <w:jc w:val="both"/>
        <w:rPr/>
      </w:pPr>
      <w:r>
        <w:rPr/>
        <w:t xml:space="preserve">Plugin-related files are in the </w:t>
      </w:r>
      <w:r>
        <w:rPr>
          <w:rFonts w:cs="Courier New" w:ascii="Courier New" w:hAnsi="Courier New"/>
          <w:sz w:val="18"/>
        </w:rPr>
        <w:t>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heatsinks</w:t>
      </w:r>
      <w:r>
        <w:rPr/>
        <w:t>: This directory contains heat sink models.</w:t>
      </w:r>
    </w:p>
    <w:p>
      <w:pPr>
        <w:pStyle w:val="Normal"/>
        <w:numPr>
          <w:ilvl w:val="0"/>
          <w:numId w:val="34"/>
        </w:numPr>
        <w:jc w:val="both"/>
        <w:rPr/>
      </w:pPr>
      <w:r>
        <w:rPr>
          <w:rFonts w:ascii="Courier new" w:hAnsi="Courier new"/>
          <w:sz w:val="18"/>
          <w:szCs w:val="18"/>
        </w:rPr>
        <w:t>common</w:t>
      </w:r>
      <w:r>
        <w:rPr/>
        <w:t>: Contains libraries for building heat sinks.</w:t>
      </w:r>
    </w:p>
    <w:p>
      <w:pPr>
        <w:pStyle w:val="Heading4"/>
        <w:rPr/>
      </w:pPr>
      <w:r>
        <w:rPr/>
      </w:r>
    </w:p>
    <w:p>
      <w:pPr>
        <w:pStyle w:val="Heading4"/>
        <w:rPr/>
      </w:pPr>
      <w:r>
        <w:rPr/>
        <w:t>Writing a heat sink in Modelica</w:t>
      </w:r>
    </w:p>
    <w:p>
      <w:pPr>
        <w:pStyle w:val="Normal"/>
        <w:jc w:val="both"/>
        <w:rPr/>
      </w:pPr>
      <w:r>
        <w:rPr>
          <w:rFonts w:eastAsia="Calibri" w:cs="Courier New" w:eastAsiaTheme="minorHAnsi"/>
          <w:color w:val="00000A"/>
          <w:kern w:val="0"/>
          <w:sz w:val="22"/>
          <w:szCs w:val="22"/>
          <w:lang w:val="en-US" w:eastAsia="en-US" w:bidi="ar-SA"/>
        </w:rPr>
        <w:t xml:space="preserve">Modelica is a declarative object-oriented modeling language. The Modelica syntax allows to write equations as opposed to assignment statements in ordinary imperative programming languages, and supports linear and nonlinear differential equations natively through the </w:t>
      </w:r>
      <w:r>
        <w:rPr>
          <w:rFonts w:eastAsia="Calibri" w:cs="Courier New" w:ascii="Courier new" w:hAnsi="Courier new" w:eastAsiaTheme="minorHAnsi"/>
          <w:color w:val="00000A"/>
          <w:kern w:val="0"/>
          <w:sz w:val="18"/>
          <w:szCs w:val="18"/>
          <w:lang w:val="en-US" w:eastAsia="en-US" w:bidi="ar-SA"/>
        </w:rPr>
        <w:t>der()</w:t>
      </w:r>
      <w:r>
        <w:rPr>
          <w:rFonts w:eastAsia="Calibri" w:cs="Courier New" w:eastAsiaTheme="minorHAnsi"/>
          <w:color w:val="00000A"/>
          <w:kern w:val="0"/>
          <w:sz w:val="22"/>
          <w:szCs w:val="22"/>
          <w:lang w:val="en-US" w:eastAsia="en-US" w:bidi="ar-SA"/>
        </w:rPr>
        <w:t xml:space="preserve"> operator. A Modelica translator uses symbolic equation manipulation to automatically perform the steps needed to produce imperative code that performs the numerical integration of differential equations. OpenModelica is an open source Modelica translator that translates Modelica to C code. Modelica is thus a very convenient choice for the modeling of heat sinks, as it is only necessary to write the heat transfer equations instead of writing the code to solve them. An general introduction to the Modelica language can be found at </w:t>
      </w:r>
      <w:hyperlink r:id="rId32">
        <w:r>
          <w:rPr>
            <w:rStyle w:val="InternetLink"/>
            <w:rFonts w:eastAsia="Calibri" w:cs="Courier New" w:eastAsiaTheme="minorHAnsi"/>
            <w:color w:val="00000A"/>
            <w:kern w:val="0"/>
            <w:sz w:val="22"/>
            <w:szCs w:val="22"/>
            <w:lang w:val="en-US" w:eastAsia="en-US" w:bidi="ar-SA"/>
          </w:rPr>
          <w:t>https://mbe.modelica.university/front/intro</w:t>
        </w:r>
      </w:hyperlink>
    </w:p>
    <w:p>
      <w:pPr>
        <w:pStyle w:val="Normal"/>
        <w:jc w:val="both"/>
        <w:rPr/>
      </w:pPr>
      <w:r>
        <w:rPr>
          <w:rFonts w:eastAsia="Calibri" w:cs="Courier New" w:eastAsiaTheme="minorHAnsi"/>
          <w:color w:val="00000A"/>
          <w:kern w:val="0"/>
          <w:sz w:val="22"/>
          <w:szCs w:val="22"/>
          <w:lang w:val="en-US" w:eastAsia="en-US" w:bidi="ar-SA"/>
        </w:rPr>
        <w:t>At the lowest level, m</w:t>
      </w:r>
      <w:r>
        <w:rPr>
          <w:rFonts w:cs="Courier New"/>
          <w:sz w:val="22"/>
          <w:szCs w:val="22"/>
        </w:rPr>
        <w:t>odeling an heat sink in Modelica for 3D-ICE co-simulation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105" w:name="__DdeLink__2775_1448524884"/>
      <w:r>
        <w:rPr>
          <w:rFonts w:ascii="DejaVu Sans Mono" w:hAnsi="DejaVu Sans Mono"/>
          <w:color w:val="000000"/>
          <w:sz w:val="18"/>
        </w:rPr>
        <w:t>Q_flow</w:t>
      </w:r>
      <w:bookmarkEnd w:id="105"/>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and can be read from the Modelica code.</w:t>
      </w:r>
    </w:p>
    <w:p>
      <w:pPr>
        <w:pStyle w:val="Normal"/>
        <w:jc w:val="both"/>
        <w:rPr/>
      </w:pPr>
      <w:r>
        <w:rPr>
          <w:rFonts w:cs="Courier New"/>
          <w:sz w:val="22"/>
          <w:szCs w:val="22"/>
        </w:rPr>
        <w:t xml:space="preserve">The other parameters define the sink meshing, thermal conductance towards the spreader, and heat sink geometry. These parameters must be set by the plugin as they are read by 3D-ICE to connect the sink to the spreader. The variables </w:t>
      </w:r>
      <w:r>
        <w:rPr>
          <w:rFonts w:cs="Courier New" w:ascii="DejaVu Sans Mono" w:hAnsi="DejaVu Sans Mono"/>
          <w:color w:val="000000"/>
          <w:sz w:val="18"/>
          <w:szCs w:val="22"/>
        </w:rPr>
        <w:t>sinkRows, sinkColumns, sinkCellBottomConductance,  sinkLength, sinkWidth</w:t>
      </w:r>
      <w:r>
        <w:rPr>
          <w:rFonts w:cs="Courier New"/>
          <w:color w:val="000000"/>
          <w:sz w:val="22"/>
          <w:szCs w:val="22"/>
        </w:rPr>
        <w:t xml:space="preserve"> depend on the heat sink geometry and how it has been modeled, therefore they are expected to be constants set in the Modelica code. The last two variables, </w:t>
      </w:r>
      <w:r>
        <w:rPr>
          <w:rFonts w:cs="Courier New" w:ascii="DejaVu Sans Mono" w:hAnsi="DejaVu Sans Mono"/>
          <w:color w:val="000000"/>
          <w:sz w:val="18"/>
          <w:szCs w:val="22"/>
        </w:rPr>
        <w:t>spreaderX0</w:t>
      </w:r>
      <w:r>
        <w:rPr>
          <w:rFonts w:cs="Courier New"/>
          <w:color w:val="000000"/>
          <w:sz w:val="22"/>
          <w:szCs w:val="22"/>
        </w:rPr>
        <w:t xml:space="preserve"> and </w:t>
      </w:r>
      <w:r>
        <w:rPr>
          <w:rFonts w:cs="Courier New" w:ascii="DejaVu Sans Mono" w:hAnsi="DejaVu Sans Mono"/>
          <w:color w:val="000000"/>
          <w:sz w:val="18"/>
          <w:szCs w:val="22"/>
        </w:rPr>
        <w:t>spreaderY0</w:t>
      </w:r>
      <w:r>
        <w:rPr>
          <w:rFonts w:cs="Courier New"/>
          <w:color w:val="000000"/>
          <w:sz w:val="22"/>
          <w:szCs w:val="22"/>
        </w:rPr>
        <w:t xml:space="preserve"> depend on the placement of the sink relative to the spreader, and it is common practice to make them configurable from the 3D-ICE stack file by parsing the </w:t>
      </w:r>
      <w:r>
        <w:rPr>
          <w:rFonts w:cs="Courier New" w:ascii="DejaVu Sans Mono" w:hAnsi="DejaVu Sans Mono"/>
          <w:color w:val="000000"/>
          <w:sz w:val="18"/>
          <w:szCs w:val="22"/>
        </w:rPr>
        <w:t>args</w:t>
      </w:r>
      <w:r>
        <w:rPr>
          <w:rFonts w:cs="Courier New"/>
          <w:color w:val="000000"/>
          <w:sz w:val="22"/>
          <w:szCs w:val="22"/>
        </w:rPr>
        <w:t xml:space="preserve"> variable and assigning them from Modelica code.</w:t>
      </w:r>
    </w:p>
    <w:p>
      <w:pPr>
        <w:pStyle w:val="Normal"/>
        <w:jc w:val="both"/>
        <w:rPr/>
      </w:pPr>
      <w:r>
        <w:rPr>
          <w:rFonts w:cs="Courier New"/>
          <w:sz w:val="22"/>
          <w:szCs w:val="22"/>
        </w:rPr>
        <w:t xml:space="preserve">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 xml:space="preserve">parameters is shown below. </w:t>
      </w:r>
      <w:r>
        <w:rPr>
          <w:rFonts w:cs="Courier New"/>
          <w:color w:val="000000"/>
          <w:sz w:val="22"/>
          <w:szCs w:val="22"/>
          <w:u w:val="single"/>
        </w:rPr>
        <w:t>Note that Modelica encourages the use of SI units, thus all lengths and widths are in meters, and not in micrometers unlike in 3D-ICE.</w:t>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color w:val="000000"/>
          <w:sz w:val="22"/>
          <w:szCs w:val="22"/>
          <w:u w:val="single"/>
        </w:rPr>
      </w:pPr>
      <w:r>
        <w:rPr>
          <w:rFonts w:cs="Courier New"/>
          <w:color w:val="000000"/>
          <w:sz w:val="22"/>
          <w:szCs w:val="22"/>
          <w:u w:val="single"/>
        </w:rPr>
      </w:r>
    </w:p>
    <w:p>
      <w:pPr>
        <w:pStyle w:val="Normal"/>
        <w:jc w:val="both"/>
        <w:rPr>
          <w:rFonts w:cs="Courier New"/>
          <w:sz w:val="22"/>
          <w:szCs w:val="22"/>
        </w:rPr>
      </w:pPr>
      <w:r>
        <w:rPr>
          <w:rFonts w:cs="Courier New"/>
          <w:sz w:val="22"/>
          <w:szCs w:val="22"/>
        </w:rPr>
        <mc:AlternateContent>
          <mc:Choice Requires="wps">
            <w:drawing>
              <wp:anchor behindDoc="0" distT="0" distB="0" distL="0" distR="0" simplePos="0" locked="0" layoutInCell="0" allowOverlap="1" relativeHeight="51">
                <wp:simplePos x="0" y="0"/>
                <wp:positionH relativeFrom="column">
                  <wp:posOffset>826135</wp:posOffset>
                </wp:positionH>
                <wp:positionV relativeFrom="paragraph">
                  <wp:posOffset>-59055</wp:posOffset>
                </wp:positionV>
                <wp:extent cx="3760470" cy="3371215"/>
                <wp:effectExtent l="0" t="0" r="0" b="0"/>
                <wp:wrapSquare wrapText="largest"/>
                <wp:docPr id="29" name="Frame10"/>
                <a:graphic xmlns:a="http://schemas.openxmlformats.org/drawingml/2006/main">
                  <a:graphicData uri="http://schemas.microsoft.com/office/word/2010/wordprocessingShape">
                    <wps:wsp>
                      <wps:cNvSpPr/>
                      <wps:spPr>
                        <a:xfrm>
                          <a:off x="0" y="0"/>
                          <a:ext cx="3759840" cy="3370680"/>
                        </a:xfrm>
                        <a:prstGeom prst="rect">
                          <a:avLst/>
                        </a:prstGeom>
                        <a:noFill/>
                        <a:ln w="0">
                          <a:noFill/>
                        </a:ln>
                      </wps:spPr>
                      <wps:style>
                        <a:lnRef idx="0"/>
                        <a:fillRef idx="0"/>
                        <a:effectRef idx="0"/>
                        <a:fontRef idx="minor"/>
                      </wps:style>
                      <wps:txbx>
                        <w:txbxContent>
                          <w:p>
                            <w:pPr>
                              <w:pStyle w:val="Figure"/>
                              <w:spacing w:before="120" w:after="120"/>
                              <w:rPr/>
                            </w:pPr>
                            <w:r>
                              <w:rPr/>
                              <w:drawing>
                                <wp:inline distT="0" distB="0" distL="0" distR="0">
                                  <wp:extent cx="3749675" cy="278130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3"/>
                                          <a:stretch>
                                            <a:fillRect/>
                                          </a:stretch>
                                        </pic:blipFill>
                                        <pic:spPr bwMode="auto">
                                          <a:xfrm>
                                            <a:off x="0" y="0"/>
                                            <a:ext cx="3749675" cy="2781300"/>
                                          </a:xfrm>
                                          <a:prstGeom prst="rect">
                                            <a:avLst/>
                                          </a:prstGeom>
                                        </pic:spPr>
                                      </pic:pic>
                                    </a:graphicData>
                                  </a:graphic>
                                </wp:inline>
                              </w:drawing>
                            </w:r>
                            <w:r>
                              <w:rPr>
                                <w:color w:val="000000"/>
                              </w:rPr>
                              <w:t>Figure 22: Mapping between a generic sized heat sink and the heat spreader</w:t>
                            </w:r>
                          </w:p>
                        </w:txbxContent>
                      </wps:txbx>
                      <wps:bodyPr lIns="0" rIns="0" tIns="0" bIns="0" anchor="t">
                        <a:noAutofit/>
                      </wps:bodyPr>
                    </wps:wsp>
                  </a:graphicData>
                </a:graphic>
              </wp:anchor>
            </w:drawing>
          </mc:Choice>
          <mc:Fallback>
            <w:pict>
              <v:rect id="shape_0" ID="Frame10" path="m0,0l-2147483645,0l-2147483645,-2147483646l0,-2147483646xe" stroked="f" o:allowincell="f" style="position:absolute;margin-left:65.05pt;margin-top:-4.65pt;width:296pt;height:265.35pt;mso-wrap-style:square;v-text-anchor:top">
                <v:fill o:detectmouseclick="t" on="false"/>
                <v:stroke color="#3465a4" joinstyle="round" endcap="flat"/>
                <v:textbox>
                  <w:txbxContent>
                    <w:p>
                      <w:pPr>
                        <w:pStyle w:val="Figure"/>
                        <w:spacing w:before="120" w:after="120"/>
                        <w:rPr/>
                      </w:pPr>
                      <w:r>
                        <w:rPr/>
                        <w:drawing>
                          <wp:inline distT="0" distB="0" distL="0" distR="0">
                            <wp:extent cx="3749675" cy="278130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4"/>
                                    <a:stretch>
                                      <a:fillRect/>
                                    </a:stretch>
                                  </pic:blipFill>
                                  <pic:spPr bwMode="auto">
                                    <a:xfrm>
                                      <a:off x="0" y="0"/>
                                      <a:ext cx="3749675" cy="2781300"/>
                                    </a:xfrm>
                                    <a:prstGeom prst="rect">
                                      <a:avLst/>
                                    </a:prstGeom>
                                  </pic:spPr>
                                </pic:pic>
                              </a:graphicData>
                            </a:graphic>
                          </wp:inline>
                        </w:drawing>
                      </w:r>
                      <w:r>
                        <w:rPr>
                          <w:color w:val="000000"/>
                        </w:rPr>
                        <w:t>Figure 22: Mapping between a generic sized heat sink and the heat spreader</w:t>
                      </w:r>
                    </w:p>
                  </w:txbxContent>
                </v:textbox>
                <w10:wrap type="square" side="largest"/>
              </v:rect>
            </w:pict>
          </mc:Fallback>
        </mc:AlternateConten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Convenience libraries are provided in the </w:t>
      </w:r>
      <w:r>
        <w:rPr>
          <w:rFonts w:eastAsia="Calibri" w:cs="Courier New" w:ascii="Courier new" w:hAnsi="Courier new" w:eastAsiaTheme="minorHAnsi"/>
          <w:color w:val="00000A"/>
          <w:kern w:val="0"/>
          <w:sz w:val="18"/>
          <w:szCs w:val="18"/>
          <w:lang w:val="en-US" w:eastAsia="en-US" w:bidi="ar-SA"/>
        </w:rPr>
        <w:t>common</w:t>
      </w:r>
      <w:r>
        <w:rPr>
          <w:rFonts w:eastAsia="Calibri" w:cs="Courier New" w:eastAsiaTheme="minorHAnsi"/>
          <w:color w:val="00000A"/>
          <w:kern w:val="0"/>
          <w:sz w:val="22"/>
          <w:szCs w:val="22"/>
          <w:lang w:val="en-US" w:eastAsia="en-US" w:bidi="ar-SA"/>
        </w:rPr>
        <w:t xml:space="preserve"> directory to abstract this interface using Modelica object-oriented features.</w:t>
      </w:r>
    </w:p>
    <w:p>
      <w:pPr>
        <w:pStyle w:val="Normal"/>
        <w:numPr>
          <w:ilvl w:val="0"/>
          <w:numId w:val="35"/>
        </w:numPr>
        <w:jc w:val="both"/>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is a base class that implements the </w:t>
      </w:r>
      <w:r>
        <w:rPr>
          <w:rFonts w:eastAsia="Calibri" w:cs="Courier New" w:ascii="DejaVu Sans Mono" w:hAnsi="DejaVu Sans Mono"/>
          <w:color w:val="000000"/>
          <w:kern w:val="0"/>
          <w:sz w:val="18"/>
          <w:szCs w:val="18"/>
          <w:lang w:val="en-US" w:eastAsia="en-US" w:bidi="ar-SA"/>
        </w:rPr>
        <w:t>Interface3DICE</w:t>
      </w:r>
      <w:r>
        <w:rPr>
          <w:rFonts w:eastAsia="Calibri" w:cs="Courier New"/>
          <w:color w:val="000000"/>
          <w:kern w:val="0"/>
          <w:sz w:val="22"/>
          <w:szCs w:val="22"/>
          <w:lang w:val="en-US" w:eastAsia="en-US" w:bidi="ar-SA"/>
        </w:rPr>
        <w:t xml:space="preserve"> interface</w:t>
      </w:r>
      <w:r>
        <w:rPr>
          <w:rFonts w:eastAsia="Calibri" w:cs="Courier New" w:eastAsiaTheme="minorHAnsi"/>
          <w:color w:val="00000A"/>
          <w:kern w:val="0"/>
          <w:sz w:val="22"/>
          <w:szCs w:val="22"/>
          <w:lang w:val="en-US" w:eastAsia="en-US" w:bidi="ar-SA"/>
        </w:rPr>
        <w:t xml:space="preserve"> and includes the boilerplate code required to parse </w:t>
      </w:r>
      <w:r>
        <w:rPr>
          <w:rFonts w:eastAsia="Calibri" w:cs="Courier New" w:ascii="DejaVu Sans Mono" w:hAnsi="DejaVu Sans Mono"/>
          <w:color w:val="000000"/>
          <w:kern w:val="0"/>
          <w:sz w:val="18"/>
          <w:szCs w:val="22"/>
          <w:lang w:val="en-US" w:eastAsia="en-US" w:bidi="ar-SA"/>
        </w:rPr>
        <w:t>args</w:t>
      </w:r>
      <w:r>
        <w:rPr>
          <w:rFonts w:eastAsia="Calibri" w:cs="Courier New" w:eastAsiaTheme="minorHAnsi"/>
          <w:color w:val="00000A"/>
          <w:kern w:val="0"/>
          <w:sz w:val="22"/>
          <w:szCs w:val="22"/>
          <w:lang w:val="en-US" w:eastAsia="en-US" w:bidi="ar-SA"/>
        </w:rPr>
        <w:t xml:space="preserve"> and set </w:t>
      </w:r>
      <w:r>
        <w:rPr>
          <w:rFonts w:eastAsia="Calibri" w:cs="Courier New" w:ascii="DejaVu Sans Mono" w:hAnsi="DejaVu Sans Mono"/>
          <w:color w:val="000000"/>
          <w:kern w:val="0"/>
          <w:sz w:val="18"/>
          <w:szCs w:val="22"/>
          <w:lang w:val="en-US" w:eastAsia="en-US" w:bidi="ar-SA"/>
        </w:rPr>
        <w:t>spreaderX0</w:t>
      </w:r>
      <w:r>
        <w:rPr>
          <w:rFonts w:eastAsia="Calibri" w:cs="Courier New"/>
          <w:color w:val="000000"/>
          <w:kern w:val="0"/>
          <w:sz w:val="22"/>
          <w:szCs w:val="22"/>
          <w:lang w:val="en-US" w:eastAsia="en-US" w:bidi="ar-SA"/>
        </w:rPr>
        <w:t xml:space="preserve"> and </w:t>
      </w:r>
      <w:r>
        <w:rPr>
          <w:rFonts w:eastAsia="Calibri" w:cs="Courier New" w:ascii="DejaVu Sans Mono" w:hAnsi="DejaVu Sans Mono"/>
          <w:color w:val="000000"/>
          <w:kern w:val="0"/>
          <w:sz w:val="18"/>
          <w:szCs w:val="22"/>
          <w:lang w:val="en-US" w:eastAsia="en-US" w:bidi="ar-SA"/>
        </w:rPr>
        <w:t>spreaderY0</w:t>
      </w:r>
      <w:r>
        <w:rPr>
          <w:rFonts w:eastAsia="Calibri" w:cs="Courier New" w:eastAsiaTheme="minorHAnsi"/>
          <w:color w:val="00000A"/>
          <w:kern w:val="0"/>
          <w:sz w:val="22"/>
          <w:szCs w:val="22"/>
          <w:lang w:val="en-US" w:eastAsia="en-US" w:bidi="ar-SA"/>
        </w:rPr>
        <w:t>, as well as code for forwarding of all other parameters from a redeclarable heat sink model. Further parameter parsing is possible in extended classes, providing a generic way to pass arbitrary parameters from the 3D-ICE stack description to heat sinks. This class also maps the causal interface of the the FMI into a-causal heat ports as commonly used to model heat exchange in Modelica.</w:t>
      </w:r>
    </w:p>
    <w:p>
      <w:pPr>
        <w:pStyle w:val="Normal"/>
        <w:numPr>
          <w:ilvl w:val="0"/>
          <w:numId w:val="35"/>
        </w:numPr>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w:t>
      </w:r>
      <w:r>
        <w:rPr>
          <w:rFonts w:eastAsia="Calibri" w:cs="Courier New" w:ascii="Couruer new" w:hAnsi="Couruer new" w:eastAsiaTheme="minorHAnsi"/>
          <w:color w:val="00000A"/>
          <w:kern w:val="0"/>
          <w:sz w:val="18"/>
          <w:szCs w:val="18"/>
          <w:lang w:val="en-US" w:eastAsia="en-US" w:bidi="ar-SA"/>
        </w:rPr>
        <w:t>HeatsinkBlocks.PartialModels.Heatsink</w:t>
      </w:r>
      <w:r>
        <w:rPr>
          <w:rFonts w:eastAsia="Calibri" w:cs="Courier New" w:eastAsiaTheme="minorHAnsi"/>
          <w:color w:val="00000A"/>
          <w:kern w:val="0"/>
          <w:sz w:val="22"/>
          <w:szCs w:val="22"/>
          <w:lang w:val="en-US" w:eastAsia="en-US" w:bidi="ar-SA"/>
        </w:rPr>
        <w:t xml:space="preserve"> is a generic heat sink base class that can be extended to add the differential equations modeling the desired heat sink.</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example </w:t>
      </w:r>
      <w:r>
        <w:rPr>
          <w:rFonts w:eastAsia="Calibri" w:cs="Courier New" w:ascii="Courier new" w:hAnsi="Courier new" w:eastAsiaTheme="minorHAnsi"/>
          <w:color w:val="00000A"/>
          <w:kern w:val="0"/>
          <w:sz w:val="18"/>
          <w:szCs w:val="18"/>
          <w:lang w:val="en-US" w:eastAsia="en-US" w:bidi="ar-SA"/>
        </w:rPr>
        <w:t>templates/Modelica</w:t>
      </w:r>
      <w:r>
        <w:rPr>
          <w:rFonts w:eastAsia="Calibri" w:cs="Courier New" w:eastAsiaTheme="minorHAnsi"/>
          <w:color w:val="00000A"/>
          <w:kern w:val="0"/>
          <w:sz w:val="22"/>
          <w:szCs w:val="22"/>
          <w:lang w:val="en-US" w:eastAsia="en-US" w:bidi="ar-SA"/>
        </w:rPr>
        <w:t xml:space="preserve"> can be used as a reference to understand how to write a new heat sink in Modelica. Additionally, looking at the complete heat sinks in the </w:t>
      </w:r>
      <w:r>
        <w:rPr>
          <w:rFonts w:eastAsia="Calibri" w:cs="Courier New" w:ascii="Courier new" w:hAnsi="Courier new" w:eastAsiaTheme="minorHAnsi"/>
          <w:color w:val="00000A"/>
          <w:kern w:val="0"/>
          <w:sz w:val="18"/>
          <w:szCs w:val="18"/>
          <w:lang w:val="en-US" w:eastAsia="en-US" w:bidi="ar-SA"/>
        </w:rPr>
        <w:t>heatsinks</w:t>
      </w:r>
      <w:r>
        <w:rPr>
          <w:rFonts w:eastAsia="Calibri" w:cs="Courier New" w:eastAsiaTheme="minorHAnsi"/>
          <w:color w:val="00000A"/>
          <w:kern w:val="0"/>
          <w:sz w:val="22"/>
          <w:szCs w:val="22"/>
          <w:lang w:val="en-US" w:eastAsia="en-US" w:bidi="ar-SA"/>
        </w:rPr>
        <w:t xml:space="preserve"> directory can be useful as well.</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ascii="Calibri" w:hAnsi="Calibri" w:eastAsia="Calibri" w:cs="Courier New" w:asciiTheme="minorHAnsi" w:eastAsiaTheme="minorHAnsi" w:hAnsiTheme="minorHAnsi"/>
          <w:color w:val="00000A"/>
          <w:kern w:val="0"/>
          <w:sz w:val="22"/>
          <w:szCs w:val="22"/>
          <w:lang w:val="en-US" w:eastAsia="en-US" w:bidi="ar-SA"/>
        </w:rPr>
      </w:pPr>
      <w:r>
        <w:rPr/>
        <w:t>Editing a Modelica Heatsink using the OMEdit editor</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OMEdit is a Modelica IDE, part of the OpenModelica package to simplify writing Modelica code. Although a complete guide would stray from the purpose of this document, it is important, when loading heat sink model using this editor to first load the required libraries in the correct order. First load the ThermalBlocks library, then the HeatsinkBlocks one and finally the model you intend to edit.</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drawing>
          <wp:anchor behindDoc="0" distT="0" distB="0" distL="0" distR="0" simplePos="0" locked="0" layoutInCell="0" allowOverlap="1" relativeHeight="53">
            <wp:simplePos x="0" y="0"/>
            <wp:positionH relativeFrom="column">
              <wp:posOffset>-13970</wp:posOffset>
            </wp:positionH>
            <wp:positionV relativeFrom="paragraph">
              <wp:posOffset>-116840</wp:posOffset>
            </wp:positionV>
            <wp:extent cx="1913890" cy="2228215"/>
            <wp:effectExtent l="0" t="0" r="0" b="0"/>
            <wp:wrapSquare wrapText="largest"/>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1913890" cy="2228215"/>
                    </a:xfrm>
                    <a:prstGeom prst="rect">
                      <a:avLst/>
                    </a:prstGeom>
                  </pic:spPr>
                </pic:pic>
              </a:graphicData>
            </a:graphic>
          </wp:anchor>
        </w:drawing>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rFonts w:eastAsia="" w:cs="" w:cstheme="majorBidi" w:eastAsiaTheme="majorEastAsia"/>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r>
    </w:p>
    <w:p>
      <w:pPr>
        <w:pStyle w:val="Heading4"/>
        <w:rPr/>
      </w:pPr>
      <w:r>
        <w:rPr>
          <w:rFonts w:eastAsia="" w:cs="" w:cstheme="majorBidi" w:eastAsiaTheme="majorEastAsia"/>
          <w:b/>
          <w:bCs/>
          <w:i/>
          <w:iCs/>
          <w:color w:val="800000"/>
          <w:kern w:val="0"/>
          <w:sz w:val="22"/>
          <w:szCs w:val="22"/>
          <w:lang w:val="en-US" w:eastAsia="en-US" w:bidi="ar-SA"/>
        </w:rPr>
        <w:t>Using</w:t>
      </w:r>
      <w:r>
        <w:rPr/>
        <w:t xml:space="preserve"> a heat sink written in Modelica</w:t>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Modelica heat sinks require the FMI loader plugin to be interfaced to 3D-ICE, thus the plugin to be loaded is always </w:t>
      </w:r>
      <w:r>
        <w:rPr>
          <w:rFonts w:eastAsia="Calibri" w:cs="Courier New" w:ascii="Courier new" w:hAnsi="Courier new" w:eastAsiaTheme="minorHAnsi"/>
          <w:color w:val="00000A"/>
          <w:kern w:val="0"/>
          <w:sz w:val="18"/>
          <w:szCs w:val="18"/>
          <w:lang w:val="en-US" w:eastAsia="en-US" w:bidi="ar-SA"/>
        </w:rPr>
        <w:t>fmi_loader.so</w:t>
      </w:r>
      <w:r>
        <w:rPr>
          <w:rFonts w:eastAsia="Calibri" w:cs="Courier New" w:eastAsiaTheme="minorHAnsi"/>
          <w:color w:val="00000A"/>
          <w:kern w:val="0"/>
          <w:sz w:val="22"/>
          <w:szCs w:val="22"/>
          <w:lang w:val="en-US" w:eastAsia="en-US" w:bidi="ar-SA"/>
        </w:rPr>
        <w:t xml:space="preserve">. This is an example taken from  </w:t>
      </w:r>
      <w:r>
        <w:rPr>
          <w:rFonts w:eastAsia="Calibri" w:cs="Courier New" w:ascii="Courier new" w:hAnsi="Courier new" w:eastAsiaTheme="minorHAnsi"/>
          <w:color w:val="00000A"/>
          <w:kern w:val="0"/>
          <w:sz w:val="18"/>
          <w:szCs w:val="18"/>
          <w:lang w:val="en-US" w:eastAsia="en-US" w:bidi="ar-SA"/>
        </w:rPr>
        <w:t>templates/Modelica</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top pluggable heat sink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spreader length 20000 , width 20000 , height 1000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material COPPER ;</w:t>
      </w:r>
    </w:p>
    <w:p>
      <w:pPr>
        <w:pStyle w:val="Normal"/>
        <w:spacing w:lineRule="auto" w:line="240" w:before="0" w:after="86"/>
        <w:jc w:val="both"/>
        <w:rPr/>
      </w:pPr>
      <w:r>
        <w:rPr>
          <w:rFonts w:eastAsia="Calibri" w:cs="Courier New" w:ascii="Courier new" w:hAnsi="Courier new" w:eastAsiaTheme="minorHAnsi"/>
          <w:color w:val="00000A"/>
          <w:kern w:val="0"/>
          <w:sz w:val="16"/>
          <w:szCs w:val="16"/>
          <w:lang w:val="en-US" w:eastAsia="en-US" w:bidi="ar-SA"/>
        </w:rPr>
        <w:tab/>
        <w:t>plugin "../../loaders/FMI/fmi_loader.so", "Heatsink.TestHeatsink_Interface3DICE 0.0 0.0";</w:t>
      </w:r>
    </w:p>
    <w:p>
      <w:pPr>
        <w:pStyle w:val="Normal"/>
        <w:spacing w:lineRule="auto" w:line="240" w:before="0" w:after="86"/>
        <w:jc w:val="both"/>
        <w:rPr>
          <w:rFonts w:ascii="Courier new" w:hAnsi="Courier new" w:eastAsia="Calibri" w:cs="Courier New" w:eastAsiaTheme="minorHAnsi"/>
          <w:color w:val="00000A"/>
          <w:kern w:val="0"/>
          <w:sz w:val="16"/>
          <w:szCs w:val="16"/>
          <w:lang w:val="en-US" w:eastAsia="en-US" w:bidi="ar-SA"/>
        </w:rPr>
      </w:pPr>
      <w:r>
        <w:rPr>
          <w:rFonts w:eastAsia="Calibri" w:cs="Courier New" w:eastAsiaTheme="minorHAnsi" w:ascii="Courier new" w:hAnsi="Courier new"/>
          <w:color w:val="00000A"/>
          <w:kern w:val="0"/>
          <w:sz w:val="16"/>
          <w:szCs w:val="16"/>
          <w:lang w:val="en-US" w:eastAsia="en-US" w:bidi="ar-SA"/>
        </w:rPr>
      </w:r>
    </w:p>
    <w:p>
      <w:pPr>
        <w:pStyle w:val="Normal"/>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t xml:space="preserve">The FMI loader interprets the first argument in the args string as the name of the top level model to load, in this case </w:t>
      </w:r>
      <w:r>
        <w:rPr>
          <w:rFonts w:eastAsia="Calibri" w:cs="Courier New" w:ascii="Courier new" w:hAnsi="Courier new" w:eastAsiaTheme="minorHAnsi"/>
          <w:color w:val="00000A"/>
          <w:kern w:val="0"/>
          <w:sz w:val="18"/>
          <w:szCs w:val="18"/>
          <w:lang w:val="en-US" w:eastAsia="en-US" w:bidi="ar-SA"/>
        </w:rPr>
        <w:t>Heatsink.TestHeatsink_Interface3DICE</w:t>
      </w:r>
      <w:r>
        <w:rPr>
          <w:rFonts w:eastAsia="Calibri" w:cs="Courier New" w:eastAsiaTheme="minorHAnsi"/>
          <w:color w:val="00000A"/>
          <w:kern w:val="0"/>
          <w:sz w:val="22"/>
          <w:szCs w:val="22"/>
          <w:lang w:val="en-US" w:eastAsia="en-US" w:bidi="ar-SA"/>
        </w:rPr>
        <w:t xml:space="preserve">. The name must be fully qualified including the package, and must be a model that implements the  </w:t>
      </w:r>
      <w:r>
        <w:rPr>
          <w:rFonts w:eastAsia="Calibri" w:cs="Courier New" w:ascii="DejaVu Sans Mono" w:hAnsi="DejaVu Sans Mono" w:eastAsiaTheme="minorHAnsi"/>
          <w:color w:val="000000"/>
          <w:kern w:val="0"/>
          <w:sz w:val="18"/>
          <w:szCs w:val="18"/>
          <w:lang w:val="en-US" w:eastAsia="en-US" w:bidi="ar-SA"/>
        </w:rPr>
        <w:t xml:space="preserve">Interface3DICE </w:t>
      </w:r>
      <w:r>
        <w:rPr>
          <w:rFonts w:eastAsia="Calibri" w:cs="Courier New" w:eastAsiaTheme="minorHAnsi"/>
          <w:color w:val="00000A"/>
          <w:kern w:val="0"/>
          <w:sz w:val="22"/>
          <w:szCs w:val="22"/>
          <w:lang w:val="en-US" w:eastAsia="en-US" w:bidi="ar-SA"/>
        </w:rPr>
        <w:t xml:space="preserve">interface. When the model to be loaded has been obtained by extending the the </w:t>
      </w:r>
      <w:r>
        <w:rPr>
          <w:rFonts w:eastAsia="Calibri" w:cs="Courier New" w:ascii="Couruer new" w:hAnsi="Couruer new" w:eastAsiaTheme="minorHAnsi"/>
          <w:color w:val="00000A"/>
          <w:kern w:val="0"/>
          <w:sz w:val="18"/>
          <w:szCs w:val="18"/>
          <w:lang w:val="en-US" w:eastAsia="en-US" w:bidi="ar-SA"/>
        </w:rPr>
        <w:t>HeatsinkBlocks.PartialModels.Interface3DICE</w:t>
      </w:r>
      <w:r>
        <w:rPr>
          <w:rFonts w:eastAsia="Calibri" w:cs="Courier New" w:eastAsiaTheme="minorHAnsi"/>
          <w:color w:val="00000A"/>
          <w:kern w:val="0"/>
          <w:sz w:val="22"/>
          <w:szCs w:val="22"/>
          <w:lang w:val="en-US" w:eastAsia="en-US" w:bidi="ar-SA"/>
        </w:rPr>
        <w:t xml:space="preserve"> interface, there will be two additional parameters that are the to determine how the heat sink is placed on top of the spreader. The first parameter is </w:t>
      </w: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 while the second one is</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A"/>
          <w:kern w:val="0"/>
          <w:sz w:val="22"/>
          <w:szCs w:val="22"/>
          <w:lang w:val="en-US" w:eastAsia="en-US" w:bidi="ar-SA"/>
        </w:rPr>
        <w:t xml:space="preserve">. These two parameter are in </w:t>
      </w:r>
      <w:r>
        <w:rPr>
          <w:rFonts w:eastAsia="Calibri" w:cs="Courier New" w:eastAsiaTheme="minorHAnsi"/>
          <w:color w:val="00000A"/>
          <w:kern w:val="0"/>
          <w:sz w:val="22"/>
          <w:szCs w:val="22"/>
          <w:u w:val="single"/>
          <w:lang w:val="en-US" w:eastAsia="en-US" w:bidi="ar-SA"/>
        </w:rPr>
        <w:t>meters</w:t>
      </w:r>
      <w:r>
        <w:rPr>
          <w:rFonts w:eastAsia="Calibri" w:cs="Courier New" w:eastAsiaTheme="minorHAnsi"/>
          <w:color w:val="00000A"/>
          <w:kern w:val="0"/>
          <w:sz w:val="22"/>
          <w:szCs w:val="22"/>
          <w:lang w:val="en-US" w:eastAsia="en-US" w:bidi="ar-SA"/>
        </w:rPr>
        <w:t>, not micrometers. Additional heat-sink specific parameters may be required depending on the heat sink model.</w:t>
      </w:r>
    </w:p>
    <w:p>
      <w:pPr>
        <w:pStyle w:val="Heading4"/>
        <w:rPr/>
      </w:pPr>
      <w:r>
        <w:rPr/>
      </w:r>
    </w:p>
    <w:p>
      <w:pPr>
        <w:pStyle w:val="Heading4"/>
        <w:rPr/>
      </w:pPr>
      <w:r>
        <w:rPr/>
        <w:t>Writing a heat sink in C++ or Python</w:t>
      </w:r>
    </w:p>
    <w:p>
      <w:pPr>
        <w:pStyle w:val="Normal"/>
        <w:jc w:val="both"/>
        <w:rPr/>
      </w:pPr>
      <w:r>
        <w:rPr>
          <w:rFonts w:cs="Courier New"/>
          <w:sz w:val="22"/>
          <w:szCs w:val="22"/>
        </w:rPr>
        <w:t xml:space="preserve">These languages do not provide a native way of solving differential equations. You need to </w:t>
      </w:r>
      <w:r>
        <w:rPr>
          <w:rFonts w:eastAsia="Calibri" w:cs="Courier New" w:eastAsiaTheme="minorHAnsi"/>
          <w:color w:val="00000A"/>
          <w:kern w:val="0"/>
          <w:sz w:val="22"/>
          <w:szCs w:val="22"/>
          <w:lang w:val="en-US" w:eastAsia="en-US" w:bidi="ar-SA"/>
        </w:rPr>
        <w:t>choose</w:t>
      </w:r>
      <w:r>
        <w:rPr>
          <w:rFonts w:cs="Courier New"/>
          <w:sz w:val="22"/>
          <w:szCs w:val="22"/>
        </w:rPr>
        <w:t xml:space="preserve"> appropriate libraries for that. Taking as example the C++ plugin template, modeling an heat 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std::string&amp;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eastAsia="Calibri" w:cs="Courier New" w:ascii="Courier new" w:hAnsi="Courier new" w:eastAsiaTheme="minorHAnsi"/>
          <w:color w:val="00000A"/>
          <w:kern w:val="0"/>
          <w:sz w:val="18"/>
          <w:szCs w:val="18"/>
          <w:lang w:val="en-US" w:eastAsia="en-US" w:bidi="ar-SA"/>
        </w:rPr>
        <w:t>void</w:t>
      </w:r>
      <w:r>
        <w:rPr>
          <w:rFonts w:cs="Courier New" w:ascii="Courier new" w:hAnsi="Courier new"/>
          <w:sz w:val="18"/>
          <w:szCs w:val="18"/>
        </w:rPr>
        <w:t xml:space="preserve">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 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 sink model. Its parameters are</w:t>
      </w:r>
    </w:p>
    <w:p>
      <w:pPr>
        <w:pStyle w:val="Normal"/>
        <w:numPr>
          <w:ilvl w:val="0"/>
          <w:numId w:val="33"/>
        </w:numPr>
        <w:spacing w:before="0" w:after="0"/>
        <w:jc w:val="both"/>
        <w:rPr>
          <w:rFonts w:ascii="Courier new" w:hAnsi="Courier new"/>
          <w:sz w:val="18"/>
          <w:szCs w:val="18"/>
        </w:rPr>
      </w:pPr>
      <w:bookmarkStart w:id="106"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106"/>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4"/>
        <w:rPr>
          <w:rFonts w:cs="Courier New"/>
          <w:sz w:val="22"/>
          <w:szCs w:val="22"/>
        </w:rPr>
      </w:pPr>
      <w:r>
        <w:rPr/>
        <w:t>The HS483 heat sink model</w:t>
      </w:r>
    </w:p>
    <w:p>
      <w:pPr>
        <w:pStyle w:val="Normal"/>
        <w:spacing w:before="0" w:after="0"/>
        <w:jc w:val="both"/>
        <w:rPr>
          <w:rFonts w:cs="Courier New"/>
          <w:sz w:val="22"/>
          <w:szCs w:val="22"/>
        </w:rPr>
      </w:pPr>
      <w:r>
        <w:rPr>
          <w:rFonts w:cs="Courier New"/>
          <w:sz w:val="22"/>
          <w:szCs w:val="22"/>
        </w:rPr>
        <w:t>HS483 is a Modelica model for a COTS HS483-ND heat sink, connected to a P14752-ND fan. Fan speed should be limited in the range from 1500 to 6000RPM (or 0, for natural convection). Power to be dissipated should be limited to less than 40W. 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HS483_P14752_ConstantFanSpeed_Interface3DICE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w:t>
      </w:r>
      <w:r>
        <w:rPr>
          <w:rFonts w:eastAsia="Calibri" w:cs="Courier New" w:eastAsiaTheme="minorHAnsi"/>
          <w:color w:val="000000"/>
          <w:kern w:val="0"/>
          <w:sz w:val="22"/>
          <w:szCs w:val="22"/>
          <w:lang w:val="en-US" w:eastAsia="en-US" w:bidi="ar-SA"/>
        </w:rPr>
        <w:t>: fan speed in RPM</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HS483_P14752_VariableFanSpeed_Interface3DICE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fanSpeedFilename</w:t>
      </w:r>
      <w:r>
        <w:rPr>
          <w:rFonts w:eastAsia="Calibri" w:cs="Courier New" w:eastAsiaTheme="minorHAnsi"/>
          <w:color w:val="000000"/>
          <w:kern w:val="0"/>
          <w:sz w:val="22"/>
          <w:szCs w:val="22"/>
          <w:lang w:val="en-US" w:eastAsia="en-US" w:bidi="ar-SA"/>
        </w:rPr>
        <w:t xml:space="preserve">: filename of a table with the fan speed as a function of the simulation time. The format of this table is the one of the Modelica </w:t>
      </w:r>
      <w:hyperlink r:id="rId36">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Heading4"/>
        <w:rPr>
          <w:rFonts w:cs="Courier New"/>
          <w:sz w:val="22"/>
          <w:szCs w:val="22"/>
        </w:rPr>
      </w:pPr>
      <w:r>
        <w:rPr/>
        <w:t>The cuplex_kryos_21606 heat sink model</w:t>
      </w:r>
    </w:p>
    <w:p>
      <w:pPr>
        <w:pStyle w:val="Normal"/>
        <w:spacing w:before="0" w:after="0"/>
        <w:jc w:val="both"/>
        <w:rPr>
          <w:rFonts w:cs="Courier New"/>
          <w:sz w:val="22"/>
          <w:szCs w:val="22"/>
        </w:rPr>
      </w:pPr>
      <w:r>
        <w:rPr>
          <w:rFonts w:cs="Courier New"/>
          <w:sz w:val="22"/>
          <w:szCs w:val="22"/>
        </w:rPr>
        <w:t>cuplex_kryos_21606 is a Modelica model for a COTS uplex kryos NEXT water block from aqua computer, part number 21606. The water block has been fitted in the range 0.06 to 0.12 l/min. Power to be dissipated should be limited to less than:</w:t>
      </w:r>
    </w:p>
    <w:p>
      <w:pPr>
        <w:pStyle w:val="Normal"/>
        <w:numPr>
          <w:ilvl w:val="0"/>
          <w:numId w:val="37"/>
        </w:numPr>
        <w:spacing w:before="0" w:after="0"/>
        <w:jc w:val="both"/>
        <w:rPr>
          <w:rFonts w:cs="Courier New"/>
          <w:sz w:val="22"/>
          <w:szCs w:val="22"/>
        </w:rPr>
      </w:pPr>
      <w:r>
        <w:rPr>
          <w:rFonts w:cs="Courier New"/>
          <w:sz w:val="22"/>
          <w:szCs w:val="22"/>
        </w:rPr>
        <w:t>20W, for a 0.06l/min water flow</w:t>
      </w:r>
    </w:p>
    <w:p>
      <w:pPr>
        <w:pStyle w:val="Normal"/>
        <w:numPr>
          <w:ilvl w:val="0"/>
          <w:numId w:val="37"/>
        </w:numPr>
        <w:spacing w:before="0" w:after="0"/>
        <w:jc w:val="both"/>
        <w:rPr>
          <w:rFonts w:cs="Courier New"/>
          <w:sz w:val="22"/>
          <w:szCs w:val="22"/>
        </w:rPr>
      </w:pPr>
      <w:r>
        <w:rPr>
          <w:rFonts w:cs="Courier New"/>
          <w:sz w:val="22"/>
          <w:szCs w:val="22"/>
        </w:rPr>
        <w:t>70W, for a 0.08l/min water flow</w:t>
      </w:r>
    </w:p>
    <w:p>
      <w:pPr>
        <w:pStyle w:val="Normal"/>
        <w:numPr>
          <w:ilvl w:val="0"/>
          <w:numId w:val="37"/>
        </w:numPr>
        <w:spacing w:before="0" w:after="0"/>
        <w:jc w:val="both"/>
        <w:rPr>
          <w:rFonts w:cs="Courier New"/>
          <w:sz w:val="22"/>
          <w:szCs w:val="22"/>
        </w:rPr>
      </w:pPr>
      <w:r>
        <w:rPr>
          <w:rFonts w:cs="Courier New"/>
          <w:sz w:val="22"/>
          <w:szCs w:val="22"/>
        </w:rPr>
        <w:t>80W, for higher water flow rates.</w:t>
      </w:r>
    </w:p>
    <w:p>
      <w:pPr>
        <w:pStyle w:val="Normal"/>
        <w:spacing w:before="0" w:after="0"/>
        <w:jc w:val="both"/>
        <w:rPr>
          <w:rFonts w:cs="Courier New"/>
          <w:sz w:val="22"/>
          <w:szCs w:val="22"/>
        </w:rPr>
      </w:pPr>
      <w:r>
        <w:rPr>
          <w:rFonts w:cs="Courier New"/>
          <w:sz w:val="22"/>
          <w:szCs w:val="22"/>
        </w:rPr>
        <w:t>More information is detailed in the model source code.</w:t>
      </w:r>
    </w:p>
    <w:p>
      <w:pPr>
        <w:pStyle w:val="Normal"/>
        <w:spacing w:before="0" w:after="0"/>
        <w:jc w:val="both"/>
        <w:rPr>
          <w:rFonts w:cs="Courier New"/>
          <w:sz w:val="22"/>
          <w:szCs w:val="22"/>
        </w:rPr>
      </w:pPr>
      <w:r>
        <w:rPr>
          <w:rFonts w:cs="Courier New"/>
          <w:sz w:val="22"/>
          <w:szCs w:val="22"/>
        </w:rPr>
        <w:t>Two 3D-ICE interfaces are available for this model:</w:t>
      </w:r>
    </w:p>
    <w:p>
      <w:pPr>
        <w:pStyle w:val="Normal"/>
        <w:spacing w:before="0" w:after="0"/>
        <w:jc w:val="both"/>
        <w:rPr>
          <w:rFonts w:cs="Courier New"/>
          <w:sz w:val="22"/>
          <w:szCs w:val="22"/>
        </w:rPr>
      </w:pPr>
      <w:r>
        <w:rPr>
          <w:rFonts w:cs="Courier New" w:ascii="DejaVu Sans Mono" w:hAnsi="DejaVu Sans Mono"/>
          <w:sz w:val="18"/>
          <w:szCs w:val="18"/>
        </w:rPr>
        <w:t>Cuplex21606_ConstantFlowRate_Interface3DICE</w:t>
      </w:r>
      <w:r>
        <w:rPr>
          <w:rFonts w:cs="Courier New"/>
          <w:sz w:val="22"/>
          <w:szCs w:val="22"/>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waterFlowRate</w:t>
      </w:r>
      <w:r>
        <w:rPr>
          <w:rFonts w:eastAsia="Calibri" w:cs="Courier New" w:eastAsiaTheme="minorHAnsi"/>
          <w:color w:val="000000"/>
          <w:kern w:val="0"/>
          <w:sz w:val="22"/>
          <w:szCs w:val="22"/>
          <w:lang w:val="en-US" w:eastAsia="en-US" w:bidi="ar-SA"/>
        </w:rPr>
        <w:t>: water flow rate in l/min</w:t>
      </w:r>
    </w:p>
    <w:p>
      <w:pPr>
        <w:pStyle w:val="Normal"/>
        <w:spacing w:before="0" w:after="0"/>
        <w:jc w:val="both"/>
        <w:rPr>
          <w:rFonts w:cs="Courier New"/>
          <w:sz w:val="22"/>
          <w:szCs w:val="22"/>
        </w:rPr>
      </w:pPr>
      <w:r>
        <w:rPr>
          <w:rFonts w:cs="Courier New"/>
          <w:sz w:val="22"/>
          <w:szCs w:val="22"/>
        </w:rPr>
      </w:r>
    </w:p>
    <w:p>
      <w:pPr>
        <w:pStyle w:val="Normal"/>
        <w:spacing w:before="0" w:after="0"/>
        <w:jc w:val="both"/>
        <w:rPr>
          <w:rFonts w:cs="Courier New"/>
          <w:sz w:val="22"/>
          <w:szCs w:val="22"/>
        </w:rPr>
      </w:pPr>
      <w:r>
        <w:rPr>
          <w:rFonts w:ascii="DejaVu Sans Mono" w:hAnsi="DejaVu Sans Mono"/>
          <w:sz w:val="18"/>
          <w:szCs w:val="18"/>
        </w:rPr>
        <w:t>Cuplex21606_VariableFlowRate_Interface3DICE</w:t>
      </w:r>
      <w:r>
        <w:rPr/>
        <w:t>: this model has the following parameters</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spreaderX0</w:t>
      </w:r>
      <w:r>
        <w:rPr>
          <w:rFonts w:eastAsia="Calibri" w:cs="Courier New" w:eastAsiaTheme="minorHAnsi"/>
          <w:color w:val="00000A"/>
          <w:kern w:val="0"/>
          <w:sz w:val="22"/>
          <w:szCs w:val="22"/>
          <w:lang w:val="en-US" w:eastAsia="en-US" w:bidi="ar-SA"/>
        </w:rPr>
        <w:t>,</w:t>
      </w:r>
      <w:r>
        <w:rPr>
          <w:rFonts w:eastAsia="Calibri" w:cs="Courier New" w:ascii="DejaVu Sans Mono" w:hAnsi="DejaVu Sans Mono" w:eastAsiaTheme="minorHAnsi"/>
          <w:color w:val="000000"/>
          <w:kern w:val="0"/>
          <w:sz w:val="18"/>
          <w:szCs w:val="22"/>
          <w:lang w:val="en-US" w:eastAsia="en-US" w:bidi="ar-SA"/>
        </w:rPr>
        <w:t xml:space="preserve"> spreaderY0</w:t>
      </w:r>
      <w:r>
        <w:rPr>
          <w:rFonts w:eastAsia="Calibri" w:cs="Courier New" w:eastAsiaTheme="minorHAnsi"/>
          <w:color w:val="000000"/>
          <w:kern w:val="0"/>
          <w:sz w:val="22"/>
          <w:szCs w:val="22"/>
          <w:lang w:val="en-US" w:eastAsia="en-US" w:bidi="ar-SA"/>
        </w:rPr>
        <w:t>: see chapter Writing a heat sink in Modelica</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airTemperature</w:t>
      </w:r>
      <w:r>
        <w:rPr>
          <w:rFonts w:eastAsia="Calibri" w:cs="Courier New" w:eastAsiaTheme="minorHAnsi"/>
          <w:color w:val="000000"/>
          <w:kern w:val="0"/>
          <w:sz w:val="22"/>
          <w:szCs w:val="22"/>
          <w:lang w:val="en-US" w:eastAsia="en-US" w:bidi="ar-SA"/>
        </w:rPr>
        <w:t>: air temperature in K</w:t>
      </w:r>
    </w:p>
    <w:p>
      <w:pPr>
        <w:pStyle w:val="Normal"/>
        <w:numPr>
          <w:ilvl w:val="0"/>
          <w:numId w:val="36"/>
        </w:numPr>
        <w:spacing w:before="0" w:after="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ascii="DejaVu Sans Mono" w:hAnsi="DejaVu Sans Mono" w:eastAsiaTheme="minorHAnsi"/>
          <w:color w:val="000000"/>
          <w:kern w:val="0"/>
          <w:sz w:val="18"/>
          <w:szCs w:val="22"/>
          <w:lang w:val="en-US" w:eastAsia="en-US" w:bidi="ar-SA"/>
        </w:rPr>
        <w:t>flowRateFilename</w:t>
      </w:r>
      <w:r>
        <w:rPr>
          <w:rFonts w:eastAsia="Calibri" w:cs="Courier New" w:eastAsiaTheme="minorHAnsi"/>
          <w:color w:val="000000"/>
          <w:kern w:val="0"/>
          <w:sz w:val="22"/>
          <w:szCs w:val="22"/>
          <w:lang w:val="en-US" w:eastAsia="en-US" w:bidi="ar-SA"/>
        </w:rPr>
        <w:t xml:space="preserve">: filename of a table with the water flow rate as a function of the simulation time. The format of this table is the one of the Modelica </w:t>
      </w:r>
      <w:hyperlink r:id="rId37">
        <w:r>
          <w:rPr>
            <w:rStyle w:val="InternetLink"/>
            <w:rFonts w:eastAsia="Calibri" w:cs="Courier New" w:eastAsiaTheme="minorHAnsi"/>
            <w:color w:val="000000"/>
            <w:kern w:val="0"/>
            <w:sz w:val="22"/>
            <w:szCs w:val="22"/>
            <w:lang w:val="en-US" w:eastAsia="en-US" w:bidi="ar-SA"/>
          </w:rPr>
          <w:t>CombiTimeTable</w:t>
        </w:r>
      </w:hyperlink>
      <w:r>
        <w:rPr>
          <w:rFonts w:eastAsia="Calibri" w:cs="Courier New" w:eastAsiaTheme="minorHAnsi"/>
          <w:color w:val="000000"/>
          <w:kern w:val="0"/>
          <w:sz w:val="22"/>
          <w:szCs w:val="22"/>
          <w:lang w:val="en-US" w:eastAsia="en-US" w:bidi="ar-SA"/>
        </w:rPr>
        <w:t>, an example is provided in the heat sink directory.</w:t>
      </w:r>
    </w:p>
    <w:p>
      <w:pPr>
        <w:pStyle w:val="Normal"/>
        <w:numPr>
          <w:ilvl w:val="0"/>
          <w:numId w:val="0"/>
        </w:numPr>
        <w:spacing w:before="0" w:after="0"/>
        <w:ind w:left="720" w:hanging="0"/>
        <w:jc w:val="both"/>
        <w:rPr>
          <w:rFonts w:ascii="Calibri" w:hAnsi="Calibri" w:eastAsia="Calibri" w:cs="Courier New" w:asciiTheme="minorHAnsi" w:eastAsiaTheme="minorHAnsi" w:hAnsiTheme="minorHAnsi"/>
          <w:color w:val="00000A"/>
          <w:kern w:val="0"/>
          <w:sz w:val="22"/>
          <w:szCs w:val="22"/>
          <w:lang w:val="en-US" w:eastAsia="en-US" w:bidi="ar-SA"/>
        </w:rPr>
      </w:pPr>
      <w:r>
        <w:rPr>
          <w:rFonts w:eastAsia="Calibri" w:cs="Courier New" w:eastAsiaTheme="minorHAnsi"/>
          <w:color w:val="00000A"/>
          <w:kern w:val="0"/>
          <w:sz w:val="22"/>
          <w:szCs w:val="22"/>
          <w:lang w:val="en-US" w:eastAsia="en-US" w:bidi="ar-SA"/>
        </w:rPr>
      </w:r>
    </w:p>
    <w:p>
      <w:pPr>
        <w:pStyle w:val="Heading1"/>
        <w:numPr>
          <w:ilvl w:val="0"/>
          <w:numId w:val="2"/>
        </w:numPr>
        <w:rPr/>
      </w:pPr>
      <w:bookmarkStart w:id="107" w:name="__RefHeading___Toc2995_2393532176"/>
      <w:bookmarkStart w:id="108" w:name="_Toc442446457"/>
      <w:bookmarkEnd w:id="107"/>
      <w:bookmarkEnd w:id="108"/>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 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bookmarkStart w:id="109" w:name="_Toc442446458"/>
      <w:bookmarkEnd w:id="109"/>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 Section 9.</w:t>
      </w:r>
    </w:p>
    <w:p>
      <w:pPr>
        <w:pStyle w:val="Normal"/>
        <w:jc w:val="both"/>
        <w:rPr/>
      </w:pPr>
      <w:r>
        <w:rPr/>
      </w:r>
    </w:p>
    <w:p>
      <w:pPr>
        <w:pStyle w:val="Heading1"/>
        <w:numPr>
          <w:ilvl w:val="0"/>
          <w:numId w:val="2"/>
        </w:numPr>
        <w:rPr/>
      </w:pPr>
      <w:bookmarkStart w:id="110" w:name="__RefHeading___Toc2937_2842897094"/>
      <w:bookmarkEnd w:id="110"/>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 Floorplan Files placed in the same folder. Once compiled with the make command, the corresponding executable is acts as the thermal simulator application. 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 xml:space="preserve">where </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Heading4"/>
        <w:rPr>
          <w:rFonts w:ascii="Cambria" w:hAnsi="Cambria" w:eastAsia="" w:cs="" w:asciiTheme="majorHAnsi" w:cstheme="majorBidi" w:eastAsiaTheme="majorEastAsia" w:hAnsiTheme="majorHAnsi"/>
          <w:b/>
          <w:b/>
          <w:bCs/>
          <w:i/>
          <w:i/>
          <w:iCs/>
          <w:color w:val="800000"/>
          <w:kern w:val="0"/>
          <w:sz w:val="22"/>
          <w:szCs w:val="22"/>
          <w:lang w:val="en-US" w:eastAsia="en-US" w:bidi="ar-SA"/>
        </w:rPr>
      </w:pPr>
      <w:r>
        <w:rPr>
          <w:rFonts w:eastAsia="" w:cs="" w:cstheme="majorBidi" w:eastAsiaTheme="majorEastAsia"/>
          <w:b/>
          <w:bCs/>
          <w:i/>
          <w:iCs/>
          <w:color w:val="800000"/>
          <w:kern w:val="0"/>
          <w:sz w:val="22"/>
          <w:szCs w:val="22"/>
          <w:lang w:val="en-US" w:eastAsia="en-US" w:bidi="ar-SA"/>
        </w:rPr>
        <w:t>Numerical stability when using the co-simulation interface</w:t>
      </w:r>
    </w:p>
    <w:p>
      <w:pPr>
        <w:pStyle w:val="Normal"/>
        <w:spacing w:before="0" w:after="0"/>
        <w:jc w:val="both"/>
        <w:rPr>
          <w:rFonts w:cs="Courier New"/>
          <w:sz w:val="22"/>
          <w:szCs w:val="22"/>
        </w:rPr>
      </w:pPr>
      <w:r>
        <w:rPr>
          <w:rFonts w:cs="Courier New"/>
          <w:sz w:val="22"/>
          <w:szCs w:val="22"/>
        </w:rPr>
        <w:t xml:space="preserve">The numerical stability of </w:t>
      </w:r>
      <w:r>
        <w:rPr>
          <w:rFonts w:eastAsia="Calibri" w:cs="Courier New" w:eastAsiaTheme="minorHAnsi"/>
          <w:color w:val="00000A"/>
          <w:kern w:val="0"/>
          <w:sz w:val="22"/>
          <w:szCs w:val="22"/>
          <w:lang w:val="en-US" w:eastAsia="en-US" w:bidi="ar-SA"/>
        </w:rPr>
        <w:t>performing co-simulation of differential equation models is a complex matter [8]. To not stray from the purpose of this manual, it can be broadly stated that it depends on the numerical stability of the integration algorithm used by 3D-ICE, on that used by the plugin and, for extreme values of the integration step, also on the co-simulation interface itself [9].</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OpenModelica, the open source Modelica compiler we used for 3D-ICE plugins supports multiple integration methods, including BDF solvers, Runge Kutta, and forward and backward Euler. However, this is only true for all-Modelica simulations. When Modelica models are exported as FMI for co-simulation, OpenModelica currently only supports the forward Euler algorithm, that is not unconditionally stable and is currently the limiting factor as for lengthening the integration step. In the future, we expect OpenModelica to implement implicit integration algorithms for FMIs.</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It should also be noted that the Modelica environment, not to unduly limit the potential for optimization  given by the choice of solvers, expects users to be responsible of making appropriate choices of solver algorithms and integration step, and that the fact that an unwise choice could lead to numerical instability, as well as the capability of correcting such an unwise choice, is common culture and practice in the Modelica community.</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From a practical standpoint, we can thus borrow from the Modelica operational experience, in that numerical instability in thermal models is easy to detect, as it shows up as negative temperature values (values in Kelvin cannot be negative), or values exponentially diverging towards infinity. In all cases, with the present state of FMI support in OpenModelica, the solution to this issue is invariantly to reduce the numerical integration step.</w:t>
      </w:r>
    </w:p>
    <w:p>
      <w:pPr>
        <w:pStyle w:val="Normal"/>
        <w:spacing w:before="0" w:after="0"/>
        <w:jc w:val="both"/>
        <w:rPr>
          <w:rFonts w:cs="Courier New"/>
          <w:sz w:val="22"/>
          <w:szCs w:val="22"/>
        </w:rPr>
      </w:pPr>
      <w:r>
        <w:rPr>
          <w:rFonts w:eastAsia="Calibri" w:cs="Courier New" w:eastAsiaTheme="minorHAnsi"/>
          <w:color w:val="00000A"/>
          <w:kern w:val="0"/>
          <w:sz w:val="22"/>
          <w:szCs w:val="22"/>
          <w:lang w:val="en-US" w:eastAsia="en-US" w:bidi="ar-SA"/>
        </w:rPr>
        <w:t xml:space="preserve">As in the co-simulation interface the integration step is dictated by the 3D-ICE side, this can be done by reducing the </w:t>
      </w:r>
      <w:r>
        <w:rPr>
          <w:rFonts w:eastAsia="Calibri" w:cs="Courier New" w:ascii="Courier new" w:hAnsi="Courier new" w:eastAsiaTheme="minorHAnsi"/>
          <w:color w:val="00000A"/>
          <w:kern w:val="0"/>
          <w:sz w:val="18"/>
          <w:szCs w:val="18"/>
          <w:lang w:val="en-US" w:eastAsia="en-US" w:bidi="ar-SA"/>
        </w:rPr>
        <w:t>step</w:t>
      </w:r>
      <w:r>
        <w:rPr>
          <w:rFonts w:eastAsia="Calibri" w:cs="Courier New" w:eastAsiaTheme="minorHAnsi"/>
          <w:color w:val="00000A"/>
          <w:kern w:val="0"/>
          <w:sz w:val="22"/>
          <w:szCs w:val="22"/>
          <w:lang w:val="en-US" w:eastAsia="en-US" w:bidi="ar-SA"/>
        </w:rPr>
        <w:t xml:space="preserve"> parameter in the stack description file.</w:t>
      </w:r>
    </w:p>
    <w:p>
      <w:pPr>
        <w:pStyle w:val="Heading1"/>
        <w:numPr>
          <w:ilvl w:val="0"/>
          <w:numId w:val="2"/>
        </w:numPr>
        <w:rPr/>
      </w:pPr>
      <w:bookmarkStart w:id="111" w:name="__RefHeading___Toc2939_2842897094"/>
      <w:bookmarkEnd w:id="111"/>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38"/>
                    <a:stretch>
                      <a:fillRect/>
                    </a:stretch>
                  </pic:blipFill>
                  <pic:spPr bwMode="auto">
                    <a:xfrm>
                      <a:off x="0" y="0"/>
                      <a:ext cx="5943600" cy="5138420"/>
                    </a:xfrm>
                    <a:prstGeom prst="rect">
                      <a:avLst/>
                    </a:prstGeom>
                  </pic:spPr>
                </pic:pic>
              </a:graphicData>
            </a:graphic>
          </wp:inline>
        </w:drawing>
      </w:r>
    </w:p>
    <w:p>
      <w:pPr>
        <w:pStyle w:val="Caption1"/>
        <w:jc w:val="center"/>
        <w:rPr/>
      </w:pPr>
      <w:r>
        <w:rPr/>
        <w:t>Figure 2</w:t>
      </w:r>
      <w:r>
        <w:rPr>
          <w:rFonts w:eastAsia="Calibri" w:cs=""/>
          <w:b/>
          <w:bCs/>
          <w:color w:val="000000" w:themeColor="text1"/>
          <w:kern w:val="0"/>
          <w:sz w:val="18"/>
          <w:szCs w:val="18"/>
          <w:lang w:val="en-US" w:eastAsia="en-US" w:bidi="ar-SA"/>
        </w:rPr>
        <w:t>3</w:t>
      </w:r>
      <w:r>
        <w:rPr/>
        <w:t>: Doxygen documentation for 3D-ICE 2.0</w:t>
      </w:r>
    </w:p>
    <w:p>
      <w:pPr>
        <w:pStyle w:val="Heading2"/>
        <w:numPr>
          <w:ilvl w:val="0"/>
          <w:numId w:val="26"/>
        </w:numPr>
        <w:rPr/>
      </w:pPr>
      <w:bookmarkStart w:id="112" w:name="__RefHeading___Toc3001_2393532176"/>
      <w:bookmarkStart w:id="113" w:name="_Toc442446460"/>
      <w:bookmarkEnd w:id="112"/>
      <w:r>
        <w:rPr>
          <w:rFonts w:cs="Courier New" w:ascii="Courier New" w:hAnsi="Courier New"/>
        </w:rPr>
        <w:t>StackDescription_t</w:t>
      </w:r>
      <w:r>
        <w:rPr>
          <w:rFonts w:cs="Calibri" w:ascii="Calibri" w:hAnsi="Calibri" w:asciiTheme="minorHAnsi" w:cstheme="minorHAnsi" w:hAnsiTheme="minorHAnsi"/>
        </w:rPr>
        <w:t xml:space="preserve">, </w:t>
      </w:r>
      <w:bookmarkEnd w:id="113"/>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114" w:name="__RefHeading___Toc3003_2393532176"/>
      <w:bookmarkStart w:id="115" w:name="_Toc442446461"/>
      <w:bookmarkEnd w:id="114"/>
      <w:bookmarkEnd w:id="115"/>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116" w:name="__RefHeading___Toc3005_2393532176"/>
      <w:bookmarkStart w:id="117" w:name="_Toc442446462"/>
      <w:bookmarkEnd w:id="116"/>
      <w:bookmarkEnd w:id="117"/>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118" w:name="__RefHeading___Toc3007_2393532176"/>
      <w:bookmarkStart w:id="119" w:name="_Toc442446463"/>
      <w:bookmarkEnd w:id="118"/>
      <w:bookmarkEnd w:id="119"/>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Layout w:type="fixed"/>
        <w:tblCellMar>
          <w:top w:w="0" w:type="dxa"/>
          <w:left w:w="98" w:type="dxa"/>
          <w:bottom w:w="0" w:type="dxa"/>
          <w:right w:w="108" w:type="dxa"/>
        </w:tblCellMar>
        <w:tblLook w:firstRow="1" w:noVBand="1" w:lastRow="0" w:firstColumn="1" w:lastColumn="0" w:noHBand="0" w:val="04a0"/>
      </w:tblPr>
      <w:tblGrid>
        <w:gridCol w:w="3978"/>
        <w:gridCol w:w="1341"/>
        <w:gridCol w:w="4239"/>
      </w:tblGrid>
      <w:tr>
        <w:trPr/>
        <w:tc>
          <w:tcPr>
            <w:tcW w:w="3978" w:type="dxa"/>
            <w:tcBorders>
              <w:bottom w:val="nil"/>
              <w:right w:val="nil"/>
            </w:tcBorders>
            <w:shd w:fill="auto" w:val="clear"/>
          </w:tcPr>
          <w:p>
            <w:pPr>
              <w:pStyle w:val="Normal"/>
              <w:widowControl w:val="false"/>
              <w:spacing w:lineRule="auto" w:line="240" w:before="0" w:after="0"/>
              <w:jc w:val="center"/>
              <w:rPr>
                <w:b/>
                <w:b/>
              </w:rPr>
            </w:pPr>
            <w:r>
              <w:rPr>
                <w:b/>
                <w:sz w:val="28"/>
              </w:rPr>
              <w:t>Client  10.0.0.1</w:t>
            </w:r>
          </w:p>
        </w:tc>
        <w:tc>
          <w:tcPr>
            <w:tcW w:w="1341" w:type="dxa"/>
            <w:tcBorders>
              <w:left w:val="nil"/>
              <w:bottom w:val="nil"/>
              <w:right w:val="nil"/>
            </w:tcBorders>
            <w:shd w:fill="auto" w:val="clear"/>
            <w:tcMar>
              <w:left w:w="113" w:type="dxa"/>
            </w:tcMar>
          </w:tcPr>
          <w:p>
            <w:pPr>
              <w:pStyle w:val="Normal"/>
              <w:widowControl w:val="false"/>
              <w:spacing w:lineRule="auto" w:line="240" w:before="0" w:after="0"/>
              <w:jc w:val="left"/>
              <w:rPr>
                <w:sz w:val="20"/>
              </w:rPr>
            </w:pPr>
            <w:r>
              <w:rPr>
                <w:sz w:val="20"/>
              </w:rPr>
            </w:r>
          </w:p>
        </w:tc>
        <w:tc>
          <w:tcPr>
            <w:tcW w:w="4239" w:type="dxa"/>
            <w:tcBorders>
              <w:left w:val="nil"/>
              <w:bottom w:val="nil"/>
            </w:tcBorders>
            <w:shd w:fill="auto" w:val="clear"/>
            <w:tcMar>
              <w:left w:w="113" w:type="dxa"/>
            </w:tcMar>
          </w:tcPr>
          <w:p>
            <w:pPr>
              <w:pStyle w:val="Normal"/>
              <w:widowControl w:val="false"/>
              <w:spacing w:lineRule="auto" w:line="240" w:before="0" w:after="0"/>
              <w:jc w:val="center"/>
              <w:rPr>
                <w:b/>
                <w:b/>
              </w:rPr>
            </w:pPr>
            <w:r>
              <w:rPr>
                <w:b/>
                <w:sz w:val="28"/>
              </w:rPr>
              <w:t>Server  10.0.0.2</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35">
                      <wp:simplePos x="0" y="0"/>
                      <wp:positionH relativeFrom="column">
                        <wp:posOffset>1816735</wp:posOffset>
                      </wp:positionH>
                      <wp:positionV relativeFrom="paragraph">
                        <wp:posOffset>62230</wp:posOffset>
                      </wp:positionV>
                      <wp:extent cx="1266190" cy="292100"/>
                      <wp:effectExtent l="0" t="0" r="0" b="0"/>
                      <wp:wrapNone/>
                      <wp:docPr id="35" name="Frame2"/>
                      <a:graphic xmlns:a="http://schemas.openxmlformats.org/drawingml/2006/main">
                        <a:graphicData uri="http://schemas.microsoft.com/office/word/2010/wordprocessingShape">
                          <wps:wsp>
                            <wps:cNvSpPr/>
                            <wps:spPr>
                              <a:xfrm>
                                <a:off x="0" y="0"/>
                                <a:ext cx="1265400" cy="291600"/>
                              </a:xfrm>
                              <a:prstGeom prst="rect">
                                <a:avLst/>
                              </a:prstGeom>
                              <a:noFill/>
                              <a:ln w="0">
                                <a:noFill/>
                              </a:ln>
                            </wps:spPr>
                            <wps:style>
                              <a:lnRef idx="0"/>
                              <a:fillRef idx="0"/>
                              <a:effectRef idx="0"/>
                              <a:fontRef idx="minor"/>
                            </wps:style>
                            <wps:txbx>
                              <w:txbxContent>
                                <w:p>
                                  <w:pPr>
                                    <w:pStyle w:val="FrameContents"/>
                                    <w:widowControl w:val="false"/>
                                    <w:spacing w:before="0" w:after="200"/>
                                    <w:rPr/>
                                  </w:pPr>
                                  <w:r>
                                    <w:rPr>
                                      <w:rFonts w:cs="Courier New" w:ascii="Courier New" w:hAnsi="Courier New"/>
                                      <w:color w:val="4F81BD" w:themeColor="accent1"/>
                                      <w:sz w:val="18"/>
                                      <w:szCs w:val="18"/>
                                    </w:rPr>
                                    <w:t>Initialization</w:t>
                                  </w:r>
                                </w:p>
                              </w:txbxContent>
                            </wps:txbx>
                            <wps:bodyPr anchor="t">
                              <a:noAutofit/>
                            </wps:bodyPr>
                          </wps:wsp>
                        </a:graphicData>
                      </a:graphic>
                    </wp:anchor>
                  </w:drawing>
                </mc:Choice>
                <mc:Fallback>
                  <w:pict>
                    <v:rect id="shape_0" ID="Frame2" path="m0,0l-2147483645,0l-2147483645,-2147483646l0,-2147483646xe" stroked="f" o:allowincell="t" style="position:absolute;margin-left:143.05pt;margin-top:4.9pt;width:99.6pt;height:22.9pt;mso-wrap-style:square;v-text-anchor:top">
                      <v:fill o:detectmouseclick="t" on="false"/>
                      <v:stroke color="#3465a4" joinstyle="round" endcap="flat"/>
                      <v:textbox>
                        <w:txbxContent>
                          <w:p>
                            <w:pPr>
                              <w:pStyle w:val="FrameContents"/>
                              <w:widowControl w:val="false"/>
                              <w:spacing w:before="0" w:after="200"/>
                              <w:rPr/>
                            </w:pPr>
                            <w:r>
                              <w:rPr>
                                <w:rFonts w:cs="Courier New" w:ascii="Courier New" w:hAnsi="Courier New"/>
                                <w:color w:val="4F81BD" w:themeColor="accent1"/>
                                <w:sz w:val="18"/>
                                <w:szCs w:val="18"/>
                              </w:rPr>
                              <w:t>Initialization</w:t>
                            </w:r>
                          </w:p>
                        </w:txbxContent>
                      </v:textbox>
                      <w10:wrap type="none"/>
                    </v:rect>
                  </w:pict>
                </mc:Fallback>
              </mc:AlternateContent>
            </w:r>
            <w:r>
              <w:rPr>
                <w:rFonts w:cs="Courier New" w:ascii="Courier New" w:hAnsi="Courier New"/>
                <w:sz w:val="18"/>
                <w:szCs w:val="18"/>
              </w:rPr>
              <w:t>Socket_t  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3">
                      <wp:simplePos x="0" y="0"/>
                      <wp:positionH relativeFrom="column">
                        <wp:posOffset>1419225</wp:posOffset>
                      </wp:positionH>
                      <wp:positionV relativeFrom="paragraph">
                        <wp:posOffset>213995</wp:posOffset>
                      </wp:positionV>
                      <wp:extent cx="1894840" cy="5080"/>
                      <wp:effectExtent l="0" t="0" r="0" b="0"/>
                      <wp:wrapNone/>
                      <wp:docPr id="37" name="Straight Connector 23"/>
                      <a:graphic xmlns:a="http://schemas.openxmlformats.org/drawingml/2006/main">
                        <a:graphicData uri="http://schemas.microsoft.com/office/word/2010/wordprocessingShape">
                          <wps:wsp>
                            <wps:cNvSpPr/>
                            <wps:spPr>
                              <a:xfrm>
                                <a:off x="0" y="0"/>
                                <a:ext cx="1894320" cy="43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1.75pt,16.85pt" to="260.85pt,17.15pt" ID="Straight Connector 23" stroked="t" o:allowincell="t" style="position:absolute">
                      <v:stroke color="#4579b8"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open_client_socket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7">
                      <wp:simplePos x="0" y="0"/>
                      <wp:positionH relativeFrom="column">
                        <wp:posOffset>2066290</wp:posOffset>
                      </wp:positionH>
                      <wp:positionV relativeFrom="paragraph">
                        <wp:posOffset>48260</wp:posOffset>
                      </wp:positionV>
                      <wp:extent cx="1325245" cy="458470"/>
                      <wp:effectExtent l="0" t="0" r="0" b="0"/>
                      <wp:wrapNone/>
                      <wp:docPr id="38" name="Frame3"/>
                      <a:graphic xmlns:a="http://schemas.openxmlformats.org/drawingml/2006/main">
                        <a:graphicData uri="http://schemas.microsoft.com/office/word/2010/wordprocessingShape">
                          <wps:wsp>
                            <wps:cNvSpPr/>
                            <wps:spPr>
                              <a:xfrm>
                                <a:off x="0" y="0"/>
                                <a:ext cx="1324440" cy="45792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Open &amp; Connect</w:t>
                                  </w:r>
                                </w:p>
                              </w:txbxContent>
                            </wps:txbx>
                            <wps:bodyPr anchor="t">
                              <a:noAutofit/>
                            </wps:bodyPr>
                          </wps:wsp>
                        </a:graphicData>
                      </a:graphic>
                    </wp:anchor>
                  </w:drawing>
                </mc:Choice>
                <mc:Fallback>
                  <w:pict>
                    <v:rect id="shape_0" ID="Frame3" path="m0,0l-2147483645,0l-2147483645,-2147483646l0,-2147483646xe" stroked="f" o:allowincell="t" style="position:absolute;margin-left:162.7pt;margin-top:3.8pt;width:104.25pt;height:36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Open &amp; Connect</w:t>
                            </w:r>
                          </w:p>
                        </w:txbxContent>
                      </v:textbox>
                      <w10:wrap type="none"/>
                    </v:rect>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connect_client_to_server</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wait_for_client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4">
                      <wp:simplePos x="0" y="0"/>
                      <wp:positionH relativeFrom="column">
                        <wp:posOffset>1410335</wp:posOffset>
                      </wp:positionH>
                      <wp:positionV relativeFrom="paragraph">
                        <wp:posOffset>122555</wp:posOffset>
                      </wp:positionV>
                      <wp:extent cx="1894205" cy="5080"/>
                      <wp:effectExtent l="0" t="0" r="0" b="0"/>
                      <wp:wrapNone/>
                      <wp:docPr id="40" name="Straight Connector 26"/>
                      <a:graphic xmlns:a="http://schemas.openxmlformats.org/drawingml/2006/main">
                        <a:graphicData uri="http://schemas.microsoft.com/office/word/2010/wordprocessingShape">
                          <wps:wsp>
                            <wps:cNvSpPr/>
                            <wps:spPr>
                              <a:xfrm>
                                <a:off x="0" y="0"/>
                                <a:ext cx="1893600" cy="4320"/>
                              </a:xfrm>
                              <a:prstGeom prst="line">
                                <a:avLst/>
                              </a:prstGeom>
                              <a:ln w="0">
                                <a:solidFill>
                                  <a:srgbClr val="4579b8"/>
                                </a:solidFill>
                              </a:ln>
                            </wps:spPr>
                            <wps:style>
                              <a:lnRef idx="0"/>
                              <a:fillRef idx="0"/>
                              <a:effectRef idx="0"/>
                              <a:fontRef idx="minor"/>
                            </wps:style>
                            <wps:bodyPr/>
                          </wps:wsp>
                        </a:graphicData>
                      </a:graphic>
                    </wp:anchor>
                  </w:drawing>
                </mc:Choice>
                <mc:Fallback>
                  <w:pict>
                    <v:line id="shape_0" from="111.05pt,9.65pt" to="260.1pt,9.95pt" ID="Straight Connector 26" stroked="t" o:allowincell="t" style="position:absolute">
                      <v:stroke color="#4579b8"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1" distT="12700" distB="12700" distL="12700" distR="12700" simplePos="0" locked="0" layoutInCell="1" allowOverlap="1" relativeHeight="2">
                      <wp:simplePos x="0" y="0"/>
                      <wp:positionH relativeFrom="column">
                        <wp:posOffset>2327275</wp:posOffset>
                      </wp:positionH>
                      <wp:positionV relativeFrom="paragraph">
                        <wp:posOffset>60960</wp:posOffset>
                      </wp:positionV>
                      <wp:extent cx="862330" cy="1229995"/>
                      <wp:effectExtent l="0" t="0" r="0" b="0"/>
                      <wp:wrapNone/>
                      <wp:docPr id="41" name="Curved Left Arrow 20"/>
                      <a:graphic xmlns:a="http://schemas.openxmlformats.org/drawingml/2006/main">
                        <a:graphicData uri="http://schemas.microsoft.com/office/word/2010/wordprocessingShape">
                          <wps:wsp>
                            <wps:cNvSpPr/>
                            <wps:spPr>
                              <a:xfrm>
                                <a:off x="0" y="0"/>
                                <a:ext cx="861840" cy="122940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31">
                      <wp:simplePos x="0" y="0"/>
                      <wp:positionH relativeFrom="column">
                        <wp:posOffset>1981835</wp:posOffset>
                      </wp:positionH>
                      <wp:positionV relativeFrom="paragraph">
                        <wp:posOffset>107315</wp:posOffset>
                      </wp:positionV>
                      <wp:extent cx="897255" cy="292100"/>
                      <wp:effectExtent l="0" t="0" r="0" b="0"/>
                      <wp:wrapNone/>
                      <wp:docPr id="42" name="Frame4"/>
                      <a:graphic xmlns:a="http://schemas.openxmlformats.org/drawingml/2006/main">
                        <a:graphicData uri="http://schemas.microsoft.com/office/word/2010/wordprocessingShape">
                          <wps:wsp>
                            <wps:cNvSpPr/>
                            <wps:spPr>
                              <a:xfrm>
                                <a:off x="0" y="0"/>
                                <a:ext cx="896760" cy="29160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REQUEST</w:t>
                                  </w:r>
                                </w:p>
                              </w:txbxContent>
                            </wps:txbx>
                            <wps:bodyPr anchor="t">
                              <a:noAutofit/>
                            </wps:bodyPr>
                          </wps:wsp>
                        </a:graphicData>
                      </a:graphic>
                    </wp:anchor>
                  </w:drawing>
                </mc:Choice>
                <mc:Fallback>
                  <w:pict>
                    <v:rect id="shape_0" ID="Frame4" path="m0,0l-2147483645,0l-2147483645,-2147483646l0,-2147483646xe" stroked="f" o:allowincell="t" style="position:absolute;margin-left:156.05pt;margin-top:8.45pt;width:70.55pt;height:22.9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REQUEST</w:t>
                            </w:r>
                          </w:p>
                        </w:txbxContent>
                      </v:textbox>
                      <w10:wrap type="none"/>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9">
                      <wp:simplePos x="0" y="0"/>
                      <wp:positionH relativeFrom="column">
                        <wp:posOffset>1115695</wp:posOffset>
                      </wp:positionH>
                      <wp:positionV relativeFrom="paragraph">
                        <wp:posOffset>246380</wp:posOffset>
                      </wp:positionV>
                      <wp:extent cx="1300480" cy="292100"/>
                      <wp:effectExtent l="0" t="0" r="0" b="0"/>
                      <wp:wrapNone/>
                      <wp:docPr id="44" name="Frame5"/>
                      <a:graphic xmlns:a="http://schemas.openxmlformats.org/drawingml/2006/main">
                        <a:graphicData uri="http://schemas.microsoft.com/office/word/2010/wordprocessingShape">
                          <wps:wsp>
                            <wps:cNvSpPr/>
                            <wps:spPr>
                              <a:xfrm>
                                <a:off x="0" y="0"/>
                                <a:ext cx="1299960" cy="29160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Communication</w:t>
                                  </w:r>
                                </w:p>
                              </w:txbxContent>
                            </wps:txbx>
                            <wps:bodyPr anchor="t">
                              <a:noAutofit/>
                            </wps:bodyPr>
                          </wps:wsp>
                        </a:graphicData>
                      </a:graphic>
                    </wp:anchor>
                  </w:drawing>
                </mc:Choice>
                <mc:Fallback>
                  <w:pict>
                    <v:rect id="shape_0" ID="Frame5" path="m0,0l-2147483645,0l-2147483645,-2147483646l0,-2147483646xe" stroked="f" o:allowincell="t" style="position:absolute;margin-left:87.85pt;margin-top:19.4pt;width:102.3pt;height:22.9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Communication</w:t>
                            </w:r>
                          </w:p>
                        </w:txbxContent>
                      </v:textbox>
                      <w10:wrap type="none"/>
                    </v:rect>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receive_message_from_soacket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send_message_to_socket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0" distT="0" distB="0" distL="0" distR="0" simplePos="0" locked="0" layoutInCell="1" allowOverlap="1" relativeHeight="33">
                      <wp:simplePos x="0" y="0"/>
                      <wp:positionH relativeFrom="column">
                        <wp:posOffset>86360</wp:posOffset>
                      </wp:positionH>
                      <wp:positionV relativeFrom="paragraph">
                        <wp:posOffset>116205</wp:posOffset>
                      </wp:positionV>
                      <wp:extent cx="897255" cy="292100"/>
                      <wp:effectExtent l="0" t="0" r="0" b="0"/>
                      <wp:wrapNone/>
                      <wp:docPr id="46" name="Frame6"/>
                      <a:graphic xmlns:a="http://schemas.openxmlformats.org/drawingml/2006/main">
                        <a:graphicData uri="http://schemas.microsoft.com/office/word/2010/wordprocessingShape">
                          <wps:wsp>
                            <wps:cNvSpPr/>
                            <wps:spPr>
                              <a:xfrm>
                                <a:off x="0" y="0"/>
                                <a:ext cx="896760" cy="29160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REPLY</w:t>
                                  </w:r>
                                </w:p>
                              </w:txbxContent>
                            </wps:txbx>
                            <wps:bodyPr anchor="t">
                              <a:noAutofit/>
                            </wps:bodyPr>
                          </wps:wsp>
                        </a:graphicData>
                      </a:graphic>
                    </wp:anchor>
                  </w:drawing>
                </mc:Choice>
                <mc:Fallback>
                  <w:pict>
                    <v:rect id="shape_0" ID="Frame6" path="m0,0l-2147483645,0l-2147483645,-2147483646l0,-2147483646xe" stroked="f" o:allowincell="t" style="position:absolute;margin-left:6.8pt;margin-top:9.15pt;width:70.55pt;height:22.9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REPLY</w:t>
                            </w:r>
                          </w:p>
                        </w:txbxContent>
                      </v:textbox>
                      <w10:wrap type="none"/>
                    </v:rect>
                  </w:pict>
                </mc:Fallback>
              </mc:AlternateContent>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receive_message_from_soacket</w:t>
            </w:r>
          </w:p>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mc:AlternateContent>
                <mc:Choice Requires="wps">
                  <w:drawing>
                    <wp:anchor behindDoc="1" distT="0" distB="0" distL="0" distR="0" simplePos="0" locked="0" layoutInCell="1" allowOverlap="1" relativeHeight="5">
                      <wp:simplePos x="0" y="0"/>
                      <wp:positionH relativeFrom="column">
                        <wp:posOffset>1417955</wp:posOffset>
                      </wp:positionH>
                      <wp:positionV relativeFrom="paragraph">
                        <wp:posOffset>146685</wp:posOffset>
                      </wp:positionV>
                      <wp:extent cx="1894205" cy="4445"/>
                      <wp:effectExtent l="0" t="0" r="0" b="0"/>
                      <wp:wrapNone/>
                      <wp:docPr id="48" name="Straight Connector 27"/>
                      <a:graphic xmlns:a="http://schemas.openxmlformats.org/drawingml/2006/main">
                        <a:graphicData uri="http://schemas.microsoft.com/office/word/2010/wordprocessingShape">
                          <wps:wsp>
                            <wps:cNvSpPr/>
                            <wps:spPr>
                              <a:xfrm>
                                <a:off x="0" y="0"/>
                                <a:ext cx="1893600" cy="3960"/>
                              </a:xfrm>
                              <a:prstGeom prst="line">
                                <a:avLst/>
                              </a:prstGeom>
                              <a:ln w="0">
                                <a:solidFill>
                                  <a:srgbClr val="4f81bd"/>
                                </a:solidFill>
                              </a:ln>
                            </wps:spPr>
                            <wps:style>
                              <a:lnRef idx="0"/>
                              <a:fillRef idx="0"/>
                              <a:effectRef idx="0"/>
                              <a:fontRef idx="minor"/>
                            </wps:style>
                            <wps:bodyPr/>
                          </wps:wsp>
                        </a:graphicData>
                      </a:graphic>
                    </wp:anchor>
                  </w:drawing>
                </mc:Choice>
                <mc:Fallback>
                  <w:pict>
                    <v:line id="shape_0" from="111.65pt,11.55pt" to="260.7pt,11.8pt" ID="Straight Connector 27" stroked="t" o:allowincell="t" style="position:absolute">
                      <v:stroke color="#4f81bd" joinstyle="round" endcap="flat"/>
                      <v:fill o:detectmouseclick="t" on="false"/>
                      <w10:wrap type="none"/>
                    </v:line>
                  </w:pict>
                </mc:Fallback>
              </mc:AlternateConten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r>
      <w:tr>
        <w:trPr/>
        <w:tc>
          <w:tcPr>
            <w:tcW w:w="3978" w:type="dxa"/>
            <w:tcBorders>
              <w:top w:val="nil"/>
              <w:bottom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mc:AlternateContent>
                <mc:Choice Requires="wps">
                  <w:drawing>
                    <wp:anchor behindDoc="0" distT="0" distB="0" distL="0" distR="0" simplePos="0" locked="0" layoutInCell="1" allowOverlap="1" relativeHeight="41">
                      <wp:simplePos x="0" y="0"/>
                      <wp:positionH relativeFrom="column">
                        <wp:posOffset>2041525</wp:posOffset>
                      </wp:positionH>
                      <wp:positionV relativeFrom="paragraph">
                        <wp:posOffset>-3175</wp:posOffset>
                      </wp:positionV>
                      <wp:extent cx="1134745" cy="292100"/>
                      <wp:effectExtent l="0" t="0" r="0" b="0"/>
                      <wp:wrapNone/>
                      <wp:docPr id="49" name="Frame7"/>
                      <a:graphic xmlns:a="http://schemas.openxmlformats.org/drawingml/2006/main">
                        <a:graphicData uri="http://schemas.microsoft.com/office/word/2010/wordprocessingShape">
                          <wps:wsp>
                            <wps:cNvSpPr/>
                            <wps:spPr>
                              <a:xfrm>
                                <a:off x="0" y="0"/>
                                <a:ext cx="1134000" cy="291600"/>
                              </a:xfrm>
                              <a:prstGeom prst="rect">
                                <a:avLst/>
                              </a:prstGeom>
                              <a:noFill/>
                              <a:ln w="0">
                                <a:noFill/>
                              </a:ln>
                            </wps:spPr>
                            <wps:style>
                              <a:lnRef idx="0"/>
                              <a:fillRef idx="0"/>
                              <a:effectRef idx="0"/>
                              <a:fontRef idx="minor"/>
                            </wps:style>
                            <wps:txbx>
                              <w:txbxContent>
                                <w:p>
                                  <w:pPr>
                                    <w:pStyle w:val="FrameContents"/>
                                    <w:widowControl w:val="false"/>
                                    <w:spacing w:before="0" w:after="200"/>
                                    <w:jc w:val="center"/>
                                    <w:rPr/>
                                  </w:pPr>
                                  <w:r>
                                    <w:rPr>
                                      <w:rFonts w:cs="Courier New" w:ascii="Courier New" w:hAnsi="Courier New"/>
                                      <w:color w:val="4F81BD" w:themeColor="accent1"/>
                                      <w:sz w:val="18"/>
                                      <w:szCs w:val="18"/>
                                    </w:rPr>
                                    <w:t>Close</w:t>
                                  </w:r>
                                </w:p>
                              </w:txbxContent>
                            </wps:txbx>
                            <wps:bodyPr anchor="t">
                              <a:noAutofit/>
                            </wps:bodyPr>
                          </wps:wsp>
                        </a:graphicData>
                      </a:graphic>
                    </wp:anchor>
                  </w:drawing>
                </mc:Choice>
                <mc:Fallback>
                  <w:pict>
                    <v:rect id="shape_0" ID="Frame7" path="m0,0l-2147483645,0l-2147483645,-2147483646l0,-2147483646xe" stroked="f" o:allowincell="t" style="position:absolute;margin-left:160.75pt;margin-top:-0.25pt;width:89.25pt;height:22.9pt;mso-wrap-style:square;v-text-anchor:top">
                      <v:fill o:detectmouseclick="t" on="false"/>
                      <v:stroke color="#3465a4" joinstyle="round" endcap="flat"/>
                      <v:textbox>
                        <w:txbxContent>
                          <w:p>
                            <w:pPr>
                              <w:pStyle w:val="FrameContents"/>
                              <w:widowControl w:val="false"/>
                              <w:spacing w:before="0" w:after="200"/>
                              <w:jc w:val="center"/>
                              <w:rPr/>
                            </w:pPr>
                            <w:r>
                              <w:rPr>
                                <w:rFonts w:cs="Courier New" w:ascii="Courier New" w:hAnsi="Courier New"/>
                                <w:color w:val="4F81BD" w:themeColor="accent1"/>
                                <w:sz w:val="18"/>
                                <w:szCs w:val="18"/>
                              </w:rPr>
                              <w:t>Close</w:t>
                            </w:r>
                          </w:p>
                        </w:txbxContent>
                      </v:textbox>
                      <w10:wrap type="none"/>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bottom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tcBorders>
            <w:shd w:fill="auto" w:val="cle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1341" w:type="dxa"/>
            <w:tcBorders>
              <w:top w:val="nil"/>
              <w:left w:val="nil"/>
              <w:righ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20"/>
                <w:szCs w:val="18"/>
              </w:rPr>
            </w:r>
          </w:p>
        </w:tc>
        <w:tc>
          <w:tcPr>
            <w:tcW w:w="4239" w:type="dxa"/>
            <w:tcBorders>
              <w:top w:val="nil"/>
              <w:left w:val="nil"/>
            </w:tcBorders>
            <w:shd w:fill="auto" w:val="clear"/>
            <w:tcMar>
              <w:left w:w="113" w:type="dxa"/>
            </w:tcMar>
          </w:tcPr>
          <w:p>
            <w:pPr>
              <w:pStyle w:val="Normal"/>
              <w:widowControl w:val="false"/>
              <w:spacing w:lineRule="auto" w:line="240" w:before="0" w:after="0"/>
              <w:jc w:val="left"/>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120" w:name="__RefHeading___Toc3009_2393532176"/>
      <w:bookmarkStart w:id="121" w:name="_Toc442446464"/>
      <w:bookmarkEnd w:id="120"/>
      <w:r>
        <mc:AlternateContent>
          <mc:Choice Requires="wps">
            <w:drawing>
              <wp:anchor behindDoc="1" distT="6350" distB="6350" distL="6350" distR="6350" simplePos="0" locked="0" layoutInCell="0" allowOverlap="1" relativeHeight="7">
                <wp:simplePos x="0" y="0"/>
                <wp:positionH relativeFrom="column">
                  <wp:posOffset>3585210</wp:posOffset>
                </wp:positionH>
                <wp:positionV relativeFrom="paragraph">
                  <wp:posOffset>-4445</wp:posOffset>
                </wp:positionV>
                <wp:extent cx="154940" cy="2620645"/>
                <wp:effectExtent l="0" t="0" r="0" b="0"/>
                <wp:wrapNone/>
                <wp:docPr id="51" name="Left Brace 290"/>
                <a:graphic xmlns:a="http://schemas.openxmlformats.org/drawingml/2006/main">
                  <a:graphicData uri="http://schemas.microsoft.com/office/word/2010/wordprocessingShape">
                    <wps:wsp>
                      <wps:cNvSpPr/>
                      <wps:spPr>
                        <a:xfrm rot="16200000">
                          <a:off x="0" y="0"/>
                          <a:ext cx="154440" cy="262008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121"/>
      <w:r>
        <w:rPr>
          <w:rFonts w:cs="Courier New" w:ascii="Courier New" w:hAnsi="Courier New"/>
        </w:rPr>
        <w:t>etworkMessage</w:t>
      </w:r>
    </w:p>
    <w:p>
      <w:pPr>
        <w:pStyle w:val="Normal"/>
        <w:jc w:val="both"/>
        <w:rPr/>
      </w:pPr>
      <w:r>
        <mc:AlternateContent>
          <mc:Choice Requires="wps">
            <w:drawing>
              <wp:anchor behindDoc="1" distT="6350" distB="6350" distL="6350" distR="6350" simplePos="0" locked="0" layoutInCell="0" allowOverlap="1" relativeHeight="6">
                <wp:simplePos x="0" y="0"/>
                <wp:positionH relativeFrom="column">
                  <wp:posOffset>1427480</wp:posOffset>
                </wp:positionH>
                <wp:positionV relativeFrom="paragraph">
                  <wp:posOffset>232410</wp:posOffset>
                </wp:positionV>
                <wp:extent cx="154940" cy="1664335"/>
                <wp:effectExtent l="0" t="0" r="0" b="0"/>
                <wp:wrapNone/>
                <wp:docPr id="52" name="Left Brace 24"/>
                <a:graphic xmlns:a="http://schemas.openxmlformats.org/drawingml/2006/main">
                  <a:graphicData uri="http://schemas.microsoft.com/office/word/2010/wordprocessingShape">
                    <wps:wsp>
                      <wps:cNvSpPr/>
                      <wps:spPr>
                        <a:xfrm rot="16200000">
                          <a:off x="0" y="0"/>
                          <a:ext cx="154440" cy="166356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Layout w:type="fixed"/>
        <w:tblCellMar>
          <w:top w:w="0" w:type="dxa"/>
          <w:left w:w="98" w:type="dxa"/>
          <w:bottom w:w="0" w:type="dxa"/>
          <w:right w:w="108" w:type="dxa"/>
        </w:tblCellMar>
        <w:tblLook w:firstRow="1" w:noVBand="1" w:lastRow="0" w:firstColumn="1" w:lastColumn="0" w:noHBand="0" w:val="04a0"/>
      </w:tblPr>
      <w:tblGrid>
        <w:gridCol w:w="1530"/>
        <w:gridCol w:w="1080"/>
        <w:gridCol w:w="4140"/>
      </w:tblGrid>
      <w:tr>
        <w:trPr/>
        <w:tc>
          <w:tcPr>
            <w:tcW w:w="153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widowControl w:val="false"/>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0" distR="0" simplePos="0" locked="0" layoutInCell="0" allowOverlap="1" relativeHeight="43">
                <wp:simplePos x="0" y="0"/>
                <wp:positionH relativeFrom="column">
                  <wp:posOffset>929005</wp:posOffset>
                </wp:positionH>
                <wp:positionV relativeFrom="paragraph">
                  <wp:posOffset>175260</wp:posOffset>
                </wp:positionV>
                <wp:extent cx="1156335" cy="249555"/>
                <wp:effectExtent l="0" t="0" r="0" b="0"/>
                <wp:wrapNone/>
                <wp:docPr id="53" name="Frame9"/>
                <a:graphic xmlns:a="http://schemas.openxmlformats.org/drawingml/2006/main">
                  <a:graphicData uri="http://schemas.microsoft.com/office/word/2010/wordprocessingShape">
                    <wps:wsp>
                      <wps:cNvSpPr/>
                      <wps:spPr>
                        <a:xfrm>
                          <a:off x="0" y="0"/>
                          <a:ext cx="1155600" cy="248760"/>
                        </a:xfrm>
                        <a:prstGeom prst="rect">
                          <a:avLst/>
                        </a:prstGeom>
                        <a:noFill/>
                        <a:ln w="0">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chor="t">
                        <a:noAutofit/>
                      </wps:bodyPr>
                    </wps:wsp>
                  </a:graphicData>
                </a:graphic>
              </wp:anchor>
            </w:drawing>
          </mc:Choice>
          <mc:Fallback>
            <w:pict>
              <v:rect id="shape_0" ID="Frame9" path="m0,0l-2147483645,0l-2147483645,-2147483646l0,-2147483646xe" stroked="f" o:allowincell="f" style="position:absolute;margin-left:73.15pt;margin-top:13.8pt;width:90.95pt;height:19.55pt;mso-wrap-style:square;v-text-anchor:top">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w10:wrap type="none"/>
              </v:rect>
            </w:pict>
          </mc:Fallback>
        </mc:AlternateContent>
        <mc:AlternateContent>
          <mc:Choice Requires="wps">
            <w:drawing>
              <wp:anchor behindDoc="0" distT="0" distB="0" distL="0" distR="0" simplePos="0" locked="0" layoutInCell="0" allowOverlap="1" relativeHeight="45">
                <wp:simplePos x="0" y="0"/>
                <wp:positionH relativeFrom="column">
                  <wp:posOffset>3086100</wp:posOffset>
                </wp:positionH>
                <wp:positionV relativeFrom="paragraph">
                  <wp:posOffset>170815</wp:posOffset>
                </wp:positionV>
                <wp:extent cx="1155700" cy="249555"/>
                <wp:effectExtent l="0" t="0" r="0" b="0"/>
                <wp:wrapNone/>
                <wp:docPr id="55" name="Frame8"/>
                <a:graphic xmlns:a="http://schemas.openxmlformats.org/drawingml/2006/main">
                  <a:graphicData uri="http://schemas.microsoft.com/office/word/2010/wordprocessingShape">
                    <wps:wsp>
                      <wps:cNvSpPr/>
                      <wps:spPr>
                        <a:xfrm>
                          <a:off x="0" y="0"/>
                          <a:ext cx="1155240" cy="248760"/>
                        </a:xfrm>
                        <a:prstGeom prst="rect">
                          <a:avLst/>
                        </a:prstGeom>
                        <a:noFill/>
                        <a:ln w="0">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chor="t">
                        <a:noAutofit/>
                      </wps:bodyPr>
                    </wps:wsp>
                  </a:graphicData>
                </a:graphic>
              </wp:anchor>
            </w:drawing>
          </mc:Choice>
          <mc:Fallback>
            <w:pict>
              <v:rect id="shape_0" ID="Frame8" path="m0,0l-2147483645,0l-2147483645,-2147483646l0,-2147483646xe" stroked="f" o:allowincell="f" style="position:absolute;margin-left:243pt;margin-top:13.45pt;width:90.9pt;height:19.55pt;mso-wrap-style:square;v-text-anchor:top">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w10:wrap type="none"/>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122" w:name="__RefHeading___Toc3011_2393532176"/>
      <w:bookmarkStart w:id="123" w:name="_Toc442446465"/>
      <w:bookmarkEnd w:id="122"/>
      <w:bookmarkEnd w:id="123"/>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124" w:name="__RefHeading___Toc3013_2393532176"/>
      <w:bookmarkStart w:id="125" w:name="_Toc442446466"/>
      <w:bookmarkEnd w:id="124"/>
      <w:bookmarkEnd w:id="125"/>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9">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126" w:name="__RefHeading___Toc3015_2393532176"/>
      <w:bookmarkStart w:id="127" w:name="_Toc442446467"/>
      <w:bookmarkEnd w:id="126"/>
      <w:bookmarkEnd w:id="127"/>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URL:https://www.doxygen.nl/index.html.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p>
      <w:pPr>
        <w:pStyle w:val="PreformattedText"/>
        <w:numPr>
          <w:ilvl w:val="0"/>
          <w:numId w:val="23"/>
        </w:numPr>
        <w:spacing w:before="0" w:after="200"/>
        <w:contextualSpacing/>
        <w:jc w:val="both"/>
        <w:rPr/>
      </w:pPr>
      <w:r>
        <w:rPr>
          <w:rFonts w:ascii="Calibri" w:hAnsi="Calibri"/>
          <w:sz w:val="22"/>
          <w:szCs w:val="22"/>
        </w:rPr>
        <w:t xml:space="preserve">Cláudio Gomes, Casper Thule, David Broman, Peter Gorm Larsen, and Hans Vangheluwe. 2018. Co-Simulation: A Survey. </w:t>
      </w:r>
      <w:r>
        <w:rPr>
          <w:rFonts w:ascii="Calibri" w:hAnsi="Calibri"/>
          <w:i/>
          <w:sz w:val="22"/>
          <w:szCs w:val="22"/>
        </w:rPr>
        <w:t>ACM Comput. Surv.</w:t>
      </w:r>
      <w:r>
        <w:rPr>
          <w:rFonts w:ascii="Calibri" w:hAnsi="Calibri"/>
          <w:sz w:val="22"/>
          <w:szCs w:val="22"/>
        </w:rPr>
        <w:t xml:space="preserve"> 51, 3, Article 49 (July 2018), 33 pages. DOI:</w:t>
      </w:r>
      <w:r>
        <w:rPr>
          <w:rStyle w:val="InternetLink"/>
          <w:rFonts w:ascii="Calibri" w:hAnsi="Calibri"/>
          <w:sz w:val="22"/>
          <w:szCs w:val="22"/>
        </w:rPr>
        <w:t>https://doi.org/10.1145/3179993</w:t>
      </w:r>
    </w:p>
    <w:p>
      <w:pPr>
        <w:pStyle w:val="PreformattedText"/>
        <w:numPr>
          <w:ilvl w:val="0"/>
          <w:numId w:val="23"/>
        </w:numPr>
        <w:spacing w:before="0" w:after="200"/>
        <w:contextualSpacing/>
        <w:jc w:val="both"/>
        <w:rPr/>
      </w:pPr>
      <w:r>
        <w:rPr>
          <w:rFonts w:ascii="Calibri" w:hAnsi="Calibri"/>
          <w:sz w:val="22"/>
          <w:szCs w:val="22"/>
        </w:rPr>
        <w:t>F. E. Cellier and E. Kofman, Continuous system simulation. Springer Science &amp; Business Media, 2006.</w:t>
      </w:r>
    </w:p>
    <w:p>
      <w:pPr>
        <w:pStyle w:val="PreformattedText"/>
        <w:numPr>
          <w:ilvl w:val="0"/>
          <w:numId w:val="23"/>
        </w:numPr>
        <w:spacing w:before="0" w:after="200"/>
        <w:contextualSpacing/>
        <w:jc w:val="both"/>
        <w:rPr/>
      </w:pPr>
      <w:r>
        <w:rPr>
          <w:rFonts w:ascii="Calibri" w:hAnsi="Calibri"/>
          <w:sz w:val="22"/>
          <w:szCs w:val="22"/>
        </w:rPr>
        <w:t>F. Terraneo, A. Leva, W. Fornaciari, M. Zapater, D. Atienza, “3D-ICE 3.0: efficient nonlinear MPSoC thermal simulation with pluggable heat sink models”, Transactions on Computer-Aided Design of Integrated Circuits and Systems Volume 40 pp. 1-14, 2021-04-19</w:t>
      </w:r>
    </w:p>
    <w:sectPr>
      <w:footerReference w:type="default" r:id="rId40"/>
      <w:footnotePr>
        <w:numFmt w:val="decimal"/>
      </w:footnotePr>
      <w:type w:val="nextPage"/>
      <w:pgSz w:w="12240" w:h="15840"/>
      <w:pgMar w:left="1440" w:right="1440" w:gutter="0" w:header="0" w:top="1440" w:footer="720"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Courier New">
    <w:charset w:val="00"/>
    <w:family w:val="roman"/>
    <w:pitch w:val="variable"/>
  </w:font>
  <w:font w:name="Courier new">
    <w:charset w:val="00"/>
    <w:family w:val="roman"/>
    <w:pitch w:val="variable"/>
  </w:font>
  <w:font w:name="DejaVu Sans Mono">
    <w:charset w:val="00"/>
    <w:family w:val="roman"/>
    <w:pitch w:val="variable"/>
  </w:font>
  <w:font w:name="Couruer new">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04150536"/>
    </w:sdtPr>
    <w:sdtContent>
      <w:p>
        <w:pPr>
          <w:pStyle w:val="Footer"/>
          <w:jc w:val="center"/>
          <w:rPr/>
        </w:pPr>
        <w:r>
          <w:rPr/>
          <w:fldChar w:fldCharType="begin"/>
        </w:r>
        <w:r>
          <w:rPr/>
          <w:instrText> PAGE </w:instrText>
        </w:r>
        <w:r>
          <w:rPr/>
          <w:fldChar w:fldCharType="separate"/>
        </w:r>
        <w:r>
          <w:rPr/>
          <w:t>3</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widowControl w:val="false"/>
        <w:spacing w:before="0" w:after="200"/>
        <w:rPr/>
      </w:pPr>
      <w:r>
        <w:rPr>
          <w:rStyle w:val="FootnoteCharacters"/>
        </w:rPr>
        <w:footnoteRef/>
      </w:r>
      <w:r>
        <w:rPr>
          <w:rStyle w:val="FootnoteCharacters"/>
        </w:rPr>
        <w:tab/>
        <w:t xml:space="preserve"> </w:t>
      </w:r>
      <w:r>
        <w:rPr/>
        <w:drawing>
          <wp:anchor behindDoc="0" distT="0" distB="0" distL="0" distR="0" simplePos="0" locked="0" layoutInCell="0" allowOverlap="1" relativeHeight="60">
            <wp:simplePos x="0" y="0"/>
            <wp:positionH relativeFrom="column">
              <wp:posOffset>4157980</wp:posOffset>
            </wp:positionH>
            <wp:positionV relativeFrom="paragraph">
              <wp:posOffset>-1369060</wp:posOffset>
            </wp:positionV>
            <wp:extent cx="1270635" cy="450850"/>
            <wp:effectExtent l="0" t="0" r="0" b="0"/>
            <wp:wrapSquare wrapText="largest"/>
            <wp:docPr id="5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 descr=""/>
                    <pic:cNvPicPr>
                      <a:picLocks noChangeAspect="1" noChangeArrowheads="1"/>
                    </pic:cNvPicPr>
                  </pic:nvPicPr>
                  <pic:blipFill>
                    <a:blip r:embed="rId1"/>
                    <a:stretch>
                      <a:fillRect/>
                    </a:stretch>
                  </pic:blipFill>
                  <pic:spPr bwMode="auto">
                    <a:xfrm>
                      <a:off x="0" y="0"/>
                      <a:ext cx="1270635" cy="450850"/>
                    </a:xfrm>
                    <a:prstGeom prst="rect">
                      <a:avLst/>
                    </a:prstGeom>
                  </pic:spPr>
                </pic:pic>
              </a:graphicData>
            </a:graphic>
          </wp:anchor>
        </w:drawing>
      </w:r>
      <w:r>
        <w:rPr/>
        <w:t>Embedded Systems Laboratory, Department of Electrical Engineering, EPFL, Lausanne, Switzerland.</w:t>
      </w:r>
    </w:p>
  </w:footnote>
  <w:footnote w:id="3">
    <w:p>
      <w:pPr>
        <w:pStyle w:val="Footnote"/>
        <w:widowControl w:val="false"/>
        <w:spacing w:before="0" w:after="200"/>
        <w:jc w:val="both"/>
        <w:rPr/>
      </w:pPr>
      <w:r>
        <w:rPr>
          <w:rStyle w:val="FootnoteCharacters"/>
        </w:rPr>
        <w:footnoteRef/>
      </w:r>
      <w:r>
        <w:rPr>
          <w:rStyle w:val="FootnoteCharacters"/>
        </w:rPr>
        <w:tab/>
        <w:t xml:space="preserve"> </w:t>
      </w:r>
      <w:r>
        <w:rPr/>
        <w:t>Advanced Thermal Packaging Group, IBM Research Laboratory, Zurich, Switzerland.</w:t>
      </w:r>
    </w:p>
  </w:footnote>
  <w:footnote w:id="4">
    <w:p>
      <w:pPr>
        <w:pStyle w:val="Footnote"/>
        <w:widowControl w:val="false"/>
        <w:spacing w:before="0" w:after="200"/>
        <w:rPr/>
      </w:pPr>
      <w:r>
        <w:rPr>
          <w:rStyle w:val="FootnoteCharacters"/>
        </w:rPr>
        <w:footnoteRef/>
      </w:r>
      <w:r>
        <w:rPr>
          <w:rStyle w:val="FootnoteCharacters"/>
        </w:rPr>
        <w:tab/>
        <w:t xml:space="preserve"> </w:t>
      </w:r>
      <w:r>
        <w:rPr/>
        <w:t>Microelectronic Systems Design Research Group, University of Kaiserslautern, Kaiserslautern, Germany.</w:t>
      </w:r>
    </w:p>
  </w:footnote>
  <w:footnote w:id="5">
    <w:p>
      <w:pPr>
        <w:pStyle w:val="Footnote"/>
        <w:widowControl w:val="false"/>
        <w:spacing w:before="0" w:after="200"/>
        <w:rPr/>
      </w:pPr>
      <w:r>
        <w:rPr>
          <w:rStyle w:val="FootnoteCharacters"/>
        </w:rPr>
        <w:footnoteRef/>
      </w:r>
      <w:r>
        <w:rPr>
          <w:rStyle w:val="FootnoteCharacters"/>
        </w:rPr>
        <w:tab/>
        <w:t xml:space="preserve"> </w:t>
      </w:r>
      <w:r>
        <w:rPr/>
        <w:t>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1">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decimal"/>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upperLetter"/>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7">
    <w:lvl w:ilvl="0">
      <w:start w:val="1"/>
      <w:numFmt w:val="bullet"/>
      <w:lvlText w:val=""/>
      <w:lvlJc w:val="left"/>
      <w:pPr>
        <w:tabs>
          <w:tab w:val="num" w:pos="0"/>
        </w:tabs>
        <w:ind w:left="720" w:hanging="360"/>
      </w:pPr>
      <w:rPr>
        <w:rFonts w:ascii="Wingdings" w:hAnsi="Wingdings" w:cs="Wingdings" w:hint="default"/>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bullet"/>
      <w:lvlText w:val=""/>
      <w:lvlJc w:val="left"/>
      <w:pPr>
        <w:tabs>
          <w:tab w:val="num" w:pos="0"/>
        </w:tabs>
        <w:ind w:left="720" w:hanging="360"/>
      </w:pPr>
      <w:rPr>
        <w:rFonts w:ascii="Wingdings" w:hAnsi="Wingdings" w:cs="Wingdings" w:hint="default"/>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sz w:val="1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921"/>
        </w:tabs>
        <w:ind w:left="921" w:hanging="360"/>
      </w:pPr>
      <w:rPr>
        <w:rFonts w:ascii="Symbol" w:hAnsi="Symbol" w:cs="Symbol" w:hint="default"/>
        <w:sz w:val="22"/>
      </w:rPr>
    </w:lvl>
    <w:lvl w:ilvl="1">
      <w:start w:val="1"/>
      <w:numFmt w:val="bullet"/>
      <w:lvlText w:val="◦"/>
      <w:lvlJc w:val="left"/>
      <w:pPr>
        <w:tabs>
          <w:tab w:val="num" w:pos="1281"/>
        </w:tabs>
        <w:ind w:left="1281" w:hanging="360"/>
      </w:pPr>
      <w:rPr>
        <w:rFonts w:ascii="OpenSymbol" w:hAnsi="OpenSymbol" w:cs="OpenSymbol" w:hint="default"/>
      </w:rPr>
    </w:lvl>
    <w:lvl w:ilvl="2">
      <w:start w:val="1"/>
      <w:numFmt w:val="bullet"/>
      <w:lvlText w:val="▪"/>
      <w:lvlJc w:val="left"/>
      <w:pPr>
        <w:tabs>
          <w:tab w:val="num" w:pos="1641"/>
        </w:tabs>
        <w:ind w:left="1641" w:hanging="360"/>
      </w:pPr>
      <w:rPr>
        <w:rFonts w:ascii="OpenSymbol" w:hAnsi="OpenSymbol" w:cs="OpenSymbol" w:hint="default"/>
      </w:rPr>
    </w:lvl>
    <w:lvl w:ilvl="3">
      <w:start w:val="1"/>
      <w:numFmt w:val="bullet"/>
      <w:lvlText w:val=""/>
      <w:lvlJc w:val="left"/>
      <w:pPr>
        <w:tabs>
          <w:tab w:val="num" w:pos="2001"/>
        </w:tabs>
        <w:ind w:left="2001" w:hanging="360"/>
      </w:pPr>
      <w:rPr>
        <w:rFonts w:ascii="Symbol" w:hAnsi="Symbol" w:cs="Symbol" w:hint="default"/>
      </w:rPr>
    </w:lvl>
    <w:lvl w:ilvl="4">
      <w:start w:val="1"/>
      <w:numFmt w:val="bullet"/>
      <w:lvlText w:val="◦"/>
      <w:lvlJc w:val="left"/>
      <w:pPr>
        <w:tabs>
          <w:tab w:val="num" w:pos="2361"/>
        </w:tabs>
        <w:ind w:left="2361" w:hanging="360"/>
      </w:pPr>
      <w:rPr>
        <w:rFonts w:ascii="OpenSymbol" w:hAnsi="OpenSymbol" w:cs="OpenSymbol" w:hint="default"/>
      </w:rPr>
    </w:lvl>
    <w:lvl w:ilvl="5">
      <w:start w:val="1"/>
      <w:numFmt w:val="bullet"/>
      <w:lvlText w:val="▪"/>
      <w:lvlJc w:val="left"/>
      <w:pPr>
        <w:tabs>
          <w:tab w:val="num" w:pos="2721"/>
        </w:tabs>
        <w:ind w:left="2721" w:hanging="360"/>
      </w:pPr>
      <w:rPr>
        <w:rFonts w:ascii="OpenSymbol" w:hAnsi="OpenSymbol" w:cs="OpenSymbol" w:hint="default"/>
      </w:rPr>
    </w:lvl>
    <w:lvl w:ilvl="6">
      <w:start w:val="1"/>
      <w:numFmt w:val="bullet"/>
      <w:lvlText w:val=""/>
      <w:lvlJc w:val="left"/>
      <w:pPr>
        <w:tabs>
          <w:tab w:val="num" w:pos="3081"/>
        </w:tabs>
        <w:ind w:left="3081" w:hanging="360"/>
      </w:pPr>
      <w:rPr>
        <w:rFonts w:ascii="Symbol" w:hAnsi="Symbol" w:cs="Symbol" w:hint="default"/>
      </w:rPr>
    </w:lvl>
    <w:lvl w:ilvl="7">
      <w:start w:val="1"/>
      <w:numFmt w:val="bullet"/>
      <w:lvlText w:val="◦"/>
      <w:lvlJc w:val="left"/>
      <w:pPr>
        <w:tabs>
          <w:tab w:val="num" w:pos="3441"/>
        </w:tabs>
        <w:ind w:left="3441" w:hanging="360"/>
      </w:pPr>
      <w:rPr>
        <w:rFonts w:ascii="OpenSymbol" w:hAnsi="OpenSymbol" w:cs="OpenSymbol" w:hint="default"/>
      </w:rPr>
    </w:lvl>
    <w:lvl w:ilvl="8">
      <w:start w:val="1"/>
      <w:numFmt w:val="bullet"/>
      <w:lvlText w:val="▪"/>
      <w:lvlJc w:val="left"/>
      <w:pPr>
        <w:tabs>
          <w:tab w:val="num" w:pos="3801"/>
        </w:tabs>
        <w:ind w:left="3801" w:hanging="360"/>
      </w:pPr>
      <w:rPr>
        <w:rFonts w:ascii="OpenSymbol" w:hAnsi="OpenSymbol" w:cs="OpenSymbol" w:hint="default"/>
      </w:rPr>
    </w:lvl>
  </w:abstractNum>
  <w:abstractNum w:abstractNumId="3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3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 w:cs="" w:asciiTheme="majorHAnsi" w:cstheme="majorBidi" w:eastAsiaTheme="majorEastAsia" w:hAnsiTheme="majorHAnsi"/>
      <w:b/>
      <w:bCs/>
      <w:color w:val="C00000"/>
      <w:sz w:val="40"/>
      <w:szCs w:val="28"/>
    </w:rPr>
  </w:style>
  <w:style w:type="character" w:styleId="InternetLink">
    <w:name w:val="Hyper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 w:cs="" w:asciiTheme="majorHAnsi" w:cstheme="majorBidi" w:eastAsiaTheme="majorEastAsia" w:hAnsiTheme="majorHAnsi"/>
      <w:b/>
      <w:bCs/>
      <w:i/>
      <w:iCs/>
      <w:color w:val="800000"/>
    </w:rPr>
  </w:style>
  <w:style w:type="character" w:styleId="VisitedInternet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suppressAutoHyphens w:val="true"/>
      <w:bidi w:val="0"/>
      <w:spacing w:lineRule="auto" w:line="240" w:before="0" w:after="0"/>
      <w:jc w:val="left"/>
    </w:pPr>
    <w:rPr>
      <w:rFonts w:ascii="Calibri" w:hAnsi="Calibri" w:eastAsia=""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uiPriority w:val="39"/>
    <w:semiHidden/>
    <w:unhideWhenUsed/>
    <w:qFormat/>
    <w:rsid w:val="00901994"/>
    <w:pPr>
      <w:outlineLvl w:val="9"/>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andFooter">
    <w:name w:val="Header and Footer"/>
    <w:basedOn w:val="Normal"/>
    <w:qFormat/>
    <w:pPr/>
    <w:rPr/>
  </w:style>
  <w:style w:type="paragraph" w:styleId="Header">
    <w:name w:val="Header"/>
    <w:basedOn w:val="Normal"/>
    <w:link w:val="KopfzeileZchn"/>
    <w:uiPriority w:val="99"/>
    <w:unhideWhenUsed/>
    <w:rsid w:val="008c4e99"/>
    <w:pPr>
      <w:tabs>
        <w:tab w:val="clear" w:pos="720"/>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lear" w:pos="720"/>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DocumentMap">
    <w:name w:val="Document Map"/>
    <w:qFormat/>
    <w:pPr>
      <w:widowControl/>
      <w:suppressAutoHyphens w:val="true"/>
      <w:bidi w:val="0"/>
      <w:spacing w:before="0" w:after="0"/>
      <w:jc w:val="left"/>
      <w:textAlignment w:val="auto"/>
    </w:pPr>
    <w:rPr>
      <w:rFonts w:ascii="Calibri" w:hAnsi="Calibri" w:eastAsia="Times New Roman" w:cs="Calibri" w:asciiTheme="minorHAnsi" w:hAnsiTheme="minorHAnsi"/>
      <w:color w:val="auto"/>
      <w:kern w:val="0"/>
      <w:sz w:val="20"/>
      <w:szCs w:val="22"/>
      <w:lang w:val="en-US" w:eastAsia="en-US"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Grid">
    <w:name w:val="Table Grid"/>
    <w:basedOn w:val="DocumentMap"/>
    <w:qFormat/>
    <w:pPr>
      <w:spacing w:lineRule="auto" w:line="240" w:before="0" w:after="0"/>
    </w:pPr>
    <w:rPr>
      <w:sz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hyperlink" Target="mailto:3d-ice@listes.epfl.ch" TargetMode="External"/><Relationship Id="rId7" Type="http://schemas.openxmlformats.org/officeDocument/2006/relationships/hyperlink" Target="http://esl.epfl.ch/3d-ice.html" TargetMode="External"/><Relationship Id="rId8" Type="http://schemas.openxmlformats.org/officeDocument/2006/relationships/image" Target="media/image4.png"/><Relationship Id="rId9" Type="http://schemas.openxmlformats.org/officeDocument/2006/relationships/hyperlink" Target="https://www.openmodelica.org/"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mbe.modelica.university/front/intro" TargetMode="External"/><Relationship Id="rId33" Type="http://schemas.openxmlformats.org/officeDocument/2006/relationships/image" Target="media/image26.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build.openmodelica.org/Documentation/Modelica.Blocks.Sources.CombiTimeTable.html" TargetMode="External"/><Relationship Id="rId37" Type="http://schemas.openxmlformats.org/officeDocument/2006/relationships/hyperlink" Target="https://build.openmodelica.org/Documentation/Modelica.Blocks.Sources.CombiTimeTable.html" TargetMode="External"/><Relationship Id="rId38" Type="http://schemas.openxmlformats.org/officeDocument/2006/relationships/image" Target="media/image28.png"/><Relationship Id="rId39" Type="http://schemas.openxmlformats.org/officeDocument/2006/relationships/hyperlink" Target="http://accellera.org/downloads/standards/systemc" TargetMode="External"/><Relationship Id="rId40" Type="http://schemas.openxmlformats.org/officeDocument/2006/relationships/footer" Target="footer1.xml"/><Relationship Id="rId41" Type="http://schemas.openxmlformats.org/officeDocument/2006/relationships/footnotes" Target="footnote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Relationship Id="rId47" Type="http://schemas.openxmlformats.org/officeDocument/2006/relationships/customXml" Target="../customXml/item2.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Application>LibreOffice/7.2.4.1$Windows_X86_64 LibreOffice_project/27d75539669ac387bb498e35313b970b7fe9c4f9</Application>
  <AppVersion>15.0000</AppVersion>
  <Pages>53</Pages>
  <Words>15039</Words>
  <Characters>79986</Characters>
  <CharactersWithSpaces>94402</CharactersWithSpaces>
  <Paragraphs>994</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2021-12-07T18:10:37Z</dcterms:modified>
  <cp:revision>291</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