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wmf" ContentType="image/x-wmf"/>
  <Override PartName="/word/media/image2.png" ContentType="image/png"/>
  <Override PartName="/word/media/image25.png" ContentType="image/png"/>
  <Override PartName="/word/media/image3.jpeg" ContentType="image/jpeg"/>
  <Override PartName="/word/media/image15.png" ContentType="image/png"/>
  <Override PartName="/word/media/image27.png" ContentType="image/png"/>
  <Override PartName="/word/media/image26.png" ContentType="image/png"/>
  <Override PartName="/word/media/image1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53760" cy="1894840"/>
                <wp:effectExtent l="0" t="0" r="0" b="0"/>
                <wp:wrapSquare wrapText="bothSides"/>
                <wp:docPr id="1" name="Frame1"/>
                <a:graphic xmlns:a="http://schemas.openxmlformats.org/drawingml/2006/main">
                  <a:graphicData uri="http://schemas.microsoft.com/office/word/2010/wordprocessingShape">
                    <wps:wsp>
                      <wps:cNvSpPr/>
                      <wps:spPr>
                        <a:xfrm>
                          <a:off x="0" y="0"/>
                          <a:ext cx="5952960" cy="1894320"/>
                        </a:xfrm>
                        <a:prstGeom prst="rect">
                          <a:avLst/>
                        </a:prstGeom>
                        <a:noFill/>
                        <a:ln>
                          <a:noFill/>
                        </a:ln>
                      </wps:spPr>
                      <wps:style>
                        <a:lnRef idx="0"/>
                        <a:fillRef idx="0"/>
                        <a:effectRef idx="0"/>
                        <a:fontRef idx="minor"/>
                      </wps:style>
                      <wps:txbx>
                        <w:txbxContent>
                          <w:tbl>
                            <w:tblPr>
                              <w:tblW w:w="5000" w:type="pct"/>
                              <w:jc w:val="center"/>
                              <w:tblInd w:w="0" w:type="dxa"/>
                              <w:tblCellMar>
                                <w:top w:w="216" w:type="dxa"/>
                                <w:left w:w="216" w:type="dxa"/>
                                <w:bottom w:w="216" w:type="dxa"/>
                                <w:right w:w="216" w:type="dxa"/>
                              </w:tblCellMar>
                              <w:tblLook w:val="04a0" w:noHBand="0" w:noVBand="1" w:firstColumn="1" w:lastRow="0" w:lastColumn="0" w:firstRow="1"/>
                            </w:tblPr>
                            <w:tblGrid>
                              <w:gridCol w:w="3370"/>
                              <w:gridCol w:w="1747"/>
                              <w:gridCol w:w="4258"/>
                            </w:tblGrid>
                            <w:tr>
                              <w:trPr>
                                <w:trHeight w:val="1584" w:hRule="atLeast"/>
                              </w:trPr>
                              <w:tc>
                                <w:tcPr>
                                  <w:tcW w:w="3370" w:type="dxa"/>
                                  <w:tcBorders>
                                    <w:bottom w:val="single" w:sz="18" w:space="0" w:color="808080"/>
                                    <w:right w:val="single" w:sz="18" w:space="0" w:color="808080"/>
                                  </w:tcBorders>
                                  <w:shd w:fill="auto" w:val="clear"/>
                                  <w:vAlign w:val="bottom"/>
                                </w:tcPr>
                                <w:sdt>
                                  <w:sdtPr>
                                    <w:docPartObj>
                                      <w:docPartGallery w:val="Cover Pages"/>
                                      <w:docPartUnique w:val="true"/>
                                    </w:docPartObj>
                                    <w:id w:val="31669265"/>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28 January 2021</w:t>
                                      </w:r>
                                      <w:r>
                                        <w:rPr/>
                                        <w:fldChar w:fldCharType="end"/>
                                      </w:r>
                                    </w:p>
                                  </w:sdtContent>
                                </w:sdt>
                              </w:tc>
                              <w:tc>
                                <w:tcPr>
                                  <w:tcW w:w="6005"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.0</w:t>
                                  </w:r>
                                  <w:r>
                                    <w:rPr>
                                      <w:rFonts w:cs="Arial" w:ascii="Arial" w:hAnsi="Arial"/>
                                      <w:color w:val="auto"/>
                                      <w:sz w:val="52"/>
                                      <w:szCs w:val="100"/>
                                    </w:rPr>
                                    <w:t>.</w:t>
                                  </w:r>
                                  <w:bookmarkStart w:id="2" w:name="__UnoMark__545_17296386731"/>
                                  <w:bookmarkEnd w:id="2"/>
                                  <w:r>
                                    <w:rPr>
                                      <w:rFonts w:cs="Arial" w:ascii="Arial" w:hAnsi="Arial"/>
                                      <w:color w:val="auto"/>
                                      <w:sz w:val="52"/>
                                      <w:szCs w:val="100"/>
                                    </w:rPr>
                                    <w:t>0</w:t>
                                  </w:r>
                                </w:p>
                              </w:tc>
                            </w:tr>
                            <w:tr>
                              <w:trPr/>
                              <w:tc>
                                <w:tcPr>
                                  <w:tcW w:w="5117" w:type="dxa"/>
                                  <w:gridSpan w:val="2"/>
                                  <w:tcBorders>
                                    <w:top w:val="single" w:sz="18" w:space="0" w:color="808080"/>
                                    <w:bottom w:val="single" w:sz="18" w:space="0" w:color="808080"/>
                                    <w:right w:val="single" w:sz="18" w:space="0" w:color="808080"/>
                                  </w:tcBorders>
                                  <w:shd w:fill="auto" w:val="clear"/>
                                  <w:vAlign w:val="center"/>
                                </w:tcPr>
                                <w:sdt>
                                  <w:sdtPr>
                                    <w:text/>
                                    <w:id w:val="573991451"/>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 xml:space="preserve">This document provides a brief summary of the usage of 3D-ICE. This includes illustrative examples of generating the input stack and floorplan files, and the various functions used for printing the results. </w:t>
                                      </w:r>
                                    </w:p>
                                  </w:sdtContent>
                                </w:sdt>
                              </w:tc>
                              <w:tc>
                                <w:tcPr>
                                  <w:tcW w:w="4258" w:type="dxa"/>
                                  <w:tcBorders>
                                    <w:top w:val="single" w:sz="18" w:space="0" w:color="808080"/>
                                    <w:left w:val="single" w:sz="18" w:space="0" w:color="808080"/>
                                    <w:bottom w:val="single" w:sz="18" w:space="0" w:color="808080"/>
                                    <w:right w:val="single" w:sz="18" w:space="0" w:color="808080"/>
                                  </w:tcBorders>
                                  <w:shd w:fill="auto" w:val="clear"/>
                                  <w:tcMar>
                                    <w:left w:w="9" w:type="dxa"/>
                                  </w:tcMar>
                                  <w:vAlign w:val="center"/>
                                </w:tcPr>
                                <w:sdt>
                                  <w:sdtPr>
                                    <w:text/>
                                    <w:id w:val="39519287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4" w:name="__UnoMark__548_17296386731"/>
                                      <w:bookmarkEnd w:id="4"/>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wps:txbx>
                      <wps:bodyPr lIns="0" rIns="0" tIns="0" bIns="0">
                        <a:spAutoFit/>
                      </wps:bodyPr>
                    </wps:wsp>
                  </a:graphicData>
                </a:graphic>
              </wp:anchor>
            </w:drawing>
          </mc:Choice>
          <mc:Fallback>
            <w:pict>
              <v:rect id="shape_0" ID="Frame1" stroked="f" style="position:absolute;margin-left:0.35pt;margin-top:186.9pt;width:468.7pt;height:149.1pt">
                <w10:wrap type="none"/>
                <v:fill o:detectmouseclick="t" on="false"/>
                <v:stroke color="#3465a4" joinstyle="round" endcap="flat"/>
                <v:textbox>
                  <w:txbxContent>
                    <w:tbl>
                      <w:tblPr>
                        <w:tblW w:w="5000" w:type="pct"/>
                        <w:jc w:val="center"/>
                        <w:tblInd w:w="0" w:type="dxa"/>
                        <w:tblCellMar>
                          <w:top w:w="216" w:type="dxa"/>
                          <w:left w:w="216" w:type="dxa"/>
                          <w:bottom w:w="216" w:type="dxa"/>
                          <w:right w:w="216" w:type="dxa"/>
                        </w:tblCellMar>
                        <w:tblLook w:val="04a0" w:noHBand="0" w:noVBand="1" w:firstColumn="1" w:lastRow="0" w:lastColumn="0" w:firstRow="1"/>
                      </w:tblPr>
                      <w:tblGrid>
                        <w:gridCol w:w="3370"/>
                        <w:gridCol w:w="1747"/>
                        <w:gridCol w:w="4258"/>
                      </w:tblGrid>
                      <w:tr>
                        <w:trPr>
                          <w:trHeight w:val="1584" w:hRule="atLeast"/>
                        </w:trPr>
                        <w:tc>
                          <w:tcPr>
                            <w:tcW w:w="3370" w:type="dxa"/>
                            <w:tcBorders>
                              <w:bottom w:val="single" w:sz="18" w:space="0" w:color="808080"/>
                              <w:right w:val="single" w:sz="18" w:space="0" w:color="808080"/>
                            </w:tcBorders>
                            <w:shd w:fill="auto" w:val="clear"/>
                            <w:vAlign w:val="bottom"/>
                          </w:tcPr>
                          <w:sdt>
                            <w:sdtPr>
                              <w:docPartObj>
                                <w:docPartGallery w:val="Cover Pages"/>
                                <w:docPartUnique w:val="true"/>
                              </w:docPartObj>
                              <w:id w:val="1216979816"/>
                            </w:sdtPr>
                            <w:sdtContent>
                              <w:p>
                                <w:pPr>
                                  <w:pStyle w:val="Normal"/>
                                  <w:spacing w:before="0" w:after="200"/>
                                  <w:jc w:val="right"/>
                                  <w:rPr/>
                                </w:pPr>
                                <w:bookmarkStart w:id="5" w:name="__UnoMark__543_17296386731"/>
                                <w:bookmarkEnd w:id="5"/>
                                <w:r>
                                  <w:rPr/>
                                  <w:fldChar w:fldCharType="begin"/>
                                </w:r>
                                <w:r>
                                  <w:rPr/>
                                  <w:instrText> TIME \@"d\ MMMM\ yyyy" </w:instrText>
                                </w:r>
                                <w:r>
                                  <w:rPr/>
                                  <w:fldChar w:fldCharType="separate"/>
                                </w:r>
                                <w:r>
                                  <w:rPr/>
                                  <w:t>28 January 2021</w:t>
                                </w:r>
                                <w:r>
                                  <w:rPr/>
                                  <w:fldChar w:fldCharType="end"/>
                                </w:r>
                              </w:p>
                            </w:sdtContent>
                          </w:sdt>
                        </w:tc>
                        <w:tc>
                          <w:tcPr>
                            <w:tcW w:w="6005"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rPr>
                                <w:color w:val="auto"/>
                              </w:rPr>
                            </w:pPr>
                            <w:bookmarkStart w:id="6" w:name="__UnoMark__544_17296386731"/>
                            <w:bookmarkEnd w:id="6"/>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.0</w:t>
                            </w:r>
                            <w:r>
                              <w:rPr>
                                <w:rFonts w:cs="Arial" w:ascii="Arial" w:hAnsi="Arial"/>
                                <w:color w:val="auto"/>
                                <w:sz w:val="52"/>
                                <w:szCs w:val="100"/>
                              </w:rPr>
                              <w:t>.</w:t>
                            </w:r>
                            <w:bookmarkStart w:id="7" w:name="__UnoMark__545_17296386731"/>
                            <w:bookmarkEnd w:id="7"/>
                            <w:r>
                              <w:rPr>
                                <w:rFonts w:cs="Arial" w:ascii="Arial" w:hAnsi="Arial"/>
                                <w:color w:val="auto"/>
                                <w:sz w:val="52"/>
                                <w:szCs w:val="100"/>
                              </w:rPr>
                              <w:t>0</w:t>
                            </w:r>
                          </w:p>
                        </w:tc>
                      </w:tr>
                      <w:tr>
                        <w:trPr/>
                        <w:tc>
                          <w:tcPr>
                            <w:tcW w:w="5117" w:type="dxa"/>
                            <w:gridSpan w:val="2"/>
                            <w:tcBorders>
                              <w:top w:val="single" w:sz="18" w:space="0" w:color="808080"/>
                              <w:bottom w:val="single" w:sz="18" w:space="0" w:color="808080"/>
                              <w:right w:val="single" w:sz="18" w:space="0" w:color="808080"/>
                            </w:tcBorders>
                            <w:shd w:fill="auto" w:val="clear"/>
                            <w:vAlign w:val="center"/>
                          </w:tcPr>
                          <w:sdt>
                            <w:sdtPr>
                              <w:text/>
                              <w:id w:val="1034275400"/>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8" w:name="__UnoMark__546_17296386731"/>
                                <w:bookmarkEnd w:id="8"/>
                                <w:r>
                                  <w:rPr>
                                    <w:color w:val="auto"/>
                                    <w:sz w:val="16"/>
                                  </w:rPr>
                                  <w:t xml:space="preserve">This document provides a brief summary of the usage of 3D-ICE. This includes illustrative examples of generating the input stack and floorplan files, and the various functions used for printing the results. </w:t>
                                </w:r>
                              </w:p>
                            </w:sdtContent>
                          </w:sdt>
                        </w:tc>
                        <w:tc>
                          <w:tcPr>
                            <w:tcW w:w="4258" w:type="dxa"/>
                            <w:tcBorders>
                              <w:top w:val="single" w:sz="18" w:space="0" w:color="808080"/>
                              <w:left w:val="single" w:sz="18" w:space="0" w:color="808080"/>
                              <w:bottom w:val="single" w:sz="18" w:space="0" w:color="808080"/>
                              <w:right w:val="single" w:sz="18" w:space="0" w:color="808080"/>
                            </w:tcBorders>
                            <w:shd w:fill="auto" w:val="clear"/>
                            <w:tcMar>
                              <w:left w:w="9" w:type="dxa"/>
                            </w:tcMar>
                            <w:vAlign w:val="center"/>
                          </w:tcPr>
                          <w:sdt>
                            <w:sdtPr>
                              <w:text/>
                              <w:id w:val="216498306"/>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9" w:name="__UnoMark__548_17296386731"/>
                                <w:bookmarkEnd w:id="9"/>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v:textbox>
              </v:rect>
            </w:pict>
          </mc:Fallback>
        </mc:AlternateContent>
      </w:r>
      <w:r>
        <w:br w:type="page"/>
      </w:r>
    </w:p>
    <w:p>
      <w:pPr>
        <w:pStyle w:val="Normal"/>
        <w:rPr/>
      </w:pPr>
      <w:r>
        <w:rPr/>
      </w:r>
    </w:p>
    <w:sdt>
      <w:sdtPr>
        <w:docPartObj>
          <w:docPartGallery w:val="Table of Contents"/>
          <w:docPartUnique w:val="true"/>
        </w:docPartObj>
        <w:id w:val="203768846"/>
      </w:sdtPr>
      <w:sdtContent>
        <w:p>
          <w:pPr>
            <w:pStyle w:val="TOCHeading"/>
            <w:rPr/>
          </w:pPr>
          <w:r>
            <w:rPr/>
            <w:t>Table of Contents</w:t>
          </w:r>
        </w:p>
      </w:sdtContent>
    </w:sdt>
    <w:sdt>
      <w:sdtPr>
        <w:docPartObj>
          <w:docPartGallery w:val="Table of Contents"/>
          <w:docPartUnique w:val="true"/>
        </w:docPartObj>
        <w:id w:val="534393091"/>
      </w:sdtPr>
      <w:sdtContent>
        <w:p>
          <w:pPr>
            <w:pStyle w:val="Contents1"/>
            <w:tabs>
              <w:tab w:val="clear" w:pos="720"/>
              <w:tab w:val="right" w:pos="9360" w:leader="dot"/>
            </w:tabs>
            <w:rPr/>
          </w:pPr>
          <w:r>
            <w:fldChar w:fldCharType="begin"/>
          </w:r>
          <w:r>
            <w:rPr>
              <w:webHidden/>
              <w:rStyle w:val="IndexLink"/>
            </w:rPr>
            <w:instrText> TOC \z \o "1-3" \u \h</w:instrText>
          </w:r>
          <w:r>
            <w:rPr>
              <w:webHidden/>
              <w:rStyle w:val="IndexLink"/>
            </w:rPr>
            <w:fldChar w:fldCharType="separate"/>
          </w:r>
          <w:hyperlink w:anchor="__RefHeading___Toc2931_2393532176">
            <w:r>
              <w:rPr>
                <w:webHidden/>
                <w:rStyle w:val="IndexLink"/>
              </w:rPr>
              <w:t>1. License and Copyright</w:t>
              <w:tab/>
              <w:t>3</w:t>
            </w:r>
          </w:hyperlink>
        </w:p>
        <w:p>
          <w:pPr>
            <w:pStyle w:val="Contents1"/>
            <w:tabs>
              <w:tab w:val="clear" w:pos="720"/>
              <w:tab w:val="right" w:pos="9360" w:leader="dot"/>
            </w:tabs>
            <w:rPr/>
          </w:pPr>
          <w:hyperlink w:anchor="__RefHeading___Toc2933_2393532176">
            <w:r>
              <w:rPr>
                <w:webHidden/>
                <w:rStyle w:val="IndexLink"/>
              </w:rPr>
              <w:t>2. What is new in 3.x?</w:t>
              <w:tab/>
              <w:t>4</w:t>
            </w:r>
          </w:hyperlink>
        </w:p>
        <w:p>
          <w:pPr>
            <w:pStyle w:val="Contents1"/>
            <w:tabs>
              <w:tab w:val="clear" w:pos="720"/>
              <w:tab w:val="right" w:pos="9360" w:leader="dot"/>
            </w:tabs>
            <w:rPr/>
          </w:pPr>
          <w:hyperlink w:anchor="__RefHeading___Toc2935_2393532176">
            <w:r>
              <w:rPr>
                <w:webHidden/>
                <w:rStyle w:val="IndexLink"/>
              </w:rPr>
              <w:t>3. What is new in 2.x?</w:t>
              <w:tab/>
              <w:t>4</w:t>
            </w:r>
          </w:hyperlink>
        </w:p>
        <w:p>
          <w:pPr>
            <w:pStyle w:val="Contents1"/>
            <w:tabs>
              <w:tab w:val="clear" w:pos="720"/>
              <w:tab w:val="right" w:pos="9360" w:leader="dot"/>
            </w:tabs>
            <w:rPr/>
          </w:pPr>
          <w:hyperlink w:anchor="__RefHeading___Toc2937_2393532176">
            <w:r>
              <w:rPr>
                <w:webHidden/>
                <w:rStyle w:val="IndexLink"/>
              </w:rPr>
              <w:t>4. Who needs 3D-ICE?</w:t>
              <w:tab/>
              <w:t>6</w:t>
            </w:r>
          </w:hyperlink>
        </w:p>
        <w:p>
          <w:pPr>
            <w:pStyle w:val="Contents1"/>
            <w:tabs>
              <w:tab w:val="clear" w:pos="720"/>
              <w:tab w:val="right" w:pos="9360" w:leader="dot"/>
            </w:tabs>
            <w:rPr/>
          </w:pPr>
          <w:hyperlink w:anchor="__RefHeading___Toc2939_2393532176">
            <w:r>
              <w:rPr>
                <w:webHidden/>
                <w:rStyle w:val="IndexLink"/>
              </w:rPr>
              <w:t>5. Before you begin</w:t>
              <w:tab/>
              <w:t>7</w:t>
            </w:r>
          </w:hyperlink>
        </w:p>
        <w:p>
          <w:pPr>
            <w:pStyle w:val="Contents2"/>
            <w:tabs>
              <w:tab w:val="clear" w:pos="720"/>
              <w:tab w:val="right" w:pos="9360" w:leader="dot"/>
            </w:tabs>
            <w:rPr/>
          </w:pPr>
          <w:hyperlink w:anchor="__RefHeading___Toc2941_2393532176">
            <w:r>
              <w:rPr>
                <w:webHidden/>
                <w:rStyle w:val="IndexLink"/>
              </w:rPr>
              <w:t>A. Compile SuperLU</w:t>
              <w:tab/>
              <w:t>7</w:t>
            </w:r>
          </w:hyperlink>
        </w:p>
        <w:p>
          <w:pPr>
            <w:pStyle w:val="Contents2"/>
            <w:tabs>
              <w:tab w:val="clear" w:pos="720"/>
              <w:tab w:val="right" w:pos="9360" w:leader="dot"/>
            </w:tabs>
            <w:rPr/>
          </w:pPr>
          <w:hyperlink w:anchor="__RefHeading___Toc2943_2393532176">
            <w:r>
              <w:rPr>
                <w:webHidden/>
                <w:rStyle w:val="IndexLink"/>
              </w:rPr>
              <w:t>B. Compile 3D-ICE</w:t>
              <w:tab/>
              <w:t>7</w:t>
            </w:r>
          </w:hyperlink>
        </w:p>
        <w:p>
          <w:pPr>
            <w:pStyle w:val="Contents2"/>
            <w:tabs>
              <w:tab w:val="clear" w:pos="720"/>
              <w:tab w:val="right" w:pos="9360" w:leader="dot"/>
            </w:tabs>
            <w:rPr/>
          </w:pPr>
          <w:hyperlink w:anchor="__RefHeading___Toc2945_2393532176">
            <w:r>
              <w:rPr>
                <w:webHidden/>
                <w:rStyle w:val="IndexLink"/>
              </w:rPr>
              <w:t>C. Pluggable heat sink and co-simulation interface</w:t>
              <w:tab/>
              <w:t>8</w:t>
            </w:r>
          </w:hyperlink>
        </w:p>
        <w:p>
          <w:pPr>
            <w:pStyle w:val="Contents2"/>
            <w:tabs>
              <w:tab w:val="clear" w:pos="720"/>
              <w:tab w:val="right" w:pos="9360" w:leader="dot"/>
            </w:tabs>
            <w:rPr/>
          </w:pPr>
          <w:hyperlink w:anchor="__RefHeading___Toc2947_2393532176">
            <w:r>
              <w:rPr>
                <w:webHidden/>
                <w:rStyle w:val="IndexLink"/>
              </w:rPr>
              <w:t>D. Testing installation</w:t>
              <w:tab/>
              <w:t>8</w:t>
            </w:r>
          </w:hyperlink>
        </w:p>
        <w:p>
          <w:pPr>
            <w:pStyle w:val="Contents1"/>
            <w:tabs>
              <w:tab w:val="clear" w:pos="720"/>
              <w:tab w:val="right" w:pos="9360" w:leader="dot"/>
            </w:tabs>
            <w:rPr/>
          </w:pPr>
          <w:hyperlink w:anchor="__RefHeading___Toc2949_2393532176">
            <w:r>
              <w:rPr>
                <w:webHidden/>
                <w:rStyle w:val="IndexLink"/>
              </w:rPr>
              <w:t>6. Overview of 3D-ICE</w:t>
              <w:tab/>
              <w:t>9</w:t>
            </w:r>
          </w:hyperlink>
        </w:p>
        <w:p>
          <w:pPr>
            <w:pStyle w:val="Contents2"/>
            <w:tabs>
              <w:tab w:val="clear" w:pos="720"/>
              <w:tab w:val="right" w:pos="9360" w:leader="dot"/>
            </w:tabs>
            <w:rPr/>
          </w:pPr>
          <w:hyperlink w:anchor="__RefHeading___Toc2951_2393532176">
            <w:r>
              <w:rPr>
                <w:webHidden/>
                <w:rStyle w:val="IndexLink"/>
              </w:rPr>
              <w:t>A. Principle of thermal simulation</w:t>
              <w:tab/>
              <w:t>9</w:t>
            </w:r>
          </w:hyperlink>
        </w:p>
        <w:p>
          <w:pPr>
            <w:pStyle w:val="Contents3"/>
            <w:tabs>
              <w:tab w:val="clear" w:pos="720"/>
              <w:tab w:val="right" w:pos="9360" w:leader="dot"/>
            </w:tabs>
            <w:rPr/>
          </w:pPr>
          <w:hyperlink w:anchor="__RefHeading___Toc2953_2393532176">
            <w:r>
              <w:rPr>
                <w:webHidden/>
                <w:rStyle w:val="IndexLink"/>
              </w:rPr>
              <w:t>i. Microchannel 4-resistor model</w:t>
              <w:tab/>
              <w:t>9</w:t>
            </w:r>
          </w:hyperlink>
        </w:p>
        <w:p>
          <w:pPr>
            <w:pStyle w:val="Contents3"/>
            <w:tabs>
              <w:tab w:val="clear" w:pos="720"/>
              <w:tab w:val="right" w:pos="9360" w:leader="dot"/>
            </w:tabs>
            <w:rPr/>
          </w:pPr>
          <w:hyperlink w:anchor="__RefHeading___Toc2955_2393532176">
            <w:r>
              <w:rPr>
                <w:webHidden/>
                <w:rStyle w:val="IndexLink"/>
              </w:rPr>
              <w:t>ii. Microchannel 2-resistor model</w:t>
              <w:tab/>
              <w:t>10</w:t>
            </w:r>
          </w:hyperlink>
        </w:p>
        <w:p>
          <w:pPr>
            <w:pStyle w:val="Contents3"/>
            <w:tabs>
              <w:tab w:val="clear" w:pos="720"/>
              <w:tab w:val="right" w:pos="9360" w:leader="dot"/>
            </w:tabs>
            <w:rPr/>
          </w:pPr>
          <w:hyperlink w:anchor="__RefHeading___Toc2957_2393532176">
            <w:r>
              <w:rPr>
                <w:webHidden/>
                <w:rStyle w:val="IndexLink"/>
              </w:rPr>
              <w:t>iii. Pinfins in-line</w:t>
              <w:tab/>
              <w:t>10</w:t>
            </w:r>
          </w:hyperlink>
        </w:p>
        <w:p>
          <w:pPr>
            <w:pStyle w:val="Contents3"/>
            <w:tabs>
              <w:tab w:val="clear" w:pos="720"/>
              <w:tab w:val="right" w:pos="9360" w:leader="dot"/>
            </w:tabs>
            <w:rPr/>
          </w:pPr>
          <w:hyperlink w:anchor="__RefHeading___Toc2959_2393532176">
            <w:r>
              <w:rPr>
                <w:webHidden/>
                <w:rStyle w:val="IndexLink"/>
              </w:rPr>
              <w:t>iv. Pinfins staggered</w:t>
              <w:tab/>
              <w:t>11</w:t>
            </w:r>
          </w:hyperlink>
        </w:p>
        <w:p>
          <w:pPr>
            <w:pStyle w:val="Contents2"/>
            <w:tabs>
              <w:tab w:val="clear" w:pos="720"/>
              <w:tab w:val="right" w:pos="9360" w:leader="dot"/>
            </w:tabs>
            <w:rPr/>
          </w:pPr>
          <w:hyperlink w:anchor="__RefHeading___Toc2961_2393532176">
            <w:r>
              <w:rPr>
                <w:webHidden/>
                <w:rStyle w:val="IndexLink"/>
              </w:rPr>
              <w:t>B. Inputs to 3D-ICE</w:t>
              <w:tab/>
              <w:t>11</w:t>
            </w:r>
          </w:hyperlink>
        </w:p>
        <w:p>
          <w:pPr>
            <w:pStyle w:val="Contents2"/>
            <w:tabs>
              <w:tab w:val="clear" w:pos="720"/>
              <w:tab w:val="right" w:pos="9360" w:leader="dot"/>
            </w:tabs>
            <w:rPr/>
          </w:pPr>
          <w:hyperlink w:anchor="__RefHeading___Toc2963_2393532176">
            <w:r>
              <w:rPr>
                <w:webHidden/>
                <w:rStyle w:val="IndexLink"/>
              </w:rPr>
              <w:t>C. Convention and Terminology</w:t>
              <w:tab/>
              <w:t>12</w:t>
            </w:r>
          </w:hyperlink>
        </w:p>
        <w:p>
          <w:pPr>
            <w:pStyle w:val="Contents1"/>
            <w:tabs>
              <w:tab w:val="clear" w:pos="720"/>
              <w:tab w:val="right" w:pos="9360" w:leader="dot"/>
            </w:tabs>
            <w:rPr/>
          </w:pPr>
          <w:hyperlink w:anchor="__RefHeading___Toc2965_2393532176">
            <w:r>
              <w:rPr>
                <w:webHidden/>
                <w:rStyle w:val="IndexLink"/>
              </w:rPr>
              <w:t>7. Creating a 3D-ICE project</w:t>
              <w:tab/>
              <w:t>14</w:t>
            </w:r>
          </w:hyperlink>
        </w:p>
        <w:p>
          <w:pPr>
            <w:pStyle w:val="Contents2"/>
            <w:tabs>
              <w:tab w:val="clear" w:pos="720"/>
              <w:tab w:val="right" w:pos="9360" w:leader="dot"/>
            </w:tabs>
            <w:rPr/>
          </w:pPr>
          <w:hyperlink w:anchor="__RefHeading___Toc2967_2393532176">
            <w:r>
              <w:rPr>
                <w:webHidden/>
                <w:rStyle w:val="IndexLink"/>
              </w:rPr>
              <w:t>A. Stack Description File</w:t>
              <w:tab/>
              <w:t>14</w:t>
            </w:r>
          </w:hyperlink>
        </w:p>
        <w:p>
          <w:pPr>
            <w:pStyle w:val="Contents3"/>
            <w:tabs>
              <w:tab w:val="clear" w:pos="720"/>
              <w:tab w:val="right" w:pos="9360" w:leader="dot"/>
            </w:tabs>
            <w:rPr/>
          </w:pPr>
          <w:hyperlink w:anchor="__RefHeading___Toc2969_2393532176">
            <w:r>
              <w:rPr>
                <w:webHidden/>
                <w:rStyle w:val="IndexLink"/>
              </w:rPr>
              <w:t>i. Materials</w:t>
              <w:tab/>
              <w:t>14</w:t>
            </w:r>
          </w:hyperlink>
        </w:p>
        <w:p>
          <w:pPr>
            <w:pStyle w:val="Contents3"/>
            <w:tabs>
              <w:tab w:val="clear" w:pos="720"/>
              <w:tab w:val="right" w:pos="9360" w:leader="dot"/>
            </w:tabs>
            <w:rPr/>
          </w:pPr>
          <w:hyperlink w:anchor="__RefHeading___Toc2971_2393532176">
            <w:r>
              <w:rPr>
                <w:webHidden/>
                <w:rStyle w:val="IndexLink"/>
              </w:rPr>
              <w:t>ii. Layers</w:t>
              <w:tab/>
              <w:t>15</w:t>
            </w:r>
          </w:hyperlink>
        </w:p>
        <w:p>
          <w:pPr>
            <w:pStyle w:val="Contents3"/>
            <w:tabs>
              <w:tab w:val="clear" w:pos="720"/>
              <w:tab w:val="right" w:pos="9360" w:leader="dot"/>
            </w:tabs>
            <w:rPr/>
          </w:pPr>
          <w:hyperlink w:anchor="__RefHeading___Toc2973_2393532176">
            <w:r>
              <w:rPr>
                <w:webHidden/>
                <w:rStyle w:val="IndexLink"/>
              </w:rPr>
              <w:t>iii. Dies</w:t>
              <w:tab/>
              <w:t>15</w:t>
            </w:r>
          </w:hyperlink>
        </w:p>
        <w:p>
          <w:pPr>
            <w:pStyle w:val="Contents3"/>
            <w:tabs>
              <w:tab w:val="clear" w:pos="720"/>
              <w:tab w:val="right" w:pos="9360" w:leader="dot"/>
            </w:tabs>
            <w:rPr/>
          </w:pPr>
          <w:hyperlink w:anchor="__RefHeading___Toc2975_2393532176">
            <w:r>
              <w:rPr>
                <w:webHidden/>
                <w:rStyle w:val="IndexLink"/>
              </w:rPr>
              <w:t>iv. Heat Sink</w:t>
              <w:tab/>
              <w:t>16</w:t>
            </w:r>
          </w:hyperlink>
        </w:p>
        <w:p>
          <w:pPr>
            <w:pStyle w:val="Contents3"/>
            <w:tabs>
              <w:tab w:val="clear" w:pos="720"/>
              <w:tab w:val="right" w:pos="9360" w:leader="dot"/>
            </w:tabs>
            <w:rPr/>
          </w:pPr>
          <w:hyperlink w:anchor="__RefHeading___Toc2977_2393532176">
            <w:r>
              <w:rPr>
                <w:webHidden/>
                <w:rStyle w:val="IndexLink"/>
              </w:rPr>
              <w:t>v. Liquid-cooled cavity</w:t>
              <w:tab/>
              <w:t>18</w:t>
            </w:r>
          </w:hyperlink>
        </w:p>
        <w:p>
          <w:pPr>
            <w:pStyle w:val="Contents3"/>
            <w:tabs>
              <w:tab w:val="clear" w:pos="720"/>
              <w:tab w:val="right" w:pos="9360" w:leader="dot"/>
            </w:tabs>
            <w:rPr/>
          </w:pPr>
          <w:hyperlink w:anchor="__RefHeading___Toc2979_2393532176">
            <w:r>
              <w:rPr>
                <w:webHidden/>
                <w:rStyle w:val="IndexLink"/>
              </w:rPr>
              <w:t>vi. Stack</w:t>
              <w:tab/>
              <w:t>22</w:t>
            </w:r>
          </w:hyperlink>
        </w:p>
        <w:p>
          <w:pPr>
            <w:pStyle w:val="Contents3"/>
            <w:tabs>
              <w:tab w:val="clear" w:pos="720"/>
              <w:tab w:val="right" w:pos="9360" w:leader="dot"/>
            </w:tabs>
            <w:rPr/>
          </w:pPr>
          <w:hyperlink w:anchor="__RefHeading___Toc2981_2393532176">
            <w:r>
              <w:rPr>
                <w:webHidden/>
                <w:rStyle w:val="IndexLink"/>
              </w:rPr>
              <w:t>vii. Dimensions</w:t>
              <w:tab/>
              <w:t>23</w:t>
            </w:r>
          </w:hyperlink>
        </w:p>
        <w:p>
          <w:pPr>
            <w:pStyle w:val="Contents3"/>
            <w:tabs>
              <w:tab w:val="clear" w:pos="720"/>
              <w:tab w:val="right" w:pos="9360" w:leader="dot"/>
            </w:tabs>
            <w:rPr/>
          </w:pPr>
          <w:hyperlink w:anchor="__RefHeading___Toc2983_2393532176">
            <w:r>
              <w:rPr>
                <w:webHidden/>
                <w:rStyle w:val="IndexLink"/>
              </w:rPr>
              <w:t>viii. Analysis options</w:t>
              <w:tab/>
              <w:t>25</w:t>
            </w:r>
          </w:hyperlink>
        </w:p>
        <w:p>
          <w:pPr>
            <w:pStyle w:val="Contents3"/>
            <w:tabs>
              <w:tab w:val="clear" w:pos="720"/>
              <w:tab w:val="right" w:pos="9360" w:leader="dot"/>
            </w:tabs>
            <w:rPr/>
          </w:pPr>
          <w:hyperlink w:anchor="__RefHeading___Toc2985_2393532176">
            <w:r>
              <w:rPr>
                <w:webHidden/>
                <w:rStyle w:val="IndexLink"/>
              </w:rPr>
              <w:t>ix. Output Instructions</w:t>
              <w:tab/>
              <w:t>26</w:t>
            </w:r>
          </w:hyperlink>
        </w:p>
        <w:p>
          <w:pPr>
            <w:pStyle w:val="Contents2"/>
            <w:tabs>
              <w:tab w:val="clear" w:pos="720"/>
              <w:tab w:val="right" w:pos="9360" w:leader="dot"/>
            </w:tabs>
            <w:rPr/>
          </w:pPr>
          <w:hyperlink w:anchor="__RefHeading___Toc2987_2393532176">
            <w:r>
              <w:rPr>
                <w:webHidden/>
                <w:rStyle w:val="IndexLink"/>
              </w:rPr>
              <w:t>Examples</w:t>
              <w:tab/>
              <w:t>29</w:t>
            </w:r>
          </w:hyperlink>
        </w:p>
        <w:p>
          <w:pPr>
            <w:pStyle w:val="Contents2"/>
            <w:tabs>
              <w:tab w:val="clear" w:pos="720"/>
              <w:tab w:val="right" w:pos="9360" w:leader="dot"/>
            </w:tabs>
            <w:rPr/>
          </w:pPr>
          <w:hyperlink w:anchor="__RefHeading___Toc2989_2393532176">
            <w:r>
              <w:rPr>
                <w:webHidden/>
                <w:rStyle w:val="IndexLink"/>
              </w:rPr>
              <w:t>B. Floorplan File</w:t>
              <w:tab/>
              <w:t>31</w:t>
            </w:r>
          </w:hyperlink>
        </w:p>
        <w:p>
          <w:pPr>
            <w:pStyle w:val="Contents3"/>
            <w:tabs>
              <w:tab w:val="clear" w:pos="720"/>
              <w:tab w:val="right" w:pos="9360" w:leader="dot"/>
            </w:tabs>
            <w:rPr/>
          </w:pPr>
          <w:hyperlink w:anchor="__RefHeading___Toc2991_2393532176">
            <w:r>
              <w:rPr>
                <w:webHidden/>
                <w:rStyle w:val="IndexLink"/>
              </w:rPr>
              <w:t>Time Slots</w:t>
              <w:tab/>
              <w:t>34</w:t>
            </w:r>
          </w:hyperlink>
        </w:p>
        <w:p>
          <w:pPr>
            <w:pStyle w:val="Contents1"/>
            <w:tabs>
              <w:tab w:val="clear" w:pos="720"/>
              <w:tab w:val="right" w:pos="9360" w:leader="dot"/>
            </w:tabs>
            <w:rPr/>
          </w:pPr>
          <w:hyperlink w:anchor="__RefHeading___Toc2993_2393532176">
            <w:r>
              <w:rPr>
                <w:webHidden/>
                <w:rStyle w:val="IndexLink"/>
              </w:rPr>
              <w:t>8. Co-simulation and plugin interface</w:t>
              <w:tab/>
              <w:t>35</w:t>
            </w:r>
          </w:hyperlink>
        </w:p>
        <w:p>
          <w:pPr>
            <w:pStyle w:val="Contents1"/>
            <w:tabs>
              <w:tab w:val="clear" w:pos="720"/>
              <w:tab w:val="right" w:pos="9360" w:leader="dot"/>
            </w:tabs>
            <w:rPr/>
          </w:pPr>
          <w:hyperlink w:anchor="__RefHeading___Toc2995_2393532176">
            <w:r>
              <w:rPr>
                <w:webHidden/>
                <w:rStyle w:val="IndexLink"/>
              </w:rPr>
              <w:t>9. Network interface for remote simulations</w:t>
              <w:tab/>
              <w:t>40</w:t>
            </w:r>
          </w:hyperlink>
        </w:p>
        <w:p>
          <w:pPr>
            <w:pStyle w:val="Contents1"/>
            <w:tabs>
              <w:tab w:val="clear" w:pos="720"/>
              <w:tab w:val="right" w:pos="9360" w:leader="dot"/>
            </w:tabs>
            <w:rPr/>
          </w:pPr>
          <w:hyperlink w:anchor="__RefHeading___Toc2997_2393532176">
            <w:r>
              <w:rPr>
                <w:webHidden/>
                <w:rStyle w:val="IndexLink"/>
              </w:rPr>
              <w:t>10. Running 3D-ICE</w:t>
              <w:tab/>
              <w:t>42</w:t>
            </w:r>
          </w:hyperlink>
        </w:p>
        <w:p>
          <w:pPr>
            <w:pStyle w:val="Contents1"/>
            <w:tabs>
              <w:tab w:val="clear" w:pos="720"/>
              <w:tab w:val="right" w:pos="9360" w:leader="dot"/>
            </w:tabs>
            <w:rPr/>
          </w:pPr>
          <w:hyperlink w:anchor="__RefHeading___Toc2999_2393532176">
            <w:r>
              <w:rPr>
                <w:webHidden/>
                <w:rStyle w:val="IndexLink"/>
              </w:rPr>
              <w:t>11. Usage of the 3D-ICE as Software Thermal Library</w:t>
              <w:tab/>
              <w:t>43</w:t>
            </w:r>
          </w:hyperlink>
        </w:p>
        <w:p>
          <w:pPr>
            <w:pStyle w:val="Contents2"/>
            <w:tabs>
              <w:tab w:val="clear" w:pos="720"/>
              <w:tab w:val="right" w:pos="9360" w:leader="dot"/>
            </w:tabs>
            <w:rPr/>
          </w:pPr>
          <w:hyperlink w:anchor="__RefHeading___Toc3001_2393532176">
            <w:r>
              <w:rPr>
                <w:webHidden/>
                <w:rStyle w:val="IndexLink"/>
              </w:rPr>
              <w:t>A. StackDescription_t, Analysis_t and Output_t</w:t>
              <w:tab/>
              <w:t>44</w:t>
            </w:r>
          </w:hyperlink>
        </w:p>
        <w:p>
          <w:pPr>
            <w:pStyle w:val="Contents2"/>
            <w:tabs>
              <w:tab w:val="clear" w:pos="720"/>
              <w:tab w:val="right" w:pos="9360" w:leader="dot"/>
            </w:tabs>
            <w:rPr/>
          </w:pPr>
          <w:hyperlink w:anchor="__RefHeading___Toc3003_2393532176">
            <w:r>
              <w:rPr>
                <w:webHidden/>
                <w:rStyle w:val="IndexLink"/>
              </w:rPr>
              <w:t>B. ThermalData_t</w:t>
              <w:tab/>
              <w:t>45</w:t>
            </w:r>
          </w:hyperlink>
        </w:p>
        <w:p>
          <w:pPr>
            <w:pStyle w:val="Contents2"/>
            <w:tabs>
              <w:tab w:val="clear" w:pos="720"/>
              <w:tab w:val="right" w:pos="9360" w:leader="dot"/>
            </w:tabs>
            <w:rPr/>
          </w:pPr>
          <w:hyperlink w:anchor="__RefHeading___Toc3005_2393532176">
            <w:r>
              <w:rPr>
                <w:webHidden/>
                <w:rStyle w:val="IndexLink"/>
              </w:rPr>
              <w:t>C. Emulation and thermal output</w:t>
              <w:tab/>
              <w:t>45</w:t>
            </w:r>
          </w:hyperlink>
        </w:p>
        <w:p>
          <w:pPr>
            <w:pStyle w:val="Contents2"/>
            <w:tabs>
              <w:tab w:val="clear" w:pos="720"/>
              <w:tab w:val="right" w:pos="9360" w:leader="dot"/>
            </w:tabs>
            <w:rPr/>
          </w:pPr>
          <w:hyperlink w:anchor="__RefHeading___Toc3007_2393532176">
            <w:r>
              <w:rPr>
                <w:webHidden/>
                <w:rStyle w:val="IndexLink"/>
              </w:rPr>
              <w:t>D. Socket</w:t>
              <w:tab/>
              <w:t>46</w:t>
            </w:r>
          </w:hyperlink>
        </w:p>
        <w:p>
          <w:pPr>
            <w:pStyle w:val="Contents2"/>
            <w:tabs>
              <w:tab w:val="clear" w:pos="720"/>
              <w:tab w:val="right" w:pos="9360" w:leader="dot"/>
            </w:tabs>
            <w:rPr/>
          </w:pPr>
          <w:hyperlink w:anchor="__RefHeading___Toc3009_2393532176">
            <w:r>
              <w:rPr>
                <w:webHidden/>
                <w:rStyle w:val="IndexLink"/>
              </w:rPr>
              <w:t>E. NetworkMessage</w:t>
              <w:tab/>
              <w:t>47</w:t>
            </w:r>
          </w:hyperlink>
        </w:p>
        <w:p>
          <w:pPr>
            <w:pStyle w:val="Contents2"/>
            <w:tabs>
              <w:tab w:val="clear" w:pos="720"/>
              <w:tab w:val="right" w:pos="9360" w:leader="dot"/>
            </w:tabs>
            <w:rPr/>
          </w:pPr>
          <w:hyperlink w:anchor="__RefHeading___Toc3011_2393532176">
            <w:r>
              <w:rPr>
                <w:webHidden/>
                <w:rStyle w:val="IndexLink"/>
              </w:rPr>
              <w:t>F. Debugging of ThermalSimulation</w:t>
              <w:tab/>
              <w:t>48</w:t>
            </w:r>
          </w:hyperlink>
        </w:p>
        <w:p>
          <w:pPr>
            <w:pStyle w:val="Contents2"/>
            <w:tabs>
              <w:tab w:val="clear" w:pos="720"/>
              <w:tab w:val="right" w:pos="9360" w:leader="dot"/>
            </w:tabs>
            <w:rPr/>
          </w:pPr>
          <w:hyperlink w:anchor="__RefHeading___Toc3013_2393532176">
            <w:r>
              <w:rPr>
                <w:webHidden/>
                <w:rStyle w:val="IndexLink"/>
              </w:rPr>
              <w:t>G. Binding to SystemC/TLM2.0 Applications</w:t>
              <w:tab/>
              <w:t>49</w:t>
            </w:r>
          </w:hyperlink>
        </w:p>
        <w:p>
          <w:pPr>
            <w:pStyle w:val="Contents1"/>
            <w:tabs>
              <w:tab w:val="clear" w:pos="720"/>
              <w:tab w:val="right" w:pos="9360" w:leader="dot"/>
            </w:tabs>
            <w:rPr/>
          </w:pPr>
          <w:hyperlink w:anchor="__RefHeading___Toc3015_2393532176">
            <w:r>
              <w:rPr>
                <w:webHidden/>
                <w:rStyle w:val="IndexLink"/>
              </w:rPr>
              <w:t>12. References</w:t>
              <w:tab/>
              <w:t>50</w:t>
            </w:r>
          </w:hyperlink>
          <w:r>
            <w:rPr>
              <w:rStyle w:val="IndexLink"/>
            </w:rPr>
            <w:fldChar w:fldCharType="end"/>
          </w:r>
        </w:p>
      </w:sdtContent>
    </w:sdt>
    <w:p>
      <w:pPr>
        <w:pStyle w:val="Normal"/>
        <w:widowControl/>
        <w:bidi w:val="0"/>
        <w:spacing w:lineRule="auto" w:line="276" w:before="0" w:after="200"/>
        <w:jc w:val="left"/>
        <w:rPr>
          <w:rFonts w:ascii="Calibri" w:hAnsi="Calibri" w:eastAsia="Calibri" w:cs="" w:asciiTheme="minorHAnsi" w:cstheme="minorBidi" w:eastAsiaTheme="minorHAnsi" w:hAnsiTheme="minorHAnsi"/>
          <w:color w:val="00000A"/>
          <w:kern w:val="0"/>
          <w:sz w:val="22"/>
          <w:szCs w:val="22"/>
          <w:lang w:val="en-US" w:eastAsia="en-US" w:bidi="ar-SA"/>
        </w:rPr>
      </w:pPr>
      <w:r>
        <w:rPr>
          <w:rFonts w:eastAsia="Calibri" w:cs="" w:cstheme="minorBidi" w:eastAsiaTheme="minorHAnsi"/>
          <w:color w:val="00000A"/>
          <w:kern w:val="0"/>
          <w:sz w:val="22"/>
          <w:szCs w:val="22"/>
          <w:lang w:val="en-US" w:eastAsia="en-US" w:bidi="ar-SA"/>
        </w:rPr>
      </w:r>
    </w:p>
    <w:p>
      <w:pPr>
        <w:pStyle w:val="Normal"/>
        <w:rPr/>
      </w:pPr>
      <w:r>
        <w:rPr/>
      </w:r>
      <w:r>
        <w:br w:type="page"/>
      </w:r>
    </w:p>
    <w:p>
      <w:pPr>
        <w:pStyle w:val="Heading1"/>
        <w:numPr>
          <w:ilvl w:val="0"/>
          <w:numId w:val="2"/>
        </w:numPr>
        <w:rPr/>
      </w:pPr>
      <w:bookmarkStart w:id="10" w:name="__RefHeading___Toc2931_2393532176"/>
      <w:bookmarkStart w:id="11" w:name="_Toc442446429"/>
      <w:bookmarkEnd w:id="10"/>
      <w:bookmarkEnd w:id="11"/>
      <w:r>
        <w:rPr/>
        <w:t>License and Copyright</w:t>
      </w:r>
    </w:p>
    <w:p>
      <w:pPr>
        <w:pStyle w:val="Normal"/>
        <w:rPr/>
      </w:pPr>
      <w:r>
        <w:rPr/>
        <w:t>This file is part of 3D-ICE.</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53" w:type="dxa"/>
          <w:bottom w:w="0" w:type="dxa"/>
          <w:right w:w="108" w:type="dxa"/>
        </w:tblCellMar>
        <w:tblLook w:val="04a0" w:noHBand="0" w:noVBand="1" w:firstColumn="1" w:lastRow="0" w:lastColumn="0" w:firstRow="1"/>
      </w:tblPr>
      <w:tblGrid>
        <w:gridCol w:w="4788"/>
        <w:gridCol w:w="1840"/>
        <w:gridCol w:w="2948"/>
      </w:tblGrid>
      <w:tr>
        <w:trPr>
          <w:trHeight w:val="2459" w:hRule="atLeast"/>
        </w:trPr>
        <w:tc>
          <w:tcPr>
            <w:tcW w:w="4788" w:type="dxa"/>
            <w:tcBorders>
              <w:top w:val="nil"/>
              <w:left w:val="nil"/>
              <w:bottom w:val="nil"/>
              <w:right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2" w:name="_Ref272855554"/>
            <w:bookmarkEnd w:id="12"/>
            <w:r>
              <w:rP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
                <w:lang w:val="it-IT"/>
              </w:rPr>
              <w:instrText>NOTEREF _Ref272855554 \h  \* MERGEFORMAT</w:instrText>
            </w:r>
            <w:r>
              <w:rPr>
                <w:i/>
                <w:lang w:val="it-IT"/>
              </w:rPr>
            </w:r>
            <w:r>
              <w:rPr>
                <w:i/>
                <w:lang w:val="it-IT"/>
              </w:rPr>
              <w:fldChar w:fldCharType="separate"/>
            </w:r>
            <w:r>
              <w:rPr>
                <w:i/>
                <w:lang w:val="it-IT"/>
              </w:rPr>
            </w:r>
            <w:bookmarkStart w:id="13" w:name="__Fieldmark__550_1512499319"/>
            <w:r>
              <w:rPr>
                <w:i/>
                <w:vertAlign w:val="superscript"/>
                <w:lang w:val="it-IT"/>
              </w:rPr>
              <w:t>*</w:t>
            </w:r>
            <w:bookmarkStart w:id="14" w:name="__Fieldmark__548_3255371111"/>
            <w:r>
              <w:rPr>
                <w:i/>
                <w:lang w:val="it-IT"/>
              </w:rPr>
            </w:r>
            <w:r>
              <w:rPr>
                <w:i/>
                <w:lang w:val="it-IT"/>
              </w:rPr>
              <w:fldChar w:fldCharType="end"/>
            </w:r>
            <w:bookmarkStart w:id="15" w:name="__Fieldmark__544_2347309188"/>
            <w:bookmarkStart w:id="16" w:name="__Fieldmark__538_1339933418"/>
            <w:bookmarkStart w:id="17" w:name="__Fieldmark__542_2565834834"/>
            <w:bookmarkStart w:id="18" w:name="__Fieldmark__538_4214130128"/>
            <w:bookmarkStart w:id="19" w:name="__Fieldmark__546_1448524884"/>
            <w:bookmarkStart w:id="20" w:name="__Fieldmark__557_1729638673"/>
            <w:bookmarkStart w:id="21" w:name="__Fieldmark__536_2590191016"/>
            <w:bookmarkStart w:id="22" w:name="__Fieldmark__540_2287972815"/>
            <w:bookmarkEnd w:id="13"/>
            <w:bookmarkEnd w:id="14"/>
            <w:bookmarkEnd w:id="15"/>
            <w:bookmarkEnd w:id="16"/>
            <w:bookmarkEnd w:id="17"/>
            <w:bookmarkEnd w:id="18"/>
            <w:bookmarkEnd w:id="19"/>
            <w:bookmarkEnd w:id="20"/>
            <w:bookmarkEnd w:id="21"/>
            <w:bookmarkEnd w:id="22"/>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
                <w:lang w:val="it-IT"/>
              </w:rPr>
              <w:instrText>NOTEREF _Ref272855554 \h  \* MERGEFORMAT</w:instrText>
            </w:r>
            <w:r>
              <w:rPr>
                <w:i/>
                <w:lang w:val="it-IT"/>
              </w:rPr>
            </w:r>
            <w:r>
              <w:rPr>
                <w:i/>
                <w:lang w:val="it-IT"/>
              </w:rPr>
              <w:fldChar w:fldCharType="separate"/>
            </w:r>
            <w:r>
              <w:rPr>
                <w:i/>
                <w:lang w:val="it-IT"/>
              </w:rPr>
            </w:r>
            <w:bookmarkStart w:id="23" w:name="__Fieldmark__583_1512499319"/>
            <w:r>
              <w:rPr>
                <w:i/>
                <w:vertAlign w:val="superscript"/>
                <w:lang w:val="it-IT"/>
              </w:rPr>
              <w:t>*</w:t>
            </w:r>
            <w:bookmarkStart w:id="24" w:name="__Fieldmark__578_3255371111"/>
            <w:r>
              <w:rPr>
                <w:i/>
                <w:lang w:val="it-IT"/>
              </w:rPr>
            </w:r>
            <w:r>
              <w:rPr>
                <w:i/>
                <w:lang w:val="it-IT"/>
              </w:rPr>
              <w:fldChar w:fldCharType="end"/>
            </w:r>
            <w:bookmarkStart w:id="25" w:name="__Fieldmark__548_2590191016"/>
            <w:bookmarkStart w:id="26" w:name="__Fieldmark__548_1339933418"/>
            <w:bookmarkStart w:id="27" w:name="__Fieldmark__565_1729638673"/>
            <w:bookmarkStart w:id="28" w:name="__Fieldmark__553_4214130128"/>
            <w:bookmarkStart w:id="29" w:name="__Fieldmark__563_2565834834"/>
            <w:bookmarkStart w:id="30" w:name="__Fieldmark__568_2347309188"/>
            <w:bookmarkStart w:id="31" w:name="__Fieldmark__558_2287972815"/>
            <w:bookmarkStart w:id="32" w:name="__Fieldmark__573_1448524884"/>
            <w:bookmarkEnd w:id="23"/>
            <w:bookmarkEnd w:id="24"/>
            <w:bookmarkEnd w:id="25"/>
            <w:bookmarkEnd w:id="26"/>
            <w:bookmarkEnd w:id="27"/>
            <w:bookmarkEnd w:id="28"/>
            <w:bookmarkEnd w:id="29"/>
            <w:bookmarkEnd w:id="30"/>
            <w:bookmarkEnd w:id="31"/>
            <w:bookmarkEnd w:id="32"/>
          </w:p>
          <w:p>
            <w:pPr>
              <w:pStyle w:val="Normal"/>
              <w:spacing w:lineRule="auto" w:line="240" w:before="0" w:after="0"/>
              <w:ind w:left="1440" w:hanging="0"/>
              <w:rPr>
                <w:i/>
                <w:i/>
                <w:lang w:val="it-IT"/>
              </w:rPr>
            </w:pPr>
            <w:r>
              <w:rPr>
                <w:i/>
                <w:lang w:val="it-IT"/>
              </w:rPr>
              <w:t>Thomas Brunschwiler</w:t>
            </w:r>
            <w:r>
              <w:rP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33" w:name="__DdeLink__4130_1729638673"/>
            <w:bookmarkEnd w:id="33"/>
            <w:r>
              <w:rP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
                <w:lang w:val="it-IT"/>
              </w:rPr>
              <w:instrText>NOTEREF _Ref272855554 \h  \* MERGEFORMAT</w:instrText>
            </w:r>
            <w:r>
              <w:rPr>
                <w:i/>
                <w:lang w:val="it-IT"/>
              </w:rPr>
            </w:r>
            <w:r>
              <w:rPr>
                <w:i/>
                <w:lang w:val="it-IT"/>
              </w:rPr>
              <w:fldChar w:fldCharType="separate"/>
            </w:r>
            <w:r>
              <w:rPr>
                <w:i/>
                <w:lang w:val="it-IT"/>
              </w:rPr>
            </w:r>
            <w:r>
              <w:rPr>
                <w:i/>
                <w:vertAlign w:val="superscript"/>
                <w:lang w:val="it-IT"/>
              </w:rPr>
              <w:t>*</w:t>
            </w:r>
            <w:bookmarkStart w:id="34" w:name="__Fieldmark__678_3255371111"/>
            <w:bookmarkStart w:id="35" w:name="__Fieldmark__650_2347309188"/>
            <w:bookmarkStart w:id="36" w:name="__Fieldmark__608_4214130128"/>
            <w:bookmarkStart w:id="37" w:name="__Fieldmark__599_1339933418"/>
            <w:bookmarkStart w:id="38" w:name="__Fieldmark__588_1729638673"/>
            <w:bookmarkStart w:id="39" w:name="__Fieldmark__622_2287972815"/>
            <w:bookmarkStart w:id="40" w:name="__Fieldmark__636_2565834834"/>
            <w:bookmarkStart w:id="41" w:name="__Fieldmark__692_1512499319"/>
            <w:bookmarkStart w:id="42" w:name="__Fieldmark__600_2590191016"/>
            <w:bookmarkStart w:id="43" w:name="__Fieldmark__664_1448524884"/>
            <w:bookmarkEnd w:id="34"/>
            <w:bookmarkEnd w:id="35"/>
            <w:bookmarkEnd w:id="36"/>
            <w:bookmarkEnd w:id="37"/>
            <w:bookmarkEnd w:id="38"/>
            <w:bookmarkEnd w:id="39"/>
            <w:bookmarkEnd w:id="40"/>
            <w:bookmarkEnd w:id="41"/>
            <w:bookmarkEnd w:id="42"/>
            <w:bookmarkEnd w:id="43"/>
            <w:r>
              <w:rPr>
                <w:i/>
                <w:lang w:val="it-IT"/>
              </w:rPr>
            </w:r>
            <w:r>
              <w:rPr>
                <w:i/>
                <w:lang w:val="it-IT"/>
              </w:rPr>
              <w:fldChar w:fldCharType="end"/>
            </w:r>
          </w:p>
        </w:tc>
        <w:tc>
          <w:tcPr>
            <w:tcW w:w="4788" w:type="dxa"/>
            <w:gridSpan w:val="2"/>
            <w:tcBorders>
              <w:top w:val="nil"/>
              <w:left w:val="nil"/>
              <w:bottom w:val="nil"/>
              <w:right w:val="nil"/>
            </w:tcBorders>
            <w:shd w:fill="auto" w:val="clear"/>
          </w:tcPr>
          <w:p>
            <w:pPr>
              <w:pStyle w:val="Normal"/>
              <w:spacing w:lineRule="auto" w:line="240" w:before="0" w:after="0"/>
              <w:rPr>
                <w:lang w:val="it-IT"/>
              </w:rPr>
            </w:pPr>
            <w:r>
              <w:rPr>
                <w:lang w:val="it-IT"/>
              </w:rPr>
              <w:drawing>
                <wp:anchor behindDoc="0" distT="0" distB="0" distL="0" distR="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0" distR="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tcBorders>
            <w:shd w:fill="auto" w:val="clear"/>
          </w:tcPr>
          <w:p>
            <w:pPr>
              <w:pStyle w:val="Normal"/>
              <w:spacing w:lineRule="auto" w:line="240" w:before="0" w:after="0"/>
              <w:rPr>
                <w:b/>
                <w:b/>
              </w:rPr>
            </w:pPr>
            <w:r>
              <w:rPr>
                <w:b/>
              </w:rPr>
            </w:r>
          </w:p>
        </w:tc>
        <w:tc>
          <w:tcPr>
            <w:tcW w:w="1840" w:type="dxa"/>
            <w:tcBorders>
              <w:top w:val="nil"/>
              <w:left w:val="nil"/>
              <w:bottom w:val="nil"/>
              <w:right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tcBorders>
            <w:shd w:fill="auto" w:val="clear"/>
          </w:tcPr>
          <w:p>
            <w:pPr>
              <w:pStyle w:val="Normal"/>
              <w:spacing w:lineRule="auto" w:line="240" w:before="0" w:after="0"/>
              <w:jc w:val="both"/>
              <w:rPr>
                <w:sz w:val="18"/>
              </w:rPr>
            </w:pPr>
            <w:r>
              <w:rPr>
                <w:sz w:val="18"/>
              </w:rPr>
              <w:t>This research has been partially funded by the EC H2020 RECIPE project (GA No. 801137), and the ERC Consolidator Grant COMPUSAPIEN (GA No. 725657), and by the EC EUROLAB-4-HPC CSA Grant (GA No. 800962) through a Short Term Collaboration Project  for Dr. Federico Terraneo with EPFL.</w:t>
            </w:r>
          </w:p>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44" w:name="__RefHeading___Toc2933_2393532176"/>
      <w:bookmarkEnd w:id="44"/>
      <w:r>
        <w:rPr/>
        <w:t>What is new in 3.x?</w:t>
      </w:r>
    </w:p>
    <w:p>
      <w:pPr>
        <w:pStyle w:val="Normal"/>
        <w:widowControl/>
        <w:suppressAutoHyphens w:val="true"/>
        <w:bidi w:val="0"/>
        <w:spacing w:lineRule="auto" w:line="276" w:before="0" w:after="200"/>
        <w:ind w:left="360" w:right="0" w:hanging="360"/>
        <w:jc w:val="left"/>
        <w:rPr/>
      </w:pPr>
      <w:r>
        <w:rPr/>
        <w:t>3D-ICE 3.x features several new additions:</w:t>
      </w:r>
    </w:p>
    <w:p>
      <w:pPr>
        <w:pStyle w:val="ListParagraph"/>
        <w:numPr>
          <w:ilvl w:val="0"/>
          <w:numId w:val="19"/>
        </w:numPr>
        <w:jc w:val="both"/>
        <w:rPr/>
      </w:pPr>
      <w:r>
        <w:rPr/>
        <w:t>Added models of two COTS heat sinks, the HS483 air sink and the cuplex kryos 21606 water block.</w:t>
      </w:r>
    </w:p>
    <w:p>
      <w:pPr>
        <w:pStyle w:val="ListParagraph"/>
        <w:numPr>
          <w:ilvl w:val="0"/>
          <w:numId w:val="19"/>
        </w:numPr>
        <w:jc w:val="both"/>
        <w:rPr/>
      </w:pPr>
      <w:r>
        <w:rPr/>
        <w:t>Added Modelica libraries for heat sink modeling to produce FMIs for co-simulation.</w:t>
      </w:r>
    </w:p>
    <w:p>
      <w:pPr>
        <w:pStyle w:val="ListParagraph"/>
        <w:numPr>
          <w:ilvl w:val="0"/>
          <w:numId w:val="19"/>
        </w:numPr>
        <w:jc w:val="both"/>
        <w:rPr/>
      </w:pPr>
      <w:r>
        <w:rPr/>
        <w:t>Added grid pitch mapping to FMI interface to allow simulation of heat sinks using a coarser grid.</w:t>
      </w:r>
    </w:p>
    <w:p>
      <w:pPr>
        <w:pStyle w:val="ListParagraph"/>
        <w:numPr>
          <w:ilvl w:val="0"/>
          <w:numId w:val="19"/>
        </w:numPr>
        <w:jc w:val="both"/>
        <w:rPr/>
      </w:pPr>
      <w:r>
        <w:rPr/>
        <w:t>Made wrappers for FMI, C++ and Python for the co-simulation interface for pluggable heat sinks.</w:t>
      </w:r>
    </w:p>
    <w:p>
      <w:pPr>
        <w:pStyle w:val="ListParagraph"/>
        <w:numPr>
          <w:ilvl w:val="0"/>
          <w:numId w:val="19"/>
        </w:numPr>
        <w:jc w:val="both"/>
        <w:rPr/>
      </w:pPr>
      <w:r>
        <w:rPr/>
        <w:t>Added a pluggable heat sink C interface that makes it possible to extend 3D-ICE with third party heat sink models.</w:t>
      </w:r>
    </w:p>
    <w:p>
      <w:pPr>
        <w:pStyle w:val="ListParagraph"/>
        <w:numPr>
          <w:ilvl w:val="0"/>
          <w:numId w:val="19"/>
        </w:numPr>
        <w:jc w:val="both"/>
        <w:rPr/>
      </w:pPr>
      <w:r>
        <w:rPr/>
        <w:t>Added co-simulation support with a separate thermal model for the heat sink.</w:t>
      </w:r>
    </w:p>
    <w:p>
      <w:pPr>
        <w:pStyle w:val="ListParagraph"/>
        <w:numPr>
          <w:ilvl w:val="0"/>
          <w:numId w:val="19"/>
        </w:numPr>
        <w:jc w:val="both"/>
        <w:rPr/>
      </w:pPr>
      <w:r>
        <w:rPr/>
        <w:t>Made it possible for the last layer of the 3D-ICE stack to have a different size than the other layers, to support heat spreader modeling and passive air convection packages.</w:t>
      </w:r>
    </w:p>
    <w:p>
      <w:pPr>
        <w:pStyle w:val="Heading1"/>
        <w:numPr>
          <w:ilvl w:val="0"/>
          <w:numId w:val="2"/>
        </w:numPr>
        <w:jc w:val="both"/>
        <w:rPr/>
      </w:pPr>
      <w:bookmarkStart w:id="45" w:name="__RefHeading___Toc2935_2393532176"/>
      <w:bookmarkEnd w:id="45"/>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46" w:name="__RefHeading___Toc2937_2393532176"/>
      <w:bookmarkStart w:id="47" w:name="_Toc442446431"/>
      <w:bookmarkEnd w:id="46"/>
      <w:bookmarkEnd w:id="47"/>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48" w:name="__RefHeading___Toc2939_2393532176"/>
      <w:bookmarkStart w:id="49" w:name="_Toc442446432"/>
      <w:bookmarkEnd w:id="48"/>
      <w:bookmarkEnd w:id="49"/>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 Newer versions should be supported as well, unless backward compatibility issues have been introduced in those packages.</w:t>
      </w:r>
    </w:p>
    <w:p>
      <w:pPr>
        <w:pStyle w:val="Normal"/>
        <w:jc w:val="both"/>
        <w:rPr/>
      </w:pPr>
      <w:r>
        <w:rPr/>
        <w:t xml:space="preserve">Additionally, the C shell is required to </w:t>
      </w:r>
      <w:r>
        <w:rPr>
          <w:rFonts w:eastAsia="Calibri" w:cs="" w:cstheme="minorBidi" w:eastAsiaTheme="minorHAnsi"/>
          <w:color w:val="00000A"/>
          <w:kern w:val="0"/>
          <w:sz w:val="22"/>
          <w:szCs w:val="22"/>
          <w:lang w:val="en-US" w:eastAsia="en-US" w:bidi="ar-SA"/>
        </w:rPr>
        <w:t>build the SuperLU library</w:t>
      </w:r>
      <w:r>
        <w:rPr/>
        <w:t>.</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 csh</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w:t>
      </w:r>
      <w:r>
        <w:rPr>
          <w:rFonts w:eastAsia="Calibri" w:cs="Courier New" w:ascii="Courier New" w:hAnsi="Courier New" w:eastAsiaTheme="minorHAnsi"/>
          <w:color w:val="00000A"/>
          <w:kern w:val="0"/>
          <w:sz w:val="18"/>
          <w:szCs w:val="22"/>
          <w:lang w:val="en-US" w:eastAsia="en-US" w:bidi="ar-SA"/>
        </w:rPr>
        <w:t>&lt;version&gt;</w:t>
      </w:r>
      <w:r>
        <w:rPr>
          <w:rFonts w:cs="Courier New" w:ascii="Courier New" w:hAnsi="Courier New"/>
          <w:sz w:val="18"/>
        </w:rPr>
        <w:t>.zip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50" w:name="__RefHeading___Toc2941_2393532176"/>
      <w:bookmarkStart w:id="51" w:name="_Toc442446433"/>
      <w:bookmarkEnd w:id="50"/>
      <w:bookmarkEnd w:id="51"/>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ind w:left="720" w:hanging="0"/>
        <w:jc w:val="both"/>
        <w:rPr>
          <w:rFonts w:ascii="Courier New" w:hAnsi="Courier New" w:cs="Calibri" w:cstheme="minorHAnsi"/>
          <w:sz w:val="18"/>
        </w:rPr>
      </w:pPr>
      <w:r>
        <w:rPr>
          <w:rFonts w:cs="Calibri" w:cstheme="minorHAnsi" w:ascii="Courier New" w:hAnsi="Courier New"/>
          <w:sz w:val="18"/>
        </w:rPr>
      </w:r>
    </w:p>
    <w:p>
      <w:pPr>
        <w:pStyle w:val="Heading2"/>
        <w:numPr>
          <w:ilvl w:val="0"/>
          <w:numId w:val="3"/>
        </w:numPr>
        <w:rPr/>
      </w:pPr>
      <w:bookmarkStart w:id="52" w:name="__RefHeading___Toc2943_2393532176"/>
      <w:bookmarkStart w:id="53" w:name="_Toc442446434"/>
      <w:bookmarkEnd w:id="52"/>
      <w:bookmarkEnd w:id="53"/>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w:t>
      </w:r>
      <w:r>
        <w:rPr>
          <w:u w:val="single"/>
        </w:rPr>
        <w:t>if you used the convenience script above, this should be already set up for you</w:t>
      </w:r>
      <w:r>
        <w:rPr/>
        <w:t>).</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bookmarkStart w:id="54" w:name="__RefHeading___Toc2945_2393532176"/>
      <w:bookmarkEnd w:id="54"/>
      <w:r>
        <w:rPr/>
        <w:t>Pluggable heat sink and co-simulation interface</w:t>
      </w:r>
    </w:p>
    <w:p>
      <w:pPr>
        <w:pStyle w:val="Normal"/>
        <w:rPr/>
      </w:pPr>
      <w:r>
        <w:rPr/>
        <w:t>To use the pluggable heat sink feature, you also need the following depedencies:</w:t>
      </w:r>
    </w:p>
    <w:p>
      <w:pPr>
        <w:pStyle w:val="ListParagraph"/>
        <w:numPr>
          <w:ilvl w:val="0"/>
          <w:numId w:val="1"/>
        </w:numPr>
        <w:jc w:val="both"/>
        <w:rPr/>
      </w:pPr>
      <w:r>
        <w:rPr>
          <w:b/>
          <w:bCs/>
          <w:color w:val="000000"/>
          <w:highlight w:val="white"/>
        </w:rPr>
        <w:t>OpenModelica 1.16.0</w:t>
      </w:r>
      <w:r>
        <w:rPr>
          <w:color w:val="000000"/>
          <w:highlight w:val="white"/>
        </w:rPr>
        <w:t xml:space="preserve"> or greater (install guide at </w:t>
      </w:r>
      <w:hyperlink r:id="rId10">
        <w:r>
          <w:rPr>
            <w:rStyle w:val="InternetLink"/>
            <w:color w:val="000000"/>
            <w:highlight w:val="white"/>
          </w:rPr>
          <w:t>https://www.openmodelica.org</w:t>
        </w:r>
      </w:hyperlink>
      <w:r>
        <w:rPr>
          <w:color w:val="000000"/>
          <w:highlight w:val="white"/>
        </w:rPr>
        <w:t>)</w:t>
      </w:r>
    </w:p>
    <w:p>
      <w:pPr>
        <w:pStyle w:val="ListParagraph"/>
        <w:numPr>
          <w:ilvl w:val="1"/>
          <w:numId w:val="1"/>
        </w:numPr>
        <w:jc w:val="both"/>
        <w:rPr>
          <w:u w:val="single"/>
        </w:rPr>
      </w:pPr>
      <w:r>
        <w:rPr>
          <w:color w:val="000000"/>
          <w:highlight w:val="white"/>
          <w:u w:val="single"/>
        </w:rPr>
        <w:t>Do not install any version earlier than 1.16.0</w:t>
      </w:r>
    </w:p>
    <w:p>
      <w:pPr>
        <w:pStyle w:val="ListParagraph"/>
        <w:numPr>
          <w:ilvl w:val="0"/>
          <w:numId w:val="1"/>
        </w:numPr>
        <w:jc w:val="both"/>
        <w:rPr/>
      </w:pPr>
      <w:r>
        <w:rPr/>
        <w:t>Pugixml 1.8.1 or greater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ListParagraph"/>
        <w:numPr>
          <w:ilvl w:val="0"/>
          <w:numId w:val="1"/>
        </w:numPr>
        <w:jc w:val="both"/>
        <w:rPr/>
      </w:pPr>
      <w:r>
        <w:rPr/>
        <w:t>Pkg-config (</w:t>
      </w:r>
      <w:r>
        <w:rPr>
          <w:rFonts w:ascii="Courier new" w:hAnsi="Courier new"/>
          <w:sz w:val="18"/>
          <w:szCs w:val="18"/>
        </w:rPr>
        <w:t>sudo apt install p</w:t>
      </w:r>
      <w:r>
        <w:rPr>
          <w:rFonts w:eastAsia="Calibri" w:cs="" w:ascii="Courier new" w:hAnsi="Courier new" w:cstheme="minorBidi" w:eastAsiaTheme="minorHAnsi"/>
          <w:color w:val="00000A"/>
          <w:kern w:val="0"/>
          <w:sz w:val="18"/>
          <w:szCs w:val="18"/>
          <w:lang w:val="en-US" w:eastAsia="en-US" w:bidi="ar-SA"/>
        </w:rPr>
        <w:t>kg-config</w:t>
      </w:r>
      <w:r>
        <w:rPr/>
        <w:t>)</w:t>
      </w:r>
    </w:p>
    <w:p>
      <w:pPr>
        <w:pStyle w:val="ListParagraph"/>
        <w:numPr>
          <w:ilvl w:val="0"/>
          <w:numId w:val="0"/>
        </w:numPr>
        <w:ind w:left="1440" w:hanging="0"/>
        <w:jc w:val="both"/>
        <w:rPr/>
      </w:pPr>
      <w:r>
        <w:rPr/>
      </w:r>
    </w:p>
    <w:p>
      <w:pPr>
        <w:pStyle w:val="ListParagraph"/>
        <w:numPr>
          <w:ilvl w:val="0"/>
          <w:numId w:val="0"/>
        </w:numPr>
        <w:ind w:left="720" w:hanging="0"/>
        <w:jc w:val="both"/>
        <w:rPr/>
      </w:pPr>
      <w:r>
        <w:rPr/>
        <w:t>You can then compile the 3D-ICE Plugin sources with:</w:t>
      </w:r>
    </w:p>
    <w:p>
      <w:pPr>
        <w:pStyle w:val="Normal"/>
        <w:numPr>
          <w:ilvl w:val="0"/>
          <w:numId w:val="0"/>
        </w:numPr>
        <w:ind w:left="720" w:hanging="0"/>
        <w:jc w:val="both"/>
        <w:rPr/>
      </w:pPr>
      <w:bookmarkStart w:id="55" w:name="__DdeLink__2812_1512499319"/>
      <w:r>
        <w:rPr>
          <w:rFonts w:cs="Courier New" w:ascii="Courier New" w:hAnsi="Courier New"/>
          <w:sz w:val="18"/>
        </w:rPr>
        <w:t>$ make plugin</w:t>
      </w:r>
      <w:bookmarkEnd w:id="55"/>
    </w:p>
    <w:p>
      <w:pPr>
        <w:pStyle w:val="Heading2"/>
        <w:numPr>
          <w:ilvl w:val="0"/>
          <w:numId w:val="3"/>
        </w:numPr>
        <w:rPr/>
      </w:pPr>
      <w:bookmarkStart w:id="56" w:name="__RefHeading___Toc2947_2393532176"/>
      <w:bookmarkEnd w:id="56"/>
      <w:r>
        <w:rPr/>
        <w:t>Testing installation</w:t>
      </w:r>
    </w:p>
    <w:p>
      <w:pPr>
        <w:pStyle w:val="ListParagraph"/>
        <w:numPr>
          <w:ilvl w:val="0"/>
          <w:numId w:val="0"/>
        </w:numPr>
        <w:ind w:left="360" w:hanging="0"/>
        <w:jc w:val="both"/>
        <w:rPr/>
      </w:pPr>
      <w:r>
        <w:rPr/>
        <w:t>You can then test the 3D-ICE installation with:</w:t>
      </w:r>
    </w:p>
    <w:p>
      <w:pPr>
        <w:pStyle w:val="Normal"/>
        <w:numPr>
          <w:ilvl w:val="0"/>
          <w:numId w:val="0"/>
        </w:numPr>
        <w:ind w:left="360" w:hanging="0"/>
        <w:jc w:val="both"/>
        <w:rPr/>
      </w:pPr>
      <w:r>
        <w:rPr>
          <w:rFonts w:cs="Courier New" w:ascii="Courier New" w:hAnsi="Courier New"/>
          <w:sz w:val="18"/>
        </w:rPr>
        <w:t>$ make test</w:t>
      </w:r>
    </w:p>
    <w:p>
      <w:pPr>
        <w:pStyle w:val="Normal"/>
        <w:jc w:val="both"/>
        <w:rPr>
          <w:rFonts w:ascii="Courier New" w:hAnsi="Courier New" w:cs="Courier New"/>
          <w:sz w:val="18"/>
        </w:rPr>
      </w:pPr>
      <w:r>
        <w:rPr>
          <w:rFonts w:cs="Courier New" w:ascii="Courier New" w:hAnsi="Courier New"/>
          <w:sz w:val="18"/>
        </w:rPr>
      </w:r>
    </w:p>
    <w:p>
      <w:pPr>
        <w:pStyle w:val="Normal"/>
        <w:jc w:val="both"/>
        <w:rPr>
          <w:rFonts w:ascii="Courier New" w:hAnsi="Courier New" w:cs="Courier New"/>
          <w:sz w:val="18"/>
        </w:rPr>
      </w:pPr>
      <w:r>
        <w:rPr>
          <w:rFonts w:cs="Courier New" w:ascii="Courier New" w:hAnsi="Courier New"/>
          <w:sz w:val="18"/>
        </w:rPr>
      </w:r>
      <w:r>
        <w:br w:type="page"/>
      </w:r>
    </w:p>
    <w:p>
      <w:pPr>
        <w:pStyle w:val="Heading1"/>
        <w:numPr>
          <w:ilvl w:val="0"/>
          <w:numId w:val="2"/>
        </w:numPr>
        <w:rPr/>
      </w:pPr>
      <w:bookmarkStart w:id="57" w:name="__RefHeading___Toc2949_2393532176"/>
      <w:bookmarkStart w:id="58" w:name="_Toc442446435"/>
      <w:bookmarkEnd w:id="57"/>
      <w:bookmarkEnd w:id="58"/>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59" w:name="__RefHeading___Toc2951_2393532176"/>
      <w:bookmarkStart w:id="60" w:name="_Toc442446436"/>
      <w:bookmarkEnd w:id="59"/>
      <w:bookmarkEnd w:id="60"/>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1"/>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61" w:name="__RefHeading___Toc2953_2393532176"/>
      <w:bookmarkStart w:id="62" w:name="_Toc442446437"/>
      <w:bookmarkEnd w:id="61"/>
      <w:bookmarkEnd w:id="62"/>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63" w:name="__RefHeading___Toc2955_2393532176"/>
      <w:bookmarkStart w:id="64" w:name="_Toc442446438"/>
      <w:bookmarkEnd w:id="63"/>
      <w:bookmarkEnd w:id="64"/>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65" w:name="__RefHeading___Toc2957_2393532176"/>
      <w:bookmarkStart w:id="66" w:name="_Toc442446439"/>
      <w:bookmarkEnd w:id="65"/>
      <w:bookmarkEnd w:id="66"/>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4"/>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67" w:name="__RefHeading___Toc2959_2393532176"/>
      <w:bookmarkStart w:id="68" w:name="_Toc442446440"/>
      <w:bookmarkEnd w:id="67"/>
      <w:bookmarkEnd w:id="68"/>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5"/>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6"/>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69" w:name="__RefHeading___Toc2961_2393532176"/>
      <w:bookmarkStart w:id="70" w:name="_Toc442446441"/>
      <w:bookmarkEnd w:id="69"/>
      <w:bookmarkEnd w:id="70"/>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71" w:name="__RefHeading___Toc2963_2393532176"/>
      <w:bookmarkStart w:id="72" w:name="_Toc442446442"/>
      <w:bookmarkEnd w:id="71"/>
      <w:bookmarkEnd w:id="72"/>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73" w:name="__RefHeading___Toc2965_2393532176"/>
      <w:bookmarkStart w:id="74" w:name="_Toc442446443"/>
      <w:bookmarkEnd w:id="73"/>
      <w:bookmarkEnd w:id="74"/>
      <w:r>
        <w:rPr/>
        <w:t>Creating a 3D-ICE project</w:t>
      </w:r>
    </w:p>
    <w:p>
      <w:pPr>
        <w:pStyle w:val="Normal"/>
        <w:jc w:val="both"/>
        <w:rPr/>
      </w:pPr>
      <w:r>
        <w:rPr/>
        <w:t xml:space="preserve">As mentioned in Section 6.B,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75" w:name="__RefHeading___Toc2967_2393532176"/>
      <w:bookmarkStart w:id="76" w:name="_Toc442446444"/>
      <w:bookmarkEnd w:id="75"/>
      <w:bookmarkEnd w:id="76"/>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77" w:name="__RefHeading___Toc2969_2393532176"/>
      <w:bookmarkStart w:id="78" w:name="_Toc442446445"/>
      <w:bookmarkEnd w:id="77"/>
      <w:bookmarkEnd w:id="78"/>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79" w:name="__DdeLink__2639_4214130128"/>
      <w:r>
        <w:rPr>
          <w:rFonts w:cs="Calibri" w:cstheme="minorHAnsi"/>
        </w:rPr>
        <w:t>μ</w:t>
      </w:r>
      <w:r>
        <w:rPr/>
        <w:t>m</w:t>
      </w:r>
      <w:bookmarkEnd w:id="79"/>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80" w:name="__RefHeading___Toc2971_2393532176"/>
      <w:bookmarkStart w:id="81" w:name="_Toc442446446"/>
      <w:bookmarkEnd w:id="80"/>
      <w:bookmarkEnd w:id="81"/>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82" w:name="__RefHeading___Toc2973_2393532176"/>
      <w:bookmarkStart w:id="83" w:name="_Toc442446447"/>
      <w:bookmarkEnd w:id="82"/>
      <w:bookmarkEnd w:id="83"/>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2882"/>
        <w:gridCol w:w="6767"/>
      </w:tblGrid>
      <w:tr>
        <w:trPr/>
        <w:tc>
          <w:tcPr>
            <w:tcW w:w="2882" w:type="dxa"/>
            <w:tcBorders>
              <w:bottom w:val="nil"/>
              <w:right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7"/>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8"/>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84" w:name="__RefHeading___Toc2975_2393532176"/>
      <w:bookmarkStart w:id="85" w:name="_Toc442446448"/>
      <w:bookmarkEnd w:id="84"/>
      <w:bookmarkEnd w:id="85"/>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58" w:type="dxa"/>
        <w:tblCellMar>
          <w:top w:w="0" w:type="dxa"/>
          <w:left w:w="5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9"/>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sinks</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Refer to the chapter “Co-simulation and plugin interface” for more information about </w:t>
      </w:r>
      <w:r>
        <w:rPr>
          <w:rFonts w:eastAsia="Calibri" w:cs="" w:cstheme="minorBidi" w:eastAsiaTheme="minorHAnsi"/>
          <w:color w:val="00000A"/>
          <w:kern w:val="0"/>
          <w:sz w:val="22"/>
          <w:szCs w:val="22"/>
          <w:lang w:val="en-US" w:eastAsia="en-US" w:bidi="ar-SA"/>
        </w:rPr>
        <w:t>co-simulation in 3D-ICE</w:t>
      </w:r>
      <w:r>
        <w:rPr/>
        <w:t>.</w:t>
      </w:r>
    </w:p>
    <w:p>
      <w:pPr>
        <w:pStyle w:val="Normal"/>
        <w:jc w:val="both"/>
        <w:rPr/>
      </w:pPr>
      <w:r>
        <w:rPr/>
        <w:t>The syntax to add a pluggable heat 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MATERIAL_ID</w:t>
      </w:r>
      <w:r>
        <w:rPr/>
        <w:t xml:space="preserve"> is the spreader material</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PATH</w:t>
      </w:r>
      <w:r>
        <w:rPr>
          <w:rFonts w:cs="Courier New" w:ascii="Courier New" w:hAnsi="Courier New"/>
          <w:sz w:val="18"/>
        </w:rPr>
        <w:t xml:space="preserve"> </w:t>
      </w:r>
      <w:r>
        <w:rPr/>
        <w:t>is the path to the heat sink plugin</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ARGS</w:t>
      </w:r>
      <w:r>
        <w:rPr/>
        <w:t xml:space="preserve"> is an optional string of arguments passed as-is to the plugin (like the command line arguments of an executable program)</w:t>
      </w:r>
    </w:p>
    <w:p>
      <w:pPr>
        <w:pStyle w:val="ListParagraph"/>
        <w:jc w:val="both"/>
        <w:rPr/>
      </w:pPr>
      <w:r>
        <w:rPr/>
      </w:r>
    </w:p>
    <w:p>
      <w:pPr>
        <w:pStyle w:val="ListParagraph"/>
        <w:jc w:val="both"/>
        <w:rPr/>
      </w:pPr>
      <w:r>
        <w:rPr/>
      </w:r>
    </w:p>
    <w:p>
      <w:pPr>
        <w:pStyle w:val="ListParagraph"/>
        <w:jc w:val="both"/>
        <w:rPr/>
      </w:pPr>
      <w:r>
        <w:rPr/>
      </w:r>
    </w:p>
    <w:tbl>
      <w:tblPr>
        <w:tblStyle w:val="Tabellenraster"/>
        <w:tblpPr w:bottomFromText="0" w:horzAnchor="margin" w:leftFromText="180" w:rightFromText="180" w:tblpX="0" w:tblpY="1800" w:topFromText="0" w:vertAnchor="text"/>
        <w:tblW w:w="9650" w:type="dxa"/>
        <w:jc w:val="left"/>
        <w:tblInd w:w="58" w:type="dxa"/>
        <w:tblCellMar>
          <w:top w:w="0" w:type="dxa"/>
          <w:left w:w="58" w:type="dxa"/>
          <w:bottom w:w="0" w:type="dxa"/>
          <w:right w:w="108" w:type="dxa"/>
        </w:tblCellMar>
        <w:tblLook w:val="04a0" w:noHBand="0" w:noVBand="1" w:firstColumn="1" w:lastRow="0" w:lastColumn="0" w:firstRow="1"/>
      </w:tblPr>
      <w:tblGrid>
        <w:gridCol w:w="4788"/>
        <w:gridCol w:w="4861"/>
      </w:tblGrid>
      <w:tr>
        <w:trPr/>
        <w:tc>
          <w:tcPr>
            <w:tcW w:w="4788" w:type="dxa"/>
            <w:tcBorders>
              <w:bottom w:val="nil"/>
              <w:right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20"/>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 sink</w:t>
            </w:r>
          </w:p>
        </w:tc>
      </w:tr>
      <w:tr>
        <w:trPr/>
        <w:tc>
          <w:tcPr>
            <w:tcW w:w="4788"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rFonts w:cs="Courier New"/>
          <w:sz w:val="22"/>
          <w:szCs w:val="22"/>
        </w:rPr>
      </w:pPr>
      <w:r>
        <w:rPr>
          <w:rFonts w:cs="Courier New"/>
          <w:sz w:val="22"/>
          <w:szCs w:val="22"/>
        </w:rPr>
      </w:r>
    </w:p>
    <w:p>
      <w:pPr>
        <w:pStyle w:val="Heading3"/>
        <w:numPr>
          <w:ilvl w:val="0"/>
          <w:numId w:val="22"/>
        </w:numPr>
        <w:ind w:left="426" w:hanging="142"/>
        <w:rPr/>
      </w:pPr>
      <w:bookmarkStart w:id="86" w:name="__RefHeading___Toc2977_2393532176"/>
      <w:bookmarkStart w:id="87" w:name="_Toc442446449"/>
      <w:bookmarkEnd w:id="86"/>
      <w:bookmarkEnd w:id="87"/>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clear" w:pos="720"/>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88" w:name="__RefHeading___Toc2979_2393532176"/>
      <w:bookmarkStart w:id="89" w:name="_Toc442446450"/>
      <w:bookmarkEnd w:id="88"/>
      <w:bookmarkEnd w:id="89"/>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5474"/>
        <w:gridCol w:w="4175"/>
      </w:tblGrid>
      <w:tr>
        <w:trPr/>
        <w:tc>
          <w:tcPr>
            <w:tcW w:w="5474" w:type="dxa"/>
            <w:tcBorders>
              <w:bottom w:val="nil"/>
              <w:right w:val="nil"/>
            </w:tcBorders>
            <w:shd w:fill="auto" w:val="clear"/>
            <w:vAlign w:val="center"/>
          </w:tcPr>
          <w:p>
            <w:pPr>
              <w:pStyle w:val="Normal"/>
              <w:spacing w:lineRule="auto" w:line="240" w:before="0" w:after="0"/>
              <w:rPr>
                <w:b/>
                <w:b/>
              </w:rPr>
            </w:pPr>
            <w:r>
              <w:rPr>
                <w:b/>
              </w:rPr>
              <w:t>Example</w:t>
            </w:r>
          </w:p>
        </w:tc>
        <w:tc>
          <w:tcPr>
            <w:tcW w:w="4175"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2" descr=""/>
                          <pic:cNvPicPr>
                            <a:picLocks noChangeAspect="1" noChangeArrowheads="1"/>
                          </pic:cNvPicPr>
                        </pic:nvPicPr>
                        <pic:blipFill>
                          <a:blip r:embed="rId25"/>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clear" w:pos="720"/>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90" w:name="__RefHeading___Toc2981_2393532176"/>
      <w:bookmarkStart w:id="91" w:name="_Toc442446451"/>
      <w:bookmarkEnd w:id="90"/>
      <w:bookmarkEnd w:id="91"/>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6"/>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7"/>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5"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43" descr=""/>
                    <pic:cNvPicPr>
                      <a:picLocks noChangeAspect="1" noChangeArrowheads="1"/>
                    </pic:cNvPicPr>
                  </pic:nvPicPr>
                  <pic:blipFill>
                    <a:blip r:embed="rId28"/>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92" w:name="__RefHeading___Toc2983_2393532176"/>
      <w:bookmarkStart w:id="93" w:name="_Toc442446452"/>
      <w:bookmarkEnd w:id="92"/>
      <w:bookmarkEnd w:id="93"/>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94" w:name="__RefHeading___Toc2985_2393532176"/>
      <w:bookmarkStart w:id="95" w:name="_Toc442446453"/>
      <w:bookmarkEnd w:id="94"/>
      <w:bookmarkEnd w:id="95"/>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96" w:name="__RefHeading___Toc2987_2393532176"/>
      <w:bookmarkStart w:id="97" w:name="_Toc442446454"/>
      <w:bookmarkEnd w:id="96"/>
      <w:bookmarkEnd w:id="97"/>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val="04a0" w:noHBand="0" w:noVBand="1" w:firstColumn="1" w:lastRow="0" w:lastColumn="0" w:firstRow="1"/>
      </w:tblPr>
      <w:tblGrid>
        <w:gridCol w:w="9606"/>
      </w:tblGrid>
      <w:tr>
        <w:trPr/>
        <w:tc>
          <w:tcPr>
            <w:tcW w:w="9606" w:type="dxa"/>
            <w:tcBorders>
              <w:bottom w:val="nil"/>
              <w:right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val="04a0" w:noHBand="0" w:noVBand="1" w:firstColumn="1" w:lastRow="0" w:lastColumn="0" w:firstRow="1"/>
      </w:tblPr>
      <w:tblGrid>
        <w:gridCol w:w="9606"/>
      </w:tblGrid>
      <w:tr>
        <w:trPr/>
        <w:tc>
          <w:tcPr>
            <w:tcW w:w="9606" w:type="dxa"/>
            <w:tcBorders>
              <w:bottom w:val="nil"/>
              <w:right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98" w:name="__RefHeading___Toc2989_2393532176"/>
      <w:bookmarkStart w:id="99" w:name="_Toc442446455"/>
      <w:bookmarkEnd w:id="98"/>
      <w:bookmarkEnd w:id="99"/>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30"/>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100" w:name="__RefHeading___Toc2991_2393532176"/>
      <w:bookmarkStart w:id="101" w:name="_Toc442446456"/>
      <w:bookmarkEnd w:id="100"/>
      <w:bookmarkEnd w:id="101"/>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102" w:name="__RefHeading___Toc2993_2393532176"/>
      <w:bookmarkEnd w:id="102"/>
      <w:r>
        <w:rPr/>
        <w:t>Co-simulation and plugin interface</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3D-ICE pluggable heat sinks can be found in the </w:t>
      </w:r>
      <w:r>
        <w:rPr>
          <w:rFonts w:ascii="Courier new" w:hAnsi="Courier new"/>
          <w:sz w:val="18"/>
          <w:szCs w:val="18"/>
        </w:rPr>
        <w:t>heatsink_plugin/heatsinks</w:t>
      </w:r>
      <w:r>
        <w:rPr/>
        <w:t xml:space="preserve"> directory. User-supplied heat sinks can also be simulated. In this configuration, 3D-ICE simulates the 3D IC stack and an heat spreader connected to the top of the 3D IC stack, whose dimensions can be larger than the stack itself. If the heat dissipation stack to be simulated does not include a heat spreader, the last layer of the IC can take the place of the heat spreader.</w:t>
      </w:r>
    </w:p>
    <w:p>
      <w:pPr>
        <w:pStyle w:val="Normal"/>
        <w:rPr/>
      </w:pPr>
      <w:r>
        <w:rPr/>
        <w:t>The simulation of the heat sink is instead performed by a heat sink plugin, in the form of a dynamic library loaded by 3D-ICE.</w:t>
      </w:r>
    </w:p>
    <w:p>
      <w:pPr>
        <w:pStyle w:val="Normal"/>
        <w:jc w:val="both"/>
        <w:rPr/>
      </w:pPr>
      <w:r>
        <w:rPr/>
        <w:t xml:space="preserve">Plugin-related files are in the </w:t>
      </w:r>
      <w:r>
        <w:rPr>
          <w:rFonts w:cs="Courier New" w:ascii="Courier New" w:hAnsi="Courier New"/>
          <w:sz w:val="18"/>
        </w:rPr>
        <w:t>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heatsinks</w:t>
      </w:r>
      <w:r>
        <w:rPr/>
        <w:t>: This directory contains heat sink models.</w:t>
      </w:r>
    </w:p>
    <w:p>
      <w:pPr>
        <w:pStyle w:val="Normal"/>
        <w:numPr>
          <w:ilvl w:val="0"/>
          <w:numId w:val="34"/>
        </w:numPr>
        <w:jc w:val="both"/>
        <w:rPr/>
      </w:pPr>
      <w:r>
        <w:rPr>
          <w:rFonts w:ascii="Courier new" w:hAnsi="Courier new"/>
          <w:sz w:val="18"/>
          <w:szCs w:val="18"/>
        </w:rPr>
        <w:t>common</w:t>
      </w:r>
      <w:r>
        <w:rPr/>
        <w:t>: Contains libraries for building heat sinks.</w:t>
      </w:r>
    </w:p>
    <w:p>
      <w:pPr>
        <w:pStyle w:val="Heading4"/>
        <w:rPr/>
      </w:pPr>
      <w:r>
        <w:rPr/>
      </w:r>
    </w:p>
    <w:p>
      <w:pPr>
        <w:pStyle w:val="Heading4"/>
        <w:rPr/>
      </w:pPr>
      <w:r>
        <w:rPr/>
        <w:t>Writing a heat sink in Modelica</w:t>
      </w:r>
    </w:p>
    <w:p>
      <w:pPr>
        <w:pStyle w:val="Normal"/>
        <w:jc w:val="both"/>
        <w:rPr/>
      </w:pPr>
      <w:r>
        <w:rPr>
          <w:rFonts w:eastAsia="Calibri" w:cs="Courier New" w:eastAsiaTheme="minorHAnsi"/>
          <w:color w:val="00000A"/>
          <w:kern w:val="0"/>
          <w:sz w:val="22"/>
          <w:szCs w:val="22"/>
          <w:lang w:val="en-US" w:eastAsia="en-US" w:bidi="ar-SA"/>
        </w:rPr>
        <w:t xml:space="preserve">Modelica is a declarative object-oriented modeling language. The Modelica syntax allows to write equations as opposed to assignment statements in ordinary imperative programming languages, and supports linear and nonlinear differential equations natively through the </w:t>
      </w:r>
      <w:r>
        <w:rPr>
          <w:rFonts w:eastAsia="Calibri" w:cs="Courier New" w:ascii="Courier new" w:hAnsi="Courier new" w:eastAsiaTheme="minorHAnsi"/>
          <w:color w:val="00000A"/>
          <w:kern w:val="0"/>
          <w:sz w:val="18"/>
          <w:szCs w:val="18"/>
          <w:lang w:val="en-US" w:eastAsia="en-US" w:bidi="ar-SA"/>
        </w:rPr>
        <w:t>der()</w:t>
      </w:r>
      <w:r>
        <w:rPr>
          <w:rFonts w:eastAsia="Calibri" w:cs="Courier New" w:eastAsiaTheme="minorHAnsi"/>
          <w:color w:val="00000A"/>
          <w:kern w:val="0"/>
          <w:sz w:val="22"/>
          <w:szCs w:val="22"/>
          <w:lang w:val="en-US" w:eastAsia="en-US" w:bidi="ar-SA"/>
        </w:rPr>
        <w:t xml:space="preserve"> operator. A Modelica translator uses symbolic equation manipulation to automatically perform the steps needed to produce imperative code that performs the numerical integration of differential equations. OpenModelica is an open source Modelica translator that translates Modelica to C code. Modelica is thus a very convenient choice for the modeling of heat sinks, as it is only necessary to write the heat transfer equations instead of writing the code to solve them. An general introduction to the Modelica language can be found at https://mbe.modelica.university/front/intro</w:t>
      </w:r>
    </w:p>
    <w:p>
      <w:pPr>
        <w:pStyle w:val="Normal"/>
        <w:jc w:val="both"/>
        <w:rPr/>
      </w:pPr>
      <w:r>
        <w:rPr>
          <w:rFonts w:eastAsia="Calibri" w:cs="Courier New" w:eastAsiaTheme="minorHAnsi"/>
          <w:color w:val="00000A"/>
          <w:kern w:val="0"/>
          <w:sz w:val="22"/>
          <w:szCs w:val="22"/>
          <w:lang w:val="en-US" w:eastAsia="en-US" w:bidi="ar-SA"/>
        </w:rPr>
        <w:t>At the lowest level, m</w:t>
      </w:r>
      <w:r>
        <w:rPr>
          <w:rFonts w:cs="Courier New"/>
          <w:sz w:val="22"/>
          <w:szCs w:val="22"/>
        </w:rPr>
        <w:t>odeling an heat sink in Modelica for 3D-ICE co-simulation requires to implement a model with the following interface:</w:t>
      </w:r>
    </w:p>
    <w:p>
      <w:pPr>
        <w:pStyle w:val="PreformattedText"/>
        <w:jc w:val="both"/>
        <w:rPr/>
      </w:pPr>
      <w:r>
        <w:rPr>
          <w:rFonts w:cs="Courier New" w:ascii="DejaVu Sans Mono" w:hAnsi="DejaVu Sans Mono"/>
          <w:color w:val="8B0000"/>
          <w:sz w:val="18"/>
          <w:szCs w:val="18"/>
        </w:rPr>
        <w:t>model</w:t>
      </w:r>
      <w:r>
        <w:rPr>
          <w:rFonts w:cs="Courier New" w:ascii="DejaVu Sans Mono" w:hAnsi="DejaVu Sans Mono"/>
          <w:color w:val="000000"/>
          <w:sz w:val="18"/>
          <w:szCs w:val="18"/>
        </w:rPr>
        <w:t xml:space="preserve"> Interface3DICE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String</w:t>
      </w:r>
      <w:r>
        <w:rPr>
          <w:color w:val="000000"/>
        </w:rPr>
        <w:t xml:space="preserve"> </w:t>
      </w:r>
      <w:r>
        <w:rPr>
          <w:rFonts w:ascii="DejaVu Sans Mono" w:hAnsi="DejaVu Sans Mono"/>
          <w:color w:val="000000"/>
          <w:sz w:val="18"/>
        </w:rPr>
        <w:t>args;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Modelica.SIunits.Temperature initialTemperature;</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sinkRows;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sinkColumns;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Modelica.SIunits.ThermalConductance sinkCellBottomConductance;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sinkLength;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sinkWidth;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spreaderX0;</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spreaderY0;</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000000"/>
          <w:sz w:val="18"/>
        </w:rPr>
        <w:t>Modelica.Blocks.Interfaces.RealOutput T[sinkRows, sinkColumns];</w:t>
      </w:r>
    </w:p>
    <w:p>
      <w:pPr>
        <w:pStyle w:val="PreformattedText"/>
        <w:spacing w:before="0" w:after="0"/>
        <w:ind w:left="0" w:right="0" w:hanging="0"/>
        <w:rPr/>
      </w:pPr>
      <w:r>
        <w:rPr>
          <w:color w:val="000000"/>
        </w:rPr>
        <w:t xml:space="preserve">  </w:t>
      </w:r>
      <w:r>
        <w:rPr>
          <w:rFonts w:ascii="DejaVu Sans Mono" w:hAnsi="DejaVu Sans Mono"/>
          <w:color w:val="000000"/>
          <w:sz w:val="18"/>
        </w:rPr>
        <w:t xml:space="preserve">Modelica.Blocks.Interfaces.RealInput </w:t>
      </w:r>
      <w:bookmarkStart w:id="103" w:name="__DdeLink__2775_1448524884"/>
      <w:r>
        <w:rPr>
          <w:rFonts w:ascii="DejaVu Sans Mono" w:hAnsi="DejaVu Sans Mono"/>
          <w:color w:val="000000"/>
          <w:sz w:val="18"/>
        </w:rPr>
        <w:t>Q_flow</w:t>
      </w:r>
      <w:bookmarkEnd w:id="103"/>
      <w:r>
        <w:rPr>
          <w:rFonts w:ascii="DejaVu Sans Mono" w:hAnsi="DejaVu Sans Mono"/>
          <w:color w:val="000000"/>
          <w:sz w:val="18"/>
        </w:rPr>
        <w:t>[sinkRows, sinkColumns];</w:t>
      </w:r>
    </w:p>
    <w:p>
      <w:pPr>
        <w:pStyle w:val="PreformattedText"/>
        <w:spacing w:before="0" w:after="0"/>
        <w:ind w:left="0" w:right="0" w:hanging="0"/>
        <w:rPr/>
      </w:pPr>
      <w:r>
        <w:rPr>
          <w:rFonts w:ascii="DejaVu Sans Mono" w:hAnsi="DejaVu Sans Mono"/>
          <w:color w:val="8B0000"/>
          <w:sz w:val="18"/>
        </w:rPr>
        <w:t>end</w:t>
      </w:r>
      <w:r>
        <w:rPr>
          <w:rFonts w:ascii="DejaVu Sans Mono" w:hAnsi="DejaVu Sans Mono"/>
          <w:color w:val="000000"/>
          <w:sz w:val="18"/>
        </w:rPr>
        <w:t xml:space="preserve"> Interface3DICE;</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00"/>
          <w:sz w:val="18"/>
          <w:szCs w:val="18"/>
        </w:rPr>
        <w:t>args</w:t>
      </w:r>
      <w:r>
        <w:rPr>
          <w:rFonts w:cs="Courier New"/>
          <w:sz w:val="22"/>
          <w:szCs w:val="22"/>
        </w:rPr>
        <w:t xml:space="preserve"> and </w:t>
      </w:r>
      <w:r>
        <w:rPr>
          <w:rFonts w:cs="Courier New" w:ascii="DejaVu Sans Mono" w:hAnsi="DejaVu Sans Mono"/>
          <w:color w:val="000000"/>
          <w:sz w:val="18"/>
          <w:szCs w:val="18"/>
        </w:rPr>
        <w:t>initialTemperature</w:t>
      </w:r>
      <w:r>
        <w:rPr>
          <w:rFonts w:cs="Courier New"/>
          <w:sz w:val="22"/>
          <w:szCs w:val="22"/>
        </w:rPr>
        <w:t xml:space="preserve"> are set by 3D-ICE at the beginning of the simulation and can be read from the Modelica code.</w:t>
      </w:r>
    </w:p>
    <w:p>
      <w:pPr>
        <w:pStyle w:val="Normal"/>
        <w:jc w:val="both"/>
        <w:rPr/>
      </w:pPr>
      <w:r>
        <w:rPr>
          <w:rFonts w:cs="Courier New"/>
          <w:sz w:val="22"/>
          <w:szCs w:val="22"/>
        </w:rPr>
        <w:t xml:space="preserve">The other parameters define the sink meshing, thermal conductance towards the spreader, and heat sink geometry. These parameters must be set by the plugin as they are read by 3D-ICE to connect the sink to the spreader. The variables </w:t>
      </w:r>
      <w:r>
        <w:rPr>
          <w:rFonts w:cs="Courier New" w:ascii="DejaVu Sans Mono" w:hAnsi="DejaVu Sans Mono"/>
          <w:color w:val="000000"/>
          <w:sz w:val="18"/>
          <w:szCs w:val="22"/>
        </w:rPr>
        <w:t>sinkRows, sinkColumns, sinkCellBottomConductance,  sinkLength, sinkWidth</w:t>
      </w:r>
      <w:r>
        <w:rPr>
          <w:rFonts w:cs="Courier New"/>
          <w:color w:val="000000"/>
          <w:sz w:val="22"/>
          <w:szCs w:val="22"/>
        </w:rPr>
        <w:t xml:space="preserve"> depend on the heat sink geometry and how it has been modeled, therefore they are expected to be constants set in the Modelica code. The last two variables, </w:t>
      </w:r>
      <w:r>
        <w:rPr>
          <w:rFonts w:cs="Courier New" w:ascii="DejaVu Sans Mono" w:hAnsi="DejaVu Sans Mono"/>
          <w:color w:val="000000"/>
          <w:sz w:val="18"/>
          <w:szCs w:val="22"/>
        </w:rPr>
        <w:t>spreaderX0</w:t>
      </w:r>
      <w:r>
        <w:rPr>
          <w:rFonts w:cs="Courier New"/>
          <w:color w:val="000000"/>
          <w:sz w:val="22"/>
          <w:szCs w:val="22"/>
        </w:rPr>
        <w:t xml:space="preserve"> and </w:t>
      </w:r>
      <w:r>
        <w:rPr>
          <w:rFonts w:cs="Courier New" w:ascii="DejaVu Sans Mono" w:hAnsi="DejaVu Sans Mono"/>
          <w:color w:val="000000"/>
          <w:sz w:val="18"/>
          <w:szCs w:val="22"/>
        </w:rPr>
        <w:t>spreaderY0</w:t>
      </w:r>
      <w:r>
        <w:rPr>
          <w:rFonts w:cs="Courier New"/>
          <w:color w:val="000000"/>
          <w:sz w:val="22"/>
          <w:szCs w:val="22"/>
        </w:rPr>
        <w:t xml:space="preserve"> depend on the placement of the sink relative to the spreader, and it is common practice to make them configurable from the 3D-ICE stack file by parsing the </w:t>
      </w:r>
      <w:r>
        <w:rPr>
          <w:rFonts w:cs="Courier New" w:ascii="DejaVu Sans Mono" w:hAnsi="DejaVu Sans Mono"/>
          <w:color w:val="000000"/>
          <w:sz w:val="18"/>
          <w:szCs w:val="22"/>
        </w:rPr>
        <w:t>args</w:t>
      </w:r>
      <w:r>
        <w:rPr>
          <w:rFonts w:cs="Courier New"/>
          <w:color w:val="000000"/>
          <w:sz w:val="22"/>
          <w:szCs w:val="22"/>
        </w:rPr>
        <w:t xml:space="preserve"> variable and assigning them from Modelica code.</w:t>
      </w:r>
    </w:p>
    <w:p>
      <w:pPr>
        <w:pStyle w:val="Normal"/>
        <w:jc w:val="both"/>
        <w:rPr/>
      </w:pPr>
      <w:r>
        <w:rPr>
          <w:rFonts w:cs="Courier New"/>
          <w:sz w:val="22"/>
          <w:szCs w:val="22"/>
        </w:rPr>
        <w:t xml:space="preserve">A graphical representation of the  </w:t>
      </w:r>
      <w:r>
        <w:rPr>
          <w:rFonts w:cs="Courier New" w:ascii="DejaVu Sans Mono" w:hAnsi="DejaVu Sans Mono"/>
          <w:color w:val="000000"/>
          <w:sz w:val="18"/>
          <w:szCs w:val="22"/>
        </w:rPr>
        <w:t xml:space="preserve">sinkLength, sinkWidth, spreaderX0,  spreaderY0  </w:t>
      </w:r>
      <w:r>
        <w:rPr>
          <w:rFonts w:cs="Courier New"/>
          <w:color w:val="000000"/>
          <w:sz w:val="22"/>
          <w:szCs w:val="22"/>
        </w:rPr>
        <w:t xml:space="preserve">parameters is shown below. </w:t>
      </w:r>
      <w:r>
        <w:rPr>
          <w:rFonts w:cs="Courier New"/>
          <w:color w:val="000000"/>
          <w:sz w:val="22"/>
          <w:szCs w:val="22"/>
          <w:u w:val="single"/>
        </w:rPr>
        <w:t>Note that Modelica encourages the use of SI units, thus all lengths and widths are in meters, and not in micrometers unlike in 3D-ICE.</w:t>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sz w:val="22"/>
          <w:szCs w:val="22"/>
        </w:rPr>
      </w:pPr>
      <w:r>
        <w:rPr>
          <w:rFonts w:cs="Courier New"/>
          <w:sz w:val="22"/>
          <w:szCs w:val="22"/>
        </w:rPr>
        <mc:AlternateContent>
          <mc:Choice Requires="wps">
            <w:drawing>
              <wp:anchor behindDoc="0" distT="0" distB="0" distL="0" distR="0" simplePos="0" locked="0" layoutInCell="1" allowOverlap="1" relativeHeight="21">
                <wp:simplePos x="0" y="0"/>
                <wp:positionH relativeFrom="column">
                  <wp:posOffset>826135</wp:posOffset>
                </wp:positionH>
                <wp:positionV relativeFrom="paragraph">
                  <wp:posOffset>-59055</wp:posOffset>
                </wp:positionV>
                <wp:extent cx="3752215" cy="3362960"/>
                <wp:effectExtent l="0" t="0" r="0" b="0"/>
                <wp:wrapSquare wrapText="largest"/>
                <wp:docPr id="29" name="Frame10"/>
                <a:graphic xmlns:a="http://schemas.openxmlformats.org/drawingml/2006/main">
                  <a:graphicData uri="http://schemas.microsoft.com/office/word/2010/wordprocessingShape">
                    <wps:wsp>
                      <wps:cNvSpPr/>
                      <wps:spPr>
                        <a:xfrm>
                          <a:off x="0" y="0"/>
                          <a:ext cx="3751560" cy="336240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3749675" cy="278130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2"/>
                                          <a:stretch>
                                            <a:fillRect/>
                                          </a:stretch>
                                        </pic:blipFill>
                                        <pic:spPr bwMode="auto">
                                          <a:xfrm>
                                            <a:off x="0" y="0"/>
                                            <a:ext cx="3749675" cy="27813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10</w:t>
                            </w:r>
                            <w:r>
                              <w:rPr>
                                <w:color w:val="000000"/>
                              </w:rPr>
                              <w:fldChar w:fldCharType="end"/>
                            </w:r>
                            <w:r>
                              <w:rPr>
                                <w:color w:val="000000"/>
                              </w:rPr>
                              <w:t>: Mapping between a generic sized heat sink and the heat spreader</w:t>
                            </w:r>
                          </w:p>
                        </w:txbxContent>
                      </wps:txbx>
                      <wps:bodyPr lIns="0" rIns="0" tIns="0" bIns="0">
                        <a:noAutofit/>
                      </wps:bodyPr>
                    </wps:wsp>
                  </a:graphicData>
                </a:graphic>
              </wp:anchor>
            </w:drawing>
          </mc:Choice>
          <mc:Fallback>
            <w:pict>
              <v:rect id="shape_0" ID="Frame10" stroked="f" style="position:absolute;margin-left:65.05pt;margin-top:-4.65pt;width:295.35pt;height:264.7pt">
                <w10:wrap type="square"/>
                <v:fill o:detectmouseclick="t" on="false"/>
                <v:stroke color="#3465a4" joinstyle="round" endcap="flat"/>
                <v:textbox>
                  <w:txbxContent>
                    <w:p>
                      <w:pPr>
                        <w:pStyle w:val="Figure"/>
                        <w:spacing w:before="120" w:after="120"/>
                        <w:rPr>
                          <w:color w:val="000000"/>
                        </w:rPr>
                      </w:pPr>
                      <w:r>
                        <w:rPr/>
                        <w:drawing>
                          <wp:inline distT="0" distB="0" distL="0" distR="0">
                            <wp:extent cx="3749675" cy="278130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2"/>
                                    <a:stretch>
                                      <a:fillRect/>
                                    </a:stretch>
                                  </pic:blipFill>
                                  <pic:spPr bwMode="auto">
                                    <a:xfrm>
                                      <a:off x="0" y="0"/>
                                      <a:ext cx="3749675" cy="27813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10</w:t>
                      </w:r>
                      <w:r>
                        <w:rPr>
                          <w:color w:val="000000"/>
                        </w:rPr>
                        <w:fldChar w:fldCharType="end"/>
                      </w:r>
                      <w:r>
                        <w:rPr>
                          <w:color w:val="000000"/>
                        </w:rPr>
                        <w:t>: Mapping between a generic sized heat sink and the heat spreader</w:t>
                      </w:r>
                    </w:p>
                  </w:txbxContent>
                </v:textbox>
              </v:rect>
            </w:pict>
          </mc:Fallback>
        </mc:AlternateConten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22"/>
        </w:rPr>
        <w:t>T</w:t>
      </w:r>
      <w:r>
        <w:rPr>
          <w:rFonts w:cs="Courier New" w:ascii="DejaVu Sans Mono" w:hAnsi="DejaVu Sans Mono"/>
          <w:color w:val="000000"/>
          <w:sz w:val="18"/>
          <w:szCs w:val="18"/>
        </w:rPr>
        <w:t xml:space="preserve"> </w:t>
      </w:r>
      <w:r>
        <w:rPr>
          <w:rFonts w:cs="Courier New"/>
          <w:sz w:val="22"/>
          <w:szCs w:val="22"/>
        </w:rPr>
        <w:t xml:space="preserve">variable is the heat sink bottom temperature, that 3D-ICE reads at every simulation step, and </w:t>
      </w:r>
      <w:r>
        <w:rPr>
          <w:rFonts w:cs="Courier New" w:ascii="DejaVu Sans Mono" w:hAnsi="DejaVu Sans Mono"/>
          <w:color w:val="000000"/>
          <w:sz w:val="18"/>
          <w:szCs w:val="22"/>
        </w:rPr>
        <w:t>Q_flow</w:t>
      </w:r>
      <w:r>
        <w:rPr>
          <w:rFonts w:cs="Courier New"/>
          <w:sz w:val="22"/>
          <w:szCs w:val="22"/>
        </w:rPr>
        <w:t xml:space="preserve"> is the heat flow towards the heat sink, that 3D-ICE sets at each simulation step.</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Convenience libraries are provided in the </w:t>
      </w:r>
      <w:r>
        <w:rPr>
          <w:rFonts w:eastAsia="Calibri" w:cs="Courier New" w:ascii="Courier new" w:hAnsi="Courier new" w:eastAsiaTheme="minorHAnsi"/>
          <w:color w:val="00000A"/>
          <w:kern w:val="0"/>
          <w:sz w:val="18"/>
          <w:szCs w:val="18"/>
          <w:lang w:val="en-US" w:eastAsia="en-US" w:bidi="ar-SA"/>
        </w:rPr>
        <w:t>common</w:t>
      </w:r>
      <w:r>
        <w:rPr>
          <w:rFonts w:eastAsia="Calibri" w:cs="Courier New" w:eastAsiaTheme="minorHAnsi"/>
          <w:color w:val="00000A"/>
          <w:kern w:val="0"/>
          <w:sz w:val="22"/>
          <w:szCs w:val="22"/>
          <w:lang w:val="en-US" w:eastAsia="en-US" w:bidi="ar-SA"/>
        </w:rPr>
        <w:t xml:space="preserve"> directory to abstract this interface using Modelica object-oriented features.</w:t>
      </w:r>
    </w:p>
    <w:p>
      <w:pPr>
        <w:pStyle w:val="Normal"/>
        <w:numPr>
          <w:ilvl w:val="0"/>
          <w:numId w:val="35"/>
        </w:numPr>
        <w:jc w:val="both"/>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is a base class that implements the </w:t>
      </w:r>
      <w:r>
        <w:rPr>
          <w:rFonts w:eastAsia="Calibri" w:cs="Courier New" w:ascii="DejaVu Sans Mono" w:hAnsi="DejaVu Sans Mono"/>
          <w:color w:val="000000"/>
          <w:kern w:val="0"/>
          <w:sz w:val="18"/>
          <w:szCs w:val="18"/>
          <w:lang w:val="en-US" w:eastAsia="en-US" w:bidi="ar-SA"/>
        </w:rPr>
        <w:t>Interface3DICE</w:t>
      </w:r>
      <w:r>
        <w:rPr>
          <w:rFonts w:eastAsia="Calibri" w:cs="Courier New"/>
          <w:color w:val="000000"/>
          <w:kern w:val="0"/>
          <w:sz w:val="22"/>
          <w:szCs w:val="22"/>
          <w:lang w:val="en-US" w:eastAsia="en-US" w:bidi="ar-SA"/>
        </w:rPr>
        <w:t xml:space="preserve"> interface</w:t>
      </w:r>
      <w:r>
        <w:rPr>
          <w:rFonts w:eastAsia="Calibri" w:cs="Courier New" w:eastAsiaTheme="minorHAnsi"/>
          <w:color w:val="00000A"/>
          <w:kern w:val="0"/>
          <w:sz w:val="22"/>
          <w:szCs w:val="22"/>
          <w:lang w:val="en-US" w:eastAsia="en-US" w:bidi="ar-SA"/>
        </w:rPr>
        <w:t xml:space="preserve"> and includes the boilerplate code required to parse </w:t>
      </w:r>
      <w:r>
        <w:rPr>
          <w:rFonts w:eastAsia="Calibri" w:cs="Courier New" w:ascii="DejaVu Sans Mono" w:hAnsi="DejaVu Sans Mono"/>
          <w:color w:val="000000"/>
          <w:kern w:val="0"/>
          <w:sz w:val="18"/>
          <w:szCs w:val="22"/>
          <w:lang w:val="en-US" w:eastAsia="en-US" w:bidi="ar-SA"/>
        </w:rPr>
        <w:t>args</w:t>
      </w:r>
      <w:r>
        <w:rPr>
          <w:rFonts w:eastAsia="Calibri" w:cs="Courier New" w:eastAsiaTheme="minorHAnsi"/>
          <w:color w:val="00000A"/>
          <w:kern w:val="0"/>
          <w:sz w:val="22"/>
          <w:szCs w:val="22"/>
          <w:lang w:val="en-US" w:eastAsia="en-US" w:bidi="ar-SA"/>
        </w:rPr>
        <w:t xml:space="preserve"> and set </w:t>
      </w:r>
      <w:r>
        <w:rPr>
          <w:rFonts w:eastAsia="Calibri" w:cs="Courier New" w:ascii="DejaVu Sans Mono" w:hAnsi="DejaVu Sans Mono"/>
          <w:color w:val="000000"/>
          <w:kern w:val="0"/>
          <w:sz w:val="18"/>
          <w:szCs w:val="22"/>
          <w:lang w:val="en-US" w:eastAsia="en-US" w:bidi="ar-SA"/>
        </w:rPr>
        <w:t>spreaderX0</w:t>
      </w:r>
      <w:r>
        <w:rPr>
          <w:rFonts w:eastAsia="Calibri" w:cs="Courier New"/>
          <w:color w:val="000000"/>
          <w:kern w:val="0"/>
          <w:sz w:val="22"/>
          <w:szCs w:val="22"/>
          <w:lang w:val="en-US" w:eastAsia="en-US" w:bidi="ar-SA"/>
        </w:rPr>
        <w:t xml:space="preserve"> and </w:t>
      </w:r>
      <w:r>
        <w:rPr>
          <w:rFonts w:eastAsia="Calibri" w:cs="Courier New" w:ascii="DejaVu Sans Mono" w:hAnsi="DejaVu Sans Mono"/>
          <w:color w:val="000000"/>
          <w:kern w:val="0"/>
          <w:sz w:val="18"/>
          <w:szCs w:val="22"/>
          <w:lang w:val="en-US" w:eastAsia="en-US" w:bidi="ar-SA"/>
        </w:rPr>
        <w:t>spreaderY0</w:t>
      </w:r>
      <w:r>
        <w:rPr>
          <w:rFonts w:eastAsia="Calibri" w:cs="Courier New" w:eastAsiaTheme="minorHAnsi"/>
          <w:color w:val="00000A"/>
          <w:kern w:val="0"/>
          <w:sz w:val="22"/>
          <w:szCs w:val="22"/>
          <w:lang w:val="en-US" w:eastAsia="en-US" w:bidi="ar-SA"/>
        </w:rPr>
        <w:t>, as well as code for forwarding of all other parameters from a redeclarable heat sink model. Further parameter parsing is possible in extended classes, providing a generic way to pass arbitrary parameters from the 3D-ICE stack description to heat sinks. This class also maps the causal interface of the the FMI into a-causal heat ports as commonly used to model heat exchange in Modelica.</w:t>
      </w:r>
    </w:p>
    <w:p>
      <w:pPr>
        <w:pStyle w:val="Normal"/>
        <w:numPr>
          <w:ilvl w:val="0"/>
          <w:numId w:val="35"/>
        </w:numPr>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HeatsinkBlocks.PartialModels.Heatsink</w:t>
      </w:r>
      <w:r>
        <w:rPr>
          <w:rFonts w:eastAsia="Calibri" w:cs="Courier New" w:eastAsiaTheme="minorHAnsi"/>
          <w:color w:val="00000A"/>
          <w:kern w:val="0"/>
          <w:sz w:val="22"/>
          <w:szCs w:val="22"/>
          <w:lang w:val="en-US" w:eastAsia="en-US" w:bidi="ar-SA"/>
        </w:rPr>
        <w:t xml:space="preserve"> is a generic heat sink base class that can be extended to add the differential equations modeling the desired heat sink.</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example </w:t>
      </w:r>
      <w:r>
        <w:rPr>
          <w:rFonts w:eastAsia="Calibri" w:cs="Courier New" w:ascii="Courier new" w:hAnsi="Courier new" w:eastAsiaTheme="minorHAnsi"/>
          <w:color w:val="00000A"/>
          <w:kern w:val="0"/>
          <w:sz w:val="18"/>
          <w:szCs w:val="18"/>
          <w:lang w:val="en-US" w:eastAsia="en-US" w:bidi="ar-SA"/>
        </w:rPr>
        <w:t>templates/Modelica</w:t>
      </w:r>
      <w:r>
        <w:rPr>
          <w:rFonts w:eastAsia="Calibri" w:cs="Courier New" w:eastAsiaTheme="minorHAnsi"/>
          <w:color w:val="00000A"/>
          <w:kern w:val="0"/>
          <w:sz w:val="22"/>
          <w:szCs w:val="22"/>
          <w:lang w:val="en-US" w:eastAsia="en-US" w:bidi="ar-SA"/>
        </w:rPr>
        <w:t xml:space="preserve"> can be used as a reference to understand how to write a new heat sink in Modelica. Additionally, looking at the complete heat sinks in the </w:t>
      </w:r>
      <w:r>
        <w:rPr>
          <w:rFonts w:eastAsia="Calibri" w:cs="Courier New" w:ascii="Courier new" w:hAnsi="Courier new" w:eastAsiaTheme="minorHAnsi"/>
          <w:color w:val="00000A"/>
          <w:kern w:val="0"/>
          <w:sz w:val="18"/>
          <w:szCs w:val="18"/>
          <w:lang w:val="en-US" w:eastAsia="en-US" w:bidi="ar-SA"/>
        </w:rPr>
        <w:t>heatsinks</w:t>
      </w:r>
      <w:r>
        <w:rPr>
          <w:rFonts w:eastAsia="Calibri" w:cs="Courier New" w:eastAsiaTheme="minorHAnsi"/>
          <w:color w:val="00000A"/>
          <w:kern w:val="0"/>
          <w:sz w:val="22"/>
          <w:szCs w:val="22"/>
          <w:lang w:val="en-US" w:eastAsia="en-US" w:bidi="ar-SA"/>
        </w:rPr>
        <w:t xml:space="preserve"> directory can be useful as well.</w:t>
      </w:r>
    </w:p>
    <w:p>
      <w:pPr>
        <w:pStyle w:val="Heading4"/>
        <w:rPr>
          <w:rFonts w:ascii="Calibri" w:hAnsi="Calibri" w:eastAsia="Calibri" w:cs="Courier New" w:asciiTheme="minorHAnsi" w:eastAsiaTheme="minorHAnsi" w:hAnsiTheme="minorHAnsi"/>
          <w:color w:val="00000A"/>
          <w:kern w:val="0"/>
          <w:sz w:val="22"/>
          <w:szCs w:val="22"/>
          <w:lang w:val="en-US" w:eastAsia="en-US" w:bidi="ar-SA"/>
        </w:rPr>
      </w:pPr>
      <w:r>
        <w:rPr/>
        <w:t>Editing a Modelica Heatsink using the OMEdit editor</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OMEdit is a Modelica IDE, part of the OpenModelica package to simplify writing Modelica code. Although a complete guide would stray from the purpose of this document, it is important, when loading heat sink model using this editor to first load the required libraries in the correct order. First load the ThermalBlocks library, then the HeatsinkBlocks one and finally the model you intend to edit.</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drawing>
          <wp:anchor behindDoc="0" distT="0" distB="0" distL="0" distR="0" simplePos="0" locked="0" layoutInCell="1" allowOverlap="1" relativeHeight="22">
            <wp:simplePos x="0" y="0"/>
            <wp:positionH relativeFrom="column">
              <wp:posOffset>-13970</wp:posOffset>
            </wp:positionH>
            <wp:positionV relativeFrom="paragraph">
              <wp:posOffset>-116840</wp:posOffset>
            </wp:positionV>
            <wp:extent cx="1913890" cy="2228215"/>
            <wp:effectExtent l="0" t="0" r="0" b="0"/>
            <wp:wrapSquare wrapText="largest"/>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3"/>
                    <a:stretch>
                      <a:fillRect/>
                    </a:stretch>
                  </pic:blipFill>
                  <pic:spPr bwMode="auto">
                    <a:xfrm>
                      <a:off x="0" y="0"/>
                      <a:ext cx="1913890" cy="2228215"/>
                    </a:xfrm>
                    <a:prstGeom prst="rect">
                      <a:avLst/>
                    </a:prstGeom>
                  </pic:spPr>
                </pic:pic>
              </a:graphicData>
            </a:graphic>
          </wp:anchor>
        </w:drawing>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4"/>
        <w:rPr>
          <w:rFonts w:eastAsia="ＭＳ ゴシック" w:cs="" w:cstheme="majorBidi" w:eastAsiaTheme="majorEastAsia"/>
          <w:b/>
          <w:b/>
          <w:bCs/>
          <w:i/>
          <w:i/>
          <w:iCs/>
          <w:color w:val="800000"/>
          <w:kern w:val="0"/>
          <w:sz w:val="22"/>
          <w:szCs w:val="22"/>
          <w:lang w:val="en-US" w:eastAsia="en-US" w:bidi="ar-SA"/>
        </w:rPr>
      </w:pPr>
      <w:r>
        <w:rPr>
          <w:rFonts w:eastAsia="ＭＳ ゴシック" w:cs="" w:cstheme="majorBidi" w:eastAsiaTheme="majorEastAsia"/>
          <w:b/>
          <w:bCs/>
          <w:i/>
          <w:iCs/>
          <w:color w:val="800000"/>
          <w:kern w:val="0"/>
          <w:sz w:val="22"/>
          <w:szCs w:val="22"/>
          <w:lang w:val="en-US" w:eastAsia="en-US" w:bidi="ar-SA"/>
        </w:rPr>
      </w:r>
    </w:p>
    <w:p>
      <w:pPr>
        <w:pStyle w:val="Heading4"/>
        <w:rPr>
          <w:rFonts w:eastAsia="ＭＳ ゴシック" w:cs="" w:cstheme="majorBidi" w:eastAsiaTheme="majorEastAsia"/>
          <w:b/>
          <w:b/>
          <w:bCs/>
          <w:i/>
          <w:i/>
          <w:iCs/>
          <w:color w:val="800000"/>
          <w:kern w:val="0"/>
          <w:sz w:val="22"/>
          <w:szCs w:val="22"/>
          <w:lang w:val="en-US" w:eastAsia="en-US" w:bidi="ar-SA"/>
        </w:rPr>
      </w:pPr>
      <w:r>
        <w:rPr>
          <w:rFonts w:eastAsia="ＭＳ ゴシック" w:cs="" w:cstheme="majorBidi" w:eastAsiaTheme="majorEastAsia"/>
          <w:b/>
          <w:bCs/>
          <w:i/>
          <w:iCs/>
          <w:color w:val="800000"/>
          <w:kern w:val="0"/>
          <w:sz w:val="22"/>
          <w:szCs w:val="22"/>
          <w:lang w:val="en-US" w:eastAsia="en-US" w:bidi="ar-SA"/>
        </w:rPr>
      </w:r>
    </w:p>
    <w:p>
      <w:pPr>
        <w:pStyle w:val="Heading4"/>
        <w:rPr/>
      </w:pPr>
      <w:r>
        <w:rPr>
          <w:rFonts w:eastAsia="ＭＳ ゴシック" w:cs="" w:cstheme="majorBidi" w:eastAsiaTheme="majorEastAsia"/>
          <w:b/>
          <w:bCs/>
          <w:i/>
          <w:iCs/>
          <w:color w:val="800000"/>
          <w:kern w:val="0"/>
          <w:sz w:val="22"/>
          <w:szCs w:val="22"/>
          <w:lang w:val="en-US" w:eastAsia="en-US" w:bidi="ar-SA"/>
        </w:rPr>
        <w:t>Using</w:t>
      </w:r>
      <w:r>
        <w:rPr/>
        <w:t xml:space="preserve"> a heat sink written in Modelica</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Modelica heat sinks require the FMI loader plugin to be interfaced to 3D-ICE, thus the plugin to be loaded is always </w:t>
      </w:r>
      <w:r>
        <w:rPr>
          <w:rFonts w:eastAsia="Calibri" w:cs="Courier New" w:ascii="Courier new" w:hAnsi="Courier new" w:eastAsiaTheme="minorHAnsi"/>
          <w:color w:val="00000A"/>
          <w:kern w:val="0"/>
          <w:sz w:val="18"/>
          <w:szCs w:val="18"/>
          <w:lang w:val="en-US" w:eastAsia="en-US" w:bidi="ar-SA"/>
        </w:rPr>
        <w:t>fmi_loader.so</w:t>
      </w:r>
      <w:r>
        <w:rPr>
          <w:rFonts w:eastAsia="Calibri" w:cs="Courier New" w:eastAsiaTheme="minorHAnsi"/>
          <w:color w:val="00000A"/>
          <w:kern w:val="0"/>
          <w:sz w:val="22"/>
          <w:szCs w:val="22"/>
          <w:lang w:val="en-US" w:eastAsia="en-US" w:bidi="ar-SA"/>
        </w:rPr>
        <w:t xml:space="preserve">. This is an example taken from  </w:t>
      </w:r>
      <w:r>
        <w:rPr>
          <w:rFonts w:eastAsia="Calibri" w:cs="Courier New" w:ascii="Courier new" w:hAnsi="Courier new" w:eastAsiaTheme="minorHAnsi"/>
          <w:color w:val="00000A"/>
          <w:kern w:val="0"/>
          <w:sz w:val="18"/>
          <w:szCs w:val="18"/>
          <w:lang w:val="en-US" w:eastAsia="en-US" w:bidi="ar-SA"/>
        </w:rPr>
        <w:t>templates/Modelica</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top pluggable heat sink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spreader length 20000 , width 20000 , height 1000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material COPPER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plugin "../../loaders/FMI/fmi_loader.so", "Heatsink.TestHeatsink_Interface3DICE 0.0 0.0";</w:t>
      </w:r>
    </w:p>
    <w:p>
      <w:pPr>
        <w:pStyle w:val="Normal"/>
        <w:spacing w:lineRule="auto" w:line="240" w:before="0" w:after="86"/>
        <w:jc w:val="both"/>
        <w:rPr>
          <w:rFonts w:ascii="Courier new" w:hAnsi="Courier new" w:eastAsia="Calibri" w:cs="Courier New" w:eastAsiaTheme="minorHAnsi"/>
          <w:color w:val="00000A"/>
          <w:kern w:val="0"/>
          <w:sz w:val="16"/>
          <w:szCs w:val="16"/>
          <w:lang w:val="en-US" w:eastAsia="en-US" w:bidi="ar-SA"/>
        </w:rPr>
      </w:pPr>
      <w:r>
        <w:rPr>
          <w:rFonts w:eastAsia="Calibri" w:cs="Courier New" w:eastAsiaTheme="minorHAnsi" w:ascii="Courier new" w:hAnsi="Courier new"/>
          <w:color w:val="00000A"/>
          <w:kern w:val="0"/>
          <w:sz w:val="16"/>
          <w:szCs w:val="16"/>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FMI loader interprets the first argument in the args string as the name of the top level model to load, in this case </w:t>
      </w:r>
      <w:r>
        <w:rPr>
          <w:rFonts w:eastAsia="Calibri" w:cs="Courier New" w:ascii="Courier new" w:hAnsi="Courier new" w:eastAsiaTheme="minorHAnsi"/>
          <w:color w:val="00000A"/>
          <w:kern w:val="0"/>
          <w:sz w:val="18"/>
          <w:szCs w:val="18"/>
          <w:lang w:val="en-US" w:eastAsia="en-US" w:bidi="ar-SA"/>
        </w:rPr>
        <w:t>Heatsink.TestHeatsink_Interface3DICE</w:t>
      </w:r>
      <w:r>
        <w:rPr>
          <w:rFonts w:eastAsia="Calibri" w:cs="Courier New" w:eastAsiaTheme="minorHAnsi"/>
          <w:color w:val="00000A"/>
          <w:kern w:val="0"/>
          <w:sz w:val="22"/>
          <w:szCs w:val="22"/>
          <w:lang w:val="en-US" w:eastAsia="en-US" w:bidi="ar-SA"/>
        </w:rPr>
        <w:t xml:space="preserve">. The name must be fully qualified including the package, and must be a model that implements the  </w:t>
      </w:r>
      <w:r>
        <w:rPr>
          <w:rFonts w:eastAsia="Calibri" w:cs="Courier New" w:ascii="DejaVu Sans Mono" w:hAnsi="DejaVu Sans Mono" w:eastAsiaTheme="minorHAnsi"/>
          <w:color w:val="000000"/>
          <w:kern w:val="0"/>
          <w:sz w:val="18"/>
          <w:szCs w:val="18"/>
          <w:lang w:val="en-US" w:eastAsia="en-US" w:bidi="ar-SA"/>
        </w:rPr>
        <w:t xml:space="preserve">Interface3DICE </w:t>
      </w:r>
      <w:r>
        <w:rPr>
          <w:rFonts w:eastAsia="Calibri" w:cs="Courier New" w:eastAsiaTheme="minorHAnsi"/>
          <w:color w:val="00000A"/>
          <w:kern w:val="0"/>
          <w:sz w:val="22"/>
          <w:szCs w:val="22"/>
          <w:lang w:val="en-US" w:eastAsia="en-US" w:bidi="ar-SA"/>
        </w:rPr>
        <w:t xml:space="preserve">interface. When the model to be loaded has been obtained by extending the 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interface, there will be two additional parameters that are the to determine how the heat sink is placed on top of the spreader. The first parameter is </w:t>
      </w: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 while the second one is</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A"/>
          <w:kern w:val="0"/>
          <w:sz w:val="22"/>
          <w:szCs w:val="22"/>
          <w:lang w:val="en-US" w:eastAsia="en-US" w:bidi="ar-SA"/>
        </w:rPr>
        <w:t xml:space="preserve">. These two parameter are in </w:t>
      </w:r>
      <w:r>
        <w:rPr>
          <w:rFonts w:eastAsia="Calibri" w:cs="Courier New" w:eastAsiaTheme="minorHAnsi"/>
          <w:color w:val="00000A"/>
          <w:kern w:val="0"/>
          <w:sz w:val="22"/>
          <w:szCs w:val="22"/>
          <w:u w:val="single"/>
          <w:lang w:val="en-US" w:eastAsia="en-US" w:bidi="ar-SA"/>
        </w:rPr>
        <w:t>meters</w:t>
      </w:r>
      <w:r>
        <w:rPr>
          <w:rFonts w:eastAsia="Calibri" w:cs="Courier New" w:eastAsiaTheme="minorHAnsi"/>
          <w:color w:val="00000A"/>
          <w:kern w:val="0"/>
          <w:sz w:val="22"/>
          <w:szCs w:val="22"/>
          <w:lang w:val="en-US" w:eastAsia="en-US" w:bidi="ar-SA"/>
        </w:rPr>
        <w:t>, not micrometers. Additional heat-sink specific parameters may be required depending on the heat sink model.</w:t>
      </w:r>
    </w:p>
    <w:p>
      <w:pPr>
        <w:pStyle w:val="Heading4"/>
        <w:rPr/>
      </w:pPr>
      <w:r>
        <w:rPr/>
        <w:t>Writing a heat sink in C++ or Python</w:t>
      </w:r>
    </w:p>
    <w:p>
      <w:pPr>
        <w:pStyle w:val="Normal"/>
        <w:jc w:val="both"/>
        <w:rPr/>
      </w:pPr>
      <w:r>
        <w:rPr>
          <w:rFonts w:cs="Courier New"/>
          <w:sz w:val="22"/>
          <w:szCs w:val="22"/>
        </w:rPr>
        <w:t xml:space="preserve">These languages do not provide a native way of solving differential equations. You need to </w:t>
      </w:r>
      <w:r>
        <w:rPr>
          <w:rFonts w:eastAsia="Calibri" w:cs="Courier New" w:eastAsiaTheme="minorHAnsi"/>
          <w:color w:val="00000A"/>
          <w:kern w:val="0"/>
          <w:sz w:val="22"/>
          <w:szCs w:val="22"/>
          <w:lang w:val="en-US" w:eastAsia="en-US" w:bidi="ar-SA"/>
        </w:rPr>
        <w:t>choose</w:t>
      </w:r>
      <w:r>
        <w:rPr>
          <w:rFonts w:cs="Courier New"/>
          <w:sz w:val="22"/>
          <w:szCs w:val="22"/>
        </w:rPr>
        <w:t xml:space="preserve"> appropriate libraries for that. Taking as example the C++ plugin template, modeling an heat 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std::string&amp;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eastAsia="Calibri" w:cs="Courier New" w:ascii="Courier new" w:hAnsi="Courier new" w:eastAsiaTheme="minorHAnsi"/>
          <w:color w:val="00000A"/>
          <w:kern w:val="0"/>
          <w:sz w:val="18"/>
          <w:szCs w:val="18"/>
          <w:lang w:val="en-US" w:eastAsia="en-US" w:bidi="ar-SA"/>
        </w:rPr>
        <w:t>void</w:t>
      </w:r>
      <w:r>
        <w:rPr>
          <w:rFonts w:cs="Courier New" w:ascii="Courier new" w:hAnsi="Courier new"/>
          <w:sz w:val="18"/>
          <w:szCs w:val="18"/>
        </w:rPr>
        <w:t xml:space="preserve">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 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 sink model. Its parameters are</w:t>
      </w:r>
    </w:p>
    <w:p>
      <w:pPr>
        <w:pStyle w:val="Normal"/>
        <w:numPr>
          <w:ilvl w:val="0"/>
          <w:numId w:val="33"/>
        </w:numPr>
        <w:spacing w:before="0" w:after="0"/>
        <w:jc w:val="both"/>
        <w:rPr>
          <w:rFonts w:ascii="Courier new" w:hAnsi="Courier new"/>
          <w:sz w:val="18"/>
          <w:szCs w:val="18"/>
        </w:rPr>
      </w:pPr>
      <w:bookmarkStart w:id="104"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104"/>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4"/>
        <w:rPr>
          <w:rFonts w:cs="Courier New"/>
          <w:sz w:val="22"/>
          <w:szCs w:val="22"/>
        </w:rPr>
      </w:pPr>
      <w:r>
        <w:rPr/>
        <w:t>The HS483 heat sink model</w:t>
      </w:r>
    </w:p>
    <w:p>
      <w:pPr>
        <w:pStyle w:val="Normal"/>
        <w:spacing w:before="0" w:after="0"/>
        <w:jc w:val="both"/>
        <w:rPr>
          <w:rFonts w:cs="Courier New"/>
          <w:sz w:val="22"/>
          <w:szCs w:val="22"/>
        </w:rPr>
      </w:pPr>
      <w:r>
        <w:rPr>
          <w:rFonts w:cs="Courier New"/>
          <w:sz w:val="22"/>
          <w:szCs w:val="22"/>
        </w:rPr>
        <w:t>HS483 is a Modelica model for a COTS HS483-ND heat sink, connected to a P14752-ND fan. Fan speed should be limited in the range from 1500 to 6000RPM (or 0, for natural convection). Power to be dissipated should be limited to less than 40W. 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HS483_P14752_ConstantFanSpeed_Interface3DICE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w:t>
      </w:r>
      <w:r>
        <w:rPr>
          <w:rFonts w:eastAsia="Calibri" w:cs="Courier New" w:eastAsiaTheme="minorHAnsi"/>
          <w:color w:val="000000"/>
          <w:kern w:val="0"/>
          <w:sz w:val="22"/>
          <w:szCs w:val="22"/>
          <w:lang w:val="en-US" w:eastAsia="en-US" w:bidi="ar-SA"/>
        </w:rPr>
        <w:t>: fan speed in RPM</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HS483_P14752_VariableFanSpeed_Interface3DICE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fanSpeedFilename</w:t>
      </w:r>
      <w:r>
        <w:rPr>
          <w:rFonts w:eastAsia="Calibri" w:cs="Courier New" w:eastAsiaTheme="minorHAnsi"/>
          <w:color w:val="000000"/>
          <w:kern w:val="0"/>
          <w:sz w:val="22"/>
          <w:szCs w:val="22"/>
          <w:lang w:val="en-US" w:eastAsia="en-US" w:bidi="ar-SA"/>
        </w:rPr>
        <w:t xml:space="preserve">: filename of a table with the fan speed as a function of the simulation time. The format of this table is the one of the Modelica </w:t>
      </w:r>
      <w:hyperlink r:id="rId34">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Heading4"/>
        <w:rPr>
          <w:rFonts w:cs="Courier New"/>
          <w:sz w:val="22"/>
          <w:szCs w:val="22"/>
        </w:rPr>
      </w:pPr>
      <w:r>
        <w:rPr/>
        <w:t>The cuplex_kryos_21606 heat sink model</w:t>
      </w:r>
    </w:p>
    <w:p>
      <w:pPr>
        <w:pStyle w:val="Normal"/>
        <w:spacing w:before="0" w:after="0"/>
        <w:jc w:val="both"/>
        <w:rPr>
          <w:rFonts w:cs="Courier New"/>
          <w:sz w:val="22"/>
          <w:szCs w:val="22"/>
        </w:rPr>
      </w:pPr>
      <w:r>
        <w:rPr>
          <w:rFonts w:cs="Courier New"/>
          <w:sz w:val="22"/>
          <w:szCs w:val="22"/>
        </w:rPr>
        <w:t>cuplex_kryos_21606 is a Modelica model for a COTS uplex kryos NEXT water block from aqua computer, part number 21606. The water block has been fitted in the range 0.06 to 0.12 l/min. Power to be dissipated should be limited to less than:</w:t>
      </w:r>
    </w:p>
    <w:p>
      <w:pPr>
        <w:pStyle w:val="Normal"/>
        <w:numPr>
          <w:ilvl w:val="0"/>
          <w:numId w:val="37"/>
        </w:numPr>
        <w:spacing w:before="0" w:after="0"/>
        <w:jc w:val="both"/>
        <w:rPr>
          <w:rFonts w:cs="Courier New"/>
          <w:sz w:val="22"/>
          <w:szCs w:val="22"/>
        </w:rPr>
      </w:pPr>
      <w:r>
        <w:rPr>
          <w:rFonts w:cs="Courier New"/>
          <w:sz w:val="22"/>
          <w:szCs w:val="22"/>
        </w:rPr>
        <w:t>20W, for a 0.06l/min water flow</w:t>
      </w:r>
    </w:p>
    <w:p>
      <w:pPr>
        <w:pStyle w:val="Normal"/>
        <w:numPr>
          <w:ilvl w:val="0"/>
          <w:numId w:val="37"/>
        </w:numPr>
        <w:spacing w:before="0" w:after="0"/>
        <w:jc w:val="both"/>
        <w:rPr>
          <w:rFonts w:cs="Courier New"/>
          <w:sz w:val="22"/>
          <w:szCs w:val="22"/>
        </w:rPr>
      </w:pPr>
      <w:r>
        <w:rPr>
          <w:rFonts w:cs="Courier New"/>
          <w:sz w:val="22"/>
          <w:szCs w:val="22"/>
        </w:rPr>
        <w:t>70W, for a 0.08l/min water flow</w:t>
      </w:r>
    </w:p>
    <w:p>
      <w:pPr>
        <w:pStyle w:val="Normal"/>
        <w:numPr>
          <w:ilvl w:val="0"/>
          <w:numId w:val="37"/>
        </w:numPr>
        <w:spacing w:before="0" w:after="0"/>
        <w:jc w:val="both"/>
        <w:rPr>
          <w:rFonts w:cs="Courier New"/>
          <w:sz w:val="22"/>
          <w:szCs w:val="22"/>
        </w:rPr>
      </w:pPr>
      <w:r>
        <w:rPr>
          <w:rFonts w:cs="Courier New"/>
          <w:sz w:val="22"/>
          <w:szCs w:val="22"/>
        </w:rPr>
        <w:t>80W, for higher water flow rates.</w:t>
      </w:r>
    </w:p>
    <w:p>
      <w:pPr>
        <w:pStyle w:val="Normal"/>
        <w:spacing w:before="0" w:after="0"/>
        <w:jc w:val="both"/>
        <w:rPr>
          <w:rFonts w:cs="Courier New"/>
          <w:sz w:val="22"/>
          <w:szCs w:val="22"/>
        </w:rPr>
      </w:pPr>
      <w:r>
        <w:rPr>
          <w:rFonts w:cs="Courier New"/>
          <w:sz w:val="22"/>
          <w:szCs w:val="22"/>
        </w:rPr>
        <w:t>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Cuplex21606_ConstantFlowRate_Interface3DICE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waterFlowRate</w:t>
      </w:r>
      <w:r>
        <w:rPr>
          <w:rFonts w:eastAsia="Calibri" w:cs="Courier New" w:eastAsiaTheme="minorHAnsi"/>
          <w:color w:val="000000"/>
          <w:kern w:val="0"/>
          <w:sz w:val="22"/>
          <w:szCs w:val="22"/>
          <w:lang w:val="en-US" w:eastAsia="en-US" w:bidi="ar-SA"/>
        </w:rPr>
        <w:t>: water flow rate in l/min</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Cuplex21606_VariableFlowRate_Interface3DICE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flowRateFilename</w:t>
      </w:r>
      <w:r>
        <w:rPr>
          <w:rFonts w:eastAsia="Calibri" w:cs="Courier New" w:eastAsiaTheme="minorHAnsi"/>
          <w:color w:val="000000"/>
          <w:kern w:val="0"/>
          <w:sz w:val="22"/>
          <w:szCs w:val="22"/>
          <w:lang w:val="en-US" w:eastAsia="en-US" w:bidi="ar-SA"/>
        </w:rPr>
        <w:t xml:space="preserve">: filename of a table with the water flow rate as a function of the simulation time. The format of this table is the one of the Modelica </w:t>
      </w:r>
      <w:hyperlink r:id="rId35">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cs="Courier New"/>
          <w:sz w:val="22"/>
          <w:szCs w:val="22"/>
        </w:rPr>
      </w:r>
    </w:p>
    <w:p>
      <w:pPr>
        <w:pStyle w:val="Heading1"/>
        <w:numPr>
          <w:ilvl w:val="0"/>
          <w:numId w:val="2"/>
        </w:numPr>
        <w:rPr/>
      </w:pPr>
      <w:bookmarkStart w:id="105" w:name="__RefHeading___Toc2995_2393532176"/>
      <w:bookmarkStart w:id="106" w:name="_Toc442446457"/>
      <w:bookmarkEnd w:id="105"/>
      <w:bookmarkEnd w:id="106"/>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 Section 9.</w:t>
      </w:r>
      <w:r>
        <w:br w:type="page"/>
      </w:r>
    </w:p>
    <w:p>
      <w:pPr>
        <w:pStyle w:val="Heading1"/>
        <w:numPr>
          <w:ilvl w:val="0"/>
          <w:numId w:val="2"/>
        </w:numPr>
        <w:rPr/>
      </w:pPr>
      <w:bookmarkStart w:id="107" w:name="__RefHeading___Toc2997_2393532176"/>
      <w:bookmarkStart w:id="108" w:name="_Toc442446458"/>
      <w:bookmarkEnd w:id="107"/>
      <w:bookmarkEnd w:id="108"/>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109" w:name="__RefHeading___Toc2999_2393532176"/>
      <w:bookmarkStart w:id="110" w:name="_Toc442446459"/>
      <w:bookmarkEnd w:id="109"/>
      <w:bookmarkEnd w:id="110"/>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36"/>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111" w:name="__RefHeading___Toc3001_2393532176"/>
      <w:bookmarkStart w:id="112" w:name="_Toc442446460"/>
      <w:bookmarkEnd w:id="111"/>
      <w:r>
        <w:rPr>
          <w:rFonts w:cs="Courier New" w:ascii="Courier New" w:hAnsi="Courier New"/>
        </w:rPr>
        <w:t>StackDescription_t</w:t>
      </w:r>
      <w:r>
        <w:rPr>
          <w:rFonts w:cs="Calibri" w:ascii="Calibri" w:hAnsi="Calibri" w:asciiTheme="minorHAnsi" w:cstheme="minorHAnsi" w:hAnsiTheme="minorHAnsi"/>
        </w:rPr>
        <w:t xml:space="preserve">, </w:t>
      </w:r>
      <w:bookmarkEnd w:id="112"/>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113" w:name="__RefHeading___Toc3003_2393532176"/>
      <w:bookmarkStart w:id="114" w:name="_Toc442446461"/>
      <w:bookmarkEnd w:id="113"/>
      <w:bookmarkEnd w:id="114"/>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115" w:name="__RefHeading___Toc3005_2393532176"/>
      <w:bookmarkStart w:id="116" w:name="_Toc442446462"/>
      <w:bookmarkEnd w:id="115"/>
      <w:bookmarkEnd w:id="116"/>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117" w:name="__RefHeading___Toc3007_2393532176"/>
      <w:bookmarkStart w:id="118" w:name="_Toc442446463"/>
      <w:bookmarkEnd w:id="117"/>
      <w:bookmarkEnd w:id="118"/>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val="04a0" w:noHBand="0" w:noVBand="1" w:firstColumn="1" w:lastRow="0" w:lastColumn="0" w:firstRow="1"/>
      </w:tblPr>
      <w:tblGrid>
        <w:gridCol w:w="3978"/>
        <w:gridCol w:w="1341"/>
        <w:gridCol w:w="4239"/>
      </w:tblGrid>
      <w:tr>
        <w:trPr/>
        <w:tc>
          <w:tcPr>
            <w:tcW w:w="3978" w:type="dxa"/>
            <w:tcBorders>
              <w:bottom w:val="nil"/>
              <w:right w:val="nil"/>
            </w:tcBorders>
            <w:shd w:fill="auto" w:val="clear"/>
          </w:tcPr>
          <w:p>
            <w:pPr>
              <w:pStyle w:val="Normal"/>
              <w:spacing w:lineRule="auto" w:line="240" w:before="0" w:after="0"/>
              <w:jc w:val="center"/>
              <w:rPr>
                <w:b/>
                <w:b/>
              </w:rPr>
            </w:pPr>
            <w:r>
              <w:rPr>
                <w:b/>
                <w:sz w:val="28"/>
              </w:rPr>
              <w:t>Client  10.0.0.1</w:t>
            </w:r>
          </w:p>
        </w:tc>
        <w:tc>
          <w:tcPr>
            <w:tcW w:w="1341" w:type="dxa"/>
            <w:tcBorders>
              <w:left w:val="nil"/>
              <w:bottom w:val="nil"/>
              <w:right w:val="nil"/>
            </w:tcBorders>
            <w:shd w:fill="auto" w:val="clear"/>
            <w:tcMar>
              <w:left w:w="113" w:type="dxa"/>
            </w:tcMar>
          </w:tcPr>
          <w:p>
            <w:pPr>
              <w:pStyle w:val="Normal"/>
              <w:spacing w:lineRule="auto" w:line="240" w:before="0" w:after="0"/>
              <w:rPr/>
            </w:pPr>
            <w:r>
              <w:rPr/>
            </w:r>
          </w:p>
        </w:tc>
        <w:tc>
          <w:tcPr>
            <w:tcW w:w="4239" w:type="dxa"/>
            <w:tcBorders>
              <w:left w:val="nil"/>
              <w:bottom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10">
                      <wp:simplePos x="0" y="0"/>
                      <wp:positionH relativeFrom="column">
                        <wp:posOffset>1816735</wp:posOffset>
                      </wp:positionH>
                      <wp:positionV relativeFrom="paragraph">
                        <wp:posOffset>62230</wp:posOffset>
                      </wp:positionV>
                      <wp:extent cx="1257935" cy="283845"/>
                      <wp:effectExtent l="0" t="0" r="0" b="0"/>
                      <wp:wrapNone/>
                      <wp:docPr id="35" name="Frame2"/>
                      <a:graphic xmlns:a="http://schemas.openxmlformats.org/drawingml/2006/main">
                        <a:graphicData uri="http://schemas.microsoft.com/office/word/2010/wordprocessingShape">
                          <wps:wsp>
                            <wps:cNvSpPr/>
                            <wps:spPr>
                              <a:xfrm>
                                <a:off x="0" y="0"/>
                                <a:ext cx="1257480" cy="28332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95pt;height:22.25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7">
                      <wp:simplePos x="0" y="0"/>
                      <wp:positionH relativeFrom="column">
                        <wp:posOffset>1419225</wp:posOffset>
                      </wp:positionH>
                      <wp:positionV relativeFrom="paragraph">
                        <wp:posOffset>153035</wp:posOffset>
                      </wp:positionV>
                      <wp:extent cx="1886585" cy="12065"/>
                      <wp:effectExtent l="0" t="0" r="0" b="0"/>
                      <wp:wrapNone/>
                      <wp:docPr id="37" name="Straight Connector 23"/>
                      <a:graphic xmlns:a="http://schemas.openxmlformats.org/drawingml/2006/main">
                        <a:graphicData uri="http://schemas.microsoft.com/office/word/2010/wordprocessingShape">
                          <wps:wsp>
                            <wps:cNvSpPr/>
                            <wps:spPr>
                              <a:xfrm>
                                <a:off x="0" y="0"/>
                                <a:ext cx="1886040" cy="43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12.05pt" to="260.2pt,12.35pt" ID="Straight Connector 23" stroked="t" style="position:absolute">
                      <v:stroke color="#4579b8"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11">
                      <wp:simplePos x="0" y="0"/>
                      <wp:positionH relativeFrom="column">
                        <wp:posOffset>2066290</wp:posOffset>
                      </wp:positionH>
                      <wp:positionV relativeFrom="paragraph">
                        <wp:posOffset>48260</wp:posOffset>
                      </wp:positionV>
                      <wp:extent cx="1316990" cy="450215"/>
                      <wp:effectExtent l="0" t="0" r="0" b="0"/>
                      <wp:wrapNone/>
                      <wp:docPr id="38" name="Frame3"/>
                      <a:graphic xmlns:a="http://schemas.openxmlformats.org/drawingml/2006/main">
                        <a:graphicData uri="http://schemas.microsoft.com/office/word/2010/wordprocessingShape">
                          <wps:wsp>
                            <wps:cNvSpPr/>
                            <wps:spPr>
                              <a:xfrm>
                                <a:off x="0" y="0"/>
                                <a:ext cx="1316520" cy="4496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3.6pt;height:35.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8">
                      <wp:simplePos x="0" y="0"/>
                      <wp:positionH relativeFrom="column">
                        <wp:posOffset>1410335</wp:posOffset>
                      </wp:positionH>
                      <wp:positionV relativeFrom="paragraph">
                        <wp:posOffset>59690</wp:posOffset>
                      </wp:positionV>
                      <wp:extent cx="1885950" cy="12065"/>
                      <wp:effectExtent l="0" t="0" r="0" b="0"/>
                      <wp:wrapNone/>
                      <wp:docPr id="40" name="Straight Connector 26"/>
                      <a:graphic xmlns:a="http://schemas.openxmlformats.org/drawingml/2006/main">
                        <a:graphicData uri="http://schemas.microsoft.com/office/word/2010/wordprocessingShape">
                          <wps:wsp>
                            <wps:cNvSpPr/>
                            <wps:spPr>
                              <a:xfrm>
                                <a:off x="0" y="0"/>
                                <a:ext cx="1885320" cy="25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4.7pt" to="259.45pt,4.85pt" ID="Straight Connector 26" stroked="t" style="position:absolute">
                      <v:stroke color="#4579b8"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0" distR="0" simplePos="0" locked="0" layoutInCell="1" allowOverlap="1" relativeHeight="4">
                      <wp:simplePos x="0" y="0"/>
                      <wp:positionH relativeFrom="column">
                        <wp:posOffset>2327275</wp:posOffset>
                      </wp:positionH>
                      <wp:positionV relativeFrom="paragraph">
                        <wp:posOffset>60960</wp:posOffset>
                      </wp:positionV>
                      <wp:extent cx="854075" cy="1221740"/>
                      <wp:effectExtent l="0" t="0" r="0" b="0"/>
                      <wp:wrapNone/>
                      <wp:docPr id="41" name="Curved Left Arrow 20"/>
                      <a:graphic xmlns:a="http://schemas.openxmlformats.org/drawingml/2006/main">
                        <a:graphicData uri="http://schemas.microsoft.com/office/word/2010/wordprocessingShape">
                          <wps:wsp>
                            <wps:cNvSpPr/>
                            <wps:spPr>
                              <a:xfrm>
                                <a:off x="0" y="0"/>
                                <a:ext cx="853560" cy="122112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5">
                      <wp:simplePos x="0" y="0"/>
                      <wp:positionH relativeFrom="column">
                        <wp:posOffset>1981835</wp:posOffset>
                      </wp:positionH>
                      <wp:positionV relativeFrom="paragraph">
                        <wp:posOffset>107315</wp:posOffset>
                      </wp:positionV>
                      <wp:extent cx="889000" cy="283845"/>
                      <wp:effectExtent l="0" t="0" r="0" b="0"/>
                      <wp:wrapNone/>
                      <wp:docPr id="42" name="Frame4"/>
                      <a:graphic xmlns:a="http://schemas.openxmlformats.org/drawingml/2006/main">
                        <a:graphicData uri="http://schemas.microsoft.com/office/word/2010/wordprocessingShape">
                          <wps:wsp>
                            <wps:cNvSpPr/>
                            <wps:spPr>
                              <a:xfrm>
                                <a:off x="0" y="0"/>
                                <a:ext cx="888480" cy="2833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9pt;height:22.2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12">
                      <wp:simplePos x="0" y="0"/>
                      <wp:positionH relativeFrom="column">
                        <wp:posOffset>1115695</wp:posOffset>
                      </wp:positionH>
                      <wp:positionV relativeFrom="paragraph">
                        <wp:posOffset>246380</wp:posOffset>
                      </wp:positionV>
                      <wp:extent cx="1292225" cy="283845"/>
                      <wp:effectExtent l="0" t="0" r="0" b="0"/>
                      <wp:wrapNone/>
                      <wp:docPr id="44" name="Frame5"/>
                      <a:graphic xmlns:a="http://schemas.openxmlformats.org/drawingml/2006/main">
                        <a:graphicData uri="http://schemas.microsoft.com/office/word/2010/wordprocessingShape">
                          <wps:wsp>
                            <wps:cNvSpPr/>
                            <wps:spPr>
                              <a:xfrm>
                                <a:off x="0" y="0"/>
                                <a:ext cx="1291680" cy="2833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1.65pt;height:22.2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6">
                      <wp:simplePos x="0" y="0"/>
                      <wp:positionH relativeFrom="column">
                        <wp:posOffset>86360</wp:posOffset>
                      </wp:positionH>
                      <wp:positionV relativeFrom="paragraph">
                        <wp:posOffset>116205</wp:posOffset>
                      </wp:positionV>
                      <wp:extent cx="889000" cy="283845"/>
                      <wp:effectExtent l="0" t="0" r="0" b="0"/>
                      <wp:wrapNone/>
                      <wp:docPr id="46" name="Frame6"/>
                      <a:graphic xmlns:a="http://schemas.openxmlformats.org/drawingml/2006/main">
                        <a:graphicData uri="http://schemas.microsoft.com/office/word/2010/wordprocessingShape">
                          <wps:wsp>
                            <wps:cNvSpPr/>
                            <wps:spPr>
                              <a:xfrm>
                                <a:off x="0" y="0"/>
                                <a:ext cx="888480" cy="2833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9pt;height:22.2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9">
                      <wp:simplePos x="0" y="0"/>
                      <wp:positionH relativeFrom="column">
                        <wp:posOffset>1417955</wp:posOffset>
                      </wp:positionH>
                      <wp:positionV relativeFrom="paragraph">
                        <wp:posOffset>85725</wp:posOffset>
                      </wp:positionV>
                      <wp:extent cx="1885950" cy="12065"/>
                      <wp:effectExtent l="0" t="0" r="0" b="0"/>
                      <wp:wrapNone/>
                      <wp:docPr id="48" name="Straight Connector 27"/>
                      <a:graphic xmlns:a="http://schemas.openxmlformats.org/drawingml/2006/main">
                        <a:graphicData uri="http://schemas.microsoft.com/office/word/2010/wordprocessingShape">
                          <wps:wsp>
                            <wps:cNvSpPr/>
                            <wps:spPr>
                              <a:xfrm>
                                <a:off x="0" y="0"/>
                                <a:ext cx="1885320" cy="432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6.75pt" to="260.05pt,7.05pt" ID="Straight Connector 27" stroked="t" style="position:absolute">
                      <v:stroke color="#4f81bd"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13">
                      <wp:simplePos x="0" y="0"/>
                      <wp:positionH relativeFrom="column">
                        <wp:posOffset>2041525</wp:posOffset>
                      </wp:positionH>
                      <wp:positionV relativeFrom="paragraph">
                        <wp:posOffset>-3175</wp:posOffset>
                      </wp:positionV>
                      <wp:extent cx="1126490" cy="283845"/>
                      <wp:effectExtent l="0" t="0" r="0" b="0"/>
                      <wp:wrapNone/>
                      <wp:docPr id="49" name="Frame7"/>
                      <a:graphic xmlns:a="http://schemas.openxmlformats.org/drawingml/2006/main">
                        <a:graphicData uri="http://schemas.microsoft.com/office/word/2010/wordprocessingShape">
                          <wps:wsp>
                            <wps:cNvSpPr/>
                            <wps:spPr>
                              <a:xfrm>
                                <a:off x="0" y="0"/>
                                <a:ext cx="1125720" cy="2833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8.6pt;height:22.2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119" w:name="__RefHeading___Toc3009_2393532176"/>
      <w:bookmarkStart w:id="120" w:name="_Toc442446464"/>
      <w:bookmarkEnd w:id="119"/>
      <w:r>
        <mc:AlternateContent>
          <mc:Choice Requires="wps">
            <w:drawing>
              <wp:anchor behindDoc="1" distT="0" distB="0" distL="0" distR="0" simplePos="0" locked="0" layoutInCell="1" allowOverlap="1" relativeHeight="17">
                <wp:simplePos x="0" y="0"/>
                <wp:positionH relativeFrom="column">
                  <wp:posOffset>3589655</wp:posOffset>
                </wp:positionH>
                <wp:positionV relativeFrom="paragraph">
                  <wp:posOffset>17780</wp:posOffset>
                </wp:positionV>
                <wp:extent cx="146685" cy="2612390"/>
                <wp:effectExtent l="0" t="0" r="0" b="0"/>
                <wp:wrapNone/>
                <wp:docPr id="51" name="Left Brace 290"/>
                <a:graphic xmlns:a="http://schemas.openxmlformats.org/drawingml/2006/main">
                  <a:graphicData uri="http://schemas.microsoft.com/office/word/2010/wordprocessingShape">
                    <wps:wsp>
                      <wps:cNvSpPr/>
                      <wps:spPr>
                        <a:xfrm rot="16200000">
                          <a:off x="0" y="0"/>
                          <a:ext cx="146160" cy="261180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120"/>
      <w:r>
        <w:rPr>
          <w:rFonts w:cs="Courier New" w:ascii="Courier New" w:hAnsi="Courier New"/>
        </w:rPr>
        <w:t>etworkMessage</w:t>
      </w:r>
    </w:p>
    <w:p>
      <w:pPr>
        <w:pStyle w:val="Normal"/>
        <w:jc w:val="both"/>
        <w:rPr/>
      </w:pPr>
      <w:r>
        <mc:AlternateContent>
          <mc:Choice Requires="wps">
            <w:drawing>
              <wp:anchor behindDoc="1" distT="0" distB="0" distL="0" distR="0" simplePos="0" locked="0" layoutInCell="1" allowOverlap="1" relativeHeight="14">
                <wp:simplePos x="0" y="0"/>
                <wp:positionH relativeFrom="column">
                  <wp:posOffset>1431925</wp:posOffset>
                </wp:positionH>
                <wp:positionV relativeFrom="paragraph">
                  <wp:posOffset>257175</wp:posOffset>
                </wp:positionV>
                <wp:extent cx="146685" cy="1656080"/>
                <wp:effectExtent l="0" t="0" r="0" b="0"/>
                <wp:wrapNone/>
                <wp:docPr id="52" name="Left Brace 24"/>
                <a:graphic xmlns:a="http://schemas.openxmlformats.org/drawingml/2006/main">
                  <a:graphicData uri="http://schemas.microsoft.com/office/word/2010/wordprocessingShape">
                    <wps:wsp>
                      <wps:cNvSpPr/>
                      <wps:spPr>
                        <a:xfrm rot="16200000">
                          <a:off x="0" y="0"/>
                          <a:ext cx="146160" cy="165528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val="04a0" w:noHBand="0" w:noVBand="1" w:firstColumn="1" w:lastRow="0" w:lastColumn="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0" distR="0" simplePos="0" locked="0" layoutInCell="1" allowOverlap="1" relativeHeight="15">
                <wp:simplePos x="0" y="0"/>
                <wp:positionH relativeFrom="column">
                  <wp:posOffset>929005</wp:posOffset>
                </wp:positionH>
                <wp:positionV relativeFrom="paragraph">
                  <wp:posOffset>175260</wp:posOffset>
                </wp:positionV>
                <wp:extent cx="1148080" cy="241300"/>
                <wp:effectExtent l="0" t="0" r="0" b="0"/>
                <wp:wrapNone/>
                <wp:docPr id="53" name="Frame9"/>
                <a:graphic xmlns:a="http://schemas.openxmlformats.org/drawingml/2006/main">
                  <a:graphicData uri="http://schemas.microsoft.com/office/word/2010/wordprocessingShape">
                    <wps:wsp>
                      <wps:cNvSpPr/>
                      <wps:spPr>
                        <a:xfrm>
                          <a:off x="0" y="0"/>
                          <a:ext cx="1147320" cy="2408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90.3pt;height:18.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3086100</wp:posOffset>
                </wp:positionH>
                <wp:positionV relativeFrom="paragraph">
                  <wp:posOffset>170815</wp:posOffset>
                </wp:positionV>
                <wp:extent cx="1147445" cy="241300"/>
                <wp:effectExtent l="0" t="0" r="0" b="0"/>
                <wp:wrapNone/>
                <wp:docPr id="55" name="Frame8"/>
                <a:graphic xmlns:a="http://schemas.openxmlformats.org/drawingml/2006/main">
                  <a:graphicData uri="http://schemas.microsoft.com/office/word/2010/wordprocessingShape">
                    <wps:wsp>
                      <wps:cNvSpPr/>
                      <wps:spPr>
                        <a:xfrm>
                          <a:off x="0" y="0"/>
                          <a:ext cx="1146960" cy="2408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90.25pt;height:18.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121" w:name="__RefHeading___Toc3011_2393532176"/>
      <w:bookmarkStart w:id="122" w:name="_Toc442446465"/>
      <w:bookmarkEnd w:id="121"/>
      <w:bookmarkEnd w:id="122"/>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123" w:name="__RefHeading___Toc3013_2393532176"/>
      <w:bookmarkStart w:id="124" w:name="_Toc442446466"/>
      <w:bookmarkEnd w:id="123"/>
      <w:bookmarkEnd w:id="124"/>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7">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125" w:name="__RefHeading___Toc3015_2393532176"/>
      <w:bookmarkStart w:id="126" w:name="_Toc442446467"/>
      <w:bookmarkEnd w:id="125"/>
      <w:bookmarkEnd w:id="126"/>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8">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9"/>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ourier New">
    <w:charset w:val="01"/>
    <w:family w:val="roman"/>
    <w:pitch w:val="variable"/>
  </w:font>
  <w:font w:name="Courier new">
    <w:charset w:val="01"/>
    <w:family w:val="roman"/>
    <w:pitch w:val="variable"/>
  </w:font>
  <w:font w:name="DejaVu Sans Mono">
    <w:charset w:val="01"/>
    <w:family w:val="roman"/>
    <w:pitch w:val="variable"/>
  </w:font>
  <w:font w:name="Couruer new">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27420983"/>
    </w:sdtPr>
    <w:sdtContent>
      <w:p>
        <w:pPr>
          <w:pStyle w:val="Footer"/>
          <w:jc w:val="center"/>
          <w:rPr/>
        </w:pPr>
        <w:r>
          <w:rPr/>
          <w:fldChar w:fldCharType="begin"/>
        </w:r>
        <w:r>
          <w:rPr/>
          <w:instrText> PAGE </w:instrText>
        </w:r>
        <w:r>
          <w:rPr/>
          <w:fldChar w:fldCharType="separate"/>
        </w:r>
        <w:r>
          <w:rPr/>
          <w:t>50</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rStyle w:val="FootnoteCharacters"/>
        </w:rPr>
        <w:t xml:space="preserve"> </w:t>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 xml:space="preserve"> </w:t>
      </w:r>
      <w:r>
        <w:rPr/>
        <w:t>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 xml:space="preserve"> </w:t>
      </w:r>
      <w:r>
        <w:rPr/>
        <w:t>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 xml:space="preserve"> </w:t>
      </w:r>
      <w:r>
        <w:rPr/>
        <w:t>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921"/>
        </w:tabs>
        <w:ind w:left="921" w:hanging="360"/>
      </w:pPr>
      <w:rPr>
        <w:rFonts w:ascii="Symbol" w:hAnsi="Symbol" w:cs="Symbol" w:hint="default"/>
      </w:rPr>
    </w:lvl>
    <w:lvl w:ilvl="1">
      <w:start w:val="1"/>
      <w:numFmt w:val="bullet"/>
      <w:lvlText w:val="◦"/>
      <w:lvlJc w:val="left"/>
      <w:pPr>
        <w:tabs>
          <w:tab w:val="num" w:pos="1281"/>
        </w:tabs>
        <w:ind w:left="1281" w:hanging="360"/>
      </w:pPr>
      <w:rPr>
        <w:rFonts w:ascii="OpenSymbol" w:hAnsi="OpenSymbol" w:cs="OpenSymbol" w:hint="default"/>
      </w:rPr>
    </w:lvl>
    <w:lvl w:ilvl="2">
      <w:start w:val="1"/>
      <w:numFmt w:val="bullet"/>
      <w:lvlText w:val="▪"/>
      <w:lvlJc w:val="left"/>
      <w:pPr>
        <w:tabs>
          <w:tab w:val="num" w:pos="1641"/>
        </w:tabs>
        <w:ind w:left="1641" w:hanging="360"/>
      </w:pPr>
      <w:rPr>
        <w:rFonts w:ascii="OpenSymbol" w:hAnsi="OpenSymbol" w:cs="OpenSymbol" w:hint="default"/>
      </w:rPr>
    </w:lvl>
    <w:lvl w:ilvl="3">
      <w:start w:val="1"/>
      <w:numFmt w:val="bullet"/>
      <w:lvlText w:val=""/>
      <w:lvlJc w:val="left"/>
      <w:pPr>
        <w:tabs>
          <w:tab w:val="num" w:pos="2001"/>
        </w:tabs>
        <w:ind w:left="2001" w:hanging="360"/>
      </w:pPr>
      <w:rPr>
        <w:rFonts w:ascii="Symbol" w:hAnsi="Symbol" w:cs="Symbol" w:hint="default"/>
      </w:rPr>
    </w:lvl>
    <w:lvl w:ilvl="4">
      <w:start w:val="1"/>
      <w:numFmt w:val="bullet"/>
      <w:lvlText w:val="◦"/>
      <w:lvlJc w:val="left"/>
      <w:pPr>
        <w:tabs>
          <w:tab w:val="num" w:pos="2361"/>
        </w:tabs>
        <w:ind w:left="2361" w:hanging="360"/>
      </w:pPr>
      <w:rPr>
        <w:rFonts w:ascii="OpenSymbol" w:hAnsi="OpenSymbol" w:cs="OpenSymbol" w:hint="default"/>
      </w:rPr>
    </w:lvl>
    <w:lvl w:ilvl="5">
      <w:start w:val="1"/>
      <w:numFmt w:val="bullet"/>
      <w:lvlText w:val="▪"/>
      <w:lvlJc w:val="left"/>
      <w:pPr>
        <w:tabs>
          <w:tab w:val="num" w:pos="2721"/>
        </w:tabs>
        <w:ind w:left="2721" w:hanging="360"/>
      </w:pPr>
      <w:rPr>
        <w:rFonts w:ascii="OpenSymbol" w:hAnsi="OpenSymbol" w:cs="OpenSymbol" w:hint="default"/>
      </w:rPr>
    </w:lvl>
    <w:lvl w:ilvl="6">
      <w:start w:val="1"/>
      <w:numFmt w:val="bullet"/>
      <w:lvlText w:val=""/>
      <w:lvlJc w:val="left"/>
      <w:pPr>
        <w:tabs>
          <w:tab w:val="num" w:pos="3081"/>
        </w:tabs>
        <w:ind w:left="3081" w:hanging="360"/>
      </w:pPr>
      <w:rPr>
        <w:rFonts w:ascii="Symbol" w:hAnsi="Symbol" w:cs="Symbol" w:hint="default"/>
      </w:rPr>
    </w:lvl>
    <w:lvl w:ilvl="7">
      <w:start w:val="1"/>
      <w:numFmt w:val="bullet"/>
      <w:lvlText w:val="◦"/>
      <w:lvlJc w:val="left"/>
      <w:pPr>
        <w:tabs>
          <w:tab w:val="num" w:pos="3441"/>
        </w:tabs>
        <w:ind w:left="3441" w:hanging="360"/>
      </w:pPr>
      <w:rPr>
        <w:rFonts w:ascii="OpenSymbol" w:hAnsi="OpenSymbol" w:cs="OpenSymbol" w:hint="default"/>
      </w:rPr>
    </w:lvl>
    <w:lvl w:ilvl="8">
      <w:start w:val="1"/>
      <w:numFmt w:val="bullet"/>
      <w:lvlText w:val="▪"/>
      <w:lvlJc w:val="left"/>
      <w:pPr>
        <w:tabs>
          <w:tab w:val="num" w:pos="3801"/>
        </w:tabs>
        <w:ind w:left="3801" w:hanging="360"/>
      </w:pPr>
      <w:rPr>
        <w:rFonts w:ascii="OpenSymbol" w:hAnsi="OpenSymbol" w:cs="OpenSymbol" w:hint="default"/>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30"/>
  <w:defaultTabStop w:val="720"/>
  <w:autoHyphenation w:val="true"/>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Hyper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VisitedInternet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suppressAutoHyphens w:val="true"/>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andFooter">
    <w:name w:val="Header and Footer"/>
    <w:basedOn w:val="Normal"/>
    <w:qFormat/>
    <w:pPr/>
    <w:rPr/>
  </w:style>
  <w:style w:type="paragraph" w:styleId="Header">
    <w:name w:val="Header"/>
    <w:basedOn w:val="Normal"/>
    <w:link w:val="KopfzeileZchn"/>
    <w:uiPriority w:val="99"/>
    <w:unhideWhenUsed/>
    <w:rsid w:val="008c4e99"/>
    <w:pPr>
      <w:tabs>
        <w:tab w:val="clear" w:pos="720"/>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lear" w:pos="720"/>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hyperlink" Target="https://www.openmodelica.org/"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hyperlink" Target="https://build.openmodelica.org/Documentation/Modelica.Blocks.Sources.CombiTimeTable.html" TargetMode="External"/><Relationship Id="rId35" Type="http://schemas.openxmlformats.org/officeDocument/2006/relationships/hyperlink" Target="https://build.openmodelica.org/Documentation/Modelica.Blocks.Sources.CombiTimeTable.html" TargetMode="External"/><Relationship Id="rId36" Type="http://schemas.openxmlformats.org/officeDocument/2006/relationships/image" Target="media/image29.png"/><Relationship Id="rId37" Type="http://schemas.openxmlformats.org/officeDocument/2006/relationships/hyperlink" Target="http://accellera.org/downloads/standards/systemc" TargetMode="External"/><Relationship Id="rId38" Type="http://schemas.openxmlformats.org/officeDocument/2006/relationships/hyperlink" Target="http://www.stack.nl/~dimitri/doxygen/" TargetMode="External"/><Relationship Id="rId39" Type="http://schemas.openxmlformats.org/officeDocument/2006/relationships/footer" Target="footer1.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Relationship Id="rId46"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Application>LibreOffice/6.4.6.2$Linux_X86_64 LibreOffice_project/40$Build-2</Application>
  <Pages>51</Pages>
  <Words>14082</Words>
  <Characters>74734</Characters>
  <CharactersWithSpaces>88214</CharactersWithSpaces>
  <Paragraphs>933</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2021-01-28T21:53:08Z</dcterms:modified>
  <cp:revision>232</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