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 — Verification Planning and Verification Environment</w:t>
      </w:r>
    </w:p>
    <w:p>
      <w:r>
        <w:t>ALU class hierarchy and CPU integration | SystemVerilog</w:t>
      </w:r>
    </w:p>
    <w:p>
      <w:r>
        <w:t>Verification planning and environment definition, based on the supplied ALU assignment and Phase 1 records.</w:t>
      </w:r>
    </w:p>
    <w:p>
      <w:pPr>
        <w:pStyle w:val="Heading1"/>
      </w:pPr>
      <w:r>
        <w:t>1. Verification plan</w:t>
      </w:r>
    </w:p>
    <w:p>
      <w:r>
        <w:t>Purpose: define the scope, strategy, responsibilities, priorities and measures for checking the observable ALU/CPU behavior. All expected outputs are derived from the supplied requirements and operation records.</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664"/>
            <w:vAlign w:val="center"/>
          </w:tcPr>
          <w:p>
            <w:pPr>
              <w:spacing w:after="0"/>
            </w:pPr>
            <w:r>
              <w:rPr>
                <w:sz w:val="16"/>
              </w:rPr>
              <w:t>Field</w:t>
            </w:r>
          </w:p>
        </w:tc>
        <w:tc>
          <w:tcPr>
            <w:tcW w:type="dxa" w:w="6912"/>
            <w:vAlign w:val="center"/>
          </w:tcPr>
          <w:p>
            <w:pPr>
              <w:spacing w:after="0"/>
            </w:pPr>
            <w:r>
              <w:rPr>
                <w:sz w:val="16"/>
              </w:rPr>
              <w:t>Description</w:t>
            </w:r>
          </w:p>
        </w:tc>
      </w:tr>
      <w:tr>
        <w:trPr>
          <w:cantSplit/>
        </w:trPr>
        <w:tc>
          <w:tcPr>
            <w:tcW w:type="dxa" w:w="2664"/>
            <w:vAlign w:val="center"/>
          </w:tcPr>
          <w:p>
            <w:pPr>
              <w:spacing w:after="0"/>
            </w:pPr>
            <w:r>
              <w:rPr>
                <w:sz w:val="16"/>
              </w:rPr>
              <w:t>Verification scope</w:t>
            </w:r>
          </w:p>
        </w:tc>
        <w:tc>
          <w:tcPr>
            <w:tcW w:type="dxa" w:w="6912"/>
            <w:vAlign w:val="center"/>
          </w:tcPr>
          <w:p>
            <w:pPr>
              <w:spacing w:after="0"/>
            </w:pPr>
            <w:r>
              <w:rPr>
                <w:sz w:val="16"/>
              </w:rPr>
              <w:t>14 ALU opcode values; CPU calculation and reset; class/interface organization.</w:t>
            </w:r>
          </w:p>
        </w:tc>
      </w:tr>
      <w:tr>
        <w:trPr>
          <w:cantSplit/>
        </w:trPr>
        <w:tc>
          <w:tcPr>
            <w:tcW w:type="dxa" w:w="2664"/>
            <w:vAlign w:val="center"/>
          </w:tcPr>
          <w:p>
            <w:pPr>
              <w:spacing w:after="0"/>
            </w:pPr>
            <w:r>
              <w:rPr>
                <w:sz w:val="16"/>
              </w:rPr>
              <w:t>Verification method</w:t>
            </w:r>
          </w:p>
        </w:tc>
        <w:tc>
          <w:tcPr>
            <w:tcW w:type="dxa" w:w="6912"/>
            <w:vAlign w:val="center"/>
          </w:tcPr>
          <w:p>
            <w:pPr>
              <w:spacing w:after="0"/>
            </w:pPr>
            <w:r>
              <w:rPr>
                <w:sz w:val="16"/>
              </w:rPr>
              <w:t>Directed and randomized simulation, independent reference model, result comparisons, static class/package review.</w:t>
            </w:r>
          </w:p>
        </w:tc>
      </w:tr>
      <w:tr>
        <w:trPr>
          <w:cantSplit/>
        </w:trPr>
        <w:tc>
          <w:tcPr>
            <w:tcW w:type="dxa" w:w="2664"/>
            <w:vAlign w:val="center"/>
          </w:tcPr>
          <w:p>
            <w:pPr>
              <w:spacing w:after="0"/>
            </w:pPr>
            <w:r>
              <w:rPr>
                <w:sz w:val="16"/>
              </w:rPr>
              <w:t>Verification priorities</w:t>
            </w:r>
          </w:p>
        </w:tc>
        <w:tc>
          <w:tcPr>
            <w:tcW w:type="dxa" w:w="6912"/>
            <w:vAlign w:val="center"/>
          </w:tcPr>
          <w:p>
            <w:pPr>
              <w:spacing w:after="0"/>
            </w:pPr>
            <w:r>
              <w:rPr>
                <w:sz w:val="16"/>
              </w:rPr>
              <w:t>First check defined AND/OR/XOR behavior; add arithmetic, shifts, rotation and reset checks after behavior clarification.</w:t>
            </w:r>
          </w:p>
        </w:tc>
      </w:tr>
      <w:tr>
        <w:trPr>
          <w:cantSplit/>
        </w:trPr>
        <w:tc>
          <w:tcPr>
            <w:tcW w:type="dxa" w:w="2664"/>
            <w:vAlign w:val="center"/>
          </w:tcPr>
          <w:p>
            <w:pPr>
              <w:spacing w:after="0"/>
            </w:pPr>
            <w:r>
              <w:rPr>
                <w:sz w:val="16"/>
              </w:rPr>
              <w:t>Dependencies</w:t>
            </w:r>
          </w:p>
        </w:tc>
        <w:tc>
          <w:tcPr>
            <w:tcW w:type="dxa" w:w="6912"/>
            <w:vAlign w:val="center"/>
          </w:tcPr>
          <w:p>
            <w:pPr>
              <w:spacing w:after="0"/>
            </w:pPr>
            <w:r>
              <w:rPr>
                <w:sz w:val="16"/>
              </w:rPr>
              <w:t>Accurate method/enum declarations, Phase 1 resolutions and a connectable CPU class.</w:t>
            </w:r>
          </w:p>
        </w:tc>
      </w:tr>
      <w:tr>
        <w:trPr>
          <w:cantSplit/>
        </w:trPr>
        <w:tc>
          <w:tcPr>
            <w:tcW w:type="dxa" w:w="2664"/>
            <w:vAlign w:val="center"/>
          </w:tcPr>
          <w:p>
            <w:pPr>
              <w:spacing w:after="0"/>
            </w:pPr>
            <w:r>
              <w:rPr>
                <w:sz w:val="16"/>
              </w:rPr>
              <w:t>Results/evidence</w:t>
            </w:r>
          </w:p>
        </w:tc>
        <w:tc>
          <w:tcPr>
            <w:tcW w:type="dxa" w:w="6912"/>
            <w:vAlign w:val="center"/>
          </w:tcPr>
          <w:p>
            <w:pPr>
              <w:spacing w:after="0"/>
            </w:pPr>
            <w:r>
              <w:rPr>
                <w:sz w:val="16"/>
              </w:rPr>
              <w:t>Compile reports, test logs, passed/failed checks, coverage summaries and open-issue dispositions.</w:t>
            </w:r>
          </w:p>
        </w:tc>
      </w:tr>
    </w:tbl>
    <w:p/>
    <w:p>
      <w:pPr>
        <w:pStyle w:val="Heading1"/>
      </w:pPr>
      <w:r>
        <w:t>2. Verification requirements and traceability</w:t>
      </w:r>
    </w:p>
    <w:p>
      <w:r>
        <w:t>Purpose: map each Phase 1 requirement and candidate test to a verification item, method, owner-independent status and recorded evidence.</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verification_matrix.csv</w:t>
            </w:r>
          </w:p>
        </w:tc>
        <w:tc>
          <w:tcPr>
            <w:tcW w:type="dxa" w:w="6696"/>
            <w:vAlign w:val="center"/>
          </w:tcPr>
          <w:p>
            <w:pPr>
              <w:spacing w:after="0"/>
            </w:pPr>
            <w:r>
              <w:rPr>
                <w:sz w:val="16"/>
              </w:rPr>
              <w:t>VI ID; Phase 1 TC ID; requirement IDs; objective; method; question dependencies; plan status; implementation status; evidence</w:t>
            </w:r>
          </w:p>
        </w:tc>
      </w:tr>
      <w:tr>
        <w:trPr>
          <w:cantSplit/>
        </w:trPr>
        <w:tc>
          <w:tcPr>
            <w:tcW w:type="dxa" w:w="2880"/>
            <w:vAlign w:val="center"/>
          </w:tcPr>
          <w:p>
            <w:pPr>
              <w:spacing w:after="0"/>
            </w:pPr>
            <w:r>
              <w:rPr>
                <w:sz w:val="16"/>
              </w:rPr>
              <w:t>traceability.csv</w:t>
            </w:r>
          </w:p>
        </w:tc>
        <w:tc>
          <w:tcPr>
            <w:tcW w:type="dxa" w:w="6696"/>
            <w:vAlign w:val="center"/>
          </w:tcPr>
          <w:p>
            <w:pPr>
              <w:spacing w:after="0"/>
            </w:pPr>
            <w:r>
              <w:rPr>
                <w:sz w:val="16"/>
              </w:rPr>
              <w:t>VTR ID; source IDs; Phase 3 ID; artifact; status</w:t>
            </w:r>
          </w:p>
        </w:tc>
      </w:tr>
    </w:tbl>
    <w:p/>
    <w:p>
      <w:pPr>
        <w:pStyle w:val="Heading1"/>
      </w:pPr>
      <w:r>
        <w:t>3. Directed test scenarios</w:t>
      </w:r>
    </w:p>
    <w:p>
      <w:r>
        <w:t>Purpose: describe applied operands and expected results for nominal, boundary and corner cases. The 42 planned scenarios span all 14 assigned opcodes; only the bitwise checks have an enabled numeric oracle.</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directed_scenarios.csv</w:t>
            </w:r>
          </w:p>
        </w:tc>
        <w:tc>
          <w:tcPr>
            <w:tcW w:type="dxa" w:w="6696"/>
            <w:vAlign w:val="center"/>
          </w:tcPr>
          <w:p>
            <w:pPr>
              <w:spacing w:after="0"/>
            </w:pPr>
            <w:r>
              <w:rPr>
                <w:sz w:val="16"/>
              </w:rPr>
              <w:t>Scenario ID; operation ID; opcode; scenario type; A/B values; expected result and source; related questions; status; execution test</w:t>
            </w:r>
          </w:p>
        </w:tc>
      </w:tr>
    </w:tbl>
    <w:p/>
    <w:p>
      <w:pPr>
        <w:pStyle w:val="Heading1"/>
      </w:pPr>
      <w:r>
        <w:t>4. Constrained-random testing strategy</w:t>
      </w:r>
    </w:p>
    <w:p>
      <w:r>
        <w:t>Purpose: explore operand combinations using repeatable stimuli while excluding operations with unresolved expected behavior.</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random_strategy.csv</w:t>
            </w:r>
          </w:p>
        </w:tc>
        <w:tc>
          <w:tcPr>
            <w:tcW w:type="dxa" w:w="6696"/>
            <w:vAlign w:val="center"/>
          </w:tcPr>
          <w:p>
            <w:pPr>
              <w:spacing w:after="0"/>
            </w:pPr>
            <w:r>
              <w:rPr>
                <w:sz w:val="16"/>
              </w:rPr>
              <w:t>RS ID; source IDs; stimulus; constraints; independent oracle; repetitions; status</w:t>
            </w:r>
          </w:p>
        </w:tc>
      </w:tr>
    </w:tbl>
    <w:p/>
    <w:p>
      <w:pPr>
        <w:pStyle w:val="Heading1"/>
      </w:pPr>
      <w:r>
        <w:t>5. Coverage plan</w:t>
      </w:r>
    </w:p>
    <w:p>
      <w:r>
        <w:t>Purpose: record observable operation and scenario coverage targets; planned coverage must not be reported as achieved until the simulator produces checked results.</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coverage_plan.csv</w:t>
            </w:r>
          </w:p>
        </w:tc>
        <w:tc>
          <w:tcPr>
            <w:tcW w:type="dxa" w:w="6696"/>
            <w:vAlign w:val="center"/>
          </w:tcPr>
          <w:p>
            <w:pPr>
              <w:spacing w:after="0"/>
            </w:pPr>
            <w:r>
              <w:rPr>
                <w:sz w:val="16"/>
              </w:rPr>
              <w:t>CI ID; source ID; coverage item; bins; goal; status; question IDs</w:t>
            </w:r>
          </w:p>
        </w:tc>
      </w:tr>
    </w:tbl>
    <w:p/>
    <w:p>
      <w:pPr>
        <w:pStyle w:val="Heading1"/>
      </w:pPr>
      <w:r>
        <w:t>6. Checker plan</w:t>
      </w:r>
    </w:p>
    <w:p>
      <w:r>
        <w:t>Purpose: compare DUT behavior to specification-derived expectations, without relying on internal implementation details. Undefined results are blocked rather than counted as passing.</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checker_plan.csv</w:t>
            </w:r>
          </w:p>
        </w:tc>
        <w:tc>
          <w:tcPr>
            <w:tcW w:type="dxa" w:w="6696"/>
            <w:vAlign w:val="center"/>
          </w:tcPr>
          <w:p>
            <w:pPr>
              <w:spacing w:after="0"/>
            </w:pPr>
            <w:r>
              <w:rPr>
                <w:sz w:val="16"/>
              </w:rPr>
              <w:t>CK ID; source IDs; checking mechanism; trigger; pass criteria; status</w:t>
            </w:r>
          </w:p>
        </w:tc>
      </w:tr>
    </w:tbl>
    <w:p/>
    <w:p>
      <w:pPr>
        <w:pStyle w:val="Heading1"/>
      </w:pPr>
      <w:r>
        <w:t>7. Verification completion criteria</w:t>
      </w:r>
    </w:p>
    <w:p>
      <w:r>
        <w:t>The verification run is eligible for sign-off only after the released DUT API is integrated, the approved test cases execute without unexplained mismatches, agreed coverage targets are met or waived, and remaining blocked cases are documented. The current package is not a completed regression.</w:t>
      </w:r>
    </w:p>
    <w:p>
      <w:pPr>
        <w:pStyle w:val="Heading1"/>
      </w:pPr>
      <w:r>
        <w:t>8. Open issues</w:t>
      </w:r>
    </w:p>
    <w:p>
      <w:r>
        <w:t>Purpose: track unresolved behavior, interface details, and associated test dependencies. The existing Phase 1 Q-001 through Q-018 references are preserved rather than rewritten as new requirements.</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Output</w:t>
            </w:r>
          </w:p>
        </w:tc>
        <w:tc>
          <w:tcPr>
            <w:tcW w:type="dxa" w:w="6696"/>
            <w:vAlign w:val="center"/>
          </w:tcPr>
          <w:p>
            <w:pPr>
              <w:spacing w:after="0"/>
            </w:pPr>
            <w:r>
              <w:rPr>
                <w:sz w:val="16"/>
              </w:rPr>
              <w:t>Fixed fields</w:t>
            </w:r>
          </w:p>
        </w:tc>
      </w:tr>
      <w:tr>
        <w:trPr>
          <w:cantSplit/>
        </w:trPr>
        <w:tc>
          <w:tcPr>
            <w:tcW w:type="dxa" w:w="2880"/>
            <w:vAlign w:val="center"/>
          </w:tcPr>
          <w:p>
            <w:pPr>
              <w:spacing w:after="0"/>
            </w:pPr>
            <w:r>
              <w:rPr>
                <w:sz w:val="16"/>
              </w:rPr>
              <w:t>open_questions.csv</w:t>
            </w:r>
          </w:p>
        </w:tc>
        <w:tc>
          <w:tcPr>
            <w:tcW w:type="dxa" w:w="6696"/>
            <w:vAlign w:val="center"/>
          </w:tcPr>
          <w:p>
            <w:pPr>
              <w:spacing w:after="0"/>
            </w:pPr>
            <w:r>
              <w:rPr>
                <w:sz w:val="16"/>
              </w:rPr>
              <w:t>Question ID; question; Phase 1 status; Phase 3 impact; disposition</w:t>
            </w:r>
          </w:p>
        </w:tc>
      </w:tr>
    </w:tbl>
    <w:p/>
    <w:p>
      <w:r>
        <w:br w:type="page"/>
      </w:r>
    </w:p>
    <w:p>
      <w:pPr>
        <w:pStyle w:val="Heading1"/>
      </w:pPr>
      <w:r>
        <w:t>9. Verification environment</w:t>
      </w:r>
    </w:p>
    <w:p>
      <w:r>
        <w:t>Purpose: supply a class-based testbench structure capable of driving the CPU black-box interface, deriving expected results, and recording observed comparisons.</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Component</w:t>
            </w:r>
          </w:p>
        </w:tc>
        <w:tc>
          <w:tcPr>
            <w:tcW w:type="dxa" w:w="6696"/>
            <w:vAlign w:val="center"/>
          </w:tcPr>
          <w:p>
            <w:pPr>
              <w:spacing w:after="0"/>
            </w:pPr>
            <w:r>
              <w:rPr>
                <w:sz w:val="16"/>
              </w:rPr>
              <w:t>Responsibility</w:t>
            </w:r>
          </w:p>
        </w:tc>
      </w:tr>
      <w:tr>
        <w:trPr>
          <w:cantSplit/>
        </w:trPr>
        <w:tc>
          <w:tcPr>
            <w:tcW w:type="dxa" w:w="2880"/>
            <w:vAlign w:val="center"/>
          </w:tcPr>
          <w:p>
            <w:pPr>
              <w:spacing w:after="0"/>
            </w:pPr>
            <w:r>
              <w:rPr>
                <w:sz w:val="16"/>
              </w:rPr>
              <w:t>ALU transaction</w:t>
            </w:r>
          </w:p>
        </w:tc>
        <w:tc>
          <w:tcPr>
            <w:tcW w:type="dxa" w:w="6696"/>
            <w:vAlign w:val="center"/>
          </w:tcPr>
          <w:p>
            <w:pPr>
              <w:spacing w:after="0"/>
            </w:pPr>
            <w:r>
              <w:rPr>
                <w:sz w:val="16"/>
              </w:rPr>
              <w:t>Contains operand A, operand B, and raw opcode.</w:t>
            </w:r>
          </w:p>
        </w:tc>
      </w:tr>
      <w:tr>
        <w:trPr>
          <w:cantSplit/>
        </w:trPr>
        <w:tc>
          <w:tcPr>
            <w:tcW w:type="dxa" w:w="2880"/>
            <w:vAlign w:val="center"/>
          </w:tcPr>
          <w:p>
            <w:pPr>
              <w:spacing w:after="0"/>
            </w:pPr>
            <w:r>
              <w:rPr>
                <w:sz w:val="16"/>
              </w:rPr>
              <w:t>Test generator</w:t>
            </w:r>
          </w:p>
        </w:tc>
        <w:tc>
          <w:tcPr>
            <w:tcW w:type="dxa" w:w="6696"/>
            <w:vAlign w:val="center"/>
          </w:tcPr>
          <w:p>
            <w:pPr>
              <w:spacing w:after="0"/>
            </w:pPr>
            <w:r>
              <w:rPr>
                <w:sz w:val="16"/>
              </w:rPr>
              <w:t>Applies directed cases and bounded random bitwise stimulus.</w:t>
            </w:r>
          </w:p>
        </w:tc>
      </w:tr>
      <w:tr>
        <w:trPr>
          <w:cantSplit/>
        </w:trPr>
        <w:tc>
          <w:tcPr>
            <w:tcW w:type="dxa" w:w="2880"/>
            <w:vAlign w:val="center"/>
          </w:tcPr>
          <w:p>
            <w:pPr>
              <w:spacing w:after="0"/>
            </w:pPr>
            <w:r>
              <w:rPr>
                <w:sz w:val="16"/>
              </w:rPr>
              <w:t>DUT adapter</w:t>
            </w:r>
          </w:p>
        </w:tc>
        <w:tc>
          <w:tcPr>
            <w:tcW w:type="dxa" w:w="6696"/>
            <w:vAlign w:val="center"/>
          </w:tcPr>
          <w:p>
            <w:pPr>
              <w:spacing w:after="0"/>
            </w:pPr>
            <w:r>
              <w:rPr>
                <w:sz w:val="16"/>
              </w:rPr>
              <w:t>Single integration point for the released cpu_pkg and CPU.Calc method; currently intentionally unbound.</w:t>
            </w:r>
          </w:p>
        </w:tc>
      </w:tr>
      <w:tr>
        <w:trPr>
          <w:cantSplit/>
        </w:trPr>
        <w:tc>
          <w:tcPr>
            <w:tcW w:type="dxa" w:w="2880"/>
            <w:vAlign w:val="center"/>
          </w:tcPr>
          <w:p>
            <w:pPr>
              <w:spacing w:after="0"/>
            </w:pPr>
            <w:r>
              <w:rPr>
                <w:sz w:val="16"/>
              </w:rPr>
              <w:t>Reference oracle</w:t>
            </w:r>
          </w:p>
        </w:tc>
        <w:tc>
          <w:tcPr>
            <w:tcW w:type="dxa" w:w="6696"/>
            <w:vAlign w:val="center"/>
          </w:tcPr>
          <w:p>
            <w:pPr>
              <w:spacing w:after="0"/>
            </w:pPr>
            <w:r>
              <w:rPr>
                <w:sz w:val="16"/>
              </w:rPr>
              <w:t>Calculates independent AND, OR, XOR expectations only.</w:t>
            </w:r>
          </w:p>
        </w:tc>
      </w:tr>
      <w:tr>
        <w:trPr>
          <w:cantSplit/>
        </w:trPr>
        <w:tc>
          <w:tcPr>
            <w:tcW w:type="dxa" w:w="2880"/>
            <w:vAlign w:val="center"/>
          </w:tcPr>
          <w:p>
            <w:pPr>
              <w:spacing w:after="0"/>
            </w:pPr>
            <w:r>
              <w:rPr>
                <w:sz w:val="16"/>
              </w:rPr>
              <w:t>Scoreboard</w:t>
            </w:r>
          </w:p>
        </w:tc>
        <w:tc>
          <w:tcPr>
            <w:tcW w:type="dxa" w:w="6696"/>
            <w:vAlign w:val="center"/>
          </w:tcPr>
          <w:p>
            <w:pPr>
              <w:spacing w:after="0"/>
            </w:pPr>
            <w:r>
              <w:rPr>
                <w:sz w:val="16"/>
              </w:rPr>
              <w:t>Reports checked passes, mismatches and explicitly uncheckable items.</w:t>
            </w:r>
          </w:p>
        </w:tc>
      </w:tr>
      <w:tr>
        <w:trPr>
          <w:cantSplit/>
        </w:trPr>
        <w:tc>
          <w:tcPr>
            <w:tcW w:type="dxa" w:w="2880"/>
            <w:vAlign w:val="center"/>
          </w:tcPr>
          <w:p>
            <w:pPr>
              <w:spacing w:after="0"/>
            </w:pPr>
            <w:r>
              <w:rPr>
                <w:sz w:val="16"/>
              </w:rPr>
              <w:t>Counters / report</w:t>
            </w:r>
          </w:p>
        </w:tc>
        <w:tc>
          <w:tcPr>
            <w:tcW w:type="dxa" w:w="6696"/>
            <w:vAlign w:val="center"/>
          </w:tcPr>
          <w:p>
            <w:pPr>
              <w:spacing w:after="0"/>
            </w:pPr>
            <w:r>
              <w:rPr>
                <w:sz w:val="16"/>
              </w:rPr>
              <w:t>Summarizes result totals and hit counts for defined opcodes.</w:t>
            </w:r>
          </w:p>
        </w:tc>
      </w:tr>
    </w:tbl>
    <w:p/>
    <w:p>
      <w:pPr>
        <w:pStyle w:val="Heading1"/>
      </w:pPr>
      <w:r>
        <w:t>10. Executable verification files</w:t>
      </w:r>
    </w:p>
    <w:tbl>
      <w:tblPr>
        <w:tblStyle w:val="LightShading-Accent1"/>
        <w:tblW w:type="auto" w:w="0"/>
        <w:jc w:val="center"/>
        <w:tblLayout w:type="fixed"/>
        <w:tblLook w:firstColumn="1" w:firstRow="1" w:lastColumn="0" w:lastRow="0" w:noHBand="0" w:noVBand="1" w:val="04A0"/>
      </w:tblPr>
      <w:tblGrid>
        <w:gridCol w:w="4968"/>
        <w:gridCol w:w="4968"/>
      </w:tblGrid>
      <w:tr>
        <w:trPr>
          <w:cantSplit/>
        </w:trPr>
        <w:tc>
          <w:tcPr>
            <w:tcW w:type="dxa" w:w="2880"/>
            <w:vAlign w:val="center"/>
          </w:tcPr>
          <w:p>
            <w:pPr>
              <w:spacing w:after="0"/>
            </w:pPr>
            <w:r>
              <w:rPr>
                <w:sz w:val="16"/>
              </w:rPr>
              <w:t>File</w:t>
            </w:r>
          </w:p>
        </w:tc>
        <w:tc>
          <w:tcPr>
            <w:tcW w:type="dxa" w:w="6696"/>
            <w:vAlign w:val="center"/>
          </w:tcPr>
          <w:p>
            <w:pPr>
              <w:spacing w:after="0"/>
            </w:pPr>
            <w:r>
              <w:rPr>
                <w:sz w:val="16"/>
              </w:rPr>
              <w:t>Purpose</w:t>
            </w:r>
          </w:p>
        </w:tc>
      </w:tr>
      <w:tr>
        <w:trPr>
          <w:cantSplit/>
        </w:trPr>
        <w:tc>
          <w:tcPr>
            <w:tcW w:type="dxa" w:w="2880"/>
            <w:vAlign w:val="center"/>
          </w:tcPr>
          <w:p>
            <w:pPr>
              <w:spacing w:after="0"/>
            </w:pPr>
            <w:r>
              <w:rPr>
                <w:sz w:val="16"/>
              </w:rPr>
              <w:t>tb/alu_tb_pkg.sv</w:t>
            </w:r>
          </w:p>
        </w:tc>
        <w:tc>
          <w:tcPr>
            <w:tcW w:type="dxa" w:w="6696"/>
            <w:vAlign w:val="center"/>
          </w:tcPr>
          <w:p>
            <w:pPr>
              <w:spacing w:after="0"/>
            </w:pPr>
            <w:r>
              <w:rPr>
                <w:sz w:val="16"/>
              </w:rPr>
              <w:t>Transaction type, oracle and scoreboard classes.</w:t>
            </w:r>
          </w:p>
        </w:tc>
      </w:tr>
      <w:tr>
        <w:trPr>
          <w:cantSplit/>
        </w:trPr>
        <w:tc>
          <w:tcPr>
            <w:tcW w:type="dxa" w:w="2880"/>
            <w:vAlign w:val="center"/>
          </w:tcPr>
          <w:p>
            <w:pPr>
              <w:spacing w:after="0"/>
            </w:pPr>
            <w:r>
              <w:rPr>
                <w:sz w:val="16"/>
              </w:rPr>
              <w:t>tb/alu_dut_adapter.sv</w:t>
            </w:r>
          </w:p>
        </w:tc>
        <w:tc>
          <w:tcPr>
            <w:tcW w:type="dxa" w:w="6696"/>
            <w:vAlign w:val="center"/>
          </w:tcPr>
          <w:p>
            <w:pPr>
              <w:spacing w:after="0"/>
            </w:pPr>
            <w:r>
              <w:rPr>
                <w:sz w:val="16"/>
              </w:rPr>
              <w:t>Integration boundary for the actual CPU class.</w:t>
            </w:r>
          </w:p>
        </w:tc>
      </w:tr>
      <w:tr>
        <w:trPr>
          <w:cantSplit/>
        </w:trPr>
        <w:tc>
          <w:tcPr>
            <w:tcW w:type="dxa" w:w="2880"/>
            <w:vAlign w:val="center"/>
          </w:tcPr>
          <w:p>
            <w:pPr>
              <w:spacing w:after="0"/>
            </w:pPr>
            <w:r>
              <w:rPr>
                <w:sz w:val="16"/>
              </w:rPr>
              <w:t>tb/alu_test.sv</w:t>
            </w:r>
          </w:p>
        </w:tc>
        <w:tc>
          <w:tcPr>
            <w:tcW w:type="dxa" w:w="6696"/>
            <w:vAlign w:val="center"/>
          </w:tcPr>
          <w:p>
            <w:pPr>
              <w:spacing w:after="0"/>
            </w:pPr>
            <w:r>
              <w:rPr>
                <w:sz w:val="16"/>
              </w:rPr>
              <w:t>Directed and pseudo-random test runner.</w:t>
            </w:r>
          </w:p>
        </w:tc>
      </w:tr>
      <w:tr>
        <w:trPr>
          <w:cantSplit/>
        </w:trPr>
        <w:tc>
          <w:tcPr>
            <w:tcW w:type="dxa" w:w="2880"/>
            <w:vAlign w:val="center"/>
          </w:tcPr>
          <w:p>
            <w:pPr>
              <w:spacing w:after="0"/>
            </w:pPr>
            <w:r>
              <w:rPr>
                <w:sz w:val="16"/>
              </w:rPr>
              <w:t>scripts/validate_plan.py</w:t>
            </w:r>
          </w:p>
        </w:tc>
        <w:tc>
          <w:tcPr>
            <w:tcW w:type="dxa" w:w="6696"/>
            <w:vAlign w:val="center"/>
          </w:tcPr>
          <w:p>
            <w:pPr>
              <w:spacing w:after="0"/>
            </w:pPr>
            <w:r>
              <w:rPr>
                <w:sz w:val="16"/>
              </w:rPr>
              <w:t>Validates Phase 3 tabular IDs and relationships.</w:t>
            </w:r>
          </w:p>
        </w:tc>
      </w:tr>
    </w:tbl>
    <w:p/>
    <w:p>
      <w:pPr>
        <w:pStyle w:val="Heading1"/>
      </w:pPr>
      <w:r>
        <w:t>11. Current implementation status</w:t>
      </w:r>
    </w:p>
    <w:p>
      <w:r>
        <w:t>Verification planning tables are populated and their cross-references were checked. DUT-dependent simulation is pending the Phase 2 package and its exact enum/Calc interface. The source files have not been compiled or executed against the real CPU, so no passing regression is claimed.</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Phase 3 | Verification Planning and Environment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1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1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1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