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Management System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AIMS-4-3-001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Scope</w:t>
            </w:r>
          </w:p>
        </w:tc>
        <w:tc>
          <w:tcPr>
            <w:tcW w:type="dxa" w:w="4320"/>
          </w:tcPr>
          <w:p>
            <w:r>
              <w:t>Personal Innovation Prototype (Non-Commercial)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Researcher</w:t>
            </w:r>
          </w:p>
        </w:tc>
        <w:tc>
          <w:tcPr>
            <w:tcW w:type="dxa" w:w="4320"/>
          </w:tcPr>
          <w:p>
            <w:r>
              <w:t>Dr. Islam Mekawy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defines the scope of the MedFlow V3 AI Management System (AIMS) research initiative. As a Personal Innovation Prototype (Non-Commercial), this project establishes boundaries for AI governance study and compliance framework demonstration.</w:t>
      </w:r>
    </w:p>
    <w:p>
      <w:pPr>
        <w:pStyle w:val="Heading1"/>
      </w:pPr>
      <w:r>
        <w:t>2. Research Context</w:t>
      </w:r>
    </w:p>
    <w:p>
      <w:r>
        <w:t>This Individual Research Lab project explores healthcare insurance AI decision support systems. The research demonstrates processing of synthetic medical records for academic study of ICD-10 coding and Saudi AR-DRG v9.0 classification methodologies.</w:t>
      </w:r>
    </w:p>
    <w:p>
      <w:pPr>
        <w:pStyle w:val="Heading1"/>
      </w:pPr>
      <w:r>
        <w:t>3. AI Systems in Scope</w:t>
      </w:r>
    </w:p>
    <w:p>
      <w:pPr>
        <w:pStyle w:val="Heading2"/>
      </w:pPr>
      <w:r>
        <w:t>3.1 Document Processing Pipeline</w:t>
      </w:r>
    </w:p>
    <w:p>
      <w:pPr>
        <w:pStyle w:val="ListBullet"/>
      </w:pPr>
      <w:r>
        <w:t>Input validation and sanitization research</w:t>
      </w:r>
    </w:p>
    <w:p>
      <w:pPr>
        <w:pStyle w:val="ListBullet"/>
      </w:pPr>
      <w:r>
        <w:t>PDF/DOCX/Image text extraction techniques</w:t>
      </w:r>
    </w:p>
    <w:p>
      <w:pPr>
        <w:pStyle w:val="ListBullet"/>
      </w:pPr>
      <w:r>
        <w:t>Clinical narrative parsing methodologies</w:t>
      </w:r>
    </w:p>
    <w:p>
      <w:pPr>
        <w:pStyle w:val="Heading2"/>
      </w:pPr>
      <w:r>
        <w:t>3.2 PII Scrubbing Engine</w:t>
      </w:r>
    </w:p>
    <w:p>
      <w:pPr>
        <w:pStyle w:val="ListBullet"/>
      </w:pPr>
      <w:r>
        <w:t>Local LLM processing research (Llama 3.1 8B via Ollama)</w:t>
      </w:r>
    </w:p>
    <w:p>
      <w:pPr>
        <w:pStyle w:val="ListBullet"/>
      </w:pPr>
      <w:r>
        <w:t>Saudi-specific pattern detection (National ID, phone formats)</w:t>
      </w:r>
    </w:p>
    <w:p>
      <w:pPr>
        <w:pStyle w:val="ListBullet"/>
      </w:pPr>
      <w:r>
        <w:t>Name and address redaction techniques</w:t>
      </w:r>
    </w:p>
    <w:p>
      <w:pPr>
        <w:pStyle w:val="Heading2"/>
      </w:pPr>
      <w:r>
        <w:t>3.3 Clinical Intelligence Engine</w:t>
      </w:r>
    </w:p>
    <w:p>
      <w:pPr>
        <w:pStyle w:val="ListBullet"/>
      </w:pPr>
      <w:r>
        <w:t>Diagnosis extraction and normalization research</w:t>
      </w:r>
    </w:p>
    <w:p>
      <w:pPr>
        <w:pStyle w:val="ListBullet"/>
      </w:pPr>
      <w:r>
        <w:t>ICD-10-CM/PCS code assignment automation</w:t>
      </w:r>
    </w:p>
    <w:p>
      <w:pPr>
        <w:pStyle w:val="ListBullet"/>
      </w:pPr>
      <w:r>
        <w:t>Procedure identification methodologies</w:t>
      </w:r>
    </w:p>
    <w:p>
      <w:pPr>
        <w:pStyle w:val="Heading2"/>
      </w:pPr>
      <w:r>
        <w:t>3.4 DRG Classification System</w:t>
      </w:r>
    </w:p>
    <w:p>
      <w:pPr>
        <w:pStyle w:val="ListBullet"/>
      </w:pPr>
      <w:r>
        <w:t>Saudi AR-DRG v9.0 grouper implementation study</w:t>
      </w:r>
    </w:p>
    <w:p>
      <w:pPr>
        <w:pStyle w:val="ListBullet"/>
      </w:pPr>
      <w:r>
        <w:t>NPHIES integration endpoint design</w:t>
      </w:r>
    </w:p>
    <w:p>
      <w:pPr>
        <w:pStyle w:val="ListBullet"/>
      </w:pPr>
      <w:r>
        <w:t>Length of stay optimization research</w:t>
      </w:r>
    </w:p>
    <w:p>
      <w:pPr>
        <w:pStyle w:val="Heading2"/>
      </w:pPr>
      <w:r>
        <w:t>3.5 Decision Recommendation Engine</w:t>
      </w:r>
    </w:p>
    <w:p>
      <w:pPr>
        <w:pStyle w:val="ListBullet"/>
      </w:pPr>
      <w:r>
        <w:t>Google Gemini integration (Primary reasoning)</w:t>
      </w:r>
    </w:p>
    <w:p>
      <w:pPr>
        <w:pStyle w:val="ListBullet"/>
      </w:pPr>
      <w:r>
        <w:t>Claude validation layer (Consensus mechanism)</w:t>
      </w:r>
    </w:p>
    <w:p>
      <w:pPr>
        <w:pStyle w:val="ListBullet"/>
      </w:pPr>
      <w:r>
        <w:t>Confidence scoring and escalation logic</w:t>
      </w:r>
    </w:p>
    <w:p>
      <w:pPr>
        <w:pStyle w:val="Heading1"/>
      </w:pPr>
      <w:r>
        <w:t>4. External Interface Design</w:t>
      </w:r>
    </w:p>
    <w:p>
      <w:r>
        <w:t>The research AIMS demonstrates interfaces with the following 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Interface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Exchanged</w:t>
            </w:r>
          </w:p>
        </w:tc>
      </w:tr>
      <w:tr>
        <w:tc>
          <w:tcPr>
            <w:tcW w:type="dxa" w:w="2880"/>
          </w:tcPr>
          <w:p>
            <w:r>
              <w:t>NPHIES (Simulated)</w:t>
            </w:r>
          </w:p>
        </w:tc>
        <w:tc>
          <w:tcPr>
            <w:tcW w:type="dxa" w:w="2880"/>
          </w:tcPr>
          <w:p>
            <w:r>
              <w:t>REST API Design</w:t>
            </w:r>
          </w:p>
        </w:tc>
        <w:tc>
          <w:tcPr>
            <w:tcW w:type="dxa" w:w="2880"/>
          </w:tcPr>
          <w:p>
            <w:r>
              <w:t>Pre-authorization request/response formats</w:t>
            </w:r>
          </w:p>
        </w:tc>
      </w:tr>
      <w:tr>
        <w:tc>
          <w:tcPr>
            <w:tcW w:type="dxa" w:w="2880"/>
          </w:tcPr>
          <w:p>
            <w:r>
              <w:t>Hospital EHR (Mock)</w:t>
            </w:r>
          </w:p>
        </w:tc>
        <w:tc>
          <w:tcPr>
            <w:tcW w:type="dxa" w:w="2880"/>
          </w:tcPr>
          <w:p>
            <w:r>
              <w:t>HL7 FHIR Study</w:t>
            </w:r>
          </w:p>
        </w:tc>
        <w:tc>
          <w:tcPr>
            <w:tcW w:type="dxa" w:w="2880"/>
          </w:tcPr>
          <w:p>
            <w:r>
              <w:t>Synthetic clinical documents</w:t>
            </w:r>
          </w:p>
        </w:tc>
      </w:tr>
      <w:tr>
        <w:tc>
          <w:tcPr>
            <w:tcW w:type="dxa" w:w="2880"/>
          </w:tcPr>
          <w:p>
            <w:r>
              <w:t>Claims System (Design)</w:t>
            </w:r>
          </w:p>
        </w:tc>
        <w:tc>
          <w:tcPr>
            <w:tcW w:type="dxa" w:w="2880"/>
          </w:tcPr>
          <w:p>
            <w:r>
              <w:t>Internal API Spec</w:t>
            </w:r>
          </w:p>
        </w:tc>
        <w:tc>
          <w:tcPr>
            <w:tcW w:type="dxa" w:w="2880"/>
          </w:tcPr>
          <w:p>
            <w:r>
              <w:t>DRG codes, decision outcomes</w:t>
            </w:r>
          </w:p>
        </w:tc>
      </w:tr>
      <w:tr>
        <w:tc>
          <w:tcPr>
            <w:tcW w:type="dxa" w:w="2880"/>
          </w:tcPr>
          <w:p>
            <w:r>
              <w:t>Audit Repository</w:t>
            </w:r>
          </w:p>
        </w:tc>
        <w:tc>
          <w:tcPr>
            <w:tcW w:type="dxa" w:w="2880"/>
          </w:tcPr>
          <w:p>
            <w:r>
              <w:t>SQLite/CSV</w:t>
            </w:r>
          </w:p>
        </w:tc>
        <w:tc>
          <w:tcPr>
            <w:tcW w:type="dxa" w:w="2880"/>
          </w:tcPr>
          <w:p>
            <w:r>
              <w:t>Immutable decision logs</w:t>
            </w:r>
          </w:p>
        </w:tc>
      </w:tr>
    </w:tbl>
    <w:p>
      <w:pPr>
        <w:pStyle w:val="Heading1"/>
      </w:pPr>
      <w:r>
        <w:t>5. Exclusions</w:t>
      </w:r>
    </w:p>
    <w:p>
      <w:r>
        <w:t>The following are explicitly excluded from research scope:</w:t>
      </w:r>
    </w:p>
    <w:p>
      <w:pPr>
        <w:pStyle w:val="ListBullet"/>
      </w:pPr>
      <w:r>
        <w:t>Real patient data (synthetic only)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Commercial use or distribution</w:t>
      </w:r>
    </w:p>
    <w:p>
      <w:pPr>
        <w:pStyle w:val="ListBullet"/>
      </w:pPr>
      <w:r>
        <w:t>Outpatient processing workflows</w:t>
      </w:r>
    </w:p>
    <w:p>
      <w:pPr>
        <w:pStyle w:val="ListBullet"/>
      </w:pPr>
      <w:r>
        <w:t>Integration with live healthcare systems</w:t>
      </w:r>
    </w:p>
    <w:p>
      <w:pPr>
        <w:pStyle w:val="Heading1"/>
      </w:pPr>
      <w:r>
        <w:t>6. Regulatory Compliance Study</w:t>
      </w:r>
    </w:p>
    <w:p>
      <w:r>
        <w:t>This research studies compliance requirements within Saudi Arabia including:</w:t>
      </w:r>
    </w:p>
    <w:p>
      <w:pPr>
        <w:pStyle w:val="ListBullet"/>
      </w:pPr>
      <w:r>
        <w:t>Saudi Data &amp; AI Authority (SDAIA) AI Ethics Principles</w:t>
      </w:r>
    </w:p>
    <w:p>
      <w:pPr>
        <w:pStyle w:val="ListBullet"/>
      </w:pPr>
      <w:r>
        <w:t>Council of Health Insurance (CHI) regulations</w:t>
      </w:r>
    </w:p>
    <w:p>
      <w:pPr>
        <w:pStyle w:val="ListBullet"/>
      </w:pPr>
      <w:r>
        <w:t>SAMA Cybersecurity Framework alignment</w:t>
      </w:r>
    </w:p>
    <w:p>
      <w:pPr>
        <w:pStyle w:val="ListBullet"/>
      </w:pPr>
      <w:r>
        <w:t>Personal Data Protection Law (PDPL) requirements</w:t>
      </w:r>
    </w:p>
    <w:p>
      <w:pPr>
        <w:pStyle w:val="ListBullet"/>
      </w:pPr>
      <w:r>
        <w:t>Saudi AR-DRG v9.0 classification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