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Management System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AIMS-6-2-001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2026-02-02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 Scope</w:t>
            </w:r>
          </w:p>
        </w:tc>
        <w:tc>
          <w:tcPr>
            <w:tcW w:type="dxa" w:w="4320"/>
          </w:tcPr>
          <w:p>
            <w:r>
              <w:t>Personal Innovation Prototype (Non-Commercial)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Lead Researcher</w:t>
            </w:r>
          </w:p>
        </w:tc>
        <w:tc>
          <w:tcPr>
            <w:tcW w:type="dxa" w:w="4320"/>
          </w:tcPr>
          <w:p>
            <w:r>
              <w:t>Dr. Islam Mekawy</w:t>
            </w:r>
          </w:p>
        </w:tc>
      </w:tr>
    </w:tbl>
    <w:p/>
    <w:p>
      <w:pPr>
        <w:pStyle w:val="Heading1"/>
      </w:pPr>
      <w:r>
        <w:t>1. Introduction</w:t>
      </w:r>
    </w:p>
    <w:p>
      <w:r>
        <w:t>This document establishes measurable objectives for the MedFlow V3 research initiative. As a Personal Innovation Prototype (Non-Commercial), these objectives focus on technical metrics that demonstrate enterprise readiness and ISO 42001:2023 alignment.</w:t>
      </w:r>
    </w:p>
    <w:p>
      <w:pPr>
        <w:pStyle w:val="Heading1"/>
      </w:pPr>
      <w:r>
        <w:t>2. Research Goals</w:t>
      </w:r>
    </w:p>
    <w:p>
      <w:r>
        <w:t>The research objectives support the following goals:</w:t>
      </w:r>
    </w:p>
    <w:p>
      <w:pPr>
        <w:pStyle w:val="ListBullet"/>
      </w:pPr>
      <w:r>
        <w:t>Demonstrate AI governance framework implementation for healthcare</w:t>
      </w:r>
    </w:p>
    <w:p>
      <w:pPr>
        <w:pStyle w:val="ListBullet"/>
      </w:pPr>
      <w:r>
        <w:t>Achieve measurable accuracy benchmarks for medical coding automation</w:t>
      </w:r>
    </w:p>
    <w:p>
      <w:pPr>
        <w:pStyle w:val="ListBullet"/>
      </w:pPr>
      <w:r>
        <w:t>Validate privacy-preserving AI techniques (local PII scrubbing)</w:t>
      </w:r>
    </w:p>
    <w:p>
      <w:pPr>
        <w:pStyle w:val="ListBullet"/>
      </w:pPr>
      <w:r>
        <w:t>Document enterprise scalability architecture patterns</w:t>
      </w:r>
    </w:p>
    <w:p>
      <w:pPr>
        <w:pStyle w:val="Heading1"/>
      </w:pPr>
      <w:r>
        <w:t>3. Technical Metrics (Enterprise Readiness)</w:t>
      </w:r>
    </w:p>
    <w:p>
      <w:pPr>
        <w:pStyle w:val="Heading2"/>
      </w:pPr>
      <w:r>
        <w:t>OBJ-001: Achieve 95% ICD-10 coding accuracy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Accuracy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t>Percentage of correctly assigned ICD-10 codes vs. reference standard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Measurement Method</w:t>
            </w:r>
          </w:p>
        </w:tc>
        <w:tc>
          <w:tcPr>
            <w:tcW w:type="dxa" w:w="4320"/>
          </w:tcPr>
          <w:p>
            <w:r>
              <w:t>Comparison with certified coder review (n=500 synthetic cases)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4320"/>
          </w:tcPr>
          <w:p>
            <w:r>
              <w:t>95%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Enterprise Rationale</w:t>
            </w:r>
          </w:p>
        </w:tc>
        <w:tc>
          <w:tcPr>
            <w:tcW w:type="dxa" w:w="4320"/>
          </w:tcPr>
          <w:p>
            <w:r>
              <w:t>Industry benchmark for automated medical coding systems</w:t>
            </w:r>
          </w:p>
        </w:tc>
      </w:tr>
    </w:tbl>
    <w:p/>
    <w:p>
      <w:pPr>
        <w:pStyle w:val="Heading2"/>
      </w:pPr>
      <w:r>
        <w:t>OBJ-002: Achieve 92% AR-DRG classification accuracy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Accuracy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t>Percentage of correctly assigned Saudi AR-DRG v9.0 codes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Measurement Method</w:t>
            </w:r>
          </w:p>
        </w:tc>
        <w:tc>
          <w:tcPr>
            <w:tcW w:type="dxa" w:w="4320"/>
          </w:tcPr>
          <w:p>
            <w:r>
              <w:t>Validation against DRG logic rules and expert review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4320"/>
          </w:tcPr>
          <w:p>
            <w:r>
              <w:t>92%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Enterprise Rationale</w:t>
            </w:r>
          </w:p>
        </w:tc>
        <w:tc>
          <w:tcPr>
            <w:tcW w:type="dxa" w:w="4320"/>
          </w:tcPr>
          <w:p>
            <w:r>
              <w:t>CHI compliance requirement for healthcare AI systems</w:t>
            </w:r>
          </w:p>
        </w:tc>
      </w:tr>
    </w:tbl>
    <w:p/>
    <w:p>
      <w:pPr>
        <w:pStyle w:val="Heading2"/>
      </w:pPr>
      <w:r>
        <w:t>OBJ-003: Achieve 99.5% PII detection 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Privacy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t>Percentage of PII elements detected and redacted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Measurement Method</w:t>
            </w:r>
          </w:p>
        </w:tc>
        <w:tc>
          <w:tcPr>
            <w:tcW w:type="dxa" w:w="4320"/>
          </w:tcPr>
          <w:p>
            <w:r>
              <w:t>Manual audit of scrubbed synthetic documents (n=200)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4320"/>
          </w:tcPr>
          <w:p>
            <w:r>
              <w:t>99.5%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Enterprise Rationale</w:t>
            </w:r>
          </w:p>
        </w:tc>
        <w:tc>
          <w:tcPr>
            <w:tcW w:type="dxa" w:w="4320"/>
          </w:tcPr>
          <w:p>
            <w:r>
              <w:t>PDPL compliance threshold for data protection</w:t>
            </w:r>
          </w:p>
        </w:tc>
      </w:tr>
    </w:tbl>
    <w:p/>
    <w:p>
      <w:pPr>
        <w:pStyle w:val="Heading2"/>
      </w:pPr>
      <w:r>
        <w:t>OBJ-004: Process cases within 60 seconds (P80)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Latency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t>End-to-end processing time from upload to recommendation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Measurement Method</w:t>
            </w:r>
          </w:p>
        </w:tc>
        <w:tc>
          <w:tcPr>
            <w:tcW w:type="dxa" w:w="4320"/>
          </w:tcPr>
          <w:p>
            <w:r>
              <w:t>Processing time logged in audit trail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4320"/>
          </w:tcPr>
          <w:p>
            <w:r>
              <w:t>60 seconds (80th percentile)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Enterprise Rationale</w:t>
            </w:r>
          </w:p>
        </w:tc>
        <w:tc>
          <w:tcPr>
            <w:tcW w:type="dxa" w:w="4320"/>
          </w:tcPr>
          <w:p>
            <w:r>
              <w:t>Enterprise SLA requirement for real-time processing</w:t>
            </w:r>
          </w:p>
        </w:tc>
      </w:tr>
    </w:tbl>
    <w:p/>
    <w:p>
      <w:pPr>
        <w:pStyle w:val="Heading2"/>
      </w:pPr>
      <w:r>
        <w:t>OBJ-005: Maintain 99.5% system availability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Reliability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t>Uptime percentage during operational hours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Measurement Method</w:t>
            </w:r>
          </w:p>
        </w:tc>
        <w:tc>
          <w:tcPr>
            <w:tcW w:type="dxa" w:w="4320"/>
          </w:tcPr>
          <w:p>
            <w:r>
              <w:t>Health check logs and monitoring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4320"/>
          </w:tcPr>
          <w:p>
            <w:r>
              <w:t>99.5%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Enterprise Rationale</w:t>
            </w:r>
          </w:p>
        </w:tc>
        <w:tc>
          <w:tcPr>
            <w:tcW w:type="dxa" w:w="4320"/>
          </w:tcPr>
          <w:p>
            <w:r>
              <w:t>Enterprise availability requirement</w:t>
            </w:r>
          </w:p>
        </w:tc>
      </w:tr>
    </w:tbl>
    <w:p/>
    <w:p>
      <w:pPr>
        <w:pStyle w:val="Heading2"/>
      </w:pPr>
      <w:r>
        <w:t>OBJ-006: Achieve demographic parity (0.8-1.2 ratio)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Fairness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t>Disparate impact ratio across demographic groups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Measurement Method</w:t>
            </w:r>
          </w:p>
        </w:tc>
        <w:tc>
          <w:tcPr>
            <w:tcW w:type="dxa" w:w="4320"/>
          </w:tcPr>
          <w:p>
            <w:r>
              <w:t>Bias testing on synthetic demographic variations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4320"/>
          </w:tcPr>
          <w:p>
            <w:r>
              <w:t>Ratio 0.8-1.2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Enterprise Rationale</w:t>
            </w:r>
          </w:p>
        </w:tc>
        <w:tc>
          <w:tcPr>
            <w:tcW w:type="dxa" w:w="4320"/>
          </w:tcPr>
          <w:p>
            <w:r>
              <w:t>AI ethics and fairness requirements</w:t>
            </w:r>
          </w:p>
        </w:tc>
      </w:tr>
    </w:tbl>
    <w:p/>
    <w:p>
      <w:pPr>
        <w:pStyle w:val="Heading2"/>
      </w:pPr>
      <w:r>
        <w:t>OBJ-007: Complete ISO 42001 artifact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Governance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t>Number of compliant governance documents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Measurement Method</w:t>
            </w:r>
          </w:p>
        </w:tc>
        <w:tc>
          <w:tcPr>
            <w:tcW w:type="dxa" w:w="4320"/>
          </w:tcPr>
          <w:p>
            <w:r>
              <w:t>Document completion and alignment review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4320"/>
          </w:tcPr>
          <w:p>
            <w:r>
              <w:t>10 documents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Enterprise Rationale</w:t>
            </w:r>
          </w:p>
        </w:tc>
        <w:tc>
          <w:tcPr>
            <w:tcW w:type="dxa" w:w="4320"/>
          </w:tcPr>
          <w:p>
            <w:r>
              <w:t>ISO 42001 certification readiness</w:t>
            </w:r>
          </w:p>
        </w:tc>
      </w:tr>
    </w:tbl>
    <w:p/>
    <w:p>
      <w:pPr>
        <w:pStyle w:val="Heading1"/>
      </w:pPr>
      <w:r>
        <w:t>4. Monitoring and Validation</w:t>
      </w:r>
    </w:p>
    <w:p>
      <w:r>
        <w:t>Research objectives are monitored through:</w:t>
      </w:r>
    </w:p>
    <w:p>
      <w:pPr>
        <w:pStyle w:val="ListBullet"/>
      </w:pPr>
      <w:r>
        <w:t>Automated metrics collection in audit logs</w:t>
      </w:r>
    </w:p>
    <w:p>
      <w:pPr>
        <w:pStyle w:val="ListBullet"/>
      </w:pPr>
      <w:r>
        <w:t>Periodic accuracy validation against test dataset</w:t>
      </w:r>
    </w:p>
    <w:p>
      <w:pPr>
        <w:pStyle w:val="ListBullet"/>
      </w:pPr>
      <w:r>
        <w:t>Performance profiling and latency measurement</w:t>
      </w:r>
    </w:p>
    <w:p>
      <w:pPr>
        <w:pStyle w:val="ListBullet"/>
      </w:pPr>
      <w:r>
        <w:t>Bias testing with demographic variations</w:t>
      </w:r>
    </w:p>
    <w:p>
      <w:pPr>
        <w:pStyle w:val="Heading1"/>
      </w:pPr>
      <w:r>
        <w:t>5. Enterprise Scalability Considerations</w:t>
      </w:r>
    </w:p>
    <w:p>
      <w:r>
        <w:t>These metrics demonstrate the system's readiness for enterprise deployment: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Research 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Enterprise Scale</w:t>
            </w:r>
          </w:p>
        </w:tc>
      </w:tr>
      <w:tr>
        <w:tc>
          <w:tcPr>
            <w:tcW w:type="dxa" w:w="2880"/>
          </w:tcPr>
          <w:p>
            <w:r>
              <w:t>Throughput</w:t>
            </w:r>
          </w:p>
        </w:tc>
        <w:tc>
          <w:tcPr>
            <w:tcW w:type="dxa" w:w="2880"/>
          </w:tcPr>
          <w:p>
            <w:r>
              <w:t>100 cases/day</w:t>
            </w:r>
          </w:p>
        </w:tc>
        <w:tc>
          <w:tcPr>
            <w:tcW w:type="dxa" w:w="2880"/>
          </w:tcPr>
          <w:p>
            <w:r>
              <w:t>10,000+ cases/day</w:t>
            </w:r>
          </w:p>
        </w:tc>
      </w:tr>
      <w:tr>
        <w:tc>
          <w:tcPr>
            <w:tcW w:type="dxa" w:w="2880"/>
          </w:tcPr>
          <w:p>
            <w:r>
              <w:t>Latency</w:t>
            </w:r>
          </w:p>
        </w:tc>
        <w:tc>
          <w:tcPr>
            <w:tcW w:type="dxa" w:w="2880"/>
          </w:tcPr>
          <w:p>
            <w:r>
              <w:t>60 seconds</w:t>
            </w:r>
          </w:p>
        </w:tc>
        <w:tc>
          <w:tcPr>
            <w:tcW w:type="dxa" w:w="2880"/>
          </w:tcPr>
          <w:p>
            <w:r>
              <w:t>30 seconds</w:t>
            </w:r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99.5%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</w:tr>
      <w:tr>
        <w:tc>
          <w:tcPr>
            <w:tcW w:type="dxa" w:w="2880"/>
          </w:tcPr>
          <w:p>
            <w:r>
              <w:t>Concurrent Users</w:t>
            </w:r>
          </w:p>
        </w:tc>
        <w:tc>
          <w:tcPr>
            <w:tcW w:type="dxa" w:w="2880"/>
          </w:tcPr>
          <w:p>
            <w:r>
              <w:t>1 (researcher)</w:t>
            </w:r>
          </w:p>
        </w:tc>
        <w:tc>
          <w:tcPr>
            <w:tcW w:type="dxa" w:w="2880"/>
          </w:tcPr>
          <w:p>
            <w:r>
              <w:t>100+ reviewers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