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Management System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AIMS-5-2-001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Scope</w:t>
            </w:r>
          </w:p>
        </w:tc>
        <w:tc>
          <w:tcPr>
            <w:tcW w:type="dxa" w:w="4320"/>
          </w:tcPr>
          <w:p>
            <w:r>
              <w:t>Personal Innovation Prototype (Non-Commercial)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Researcher</w:t>
            </w:r>
          </w:p>
        </w:tc>
        <w:tc>
          <w:tcPr>
            <w:tcW w:type="dxa" w:w="4320"/>
          </w:tcPr>
          <w:p>
            <w:r>
              <w:t>Dr. Islam Mekawy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establishes the governance framework for artificial intelligence systems within the MedFlow V3 personal research initiative. As a Personal Innovation Prototype (Non-Commercial), this project demonstrates responsible AI development practices in compliance with ISO 42001:2023 principles and Saudi data protection regulations (PDPL/NPHIES).</w:t>
      </w:r>
    </w:p>
    <w:p>
      <w:pPr>
        <w:pStyle w:val="Heading1"/>
      </w:pPr>
      <w:r>
        <w:t>2. Research Context</w:t>
      </w:r>
    </w:p>
    <w:p>
      <w:r>
        <w:t>This Individual Research Lab project, led by Dr. Islam Mekawy, explores AI governance frameworks for healthcare insurance decision support systems. The research focuses on:</w:t>
      </w:r>
    </w:p>
    <w:p>
      <w:pPr>
        <w:pStyle w:val="ListBullet"/>
      </w:pPr>
      <w:r>
        <w:t>Clinical document processing and information extraction methodologies</w:t>
      </w:r>
    </w:p>
    <w:p>
      <w:pPr>
        <w:pStyle w:val="ListBullet"/>
      </w:pPr>
      <w:r>
        <w:t>ICD-10 coding automation techniques</w:t>
      </w:r>
    </w:p>
    <w:p>
      <w:pPr>
        <w:pStyle w:val="ListBullet"/>
      </w:pPr>
      <w:r>
        <w:t>Saudi AR-DRG v9.0 classification implementation</w:t>
      </w:r>
    </w:p>
    <w:p>
      <w:pPr>
        <w:pStyle w:val="ListBullet"/>
      </w:pPr>
      <w:r>
        <w:t>Decision recommendation systems (HOME CARE / EXTENSION / DISCHARGE)</w:t>
      </w:r>
    </w:p>
    <w:p>
      <w:pPr>
        <w:pStyle w:val="ListBullet"/>
      </w:pPr>
      <w:r>
        <w:t>Privacy-preserving AI through local PII detection and scrubbing</w:t>
      </w:r>
    </w:p>
    <w:p>
      <w:pPr>
        <w:pStyle w:val="Heading1"/>
      </w:pPr>
      <w:r>
        <w:t>3. Research Principles</w:t>
      </w:r>
    </w:p>
    <w:p>
      <w:pPr>
        <w:pStyle w:val="Heading2"/>
      </w:pPr>
      <w:r>
        <w:t>3.1 Human Oversight</w:t>
      </w:r>
    </w:p>
    <w:p>
      <w:r>
        <w:t>All AI-generated outputs require human validation. The research implements confidence thresholds: 85% for automated processing, with mandatory human review below 70% confidence.</w:t>
      </w:r>
    </w:p>
    <w:p>
      <w:pPr>
        <w:pStyle w:val="Heading2"/>
      </w:pPr>
      <w:r>
        <w:t>3.2 Data Sovereignty</w:t>
      </w:r>
    </w:p>
    <w:p>
      <w:r>
        <w:t>All personally identifiable information (PII) is processed locally using on-premise AI systems (Ollama/Llama 3.1). This research uses only synthetic data to demonstrate privacy-preserving techniques.</w:t>
      </w:r>
    </w:p>
    <w:p>
      <w:pPr>
        <w:pStyle w:val="Heading2"/>
      </w:pPr>
      <w:r>
        <w:t>3.3 Transparency</w:t>
      </w:r>
    </w:p>
    <w:p>
      <w:r>
        <w:t>AI decision rationale is logged and auditable. The system provides explainable outputs for every recommendation, supporting research reproducibility.</w:t>
      </w:r>
    </w:p>
    <w:p>
      <w:pPr>
        <w:pStyle w:val="Heading2"/>
      </w:pPr>
      <w:r>
        <w:t>3.4 Fairness</w:t>
      </w:r>
    </w:p>
    <w:p>
      <w:r>
        <w:t>The research includes bias testing methodologies across demographic groups. Fairness metrics and disparate impact analysis are documented.</w:t>
      </w:r>
    </w:p>
    <w:p>
      <w:pPr>
        <w:pStyle w:val="Heading2"/>
      </w:pPr>
      <w:r>
        <w:t>3.5 Accuracy Targets</w:t>
      </w:r>
    </w:p>
    <w:p>
      <w:r>
        <w:t>Research accuracy benchmarks: ICD-10 coding 95%, DRG classification 92%, PII detection 99.5%. These serve as validation metrics for the prototype.</w:t>
      </w:r>
    </w:p>
    <w:p>
      <w:pPr>
        <w:pStyle w:val="Heading2"/>
      </w:pPr>
      <w:r>
        <w:t>3.6 Security Alignment</w:t>
      </w:r>
    </w:p>
    <w:p>
      <w:r>
        <w:t>The prototype aligns with SAMA cybersecurity framework principles and demonstrates security best practices for AI systems.</w:t>
      </w:r>
    </w:p>
    <w:p>
      <w:pPr>
        <w:pStyle w:val="Heading1"/>
      </w:pPr>
      <w:r>
        <w:t>4. Research Governance (Solo Mode)</w:t>
      </w:r>
    </w:p>
    <w:p>
      <w:r>
        <w:t>As an Individual Research Lab, governance is managed by the Lead Researcher who fulfills multiple roles:</w:t>
      </w:r>
    </w:p>
    <w:p>
      <w:pPr>
        <w:pStyle w:val="ListBullet"/>
      </w:pPr>
      <w:r>
        <w:t>Lead Researcher &amp; Architect: Dr. Islam Mekawy</w:t>
      </w:r>
    </w:p>
    <w:p>
      <w:pPr>
        <w:pStyle w:val="ListBullet"/>
      </w:pPr>
      <w:r>
        <w:t>AI System Designer (same)</w:t>
      </w:r>
    </w:p>
    <w:p>
      <w:pPr>
        <w:pStyle w:val="ListBullet"/>
      </w:pPr>
      <w:r>
        <w:t>Data Protection Analyst (same)</w:t>
      </w:r>
    </w:p>
    <w:p>
      <w:pPr>
        <w:pStyle w:val="ListBullet"/>
      </w:pPr>
      <w:r>
        <w:t>Quality Assurance (same)</w:t>
      </w:r>
    </w:p>
    <w:p>
      <w:pPr>
        <w:pStyle w:val="ListBullet"/>
      </w:pPr>
      <w:r>
        <w:t>Documentation Owner (same)</w:t>
      </w:r>
    </w:p>
    <w:p>
      <w:pPr>
        <w:pStyle w:val="Heading1"/>
      </w:pPr>
      <w:r>
        <w:t>5. Review and Updates</w:t>
      </w:r>
    </w:p>
    <w:p>
      <w:r>
        <w:t>This policy is reviewed upon significant changes to AI systems, research findings, or regulatory guidance. Updates are version-controlled in the project repository.</w:t>
      </w:r>
    </w:p>
    <w:p>
      <w:pPr>
        <w:pStyle w:val="Heading1"/>
      </w:pPr>
      <w:r>
        <w:t>6.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Lead Researcher</w:t>
            </w:r>
          </w:p>
        </w:tc>
        <w:tc>
          <w:tcPr>
            <w:tcW w:type="dxa" w:w="2880"/>
          </w:tcPr>
          <w:p>
            <w:r>
              <w:t>Dr. Islam Mekawy</w:t>
            </w:r>
          </w:p>
        </w:tc>
        <w:tc>
          <w:tcPr>
            <w:tcW w:type="dxa" w:w="2880"/>
          </w:tcPr>
          <w:p>
            <w:r>
              <w:t>2026-02-02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