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EF40E" w14:textId="77777777" w:rsidR="001045F0" w:rsidRDefault="001045F0" w:rsidP="001045F0">
      <w:pPr>
        <w:pStyle w:val="Heading1"/>
        <w:rPr>
          <w:lang w:val="en-US"/>
        </w:rPr>
      </w:pPr>
      <w:proofErr w:type="spellStart"/>
      <w:r w:rsidRPr="001045F0">
        <w:rPr>
          <w:lang w:val="en-US"/>
        </w:rPr>
        <w:t>Anayasa</w:t>
      </w:r>
      <w:proofErr w:type="spellEnd"/>
      <w:r w:rsidRPr="001045F0">
        <w:rPr>
          <w:lang w:val="en-US"/>
        </w:rPr>
        <w:t xml:space="preserve"> </w:t>
      </w:r>
      <w:proofErr w:type="spellStart"/>
      <w:r w:rsidRPr="001045F0">
        <w:rPr>
          <w:lang w:val="en-US"/>
        </w:rPr>
        <w:t>Teorisi</w:t>
      </w:r>
      <w:proofErr w:type="spellEnd"/>
      <w:r w:rsidRPr="001045F0">
        <w:rPr>
          <w:lang w:val="en-US"/>
        </w:rPr>
        <w:t xml:space="preserve"> (Constitutional Theory), </w:t>
      </w:r>
      <w:proofErr w:type="spellStart"/>
      <w:r w:rsidRPr="001045F0">
        <w:rPr>
          <w:lang w:val="en-US"/>
        </w:rPr>
        <w:t>Anayasa</w:t>
      </w:r>
      <w:proofErr w:type="spellEnd"/>
      <w:r w:rsidRPr="001045F0">
        <w:rPr>
          <w:lang w:val="en-US"/>
        </w:rPr>
        <w:t xml:space="preserve"> </w:t>
      </w:r>
      <w:proofErr w:type="spellStart"/>
      <w:r w:rsidRPr="001045F0">
        <w:rPr>
          <w:lang w:val="en-US"/>
        </w:rPr>
        <w:t>Kültürü</w:t>
      </w:r>
      <w:proofErr w:type="spellEnd"/>
      <w:r w:rsidRPr="001045F0">
        <w:rPr>
          <w:lang w:val="en-US"/>
        </w:rPr>
        <w:t xml:space="preserve"> (Constitutional Culture)</w:t>
      </w:r>
    </w:p>
    <w:p w14:paraId="6DCAE2A1" w14:textId="77777777" w:rsidR="001045F0" w:rsidRDefault="001045F0" w:rsidP="001045F0">
      <w:pPr>
        <w:pStyle w:val="Heading1"/>
        <w:rPr>
          <w:lang w:val="en-US"/>
        </w:rPr>
      </w:pPr>
      <w:proofErr w:type="spellStart"/>
      <w:r w:rsidRPr="001045F0">
        <w:rPr>
          <w:lang w:val="en-US"/>
        </w:rPr>
        <w:t>Özet</w:t>
      </w:r>
      <w:proofErr w:type="spellEnd"/>
      <w:r w:rsidRPr="001045F0">
        <w:rPr>
          <w:lang w:val="en-US"/>
        </w:rPr>
        <w:t xml:space="preserve"> (Abstract)</w:t>
      </w:r>
    </w:p>
    <w:p w14:paraId="3E2D34EE" w14:textId="35EDA7FA" w:rsidR="001045F0" w:rsidRDefault="001045F0" w:rsidP="001045F0">
      <w:pPr>
        <w:rPr>
          <w:lang w:val="en-US"/>
        </w:rPr>
      </w:pPr>
      <w:proofErr w:type="spellStart"/>
      <w:r w:rsidRPr="001045F0">
        <w:rPr>
          <w:lang w:val="en-US"/>
        </w:rPr>
        <w:t>Anayasa</w:t>
      </w:r>
      <w:proofErr w:type="spellEnd"/>
      <w:r w:rsidRPr="001045F0">
        <w:rPr>
          <w:lang w:val="en-US"/>
        </w:rPr>
        <w:t xml:space="preserve"> </w:t>
      </w:r>
      <w:proofErr w:type="spellStart"/>
      <w:r w:rsidRPr="001045F0">
        <w:rPr>
          <w:lang w:val="en-US"/>
        </w:rPr>
        <w:t>teorisyenleri</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diğer</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yorumcuları</w:t>
      </w:r>
      <w:proofErr w:type="spellEnd"/>
      <w:r w:rsidRPr="001045F0">
        <w:rPr>
          <w:lang w:val="en-US"/>
        </w:rPr>
        <w:t xml:space="preserve">, </w:t>
      </w:r>
      <w:proofErr w:type="spellStart"/>
      <w:r w:rsidRPr="001045F0">
        <w:rPr>
          <w:lang w:val="en-US"/>
        </w:rPr>
        <w:t>mevcut</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karar</w:t>
      </w:r>
      <w:proofErr w:type="spellEnd"/>
      <w:r w:rsidRPr="001045F0">
        <w:rPr>
          <w:lang w:val="en-US"/>
        </w:rPr>
        <w:t xml:space="preserve"> alma </w:t>
      </w:r>
      <w:proofErr w:type="spellStart"/>
      <w:r w:rsidRPr="001045F0">
        <w:rPr>
          <w:lang w:val="en-US"/>
        </w:rPr>
        <w:t>sürecimizin</w:t>
      </w:r>
      <w:proofErr w:type="spellEnd"/>
      <w:r w:rsidRPr="001045F0">
        <w:rPr>
          <w:lang w:val="en-US"/>
        </w:rPr>
        <w:t xml:space="preserve"> </w:t>
      </w:r>
      <w:proofErr w:type="spellStart"/>
      <w:r w:rsidRPr="001045F0">
        <w:rPr>
          <w:lang w:val="en-US"/>
        </w:rPr>
        <w:t>belirli</w:t>
      </w:r>
      <w:proofErr w:type="spellEnd"/>
      <w:r w:rsidRPr="001045F0">
        <w:rPr>
          <w:lang w:val="en-US"/>
        </w:rPr>
        <w:t xml:space="preserve"> </w:t>
      </w:r>
      <w:proofErr w:type="spellStart"/>
      <w:r w:rsidRPr="001045F0">
        <w:rPr>
          <w:lang w:val="en-US"/>
        </w:rPr>
        <w:t>unsurlarını</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yapımızın</w:t>
      </w:r>
      <w:proofErr w:type="spellEnd"/>
      <w:r w:rsidRPr="001045F0">
        <w:rPr>
          <w:lang w:val="en-US"/>
        </w:rPr>
        <w:t xml:space="preserve"> </w:t>
      </w:r>
      <w:proofErr w:type="spellStart"/>
      <w:r w:rsidRPr="001045F0">
        <w:rPr>
          <w:lang w:val="en-US"/>
        </w:rPr>
        <w:t>doğasında</w:t>
      </w:r>
      <w:proofErr w:type="spellEnd"/>
      <w:r w:rsidRPr="001045F0">
        <w:rPr>
          <w:lang w:val="en-US"/>
        </w:rPr>
        <w:t xml:space="preserve"> var </w:t>
      </w:r>
      <w:proofErr w:type="spellStart"/>
      <w:r w:rsidRPr="001045F0">
        <w:rPr>
          <w:lang w:val="en-US"/>
        </w:rPr>
        <w:t>olan</w:t>
      </w:r>
      <w:proofErr w:type="spellEnd"/>
      <w:r w:rsidRPr="001045F0">
        <w:rPr>
          <w:lang w:val="en-US"/>
        </w:rPr>
        <w:t xml:space="preserve"> </w:t>
      </w:r>
      <w:proofErr w:type="spellStart"/>
      <w:r w:rsidRPr="001045F0">
        <w:rPr>
          <w:lang w:val="en-US"/>
        </w:rPr>
        <w:t>parçaları</w:t>
      </w:r>
      <w:proofErr w:type="spellEnd"/>
      <w:r w:rsidRPr="001045F0">
        <w:rPr>
          <w:lang w:val="en-US"/>
        </w:rPr>
        <w:t xml:space="preserve"> </w:t>
      </w:r>
      <w:proofErr w:type="spellStart"/>
      <w:r w:rsidRPr="001045F0">
        <w:rPr>
          <w:lang w:val="en-US"/>
        </w:rPr>
        <w:t>olarak</w:t>
      </w:r>
      <w:proofErr w:type="spellEnd"/>
      <w:r w:rsidRPr="001045F0">
        <w:rPr>
          <w:lang w:val="en-US"/>
        </w:rPr>
        <w:t xml:space="preserve"> </w:t>
      </w:r>
      <w:proofErr w:type="spellStart"/>
      <w:r w:rsidRPr="001045F0">
        <w:rPr>
          <w:lang w:val="en-US"/>
        </w:rPr>
        <w:t>yanlış</w:t>
      </w:r>
      <w:proofErr w:type="spellEnd"/>
      <w:r w:rsidRPr="001045F0">
        <w:rPr>
          <w:lang w:val="en-US"/>
        </w:rPr>
        <w:t xml:space="preserve"> </w:t>
      </w:r>
      <w:proofErr w:type="spellStart"/>
      <w:r w:rsidRPr="001045F0">
        <w:rPr>
          <w:lang w:val="en-US"/>
        </w:rPr>
        <w:t>değerlendiren</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bu</w:t>
      </w:r>
      <w:proofErr w:type="spellEnd"/>
      <w:r w:rsidRPr="001045F0">
        <w:rPr>
          <w:lang w:val="en-US"/>
        </w:rPr>
        <w:t xml:space="preserve"> </w:t>
      </w:r>
      <w:proofErr w:type="spellStart"/>
      <w:r w:rsidRPr="001045F0">
        <w:rPr>
          <w:lang w:val="en-US"/>
        </w:rPr>
        <w:t>sürecin</w:t>
      </w:r>
      <w:proofErr w:type="spellEnd"/>
      <w:r w:rsidRPr="001045F0">
        <w:rPr>
          <w:lang w:val="en-US"/>
        </w:rPr>
        <w:t xml:space="preserve"> </w:t>
      </w:r>
      <w:proofErr w:type="spellStart"/>
      <w:r w:rsidRPr="001045F0">
        <w:rPr>
          <w:lang w:val="en-US"/>
        </w:rPr>
        <w:t>diğer</w:t>
      </w:r>
      <w:proofErr w:type="spellEnd"/>
      <w:r w:rsidRPr="001045F0">
        <w:rPr>
          <w:lang w:val="en-US"/>
        </w:rPr>
        <w:t xml:space="preserve"> </w:t>
      </w:r>
      <w:proofErr w:type="spellStart"/>
      <w:r w:rsidRPr="001045F0">
        <w:rPr>
          <w:lang w:val="en-US"/>
        </w:rPr>
        <w:t>önemli</w:t>
      </w:r>
      <w:proofErr w:type="spellEnd"/>
      <w:r w:rsidRPr="001045F0">
        <w:rPr>
          <w:lang w:val="en-US"/>
        </w:rPr>
        <w:t xml:space="preserve"> </w:t>
      </w:r>
      <w:proofErr w:type="spellStart"/>
      <w:r w:rsidRPr="001045F0">
        <w:rPr>
          <w:lang w:val="en-US"/>
        </w:rPr>
        <w:t>yönlerini</w:t>
      </w:r>
      <w:proofErr w:type="spellEnd"/>
      <w:r w:rsidRPr="001045F0">
        <w:rPr>
          <w:lang w:val="en-US"/>
        </w:rPr>
        <w:t xml:space="preserve"> </w:t>
      </w:r>
      <w:proofErr w:type="spellStart"/>
      <w:r w:rsidRPr="001045F0">
        <w:rPr>
          <w:lang w:val="en-US"/>
        </w:rPr>
        <w:t>tamamen</w:t>
      </w:r>
      <w:proofErr w:type="spellEnd"/>
      <w:r w:rsidRPr="001045F0">
        <w:rPr>
          <w:lang w:val="en-US"/>
        </w:rPr>
        <w:t xml:space="preserve"> </w:t>
      </w:r>
      <w:proofErr w:type="spellStart"/>
      <w:r w:rsidRPr="001045F0">
        <w:rPr>
          <w:lang w:val="en-US"/>
        </w:rPr>
        <w:t>göz</w:t>
      </w:r>
      <w:proofErr w:type="spellEnd"/>
      <w:r w:rsidRPr="001045F0">
        <w:rPr>
          <w:lang w:val="en-US"/>
        </w:rPr>
        <w:t xml:space="preserve"> </w:t>
      </w:r>
      <w:proofErr w:type="spellStart"/>
      <w:r w:rsidRPr="001045F0">
        <w:rPr>
          <w:lang w:val="en-US"/>
        </w:rPr>
        <w:t>ardı</w:t>
      </w:r>
      <w:proofErr w:type="spellEnd"/>
      <w:r w:rsidRPr="001045F0">
        <w:rPr>
          <w:lang w:val="en-US"/>
        </w:rPr>
        <w:t xml:space="preserve"> </w:t>
      </w:r>
      <w:proofErr w:type="spellStart"/>
      <w:r w:rsidRPr="001045F0">
        <w:rPr>
          <w:lang w:val="en-US"/>
        </w:rPr>
        <w:t>eden</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paradigma</w:t>
      </w:r>
      <w:proofErr w:type="spellEnd"/>
      <w:r w:rsidRPr="001045F0">
        <w:rPr>
          <w:lang w:val="en-US"/>
        </w:rPr>
        <w:t xml:space="preserve"> </w:t>
      </w:r>
      <w:proofErr w:type="spellStart"/>
      <w:r w:rsidRPr="001045F0">
        <w:rPr>
          <w:lang w:val="en-US"/>
        </w:rPr>
        <w:t>kullanmaktadır</w:t>
      </w:r>
      <w:proofErr w:type="spellEnd"/>
      <w:r w:rsidRPr="001045F0">
        <w:rPr>
          <w:lang w:val="en-US"/>
        </w:rPr>
        <w:t xml:space="preserve">. Bu </w:t>
      </w:r>
      <w:proofErr w:type="spellStart"/>
      <w:r w:rsidRPr="001045F0">
        <w:rPr>
          <w:lang w:val="en-US"/>
        </w:rPr>
        <w:t>tür</w:t>
      </w:r>
      <w:proofErr w:type="spellEnd"/>
      <w:r w:rsidRPr="001045F0">
        <w:rPr>
          <w:lang w:val="en-US"/>
        </w:rPr>
        <w:t xml:space="preserve"> </w:t>
      </w:r>
      <w:proofErr w:type="spellStart"/>
      <w:r w:rsidRPr="001045F0">
        <w:rPr>
          <w:lang w:val="en-US"/>
        </w:rPr>
        <w:t>çarpıtmalar</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göz</w:t>
      </w:r>
      <w:proofErr w:type="spellEnd"/>
      <w:r w:rsidRPr="001045F0">
        <w:rPr>
          <w:lang w:val="en-US"/>
        </w:rPr>
        <w:t xml:space="preserve"> </w:t>
      </w:r>
      <w:proofErr w:type="spellStart"/>
      <w:r w:rsidRPr="001045F0">
        <w:rPr>
          <w:lang w:val="en-US"/>
        </w:rPr>
        <w:t>ardı</w:t>
      </w:r>
      <w:proofErr w:type="spellEnd"/>
      <w:r w:rsidRPr="001045F0">
        <w:rPr>
          <w:lang w:val="en-US"/>
        </w:rPr>
        <w:t xml:space="preserve"> </w:t>
      </w:r>
      <w:proofErr w:type="spellStart"/>
      <w:r w:rsidRPr="001045F0">
        <w:rPr>
          <w:lang w:val="en-US"/>
        </w:rPr>
        <w:t>edilen</w:t>
      </w:r>
      <w:proofErr w:type="spellEnd"/>
      <w:r w:rsidRPr="001045F0">
        <w:rPr>
          <w:lang w:val="en-US"/>
        </w:rPr>
        <w:t xml:space="preserve"> </w:t>
      </w:r>
      <w:proofErr w:type="spellStart"/>
      <w:r w:rsidRPr="001045F0">
        <w:rPr>
          <w:lang w:val="en-US"/>
        </w:rPr>
        <w:t>unsurlar</w:t>
      </w:r>
      <w:proofErr w:type="spellEnd"/>
      <w:r w:rsidRPr="001045F0">
        <w:rPr>
          <w:lang w:val="en-US"/>
        </w:rPr>
        <w:t xml:space="preserve">, </w:t>
      </w:r>
      <w:proofErr w:type="spellStart"/>
      <w:r w:rsidRPr="001045F0">
        <w:rPr>
          <w:lang w:val="en-US"/>
        </w:rPr>
        <w:t>betimleyici</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yorumların</w:t>
      </w:r>
      <w:proofErr w:type="spellEnd"/>
      <w:r w:rsidRPr="001045F0">
        <w:rPr>
          <w:lang w:val="en-US"/>
        </w:rPr>
        <w:t xml:space="preserve"> </w:t>
      </w:r>
      <w:proofErr w:type="spellStart"/>
      <w:r w:rsidRPr="001045F0">
        <w:rPr>
          <w:lang w:val="en-US"/>
        </w:rPr>
        <w:t>doğruluğu</w:t>
      </w:r>
      <w:proofErr w:type="spellEnd"/>
      <w:r w:rsidRPr="001045F0">
        <w:rPr>
          <w:lang w:val="en-US"/>
        </w:rPr>
        <w:t xml:space="preserve"> </w:t>
      </w:r>
      <w:proofErr w:type="spellStart"/>
      <w:r w:rsidRPr="001045F0">
        <w:rPr>
          <w:lang w:val="en-US"/>
        </w:rPr>
        <w:t>ile</w:t>
      </w:r>
      <w:proofErr w:type="spellEnd"/>
      <w:r w:rsidRPr="001045F0">
        <w:rPr>
          <w:lang w:val="en-US"/>
        </w:rPr>
        <w:t xml:space="preserve"> </w:t>
      </w:r>
      <w:proofErr w:type="spellStart"/>
      <w:r w:rsidRPr="001045F0">
        <w:rPr>
          <w:lang w:val="en-US"/>
        </w:rPr>
        <w:t>daha</w:t>
      </w:r>
      <w:proofErr w:type="spellEnd"/>
      <w:r w:rsidRPr="001045F0">
        <w:rPr>
          <w:lang w:val="en-US"/>
        </w:rPr>
        <w:t xml:space="preserve"> </w:t>
      </w:r>
      <w:proofErr w:type="spellStart"/>
      <w:r w:rsidRPr="001045F0">
        <w:rPr>
          <w:lang w:val="en-US"/>
        </w:rPr>
        <w:t>normatif</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değerlendirmeye</w:t>
      </w:r>
      <w:proofErr w:type="spellEnd"/>
      <w:r w:rsidRPr="001045F0">
        <w:rPr>
          <w:lang w:val="en-US"/>
        </w:rPr>
        <w:t xml:space="preserve"> </w:t>
      </w:r>
      <w:proofErr w:type="spellStart"/>
      <w:r w:rsidRPr="001045F0">
        <w:rPr>
          <w:lang w:val="en-US"/>
        </w:rPr>
        <w:t>dayalı</w:t>
      </w:r>
      <w:proofErr w:type="spellEnd"/>
      <w:r w:rsidRPr="001045F0">
        <w:rPr>
          <w:lang w:val="en-US"/>
        </w:rPr>
        <w:t xml:space="preserve"> </w:t>
      </w:r>
      <w:proofErr w:type="spellStart"/>
      <w:r w:rsidRPr="001045F0">
        <w:rPr>
          <w:lang w:val="en-US"/>
        </w:rPr>
        <w:t>çalışmaların</w:t>
      </w:r>
      <w:proofErr w:type="spellEnd"/>
      <w:r w:rsidRPr="001045F0">
        <w:rPr>
          <w:lang w:val="en-US"/>
        </w:rPr>
        <w:t xml:space="preserve"> </w:t>
      </w:r>
      <w:proofErr w:type="spellStart"/>
      <w:r w:rsidRPr="001045F0">
        <w:rPr>
          <w:lang w:val="en-US"/>
        </w:rPr>
        <w:t>temelleri</w:t>
      </w:r>
      <w:proofErr w:type="spellEnd"/>
      <w:r w:rsidRPr="001045F0">
        <w:rPr>
          <w:lang w:val="en-US"/>
        </w:rPr>
        <w:t xml:space="preserve"> </w:t>
      </w:r>
      <w:proofErr w:type="spellStart"/>
      <w:r w:rsidRPr="001045F0">
        <w:rPr>
          <w:lang w:val="en-US"/>
        </w:rPr>
        <w:t>hakkında</w:t>
      </w:r>
      <w:proofErr w:type="spellEnd"/>
      <w:r w:rsidRPr="001045F0">
        <w:rPr>
          <w:lang w:val="en-US"/>
        </w:rPr>
        <w:t xml:space="preserve"> </w:t>
      </w:r>
      <w:proofErr w:type="spellStart"/>
      <w:r w:rsidRPr="001045F0">
        <w:rPr>
          <w:lang w:val="en-US"/>
        </w:rPr>
        <w:t>kaygılar</w:t>
      </w:r>
      <w:proofErr w:type="spellEnd"/>
      <w:r w:rsidRPr="001045F0">
        <w:rPr>
          <w:lang w:val="en-US"/>
        </w:rPr>
        <w:t xml:space="preserve"> </w:t>
      </w:r>
      <w:proofErr w:type="spellStart"/>
      <w:r w:rsidRPr="001045F0">
        <w:rPr>
          <w:lang w:val="en-US"/>
        </w:rPr>
        <w:t>doğurmaktadır</w:t>
      </w:r>
      <w:proofErr w:type="spellEnd"/>
      <w:r w:rsidRPr="001045F0">
        <w:rPr>
          <w:lang w:val="en-US"/>
        </w:rPr>
        <w:t xml:space="preserve">. </w:t>
      </w:r>
      <w:proofErr w:type="spellStart"/>
      <w:r w:rsidRPr="001045F0">
        <w:rPr>
          <w:lang w:val="en-US"/>
        </w:rPr>
        <w:t>Kısmen</w:t>
      </w:r>
      <w:proofErr w:type="spellEnd"/>
      <w:r w:rsidRPr="001045F0">
        <w:rPr>
          <w:lang w:val="en-US"/>
        </w:rPr>
        <w:t xml:space="preserve"> </w:t>
      </w:r>
      <w:proofErr w:type="spellStart"/>
      <w:r w:rsidRPr="001045F0">
        <w:rPr>
          <w:lang w:val="en-US"/>
        </w:rPr>
        <w:t>gelişmekte</w:t>
      </w:r>
      <w:proofErr w:type="spellEnd"/>
      <w:r w:rsidRPr="001045F0">
        <w:rPr>
          <w:lang w:val="en-US"/>
        </w:rPr>
        <w:t xml:space="preserve"> </w:t>
      </w:r>
      <w:proofErr w:type="spellStart"/>
      <w:r w:rsidRPr="001045F0">
        <w:rPr>
          <w:lang w:val="en-US"/>
        </w:rPr>
        <w:t>olan</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literatüre</w:t>
      </w:r>
      <w:proofErr w:type="spellEnd"/>
      <w:r w:rsidRPr="001045F0">
        <w:rPr>
          <w:lang w:val="en-US"/>
        </w:rPr>
        <w:t xml:space="preserve"> </w:t>
      </w:r>
      <w:proofErr w:type="spellStart"/>
      <w:r w:rsidRPr="001045F0">
        <w:rPr>
          <w:lang w:val="en-US"/>
        </w:rPr>
        <w:t>dayanan</w:t>
      </w:r>
      <w:proofErr w:type="spellEnd"/>
      <w:r w:rsidRPr="001045F0">
        <w:rPr>
          <w:lang w:val="en-US"/>
        </w:rPr>
        <w:t xml:space="preserve"> </w:t>
      </w:r>
      <w:proofErr w:type="spellStart"/>
      <w:r w:rsidRPr="001045F0">
        <w:rPr>
          <w:lang w:val="en-US"/>
        </w:rPr>
        <w:t>bu</w:t>
      </w:r>
      <w:proofErr w:type="spellEnd"/>
      <w:r w:rsidRPr="001045F0">
        <w:rPr>
          <w:lang w:val="en-US"/>
        </w:rPr>
        <w:t xml:space="preserve"> </w:t>
      </w:r>
      <w:proofErr w:type="spellStart"/>
      <w:r w:rsidRPr="001045F0">
        <w:rPr>
          <w:lang w:val="en-US"/>
        </w:rPr>
        <w:t>makale</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hukukun</w:t>
      </w:r>
      <w:proofErr w:type="spellEnd"/>
      <w:r w:rsidRPr="001045F0">
        <w:rPr>
          <w:lang w:val="en-US"/>
        </w:rPr>
        <w:t xml:space="preserve"> </w:t>
      </w:r>
      <w:proofErr w:type="spellStart"/>
      <w:r w:rsidRPr="001045F0">
        <w:rPr>
          <w:lang w:val="en-US"/>
        </w:rPr>
        <w:t>oluşturulma</w:t>
      </w:r>
      <w:proofErr w:type="spellEnd"/>
      <w:r w:rsidRPr="001045F0">
        <w:rPr>
          <w:lang w:val="en-US"/>
        </w:rPr>
        <w:t xml:space="preserve"> </w:t>
      </w:r>
      <w:proofErr w:type="spellStart"/>
      <w:r w:rsidRPr="001045F0">
        <w:rPr>
          <w:lang w:val="en-US"/>
        </w:rPr>
        <w:t>sürecine</w:t>
      </w:r>
      <w:proofErr w:type="spellEnd"/>
      <w:r w:rsidRPr="001045F0">
        <w:rPr>
          <w:lang w:val="en-US"/>
        </w:rPr>
        <w:t xml:space="preserve"> </w:t>
      </w:r>
      <w:proofErr w:type="spellStart"/>
      <w:r w:rsidRPr="001045F0">
        <w:rPr>
          <w:lang w:val="en-US"/>
        </w:rPr>
        <w:t>ilişkin</w:t>
      </w:r>
      <w:proofErr w:type="spellEnd"/>
      <w:r w:rsidRPr="001045F0">
        <w:rPr>
          <w:lang w:val="en-US"/>
        </w:rPr>
        <w:t xml:space="preserve"> yeni </w:t>
      </w:r>
      <w:proofErr w:type="spellStart"/>
      <w:r w:rsidRPr="001045F0">
        <w:rPr>
          <w:lang w:val="en-US"/>
        </w:rPr>
        <w:t>bir</w:t>
      </w:r>
      <w:proofErr w:type="spellEnd"/>
      <w:r w:rsidRPr="001045F0">
        <w:rPr>
          <w:lang w:val="en-US"/>
        </w:rPr>
        <w:t xml:space="preserve"> </w:t>
      </w:r>
      <w:proofErr w:type="spellStart"/>
      <w:r w:rsidRPr="001045F0">
        <w:rPr>
          <w:lang w:val="en-US"/>
        </w:rPr>
        <w:t>paradigma</w:t>
      </w:r>
      <w:proofErr w:type="spellEnd"/>
      <w:r w:rsidRPr="001045F0">
        <w:rPr>
          <w:lang w:val="en-US"/>
        </w:rPr>
        <w:t xml:space="preserve"> </w:t>
      </w:r>
      <w:proofErr w:type="spellStart"/>
      <w:r w:rsidRPr="001045F0">
        <w:rPr>
          <w:lang w:val="en-US"/>
        </w:rPr>
        <w:t>önermektedir</w:t>
      </w:r>
      <w:proofErr w:type="spellEnd"/>
      <w:r w:rsidRPr="001045F0">
        <w:rPr>
          <w:lang w:val="en-US"/>
        </w:rPr>
        <w:t xml:space="preserve">. Bu </w:t>
      </w:r>
      <w:proofErr w:type="spellStart"/>
      <w:r w:rsidRPr="001045F0">
        <w:rPr>
          <w:lang w:val="en-US"/>
        </w:rPr>
        <w:t>paradigma</w:t>
      </w:r>
      <w:proofErr w:type="spellEnd"/>
      <w:r w:rsidRPr="001045F0">
        <w:rPr>
          <w:lang w:val="en-US"/>
        </w:rPr>
        <w:t xml:space="preserve">, </w:t>
      </w:r>
      <w:proofErr w:type="spellStart"/>
      <w:r w:rsidRPr="001045F0">
        <w:rPr>
          <w:lang w:val="en-US"/>
        </w:rPr>
        <w:t>kurumsal</w:t>
      </w:r>
      <w:proofErr w:type="spellEnd"/>
      <w:r w:rsidRPr="001045F0">
        <w:rPr>
          <w:lang w:val="en-US"/>
        </w:rPr>
        <w:t xml:space="preserve"> </w:t>
      </w:r>
      <w:proofErr w:type="spellStart"/>
      <w:r w:rsidRPr="001045F0">
        <w:rPr>
          <w:lang w:val="en-US"/>
        </w:rPr>
        <w:t>düzenlemelerimizin</w:t>
      </w:r>
      <w:proofErr w:type="spellEnd"/>
      <w:r w:rsidRPr="001045F0">
        <w:rPr>
          <w:lang w:val="en-US"/>
        </w:rPr>
        <w:t xml:space="preserve">, </w:t>
      </w:r>
      <w:proofErr w:type="spellStart"/>
      <w:r w:rsidRPr="001045F0">
        <w:rPr>
          <w:lang w:val="en-US"/>
        </w:rPr>
        <w:t>uygulamalarımızın</w:t>
      </w:r>
      <w:proofErr w:type="spellEnd"/>
      <w:r w:rsidRPr="001045F0">
        <w:rPr>
          <w:lang w:val="en-US"/>
        </w:rPr>
        <w:t xml:space="preserve">, </w:t>
      </w:r>
      <w:proofErr w:type="spellStart"/>
      <w:r w:rsidRPr="001045F0">
        <w:rPr>
          <w:lang w:val="en-US"/>
        </w:rPr>
        <w:t>normlarımızın</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düşünce</w:t>
      </w:r>
      <w:proofErr w:type="spellEnd"/>
      <w:r w:rsidRPr="001045F0">
        <w:rPr>
          <w:lang w:val="en-US"/>
        </w:rPr>
        <w:t xml:space="preserve"> </w:t>
      </w:r>
      <w:proofErr w:type="spellStart"/>
      <w:r w:rsidRPr="001045F0">
        <w:rPr>
          <w:lang w:val="en-US"/>
        </w:rPr>
        <w:t>alışkanlıklarımızın</w:t>
      </w:r>
      <w:proofErr w:type="spellEnd"/>
      <w:r w:rsidRPr="001045F0">
        <w:rPr>
          <w:lang w:val="en-US"/>
        </w:rPr>
        <w:t xml:space="preserve"> </w:t>
      </w:r>
      <w:proofErr w:type="spellStart"/>
      <w:r w:rsidRPr="001045F0">
        <w:rPr>
          <w:lang w:val="en-US"/>
        </w:rPr>
        <w:t>büyük</w:t>
      </w:r>
      <w:proofErr w:type="spellEnd"/>
      <w:r w:rsidRPr="001045F0">
        <w:rPr>
          <w:lang w:val="en-US"/>
        </w:rPr>
        <w:t xml:space="preserve"> </w:t>
      </w:r>
      <w:proofErr w:type="spellStart"/>
      <w:r w:rsidRPr="001045F0">
        <w:rPr>
          <w:lang w:val="en-US"/>
        </w:rPr>
        <w:t>çoğunluğunun</w:t>
      </w:r>
      <w:proofErr w:type="spellEnd"/>
      <w:r w:rsidRPr="001045F0">
        <w:rPr>
          <w:lang w:val="en-US"/>
        </w:rPr>
        <w:t xml:space="preserve"> </w:t>
      </w:r>
      <w:proofErr w:type="spellStart"/>
      <w:r w:rsidRPr="001045F0">
        <w:rPr>
          <w:lang w:val="en-US"/>
        </w:rPr>
        <w:t>sadece</w:t>
      </w:r>
      <w:proofErr w:type="spellEnd"/>
      <w:r w:rsidRPr="001045F0">
        <w:rPr>
          <w:lang w:val="en-US"/>
        </w:rPr>
        <w:t xml:space="preserve"> </w:t>
      </w:r>
      <w:proofErr w:type="spellStart"/>
      <w:r w:rsidRPr="001045F0">
        <w:rPr>
          <w:lang w:val="en-US"/>
        </w:rPr>
        <w:t>isimsel</w:t>
      </w:r>
      <w:proofErr w:type="spellEnd"/>
      <w:r w:rsidRPr="001045F0">
        <w:rPr>
          <w:lang w:val="en-US"/>
        </w:rPr>
        <w:t xml:space="preserve"> (nominal), </w:t>
      </w:r>
      <w:proofErr w:type="spellStart"/>
      <w:r w:rsidRPr="001045F0">
        <w:rPr>
          <w:lang w:val="en-US"/>
        </w:rPr>
        <w:t>tarihsel</w:t>
      </w:r>
      <w:proofErr w:type="spellEnd"/>
      <w:r w:rsidRPr="001045F0">
        <w:rPr>
          <w:lang w:val="en-US"/>
        </w:rPr>
        <w:t xml:space="preserve"> </w:t>
      </w:r>
      <w:proofErr w:type="spellStart"/>
      <w:r w:rsidRPr="001045F0">
        <w:rPr>
          <w:lang w:val="en-US"/>
        </w:rPr>
        <w:t>olarak</w:t>
      </w:r>
      <w:proofErr w:type="spellEnd"/>
      <w:r w:rsidRPr="001045F0">
        <w:rPr>
          <w:lang w:val="en-US"/>
        </w:rPr>
        <w:t xml:space="preserve"> </w:t>
      </w:r>
      <w:proofErr w:type="spellStart"/>
      <w:r w:rsidRPr="001045F0">
        <w:rPr>
          <w:lang w:val="en-US"/>
        </w:rPr>
        <w:t>belirlenmiş</w:t>
      </w:r>
      <w:proofErr w:type="spellEnd"/>
      <w:r w:rsidRPr="001045F0">
        <w:rPr>
          <w:lang w:val="en-US"/>
        </w:rPr>
        <w:t xml:space="preserve"> (historically contingent) </w:t>
      </w:r>
      <w:proofErr w:type="spellStart"/>
      <w:r w:rsidRPr="001045F0">
        <w:rPr>
          <w:lang w:val="en-US"/>
        </w:rPr>
        <w:t>ve</w:t>
      </w:r>
      <w:proofErr w:type="spellEnd"/>
      <w:r w:rsidRPr="001045F0">
        <w:rPr>
          <w:lang w:val="en-US"/>
        </w:rPr>
        <w:t xml:space="preserve"> </w:t>
      </w:r>
      <w:proofErr w:type="spellStart"/>
      <w:r w:rsidRPr="001045F0">
        <w:rPr>
          <w:lang w:val="en-US"/>
        </w:rPr>
        <w:t>sürekli</w:t>
      </w:r>
      <w:proofErr w:type="spellEnd"/>
      <w:r w:rsidRPr="001045F0">
        <w:rPr>
          <w:lang w:val="en-US"/>
        </w:rPr>
        <w:t xml:space="preserve"> </w:t>
      </w:r>
      <w:proofErr w:type="spellStart"/>
      <w:r w:rsidRPr="001045F0">
        <w:rPr>
          <w:lang w:val="en-US"/>
        </w:rPr>
        <w:t>değişen</w:t>
      </w:r>
      <w:proofErr w:type="spellEnd"/>
      <w:r w:rsidRPr="001045F0">
        <w:rPr>
          <w:lang w:val="en-US"/>
        </w:rPr>
        <w:t xml:space="preserve"> </w:t>
      </w:r>
      <w:proofErr w:type="spellStart"/>
      <w:r w:rsidRPr="001045F0">
        <w:rPr>
          <w:lang w:val="en-US"/>
        </w:rPr>
        <w:t>unsurlar</w:t>
      </w:r>
      <w:proofErr w:type="spellEnd"/>
      <w:r w:rsidRPr="001045F0">
        <w:rPr>
          <w:lang w:val="en-US"/>
        </w:rPr>
        <w:t xml:space="preserve"> </w:t>
      </w:r>
      <w:proofErr w:type="spellStart"/>
      <w:r w:rsidRPr="001045F0">
        <w:rPr>
          <w:lang w:val="en-US"/>
        </w:rPr>
        <w:t>olduğunu</w:t>
      </w:r>
      <w:proofErr w:type="spellEnd"/>
      <w:r w:rsidRPr="001045F0">
        <w:rPr>
          <w:lang w:val="en-US"/>
        </w:rPr>
        <w:t xml:space="preserve"> </w:t>
      </w:r>
      <w:proofErr w:type="spellStart"/>
      <w:r w:rsidRPr="001045F0">
        <w:rPr>
          <w:lang w:val="en-US"/>
        </w:rPr>
        <w:t>kabul</w:t>
      </w:r>
      <w:proofErr w:type="spellEnd"/>
      <w:r w:rsidRPr="001045F0">
        <w:rPr>
          <w:lang w:val="en-US"/>
        </w:rPr>
        <w:t xml:space="preserve"> </w:t>
      </w:r>
      <w:proofErr w:type="spellStart"/>
      <w:r w:rsidRPr="001045F0">
        <w:rPr>
          <w:lang w:val="en-US"/>
        </w:rPr>
        <w:t>eder</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bunları</w:t>
      </w:r>
      <w:proofErr w:type="spellEnd"/>
      <w:r w:rsidRPr="001045F0">
        <w:rPr>
          <w:lang w:val="en-US"/>
        </w:rPr>
        <w:t xml:space="preserve"> </w:t>
      </w:r>
      <w:proofErr w:type="spellStart"/>
      <w:r w:rsidRPr="001045F0">
        <w:rPr>
          <w:lang w:val="en-US"/>
        </w:rPr>
        <w:t>karmaşık</w:t>
      </w:r>
      <w:proofErr w:type="spellEnd"/>
      <w:r w:rsidRPr="001045F0">
        <w:rPr>
          <w:lang w:val="en-US"/>
        </w:rPr>
        <w:t xml:space="preserve">, </w:t>
      </w:r>
      <w:proofErr w:type="spellStart"/>
      <w:r w:rsidRPr="001045F0">
        <w:rPr>
          <w:lang w:val="en-US"/>
        </w:rPr>
        <w:t>iç</w:t>
      </w:r>
      <w:proofErr w:type="spellEnd"/>
      <w:r w:rsidRPr="001045F0">
        <w:rPr>
          <w:lang w:val="en-US"/>
        </w:rPr>
        <w:t xml:space="preserve"> </w:t>
      </w:r>
      <w:proofErr w:type="spellStart"/>
      <w:r w:rsidRPr="001045F0">
        <w:rPr>
          <w:lang w:val="en-US"/>
        </w:rPr>
        <w:t>içe</w:t>
      </w:r>
      <w:proofErr w:type="spellEnd"/>
      <w:r w:rsidRPr="001045F0">
        <w:rPr>
          <w:lang w:val="en-US"/>
        </w:rPr>
        <w:t xml:space="preserve"> </w:t>
      </w:r>
      <w:proofErr w:type="spellStart"/>
      <w:r w:rsidRPr="001045F0">
        <w:rPr>
          <w:lang w:val="en-US"/>
        </w:rPr>
        <w:t>geçmiş</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kültürü</w:t>
      </w:r>
      <w:proofErr w:type="spellEnd"/>
      <w:r w:rsidRPr="001045F0">
        <w:rPr>
          <w:lang w:val="en-US"/>
        </w:rPr>
        <w:t xml:space="preserve">" (constitutional culture) </w:t>
      </w:r>
      <w:proofErr w:type="spellStart"/>
      <w:r w:rsidRPr="001045F0">
        <w:rPr>
          <w:lang w:val="en-US"/>
        </w:rPr>
        <w:t>olarak</w:t>
      </w:r>
      <w:proofErr w:type="spellEnd"/>
      <w:r w:rsidRPr="001045F0">
        <w:rPr>
          <w:lang w:val="en-US"/>
        </w:rPr>
        <w:t xml:space="preserve"> </w:t>
      </w:r>
      <w:proofErr w:type="spellStart"/>
      <w:r w:rsidRPr="001045F0">
        <w:rPr>
          <w:lang w:val="en-US"/>
        </w:rPr>
        <w:t>ele</w:t>
      </w:r>
      <w:proofErr w:type="spellEnd"/>
      <w:r w:rsidRPr="001045F0">
        <w:rPr>
          <w:lang w:val="en-US"/>
        </w:rPr>
        <w:t xml:space="preserve"> </w:t>
      </w:r>
      <w:proofErr w:type="spellStart"/>
      <w:r w:rsidRPr="001045F0">
        <w:rPr>
          <w:lang w:val="en-US"/>
        </w:rPr>
        <w:t>almayı</w:t>
      </w:r>
      <w:proofErr w:type="spellEnd"/>
      <w:r w:rsidRPr="001045F0">
        <w:rPr>
          <w:lang w:val="en-US"/>
        </w:rPr>
        <w:t xml:space="preserve"> </w:t>
      </w:r>
      <w:proofErr w:type="spellStart"/>
      <w:r w:rsidRPr="001045F0">
        <w:rPr>
          <w:lang w:val="en-US"/>
        </w:rPr>
        <w:t>amaçlar</w:t>
      </w:r>
      <w:proofErr w:type="spellEnd"/>
      <w:r w:rsidRPr="001045F0">
        <w:rPr>
          <w:lang w:val="en-US"/>
        </w:rPr>
        <w:t>.</w:t>
      </w:r>
    </w:p>
    <w:p w14:paraId="3A3AC78A" w14:textId="77777777" w:rsidR="001045F0" w:rsidRDefault="001045F0" w:rsidP="001045F0">
      <w:pPr>
        <w:pStyle w:val="Heading2"/>
      </w:pPr>
      <w:proofErr w:type="spellStart"/>
      <w:r w:rsidRPr="001045F0">
        <w:t>Giriş</w:t>
      </w:r>
      <w:proofErr w:type="spellEnd"/>
      <w:r w:rsidRPr="001045F0">
        <w:t xml:space="preserve"> (</w:t>
      </w:r>
      <w:proofErr w:type="spellStart"/>
      <w:r w:rsidRPr="001045F0">
        <w:t>Introduction</w:t>
      </w:r>
      <w:proofErr w:type="spellEnd"/>
      <w:r w:rsidRPr="001045F0">
        <w:t>)</w:t>
      </w:r>
    </w:p>
    <w:p w14:paraId="5A768D6E" w14:textId="74FA8228" w:rsidR="001045F0" w:rsidRDefault="001045F0" w:rsidP="001045F0">
      <w:pPr>
        <w:rPr>
          <w:lang w:val="es-ES"/>
        </w:rPr>
      </w:pPr>
      <w:r w:rsidRPr="001045F0">
        <w:rPr>
          <w:lang w:val="en-US"/>
        </w:rPr>
        <w:t xml:space="preserve">Bu </w:t>
      </w:r>
      <w:proofErr w:type="spellStart"/>
      <w:r w:rsidRPr="001045F0">
        <w:rPr>
          <w:lang w:val="en-US"/>
        </w:rPr>
        <w:t>makale</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hukukunun</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metinden</w:t>
      </w:r>
      <w:proofErr w:type="spellEnd"/>
      <w:r w:rsidRPr="001045F0">
        <w:rPr>
          <w:lang w:val="en-US"/>
        </w:rPr>
        <w:t xml:space="preserve"> tam </w:t>
      </w:r>
      <w:proofErr w:type="spellStart"/>
      <w:r w:rsidRPr="001045F0">
        <w:rPr>
          <w:lang w:val="en-US"/>
        </w:rPr>
        <w:t>ve</w:t>
      </w:r>
      <w:proofErr w:type="spellEnd"/>
      <w:r w:rsidRPr="001045F0">
        <w:rPr>
          <w:lang w:val="en-US"/>
        </w:rPr>
        <w:t xml:space="preserve"> </w:t>
      </w:r>
      <w:proofErr w:type="spellStart"/>
      <w:r w:rsidRPr="001045F0">
        <w:rPr>
          <w:lang w:val="en-US"/>
        </w:rPr>
        <w:t>eksiksiz</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biçimde</w:t>
      </w:r>
      <w:proofErr w:type="spellEnd"/>
      <w:r w:rsidRPr="001045F0">
        <w:rPr>
          <w:lang w:val="en-US"/>
        </w:rPr>
        <w:t xml:space="preserve"> </w:t>
      </w:r>
      <w:proofErr w:type="spellStart"/>
      <w:r w:rsidRPr="001045F0">
        <w:rPr>
          <w:lang w:val="en-US"/>
        </w:rPr>
        <w:t>ortaya</w:t>
      </w:r>
      <w:proofErr w:type="spellEnd"/>
      <w:r w:rsidRPr="001045F0">
        <w:rPr>
          <w:lang w:val="en-US"/>
        </w:rPr>
        <w:t xml:space="preserve"> </w:t>
      </w:r>
      <w:proofErr w:type="spellStart"/>
      <w:r w:rsidRPr="001045F0">
        <w:rPr>
          <w:lang w:val="en-US"/>
        </w:rPr>
        <w:t>çıkmadığı</w:t>
      </w:r>
      <w:proofErr w:type="spellEnd"/>
      <w:r w:rsidRPr="001045F0">
        <w:rPr>
          <w:lang w:val="en-US"/>
        </w:rPr>
        <w:t xml:space="preserve"> </w:t>
      </w:r>
      <w:proofErr w:type="spellStart"/>
      <w:r w:rsidRPr="001045F0">
        <w:rPr>
          <w:lang w:val="en-US"/>
        </w:rPr>
        <w:t>basit</w:t>
      </w:r>
      <w:proofErr w:type="spellEnd"/>
      <w:r w:rsidRPr="001045F0">
        <w:rPr>
          <w:lang w:val="en-US"/>
        </w:rPr>
        <w:t xml:space="preserve"> </w:t>
      </w:r>
      <w:proofErr w:type="spellStart"/>
      <w:r w:rsidRPr="001045F0">
        <w:rPr>
          <w:lang w:val="en-US"/>
        </w:rPr>
        <w:t>önermesiyle</w:t>
      </w:r>
      <w:proofErr w:type="spellEnd"/>
      <w:r w:rsidRPr="001045F0">
        <w:rPr>
          <w:lang w:val="en-US"/>
        </w:rPr>
        <w:t xml:space="preserve"> </w:t>
      </w:r>
      <w:proofErr w:type="spellStart"/>
      <w:r w:rsidRPr="001045F0">
        <w:rPr>
          <w:lang w:val="en-US"/>
        </w:rPr>
        <w:t>başlamaktadır</w:t>
      </w:r>
      <w:proofErr w:type="spellEnd"/>
      <w:r w:rsidRPr="001045F0">
        <w:rPr>
          <w:lang w:val="en-US"/>
        </w:rPr>
        <w:t xml:space="preserve">. </w:t>
      </w:r>
      <w:proofErr w:type="spellStart"/>
      <w:r w:rsidRPr="001045F0">
        <w:rPr>
          <w:lang w:val="en-US"/>
        </w:rPr>
        <w:t>Ayrıca</w:t>
      </w:r>
      <w:proofErr w:type="spellEnd"/>
      <w:r w:rsidRPr="001045F0">
        <w:rPr>
          <w:lang w:val="en-US"/>
        </w:rPr>
        <w:t xml:space="preserve">, </w:t>
      </w:r>
      <w:proofErr w:type="spellStart"/>
      <w:r w:rsidRPr="001045F0">
        <w:rPr>
          <w:lang w:val="en-US"/>
        </w:rPr>
        <w:t>birçok</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teorisyeninin</w:t>
      </w:r>
      <w:proofErr w:type="spellEnd"/>
      <w:r w:rsidRPr="001045F0">
        <w:rPr>
          <w:lang w:val="en-US"/>
        </w:rPr>
        <w:t xml:space="preserve"> </w:t>
      </w:r>
      <w:proofErr w:type="spellStart"/>
      <w:r w:rsidRPr="001045F0">
        <w:rPr>
          <w:lang w:val="en-US"/>
        </w:rPr>
        <w:t>öne</w:t>
      </w:r>
      <w:proofErr w:type="spellEnd"/>
      <w:r w:rsidRPr="001045F0">
        <w:rPr>
          <w:lang w:val="en-US"/>
        </w:rPr>
        <w:t xml:space="preserve"> </w:t>
      </w:r>
      <w:proofErr w:type="spellStart"/>
      <w:r w:rsidRPr="001045F0">
        <w:rPr>
          <w:lang w:val="en-US"/>
        </w:rPr>
        <w:t>sürdüğünün</w:t>
      </w:r>
      <w:proofErr w:type="spellEnd"/>
      <w:r w:rsidRPr="001045F0">
        <w:rPr>
          <w:lang w:val="en-US"/>
        </w:rPr>
        <w:t xml:space="preserve"> </w:t>
      </w:r>
      <w:proofErr w:type="spellStart"/>
      <w:r w:rsidRPr="001045F0">
        <w:rPr>
          <w:lang w:val="en-US"/>
        </w:rPr>
        <w:t>aksine</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hukuku</w:t>
      </w:r>
      <w:proofErr w:type="spellEnd"/>
      <w:r w:rsidRPr="001045F0">
        <w:rPr>
          <w:lang w:val="en-US"/>
        </w:rPr>
        <w:t xml:space="preserve">, </w:t>
      </w:r>
      <w:proofErr w:type="spellStart"/>
      <w:r w:rsidRPr="001045F0">
        <w:rPr>
          <w:lang w:val="en-US"/>
        </w:rPr>
        <w:t>yarı-nesnel</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bağlamdan</w:t>
      </w:r>
      <w:proofErr w:type="spellEnd"/>
      <w:r w:rsidRPr="001045F0">
        <w:rPr>
          <w:lang w:val="en-US"/>
        </w:rPr>
        <w:t xml:space="preserve"> </w:t>
      </w:r>
      <w:proofErr w:type="spellStart"/>
      <w:r w:rsidRPr="001045F0">
        <w:rPr>
          <w:lang w:val="en-US"/>
        </w:rPr>
        <w:t>kopuk</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yorum</w:t>
      </w:r>
      <w:proofErr w:type="spellEnd"/>
      <w:r w:rsidRPr="001045F0">
        <w:rPr>
          <w:lang w:val="en-US"/>
        </w:rPr>
        <w:t xml:space="preserve">" (constitutional interpretation) </w:t>
      </w:r>
      <w:proofErr w:type="spellStart"/>
      <w:r w:rsidRPr="001045F0">
        <w:rPr>
          <w:lang w:val="en-US"/>
        </w:rPr>
        <w:t>sürecinin</w:t>
      </w:r>
      <w:proofErr w:type="spellEnd"/>
      <w:r w:rsidRPr="001045F0">
        <w:rPr>
          <w:lang w:val="en-US"/>
        </w:rPr>
        <w:t xml:space="preserve"> </w:t>
      </w:r>
      <w:proofErr w:type="spellStart"/>
      <w:r w:rsidRPr="001045F0">
        <w:rPr>
          <w:lang w:val="en-US"/>
        </w:rPr>
        <w:t>sonucu</w:t>
      </w:r>
      <w:proofErr w:type="spellEnd"/>
      <w:r w:rsidRPr="001045F0">
        <w:rPr>
          <w:lang w:val="en-US"/>
        </w:rPr>
        <w:t xml:space="preserve"> değildir¹.</w:t>
      </w:r>
      <w:r>
        <w:rPr>
          <w:lang w:val="en-US"/>
        </w:rPr>
        <w:t xml:space="preserve"> </w:t>
      </w:r>
      <w:r>
        <w:rPr>
          <w:rStyle w:val="FootnoteReference"/>
          <w:lang w:val="en-US"/>
        </w:rPr>
        <w:footnoteReference w:id="1"/>
      </w:r>
      <w:r w:rsidRPr="001045F0">
        <w:rPr>
          <w:lang w:val="en-US"/>
        </w:rPr>
        <w:t xml:space="preserve"> </w:t>
      </w:r>
      <w:proofErr w:type="spellStart"/>
      <w:r w:rsidRPr="001045F0">
        <w:rPr>
          <w:lang w:val="en-US"/>
        </w:rPr>
        <w:t>Aksine</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hukuku</w:t>
      </w:r>
      <w:proofErr w:type="spellEnd"/>
      <w:r w:rsidRPr="001045F0">
        <w:rPr>
          <w:lang w:val="en-US"/>
        </w:rPr>
        <w:t xml:space="preserve">, </w:t>
      </w:r>
      <w:proofErr w:type="spellStart"/>
      <w:r w:rsidRPr="001045F0">
        <w:rPr>
          <w:lang w:val="en-US"/>
        </w:rPr>
        <w:t>metnin</w:t>
      </w:r>
      <w:proofErr w:type="spellEnd"/>
      <w:r w:rsidRPr="001045F0">
        <w:rPr>
          <w:lang w:val="en-US"/>
        </w:rPr>
        <w:t xml:space="preserve"> </w:t>
      </w:r>
      <w:proofErr w:type="spellStart"/>
      <w:r w:rsidRPr="001045F0">
        <w:rPr>
          <w:lang w:val="en-US"/>
        </w:rPr>
        <w:t>açık</w:t>
      </w:r>
      <w:proofErr w:type="spellEnd"/>
      <w:r w:rsidRPr="001045F0">
        <w:rPr>
          <w:lang w:val="en-US"/>
        </w:rPr>
        <w:t xml:space="preserve"> </w:t>
      </w:r>
      <w:proofErr w:type="spellStart"/>
      <w:r w:rsidRPr="001045F0">
        <w:rPr>
          <w:lang w:val="en-US"/>
        </w:rPr>
        <w:t>uçlu</w:t>
      </w:r>
      <w:proofErr w:type="spellEnd"/>
      <w:r w:rsidRPr="001045F0">
        <w:rPr>
          <w:lang w:val="en-US"/>
        </w:rPr>
        <w:t xml:space="preserve"> </w:t>
      </w:r>
      <w:proofErr w:type="spellStart"/>
      <w:r w:rsidRPr="001045F0">
        <w:rPr>
          <w:lang w:val="en-US"/>
        </w:rPr>
        <w:t>hükümlerine</w:t>
      </w:r>
      <w:proofErr w:type="spellEnd"/>
      <w:r w:rsidRPr="001045F0">
        <w:rPr>
          <w:lang w:val="en-US"/>
        </w:rPr>
        <w:t xml:space="preserve"> </w:t>
      </w:r>
      <w:proofErr w:type="spellStart"/>
      <w:r w:rsidRPr="001045F0">
        <w:rPr>
          <w:lang w:val="en-US"/>
        </w:rPr>
        <w:t>ilişkin</w:t>
      </w:r>
      <w:proofErr w:type="spellEnd"/>
      <w:r w:rsidRPr="001045F0">
        <w:rPr>
          <w:lang w:val="en-US"/>
        </w:rPr>
        <w:t xml:space="preserve"> </w:t>
      </w:r>
      <w:proofErr w:type="spellStart"/>
      <w:r w:rsidRPr="001045F0">
        <w:rPr>
          <w:lang w:val="en-US"/>
        </w:rPr>
        <w:t>somut</w:t>
      </w:r>
      <w:proofErr w:type="spellEnd"/>
      <w:r w:rsidRPr="001045F0">
        <w:rPr>
          <w:lang w:val="en-US"/>
        </w:rPr>
        <w:t xml:space="preserve"> </w:t>
      </w:r>
      <w:proofErr w:type="spellStart"/>
      <w:r w:rsidRPr="001045F0">
        <w:rPr>
          <w:lang w:val="en-US"/>
        </w:rPr>
        <w:t>sonuçlara</w:t>
      </w:r>
      <w:proofErr w:type="spellEnd"/>
      <w:r w:rsidRPr="001045F0">
        <w:rPr>
          <w:lang w:val="en-US"/>
        </w:rPr>
        <w:t xml:space="preserve"> </w:t>
      </w:r>
      <w:proofErr w:type="spellStart"/>
      <w:r w:rsidRPr="001045F0">
        <w:rPr>
          <w:lang w:val="en-US"/>
        </w:rPr>
        <w:t>dair</w:t>
      </w:r>
      <w:proofErr w:type="spellEnd"/>
      <w:r w:rsidRPr="001045F0">
        <w:rPr>
          <w:lang w:val="en-US"/>
        </w:rPr>
        <w:t xml:space="preserve"> </w:t>
      </w:r>
      <w:proofErr w:type="spellStart"/>
      <w:r w:rsidRPr="001045F0">
        <w:rPr>
          <w:lang w:val="en-US"/>
        </w:rPr>
        <w:t>iddiaların</w:t>
      </w:r>
      <w:proofErr w:type="spellEnd"/>
      <w:r w:rsidRPr="001045F0">
        <w:rPr>
          <w:lang w:val="en-US"/>
        </w:rPr>
        <w:t xml:space="preserve">, </w:t>
      </w:r>
      <w:proofErr w:type="spellStart"/>
      <w:r w:rsidRPr="001045F0">
        <w:rPr>
          <w:lang w:val="en-US"/>
        </w:rPr>
        <w:t>sürekli</w:t>
      </w:r>
      <w:proofErr w:type="spellEnd"/>
      <w:r w:rsidRPr="001045F0">
        <w:rPr>
          <w:lang w:val="en-US"/>
        </w:rPr>
        <w:t xml:space="preserve"> </w:t>
      </w:r>
      <w:proofErr w:type="spellStart"/>
      <w:r w:rsidRPr="001045F0">
        <w:rPr>
          <w:lang w:val="en-US"/>
        </w:rPr>
        <w:t>değişen</w:t>
      </w:r>
      <w:proofErr w:type="spellEnd"/>
      <w:r w:rsidRPr="001045F0">
        <w:rPr>
          <w:lang w:val="en-US"/>
        </w:rPr>
        <w:t xml:space="preserve"> </w:t>
      </w:r>
      <w:proofErr w:type="spellStart"/>
      <w:r w:rsidRPr="001045F0">
        <w:rPr>
          <w:lang w:val="en-US"/>
        </w:rPr>
        <w:t>kurumsal</w:t>
      </w:r>
      <w:proofErr w:type="spellEnd"/>
      <w:r w:rsidRPr="001045F0">
        <w:rPr>
          <w:lang w:val="en-US"/>
        </w:rPr>
        <w:t xml:space="preserve"> </w:t>
      </w:r>
      <w:proofErr w:type="spellStart"/>
      <w:r w:rsidRPr="001045F0">
        <w:rPr>
          <w:lang w:val="en-US"/>
        </w:rPr>
        <w:t>düzenlemeler</w:t>
      </w:r>
      <w:proofErr w:type="spellEnd"/>
      <w:r w:rsidRPr="001045F0">
        <w:rPr>
          <w:lang w:val="en-US"/>
        </w:rPr>
        <w:t xml:space="preserve">, </w:t>
      </w:r>
      <w:proofErr w:type="spellStart"/>
      <w:r w:rsidRPr="001045F0">
        <w:rPr>
          <w:lang w:val="en-US"/>
        </w:rPr>
        <w:t>tarihsel</w:t>
      </w:r>
      <w:proofErr w:type="spellEnd"/>
      <w:r w:rsidRPr="001045F0">
        <w:rPr>
          <w:lang w:val="en-US"/>
        </w:rPr>
        <w:t xml:space="preserve"> </w:t>
      </w:r>
      <w:proofErr w:type="spellStart"/>
      <w:r w:rsidRPr="001045F0">
        <w:rPr>
          <w:lang w:val="en-US"/>
        </w:rPr>
        <w:t>olarak</w:t>
      </w:r>
      <w:proofErr w:type="spellEnd"/>
      <w:r w:rsidRPr="001045F0">
        <w:rPr>
          <w:lang w:val="en-US"/>
        </w:rPr>
        <w:t xml:space="preserve"> </w:t>
      </w:r>
      <w:proofErr w:type="spellStart"/>
      <w:r w:rsidRPr="001045F0">
        <w:rPr>
          <w:lang w:val="en-US"/>
        </w:rPr>
        <w:t>belirlenmiş</w:t>
      </w:r>
      <w:proofErr w:type="spellEnd"/>
      <w:r w:rsidRPr="001045F0">
        <w:rPr>
          <w:lang w:val="en-US"/>
        </w:rPr>
        <w:t xml:space="preserve"> </w:t>
      </w:r>
      <w:proofErr w:type="spellStart"/>
      <w:r w:rsidRPr="001045F0">
        <w:rPr>
          <w:lang w:val="en-US"/>
        </w:rPr>
        <w:t>uygulamalar</w:t>
      </w:r>
      <w:proofErr w:type="spellEnd"/>
      <w:r w:rsidRPr="001045F0">
        <w:rPr>
          <w:lang w:val="en-US"/>
        </w:rPr>
        <w:t xml:space="preserve"> (historically contingent practices) </w:t>
      </w:r>
      <w:proofErr w:type="spellStart"/>
      <w:r w:rsidRPr="001045F0">
        <w:rPr>
          <w:lang w:val="en-US"/>
        </w:rPr>
        <w:t>ve</w:t>
      </w:r>
      <w:proofErr w:type="spellEnd"/>
      <w:r w:rsidRPr="001045F0">
        <w:rPr>
          <w:lang w:val="en-US"/>
        </w:rPr>
        <w:t xml:space="preserve"> </w:t>
      </w:r>
      <w:proofErr w:type="spellStart"/>
      <w:r w:rsidRPr="001045F0">
        <w:rPr>
          <w:lang w:val="en-US"/>
        </w:rPr>
        <w:t>düşünce</w:t>
      </w:r>
      <w:proofErr w:type="spellEnd"/>
      <w:r w:rsidRPr="001045F0">
        <w:rPr>
          <w:lang w:val="en-US"/>
        </w:rPr>
        <w:t xml:space="preserve"> </w:t>
      </w:r>
      <w:proofErr w:type="spellStart"/>
      <w:r w:rsidRPr="001045F0">
        <w:rPr>
          <w:lang w:val="en-US"/>
        </w:rPr>
        <w:t>alışkanlıkları</w:t>
      </w:r>
      <w:proofErr w:type="spellEnd"/>
      <w:r w:rsidRPr="001045F0">
        <w:rPr>
          <w:lang w:val="en-US"/>
        </w:rPr>
        <w:t xml:space="preserve"> </w:t>
      </w:r>
      <w:proofErr w:type="spellStart"/>
      <w:r w:rsidRPr="001045F0">
        <w:rPr>
          <w:lang w:val="en-US"/>
        </w:rPr>
        <w:t>aracılığıyla</w:t>
      </w:r>
      <w:proofErr w:type="spellEnd"/>
      <w:r w:rsidRPr="001045F0">
        <w:rPr>
          <w:lang w:val="en-US"/>
        </w:rPr>
        <w:t xml:space="preserve"> </w:t>
      </w:r>
      <w:proofErr w:type="spellStart"/>
      <w:r w:rsidRPr="001045F0">
        <w:rPr>
          <w:lang w:val="en-US"/>
        </w:rPr>
        <w:t>süzgeçten</w:t>
      </w:r>
      <w:proofErr w:type="spellEnd"/>
      <w:r w:rsidRPr="001045F0">
        <w:rPr>
          <w:lang w:val="en-US"/>
        </w:rPr>
        <w:t xml:space="preserve"> </w:t>
      </w:r>
      <w:proofErr w:type="spellStart"/>
      <w:r w:rsidRPr="001045F0">
        <w:rPr>
          <w:lang w:val="en-US"/>
        </w:rPr>
        <w:t>geçirildiği</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süreç</w:t>
      </w:r>
      <w:proofErr w:type="spellEnd"/>
      <w:r w:rsidRPr="001045F0">
        <w:rPr>
          <w:lang w:val="en-US"/>
        </w:rPr>
        <w:t xml:space="preserve"> </w:t>
      </w:r>
      <w:proofErr w:type="spellStart"/>
      <w:r w:rsidRPr="001045F0">
        <w:rPr>
          <w:lang w:val="en-US"/>
        </w:rPr>
        <w:t>içinde</w:t>
      </w:r>
      <w:proofErr w:type="spellEnd"/>
      <w:r w:rsidRPr="001045F0">
        <w:rPr>
          <w:lang w:val="en-US"/>
        </w:rPr>
        <w:t xml:space="preserve"> oluşturulmaktadır².</w:t>
      </w:r>
      <w:r>
        <w:rPr>
          <w:lang w:val="en-US"/>
        </w:rPr>
        <w:t xml:space="preserve"> </w:t>
      </w:r>
      <w:r>
        <w:rPr>
          <w:rStyle w:val="FootnoteReference"/>
          <w:lang w:val="en-US"/>
        </w:rPr>
        <w:footnoteReference w:id="2"/>
      </w:r>
      <w:r>
        <w:rPr>
          <w:lang w:val="es-ES"/>
        </w:rPr>
        <w:t>[2-3]</w:t>
      </w:r>
    </w:p>
    <w:p w14:paraId="1CFC453F" w14:textId="00652924" w:rsidR="001045F0" w:rsidRDefault="001045F0" w:rsidP="001045F0">
      <w:pPr>
        <w:rPr>
          <w:lang w:val="en-US"/>
        </w:rPr>
      </w:pPr>
      <w:r w:rsidRPr="001045F0">
        <w:rPr>
          <w:lang w:val="en-US"/>
        </w:rPr>
        <w:lastRenderedPageBreak/>
        <w:t xml:space="preserve">Bu </w:t>
      </w:r>
      <w:proofErr w:type="spellStart"/>
      <w:r w:rsidRPr="001045F0">
        <w:rPr>
          <w:lang w:val="en-US"/>
        </w:rPr>
        <w:t>önermenin</w:t>
      </w:r>
      <w:proofErr w:type="spellEnd"/>
      <w:r w:rsidRPr="001045F0">
        <w:rPr>
          <w:lang w:val="en-US"/>
        </w:rPr>
        <w:t xml:space="preserve"> </w:t>
      </w:r>
      <w:proofErr w:type="spellStart"/>
      <w:r w:rsidRPr="001045F0">
        <w:rPr>
          <w:lang w:val="en-US"/>
        </w:rPr>
        <w:t>basitliğine</w:t>
      </w:r>
      <w:proofErr w:type="spellEnd"/>
      <w:r w:rsidRPr="001045F0">
        <w:rPr>
          <w:lang w:val="en-US"/>
        </w:rPr>
        <w:t xml:space="preserve"> </w:t>
      </w:r>
      <w:proofErr w:type="spellStart"/>
      <w:r w:rsidRPr="001045F0">
        <w:rPr>
          <w:lang w:val="en-US"/>
        </w:rPr>
        <w:t>rağmen</w:t>
      </w:r>
      <w:proofErr w:type="spellEnd"/>
      <w:r w:rsidRPr="001045F0">
        <w:rPr>
          <w:lang w:val="en-US"/>
        </w:rPr>
        <w:t xml:space="preserve">, </w:t>
      </w:r>
      <w:proofErr w:type="spellStart"/>
      <w:r w:rsidRPr="001045F0">
        <w:rPr>
          <w:lang w:val="en-US"/>
        </w:rPr>
        <w:t>vurgulanması</w:t>
      </w:r>
      <w:proofErr w:type="spellEnd"/>
      <w:r w:rsidRPr="001045F0">
        <w:rPr>
          <w:lang w:val="en-US"/>
        </w:rPr>
        <w:t xml:space="preserve"> </w:t>
      </w:r>
      <w:proofErr w:type="spellStart"/>
      <w:r w:rsidRPr="001045F0">
        <w:rPr>
          <w:lang w:val="en-US"/>
        </w:rPr>
        <w:t>gereken</w:t>
      </w:r>
      <w:proofErr w:type="spellEnd"/>
      <w:r w:rsidRPr="001045F0">
        <w:rPr>
          <w:lang w:val="en-US"/>
        </w:rPr>
        <w:t xml:space="preserve"> </w:t>
      </w:r>
      <w:proofErr w:type="spellStart"/>
      <w:r w:rsidRPr="001045F0">
        <w:rPr>
          <w:lang w:val="en-US"/>
        </w:rPr>
        <w:t>önemli</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noktadır</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teorisi</w:t>
      </w:r>
      <w:proofErr w:type="spellEnd"/>
      <w:r w:rsidRPr="001045F0">
        <w:rPr>
          <w:lang w:val="en-US"/>
        </w:rPr>
        <w:t xml:space="preserve"> </w:t>
      </w:r>
      <w:proofErr w:type="spellStart"/>
      <w:r w:rsidRPr="001045F0">
        <w:rPr>
          <w:lang w:val="en-US"/>
        </w:rPr>
        <w:t>adına</w:t>
      </w:r>
      <w:proofErr w:type="spellEnd"/>
      <w:r w:rsidRPr="001045F0">
        <w:rPr>
          <w:lang w:val="en-US"/>
        </w:rPr>
        <w:t xml:space="preserve"> </w:t>
      </w:r>
      <w:proofErr w:type="spellStart"/>
      <w:r w:rsidRPr="001045F0">
        <w:rPr>
          <w:lang w:val="en-US"/>
        </w:rPr>
        <w:t>kesilen</w:t>
      </w:r>
      <w:proofErr w:type="spellEnd"/>
      <w:r w:rsidRPr="001045F0">
        <w:rPr>
          <w:lang w:val="en-US"/>
        </w:rPr>
        <w:t xml:space="preserve"> </w:t>
      </w:r>
      <w:proofErr w:type="spellStart"/>
      <w:r w:rsidRPr="001045F0">
        <w:rPr>
          <w:lang w:val="en-US"/>
        </w:rPr>
        <w:t>sayısız</w:t>
      </w:r>
      <w:proofErr w:type="spellEnd"/>
      <w:r w:rsidRPr="001045F0">
        <w:rPr>
          <w:lang w:val="en-US"/>
        </w:rPr>
        <w:t xml:space="preserve"> </w:t>
      </w:r>
      <w:proofErr w:type="spellStart"/>
      <w:r w:rsidRPr="001045F0">
        <w:rPr>
          <w:lang w:val="en-US"/>
        </w:rPr>
        <w:t>ağaca</w:t>
      </w:r>
      <w:proofErr w:type="spellEnd"/>
      <w:r w:rsidRPr="001045F0">
        <w:rPr>
          <w:lang w:val="en-US"/>
        </w:rPr>
        <w:t xml:space="preserve"> rağmen³,</w:t>
      </w:r>
      <w:r w:rsidR="00F8454B">
        <w:rPr>
          <w:lang w:val="en-US"/>
        </w:rPr>
        <w:t xml:space="preserve"> </w:t>
      </w:r>
      <w:r w:rsidR="00F8454B">
        <w:rPr>
          <w:rStyle w:val="FootnoteReference"/>
          <w:lang w:val="en-US"/>
        </w:rPr>
        <w:footnoteReference w:id="3"/>
      </w:r>
      <w:r w:rsidRPr="001045F0">
        <w:rPr>
          <w:lang w:val="en-US"/>
        </w:rPr>
        <w:t xml:space="preserve"> </w:t>
      </w:r>
      <w:proofErr w:type="spellStart"/>
      <w:r w:rsidRPr="001045F0">
        <w:rPr>
          <w:lang w:val="en-US"/>
        </w:rPr>
        <w:t>hukuk</w:t>
      </w:r>
      <w:proofErr w:type="spellEnd"/>
      <w:r w:rsidRPr="001045F0">
        <w:rPr>
          <w:lang w:val="en-US"/>
        </w:rPr>
        <w:t xml:space="preserve"> </w:t>
      </w:r>
      <w:proofErr w:type="spellStart"/>
      <w:r w:rsidRPr="001045F0">
        <w:rPr>
          <w:lang w:val="en-US"/>
        </w:rPr>
        <w:t>akademisyenleri</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hukukunun</w:t>
      </w:r>
      <w:proofErr w:type="spellEnd"/>
      <w:r w:rsidRPr="001045F0">
        <w:rPr>
          <w:lang w:val="en-US"/>
        </w:rPr>
        <w:t xml:space="preserve"> </w:t>
      </w:r>
      <w:proofErr w:type="spellStart"/>
      <w:r w:rsidRPr="001045F0">
        <w:rPr>
          <w:lang w:val="en-US"/>
        </w:rPr>
        <w:t>içeriğini</w:t>
      </w:r>
      <w:proofErr w:type="spellEnd"/>
      <w:r w:rsidRPr="001045F0">
        <w:rPr>
          <w:lang w:val="en-US"/>
        </w:rPr>
        <w:t xml:space="preserve"> </w:t>
      </w:r>
      <w:proofErr w:type="spellStart"/>
      <w:r w:rsidRPr="001045F0">
        <w:rPr>
          <w:lang w:val="en-US"/>
        </w:rPr>
        <w:t>şekillendiren</w:t>
      </w:r>
      <w:proofErr w:type="spellEnd"/>
      <w:r w:rsidRPr="001045F0">
        <w:rPr>
          <w:lang w:val="en-US"/>
        </w:rPr>
        <w:t xml:space="preserve"> </w:t>
      </w:r>
      <w:proofErr w:type="spellStart"/>
      <w:r w:rsidRPr="001045F0">
        <w:rPr>
          <w:lang w:val="en-US"/>
        </w:rPr>
        <w:t>belirli</w:t>
      </w:r>
      <w:proofErr w:type="spellEnd"/>
      <w:r w:rsidRPr="001045F0">
        <w:rPr>
          <w:lang w:val="en-US"/>
        </w:rPr>
        <w:t xml:space="preserve"> </w:t>
      </w:r>
      <w:proofErr w:type="spellStart"/>
      <w:r w:rsidRPr="001045F0">
        <w:rPr>
          <w:lang w:val="en-US"/>
        </w:rPr>
        <w:t>uygulamaları</w:t>
      </w:r>
      <w:proofErr w:type="spellEnd"/>
      <w:r w:rsidRPr="001045F0">
        <w:rPr>
          <w:lang w:val="en-US"/>
        </w:rPr>
        <w:t xml:space="preserve">, </w:t>
      </w:r>
      <w:proofErr w:type="spellStart"/>
      <w:r w:rsidRPr="001045F0">
        <w:rPr>
          <w:lang w:val="en-US"/>
        </w:rPr>
        <w:t>düzenlemeleri</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düşünce</w:t>
      </w:r>
      <w:proofErr w:type="spellEnd"/>
      <w:r w:rsidRPr="001045F0">
        <w:rPr>
          <w:lang w:val="en-US"/>
        </w:rPr>
        <w:t xml:space="preserve"> </w:t>
      </w:r>
      <w:proofErr w:type="spellStart"/>
      <w:r w:rsidRPr="001045F0">
        <w:rPr>
          <w:lang w:val="en-US"/>
        </w:rPr>
        <w:t>alışkanlıklarını</w:t>
      </w:r>
      <w:proofErr w:type="spellEnd"/>
      <w:r w:rsidRPr="001045F0">
        <w:rPr>
          <w:lang w:val="en-US"/>
        </w:rPr>
        <w:t xml:space="preserve"> </w:t>
      </w:r>
      <w:proofErr w:type="spellStart"/>
      <w:r w:rsidRPr="001045F0">
        <w:rPr>
          <w:lang w:val="en-US"/>
        </w:rPr>
        <w:t>kabul</w:t>
      </w:r>
      <w:proofErr w:type="spellEnd"/>
      <w:r w:rsidRPr="001045F0">
        <w:rPr>
          <w:lang w:val="en-US"/>
        </w:rPr>
        <w:t xml:space="preserve"> </w:t>
      </w:r>
      <w:proofErr w:type="spellStart"/>
      <w:r w:rsidRPr="001045F0">
        <w:rPr>
          <w:lang w:val="en-US"/>
        </w:rPr>
        <w:t>etmekte</w:t>
      </w:r>
      <w:proofErr w:type="spellEnd"/>
      <w:r w:rsidRPr="001045F0">
        <w:rPr>
          <w:lang w:val="en-US"/>
        </w:rPr>
        <w:t xml:space="preserve">, </w:t>
      </w:r>
      <w:proofErr w:type="spellStart"/>
      <w:r w:rsidRPr="001045F0">
        <w:rPr>
          <w:lang w:val="en-US"/>
        </w:rPr>
        <w:t>hatta</w:t>
      </w:r>
      <w:proofErr w:type="spellEnd"/>
      <w:r w:rsidRPr="001045F0">
        <w:rPr>
          <w:lang w:val="en-US"/>
        </w:rPr>
        <w:t xml:space="preserve"> </w:t>
      </w:r>
      <w:proofErr w:type="spellStart"/>
      <w:r w:rsidRPr="001045F0">
        <w:rPr>
          <w:lang w:val="en-US"/>
        </w:rPr>
        <w:t>analiz</w:t>
      </w:r>
      <w:proofErr w:type="spellEnd"/>
      <w:r w:rsidRPr="001045F0">
        <w:rPr>
          <w:lang w:val="en-US"/>
        </w:rPr>
        <w:t xml:space="preserve"> </w:t>
      </w:r>
      <w:proofErr w:type="spellStart"/>
      <w:r w:rsidRPr="001045F0">
        <w:rPr>
          <w:lang w:val="en-US"/>
        </w:rPr>
        <w:t>etmekte</w:t>
      </w:r>
      <w:proofErr w:type="spellEnd"/>
      <w:r w:rsidRPr="001045F0">
        <w:rPr>
          <w:lang w:val="en-US"/>
        </w:rPr>
        <w:t xml:space="preserve"> </w:t>
      </w:r>
      <w:proofErr w:type="spellStart"/>
      <w:r w:rsidRPr="001045F0">
        <w:rPr>
          <w:lang w:val="en-US"/>
        </w:rPr>
        <w:t>yetersiz</w:t>
      </w:r>
      <w:proofErr w:type="spellEnd"/>
      <w:r w:rsidRPr="001045F0">
        <w:rPr>
          <w:lang w:val="en-US"/>
        </w:rPr>
        <w:t xml:space="preserve"> </w:t>
      </w:r>
      <w:proofErr w:type="spellStart"/>
      <w:r w:rsidRPr="001045F0">
        <w:rPr>
          <w:lang w:val="en-US"/>
        </w:rPr>
        <w:t>kalmıştır</w:t>
      </w:r>
      <w:proofErr w:type="spellEnd"/>
      <w:r w:rsidRPr="001045F0">
        <w:rPr>
          <w:lang w:val="en-US"/>
        </w:rPr>
        <w:t xml:space="preserve">. Daha </w:t>
      </w:r>
      <w:proofErr w:type="spellStart"/>
      <w:r w:rsidRPr="001045F0">
        <w:rPr>
          <w:lang w:val="en-US"/>
        </w:rPr>
        <w:t>spesifik</w:t>
      </w:r>
      <w:proofErr w:type="spellEnd"/>
      <w:r w:rsidRPr="001045F0">
        <w:rPr>
          <w:lang w:val="en-US"/>
        </w:rPr>
        <w:t xml:space="preserve"> </w:t>
      </w:r>
      <w:proofErr w:type="spellStart"/>
      <w:r w:rsidRPr="001045F0">
        <w:rPr>
          <w:lang w:val="en-US"/>
        </w:rPr>
        <w:t>olmak</w:t>
      </w:r>
      <w:proofErr w:type="spellEnd"/>
      <w:r w:rsidRPr="001045F0">
        <w:rPr>
          <w:lang w:val="en-US"/>
        </w:rPr>
        <w:t xml:space="preserve"> </w:t>
      </w:r>
      <w:proofErr w:type="spellStart"/>
      <w:r w:rsidRPr="001045F0">
        <w:rPr>
          <w:lang w:val="en-US"/>
        </w:rPr>
        <w:t>gerekirse</w:t>
      </w:r>
      <w:proofErr w:type="spellEnd"/>
      <w:r w:rsidRPr="001045F0">
        <w:rPr>
          <w:lang w:val="en-US"/>
        </w:rPr>
        <w:t xml:space="preserve">, ana </w:t>
      </w:r>
      <w:proofErr w:type="spellStart"/>
      <w:r w:rsidRPr="001045F0">
        <w:rPr>
          <w:lang w:val="en-US"/>
        </w:rPr>
        <w:t>akım</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teorisi</w:t>
      </w:r>
      <w:proofErr w:type="spellEnd"/>
      <w:r w:rsidRPr="001045F0">
        <w:rPr>
          <w:lang w:val="en-US"/>
        </w:rPr>
        <w:t xml:space="preserve">, </w:t>
      </w:r>
      <w:proofErr w:type="spellStart"/>
      <w:r w:rsidRPr="001045F0">
        <w:rPr>
          <w:lang w:val="en-US"/>
        </w:rPr>
        <w:t>çağdaş</w:t>
      </w:r>
      <w:proofErr w:type="spellEnd"/>
      <w:r w:rsidRPr="001045F0">
        <w:rPr>
          <w:lang w:val="en-US"/>
        </w:rPr>
        <w:t xml:space="preserve"> </w:t>
      </w:r>
      <w:proofErr w:type="spellStart"/>
      <w:r w:rsidRPr="001045F0">
        <w:rPr>
          <w:lang w:val="en-US"/>
        </w:rPr>
        <w:t>anayasal</w:t>
      </w:r>
      <w:proofErr w:type="spellEnd"/>
      <w:r w:rsidRPr="001045F0">
        <w:rPr>
          <w:lang w:val="en-US"/>
        </w:rPr>
        <w:t xml:space="preserve"> </w:t>
      </w:r>
      <w:proofErr w:type="spellStart"/>
      <w:r w:rsidRPr="001045F0">
        <w:rPr>
          <w:lang w:val="en-US"/>
        </w:rPr>
        <w:t>karar</w:t>
      </w:r>
      <w:proofErr w:type="spellEnd"/>
      <w:r w:rsidRPr="001045F0">
        <w:rPr>
          <w:lang w:val="en-US"/>
        </w:rPr>
        <w:t xml:space="preserve"> alma </w:t>
      </w:r>
      <w:proofErr w:type="spellStart"/>
      <w:r w:rsidRPr="001045F0">
        <w:rPr>
          <w:lang w:val="en-US"/>
        </w:rPr>
        <w:t>sürecinin</w:t>
      </w:r>
      <w:proofErr w:type="spellEnd"/>
      <w:r w:rsidRPr="001045F0">
        <w:rPr>
          <w:lang w:val="en-US"/>
        </w:rPr>
        <w:t xml:space="preserve"> </w:t>
      </w:r>
      <w:proofErr w:type="spellStart"/>
      <w:r w:rsidRPr="001045F0">
        <w:rPr>
          <w:lang w:val="en-US"/>
        </w:rPr>
        <w:t>bu</w:t>
      </w:r>
      <w:proofErr w:type="spellEnd"/>
      <w:r w:rsidRPr="001045F0">
        <w:rPr>
          <w:lang w:val="en-US"/>
        </w:rPr>
        <w:t xml:space="preserve"> </w:t>
      </w:r>
      <w:proofErr w:type="spellStart"/>
      <w:r w:rsidRPr="001045F0">
        <w:rPr>
          <w:lang w:val="en-US"/>
        </w:rPr>
        <w:t>temel</w:t>
      </w:r>
      <w:proofErr w:type="spellEnd"/>
      <w:r w:rsidRPr="001045F0">
        <w:rPr>
          <w:lang w:val="en-US"/>
        </w:rPr>
        <w:t xml:space="preserve"> </w:t>
      </w:r>
      <w:proofErr w:type="spellStart"/>
      <w:r w:rsidRPr="001045F0">
        <w:rPr>
          <w:lang w:val="en-US"/>
        </w:rPr>
        <w:t>unsurlarını</w:t>
      </w:r>
      <w:proofErr w:type="spellEnd"/>
      <w:r w:rsidRPr="001045F0">
        <w:rPr>
          <w:lang w:val="en-US"/>
        </w:rPr>
        <w:t xml:space="preserve">, </w:t>
      </w:r>
      <w:proofErr w:type="spellStart"/>
      <w:r w:rsidRPr="001045F0">
        <w:rPr>
          <w:lang w:val="en-US"/>
        </w:rPr>
        <w:t>birbiriyle</w:t>
      </w:r>
      <w:proofErr w:type="spellEnd"/>
      <w:r w:rsidRPr="001045F0">
        <w:rPr>
          <w:lang w:val="en-US"/>
        </w:rPr>
        <w:t xml:space="preserve"> </w:t>
      </w:r>
      <w:proofErr w:type="spellStart"/>
      <w:r w:rsidRPr="001045F0">
        <w:rPr>
          <w:lang w:val="en-US"/>
        </w:rPr>
        <w:t>çelişen</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aynı</w:t>
      </w:r>
      <w:proofErr w:type="spellEnd"/>
      <w:r w:rsidRPr="001045F0">
        <w:rPr>
          <w:lang w:val="en-US"/>
        </w:rPr>
        <w:t xml:space="preserve"> </w:t>
      </w:r>
      <w:proofErr w:type="spellStart"/>
      <w:r w:rsidRPr="001045F0">
        <w:rPr>
          <w:lang w:val="en-US"/>
        </w:rPr>
        <w:t>derecede</w:t>
      </w:r>
      <w:proofErr w:type="spellEnd"/>
      <w:r w:rsidRPr="001045F0">
        <w:rPr>
          <w:lang w:val="en-US"/>
        </w:rPr>
        <w:t xml:space="preserve"> </w:t>
      </w:r>
      <w:proofErr w:type="spellStart"/>
      <w:r w:rsidRPr="001045F0">
        <w:rPr>
          <w:lang w:val="en-US"/>
        </w:rPr>
        <w:t>ikna</w:t>
      </w:r>
      <w:proofErr w:type="spellEnd"/>
      <w:r w:rsidRPr="001045F0">
        <w:rPr>
          <w:lang w:val="en-US"/>
        </w:rPr>
        <w:t xml:space="preserve"> </w:t>
      </w:r>
      <w:proofErr w:type="spellStart"/>
      <w:r w:rsidRPr="001045F0">
        <w:rPr>
          <w:lang w:val="en-US"/>
        </w:rPr>
        <w:t>edici</w:t>
      </w:r>
      <w:proofErr w:type="spellEnd"/>
      <w:r w:rsidRPr="001045F0">
        <w:rPr>
          <w:lang w:val="en-US"/>
        </w:rPr>
        <w:t xml:space="preserve"> </w:t>
      </w:r>
      <w:proofErr w:type="spellStart"/>
      <w:r w:rsidRPr="001045F0">
        <w:rPr>
          <w:lang w:val="en-US"/>
        </w:rPr>
        <w:t>olmayan</w:t>
      </w:r>
      <w:proofErr w:type="spellEnd"/>
      <w:r w:rsidRPr="001045F0">
        <w:rPr>
          <w:lang w:val="en-US"/>
        </w:rPr>
        <w:t xml:space="preserve"> </w:t>
      </w:r>
      <w:proofErr w:type="spellStart"/>
      <w:r w:rsidRPr="001045F0">
        <w:rPr>
          <w:lang w:val="en-US"/>
        </w:rPr>
        <w:t>iki</w:t>
      </w:r>
      <w:proofErr w:type="spellEnd"/>
      <w:r w:rsidRPr="001045F0">
        <w:rPr>
          <w:lang w:val="en-US"/>
        </w:rPr>
        <w:t xml:space="preserve"> </w:t>
      </w:r>
      <w:proofErr w:type="spellStart"/>
      <w:r w:rsidRPr="001045F0">
        <w:rPr>
          <w:lang w:val="en-US"/>
        </w:rPr>
        <w:t>şekilde</w:t>
      </w:r>
      <w:proofErr w:type="spellEnd"/>
      <w:r w:rsidRPr="001045F0">
        <w:rPr>
          <w:lang w:val="en-US"/>
        </w:rPr>
        <w:t xml:space="preserve"> </w:t>
      </w:r>
      <w:proofErr w:type="spellStart"/>
      <w:r w:rsidRPr="001045F0">
        <w:rPr>
          <w:lang w:val="en-US"/>
        </w:rPr>
        <w:t>ele</w:t>
      </w:r>
      <w:proofErr w:type="spellEnd"/>
      <w:r w:rsidRPr="001045F0">
        <w:rPr>
          <w:lang w:val="en-US"/>
        </w:rPr>
        <w:t xml:space="preserve"> </w:t>
      </w:r>
      <w:proofErr w:type="spellStart"/>
      <w:r w:rsidRPr="001045F0">
        <w:rPr>
          <w:lang w:val="en-US"/>
        </w:rPr>
        <w:t>almaktadır</w:t>
      </w:r>
      <w:proofErr w:type="spellEnd"/>
      <w:r w:rsidRPr="001045F0">
        <w:rPr>
          <w:lang w:val="en-US"/>
        </w:rPr>
        <w:t>.</w:t>
      </w:r>
    </w:p>
    <w:p w14:paraId="17147557" w14:textId="01B0C7F8" w:rsidR="00F8454B" w:rsidRPr="001045F0" w:rsidRDefault="00F8454B" w:rsidP="00F8454B">
      <w:pPr>
        <w:rPr>
          <w:lang w:val="en-US"/>
        </w:rPr>
      </w:pPr>
      <w:r w:rsidRPr="00F8454B">
        <w:rPr>
          <w:lang w:val="en-US"/>
        </w:rPr>
        <w:t xml:space="preserve">Bir </w:t>
      </w:r>
      <w:proofErr w:type="spellStart"/>
      <w:r w:rsidRPr="00F8454B">
        <w:rPr>
          <w:lang w:val="en-US"/>
        </w:rPr>
        <w:t>yandan</w:t>
      </w:r>
      <w:proofErr w:type="spellEnd"/>
      <w:r w:rsidRPr="00F8454B">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teorisyenleri</w:t>
      </w:r>
      <w:proofErr w:type="spellEnd"/>
      <w:r w:rsidRPr="00F8454B">
        <w:rPr>
          <w:lang w:val="en-US"/>
        </w:rPr>
        <w:t xml:space="preserve"> </w:t>
      </w:r>
      <w:proofErr w:type="spellStart"/>
      <w:r w:rsidRPr="00F8454B">
        <w:rPr>
          <w:lang w:val="en-US"/>
        </w:rPr>
        <w:t>sıklıkla</w:t>
      </w:r>
      <w:proofErr w:type="spellEnd"/>
      <w:r w:rsidRPr="00F8454B">
        <w:rPr>
          <w:lang w:val="en-US"/>
        </w:rPr>
        <w:t xml:space="preserve"> </w:t>
      </w:r>
      <w:proofErr w:type="spellStart"/>
      <w:r w:rsidRPr="00F8454B">
        <w:rPr>
          <w:lang w:val="en-US"/>
        </w:rPr>
        <w:t>belirli</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uygulamaları</w:t>
      </w:r>
      <w:proofErr w:type="spellEnd"/>
      <w:r w:rsidRPr="00F8454B">
        <w:rPr>
          <w:lang w:val="en-US"/>
        </w:rPr>
        <w:t>—</w:t>
      </w:r>
      <w:proofErr w:type="spellStart"/>
      <w:r w:rsidRPr="00F8454B">
        <w:rPr>
          <w:lang w:val="en-US"/>
        </w:rPr>
        <w:t>örneğin</w:t>
      </w:r>
      <w:proofErr w:type="spellEnd"/>
      <w:r w:rsidRPr="00F8454B">
        <w:rPr>
          <w:lang w:val="en-US"/>
        </w:rPr>
        <w:t xml:space="preserve">, federal </w:t>
      </w:r>
      <w:proofErr w:type="spellStart"/>
      <w:r w:rsidRPr="00F8454B">
        <w:rPr>
          <w:lang w:val="en-US"/>
        </w:rPr>
        <w:t>yargıçların</w:t>
      </w:r>
      <w:proofErr w:type="spellEnd"/>
      <w:r w:rsidRPr="00F8454B">
        <w:rPr>
          <w:lang w:val="en-US"/>
        </w:rPr>
        <w:t xml:space="preserve"> </w:t>
      </w:r>
      <w:proofErr w:type="spellStart"/>
      <w:r w:rsidRPr="00F8454B">
        <w:rPr>
          <w:lang w:val="en-US"/>
        </w:rPr>
        <w:t>kendine</w:t>
      </w:r>
      <w:proofErr w:type="spellEnd"/>
      <w:r w:rsidRPr="00F8454B">
        <w:rPr>
          <w:lang w:val="en-US"/>
        </w:rPr>
        <w:t xml:space="preserve"> </w:t>
      </w:r>
      <w:proofErr w:type="spellStart"/>
      <w:r w:rsidRPr="00F8454B">
        <w:rPr>
          <w:lang w:val="en-US"/>
        </w:rPr>
        <w:t>özgü</w:t>
      </w:r>
      <w:proofErr w:type="spellEnd"/>
      <w:r w:rsidRPr="00F8454B">
        <w:rPr>
          <w:lang w:val="en-US"/>
        </w:rPr>
        <w:t xml:space="preserve"> </w:t>
      </w:r>
      <w:proofErr w:type="spellStart"/>
      <w:r w:rsidRPr="00F8454B">
        <w:rPr>
          <w:lang w:val="en-US"/>
        </w:rPr>
        <w:t>eğitim</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mesleki</w:t>
      </w:r>
      <w:proofErr w:type="spellEnd"/>
      <w:r w:rsidRPr="00F8454B">
        <w:rPr>
          <w:lang w:val="en-US"/>
        </w:rPr>
        <w:t xml:space="preserve"> </w:t>
      </w:r>
      <w:proofErr w:type="spellStart"/>
      <w:r w:rsidRPr="00F8454B">
        <w:rPr>
          <w:lang w:val="en-US"/>
        </w:rPr>
        <w:t>deneyimleri</w:t>
      </w:r>
      <w:proofErr w:type="spellEnd"/>
      <w:r w:rsidRPr="00F8454B">
        <w:rPr>
          <w:lang w:val="en-US"/>
        </w:rPr>
        <w:t xml:space="preserve">, </w:t>
      </w:r>
      <w:proofErr w:type="spellStart"/>
      <w:r w:rsidRPr="00F8454B">
        <w:rPr>
          <w:lang w:val="en-US"/>
        </w:rPr>
        <w:t>temyiz</w:t>
      </w:r>
      <w:proofErr w:type="spellEnd"/>
      <w:r w:rsidRPr="00F8454B">
        <w:rPr>
          <w:lang w:val="en-US"/>
        </w:rPr>
        <w:t xml:space="preserve"> </w:t>
      </w:r>
      <w:proofErr w:type="spellStart"/>
      <w:r w:rsidRPr="00F8454B">
        <w:rPr>
          <w:lang w:val="en-US"/>
        </w:rPr>
        <w:t>mahkemelerinin</w:t>
      </w:r>
      <w:proofErr w:type="spellEnd"/>
      <w:r w:rsidRPr="00F8454B">
        <w:rPr>
          <w:lang w:val="en-US"/>
        </w:rPr>
        <w:t xml:space="preserve"> </w:t>
      </w:r>
      <w:proofErr w:type="spellStart"/>
      <w:r w:rsidRPr="00F8454B">
        <w:rPr>
          <w:lang w:val="en-US"/>
        </w:rPr>
        <w:t>çok</w:t>
      </w:r>
      <w:proofErr w:type="spellEnd"/>
      <w:r w:rsidRPr="00F8454B">
        <w:rPr>
          <w:lang w:val="en-US"/>
        </w:rPr>
        <w:t xml:space="preserve"> </w:t>
      </w:r>
      <w:proofErr w:type="spellStart"/>
      <w:r w:rsidRPr="00F8454B">
        <w:rPr>
          <w:lang w:val="en-US"/>
        </w:rPr>
        <w:t>üyeli</w:t>
      </w:r>
      <w:proofErr w:type="spellEnd"/>
      <w:r w:rsidRPr="00F8454B">
        <w:rPr>
          <w:lang w:val="en-US"/>
        </w:rPr>
        <w:t xml:space="preserve"> </w:t>
      </w:r>
      <w:proofErr w:type="spellStart"/>
      <w:r w:rsidRPr="00F8454B">
        <w:rPr>
          <w:lang w:val="en-US"/>
        </w:rPr>
        <w:t>yapısı</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karar</w:t>
      </w:r>
      <w:proofErr w:type="spellEnd"/>
      <w:r w:rsidRPr="00F8454B">
        <w:rPr>
          <w:lang w:val="en-US"/>
        </w:rPr>
        <w:t xml:space="preserve"> </w:t>
      </w:r>
      <w:proofErr w:type="spellStart"/>
      <w:r w:rsidRPr="00F8454B">
        <w:rPr>
          <w:lang w:val="en-US"/>
        </w:rPr>
        <w:t>metinleri</w:t>
      </w:r>
      <w:proofErr w:type="spellEnd"/>
      <w:r w:rsidRPr="00F8454B">
        <w:rPr>
          <w:lang w:val="en-US"/>
        </w:rPr>
        <w:t xml:space="preserve"> </w:t>
      </w:r>
      <w:proofErr w:type="spellStart"/>
      <w:r w:rsidRPr="00F8454B">
        <w:rPr>
          <w:lang w:val="en-US"/>
        </w:rPr>
        <w:t>üzerinde</w:t>
      </w:r>
      <w:proofErr w:type="spellEnd"/>
      <w:r w:rsidRPr="00F8454B">
        <w:rPr>
          <w:lang w:val="en-US"/>
        </w:rPr>
        <w:t xml:space="preserve"> </w:t>
      </w:r>
      <w:proofErr w:type="spellStart"/>
      <w:r w:rsidRPr="00F8454B">
        <w:rPr>
          <w:lang w:val="en-US"/>
        </w:rPr>
        <w:t>uzlaşmaları</w:t>
      </w:r>
      <w:proofErr w:type="spellEnd"/>
      <w:r w:rsidRPr="00F8454B">
        <w:rPr>
          <w:lang w:val="en-US"/>
        </w:rPr>
        <w:t xml:space="preserve"> </w:t>
      </w:r>
      <w:proofErr w:type="spellStart"/>
      <w:r w:rsidRPr="00F8454B">
        <w:rPr>
          <w:lang w:val="en-US"/>
        </w:rPr>
        <w:t>gerekliliği</w:t>
      </w:r>
      <w:proofErr w:type="spellEnd"/>
      <w:r w:rsidRPr="00F8454B">
        <w:rPr>
          <w:lang w:val="en-US"/>
        </w:rPr>
        <w:t xml:space="preserve">, </w:t>
      </w:r>
      <w:proofErr w:type="spellStart"/>
      <w:r w:rsidRPr="00F8454B">
        <w:rPr>
          <w:lang w:val="en-US"/>
        </w:rPr>
        <w:t>ayrıca</w:t>
      </w:r>
      <w:proofErr w:type="spellEnd"/>
      <w:r w:rsidRPr="00F8454B">
        <w:rPr>
          <w:lang w:val="en-US"/>
        </w:rPr>
        <w:t xml:space="preserve"> </w:t>
      </w:r>
      <w:proofErr w:type="spellStart"/>
      <w:r w:rsidRPr="00F8454B">
        <w:rPr>
          <w:lang w:val="en-US"/>
        </w:rPr>
        <w:t>meşru</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argümanların</w:t>
      </w:r>
      <w:proofErr w:type="spellEnd"/>
      <w:r w:rsidRPr="00F8454B">
        <w:rPr>
          <w:lang w:val="en-US"/>
        </w:rPr>
        <w:t xml:space="preserve"> </w:t>
      </w:r>
      <w:proofErr w:type="spellStart"/>
      <w:r w:rsidRPr="00F8454B">
        <w:rPr>
          <w:lang w:val="en-US"/>
        </w:rPr>
        <w:t>alanını</w:t>
      </w:r>
      <w:proofErr w:type="spellEnd"/>
      <w:r w:rsidRPr="00F8454B">
        <w:rPr>
          <w:lang w:val="en-US"/>
        </w:rPr>
        <w:t xml:space="preserve"> </w:t>
      </w:r>
      <w:proofErr w:type="spellStart"/>
      <w:r w:rsidRPr="00F8454B">
        <w:rPr>
          <w:lang w:val="en-US"/>
        </w:rPr>
        <w:t>sınırlayan</w:t>
      </w:r>
      <w:proofErr w:type="spellEnd"/>
      <w:r w:rsidRPr="00F8454B">
        <w:rPr>
          <w:lang w:val="en-US"/>
        </w:rPr>
        <w:t xml:space="preserve"> </w:t>
      </w:r>
      <w:proofErr w:type="spellStart"/>
      <w:r w:rsidRPr="00F8454B">
        <w:rPr>
          <w:lang w:val="en-US"/>
        </w:rPr>
        <w:t>mesleki</w:t>
      </w:r>
      <w:proofErr w:type="spellEnd"/>
      <w:r w:rsidRPr="00F8454B">
        <w:rPr>
          <w:lang w:val="en-US"/>
        </w:rPr>
        <w:t xml:space="preserve"> </w:t>
      </w:r>
      <w:proofErr w:type="spellStart"/>
      <w:r w:rsidRPr="00F8454B">
        <w:rPr>
          <w:lang w:val="en-US"/>
        </w:rPr>
        <w:t>normlar</w:t>
      </w:r>
      <w:proofErr w:type="spellEnd"/>
      <w:r w:rsidRPr="00F8454B">
        <w:rPr>
          <w:lang w:val="en-US"/>
        </w:rPr>
        <w:t>—</w:t>
      </w:r>
      <w:proofErr w:type="spellStart"/>
      <w:r w:rsidRPr="00F8454B">
        <w:rPr>
          <w:lang w:val="en-US"/>
        </w:rPr>
        <w:t>temel</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yapının</w:t>
      </w:r>
      <w:proofErr w:type="spellEnd"/>
      <w:r w:rsidRPr="00F8454B">
        <w:rPr>
          <w:lang w:val="en-US"/>
        </w:rPr>
        <w:t xml:space="preserve">" (structure) </w:t>
      </w:r>
      <w:proofErr w:type="spellStart"/>
      <w:r w:rsidRPr="00F8454B">
        <w:rPr>
          <w:lang w:val="en-US"/>
        </w:rPr>
        <w:t>parçası</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tanımlamaktadır</w:t>
      </w:r>
      <w:proofErr w:type="spellEnd"/>
      <w:r w:rsidRPr="00F8454B">
        <w:rPr>
          <w:lang w:val="en-US"/>
        </w:rPr>
        <w:t>⁴.</w:t>
      </w:r>
      <w:r>
        <w:rPr>
          <w:lang w:val="en-US"/>
        </w:rPr>
        <w:t xml:space="preserve"> </w:t>
      </w:r>
      <w:r>
        <w:rPr>
          <w:rStyle w:val="FootnoteReference"/>
          <w:lang w:val="en-US"/>
        </w:rPr>
        <w:footnoteReference w:id="4"/>
      </w:r>
      <w:r>
        <w:rPr>
          <w:lang w:val="en-US"/>
        </w:rPr>
        <w:t xml:space="preserve"> </w:t>
      </w:r>
      <w:r w:rsidRPr="00F8454B">
        <w:rPr>
          <w:lang w:val="en-US"/>
        </w:rPr>
        <w:t xml:space="preserve">Bu </w:t>
      </w:r>
      <w:proofErr w:type="spellStart"/>
      <w:r w:rsidRPr="00F8454B">
        <w:rPr>
          <w:lang w:val="en-US"/>
        </w:rPr>
        <w:t>anayasal</w:t>
      </w:r>
      <w:proofErr w:type="spellEnd"/>
      <w:r w:rsidRPr="00F8454B">
        <w:rPr>
          <w:lang w:val="en-US"/>
        </w:rPr>
        <w:t xml:space="preserve"> </w:t>
      </w:r>
      <w:proofErr w:type="spellStart"/>
      <w:r w:rsidRPr="00F8454B">
        <w:rPr>
          <w:lang w:val="en-US"/>
        </w:rPr>
        <w:t>uygulamaların</w:t>
      </w:r>
      <w:proofErr w:type="spellEnd"/>
      <w:r w:rsidRPr="00F8454B">
        <w:rPr>
          <w:lang w:val="en-US"/>
        </w:rPr>
        <w:t xml:space="preserve"> </w:t>
      </w:r>
      <w:proofErr w:type="spellStart"/>
      <w:r w:rsidRPr="00F8454B">
        <w:rPr>
          <w:lang w:val="en-US"/>
        </w:rPr>
        <w:t>temel</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yapının</w:t>
      </w:r>
      <w:proofErr w:type="spellEnd"/>
      <w:r w:rsidRPr="00F8454B">
        <w:rPr>
          <w:lang w:val="en-US"/>
        </w:rPr>
        <w:t xml:space="preserve">" </w:t>
      </w:r>
      <w:proofErr w:type="spellStart"/>
      <w:r w:rsidRPr="00F8454B">
        <w:rPr>
          <w:lang w:val="en-US"/>
        </w:rPr>
        <w:t>unsurları</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ele</w:t>
      </w:r>
      <w:proofErr w:type="spellEnd"/>
      <w:r w:rsidRPr="00F8454B">
        <w:rPr>
          <w:lang w:val="en-US"/>
        </w:rPr>
        <w:t xml:space="preserve"> </w:t>
      </w:r>
      <w:proofErr w:type="spellStart"/>
      <w:r w:rsidRPr="00F8454B">
        <w:rPr>
          <w:lang w:val="en-US"/>
        </w:rPr>
        <w:t>alınmasının</w:t>
      </w:r>
      <w:proofErr w:type="spellEnd"/>
      <w:r w:rsidRPr="00F8454B">
        <w:rPr>
          <w:lang w:val="en-US"/>
        </w:rPr>
        <w:t xml:space="preserve"> </w:t>
      </w:r>
      <w:proofErr w:type="spellStart"/>
      <w:r w:rsidRPr="00F8454B">
        <w:rPr>
          <w:lang w:val="en-US"/>
        </w:rPr>
        <w:t>iki</w:t>
      </w:r>
      <w:proofErr w:type="spellEnd"/>
      <w:r w:rsidRPr="00F8454B">
        <w:rPr>
          <w:lang w:val="en-US"/>
        </w:rPr>
        <w:t xml:space="preserve"> </w:t>
      </w:r>
      <w:proofErr w:type="spellStart"/>
      <w:r w:rsidRPr="00F8454B">
        <w:rPr>
          <w:lang w:val="en-US"/>
        </w:rPr>
        <w:t>bağlantılı</w:t>
      </w:r>
      <w:proofErr w:type="spellEnd"/>
      <w:r w:rsidRPr="00F8454B">
        <w:rPr>
          <w:lang w:val="en-US"/>
        </w:rPr>
        <w:t xml:space="preserve"> </w:t>
      </w:r>
      <w:proofErr w:type="spellStart"/>
      <w:r w:rsidRPr="00F8454B">
        <w:rPr>
          <w:lang w:val="en-US"/>
        </w:rPr>
        <w:t>sonucu</w:t>
      </w:r>
      <w:proofErr w:type="spellEnd"/>
      <w:r w:rsidRPr="00F8454B">
        <w:rPr>
          <w:lang w:val="en-US"/>
        </w:rPr>
        <w:t xml:space="preserve"> </w:t>
      </w:r>
      <w:proofErr w:type="spellStart"/>
      <w:r w:rsidRPr="00F8454B">
        <w:rPr>
          <w:lang w:val="en-US"/>
        </w:rPr>
        <w:t>vardır</w:t>
      </w:r>
      <w:proofErr w:type="spellEnd"/>
      <w:r w:rsidRPr="00F8454B">
        <w:rPr>
          <w:lang w:val="en-US"/>
        </w:rPr>
        <w:t xml:space="preserve">. </w:t>
      </w:r>
      <w:proofErr w:type="spellStart"/>
      <w:r w:rsidRPr="00F8454B">
        <w:rPr>
          <w:lang w:val="en-US"/>
        </w:rPr>
        <w:t>Birincisi</w:t>
      </w:r>
      <w:proofErr w:type="spellEnd"/>
      <w:r w:rsidRPr="00F8454B">
        <w:rPr>
          <w:lang w:val="en-US"/>
        </w:rPr>
        <w:t xml:space="preserve">, </w:t>
      </w:r>
      <w:proofErr w:type="spellStart"/>
      <w:r w:rsidRPr="00F8454B">
        <w:rPr>
          <w:lang w:val="en-US"/>
        </w:rPr>
        <w:t>bu</w:t>
      </w:r>
      <w:proofErr w:type="spellEnd"/>
      <w:r w:rsidRPr="00F8454B">
        <w:rPr>
          <w:lang w:val="en-US"/>
        </w:rPr>
        <w:t xml:space="preserve"> </w:t>
      </w:r>
      <w:proofErr w:type="spellStart"/>
      <w:r w:rsidRPr="00F8454B">
        <w:rPr>
          <w:lang w:val="en-US"/>
        </w:rPr>
        <w:t>uygulamaları</w:t>
      </w:r>
      <w:proofErr w:type="spellEnd"/>
      <w:r w:rsidRPr="00F8454B">
        <w:rPr>
          <w:lang w:val="en-US"/>
        </w:rPr>
        <w:t xml:space="preserve"> </w:t>
      </w:r>
      <w:proofErr w:type="spellStart"/>
      <w:r w:rsidRPr="00F8454B">
        <w:rPr>
          <w:lang w:val="en-US"/>
        </w:rPr>
        <w:t>kalıcı</w:t>
      </w:r>
      <w:proofErr w:type="spellEnd"/>
      <w:r w:rsidRPr="00F8454B">
        <w:rPr>
          <w:lang w:val="en-US"/>
        </w:rPr>
        <w:t xml:space="preserve">, </w:t>
      </w:r>
      <w:proofErr w:type="spellStart"/>
      <w:r w:rsidRPr="00F8454B">
        <w:rPr>
          <w:lang w:val="en-US"/>
        </w:rPr>
        <w:t>zamansız</w:t>
      </w:r>
      <w:proofErr w:type="spellEnd"/>
      <w:r w:rsidRPr="00F8454B">
        <w:rPr>
          <w:lang w:val="en-US"/>
        </w:rPr>
        <w:t xml:space="preserve"> </w:t>
      </w:r>
      <w:proofErr w:type="spellStart"/>
      <w:r w:rsidRPr="00F8454B">
        <w:rPr>
          <w:lang w:val="en-US"/>
        </w:rPr>
        <w:t>ve</w:t>
      </w:r>
      <w:proofErr w:type="spellEnd"/>
      <w:r w:rsidRPr="00F8454B">
        <w:rPr>
          <w:lang w:val="en-US"/>
        </w:rPr>
        <w:t xml:space="preserve"> Amerikan </w:t>
      </w:r>
      <w:proofErr w:type="spellStart"/>
      <w:r w:rsidRPr="00F8454B">
        <w:rPr>
          <w:lang w:val="en-US"/>
        </w:rPr>
        <w:t>anayasacılığının</w:t>
      </w:r>
      <w:proofErr w:type="spellEnd"/>
      <w:r w:rsidRPr="00F8454B">
        <w:rPr>
          <w:lang w:val="en-US"/>
        </w:rPr>
        <w:t xml:space="preserve"> </w:t>
      </w:r>
      <w:proofErr w:type="spellStart"/>
      <w:r w:rsidRPr="00F8454B">
        <w:rPr>
          <w:lang w:val="en-US"/>
        </w:rPr>
        <w:t>doğasında</w:t>
      </w:r>
      <w:proofErr w:type="spellEnd"/>
      <w:r w:rsidRPr="00F8454B">
        <w:rPr>
          <w:lang w:val="en-US"/>
        </w:rPr>
        <w:t xml:space="preserve"> var </w:t>
      </w:r>
      <w:proofErr w:type="spellStart"/>
      <w:r w:rsidRPr="00F8454B">
        <w:rPr>
          <w:lang w:val="en-US"/>
        </w:rPr>
        <w:t>olan</w:t>
      </w:r>
      <w:proofErr w:type="spellEnd"/>
      <w:r w:rsidRPr="00F8454B">
        <w:rPr>
          <w:lang w:val="en-US"/>
        </w:rPr>
        <w:t xml:space="preserve"> </w:t>
      </w:r>
      <w:proofErr w:type="spellStart"/>
      <w:r w:rsidRPr="00F8454B">
        <w:rPr>
          <w:lang w:val="en-US"/>
        </w:rPr>
        <w:t>unsurlar</w:t>
      </w:r>
      <w:proofErr w:type="spellEnd"/>
      <w:r w:rsidRPr="00F8454B">
        <w:rPr>
          <w:lang w:val="en-US"/>
        </w:rPr>
        <w:t xml:space="preserve"> </w:t>
      </w:r>
      <w:proofErr w:type="spellStart"/>
      <w:r w:rsidRPr="00F8454B">
        <w:rPr>
          <w:lang w:val="en-US"/>
        </w:rPr>
        <w:t>gibi</w:t>
      </w:r>
      <w:proofErr w:type="spellEnd"/>
      <w:r w:rsidRPr="00F8454B">
        <w:rPr>
          <w:lang w:val="en-US"/>
        </w:rPr>
        <w:t xml:space="preserve"> </w:t>
      </w:r>
      <w:proofErr w:type="spellStart"/>
      <w:r w:rsidRPr="00F8454B">
        <w:rPr>
          <w:lang w:val="en-US"/>
        </w:rPr>
        <w:t>gösterir</w:t>
      </w:r>
      <w:proofErr w:type="spellEnd"/>
      <w:r w:rsidRPr="00F8454B">
        <w:rPr>
          <w:lang w:val="en-US"/>
        </w:rPr>
        <w:t xml:space="preserve">. </w:t>
      </w:r>
      <w:proofErr w:type="spellStart"/>
      <w:r w:rsidRPr="00F8454B">
        <w:rPr>
          <w:lang w:val="en-US"/>
        </w:rPr>
        <w:t>İkincisi</w:t>
      </w:r>
      <w:proofErr w:type="spellEnd"/>
      <w:r w:rsidRPr="00F8454B">
        <w:rPr>
          <w:lang w:val="en-US"/>
        </w:rPr>
        <w:t xml:space="preserve">, </w:t>
      </w:r>
      <w:proofErr w:type="spellStart"/>
      <w:r w:rsidRPr="00F8454B">
        <w:rPr>
          <w:lang w:val="en-US"/>
        </w:rPr>
        <w:t>bu</w:t>
      </w:r>
      <w:proofErr w:type="spellEnd"/>
      <w:r w:rsidRPr="00F8454B">
        <w:rPr>
          <w:lang w:val="en-US"/>
        </w:rPr>
        <w:t xml:space="preserve"> </w:t>
      </w:r>
      <w:proofErr w:type="spellStart"/>
      <w:r w:rsidRPr="00F8454B">
        <w:rPr>
          <w:lang w:val="en-US"/>
        </w:rPr>
        <w:t>uygulamalar</w:t>
      </w:r>
      <w:proofErr w:type="spellEnd"/>
      <w:r w:rsidRPr="00F8454B">
        <w:rPr>
          <w:lang w:val="en-US"/>
        </w:rPr>
        <w:t xml:space="preserve">, Amerikan </w:t>
      </w:r>
      <w:proofErr w:type="spellStart"/>
      <w:r w:rsidRPr="00F8454B">
        <w:rPr>
          <w:lang w:val="en-US"/>
        </w:rPr>
        <w:t>anayasal</w:t>
      </w:r>
      <w:proofErr w:type="spellEnd"/>
      <w:r w:rsidRPr="00F8454B">
        <w:rPr>
          <w:lang w:val="en-US"/>
        </w:rPr>
        <w:t xml:space="preserve"> </w:t>
      </w:r>
      <w:proofErr w:type="spellStart"/>
      <w:r w:rsidRPr="00F8454B">
        <w:rPr>
          <w:lang w:val="en-US"/>
        </w:rPr>
        <w:t>karar</w:t>
      </w:r>
      <w:proofErr w:type="spellEnd"/>
      <w:r w:rsidRPr="00F8454B">
        <w:rPr>
          <w:lang w:val="en-US"/>
        </w:rPr>
        <w:t xml:space="preserve"> alma </w:t>
      </w:r>
      <w:proofErr w:type="spellStart"/>
      <w:r w:rsidRPr="00F8454B">
        <w:rPr>
          <w:lang w:val="en-US"/>
        </w:rPr>
        <w:t>sürecinin</w:t>
      </w:r>
      <w:proofErr w:type="spellEnd"/>
      <w:r w:rsidRPr="00F8454B">
        <w:rPr>
          <w:lang w:val="en-US"/>
        </w:rPr>
        <w:t xml:space="preserve"> </w:t>
      </w:r>
      <w:proofErr w:type="spellStart"/>
      <w:r w:rsidRPr="00F8454B">
        <w:rPr>
          <w:lang w:val="en-US"/>
        </w:rPr>
        <w:t>açık</w:t>
      </w:r>
      <w:proofErr w:type="spellEnd"/>
      <w:r w:rsidRPr="00F8454B">
        <w:rPr>
          <w:lang w:val="en-US"/>
        </w:rPr>
        <w:t xml:space="preserve"> </w:t>
      </w:r>
      <w:proofErr w:type="spellStart"/>
      <w:r w:rsidRPr="00F8454B">
        <w:rPr>
          <w:lang w:val="en-US"/>
        </w:rPr>
        <w:t>uçlu</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hatta</w:t>
      </w:r>
      <w:proofErr w:type="spellEnd"/>
      <w:r w:rsidRPr="00F8454B">
        <w:rPr>
          <w:lang w:val="en-US"/>
        </w:rPr>
        <w:t xml:space="preserve"> </w:t>
      </w:r>
      <w:proofErr w:type="spellStart"/>
      <w:r w:rsidRPr="00F8454B">
        <w:rPr>
          <w:lang w:val="en-US"/>
        </w:rPr>
        <w:t>tartışmalı</w:t>
      </w:r>
      <w:proofErr w:type="spellEnd"/>
      <w:r w:rsidRPr="00F8454B">
        <w:rPr>
          <w:lang w:val="en-US"/>
        </w:rPr>
        <w:t xml:space="preserve"> </w:t>
      </w:r>
      <w:proofErr w:type="spellStart"/>
      <w:r w:rsidRPr="00F8454B">
        <w:rPr>
          <w:lang w:val="en-US"/>
        </w:rPr>
        <w:t>şekilde</w:t>
      </w:r>
      <w:proofErr w:type="spellEnd"/>
      <w:r w:rsidRPr="00F8454B">
        <w:rPr>
          <w:lang w:val="en-US"/>
        </w:rPr>
        <w:t xml:space="preserve"> </w:t>
      </w:r>
      <w:proofErr w:type="spellStart"/>
      <w:r w:rsidRPr="00F8454B">
        <w:rPr>
          <w:lang w:val="en-US"/>
        </w:rPr>
        <w:t>antidemokratik</w:t>
      </w:r>
      <w:proofErr w:type="spellEnd"/>
      <w:r w:rsidRPr="00F8454B">
        <w:rPr>
          <w:lang w:val="en-US"/>
        </w:rPr>
        <w:t xml:space="preserve"> </w:t>
      </w:r>
      <w:proofErr w:type="spellStart"/>
      <w:r w:rsidRPr="00F8454B">
        <w:rPr>
          <w:lang w:val="en-US"/>
        </w:rPr>
        <w:t>doğasına</w:t>
      </w:r>
      <w:proofErr w:type="spellEnd"/>
      <w:r w:rsidRPr="00F8454B">
        <w:rPr>
          <w:lang w:val="en-US"/>
        </w:rPr>
        <w:t xml:space="preserve"> </w:t>
      </w:r>
      <w:proofErr w:type="spellStart"/>
      <w:r w:rsidRPr="00F8454B">
        <w:rPr>
          <w:lang w:val="en-US"/>
        </w:rPr>
        <w:t>yönelik</w:t>
      </w:r>
      <w:proofErr w:type="spellEnd"/>
      <w:r w:rsidRPr="00F8454B">
        <w:rPr>
          <w:lang w:val="en-US"/>
        </w:rPr>
        <w:t xml:space="preserve"> </w:t>
      </w:r>
      <w:proofErr w:type="spellStart"/>
      <w:r w:rsidRPr="00F8454B">
        <w:rPr>
          <w:lang w:val="en-US"/>
        </w:rPr>
        <w:t>yaygın</w:t>
      </w:r>
      <w:proofErr w:type="spellEnd"/>
      <w:r w:rsidRPr="00F8454B">
        <w:rPr>
          <w:lang w:val="en-US"/>
        </w:rPr>
        <w:t xml:space="preserve"> </w:t>
      </w:r>
      <w:proofErr w:type="spellStart"/>
      <w:r w:rsidRPr="00F8454B">
        <w:rPr>
          <w:lang w:val="en-US"/>
        </w:rPr>
        <w:t>endişelere</w:t>
      </w:r>
      <w:proofErr w:type="spellEnd"/>
      <w:r w:rsidRPr="00F8454B">
        <w:rPr>
          <w:lang w:val="en-US"/>
        </w:rPr>
        <w:t xml:space="preserve"> </w:t>
      </w:r>
      <w:proofErr w:type="spellStart"/>
      <w:r w:rsidRPr="00F8454B">
        <w:rPr>
          <w:lang w:val="en-US"/>
        </w:rPr>
        <w:t>karşı</w:t>
      </w:r>
      <w:proofErr w:type="spellEnd"/>
      <w:r w:rsidRPr="00F8454B">
        <w:rPr>
          <w:lang w:val="en-US"/>
        </w:rPr>
        <w:t xml:space="preserve"> </w:t>
      </w:r>
      <w:proofErr w:type="spellStart"/>
      <w:r w:rsidRPr="00F8454B">
        <w:rPr>
          <w:lang w:val="en-US"/>
        </w:rPr>
        <w:t>teorisyenler</w:t>
      </w:r>
      <w:proofErr w:type="spellEnd"/>
      <w:r w:rsidRPr="00F8454B">
        <w:rPr>
          <w:lang w:val="en-US"/>
        </w:rPr>
        <w:t xml:space="preserve"> </w:t>
      </w:r>
      <w:proofErr w:type="spellStart"/>
      <w:r w:rsidRPr="00F8454B">
        <w:rPr>
          <w:lang w:val="en-US"/>
        </w:rPr>
        <w:t>tarafından</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savunma</w:t>
      </w:r>
      <w:proofErr w:type="spellEnd"/>
      <w:r w:rsidRPr="00F8454B">
        <w:rPr>
          <w:lang w:val="en-US"/>
        </w:rPr>
        <w:t xml:space="preserve"> </w:t>
      </w:r>
      <w:proofErr w:type="spellStart"/>
      <w:r w:rsidRPr="00F8454B">
        <w:rPr>
          <w:lang w:val="en-US"/>
        </w:rPr>
        <w:t>aracı</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kullanılmasına</w:t>
      </w:r>
      <w:proofErr w:type="spellEnd"/>
      <w:r w:rsidRPr="00F8454B">
        <w:rPr>
          <w:lang w:val="en-US"/>
        </w:rPr>
        <w:t xml:space="preserve"> </w:t>
      </w:r>
      <w:proofErr w:type="spellStart"/>
      <w:r w:rsidRPr="00F8454B">
        <w:rPr>
          <w:lang w:val="en-US"/>
        </w:rPr>
        <w:t>olanak</w:t>
      </w:r>
      <w:proofErr w:type="spellEnd"/>
      <w:r w:rsidRPr="00F8454B">
        <w:rPr>
          <w:lang w:val="en-US"/>
        </w:rPr>
        <w:t xml:space="preserve"> </w:t>
      </w:r>
      <w:proofErr w:type="spellStart"/>
      <w:r w:rsidRPr="00F8454B">
        <w:rPr>
          <w:lang w:val="en-US"/>
        </w:rPr>
        <w:t>tanır</w:t>
      </w:r>
      <w:proofErr w:type="spellEnd"/>
      <w:r w:rsidRPr="00F8454B">
        <w:rPr>
          <w:lang w:val="en-US"/>
        </w:rPr>
        <w:t>.</w:t>
      </w:r>
      <w:r>
        <w:rPr>
          <w:lang w:val="en-US"/>
        </w:rPr>
        <w:t xml:space="preserve"> [3-4]</w:t>
      </w:r>
    </w:p>
    <w:p w14:paraId="781A4532" w14:textId="6CBD6793" w:rsidR="00F8454B" w:rsidRDefault="00F8454B" w:rsidP="00F8454B">
      <w:pPr>
        <w:rPr>
          <w:lang w:val="en-US"/>
        </w:rPr>
      </w:pPr>
      <w:proofErr w:type="spellStart"/>
      <w:r w:rsidRPr="00F8454B">
        <w:rPr>
          <w:lang w:val="en-US"/>
        </w:rPr>
        <w:t>Öte</w:t>
      </w:r>
      <w:proofErr w:type="spellEnd"/>
      <w:r w:rsidRPr="00F8454B">
        <w:rPr>
          <w:lang w:val="en-US"/>
        </w:rPr>
        <w:t xml:space="preserve"> </w:t>
      </w:r>
      <w:proofErr w:type="spellStart"/>
      <w:r w:rsidRPr="00F8454B">
        <w:rPr>
          <w:lang w:val="en-US"/>
        </w:rPr>
        <w:t>yandan</w:t>
      </w:r>
      <w:proofErr w:type="spellEnd"/>
      <w:r w:rsidRPr="00F8454B">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teorisinin</w:t>
      </w:r>
      <w:proofErr w:type="spellEnd"/>
      <w:r w:rsidRPr="00F8454B">
        <w:rPr>
          <w:lang w:val="en-US"/>
        </w:rPr>
        <w:t xml:space="preserve"> </w:t>
      </w:r>
      <w:proofErr w:type="spellStart"/>
      <w:r w:rsidRPr="00F8454B">
        <w:rPr>
          <w:lang w:val="en-US"/>
        </w:rPr>
        <w:t>büyük</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kısmı</w:t>
      </w:r>
      <w:proofErr w:type="spellEnd"/>
      <w:r w:rsidRPr="00F8454B">
        <w:rPr>
          <w:lang w:val="en-US"/>
        </w:rPr>
        <w:t xml:space="preserve">, </w:t>
      </w:r>
      <w:proofErr w:type="spellStart"/>
      <w:r w:rsidRPr="00F8454B">
        <w:rPr>
          <w:lang w:val="en-US"/>
        </w:rPr>
        <w:t>bu</w:t>
      </w:r>
      <w:proofErr w:type="spellEnd"/>
      <w:r w:rsidRPr="00F8454B">
        <w:rPr>
          <w:lang w:val="en-US"/>
        </w:rPr>
        <w:t xml:space="preserve"> </w:t>
      </w:r>
      <w:proofErr w:type="spellStart"/>
      <w:r w:rsidRPr="00F8454B">
        <w:rPr>
          <w:lang w:val="en-US"/>
        </w:rPr>
        <w:t>katılaştırılmış</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yapıyı</w:t>
      </w:r>
      <w:proofErr w:type="spellEnd"/>
      <w:r w:rsidRPr="00F8454B">
        <w:rPr>
          <w:lang w:val="en-US"/>
        </w:rPr>
        <w:t xml:space="preserve">" (structure) </w:t>
      </w:r>
      <w:proofErr w:type="spellStart"/>
      <w:r w:rsidRPr="00F8454B">
        <w:rPr>
          <w:lang w:val="en-US"/>
        </w:rPr>
        <w:t>oluşturan</w:t>
      </w:r>
      <w:proofErr w:type="spellEnd"/>
      <w:r w:rsidRPr="00F8454B">
        <w:rPr>
          <w:lang w:val="en-US"/>
        </w:rPr>
        <w:t xml:space="preserve"> </w:t>
      </w:r>
      <w:proofErr w:type="spellStart"/>
      <w:r w:rsidRPr="00F8454B">
        <w:rPr>
          <w:lang w:val="en-US"/>
        </w:rPr>
        <w:t>unsurlarla</w:t>
      </w:r>
      <w:proofErr w:type="spellEnd"/>
      <w:r w:rsidRPr="00F8454B">
        <w:rPr>
          <w:lang w:val="en-US"/>
        </w:rPr>
        <w:t xml:space="preserve"> </w:t>
      </w:r>
      <w:proofErr w:type="spellStart"/>
      <w:r w:rsidRPr="00F8454B">
        <w:rPr>
          <w:lang w:val="en-US"/>
        </w:rPr>
        <w:t>birlikte</w:t>
      </w:r>
      <w:proofErr w:type="spellEnd"/>
      <w:r w:rsidRPr="00F8454B">
        <w:rPr>
          <w:lang w:val="en-US"/>
        </w:rPr>
        <w:t xml:space="preserve"> var </w:t>
      </w:r>
      <w:proofErr w:type="spellStart"/>
      <w:r w:rsidRPr="00F8454B">
        <w:rPr>
          <w:lang w:val="en-US"/>
        </w:rPr>
        <w:t>olan</w:t>
      </w:r>
      <w:proofErr w:type="spellEnd"/>
      <w:r w:rsidRPr="00F8454B">
        <w:rPr>
          <w:lang w:val="en-US"/>
        </w:rPr>
        <w:t xml:space="preserve">, </w:t>
      </w:r>
      <w:proofErr w:type="spellStart"/>
      <w:r w:rsidRPr="00F8454B">
        <w:rPr>
          <w:lang w:val="en-US"/>
        </w:rPr>
        <w:t>ancak</w:t>
      </w:r>
      <w:proofErr w:type="spellEnd"/>
      <w:r w:rsidRPr="00F8454B">
        <w:rPr>
          <w:lang w:val="en-US"/>
        </w:rPr>
        <w:t xml:space="preserve"> </w:t>
      </w:r>
      <w:proofErr w:type="spellStart"/>
      <w:r w:rsidRPr="00F8454B">
        <w:rPr>
          <w:lang w:val="en-US"/>
        </w:rPr>
        <w:t>daha</w:t>
      </w:r>
      <w:proofErr w:type="spellEnd"/>
      <w:r w:rsidRPr="00F8454B">
        <w:rPr>
          <w:lang w:val="en-US"/>
        </w:rPr>
        <w:t xml:space="preserve"> yeni </w:t>
      </w:r>
      <w:proofErr w:type="spellStart"/>
      <w:r w:rsidRPr="00F8454B">
        <w:rPr>
          <w:lang w:val="en-US"/>
        </w:rPr>
        <w:t>ve</w:t>
      </w:r>
      <w:proofErr w:type="spellEnd"/>
      <w:r w:rsidRPr="00F8454B">
        <w:rPr>
          <w:lang w:val="en-US"/>
        </w:rPr>
        <w:t xml:space="preserve"> </w:t>
      </w:r>
      <w:proofErr w:type="spellStart"/>
      <w:r w:rsidRPr="00F8454B">
        <w:rPr>
          <w:lang w:val="en-US"/>
        </w:rPr>
        <w:t>daha</w:t>
      </w:r>
      <w:proofErr w:type="spellEnd"/>
      <w:r w:rsidRPr="00F8454B">
        <w:rPr>
          <w:lang w:val="en-US"/>
        </w:rPr>
        <w:t xml:space="preserve"> </w:t>
      </w:r>
      <w:proofErr w:type="spellStart"/>
      <w:r w:rsidRPr="00F8454B">
        <w:rPr>
          <w:lang w:val="en-US"/>
        </w:rPr>
        <w:t>az</w:t>
      </w:r>
      <w:proofErr w:type="spellEnd"/>
      <w:r w:rsidRPr="00F8454B">
        <w:rPr>
          <w:lang w:val="en-US"/>
        </w:rPr>
        <w:t xml:space="preserve"> </w:t>
      </w:r>
      <w:proofErr w:type="spellStart"/>
      <w:r w:rsidRPr="00F8454B">
        <w:rPr>
          <w:lang w:val="en-US"/>
        </w:rPr>
        <w:t>dikkat</w:t>
      </w:r>
      <w:proofErr w:type="spellEnd"/>
      <w:r w:rsidRPr="00F8454B">
        <w:rPr>
          <w:lang w:val="en-US"/>
        </w:rPr>
        <w:t xml:space="preserve"> </w:t>
      </w:r>
      <w:proofErr w:type="spellStart"/>
      <w:r w:rsidRPr="00F8454B">
        <w:rPr>
          <w:lang w:val="en-US"/>
        </w:rPr>
        <w:t>çekici</w:t>
      </w:r>
      <w:proofErr w:type="spellEnd"/>
      <w:r w:rsidRPr="00F8454B">
        <w:rPr>
          <w:lang w:val="en-US"/>
        </w:rPr>
        <w:t xml:space="preserve"> </w:t>
      </w:r>
      <w:proofErr w:type="spellStart"/>
      <w:r w:rsidRPr="00F8454B">
        <w:rPr>
          <w:lang w:val="en-US"/>
        </w:rPr>
        <w:t>kurumsal</w:t>
      </w:r>
      <w:proofErr w:type="spellEnd"/>
      <w:r w:rsidRPr="00F8454B">
        <w:rPr>
          <w:lang w:val="en-US"/>
        </w:rPr>
        <w:t xml:space="preserve"> </w:t>
      </w:r>
      <w:proofErr w:type="spellStart"/>
      <w:r w:rsidRPr="00F8454B">
        <w:rPr>
          <w:lang w:val="en-US"/>
        </w:rPr>
        <w:t>düzenlemeleri</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uygulamaları</w:t>
      </w:r>
      <w:proofErr w:type="spellEnd"/>
      <w:r w:rsidRPr="00F8454B">
        <w:rPr>
          <w:lang w:val="en-US"/>
        </w:rPr>
        <w:t xml:space="preserve"> </w:t>
      </w:r>
      <w:proofErr w:type="spellStart"/>
      <w:r w:rsidRPr="00F8454B">
        <w:rPr>
          <w:lang w:val="en-US"/>
        </w:rPr>
        <w:t>büyük</w:t>
      </w:r>
      <w:proofErr w:type="spellEnd"/>
      <w:r w:rsidRPr="00F8454B">
        <w:rPr>
          <w:lang w:val="en-US"/>
        </w:rPr>
        <w:t xml:space="preserve"> </w:t>
      </w:r>
      <w:proofErr w:type="spellStart"/>
      <w:r w:rsidRPr="00F8454B">
        <w:rPr>
          <w:lang w:val="en-US"/>
        </w:rPr>
        <w:t>ölçüde</w:t>
      </w:r>
      <w:proofErr w:type="spellEnd"/>
      <w:r w:rsidRPr="00F8454B">
        <w:rPr>
          <w:lang w:val="en-US"/>
        </w:rPr>
        <w:t xml:space="preserve"> </w:t>
      </w:r>
      <w:proofErr w:type="spellStart"/>
      <w:r w:rsidRPr="00F8454B">
        <w:rPr>
          <w:lang w:val="en-US"/>
        </w:rPr>
        <w:t>görmezden</w:t>
      </w:r>
      <w:proofErr w:type="spellEnd"/>
      <w:r w:rsidRPr="00F8454B">
        <w:rPr>
          <w:lang w:val="en-US"/>
        </w:rPr>
        <w:t xml:space="preserve"> </w:t>
      </w:r>
      <w:proofErr w:type="spellStart"/>
      <w:r w:rsidRPr="00F8454B">
        <w:rPr>
          <w:lang w:val="en-US"/>
        </w:rPr>
        <w:t>gelmektedir</w:t>
      </w:r>
      <w:proofErr w:type="spellEnd"/>
      <w:r w:rsidRPr="00F8454B">
        <w:rPr>
          <w:lang w:val="en-US"/>
        </w:rPr>
        <w:t>.</w:t>
      </w:r>
      <w:r w:rsidRPr="00F8454B">
        <w:rPr>
          <w:lang w:val="en-US"/>
        </w:rPr>
        <w:t xml:space="preserve"> </w:t>
      </w:r>
      <w:r w:rsidRPr="00F8454B">
        <w:rPr>
          <w:lang w:val="en-US"/>
        </w:rPr>
        <w:t xml:space="preserve">Bu </w:t>
      </w:r>
      <w:proofErr w:type="spellStart"/>
      <w:r w:rsidRPr="00F8454B">
        <w:rPr>
          <w:lang w:val="en-US"/>
        </w:rPr>
        <w:t>uygulamalar</w:t>
      </w:r>
      <w:proofErr w:type="spellEnd"/>
      <w:r w:rsidRPr="00F8454B">
        <w:rPr>
          <w:lang w:val="en-US"/>
        </w:rPr>
        <w:t>—</w:t>
      </w:r>
      <w:proofErr w:type="spellStart"/>
      <w:r w:rsidRPr="00F8454B">
        <w:rPr>
          <w:lang w:val="en-US"/>
        </w:rPr>
        <w:t>örneğin</w:t>
      </w:r>
      <w:proofErr w:type="spellEnd"/>
      <w:r w:rsidRPr="00F8454B">
        <w:rPr>
          <w:lang w:val="en-US"/>
        </w:rPr>
        <w:t xml:space="preserve">, amicus curiae </w:t>
      </w:r>
      <w:proofErr w:type="spellStart"/>
      <w:r w:rsidRPr="00F8454B">
        <w:rPr>
          <w:lang w:val="en-US"/>
        </w:rPr>
        <w:t>dilekçelerinin</w:t>
      </w:r>
      <w:proofErr w:type="spellEnd"/>
      <w:r w:rsidRPr="00F8454B">
        <w:rPr>
          <w:lang w:val="en-US"/>
        </w:rPr>
        <w:t xml:space="preserve"> (amicus briefs) </w:t>
      </w:r>
      <w:proofErr w:type="spellStart"/>
      <w:r w:rsidRPr="00F8454B">
        <w:rPr>
          <w:lang w:val="en-US"/>
        </w:rPr>
        <w:t>yaygınlaşması</w:t>
      </w:r>
      <w:proofErr w:type="spellEnd"/>
      <w:r w:rsidRPr="00F8454B">
        <w:rPr>
          <w:lang w:val="en-US"/>
        </w:rPr>
        <w:t xml:space="preserve">, </w:t>
      </w:r>
      <w:proofErr w:type="spellStart"/>
      <w:r w:rsidRPr="00F8454B">
        <w:rPr>
          <w:lang w:val="en-US"/>
        </w:rPr>
        <w:t>hukuk</w:t>
      </w:r>
      <w:proofErr w:type="spellEnd"/>
      <w:r w:rsidRPr="00F8454B">
        <w:rPr>
          <w:lang w:val="en-US"/>
        </w:rPr>
        <w:t xml:space="preserve"> </w:t>
      </w:r>
      <w:proofErr w:type="spellStart"/>
      <w:r w:rsidRPr="00F8454B">
        <w:rPr>
          <w:lang w:val="en-US"/>
        </w:rPr>
        <w:t>katiplerinin</w:t>
      </w:r>
      <w:proofErr w:type="spellEnd"/>
      <w:r w:rsidRPr="00F8454B">
        <w:rPr>
          <w:lang w:val="en-US"/>
        </w:rPr>
        <w:t xml:space="preserve"> (law clerks) </w:t>
      </w:r>
      <w:proofErr w:type="spellStart"/>
      <w:r w:rsidRPr="00F8454B">
        <w:rPr>
          <w:lang w:val="en-US"/>
        </w:rPr>
        <w:t>artan</w:t>
      </w:r>
      <w:proofErr w:type="spellEnd"/>
      <w:r w:rsidRPr="00F8454B">
        <w:rPr>
          <w:lang w:val="en-US"/>
        </w:rPr>
        <w:t xml:space="preserve"> </w:t>
      </w:r>
      <w:proofErr w:type="spellStart"/>
      <w:r w:rsidRPr="00F8454B">
        <w:rPr>
          <w:lang w:val="en-US"/>
        </w:rPr>
        <w:t>kullanımı</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kamuoyunun</w:t>
      </w:r>
      <w:proofErr w:type="spellEnd"/>
      <w:r w:rsidRPr="00F8454B">
        <w:rPr>
          <w:lang w:val="en-US"/>
        </w:rPr>
        <w:t xml:space="preserve"> Yüksek </w:t>
      </w:r>
      <w:proofErr w:type="spellStart"/>
      <w:r w:rsidRPr="00F8454B">
        <w:rPr>
          <w:lang w:val="en-US"/>
        </w:rPr>
        <w:t>Mahkeme</w:t>
      </w:r>
      <w:proofErr w:type="spellEnd"/>
      <w:r w:rsidRPr="00F8454B">
        <w:rPr>
          <w:lang w:val="en-US"/>
        </w:rPr>
        <w:t xml:space="preserve"> </w:t>
      </w:r>
      <w:proofErr w:type="spellStart"/>
      <w:r w:rsidRPr="00F8454B">
        <w:rPr>
          <w:lang w:val="en-US"/>
        </w:rPr>
        <w:t>kararlarını</w:t>
      </w:r>
      <w:proofErr w:type="spellEnd"/>
      <w:r w:rsidRPr="00F8454B">
        <w:rPr>
          <w:lang w:val="en-US"/>
        </w:rPr>
        <w:t xml:space="preserve"> </w:t>
      </w:r>
      <w:proofErr w:type="spellStart"/>
      <w:r w:rsidRPr="00F8454B">
        <w:rPr>
          <w:lang w:val="en-US"/>
        </w:rPr>
        <w:t>genellikle</w:t>
      </w:r>
      <w:proofErr w:type="spellEnd"/>
      <w:r w:rsidRPr="00F8454B">
        <w:rPr>
          <w:lang w:val="en-US"/>
        </w:rPr>
        <w:t xml:space="preserve"> </w:t>
      </w:r>
      <w:proofErr w:type="spellStart"/>
      <w:r w:rsidRPr="00F8454B">
        <w:rPr>
          <w:lang w:val="en-US"/>
        </w:rPr>
        <w:t>başka</w:t>
      </w:r>
      <w:proofErr w:type="spellEnd"/>
      <w:r w:rsidRPr="00F8454B">
        <w:rPr>
          <w:lang w:val="en-US"/>
        </w:rPr>
        <w:t xml:space="preserve"> </w:t>
      </w:r>
      <w:proofErr w:type="spellStart"/>
      <w:r w:rsidRPr="00F8454B">
        <w:rPr>
          <w:lang w:val="en-US"/>
        </w:rPr>
        <w:t>kaynaklar</w:t>
      </w:r>
      <w:proofErr w:type="spellEnd"/>
      <w:r w:rsidRPr="00F8454B">
        <w:rPr>
          <w:lang w:val="en-US"/>
        </w:rPr>
        <w:t xml:space="preserve"> </w:t>
      </w:r>
      <w:proofErr w:type="spellStart"/>
      <w:r w:rsidRPr="00F8454B">
        <w:rPr>
          <w:lang w:val="en-US"/>
        </w:rPr>
        <w:t>aracılığıyla</w:t>
      </w:r>
      <w:proofErr w:type="spellEnd"/>
      <w:r w:rsidRPr="00F8454B">
        <w:rPr>
          <w:lang w:val="en-US"/>
        </w:rPr>
        <w:t xml:space="preserve"> </w:t>
      </w:r>
      <w:proofErr w:type="spellStart"/>
      <w:r w:rsidRPr="00F8454B">
        <w:rPr>
          <w:lang w:val="en-US"/>
        </w:rPr>
        <w:t>öğrenmesi</w:t>
      </w:r>
      <w:proofErr w:type="spellEnd"/>
      <w:r w:rsidRPr="00F8454B">
        <w:rPr>
          <w:lang w:val="en-US"/>
        </w:rPr>
        <w:t>—</w:t>
      </w:r>
      <w:proofErr w:type="spellStart"/>
      <w:r w:rsidRPr="00F8454B">
        <w:rPr>
          <w:lang w:val="en-US"/>
        </w:rPr>
        <w:t>kamuoyunun</w:t>
      </w:r>
      <w:proofErr w:type="spellEnd"/>
      <w:r w:rsidRPr="00F8454B">
        <w:rPr>
          <w:lang w:val="en-US"/>
        </w:rPr>
        <w:t xml:space="preserve"> </w:t>
      </w:r>
      <w:proofErr w:type="spellStart"/>
      <w:r w:rsidRPr="00F8454B">
        <w:rPr>
          <w:lang w:val="en-US"/>
        </w:rPr>
        <w:t>veya</w:t>
      </w:r>
      <w:proofErr w:type="spellEnd"/>
      <w:r w:rsidRPr="00F8454B">
        <w:rPr>
          <w:lang w:val="en-US"/>
        </w:rPr>
        <w:t xml:space="preserve"> </w:t>
      </w:r>
      <w:proofErr w:type="spellStart"/>
      <w:r w:rsidRPr="00F8454B">
        <w:rPr>
          <w:lang w:val="en-US"/>
        </w:rPr>
        <w:t>gazetecilerin</w:t>
      </w:r>
      <w:proofErr w:type="spellEnd"/>
      <w:r w:rsidRPr="00F8454B">
        <w:rPr>
          <w:lang w:val="en-US"/>
        </w:rPr>
        <w:t xml:space="preserve"> </w:t>
      </w:r>
      <w:proofErr w:type="spellStart"/>
      <w:r w:rsidRPr="00F8454B">
        <w:rPr>
          <w:lang w:val="en-US"/>
        </w:rPr>
        <w:t>dikkatinden</w:t>
      </w:r>
      <w:proofErr w:type="spellEnd"/>
      <w:r w:rsidRPr="00F8454B">
        <w:rPr>
          <w:lang w:val="en-US"/>
        </w:rPr>
        <w:t xml:space="preserve"> </w:t>
      </w:r>
      <w:proofErr w:type="spellStart"/>
      <w:r w:rsidRPr="00F8454B">
        <w:rPr>
          <w:lang w:val="en-US"/>
        </w:rPr>
        <w:t>kaçmamaktadır</w:t>
      </w:r>
      <w:proofErr w:type="spellEnd"/>
      <w:r w:rsidRPr="00F8454B">
        <w:rPr>
          <w:lang w:val="en-US"/>
        </w:rPr>
        <w:t xml:space="preserve">. </w:t>
      </w:r>
      <w:proofErr w:type="spellStart"/>
      <w:r w:rsidRPr="00F8454B">
        <w:rPr>
          <w:lang w:val="en-US"/>
        </w:rPr>
        <w:t>Ancak</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uygulamaların</w:t>
      </w:r>
      <w:proofErr w:type="spellEnd"/>
      <w:r w:rsidRPr="00F8454B">
        <w:rPr>
          <w:lang w:val="en-US"/>
        </w:rPr>
        <w:t xml:space="preserve"> </w:t>
      </w:r>
      <w:proofErr w:type="spellStart"/>
      <w:r w:rsidRPr="00F8454B">
        <w:rPr>
          <w:lang w:val="en-US"/>
        </w:rPr>
        <w:t>doğruluğuna</w:t>
      </w:r>
      <w:proofErr w:type="spellEnd"/>
      <w:r w:rsidRPr="00F8454B">
        <w:rPr>
          <w:lang w:val="en-US"/>
        </w:rPr>
        <w:t xml:space="preserve"> </w:t>
      </w:r>
      <w:proofErr w:type="spellStart"/>
      <w:r w:rsidRPr="00F8454B">
        <w:rPr>
          <w:lang w:val="en-US"/>
        </w:rPr>
        <w:t>büyük</w:t>
      </w:r>
      <w:proofErr w:type="spellEnd"/>
      <w:r w:rsidRPr="00F8454B">
        <w:rPr>
          <w:lang w:val="en-US"/>
        </w:rPr>
        <w:t xml:space="preserve"> </w:t>
      </w:r>
      <w:proofErr w:type="spellStart"/>
      <w:r w:rsidRPr="00F8454B">
        <w:rPr>
          <w:lang w:val="en-US"/>
        </w:rPr>
        <w:t>ölçüde</w:t>
      </w:r>
      <w:proofErr w:type="spellEnd"/>
      <w:r w:rsidRPr="00F8454B">
        <w:rPr>
          <w:lang w:val="en-US"/>
        </w:rPr>
        <w:t xml:space="preserve"> </w:t>
      </w:r>
      <w:proofErr w:type="spellStart"/>
      <w:r w:rsidRPr="00F8454B">
        <w:rPr>
          <w:lang w:val="en-US"/>
        </w:rPr>
        <w:t>dayanan</w:t>
      </w:r>
      <w:proofErr w:type="spellEnd"/>
      <w:r w:rsidRPr="00F8454B">
        <w:rPr>
          <w:lang w:val="en-US"/>
        </w:rPr>
        <w:t xml:space="preserve"> </w:t>
      </w:r>
      <w:proofErr w:type="spellStart"/>
      <w:r w:rsidRPr="00F8454B">
        <w:rPr>
          <w:lang w:val="en-US"/>
        </w:rPr>
        <w:t>teorik</w:t>
      </w:r>
      <w:proofErr w:type="spellEnd"/>
      <w:r w:rsidRPr="00F8454B">
        <w:rPr>
          <w:lang w:val="en-US"/>
        </w:rPr>
        <w:t xml:space="preserve"> </w:t>
      </w:r>
      <w:proofErr w:type="spellStart"/>
      <w:r w:rsidRPr="00F8454B">
        <w:rPr>
          <w:lang w:val="en-US"/>
        </w:rPr>
        <w:t>modeller</w:t>
      </w:r>
      <w:proofErr w:type="spellEnd"/>
      <w:r w:rsidRPr="00F8454B">
        <w:rPr>
          <w:lang w:val="en-US"/>
        </w:rPr>
        <w:t xml:space="preserve"> </w:t>
      </w:r>
      <w:proofErr w:type="spellStart"/>
      <w:r w:rsidRPr="00F8454B">
        <w:rPr>
          <w:lang w:val="en-US"/>
        </w:rPr>
        <w:t>geliştirenler</w:t>
      </w:r>
      <w:proofErr w:type="spellEnd"/>
      <w:r w:rsidRPr="00F8454B">
        <w:rPr>
          <w:lang w:val="en-US"/>
        </w:rPr>
        <w:t xml:space="preserve"> de </w:t>
      </w:r>
      <w:proofErr w:type="spellStart"/>
      <w:r w:rsidRPr="00F8454B">
        <w:rPr>
          <w:lang w:val="en-US"/>
        </w:rPr>
        <w:t>dahil</w:t>
      </w:r>
      <w:proofErr w:type="spellEnd"/>
      <w:r w:rsidRPr="00F8454B">
        <w:rPr>
          <w:lang w:val="en-US"/>
        </w:rPr>
        <w:t xml:space="preserve"> </w:t>
      </w:r>
      <w:proofErr w:type="spellStart"/>
      <w:r w:rsidRPr="00F8454B">
        <w:rPr>
          <w:lang w:val="en-US"/>
        </w:rPr>
        <w:t>olmak</w:t>
      </w:r>
      <w:proofErr w:type="spellEnd"/>
      <w:r w:rsidRPr="00F8454B">
        <w:rPr>
          <w:lang w:val="en-US"/>
        </w:rPr>
        <w:t xml:space="preserve"> </w:t>
      </w:r>
      <w:proofErr w:type="spellStart"/>
      <w:r w:rsidRPr="00F8454B">
        <w:rPr>
          <w:lang w:val="en-US"/>
        </w:rPr>
        <w:t>üzere</w:t>
      </w:r>
      <w:proofErr w:type="spellEnd"/>
      <w:r w:rsidRPr="00F8454B">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teorisyenlerinin</w:t>
      </w:r>
      <w:proofErr w:type="spellEnd"/>
      <w:r w:rsidRPr="00F8454B">
        <w:rPr>
          <w:lang w:val="en-US"/>
        </w:rPr>
        <w:t xml:space="preserve"> </w:t>
      </w:r>
      <w:proofErr w:type="spellStart"/>
      <w:r w:rsidRPr="00F8454B">
        <w:rPr>
          <w:lang w:val="en-US"/>
        </w:rPr>
        <w:t>çalışmalarında</w:t>
      </w:r>
      <w:proofErr w:type="spellEnd"/>
      <w:r w:rsidRPr="00F8454B">
        <w:rPr>
          <w:lang w:val="en-US"/>
        </w:rPr>
        <w:t xml:space="preserve"> </w:t>
      </w:r>
      <w:proofErr w:type="spellStart"/>
      <w:r w:rsidRPr="00F8454B">
        <w:rPr>
          <w:lang w:val="en-US"/>
        </w:rPr>
        <w:t>büyük</w:t>
      </w:r>
      <w:proofErr w:type="spellEnd"/>
      <w:r w:rsidRPr="00F8454B">
        <w:rPr>
          <w:lang w:val="en-US"/>
        </w:rPr>
        <w:t xml:space="preserve"> </w:t>
      </w:r>
      <w:proofErr w:type="spellStart"/>
      <w:r w:rsidRPr="00F8454B">
        <w:rPr>
          <w:lang w:val="en-US"/>
        </w:rPr>
        <w:t>ölçüde</w:t>
      </w:r>
      <w:proofErr w:type="spellEnd"/>
      <w:r w:rsidRPr="00F8454B">
        <w:rPr>
          <w:lang w:val="en-US"/>
        </w:rPr>
        <w:t xml:space="preserve"> </w:t>
      </w:r>
      <w:proofErr w:type="spellStart"/>
      <w:r w:rsidRPr="00F8454B">
        <w:rPr>
          <w:lang w:val="en-US"/>
        </w:rPr>
        <w:t>yer</w:t>
      </w:r>
      <w:proofErr w:type="spellEnd"/>
      <w:r w:rsidRPr="00F8454B">
        <w:rPr>
          <w:lang w:val="en-US"/>
        </w:rPr>
        <w:t xml:space="preserve"> </w:t>
      </w:r>
      <w:proofErr w:type="spellStart"/>
      <w:r w:rsidRPr="00F8454B">
        <w:rPr>
          <w:lang w:val="en-US"/>
        </w:rPr>
        <w:t>almamaktadır</w:t>
      </w:r>
      <w:proofErr w:type="spellEnd"/>
      <w:r w:rsidRPr="00F8454B">
        <w:rPr>
          <w:lang w:val="en-US"/>
        </w:rPr>
        <w:t>.</w:t>
      </w:r>
    </w:p>
    <w:p w14:paraId="41FFFAD5" w14:textId="7C69C14D" w:rsidR="00F8454B" w:rsidRDefault="00F8454B" w:rsidP="00F8454B">
      <w:pPr>
        <w:rPr>
          <w:lang w:val="en-US"/>
        </w:rPr>
      </w:pPr>
      <w:r w:rsidRPr="00F8454B">
        <w:rPr>
          <w:lang w:val="en-US"/>
        </w:rPr>
        <w:t xml:space="preserve">Bu </w:t>
      </w:r>
      <w:proofErr w:type="spellStart"/>
      <w:r w:rsidRPr="00F8454B">
        <w:rPr>
          <w:lang w:val="en-US"/>
        </w:rPr>
        <w:t>makale</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uygulamaların</w:t>
      </w:r>
      <w:proofErr w:type="spellEnd"/>
      <w:r w:rsidRPr="00F8454B">
        <w:rPr>
          <w:lang w:val="en-US"/>
        </w:rPr>
        <w:t xml:space="preserve"> </w:t>
      </w:r>
      <w:proofErr w:type="spellStart"/>
      <w:r w:rsidRPr="00F8454B">
        <w:rPr>
          <w:lang w:val="en-US"/>
        </w:rPr>
        <w:t>bu</w:t>
      </w:r>
      <w:proofErr w:type="spellEnd"/>
      <w:r w:rsidRPr="00F8454B">
        <w:rPr>
          <w:lang w:val="en-US"/>
        </w:rPr>
        <w:t xml:space="preserve"> </w:t>
      </w:r>
      <w:proofErr w:type="spellStart"/>
      <w:r w:rsidRPr="00F8454B">
        <w:rPr>
          <w:lang w:val="en-US"/>
        </w:rPr>
        <w:t>iki</w:t>
      </w:r>
      <w:proofErr w:type="spellEnd"/>
      <w:r w:rsidRPr="00F8454B">
        <w:rPr>
          <w:lang w:val="en-US"/>
        </w:rPr>
        <w:t xml:space="preserve"> </w:t>
      </w:r>
      <w:proofErr w:type="spellStart"/>
      <w:r w:rsidRPr="00F8454B">
        <w:rPr>
          <w:lang w:val="en-US"/>
        </w:rPr>
        <w:t>farklı</w:t>
      </w:r>
      <w:proofErr w:type="spellEnd"/>
      <w:r w:rsidRPr="00F8454B">
        <w:rPr>
          <w:lang w:val="en-US"/>
        </w:rPr>
        <w:t xml:space="preserve"> </w:t>
      </w:r>
      <w:proofErr w:type="spellStart"/>
      <w:r w:rsidRPr="00F8454B">
        <w:rPr>
          <w:lang w:val="en-US"/>
        </w:rPr>
        <w:t>şekilde</w:t>
      </w:r>
      <w:proofErr w:type="spellEnd"/>
      <w:r w:rsidRPr="00F8454B">
        <w:rPr>
          <w:lang w:val="en-US"/>
        </w:rPr>
        <w:t xml:space="preserve"> </w:t>
      </w:r>
      <w:proofErr w:type="spellStart"/>
      <w:r w:rsidRPr="00F8454B">
        <w:rPr>
          <w:lang w:val="en-US"/>
        </w:rPr>
        <w:t>ele</w:t>
      </w:r>
      <w:proofErr w:type="spellEnd"/>
      <w:r w:rsidRPr="00F8454B">
        <w:rPr>
          <w:lang w:val="en-US"/>
        </w:rPr>
        <w:t xml:space="preserve"> </w:t>
      </w:r>
      <w:proofErr w:type="spellStart"/>
      <w:r w:rsidRPr="00F8454B">
        <w:rPr>
          <w:lang w:val="en-US"/>
        </w:rPr>
        <w:t>alınmasının</w:t>
      </w:r>
      <w:proofErr w:type="spellEnd"/>
      <w:r w:rsidRPr="00F8454B">
        <w:rPr>
          <w:lang w:val="en-US"/>
        </w:rPr>
        <w:t xml:space="preserve"> </w:t>
      </w:r>
      <w:proofErr w:type="spellStart"/>
      <w:r w:rsidRPr="00F8454B">
        <w:rPr>
          <w:lang w:val="en-US"/>
        </w:rPr>
        <w:t>haklı</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gerekçesi</w:t>
      </w:r>
      <w:proofErr w:type="spellEnd"/>
      <w:r w:rsidRPr="00F8454B">
        <w:rPr>
          <w:lang w:val="en-US"/>
        </w:rPr>
        <w:t xml:space="preserve"> </w:t>
      </w:r>
      <w:proofErr w:type="spellStart"/>
      <w:r w:rsidRPr="00F8454B">
        <w:rPr>
          <w:lang w:val="en-US"/>
        </w:rPr>
        <w:t>olmadığını</w:t>
      </w:r>
      <w:proofErr w:type="spellEnd"/>
      <w:r w:rsidRPr="00F8454B">
        <w:rPr>
          <w:lang w:val="en-US"/>
        </w:rPr>
        <w:t xml:space="preserve"> </w:t>
      </w:r>
      <w:proofErr w:type="spellStart"/>
      <w:r w:rsidRPr="00F8454B">
        <w:rPr>
          <w:lang w:val="en-US"/>
        </w:rPr>
        <w:t>savunmaktadır</w:t>
      </w:r>
      <w:proofErr w:type="spellEnd"/>
      <w:r w:rsidRPr="00F8454B">
        <w:rPr>
          <w:lang w:val="en-US"/>
        </w:rPr>
        <w:t>.</w:t>
      </w:r>
      <w:r>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teorisyenlerinin</w:t>
      </w:r>
      <w:proofErr w:type="spellEnd"/>
      <w:r w:rsidRPr="00F8454B">
        <w:rPr>
          <w:lang w:val="en-US"/>
        </w:rPr>
        <w:t xml:space="preserve"> </w:t>
      </w:r>
      <w:proofErr w:type="spellStart"/>
      <w:r w:rsidRPr="00F8454B">
        <w:rPr>
          <w:lang w:val="en-US"/>
        </w:rPr>
        <w:t>katılaştırarak</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yapımızın</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parçası</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ele</w:t>
      </w:r>
      <w:proofErr w:type="spellEnd"/>
      <w:r w:rsidRPr="00F8454B">
        <w:rPr>
          <w:lang w:val="en-US"/>
        </w:rPr>
        <w:t xml:space="preserve"> </w:t>
      </w:r>
      <w:proofErr w:type="spellStart"/>
      <w:r w:rsidRPr="00F8454B">
        <w:rPr>
          <w:lang w:val="en-US"/>
        </w:rPr>
        <w:t>aldığı</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tasarımın</w:t>
      </w:r>
      <w:proofErr w:type="spellEnd"/>
      <w:r w:rsidRPr="00F8454B">
        <w:rPr>
          <w:lang w:val="en-US"/>
        </w:rPr>
        <w:t xml:space="preserve"> (constitutional design) </w:t>
      </w:r>
      <w:proofErr w:type="spellStart"/>
      <w:r w:rsidRPr="00F8454B">
        <w:rPr>
          <w:lang w:val="en-US"/>
        </w:rPr>
        <w:t>unsurları</w:t>
      </w:r>
      <w:proofErr w:type="spellEnd"/>
      <w:r w:rsidRPr="00F8454B">
        <w:rPr>
          <w:lang w:val="en-US"/>
        </w:rPr>
        <w:t xml:space="preserve"> </w:t>
      </w:r>
      <w:proofErr w:type="spellStart"/>
      <w:r w:rsidRPr="00F8454B">
        <w:rPr>
          <w:lang w:val="en-US"/>
        </w:rPr>
        <w:t>gibi</w:t>
      </w:r>
      <w:proofErr w:type="spellEnd"/>
      <w:r w:rsidRPr="00F8454B">
        <w:rPr>
          <w:lang w:val="en-US"/>
        </w:rPr>
        <w:t xml:space="preserve"> </w:t>
      </w:r>
      <w:proofErr w:type="spellStart"/>
      <w:r w:rsidRPr="00F8454B">
        <w:rPr>
          <w:lang w:val="en-US"/>
        </w:rPr>
        <w:t>değerlendirdiği</w:t>
      </w:r>
      <w:proofErr w:type="spellEnd"/>
      <w:r w:rsidRPr="00F8454B">
        <w:rPr>
          <w:lang w:val="en-US"/>
        </w:rPr>
        <w:t xml:space="preserve"> </w:t>
      </w:r>
      <w:proofErr w:type="spellStart"/>
      <w:r w:rsidRPr="00F8454B">
        <w:rPr>
          <w:lang w:val="en-US"/>
        </w:rPr>
        <w:t>uygulamalar</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düzenlemeler</w:t>
      </w:r>
      <w:proofErr w:type="spellEnd"/>
      <w:r w:rsidRPr="00F8454B">
        <w:rPr>
          <w:lang w:val="en-US"/>
        </w:rPr>
        <w:t xml:space="preserve">, </w:t>
      </w:r>
      <w:proofErr w:type="spellStart"/>
      <w:r w:rsidRPr="00F8454B">
        <w:rPr>
          <w:lang w:val="en-US"/>
        </w:rPr>
        <w:t>daha</w:t>
      </w:r>
      <w:proofErr w:type="spellEnd"/>
      <w:r w:rsidRPr="00F8454B">
        <w:rPr>
          <w:lang w:val="en-US"/>
        </w:rPr>
        <w:t xml:space="preserve"> </w:t>
      </w:r>
      <w:proofErr w:type="spellStart"/>
      <w:r w:rsidRPr="00F8454B">
        <w:rPr>
          <w:lang w:val="en-US"/>
        </w:rPr>
        <w:t>yakından</w:t>
      </w:r>
      <w:proofErr w:type="spellEnd"/>
      <w:r w:rsidRPr="00F8454B">
        <w:rPr>
          <w:lang w:val="en-US"/>
        </w:rPr>
        <w:t xml:space="preserve"> </w:t>
      </w:r>
      <w:proofErr w:type="spellStart"/>
      <w:r w:rsidRPr="00F8454B">
        <w:rPr>
          <w:lang w:val="en-US"/>
        </w:rPr>
        <w:t>incelendiğinde</w:t>
      </w:r>
      <w:proofErr w:type="spellEnd"/>
      <w:r w:rsidRPr="00F8454B">
        <w:rPr>
          <w:lang w:val="en-US"/>
        </w:rPr>
        <w:t xml:space="preserve">, </w:t>
      </w:r>
      <w:proofErr w:type="spellStart"/>
      <w:r w:rsidRPr="00F8454B">
        <w:rPr>
          <w:lang w:val="en-US"/>
        </w:rPr>
        <w:t>yalnızca</w:t>
      </w:r>
      <w:proofErr w:type="spellEnd"/>
      <w:r w:rsidRPr="00F8454B">
        <w:rPr>
          <w:lang w:val="en-US"/>
        </w:rPr>
        <w:t xml:space="preserve"> </w:t>
      </w:r>
      <w:proofErr w:type="spellStart"/>
      <w:r w:rsidRPr="00F8454B">
        <w:rPr>
          <w:lang w:val="en-US"/>
        </w:rPr>
        <w:t>isimsel</w:t>
      </w:r>
      <w:proofErr w:type="spellEnd"/>
      <w:r w:rsidRPr="00F8454B">
        <w:rPr>
          <w:lang w:val="en-US"/>
        </w:rPr>
        <w:t xml:space="preserve"> (nominal), </w:t>
      </w:r>
      <w:proofErr w:type="spellStart"/>
      <w:r w:rsidRPr="00F8454B">
        <w:rPr>
          <w:lang w:val="en-US"/>
        </w:rPr>
        <w:t>tarihsel</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belirlenmiş</w:t>
      </w:r>
      <w:proofErr w:type="spellEnd"/>
      <w:r w:rsidRPr="00F8454B">
        <w:rPr>
          <w:lang w:val="en-US"/>
        </w:rPr>
        <w:t xml:space="preserve"> (historically contingent) </w:t>
      </w:r>
      <w:proofErr w:type="spellStart"/>
      <w:r w:rsidRPr="00F8454B">
        <w:rPr>
          <w:lang w:val="en-US"/>
        </w:rPr>
        <w:t>ve</w:t>
      </w:r>
      <w:proofErr w:type="spellEnd"/>
      <w:r w:rsidRPr="00F8454B">
        <w:rPr>
          <w:lang w:val="en-US"/>
        </w:rPr>
        <w:t xml:space="preserve"> </w:t>
      </w:r>
      <w:proofErr w:type="spellStart"/>
      <w:r w:rsidRPr="00F8454B">
        <w:rPr>
          <w:lang w:val="en-US"/>
        </w:rPr>
        <w:t>sürekli</w:t>
      </w:r>
      <w:proofErr w:type="spellEnd"/>
      <w:r w:rsidRPr="00F8454B">
        <w:rPr>
          <w:lang w:val="en-US"/>
        </w:rPr>
        <w:t xml:space="preserve"> </w:t>
      </w:r>
      <w:proofErr w:type="spellStart"/>
      <w:r w:rsidRPr="00F8454B">
        <w:rPr>
          <w:lang w:val="en-US"/>
        </w:rPr>
        <w:t>değişen</w:t>
      </w:r>
      <w:proofErr w:type="spellEnd"/>
      <w:r w:rsidRPr="00F8454B">
        <w:rPr>
          <w:lang w:val="en-US"/>
        </w:rPr>
        <w:t xml:space="preserve"> </w:t>
      </w:r>
      <w:proofErr w:type="spellStart"/>
      <w:r w:rsidRPr="00F8454B">
        <w:rPr>
          <w:lang w:val="en-US"/>
        </w:rPr>
        <w:t>unsurlar</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ortaya</w:t>
      </w:r>
      <w:proofErr w:type="spellEnd"/>
      <w:r w:rsidRPr="00F8454B">
        <w:rPr>
          <w:lang w:val="en-US"/>
        </w:rPr>
        <w:t xml:space="preserve"> </w:t>
      </w:r>
      <w:proofErr w:type="spellStart"/>
      <w:r w:rsidRPr="00F8454B">
        <w:rPr>
          <w:lang w:val="en-US"/>
        </w:rPr>
        <w:t>çıkmaktadır</w:t>
      </w:r>
      <w:proofErr w:type="spellEnd"/>
      <w:r w:rsidRPr="00F8454B">
        <w:rPr>
          <w:lang w:val="en-US"/>
        </w:rPr>
        <w:t>⁵.</w:t>
      </w:r>
      <w:r>
        <w:rPr>
          <w:lang w:val="en-US"/>
        </w:rPr>
        <w:t xml:space="preserve">  </w:t>
      </w:r>
      <w:r>
        <w:rPr>
          <w:rStyle w:val="FootnoteReference"/>
          <w:lang w:val="en-US"/>
        </w:rPr>
        <w:footnoteReference w:id="5"/>
      </w:r>
      <w:proofErr w:type="spellStart"/>
      <w:r w:rsidRPr="00F8454B">
        <w:rPr>
          <w:lang w:val="en-US"/>
        </w:rPr>
        <w:t>Aynı</w:t>
      </w:r>
      <w:proofErr w:type="spellEnd"/>
      <w:r w:rsidRPr="00F8454B">
        <w:rPr>
          <w:lang w:val="en-US"/>
        </w:rPr>
        <w:t xml:space="preserve"> </w:t>
      </w:r>
      <w:proofErr w:type="spellStart"/>
      <w:r w:rsidRPr="00F8454B">
        <w:rPr>
          <w:lang w:val="en-US"/>
        </w:rPr>
        <w:t>zamanda</w:t>
      </w:r>
      <w:proofErr w:type="spellEnd"/>
      <w:r w:rsidRPr="00F8454B">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teorisyenlerinin</w:t>
      </w:r>
      <w:proofErr w:type="spellEnd"/>
      <w:r w:rsidRPr="00F8454B">
        <w:rPr>
          <w:lang w:val="en-US"/>
        </w:rPr>
        <w:t xml:space="preserve"> </w:t>
      </w:r>
      <w:proofErr w:type="spellStart"/>
      <w:r w:rsidRPr="00F8454B">
        <w:rPr>
          <w:lang w:val="en-US"/>
        </w:rPr>
        <w:t>göz</w:t>
      </w:r>
      <w:proofErr w:type="spellEnd"/>
      <w:r w:rsidRPr="00F8454B">
        <w:rPr>
          <w:lang w:val="en-US"/>
        </w:rPr>
        <w:t xml:space="preserve"> </w:t>
      </w:r>
      <w:proofErr w:type="spellStart"/>
      <w:r w:rsidRPr="00F8454B">
        <w:rPr>
          <w:lang w:val="en-US"/>
        </w:rPr>
        <w:t>ardı</w:t>
      </w:r>
      <w:proofErr w:type="spellEnd"/>
      <w:r w:rsidRPr="00F8454B">
        <w:rPr>
          <w:lang w:val="en-US"/>
        </w:rPr>
        <w:t xml:space="preserve"> </w:t>
      </w:r>
      <w:proofErr w:type="spellStart"/>
      <w:r w:rsidRPr="00F8454B">
        <w:rPr>
          <w:lang w:val="en-US"/>
        </w:rPr>
        <w:t>ettiği</w:t>
      </w:r>
      <w:proofErr w:type="spellEnd"/>
      <w:r w:rsidRPr="00F8454B">
        <w:rPr>
          <w:lang w:val="en-US"/>
        </w:rPr>
        <w:t xml:space="preserve"> </w:t>
      </w:r>
      <w:proofErr w:type="spellStart"/>
      <w:r w:rsidRPr="00F8454B">
        <w:rPr>
          <w:lang w:val="en-US"/>
        </w:rPr>
        <w:t>veya</w:t>
      </w:r>
      <w:proofErr w:type="spellEnd"/>
      <w:r w:rsidRPr="00F8454B">
        <w:rPr>
          <w:lang w:val="en-US"/>
        </w:rPr>
        <w:t xml:space="preserve"> </w:t>
      </w:r>
      <w:proofErr w:type="spellStart"/>
      <w:r w:rsidRPr="00F8454B">
        <w:rPr>
          <w:lang w:val="en-US"/>
        </w:rPr>
        <w:t>dipnotlara</w:t>
      </w:r>
      <w:proofErr w:type="spellEnd"/>
      <w:r w:rsidRPr="00F8454B">
        <w:rPr>
          <w:lang w:val="en-US"/>
        </w:rPr>
        <w:t xml:space="preserve"> </w:t>
      </w:r>
      <w:proofErr w:type="spellStart"/>
      <w:r w:rsidRPr="00F8454B">
        <w:rPr>
          <w:lang w:val="en-US"/>
        </w:rPr>
        <w:t>sıkıştırdığı</w:t>
      </w:r>
      <w:proofErr w:type="spellEnd"/>
      <w:r w:rsidRPr="00F8454B">
        <w:rPr>
          <w:lang w:val="en-US"/>
        </w:rPr>
        <w:t xml:space="preserve"> </w:t>
      </w:r>
      <w:proofErr w:type="spellStart"/>
      <w:r w:rsidRPr="00F8454B">
        <w:rPr>
          <w:lang w:val="en-US"/>
        </w:rPr>
        <w:t>daha</w:t>
      </w:r>
      <w:proofErr w:type="spellEnd"/>
      <w:r w:rsidRPr="00F8454B">
        <w:rPr>
          <w:lang w:val="en-US"/>
        </w:rPr>
        <w:t xml:space="preserve"> yeni </w:t>
      </w:r>
      <w:proofErr w:type="spellStart"/>
      <w:r w:rsidRPr="00F8454B">
        <w:rPr>
          <w:lang w:val="en-US"/>
        </w:rPr>
        <w:t>ve</w:t>
      </w:r>
      <w:proofErr w:type="spellEnd"/>
      <w:r w:rsidRPr="00F8454B">
        <w:rPr>
          <w:lang w:val="en-US"/>
        </w:rPr>
        <w:t xml:space="preserve"> </w:t>
      </w:r>
      <w:proofErr w:type="spellStart"/>
      <w:r w:rsidRPr="00F8454B">
        <w:rPr>
          <w:lang w:val="en-US"/>
        </w:rPr>
        <w:t>daha</w:t>
      </w:r>
      <w:proofErr w:type="spellEnd"/>
      <w:r w:rsidRPr="00F8454B">
        <w:rPr>
          <w:lang w:val="en-US"/>
        </w:rPr>
        <w:t xml:space="preserve"> </w:t>
      </w:r>
      <w:proofErr w:type="spellStart"/>
      <w:r w:rsidRPr="00F8454B">
        <w:rPr>
          <w:lang w:val="en-US"/>
        </w:rPr>
        <w:t>az</w:t>
      </w:r>
      <w:proofErr w:type="spellEnd"/>
      <w:r w:rsidRPr="00F8454B">
        <w:rPr>
          <w:lang w:val="en-US"/>
        </w:rPr>
        <w:t xml:space="preserve"> </w:t>
      </w:r>
      <w:proofErr w:type="spellStart"/>
      <w:r w:rsidRPr="00F8454B">
        <w:rPr>
          <w:lang w:val="en-US"/>
        </w:rPr>
        <w:t>dikkat</w:t>
      </w:r>
      <w:proofErr w:type="spellEnd"/>
      <w:r w:rsidRPr="00F8454B">
        <w:rPr>
          <w:lang w:val="en-US"/>
        </w:rPr>
        <w:t xml:space="preserve"> </w:t>
      </w:r>
      <w:proofErr w:type="spellStart"/>
      <w:r w:rsidRPr="00F8454B">
        <w:rPr>
          <w:lang w:val="en-US"/>
        </w:rPr>
        <w:t>çeken</w:t>
      </w:r>
      <w:proofErr w:type="spellEnd"/>
      <w:r w:rsidRPr="00F8454B">
        <w:rPr>
          <w:lang w:val="en-US"/>
        </w:rPr>
        <w:t xml:space="preserve"> </w:t>
      </w:r>
      <w:proofErr w:type="spellStart"/>
      <w:r w:rsidRPr="00F8454B">
        <w:rPr>
          <w:lang w:val="en-US"/>
        </w:rPr>
        <w:t>uygulamalar</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düzenlemeler</w:t>
      </w:r>
      <w:proofErr w:type="spellEnd"/>
      <w:r w:rsidRPr="00F8454B">
        <w:rPr>
          <w:lang w:val="en-US"/>
        </w:rPr>
        <w:t xml:space="preserve">, </w:t>
      </w:r>
      <w:proofErr w:type="spellStart"/>
      <w:r w:rsidRPr="00F8454B">
        <w:rPr>
          <w:lang w:val="en-US"/>
        </w:rPr>
        <w:t>çağdaş</w:t>
      </w:r>
      <w:proofErr w:type="spellEnd"/>
      <w:r w:rsidRPr="00F8454B">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hukukunun</w:t>
      </w:r>
      <w:proofErr w:type="spellEnd"/>
      <w:r w:rsidRPr="00F8454B">
        <w:rPr>
          <w:lang w:val="en-US"/>
        </w:rPr>
        <w:t xml:space="preserve"> </w:t>
      </w:r>
      <w:proofErr w:type="spellStart"/>
      <w:r w:rsidRPr="00F8454B">
        <w:rPr>
          <w:lang w:val="en-US"/>
        </w:rPr>
        <w:t>içeriğini</w:t>
      </w:r>
      <w:proofErr w:type="spellEnd"/>
      <w:r w:rsidRPr="00F8454B">
        <w:rPr>
          <w:lang w:val="en-US"/>
        </w:rPr>
        <w:t xml:space="preserve"> </w:t>
      </w:r>
      <w:proofErr w:type="spellStart"/>
      <w:r w:rsidRPr="00F8454B">
        <w:rPr>
          <w:lang w:val="en-US"/>
        </w:rPr>
        <w:t>şekillendirmede</w:t>
      </w:r>
      <w:proofErr w:type="spellEnd"/>
      <w:r w:rsidRPr="00F8454B">
        <w:rPr>
          <w:lang w:val="en-US"/>
        </w:rPr>
        <w:t xml:space="preserve"> </w:t>
      </w:r>
      <w:proofErr w:type="spellStart"/>
      <w:r w:rsidRPr="00F8454B">
        <w:rPr>
          <w:lang w:val="en-US"/>
        </w:rPr>
        <w:t>açıkça</w:t>
      </w:r>
      <w:proofErr w:type="spellEnd"/>
      <w:r w:rsidRPr="00F8454B">
        <w:rPr>
          <w:lang w:val="en-US"/>
        </w:rPr>
        <w:t xml:space="preserve"> </w:t>
      </w:r>
      <w:proofErr w:type="spellStart"/>
      <w:r w:rsidRPr="00F8454B">
        <w:rPr>
          <w:lang w:val="en-US"/>
        </w:rPr>
        <w:t>önemli</w:t>
      </w:r>
      <w:proofErr w:type="spellEnd"/>
      <w:r w:rsidRPr="00F8454B">
        <w:rPr>
          <w:lang w:val="en-US"/>
        </w:rPr>
        <w:t xml:space="preserve"> </w:t>
      </w:r>
      <w:proofErr w:type="spellStart"/>
      <w:r w:rsidRPr="00F8454B">
        <w:rPr>
          <w:lang w:val="en-US"/>
        </w:rPr>
        <w:t>bir</w:t>
      </w:r>
      <w:proofErr w:type="spellEnd"/>
      <w:r w:rsidRPr="00F8454B">
        <w:rPr>
          <w:lang w:val="en-US"/>
        </w:rPr>
        <w:t xml:space="preserve"> role </w:t>
      </w:r>
      <w:proofErr w:type="spellStart"/>
      <w:r w:rsidRPr="00F8454B">
        <w:rPr>
          <w:lang w:val="en-US"/>
        </w:rPr>
        <w:t>sahiptir</w:t>
      </w:r>
      <w:proofErr w:type="spellEnd"/>
      <w:r w:rsidRPr="00F8454B">
        <w:rPr>
          <w:lang w:val="en-US"/>
        </w:rPr>
        <w:t>⁶.</w:t>
      </w:r>
      <w:r>
        <w:rPr>
          <w:lang w:val="en-US"/>
        </w:rPr>
        <w:t xml:space="preserve"> </w:t>
      </w:r>
      <w:r>
        <w:rPr>
          <w:rStyle w:val="FootnoteReference"/>
          <w:lang w:val="en-US"/>
        </w:rPr>
        <w:footnoteReference w:id="6"/>
      </w:r>
    </w:p>
    <w:p w14:paraId="13E08217" w14:textId="77777777" w:rsidR="00F8454B" w:rsidRPr="00F8454B" w:rsidRDefault="00F8454B" w:rsidP="00F8454B">
      <w:pPr>
        <w:rPr>
          <w:lang w:val="en-US"/>
        </w:rPr>
      </w:pPr>
    </w:p>
    <w:p w14:paraId="34F3E0BC" w14:textId="24086FC4" w:rsidR="00F8454B" w:rsidRDefault="00D85A61" w:rsidP="00D85A61">
      <w:pPr>
        <w:rPr>
          <w:lang w:val="en-US"/>
        </w:rPr>
      </w:pPr>
      <w:proofErr w:type="spellStart"/>
      <w:r w:rsidRPr="00D85A61">
        <w:rPr>
          <w:lang w:val="en-US"/>
        </w:rPr>
        <w:t>Önümüzdeki</w:t>
      </w:r>
      <w:proofErr w:type="spellEnd"/>
      <w:r w:rsidRPr="00D85A61">
        <w:rPr>
          <w:lang w:val="en-US"/>
        </w:rPr>
        <w:t xml:space="preserve"> </w:t>
      </w:r>
      <w:proofErr w:type="spellStart"/>
      <w:r w:rsidRPr="00D85A61">
        <w:rPr>
          <w:lang w:val="en-US"/>
        </w:rPr>
        <w:t>sayfalarda</w:t>
      </w:r>
      <w:proofErr w:type="spellEnd"/>
      <w:r w:rsidRPr="00D85A61">
        <w:rPr>
          <w:lang w:val="en-US"/>
        </w:rPr>
        <w:t xml:space="preserve">, </w:t>
      </w:r>
      <w:proofErr w:type="spellStart"/>
      <w:r w:rsidRPr="00D85A61">
        <w:rPr>
          <w:lang w:val="en-US"/>
        </w:rPr>
        <w:t>bu</w:t>
      </w:r>
      <w:proofErr w:type="spellEnd"/>
      <w:r w:rsidRPr="00D85A61">
        <w:rPr>
          <w:lang w:val="en-US"/>
        </w:rPr>
        <w:t xml:space="preserve"> </w:t>
      </w:r>
      <w:proofErr w:type="spellStart"/>
      <w:r w:rsidRPr="00D85A61">
        <w:rPr>
          <w:lang w:val="en-US"/>
        </w:rPr>
        <w:t>iki</w:t>
      </w:r>
      <w:proofErr w:type="spellEnd"/>
      <w:r w:rsidRPr="00D85A61">
        <w:rPr>
          <w:lang w:val="en-US"/>
        </w:rPr>
        <w:t xml:space="preserve"> </w:t>
      </w:r>
      <w:proofErr w:type="spellStart"/>
      <w:r w:rsidRPr="00D85A61">
        <w:rPr>
          <w:lang w:val="en-US"/>
        </w:rPr>
        <w:t>farklı</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uygulama</w:t>
      </w:r>
      <w:proofErr w:type="spellEnd"/>
      <w:r w:rsidRPr="00D85A61">
        <w:rPr>
          <w:lang w:val="en-US"/>
        </w:rPr>
        <w:t xml:space="preserve"> </w:t>
      </w:r>
      <w:proofErr w:type="spellStart"/>
      <w:r w:rsidRPr="00D85A61">
        <w:rPr>
          <w:lang w:val="en-US"/>
        </w:rPr>
        <w:t>grubunu</w:t>
      </w:r>
      <w:proofErr w:type="spellEnd"/>
      <w:r w:rsidRPr="00D85A61">
        <w:rPr>
          <w:lang w:val="en-US"/>
        </w:rPr>
        <w:t xml:space="preserve"> </w:t>
      </w:r>
      <w:proofErr w:type="spellStart"/>
      <w:r w:rsidRPr="00D85A61">
        <w:rPr>
          <w:lang w:val="en-US"/>
        </w:rPr>
        <w:t>tutarlı</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şekilde</w:t>
      </w:r>
      <w:proofErr w:type="spellEnd"/>
      <w:r w:rsidRPr="00D85A61">
        <w:rPr>
          <w:lang w:val="en-US"/>
        </w:rPr>
        <w:t xml:space="preserve"> </w:t>
      </w:r>
      <w:proofErr w:type="spellStart"/>
      <w:r w:rsidRPr="00D85A61">
        <w:rPr>
          <w:lang w:val="en-US"/>
        </w:rPr>
        <w:t>ele</w:t>
      </w:r>
      <w:proofErr w:type="spellEnd"/>
      <w:r w:rsidRPr="00D85A61">
        <w:rPr>
          <w:lang w:val="en-US"/>
        </w:rPr>
        <w:t xml:space="preserve"> </w:t>
      </w:r>
      <w:proofErr w:type="spellStart"/>
      <w:r w:rsidRPr="00D85A61">
        <w:rPr>
          <w:lang w:val="en-US"/>
        </w:rPr>
        <w:t>alan</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bunları</w:t>
      </w:r>
      <w:proofErr w:type="spellEnd"/>
      <w:r w:rsidRPr="00D85A61">
        <w:rPr>
          <w:lang w:val="en-US"/>
        </w:rPr>
        <w:t xml:space="preserve"> "</w:t>
      </w:r>
      <w:proofErr w:type="spellStart"/>
      <w:r w:rsidRPr="00D85A61">
        <w:rPr>
          <w:lang w:val="en-US"/>
        </w:rPr>
        <w:t>anayasa</w:t>
      </w:r>
      <w:proofErr w:type="spellEnd"/>
      <w:r w:rsidRPr="00D85A61">
        <w:rPr>
          <w:lang w:val="en-US"/>
        </w:rPr>
        <w:t xml:space="preserve"> </w:t>
      </w:r>
      <w:proofErr w:type="spellStart"/>
      <w:r w:rsidRPr="00D85A61">
        <w:rPr>
          <w:lang w:val="en-US"/>
        </w:rPr>
        <w:t>kültürü</w:t>
      </w:r>
      <w:proofErr w:type="spellEnd"/>
      <w:r w:rsidRPr="00D85A61">
        <w:rPr>
          <w:lang w:val="en-US"/>
        </w:rPr>
        <w:t xml:space="preserve">" (constitutional culture) </w:t>
      </w:r>
      <w:proofErr w:type="spellStart"/>
      <w:r w:rsidRPr="00D85A61">
        <w:rPr>
          <w:lang w:val="en-US"/>
        </w:rPr>
        <w:t>adı</w:t>
      </w:r>
      <w:proofErr w:type="spellEnd"/>
      <w:r w:rsidRPr="00D85A61">
        <w:rPr>
          <w:lang w:val="en-US"/>
        </w:rPr>
        <w:t xml:space="preserve"> </w:t>
      </w:r>
      <w:proofErr w:type="spellStart"/>
      <w:r w:rsidRPr="00D85A61">
        <w:rPr>
          <w:lang w:val="en-US"/>
        </w:rPr>
        <w:t>altında</w:t>
      </w:r>
      <w:proofErr w:type="spellEnd"/>
      <w:r w:rsidRPr="00D85A61">
        <w:rPr>
          <w:lang w:val="en-US"/>
        </w:rPr>
        <w:t xml:space="preserve"> </w:t>
      </w:r>
      <w:proofErr w:type="spellStart"/>
      <w:r w:rsidRPr="00D85A61">
        <w:rPr>
          <w:lang w:val="en-US"/>
        </w:rPr>
        <w:t>ortak</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teorik</w:t>
      </w:r>
      <w:proofErr w:type="spellEnd"/>
      <w:r w:rsidRPr="00D85A61">
        <w:rPr>
          <w:lang w:val="en-US"/>
        </w:rPr>
        <w:t xml:space="preserve"> </w:t>
      </w:r>
      <w:proofErr w:type="spellStart"/>
      <w:r w:rsidRPr="00D85A61">
        <w:rPr>
          <w:lang w:val="en-US"/>
        </w:rPr>
        <w:t>çerçevede</w:t>
      </w:r>
      <w:proofErr w:type="spellEnd"/>
      <w:r w:rsidRPr="00D85A61">
        <w:rPr>
          <w:lang w:val="en-US"/>
        </w:rPr>
        <w:t xml:space="preserve"> </w:t>
      </w:r>
      <w:proofErr w:type="spellStart"/>
      <w:r w:rsidRPr="00D85A61">
        <w:rPr>
          <w:lang w:val="en-US"/>
        </w:rPr>
        <w:t>inceleyen</w:t>
      </w:r>
      <w:proofErr w:type="spellEnd"/>
      <w:r w:rsidRPr="00D85A61">
        <w:rPr>
          <w:lang w:val="en-US"/>
        </w:rPr>
        <w:t xml:space="preserve"> </w:t>
      </w:r>
      <w:proofErr w:type="spellStart"/>
      <w:r w:rsidRPr="00D85A61">
        <w:rPr>
          <w:lang w:val="en-US"/>
        </w:rPr>
        <w:lastRenderedPageBreak/>
        <w:t>alternatif</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yaklaşım</w:t>
      </w:r>
      <w:proofErr w:type="spellEnd"/>
      <w:r w:rsidRPr="00D85A61">
        <w:rPr>
          <w:lang w:val="en-US"/>
        </w:rPr>
        <w:t xml:space="preserve"> </w:t>
      </w:r>
      <w:proofErr w:type="spellStart"/>
      <w:r w:rsidRPr="00D85A61">
        <w:rPr>
          <w:lang w:val="en-US"/>
        </w:rPr>
        <w:t>öne</w:t>
      </w:r>
      <w:proofErr w:type="spellEnd"/>
      <w:r w:rsidRPr="00D85A61">
        <w:rPr>
          <w:lang w:val="en-US"/>
        </w:rPr>
        <w:t xml:space="preserve"> </w:t>
      </w:r>
      <w:proofErr w:type="spellStart"/>
      <w:r w:rsidRPr="00D85A61">
        <w:rPr>
          <w:lang w:val="en-US"/>
        </w:rPr>
        <w:t>sürüyorum</w:t>
      </w:r>
      <w:proofErr w:type="spellEnd"/>
      <w:r w:rsidRPr="00D85A61">
        <w:rPr>
          <w:lang w:val="en-US"/>
        </w:rPr>
        <w:t>.</w:t>
      </w:r>
      <w:r w:rsidRPr="00D85A61">
        <w:rPr>
          <w:lang w:val="en-US"/>
        </w:rPr>
        <w:t xml:space="preserve"> </w:t>
      </w:r>
      <w:proofErr w:type="spellStart"/>
      <w:r w:rsidRPr="00D85A61">
        <w:rPr>
          <w:lang w:val="en-US"/>
        </w:rPr>
        <w:t>Analitik</w:t>
      </w:r>
      <w:proofErr w:type="spellEnd"/>
      <w:r w:rsidRPr="00D85A61">
        <w:rPr>
          <w:lang w:val="en-US"/>
        </w:rPr>
        <w:t xml:space="preserve"> </w:t>
      </w:r>
      <w:proofErr w:type="spellStart"/>
      <w:r w:rsidRPr="00D85A61">
        <w:rPr>
          <w:lang w:val="en-US"/>
        </w:rPr>
        <w:t>olarak</w:t>
      </w:r>
      <w:proofErr w:type="spellEnd"/>
      <w:r w:rsidRPr="00D85A61">
        <w:rPr>
          <w:lang w:val="en-US"/>
        </w:rPr>
        <w:t xml:space="preserve"> </w:t>
      </w:r>
      <w:proofErr w:type="spellStart"/>
      <w:r w:rsidRPr="00D85A61">
        <w:rPr>
          <w:lang w:val="en-US"/>
        </w:rPr>
        <w:t>benim</w:t>
      </w:r>
      <w:proofErr w:type="spellEnd"/>
      <w:r w:rsidRPr="00D85A61">
        <w:rPr>
          <w:lang w:val="en-US"/>
        </w:rPr>
        <w:t xml:space="preserve"> </w:t>
      </w:r>
      <w:proofErr w:type="spellStart"/>
      <w:r w:rsidRPr="00D85A61">
        <w:rPr>
          <w:lang w:val="en-US"/>
        </w:rPr>
        <w:t>yaklaşımım</w:t>
      </w:r>
      <w:proofErr w:type="spellEnd"/>
      <w:r w:rsidRPr="00D85A61">
        <w:rPr>
          <w:lang w:val="en-US"/>
        </w:rPr>
        <w:t xml:space="preserve">, </w:t>
      </w:r>
      <w:proofErr w:type="spellStart"/>
      <w:r w:rsidRPr="00D85A61">
        <w:rPr>
          <w:lang w:val="en-US"/>
        </w:rPr>
        <w:t>varsayılan</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yapımız</w:t>
      </w:r>
      <w:proofErr w:type="spellEnd"/>
      <w:r w:rsidRPr="00D85A61">
        <w:rPr>
          <w:lang w:val="en-US"/>
        </w:rPr>
        <w:t xml:space="preserve"> (constitutional structure) </w:t>
      </w:r>
      <w:proofErr w:type="spellStart"/>
      <w:r w:rsidRPr="00D85A61">
        <w:rPr>
          <w:lang w:val="en-US"/>
        </w:rPr>
        <w:t>ile</w:t>
      </w:r>
      <w:proofErr w:type="spellEnd"/>
      <w:r w:rsidRPr="00D85A61">
        <w:rPr>
          <w:lang w:val="en-US"/>
        </w:rPr>
        <w:t xml:space="preserve"> </w:t>
      </w:r>
      <w:proofErr w:type="spellStart"/>
      <w:r w:rsidRPr="00D85A61">
        <w:rPr>
          <w:lang w:val="en-US"/>
        </w:rPr>
        <w:t>önde</w:t>
      </w:r>
      <w:proofErr w:type="spellEnd"/>
      <w:r w:rsidRPr="00D85A61">
        <w:rPr>
          <w:lang w:val="en-US"/>
        </w:rPr>
        <w:t xml:space="preserve"> </w:t>
      </w:r>
      <w:proofErr w:type="spellStart"/>
      <w:r w:rsidRPr="00D85A61">
        <w:rPr>
          <w:lang w:val="en-US"/>
        </w:rPr>
        <w:t>gelen</w:t>
      </w:r>
      <w:proofErr w:type="spellEnd"/>
      <w:r w:rsidRPr="00D85A61">
        <w:rPr>
          <w:lang w:val="en-US"/>
        </w:rPr>
        <w:t xml:space="preserve"> </w:t>
      </w:r>
      <w:proofErr w:type="spellStart"/>
      <w:r w:rsidRPr="00D85A61">
        <w:rPr>
          <w:lang w:val="en-US"/>
        </w:rPr>
        <w:t>anayasa</w:t>
      </w:r>
      <w:proofErr w:type="spellEnd"/>
      <w:r w:rsidRPr="00D85A61">
        <w:rPr>
          <w:lang w:val="en-US"/>
        </w:rPr>
        <w:t xml:space="preserve"> </w:t>
      </w:r>
      <w:proofErr w:type="spellStart"/>
      <w:r w:rsidRPr="00D85A61">
        <w:rPr>
          <w:lang w:val="en-US"/>
        </w:rPr>
        <w:t>teorisyenlerinin</w:t>
      </w:r>
      <w:proofErr w:type="spellEnd"/>
      <w:r w:rsidRPr="00D85A61">
        <w:rPr>
          <w:lang w:val="en-US"/>
        </w:rPr>
        <w:t xml:space="preserve"> </w:t>
      </w:r>
      <w:proofErr w:type="spellStart"/>
      <w:r w:rsidRPr="00D85A61">
        <w:rPr>
          <w:lang w:val="en-US"/>
        </w:rPr>
        <w:t>göz</w:t>
      </w:r>
      <w:proofErr w:type="spellEnd"/>
      <w:r w:rsidRPr="00D85A61">
        <w:rPr>
          <w:lang w:val="en-US"/>
        </w:rPr>
        <w:t xml:space="preserve"> </w:t>
      </w:r>
      <w:proofErr w:type="spellStart"/>
      <w:r w:rsidRPr="00D85A61">
        <w:rPr>
          <w:lang w:val="en-US"/>
        </w:rPr>
        <w:t>ardı</w:t>
      </w:r>
      <w:proofErr w:type="spellEnd"/>
      <w:r w:rsidRPr="00D85A61">
        <w:rPr>
          <w:lang w:val="en-US"/>
        </w:rPr>
        <w:t xml:space="preserve"> </w:t>
      </w:r>
      <w:proofErr w:type="spellStart"/>
      <w:r w:rsidRPr="00D85A61">
        <w:rPr>
          <w:lang w:val="en-US"/>
        </w:rPr>
        <w:t>ettiği</w:t>
      </w:r>
      <w:proofErr w:type="spellEnd"/>
      <w:r w:rsidRPr="00D85A61">
        <w:rPr>
          <w:lang w:val="en-US"/>
        </w:rPr>
        <w:t xml:space="preserve"> </w:t>
      </w:r>
      <w:proofErr w:type="spellStart"/>
      <w:r w:rsidRPr="00D85A61">
        <w:rPr>
          <w:lang w:val="en-US"/>
        </w:rPr>
        <w:t>daha</w:t>
      </w:r>
      <w:proofErr w:type="spellEnd"/>
      <w:r w:rsidRPr="00D85A61">
        <w:rPr>
          <w:lang w:val="en-US"/>
        </w:rPr>
        <w:t xml:space="preserve"> yeni </w:t>
      </w:r>
      <w:proofErr w:type="spellStart"/>
      <w:r w:rsidRPr="00D85A61">
        <w:rPr>
          <w:lang w:val="en-US"/>
        </w:rPr>
        <w:t>ve</w:t>
      </w:r>
      <w:proofErr w:type="spellEnd"/>
      <w:r w:rsidRPr="00D85A61">
        <w:rPr>
          <w:lang w:val="en-US"/>
        </w:rPr>
        <w:t xml:space="preserve"> </w:t>
      </w:r>
      <w:proofErr w:type="spellStart"/>
      <w:r w:rsidRPr="00D85A61">
        <w:rPr>
          <w:lang w:val="en-US"/>
        </w:rPr>
        <w:t>karmaşık</w:t>
      </w:r>
      <w:proofErr w:type="spellEnd"/>
      <w:r w:rsidRPr="00D85A61">
        <w:rPr>
          <w:lang w:val="en-US"/>
        </w:rPr>
        <w:t xml:space="preserve"> </w:t>
      </w:r>
      <w:proofErr w:type="spellStart"/>
      <w:r w:rsidRPr="00D85A61">
        <w:rPr>
          <w:lang w:val="en-US"/>
        </w:rPr>
        <w:t>uygulamaların</w:t>
      </w:r>
      <w:proofErr w:type="spellEnd"/>
      <w:r w:rsidRPr="00D85A61">
        <w:rPr>
          <w:lang w:val="en-US"/>
        </w:rPr>
        <w:t xml:space="preserve"> </w:t>
      </w:r>
      <w:proofErr w:type="spellStart"/>
      <w:r w:rsidRPr="00D85A61">
        <w:rPr>
          <w:lang w:val="en-US"/>
        </w:rPr>
        <w:t>aslında</w:t>
      </w:r>
      <w:proofErr w:type="spellEnd"/>
      <w:r w:rsidRPr="00D85A61">
        <w:rPr>
          <w:lang w:val="en-US"/>
        </w:rPr>
        <w:t xml:space="preserve"> </w:t>
      </w:r>
      <w:proofErr w:type="spellStart"/>
      <w:r w:rsidRPr="00D85A61">
        <w:rPr>
          <w:lang w:val="en-US"/>
        </w:rPr>
        <w:t>çağdaş</w:t>
      </w:r>
      <w:proofErr w:type="spellEnd"/>
      <w:r w:rsidRPr="00D85A61">
        <w:rPr>
          <w:lang w:val="en-US"/>
        </w:rPr>
        <w:t xml:space="preserve"> Amerikan </w:t>
      </w:r>
      <w:proofErr w:type="spellStart"/>
      <w:r w:rsidRPr="00D85A61">
        <w:rPr>
          <w:lang w:val="en-US"/>
        </w:rPr>
        <w:t>anayasal</w:t>
      </w:r>
      <w:proofErr w:type="spellEnd"/>
      <w:r w:rsidRPr="00D85A61">
        <w:rPr>
          <w:lang w:val="en-US"/>
        </w:rPr>
        <w:t xml:space="preserve"> </w:t>
      </w:r>
      <w:proofErr w:type="spellStart"/>
      <w:r w:rsidRPr="00D85A61">
        <w:rPr>
          <w:lang w:val="en-US"/>
        </w:rPr>
        <w:t>karar</w:t>
      </w:r>
      <w:proofErr w:type="spellEnd"/>
      <w:r w:rsidRPr="00D85A61">
        <w:rPr>
          <w:lang w:val="en-US"/>
        </w:rPr>
        <w:t xml:space="preserve"> alma </w:t>
      </w:r>
      <w:proofErr w:type="spellStart"/>
      <w:r w:rsidRPr="00D85A61">
        <w:rPr>
          <w:lang w:val="en-US"/>
        </w:rPr>
        <w:t>biçimini</w:t>
      </w:r>
      <w:proofErr w:type="spellEnd"/>
      <w:r w:rsidRPr="00D85A61">
        <w:rPr>
          <w:lang w:val="en-US"/>
        </w:rPr>
        <w:t xml:space="preserve"> </w:t>
      </w:r>
      <w:proofErr w:type="spellStart"/>
      <w:r w:rsidRPr="00D85A61">
        <w:rPr>
          <w:lang w:val="en-US"/>
        </w:rPr>
        <w:t>tanımlayan</w:t>
      </w:r>
      <w:proofErr w:type="spellEnd"/>
      <w:r w:rsidRPr="00D85A61">
        <w:rPr>
          <w:lang w:val="en-US"/>
        </w:rPr>
        <w:t xml:space="preserve"> </w:t>
      </w:r>
      <w:proofErr w:type="spellStart"/>
      <w:r w:rsidRPr="00D85A61">
        <w:rPr>
          <w:lang w:val="en-US"/>
        </w:rPr>
        <w:t>karmaşık</w:t>
      </w:r>
      <w:proofErr w:type="spellEnd"/>
      <w:r w:rsidRPr="00D85A61">
        <w:rPr>
          <w:lang w:val="en-US"/>
        </w:rPr>
        <w:t xml:space="preserve">, </w:t>
      </w:r>
      <w:proofErr w:type="spellStart"/>
      <w:r w:rsidRPr="00D85A61">
        <w:rPr>
          <w:lang w:val="en-US"/>
        </w:rPr>
        <w:t>tarihsel</w:t>
      </w:r>
      <w:proofErr w:type="spellEnd"/>
      <w:r w:rsidRPr="00D85A61">
        <w:rPr>
          <w:lang w:val="en-US"/>
        </w:rPr>
        <w:t xml:space="preserve"> </w:t>
      </w:r>
      <w:proofErr w:type="spellStart"/>
      <w:r w:rsidRPr="00D85A61">
        <w:rPr>
          <w:lang w:val="en-US"/>
        </w:rPr>
        <w:t>olarak</w:t>
      </w:r>
      <w:proofErr w:type="spellEnd"/>
      <w:r w:rsidRPr="00D85A61">
        <w:rPr>
          <w:lang w:val="en-US"/>
        </w:rPr>
        <w:t xml:space="preserve"> </w:t>
      </w:r>
      <w:proofErr w:type="spellStart"/>
      <w:r w:rsidRPr="00D85A61">
        <w:rPr>
          <w:lang w:val="en-US"/>
        </w:rPr>
        <w:t>belirlenmiş</w:t>
      </w:r>
      <w:proofErr w:type="spellEnd"/>
      <w:r w:rsidRPr="00D85A61">
        <w:rPr>
          <w:lang w:val="en-US"/>
        </w:rPr>
        <w:t xml:space="preserve"> (historically contingent) </w:t>
      </w:r>
      <w:proofErr w:type="spellStart"/>
      <w:r w:rsidRPr="00D85A61">
        <w:rPr>
          <w:lang w:val="en-US"/>
        </w:rPr>
        <w:t>uygulamalar</w:t>
      </w:r>
      <w:proofErr w:type="spellEnd"/>
      <w:r w:rsidRPr="00D85A61">
        <w:rPr>
          <w:lang w:val="en-US"/>
        </w:rPr>
        <w:t xml:space="preserve">, </w:t>
      </w:r>
      <w:proofErr w:type="spellStart"/>
      <w:r w:rsidRPr="00D85A61">
        <w:rPr>
          <w:lang w:val="en-US"/>
        </w:rPr>
        <w:t>kurumsal</w:t>
      </w:r>
      <w:proofErr w:type="spellEnd"/>
      <w:r w:rsidRPr="00D85A61">
        <w:rPr>
          <w:lang w:val="en-US"/>
        </w:rPr>
        <w:t xml:space="preserve"> </w:t>
      </w:r>
      <w:proofErr w:type="spellStart"/>
      <w:r w:rsidRPr="00D85A61">
        <w:rPr>
          <w:lang w:val="en-US"/>
        </w:rPr>
        <w:t>düzenlemeler</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düşünce</w:t>
      </w:r>
      <w:proofErr w:type="spellEnd"/>
      <w:r w:rsidRPr="00D85A61">
        <w:rPr>
          <w:lang w:val="en-US"/>
        </w:rPr>
        <w:t xml:space="preserve"> </w:t>
      </w:r>
      <w:proofErr w:type="spellStart"/>
      <w:r w:rsidRPr="00D85A61">
        <w:rPr>
          <w:lang w:val="en-US"/>
        </w:rPr>
        <w:t>alışkanlıklarından</w:t>
      </w:r>
      <w:proofErr w:type="spellEnd"/>
      <w:r w:rsidRPr="00D85A61">
        <w:rPr>
          <w:lang w:val="en-US"/>
        </w:rPr>
        <w:t xml:space="preserve"> </w:t>
      </w:r>
      <w:proofErr w:type="spellStart"/>
      <w:r w:rsidRPr="00D85A61">
        <w:rPr>
          <w:lang w:val="en-US"/>
        </w:rPr>
        <w:t>oluşan</w:t>
      </w:r>
      <w:proofErr w:type="spellEnd"/>
      <w:r w:rsidRPr="00D85A61">
        <w:rPr>
          <w:lang w:val="en-US"/>
        </w:rPr>
        <w:t xml:space="preserve"> </w:t>
      </w:r>
      <w:proofErr w:type="spellStart"/>
      <w:r w:rsidRPr="00D85A61">
        <w:rPr>
          <w:lang w:val="en-US"/>
        </w:rPr>
        <w:t>zengin</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bütünün</w:t>
      </w:r>
      <w:proofErr w:type="spellEnd"/>
      <w:r w:rsidRPr="00D85A61">
        <w:rPr>
          <w:lang w:val="en-US"/>
        </w:rPr>
        <w:t xml:space="preserve"> </w:t>
      </w:r>
      <w:proofErr w:type="spellStart"/>
      <w:r w:rsidRPr="00D85A61">
        <w:rPr>
          <w:lang w:val="en-US"/>
        </w:rPr>
        <w:t>farklı</w:t>
      </w:r>
      <w:proofErr w:type="spellEnd"/>
      <w:r w:rsidRPr="00D85A61">
        <w:rPr>
          <w:lang w:val="en-US"/>
        </w:rPr>
        <w:t xml:space="preserve"> </w:t>
      </w:r>
      <w:proofErr w:type="spellStart"/>
      <w:r w:rsidRPr="00D85A61">
        <w:rPr>
          <w:lang w:val="en-US"/>
        </w:rPr>
        <w:t>yönleri</w:t>
      </w:r>
      <w:proofErr w:type="spellEnd"/>
      <w:r w:rsidRPr="00D85A61">
        <w:rPr>
          <w:lang w:val="en-US"/>
        </w:rPr>
        <w:t xml:space="preserve"> </w:t>
      </w:r>
      <w:proofErr w:type="spellStart"/>
      <w:r w:rsidRPr="00D85A61">
        <w:rPr>
          <w:lang w:val="en-US"/>
        </w:rPr>
        <w:t>olduğunu</w:t>
      </w:r>
      <w:proofErr w:type="spellEnd"/>
      <w:r w:rsidRPr="00D85A61">
        <w:rPr>
          <w:lang w:val="en-US"/>
        </w:rPr>
        <w:t xml:space="preserve"> </w:t>
      </w:r>
      <w:proofErr w:type="spellStart"/>
      <w:r w:rsidRPr="00D85A61">
        <w:rPr>
          <w:lang w:val="en-US"/>
        </w:rPr>
        <w:t>ileri</w:t>
      </w:r>
      <w:proofErr w:type="spellEnd"/>
      <w:r w:rsidRPr="00D85A61">
        <w:rPr>
          <w:lang w:val="en-US"/>
        </w:rPr>
        <w:t xml:space="preserve"> </w:t>
      </w:r>
      <w:proofErr w:type="spellStart"/>
      <w:r w:rsidRPr="00D85A61">
        <w:rPr>
          <w:lang w:val="en-US"/>
        </w:rPr>
        <w:t>sürmektedir</w:t>
      </w:r>
      <w:proofErr w:type="spellEnd"/>
      <w:r w:rsidRPr="00D85A61">
        <w:rPr>
          <w:lang w:val="en-US"/>
        </w:rPr>
        <w:t>.</w:t>
      </w:r>
      <w:r w:rsidRPr="00D85A61">
        <w:rPr>
          <w:lang w:val="en-US"/>
        </w:rPr>
        <w:t xml:space="preserve"> </w:t>
      </w:r>
      <w:proofErr w:type="spellStart"/>
      <w:r w:rsidRPr="00D85A61">
        <w:rPr>
          <w:lang w:val="en-US"/>
        </w:rPr>
        <w:t>Başka</w:t>
      </w:r>
      <w:proofErr w:type="spellEnd"/>
      <w:r w:rsidRPr="00D85A61">
        <w:rPr>
          <w:lang w:val="en-US"/>
        </w:rPr>
        <w:t xml:space="preserve"> </w:t>
      </w:r>
      <w:proofErr w:type="spellStart"/>
      <w:r w:rsidRPr="00D85A61">
        <w:rPr>
          <w:lang w:val="en-US"/>
        </w:rPr>
        <w:t>adlandırmalar</w:t>
      </w:r>
      <w:proofErr w:type="spellEnd"/>
      <w:r w:rsidRPr="00D85A61">
        <w:rPr>
          <w:lang w:val="en-US"/>
        </w:rPr>
        <w:t xml:space="preserve"> da </w:t>
      </w:r>
      <w:proofErr w:type="spellStart"/>
      <w:r w:rsidRPr="00D85A61">
        <w:rPr>
          <w:lang w:val="en-US"/>
        </w:rPr>
        <w:t>uygun</w:t>
      </w:r>
      <w:proofErr w:type="spellEnd"/>
      <w:r w:rsidRPr="00D85A61">
        <w:rPr>
          <w:lang w:val="en-US"/>
        </w:rPr>
        <w:t xml:space="preserve"> </w:t>
      </w:r>
      <w:proofErr w:type="spellStart"/>
      <w:r w:rsidRPr="00D85A61">
        <w:rPr>
          <w:lang w:val="en-US"/>
        </w:rPr>
        <w:t>olabilir</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nitekim</w:t>
      </w:r>
      <w:proofErr w:type="spellEnd"/>
      <w:r w:rsidRPr="00D85A61">
        <w:rPr>
          <w:lang w:val="en-US"/>
        </w:rPr>
        <w:t xml:space="preserve"> "</w:t>
      </w:r>
      <w:proofErr w:type="spellStart"/>
      <w:r w:rsidRPr="00D85A61">
        <w:rPr>
          <w:lang w:val="en-US"/>
        </w:rPr>
        <w:t>anayasa</w:t>
      </w:r>
      <w:proofErr w:type="spellEnd"/>
      <w:r w:rsidRPr="00D85A61">
        <w:rPr>
          <w:lang w:val="en-US"/>
        </w:rPr>
        <w:t xml:space="preserve"> </w:t>
      </w:r>
      <w:proofErr w:type="spellStart"/>
      <w:r w:rsidRPr="00D85A61">
        <w:rPr>
          <w:lang w:val="en-US"/>
        </w:rPr>
        <w:t>kültürü</w:t>
      </w:r>
      <w:proofErr w:type="spellEnd"/>
      <w:r w:rsidRPr="00D85A61">
        <w:rPr>
          <w:lang w:val="en-US"/>
        </w:rPr>
        <w:t xml:space="preserve">" </w:t>
      </w:r>
      <w:proofErr w:type="spellStart"/>
      <w:r w:rsidRPr="00D85A61">
        <w:rPr>
          <w:lang w:val="en-US"/>
        </w:rPr>
        <w:t>ifadesinin</w:t>
      </w:r>
      <w:proofErr w:type="spellEnd"/>
      <w:r w:rsidRPr="00D85A61">
        <w:rPr>
          <w:lang w:val="en-US"/>
        </w:rPr>
        <w:t xml:space="preserve"> </w:t>
      </w:r>
      <w:proofErr w:type="spellStart"/>
      <w:r w:rsidRPr="00D85A61">
        <w:rPr>
          <w:lang w:val="en-US"/>
        </w:rPr>
        <w:t>akademisyenler</w:t>
      </w:r>
      <w:proofErr w:type="spellEnd"/>
      <w:r w:rsidRPr="00D85A61">
        <w:rPr>
          <w:lang w:val="en-US"/>
        </w:rPr>
        <w:t xml:space="preserve"> </w:t>
      </w:r>
      <w:proofErr w:type="spellStart"/>
      <w:r w:rsidRPr="00D85A61">
        <w:rPr>
          <w:lang w:val="en-US"/>
        </w:rPr>
        <w:t>tarafından</w:t>
      </w:r>
      <w:proofErr w:type="spellEnd"/>
      <w:r w:rsidRPr="00D85A61">
        <w:rPr>
          <w:lang w:val="en-US"/>
        </w:rPr>
        <w:t xml:space="preserve"> </w:t>
      </w:r>
      <w:proofErr w:type="spellStart"/>
      <w:r w:rsidRPr="00D85A61">
        <w:rPr>
          <w:lang w:val="en-US"/>
        </w:rPr>
        <w:t>başka</w:t>
      </w:r>
      <w:proofErr w:type="spellEnd"/>
      <w:r w:rsidRPr="00D85A61">
        <w:rPr>
          <w:lang w:val="en-US"/>
        </w:rPr>
        <w:t xml:space="preserve"> </w:t>
      </w:r>
      <w:proofErr w:type="spellStart"/>
      <w:r w:rsidRPr="00D85A61">
        <w:rPr>
          <w:lang w:val="en-US"/>
        </w:rPr>
        <w:t>amaçlarla</w:t>
      </w:r>
      <w:proofErr w:type="spellEnd"/>
      <w:r w:rsidRPr="00D85A61">
        <w:rPr>
          <w:lang w:val="en-US"/>
        </w:rPr>
        <w:t xml:space="preserve"> </w:t>
      </w:r>
      <w:proofErr w:type="spellStart"/>
      <w:r w:rsidRPr="00D85A61">
        <w:rPr>
          <w:lang w:val="en-US"/>
        </w:rPr>
        <w:t>sıklıkla</w:t>
      </w:r>
      <w:proofErr w:type="spellEnd"/>
      <w:r w:rsidRPr="00D85A61">
        <w:rPr>
          <w:lang w:val="en-US"/>
        </w:rPr>
        <w:t xml:space="preserve"> </w:t>
      </w:r>
      <w:proofErr w:type="spellStart"/>
      <w:r w:rsidRPr="00D85A61">
        <w:rPr>
          <w:lang w:val="en-US"/>
        </w:rPr>
        <w:t>kullanıldığı</w:t>
      </w:r>
      <w:proofErr w:type="spellEnd"/>
      <w:r w:rsidRPr="00D85A61">
        <w:rPr>
          <w:lang w:val="en-US"/>
        </w:rPr>
        <w:t xml:space="preserve"> </w:t>
      </w:r>
      <w:proofErr w:type="spellStart"/>
      <w:r w:rsidRPr="00D85A61">
        <w:rPr>
          <w:lang w:val="en-US"/>
        </w:rPr>
        <w:t>göz</w:t>
      </w:r>
      <w:proofErr w:type="spellEnd"/>
      <w:r w:rsidRPr="00D85A61">
        <w:rPr>
          <w:lang w:val="en-US"/>
        </w:rPr>
        <w:t xml:space="preserve"> </w:t>
      </w:r>
      <w:proofErr w:type="spellStart"/>
      <w:r w:rsidRPr="00D85A61">
        <w:rPr>
          <w:lang w:val="en-US"/>
        </w:rPr>
        <w:t>önüne</w:t>
      </w:r>
      <w:proofErr w:type="spellEnd"/>
      <w:r w:rsidRPr="00D85A61">
        <w:rPr>
          <w:lang w:val="en-US"/>
        </w:rPr>
        <w:t xml:space="preserve"> </w:t>
      </w:r>
      <w:proofErr w:type="spellStart"/>
      <w:r w:rsidRPr="00D85A61">
        <w:rPr>
          <w:lang w:val="en-US"/>
        </w:rPr>
        <w:t>alındığında</w:t>
      </w:r>
      <w:proofErr w:type="spellEnd"/>
      <w:r w:rsidRPr="00D85A61">
        <w:rPr>
          <w:lang w:val="en-US"/>
        </w:rPr>
        <w:t xml:space="preserve"> </w:t>
      </w:r>
      <w:proofErr w:type="spellStart"/>
      <w:r w:rsidRPr="00D85A61">
        <w:rPr>
          <w:lang w:val="en-US"/>
        </w:rPr>
        <w:t>bu</w:t>
      </w:r>
      <w:proofErr w:type="spellEnd"/>
      <w:r w:rsidRPr="00D85A61">
        <w:rPr>
          <w:lang w:val="en-US"/>
        </w:rPr>
        <w:t xml:space="preserve"> </w:t>
      </w:r>
      <w:proofErr w:type="spellStart"/>
      <w:r w:rsidRPr="00D85A61">
        <w:rPr>
          <w:lang w:val="en-US"/>
        </w:rPr>
        <w:t>tür</w:t>
      </w:r>
      <w:proofErr w:type="spellEnd"/>
      <w:r w:rsidRPr="00D85A61">
        <w:rPr>
          <w:lang w:val="en-US"/>
        </w:rPr>
        <w:t xml:space="preserve"> </w:t>
      </w:r>
      <w:proofErr w:type="spellStart"/>
      <w:r w:rsidRPr="00D85A61">
        <w:rPr>
          <w:lang w:val="en-US"/>
        </w:rPr>
        <w:t>alternatifler</w:t>
      </w:r>
      <w:proofErr w:type="spellEnd"/>
      <w:r w:rsidRPr="00D85A61">
        <w:rPr>
          <w:lang w:val="en-US"/>
        </w:rPr>
        <w:t xml:space="preserve"> </w:t>
      </w:r>
      <w:proofErr w:type="spellStart"/>
      <w:r w:rsidRPr="00D85A61">
        <w:rPr>
          <w:lang w:val="en-US"/>
        </w:rPr>
        <w:t>cazip</w:t>
      </w:r>
      <w:proofErr w:type="spellEnd"/>
      <w:r w:rsidRPr="00D85A61">
        <w:rPr>
          <w:lang w:val="en-US"/>
        </w:rPr>
        <w:t xml:space="preserve"> de </w:t>
      </w:r>
      <w:proofErr w:type="spellStart"/>
      <w:r w:rsidRPr="00D85A61">
        <w:rPr>
          <w:lang w:val="en-US"/>
        </w:rPr>
        <w:t>görünebilir</w:t>
      </w:r>
      <w:proofErr w:type="spellEnd"/>
      <w:r w:rsidRPr="00D85A61">
        <w:rPr>
          <w:lang w:val="en-US"/>
        </w:rPr>
        <w:t xml:space="preserve">⁷. </w:t>
      </w:r>
      <w:r>
        <w:rPr>
          <w:lang w:val="en-US"/>
        </w:rPr>
        <w:t xml:space="preserve"> </w:t>
      </w:r>
      <w:r>
        <w:rPr>
          <w:rStyle w:val="FootnoteReference"/>
          <w:lang w:val="en-US"/>
        </w:rPr>
        <w:footnoteReference w:id="7"/>
      </w:r>
      <w:proofErr w:type="spellStart"/>
      <w:r w:rsidRPr="00D85A61">
        <w:rPr>
          <w:lang w:val="en-US"/>
        </w:rPr>
        <w:t>Ancak</w:t>
      </w:r>
      <w:proofErr w:type="spellEnd"/>
      <w:r w:rsidRPr="00D85A61">
        <w:rPr>
          <w:lang w:val="en-US"/>
        </w:rPr>
        <w:t xml:space="preserve">, </w:t>
      </w:r>
      <w:proofErr w:type="spellStart"/>
      <w:r w:rsidRPr="00D85A61">
        <w:rPr>
          <w:lang w:val="en-US"/>
        </w:rPr>
        <w:t>bu</w:t>
      </w:r>
      <w:proofErr w:type="spellEnd"/>
      <w:r w:rsidRPr="00D85A61">
        <w:rPr>
          <w:lang w:val="en-US"/>
        </w:rPr>
        <w:t xml:space="preserve"> </w:t>
      </w:r>
      <w:proofErr w:type="spellStart"/>
      <w:r w:rsidRPr="00D85A61">
        <w:rPr>
          <w:lang w:val="en-US"/>
        </w:rPr>
        <w:t>uygulamaları</w:t>
      </w:r>
      <w:proofErr w:type="spellEnd"/>
      <w:r w:rsidRPr="00D85A61">
        <w:rPr>
          <w:lang w:val="en-US"/>
        </w:rPr>
        <w:t xml:space="preserve">, </w:t>
      </w:r>
      <w:proofErr w:type="spellStart"/>
      <w:r w:rsidRPr="00D85A61">
        <w:rPr>
          <w:lang w:val="en-US"/>
        </w:rPr>
        <w:t>düzenlemeleri</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düşünce</w:t>
      </w:r>
      <w:proofErr w:type="spellEnd"/>
      <w:r w:rsidRPr="00D85A61">
        <w:rPr>
          <w:lang w:val="en-US"/>
        </w:rPr>
        <w:t xml:space="preserve"> </w:t>
      </w:r>
      <w:proofErr w:type="spellStart"/>
      <w:r w:rsidRPr="00D85A61">
        <w:rPr>
          <w:lang w:val="en-US"/>
        </w:rPr>
        <w:t>alışkanlıklarını</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kültür</w:t>
      </w:r>
      <w:proofErr w:type="spellEnd"/>
      <w:r w:rsidRPr="00D85A61">
        <w:rPr>
          <w:lang w:val="en-US"/>
        </w:rPr>
        <w:t xml:space="preserve"> </w:t>
      </w:r>
      <w:proofErr w:type="spellStart"/>
      <w:r w:rsidRPr="00D85A61">
        <w:rPr>
          <w:lang w:val="en-US"/>
        </w:rPr>
        <w:t>türü</w:t>
      </w:r>
      <w:proofErr w:type="spellEnd"/>
      <w:r w:rsidRPr="00D85A61">
        <w:rPr>
          <w:lang w:val="en-US"/>
        </w:rPr>
        <w:t xml:space="preserve"> </w:t>
      </w:r>
      <w:proofErr w:type="spellStart"/>
      <w:r w:rsidRPr="00D85A61">
        <w:rPr>
          <w:lang w:val="en-US"/>
        </w:rPr>
        <w:t>olarak</w:t>
      </w:r>
      <w:proofErr w:type="spellEnd"/>
      <w:r w:rsidRPr="00D85A61">
        <w:rPr>
          <w:lang w:val="en-US"/>
        </w:rPr>
        <w:t xml:space="preserve"> </w:t>
      </w:r>
      <w:proofErr w:type="spellStart"/>
      <w:r w:rsidRPr="00D85A61">
        <w:rPr>
          <w:lang w:val="en-US"/>
        </w:rPr>
        <w:t>tanımlamak</w:t>
      </w:r>
      <w:proofErr w:type="spellEnd"/>
      <w:r w:rsidRPr="00D85A61">
        <w:rPr>
          <w:lang w:val="en-US"/>
        </w:rPr>
        <w:t xml:space="preserve">, </w:t>
      </w:r>
      <w:proofErr w:type="spellStart"/>
      <w:r w:rsidRPr="00D85A61">
        <w:rPr>
          <w:lang w:val="en-US"/>
        </w:rPr>
        <w:t>onların</w:t>
      </w:r>
      <w:proofErr w:type="spellEnd"/>
      <w:r w:rsidRPr="00D85A61">
        <w:rPr>
          <w:lang w:val="en-US"/>
        </w:rPr>
        <w:t xml:space="preserve"> </w:t>
      </w:r>
      <w:proofErr w:type="spellStart"/>
      <w:r w:rsidRPr="00D85A61">
        <w:rPr>
          <w:lang w:val="en-US"/>
        </w:rPr>
        <w:t>en</w:t>
      </w:r>
      <w:proofErr w:type="spellEnd"/>
      <w:r w:rsidRPr="00D85A61">
        <w:rPr>
          <w:lang w:val="en-US"/>
        </w:rPr>
        <w:t xml:space="preserve"> </w:t>
      </w:r>
      <w:proofErr w:type="spellStart"/>
      <w:r w:rsidRPr="00D85A61">
        <w:rPr>
          <w:lang w:val="en-US"/>
        </w:rPr>
        <w:t>ilgi</w:t>
      </w:r>
      <w:proofErr w:type="spellEnd"/>
      <w:r w:rsidRPr="00D85A61">
        <w:rPr>
          <w:lang w:val="en-US"/>
        </w:rPr>
        <w:t xml:space="preserve"> </w:t>
      </w:r>
      <w:proofErr w:type="spellStart"/>
      <w:r w:rsidRPr="00D85A61">
        <w:rPr>
          <w:lang w:val="en-US"/>
        </w:rPr>
        <w:t>çekici</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analitik</w:t>
      </w:r>
      <w:proofErr w:type="spellEnd"/>
      <w:r w:rsidRPr="00D85A61">
        <w:rPr>
          <w:lang w:val="en-US"/>
        </w:rPr>
        <w:t xml:space="preserve"> </w:t>
      </w:r>
      <w:proofErr w:type="spellStart"/>
      <w:r w:rsidRPr="00D85A61">
        <w:rPr>
          <w:lang w:val="en-US"/>
        </w:rPr>
        <w:t>açıdan</w:t>
      </w:r>
      <w:proofErr w:type="spellEnd"/>
      <w:r w:rsidRPr="00D85A61">
        <w:rPr>
          <w:lang w:val="en-US"/>
        </w:rPr>
        <w:t xml:space="preserve"> </w:t>
      </w:r>
      <w:proofErr w:type="spellStart"/>
      <w:r w:rsidRPr="00D85A61">
        <w:rPr>
          <w:lang w:val="en-US"/>
        </w:rPr>
        <w:t>en</w:t>
      </w:r>
      <w:proofErr w:type="spellEnd"/>
      <w:r w:rsidRPr="00D85A61">
        <w:rPr>
          <w:lang w:val="en-US"/>
        </w:rPr>
        <w:t xml:space="preserve"> </w:t>
      </w:r>
      <w:proofErr w:type="spellStart"/>
      <w:r w:rsidRPr="00D85A61">
        <w:rPr>
          <w:lang w:val="en-US"/>
        </w:rPr>
        <w:t>önemli</w:t>
      </w:r>
      <w:proofErr w:type="spellEnd"/>
      <w:r w:rsidRPr="00D85A61">
        <w:rPr>
          <w:lang w:val="en-US"/>
        </w:rPr>
        <w:t xml:space="preserve"> </w:t>
      </w:r>
      <w:proofErr w:type="spellStart"/>
      <w:r w:rsidRPr="00D85A61">
        <w:rPr>
          <w:lang w:val="en-US"/>
        </w:rPr>
        <w:t>özelliklerini</w:t>
      </w:r>
      <w:proofErr w:type="spellEnd"/>
      <w:r w:rsidRPr="00D85A61">
        <w:rPr>
          <w:lang w:val="en-US"/>
        </w:rPr>
        <w:t xml:space="preserve"> </w:t>
      </w:r>
      <w:proofErr w:type="spellStart"/>
      <w:r w:rsidRPr="00D85A61">
        <w:rPr>
          <w:lang w:val="en-US"/>
        </w:rPr>
        <w:t>vurgulama</w:t>
      </w:r>
      <w:proofErr w:type="spellEnd"/>
      <w:r w:rsidRPr="00D85A61">
        <w:rPr>
          <w:lang w:val="en-US"/>
        </w:rPr>
        <w:t xml:space="preserve"> </w:t>
      </w:r>
      <w:proofErr w:type="spellStart"/>
      <w:r w:rsidRPr="00D85A61">
        <w:rPr>
          <w:lang w:val="en-US"/>
        </w:rPr>
        <w:t>avantajı</w:t>
      </w:r>
      <w:proofErr w:type="spellEnd"/>
      <w:r w:rsidRPr="00D85A61">
        <w:rPr>
          <w:lang w:val="en-US"/>
        </w:rPr>
        <w:t xml:space="preserve"> </w:t>
      </w:r>
      <w:proofErr w:type="spellStart"/>
      <w:r w:rsidRPr="00D85A61">
        <w:rPr>
          <w:lang w:val="en-US"/>
        </w:rPr>
        <w:t>sunar</w:t>
      </w:r>
      <w:proofErr w:type="spellEnd"/>
      <w:r w:rsidRPr="00D85A61">
        <w:rPr>
          <w:lang w:val="en-US"/>
        </w:rPr>
        <w:t xml:space="preserve">. Bu </w:t>
      </w:r>
      <w:proofErr w:type="spellStart"/>
      <w:r w:rsidRPr="00D85A61">
        <w:rPr>
          <w:lang w:val="en-US"/>
        </w:rPr>
        <w:t>özellikler</w:t>
      </w:r>
      <w:proofErr w:type="spellEnd"/>
      <w:r w:rsidRPr="00D85A61">
        <w:rPr>
          <w:lang w:val="en-US"/>
        </w:rPr>
        <w:t xml:space="preserve"> </w:t>
      </w:r>
      <w:proofErr w:type="spellStart"/>
      <w:r w:rsidRPr="00D85A61">
        <w:rPr>
          <w:lang w:val="en-US"/>
        </w:rPr>
        <w:t>arasında</w:t>
      </w:r>
      <w:proofErr w:type="spellEnd"/>
      <w:r w:rsidRPr="00D85A61">
        <w:rPr>
          <w:lang w:val="en-US"/>
        </w:rPr>
        <w:t xml:space="preserve">, </w:t>
      </w:r>
      <w:proofErr w:type="spellStart"/>
      <w:r w:rsidRPr="00D85A61">
        <w:rPr>
          <w:lang w:val="en-US"/>
        </w:rPr>
        <w:t>tarihsel</w:t>
      </w:r>
      <w:proofErr w:type="spellEnd"/>
      <w:r w:rsidRPr="00D85A61">
        <w:rPr>
          <w:lang w:val="en-US"/>
        </w:rPr>
        <w:t xml:space="preserve"> </w:t>
      </w:r>
      <w:proofErr w:type="spellStart"/>
      <w:r w:rsidRPr="00D85A61">
        <w:rPr>
          <w:lang w:val="en-US"/>
        </w:rPr>
        <w:t>kökenleri</w:t>
      </w:r>
      <w:proofErr w:type="spellEnd"/>
      <w:r w:rsidRPr="00D85A61">
        <w:rPr>
          <w:lang w:val="en-US"/>
        </w:rPr>
        <w:t xml:space="preserve"> </w:t>
      </w:r>
      <w:proofErr w:type="spellStart"/>
      <w:r w:rsidRPr="00D85A61">
        <w:rPr>
          <w:lang w:val="en-US"/>
        </w:rPr>
        <w:t>derin</w:t>
      </w:r>
      <w:proofErr w:type="spellEnd"/>
      <w:r w:rsidRPr="00D85A61">
        <w:rPr>
          <w:lang w:val="en-US"/>
        </w:rPr>
        <w:t xml:space="preserve"> </w:t>
      </w:r>
      <w:proofErr w:type="spellStart"/>
      <w:r w:rsidRPr="00D85A61">
        <w:rPr>
          <w:lang w:val="en-US"/>
        </w:rPr>
        <w:t>olsa</w:t>
      </w:r>
      <w:proofErr w:type="spellEnd"/>
      <w:r w:rsidRPr="00D85A61">
        <w:rPr>
          <w:lang w:val="en-US"/>
        </w:rPr>
        <w:t xml:space="preserve"> da </w:t>
      </w:r>
      <w:proofErr w:type="spellStart"/>
      <w:r w:rsidRPr="00D85A61">
        <w:rPr>
          <w:lang w:val="en-US"/>
        </w:rPr>
        <w:t>sürekli</w:t>
      </w:r>
      <w:proofErr w:type="spellEnd"/>
      <w:r w:rsidRPr="00D85A61">
        <w:rPr>
          <w:lang w:val="en-US"/>
        </w:rPr>
        <w:t xml:space="preserve"> </w:t>
      </w:r>
      <w:proofErr w:type="spellStart"/>
      <w:r w:rsidRPr="00D85A61">
        <w:rPr>
          <w:lang w:val="en-US"/>
        </w:rPr>
        <w:t>değişen</w:t>
      </w:r>
      <w:proofErr w:type="spellEnd"/>
      <w:r w:rsidRPr="00D85A61">
        <w:rPr>
          <w:lang w:val="en-US"/>
        </w:rPr>
        <w:t xml:space="preserve"> </w:t>
      </w:r>
      <w:proofErr w:type="spellStart"/>
      <w:r w:rsidRPr="00D85A61">
        <w:rPr>
          <w:lang w:val="en-US"/>
        </w:rPr>
        <w:t>yapıları</w:t>
      </w:r>
      <w:proofErr w:type="spellEnd"/>
      <w:r w:rsidRPr="00D85A61">
        <w:rPr>
          <w:lang w:val="en-US"/>
        </w:rPr>
        <w:t xml:space="preserve">, </w:t>
      </w:r>
      <w:proofErr w:type="spellStart"/>
      <w:r w:rsidRPr="00D85A61">
        <w:rPr>
          <w:lang w:val="en-US"/>
        </w:rPr>
        <w:t>rasyonel</w:t>
      </w:r>
      <w:proofErr w:type="spellEnd"/>
      <w:r w:rsidRPr="00D85A61">
        <w:rPr>
          <w:lang w:val="en-US"/>
        </w:rPr>
        <w:t xml:space="preserve"> </w:t>
      </w:r>
      <w:proofErr w:type="spellStart"/>
      <w:r w:rsidRPr="00D85A61">
        <w:rPr>
          <w:lang w:val="en-US"/>
        </w:rPr>
        <w:t>argümana</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bilinçli</w:t>
      </w:r>
      <w:proofErr w:type="spellEnd"/>
      <w:r w:rsidRPr="00D85A61">
        <w:rPr>
          <w:lang w:val="en-US"/>
        </w:rPr>
        <w:t xml:space="preserve"> </w:t>
      </w:r>
      <w:proofErr w:type="spellStart"/>
      <w:r w:rsidRPr="00D85A61">
        <w:rPr>
          <w:lang w:val="en-US"/>
        </w:rPr>
        <w:t>değişime</w:t>
      </w:r>
      <w:proofErr w:type="spellEnd"/>
      <w:r w:rsidRPr="00D85A61">
        <w:rPr>
          <w:lang w:val="en-US"/>
        </w:rPr>
        <w:t xml:space="preserve"> </w:t>
      </w:r>
      <w:proofErr w:type="spellStart"/>
      <w:r w:rsidRPr="00D85A61">
        <w:rPr>
          <w:lang w:val="en-US"/>
        </w:rPr>
        <w:t>açık</w:t>
      </w:r>
      <w:proofErr w:type="spellEnd"/>
      <w:r w:rsidRPr="00D85A61">
        <w:rPr>
          <w:lang w:val="en-US"/>
        </w:rPr>
        <w:t xml:space="preserve"> </w:t>
      </w:r>
      <w:proofErr w:type="spellStart"/>
      <w:r w:rsidRPr="00D85A61">
        <w:rPr>
          <w:lang w:val="en-US"/>
        </w:rPr>
        <w:t>olmalarına</w:t>
      </w:r>
      <w:proofErr w:type="spellEnd"/>
      <w:r w:rsidRPr="00D85A61">
        <w:rPr>
          <w:lang w:val="en-US"/>
        </w:rPr>
        <w:t xml:space="preserve"> </w:t>
      </w:r>
      <w:proofErr w:type="spellStart"/>
      <w:r w:rsidRPr="00D85A61">
        <w:rPr>
          <w:lang w:val="en-US"/>
        </w:rPr>
        <w:t>rağmen</w:t>
      </w:r>
      <w:proofErr w:type="spellEnd"/>
      <w:r w:rsidRPr="00D85A61">
        <w:rPr>
          <w:lang w:val="en-US"/>
        </w:rPr>
        <w:t xml:space="preserve"> </w:t>
      </w:r>
      <w:proofErr w:type="spellStart"/>
      <w:r w:rsidRPr="00D85A61">
        <w:rPr>
          <w:lang w:val="en-US"/>
        </w:rPr>
        <w:t>aynı</w:t>
      </w:r>
      <w:proofErr w:type="spellEnd"/>
      <w:r w:rsidRPr="00D85A61">
        <w:rPr>
          <w:lang w:val="en-US"/>
        </w:rPr>
        <w:t xml:space="preserve"> </w:t>
      </w:r>
      <w:proofErr w:type="spellStart"/>
      <w:r w:rsidRPr="00D85A61">
        <w:rPr>
          <w:lang w:val="en-US"/>
        </w:rPr>
        <w:t>zamanda</w:t>
      </w:r>
      <w:proofErr w:type="spellEnd"/>
      <w:r w:rsidRPr="00D85A61">
        <w:rPr>
          <w:lang w:val="en-US"/>
        </w:rPr>
        <w:t xml:space="preserve"> </w:t>
      </w:r>
      <w:proofErr w:type="spellStart"/>
      <w:r w:rsidRPr="00D85A61">
        <w:rPr>
          <w:lang w:val="en-US"/>
        </w:rPr>
        <w:t>güçlü</w:t>
      </w:r>
      <w:proofErr w:type="spellEnd"/>
      <w:r w:rsidRPr="00D85A61">
        <w:rPr>
          <w:lang w:val="en-US"/>
        </w:rPr>
        <w:t xml:space="preserve"> </w:t>
      </w:r>
      <w:proofErr w:type="spellStart"/>
      <w:r w:rsidRPr="00D85A61">
        <w:rPr>
          <w:lang w:val="en-US"/>
        </w:rPr>
        <w:t>bağlılıkları</w:t>
      </w:r>
      <w:proofErr w:type="spellEnd"/>
      <w:r w:rsidRPr="00D85A61">
        <w:rPr>
          <w:lang w:val="en-US"/>
        </w:rPr>
        <w:t xml:space="preserve">, </w:t>
      </w:r>
      <w:proofErr w:type="spellStart"/>
      <w:r w:rsidRPr="00D85A61">
        <w:rPr>
          <w:lang w:val="en-US"/>
        </w:rPr>
        <w:t>içgüdüsel</w:t>
      </w:r>
      <w:proofErr w:type="spellEnd"/>
      <w:r w:rsidRPr="00D85A61">
        <w:rPr>
          <w:lang w:val="en-US"/>
        </w:rPr>
        <w:t xml:space="preserve"> </w:t>
      </w:r>
      <w:proofErr w:type="spellStart"/>
      <w:r w:rsidRPr="00D85A61">
        <w:rPr>
          <w:lang w:val="en-US"/>
        </w:rPr>
        <w:t>tepkileri</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henüz</w:t>
      </w:r>
      <w:proofErr w:type="spellEnd"/>
      <w:r w:rsidRPr="00D85A61">
        <w:rPr>
          <w:lang w:val="en-US"/>
        </w:rPr>
        <w:t xml:space="preserve"> tam </w:t>
      </w:r>
      <w:proofErr w:type="spellStart"/>
      <w:r w:rsidRPr="00D85A61">
        <w:rPr>
          <w:lang w:val="en-US"/>
        </w:rPr>
        <w:t>anlamıyla</w:t>
      </w:r>
      <w:proofErr w:type="spellEnd"/>
      <w:r w:rsidRPr="00D85A61">
        <w:rPr>
          <w:lang w:val="en-US"/>
        </w:rPr>
        <w:t xml:space="preserve"> </w:t>
      </w:r>
      <w:proofErr w:type="spellStart"/>
      <w:r w:rsidRPr="00D85A61">
        <w:rPr>
          <w:lang w:val="en-US"/>
        </w:rPr>
        <w:t>şekillenmemiş</w:t>
      </w:r>
      <w:proofErr w:type="spellEnd"/>
      <w:r w:rsidRPr="00D85A61">
        <w:rPr>
          <w:lang w:val="en-US"/>
        </w:rPr>
        <w:t xml:space="preserve"> </w:t>
      </w:r>
      <w:proofErr w:type="spellStart"/>
      <w:r w:rsidRPr="00D85A61">
        <w:rPr>
          <w:lang w:val="en-US"/>
        </w:rPr>
        <w:t>kavrayışları</w:t>
      </w:r>
      <w:proofErr w:type="spellEnd"/>
      <w:r w:rsidRPr="00D85A61">
        <w:rPr>
          <w:lang w:val="en-US"/>
        </w:rPr>
        <w:t xml:space="preserve"> </w:t>
      </w:r>
      <w:proofErr w:type="spellStart"/>
      <w:r w:rsidRPr="00D85A61">
        <w:rPr>
          <w:lang w:val="en-US"/>
        </w:rPr>
        <w:t>yansıtmaları</w:t>
      </w:r>
      <w:proofErr w:type="spellEnd"/>
      <w:r w:rsidRPr="00D85A61">
        <w:rPr>
          <w:lang w:val="en-US"/>
        </w:rPr>
        <w:t xml:space="preserve"> </w:t>
      </w:r>
      <w:proofErr w:type="spellStart"/>
      <w:r w:rsidRPr="00D85A61">
        <w:rPr>
          <w:lang w:val="en-US"/>
        </w:rPr>
        <w:t>yer</w:t>
      </w:r>
      <w:proofErr w:type="spellEnd"/>
      <w:r w:rsidRPr="00D85A61">
        <w:rPr>
          <w:lang w:val="en-US"/>
        </w:rPr>
        <w:t xml:space="preserve"> </w:t>
      </w:r>
      <w:proofErr w:type="spellStart"/>
      <w:r w:rsidRPr="00D85A61">
        <w:rPr>
          <w:lang w:val="en-US"/>
        </w:rPr>
        <w:t>almaktadır</w:t>
      </w:r>
      <w:proofErr w:type="spellEnd"/>
      <w:r w:rsidRPr="00D85A61">
        <w:rPr>
          <w:lang w:val="en-US"/>
        </w:rPr>
        <w:t>.</w:t>
      </w:r>
      <w:r w:rsidRPr="00D85A61">
        <w:rPr>
          <w:lang w:val="en-US"/>
        </w:rPr>
        <w:t xml:space="preserve"> [4-5]</w:t>
      </w:r>
    </w:p>
    <w:p w14:paraId="57382C3C" w14:textId="7B22138B" w:rsidR="00D85A61" w:rsidRDefault="00D85A61" w:rsidP="00D85A61">
      <w:pPr>
        <w:rPr>
          <w:lang w:val="en-US"/>
        </w:rPr>
      </w:pPr>
      <w:r w:rsidRPr="00D85A61">
        <w:rPr>
          <w:lang w:val="en-US"/>
        </w:rPr>
        <w:t xml:space="preserve">Bu </w:t>
      </w:r>
      <w:proofErr w:type="spellStart"/>
      <w:r w:rsidRPr="00D85A61">
        <w:rPr>
          <w:lang w:val="en-US"/>
        </w:rPr>
        <w:t>makalenin</w:t>
      </w:r>
      <w:proofErr w:type="spellEnd"/>
      <w:r w:rsidRPr="00D85A61">
        <w:rPr>
          <w:lang w:val="en-US"/>
        </w:rPr>
        <w:t xml:space="preserve"> </w:t>
      </w:r>
      <w:proofErr w:type="spellStart"/>
      <w:r w:rsidRPr="00D85A61">
        <w:rPr>
          <w:lang w:val="en-US"/>
        </w:rPr>
        <w:t>sunduğu</w:t>
      </w:r>
      <w:proofErr w:type="spellEnd"/>
      <w:r w:rsidRPr="00D85A61">
        <w:rPr>
          <w:lang w:val="en-US"/>
        </w:rPr>
        <w:t xml:space="preserve"> </w:t>
      </w:r>
      <w:proofErr w:type="spellStart"/>
      <w:r w:rsidRPr="00D85A61">
        <w:rPr>
          <w:lang w:val="en-US"/>
        </w:rPr>
        <w:t>yaklaşım</w:t>
      </w:r>
      <w:proofErr w:type="spellEnd"/>
      <w:r w:rsidRPr="00D85A61">
        <w:rPr>
          <w:lang w:val="en-US"/>
        </w:rPr>
        <w:t xml:space="preserve">, </w:t>
      </w:r>
      <w:proofErr w:type="spellStart"/>
      <w:r w:rsidRPr="00D85A61">
        <w:rPr>
          <w:lang w:val="en-US"/>
        </w:rPr>
        <w:t>kapsamı</w:t>
      </w:r>
      <w:proofErr w:type="spellEnd"/>
      <w:r w:rsidRPr="00D85A61">
        <w:rPr>
          <w:lang w:val="en-US"/>
        </w:rPr>
        <w:t xml:space="preserve">, </w:t>
      </w:r>
      <w:proofErr w:type="spellStart"/>
      <w:r w:rsidRPr="00D85A61">
        <w:rPr>
          <w:lang w:val="en-US"/>
        </w:rPr>
        <w:t>terminolojisi</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bilinçli</w:t>
      </w:r>
      <w:proofErr w:type="spellEnd"/>
      <w:r w:rsidRPr="00D85A61">
        <w:rPr>
          <w:lang w:val="en-US"/>
        </w:rPr>
        <w:t xml:space="preserve"> </w:t>
      </w:r>
      <w:proofErr w:type="spellStart"/>
      <w:r w:rsidRPr="00D85A61">
        <w:rPr>
          <w:lang w:val="en-US"/>
        </w:rPr>
        <w:t>yöntemi</w:t>
      </w:r>
      <w:proofErr w:type="spellEnd"/>
      <w:r w:rsidRPr="00D85A61">
        <w:rPr>
          <w:lang w:val="en-US"/>
        </w:rPr>
        <w:t xml:space="preserve"> </w:t>
      </w:r>
      <w:proofErr w:type="spellStart"/>
      <w:r w:rsidRPr="00D85A61">
        <w:rPr>
          <w:lang w:val="en-US"/>
        </w:rPr>
        <w:t>açısından</w:t>
      </w:r>
      <w:proofErr w:type="spellEnd"/>
      <w:r w:rsidRPr="00D85A61">
        <w:rPr>
          <w:lang w:val="en-US"/>
        </w:rPr>
        <w:t xml:space="preserve"> </w:t>
      </w:r>
      <w:proofErr w:type="spellStart"/>
      <w:r w:rsidRPr="00D85A61">
        <w:rPr>
          <w:lang w:val="en-US"/>
        </w:rPr>
        <w:t>özgündür</w:t>
      </w:r>
      <w:proofErr w:type="spellEnd"/>
      <w:r w:rsidRPr="00D85A61">
        <w:rPr>
          <w:lang w:val="en-US"/>
        </w:rPr>
        <w:t xml:space="preserve">; </w:t>
      </w:r>
      <w:proofErr w:type="spellStart"/>
      <w:r w:rsidRPr="00D85A61">
        <w:rPr>
          <w:lang w:val="en-US"/>
        </w:rPr>
        <w:t>ancak</w:t>
      </w:r>
      <w:proofErr w:type="spellEnd"/>
      <w:r w:rsidRPr="00D85A61">
        <w:rPr>
          <w:lang w:val="en-US"/>
        </w:rPr>
        <w:t xml:space="preserve"> </w:t>
      </w:r>
      <w:proofErr w:type="spellStart"/>
      <w:r w:rsidRPr="00D85A61">
        <w:rPr>
          <w:lang w:val="en-US"/>
        </w:rPr>
        <w:t>aynı</w:t>
      </w:r>
      <w:proofErr w:type="spellEnd"/>
      <w:r w:rsidRPr="00D85A61">
        <w:rPr>
          <w:lang w:val="en-US"/>
        </w:rPr>
        <w:t xml:space="preserve"> </w:t>
      </w:r>
      <w:proofErr w:type="spellStart"/>
      <w:r w:rsidRPr="00D85A61">
        <w:rPr>
          <w:lang w:val="en-US"/>
        </w:rPr>
        <w:t>zamanda</w:t>
      </w:r>
      <w:proofErr w:type="spellEnd"/>
      <w:r w:rsidRPr="00D85A61">
        <w:rPr>
          <w:lang w:val="en-US"/>
        </w:rPr>
        <w:t xml:space="preserve">, </w:t>
      </w:r>
      <w:proofErr w:type="spellStart"/>
      <w:r w:rsidRPr="00D85A61">
        <w:rPr>
          <w:lang w:val="en-US"/>
        </w:rPr>
        <w:t>anayasa</w:t>
      </w:r>
      <w:proofErr w:type="spellEnd"/>
      <w:r w:rsidRPr="00D85A61">
        <w:rPr>
          <w:lang w:val="en-US"/>
        </w:rPr>
        <w:t xml:space="preserve"> </w:t>
      </w:r>
      <w:proofErr w:type="spellStart"/>
      <w:r w:rsidRPr="00D85A61">
        <w:rPr>
          <w:lang w:val="en-US"/>
        </w:rPr>
        <w:t>hukukuna</w:t>
      </w:r>
      <w:proofErr w:type="spellEnd"/>
      <w:r w:rsidRPr="00D85A61">
        <w:rPr>
          <w:lang w:val="en-US"/>
        </w:rPr>
        <w:t xml:space="preserve"> </w:t>
      </w:r>
      <w:proofErr w:type="spellStart"/>
      <w:r w:rsidRPr="00D85A61">
        <w:rPr>
          <w:lang w:val="en-US"/>
        </w:rPr>
        <w:t>ilişkin</w:t>
      </w:r>
      <w:proofErr w:type="spellEnd"/>
      <w:r w:rsidRPr="00D85A61">
        <w:rPr>
          <w:lang w:val="en-US"/>
        </w:rPr>
        <w:t xml:space="preserve"> </w:t>
      </w:r>
      <w:proofErr w:type="spellStart"/>
      <w:r w:rsidRPr="00D85A61">
        <w:rPr>
          <w:lang w:val="en-US"/>
        </w:rPr>
        <w:t>giderek</w:t>
      </w:r>
      <w:proofErr w:type="spellEnd"/>
      <w:r w:rsidRPr="00D85A61">
        <w:rPr>
          <w:lang w:val="en-US"/>
        </w:rPr>
        <w:t xml:space="preserve"> </w:t>
      </w:r>
      <w:proofErr w:type="spellStart"/>
      <w:r w:rsidRPr="00D85A61">
        <w:rPr>
          <w:lang w:val="en-US"/>
        </w:rPr>
        <w:t>gelişen</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sürecin</w:t>
      </w:r>
      <w:proofErr w:type="spellEnd"/>
      <w:r w:rsidRPr="00D85A61">
        <w:rPr>
          <w:lang w:val="en-US"/>
        </w:rPr>
        <w:t xml:space="preserve"> </w:t>
      </w:r>
      <w:proofErr w:type="spellStart"/>
      <w:r w:rsidRPr="00D85A61">
        <w:rPr>
          <w:lang w:val="en-US"/>
        </w:rPr>
        <w:t>anlaşılmasında</w:t>
      </w:r>
      <w:proofErr w:type="spellEnd"/>
      <w:r w:rsidRPr="00D85A61">
        <w:rPr>
          <w:lang w:val="en-US"/>
        </w:rPr>
        <w:t xml:space="preserve"> </w:t>
      </w:r>
      <w:proofErr w:type="spellStart"/>
      <w:r w:rsidRPr="00D85A61">
        <w:rPr>
          <w:lang w:val="en-US"/>
        </w:rPr>
        <w:t>kültürel</w:t>
      </w:r>
      <w:proofErr w:type="spellEnd"/>
      <w:r w:rsidRPr="00D85A61">
        <w:rPr>
          <w:lang w:val="en-US"/>
        </w:rPr>
        <w:t xml:space="preserve"> </w:t>
      </w:r>
      <w:proofErr w:type="spellStart"/>
      <w:r w:rsidRPr="00D85A61">
        <w:rPr>
          <w:lang w:val="en-US"/>
        </w:rPr>
        <w:t>bağlamın</w:t>
      </w:r>
      <w:proofErr w:type="spellEnd"/>
      <w:r w:rsidRPr="00D85A61">
        <w:rPr>
          <w:lang w:val="en-US"/>
        </w:rPr>
        <w:t xml:space="preserve"> </w:t>
      </w:r>
      <w:proofErr w:type="spellStart"/>
      <w:r w:rsidRPr="00D85A61">
        <w:rPr>
          <w:lang w:val="en-US"/>
        </w:rPr>
        <w:t>önemini</w:t>
      </w:r>
      <w:proofErr w:type="spellEnd"/>
      <w:r w:rsidRPr="00D85A61">
        <w:rPr>
          <w:lang w:val="en-US"/>
        </w:rPr>
        <w:t xml:space="preserve"> </w:t>
      </w:r>
      <w:proofErr w:type="spellStart"/>
      <w:r w:rsidRPr="00D85A61">
        <w:rPr>
          <w:lang w:val="en-US"/>
        </w:rPr>
        <w:t>vurgulayan</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akademik</w:t>
      </w:r>
      <w:proofErr w:type="spellEnd"/>
      <w:r w:rsidRPr="00D85A61">
        <w:rPr>
          <w:lang w:val="en-US"/>
        </w:rPr>
        <w:t xml:space="preserve"> </w:t>
      </w:r>
      <w:proofErr w:type="spellStart"/>
      <w:r w:rsidRPr="00D85A61">
        <w:rPr>
          <w:lang w:val="en-US"/>
        </w:rPr>
        <w:t>akıma</w:t>
      </w:r>
      <w:proofErr w:type="spellEnd"/>
      <w:r w:rsidRPr="00D85A61">
        <w:rPr>
          <w:lang w:val="en-US"/>
        </w:rPr>
        <w:t xml:space="preserve"> </w:t>
      </w:r>
      <w:proofErr w:type="spellStart"/>
      <w:r w:rsidRPr="00D85A61">
        <w:rPr>
          <w:lang w:val="en-US"/>
        </w:rPr>
        <w:t>dayanmaktadır</w:t>
      </w:r>
      <w:proofErr w:type="spellEnd"/>
      <w:r w:rsidRPr="00D85A61">
        <w:rPr>
          <w:lang w:val="en-US"/>
        </w:rPr>
        <w:t>.</w:t>
      </w:r>
      <w:r w:rsidRPr="00D85A61">
        <w:rPr>
          <w:lang w:val="en-US"/>
        </w:rPr>
        <w:t xml:space="preserve"> </w:t>
      </w:r>
      <w:r w:rsidRPr="00D85A61">
        <w:rPr>
          <w:lang w:val="en-US"/>
        </w:rPr>
        <w:t xml:space="preserve">Bu </w:t>
      </w:r>
      <w:proofErr w:type="spellStart"/>
      <w:r w:rsidRPr="00D85A61">
        <w:rPr>
          <w:lang w:val="en-US"/>
        </w:rPr>
        <w:t>akım</w:t>
      </w:r>
      <w:proofErr w:type="spellEnd"/>
      <w:r w:rsidRPr="00D85A61">
        <w:rPr>
          <w:lang w:val="en-US"/>
        </w:rPr>
        <w:t xml:space="preserve">, </w:t>
      </w:r>
      <w:proofErr w:type="spellStart"/>
      <w:r w:rsidRPr="00D85A61">
        <w:rPr>
          <w:lang w:val="en-US"/>
        </w:rPr>
        <w:t>belirli</w:t>
      </w:r>
      <w:proofErr w:type="spellEnd"/>
      <w:r w:rsidRPr="00D85A61">
        <w:rPr>
          <w:lang w:val="en-US"/>
        </w:rPr>
        <w:t xml:space="preserve"> </w:t>
      </w:r>
      <w:proofErr w:type="spellStart"/>
      <w:r w:rsidRPr="00D85A61">
        <w:rPr>
          <w:lang w:val="en-US"/>
        </w:rPr>
        <w:t>meselelerin</w:t>
      </w:r>
      <w:proofErr w:type="spellEnd"/>
      <w:r w:rsidRPr="00D85A61">
        <w:rPr>
          <w:lang w:val="en-US"/>
        </w:rPr>
        <w:t xml:space="preserve"> </w:t>
      </w:r>
      <w:proofErr w:type="spellStart"/>
      <w:r w:rsidRPr="00D85A61">
        <w:rPr>
          <w:lang w:val="en-US"/>
        </w:rPr>
        <w:t>nasıl</w:t>
      </w:r>
      <w:proofErr w:type="spellEnd"/>
      <w:r w:rsidRPr="00D85A61">
        <w:rPr>
          <w:lang w:val="en-US"/>
        </w:rPr>
        <w:t xml:space="preserve"> </w:t>
      </w:r>
      <w:proofErr w:type="spellStart"/>
      <w:r w:rsidRPr="00D85A61">
        <w:rPr>
          <w:lang w:val="en-US"/>
        </w:rPr>
        <w:t>önem</w:t>
      </w:r>
      <w:proofErr w:type="spellEnd"/>
      <w:r w:rsidRPr="00D85A61">
        <w:rPr>
          <w:lang w:val="en-US"/>
        </w:rPr>
        <w:t xml:space="preserve"> </w:t>
      </w:r>
      <w:proofErr w:type="spellStart"/>
      <w:r w:rsidRPr="00D85A61">
        <w:rPr>
          <w:lang w:val="en-US"/>
        </w:rPr>
        <w:t>kazandığını</w:t>
      </w:r>
      <w:proofErr w:type="spellEnd"/>
      <w:r w:rsidRPr="00D85A61">
        <w:rPr>
          <w:lang w:val="en-US"/>
        </w:rPr>
        <w:t xml:space="preserve"> </w:t>
      </w:r>
      <w:proofErr w:type="spellStart"/>
      <w:r w:rsidRPr="00D85A61">
        <w:rPr>
          <w:lang w:val="en-US"/>
        </w:rPr>
        <w:t>anlamak</w:t>
      </w:r>
      <w:proofErr w:type="spellEnd"/>
      <w:r w:rsidRPr="00D85A61">
        <w:rPr>
          <w:lang w:val="en-US"/>
        </w:rPr>
        <w:t xml:space="preserve"> </w:t>
      </w:r>
      <w:proofErr w:type="spellStart"/>
      <w:r w:rsidRPr="00D85A61">
        <w:rPr>
          <w:lang w:val="en-US"/>
        </w:rPr>
        <w:t>için</w:t>
      </w:r>
      <w:proofErr w:type="spellEnd"/>
      <w:r w:rsidRPr="00D85A61">
        <w:rPr>
          <w:lang w:val="en-US"/>
        </w:rPr>
        <w:t xml:space="preserve"> </w:t>
      </w:r>
      <w:proofErr w:type="spellStart"/>
      <w:r w:rsidRPr="00D85A61">
        <w:rPr>
          <w:lang w:val="en-US"/>
        </w:rPr>
        <w:t>kültürel</w:t>
      </w:r>
      <w:proofErr w:type="spellEnd"/>
      <w:r w:rsidRPr="00D85A61">
        <w:rPr>
          <w:lang w:val="en-US"/>
        </w:rPr>
        <w:t xml:space="preserve"> </w:t>
      </w:r>
      <w:proofErr w:type="spellStart"/>
      <w:r w:rsidRPr="00D85A61">
        <w:rPr>
          <w:lang w:val="en-US"/>
        </w:rPr>
        <w:t>bağlamın</w:t>
      </w:r>
      <w:proofErr w:type="spellEnd"/>
      <w:r w:rsidRPr="00D85A61">
        <w:rPr>
          <w:lang w:val="en-US"/>
        </w:rPr>
        <w:t xml:space="preserve"> </w:t>
      </w:r>
      <w:proofErr w:type="spellStart"/>
      <w:r w:rsidRPr="00D85A61">
        <w:rPr>
          <w:lang w:val="en-US"/>
        </w:rPr>
        <w:t>taşıdığı</w:t>
      </w:r>
      <w:proofErr w:type="spellEnd"/>
      <w:r w:rsidRPr="00D85A61">
        <w:rPr>
          <w:lang w:val="en-US"/>
        </w:rPr>
        <w:t xml:space="preserve"> </w:t>
      </w:r>
      <w:proofErr w:type="spellStart"/>
      <w:r w:rsidRPr="00D85A61">
        <w:rPr>
          <w:lang w:val="en-US"/>
        </w:rPr>
        <w:t>önemi</w:t>
      </w:r>
      <w:proofErr w:type="spellEnd"/>
      <w:r w:rsidRPr="00D85A61">
        <w:rPr>
          <w:lang w:val="en-US"/>
        </w:rPr>
        <w:t xml:space="preserve"> </w:t>
      </w:r>
      <w:proofErr w:type="spellStart"/>
      <w:r w:rsidRPr="00D85A61">
        <w:rPr>
          <w:lang w:val="en-US"/>
        </w:rPr>
        <w:t>vurgulamakta</w:t>
      </w:r>
      <w:proofErr w:type="spellEnd"/>
      <w:r w:rsidRPr="00D85A61">
        <w:rPr>
          <w:lang w:val="en-US"/>
        </w:rPr>
        <w:t xml:space="preserve">⁸, </w:t>
      </w:r>
      <w:r>
        <w:rPr>
          <w:lang w:val="en-US"/>
        </w:rPr>
        <w:t xml:space="preserve"> </w:t>
      </w:r>
      <w:r>
        <w:rPr>
          <w:rStyle w:val="FootnoteReference"/>
          <w:lang w:val="en-US"/>
        </w:rPr>
        <w:footnoteReference w:id="8"/>
      </w:r>
      <w:r w:rsidRPr="00D85A61">
        <w:rPr>
          <w:lang w:val="en-US"/>
        </w:rPr>
        <w:t xml:space="preserve">hem </w:t>
      </w:r>
      <w:proofErr w:type="spellStart"/>
      <w:r w:rsidRPr="00D85A61">
        <w:rPr>
          <w:lang w:val="en-US"/>
        </w:rPr>
        <w:t>hukuki</w:t>
      </w:r>
      <w:proofErr w:type="spellEnd"/>
      <w:r w:rsidRPr="00D85A61">
        <w:rPr>
          <w:lang w:val="en-US"/>
        </w:rPr>
        <w:t xml:space="preserve"> hem de </w:t>
      </w:r>
      <w:proofErr w:type="spellStart"/>
      <w:r w:rsidRPr="00D85A61">
        <w:rPr>
          <w:lang w:val="en-US"/>
        </w:rPr>
        <w:t>hukuki</w:t>
      </w:r>
      <w:proofErr w:type="spellEnd"/>
      <w:r w:rsidRPr="00D85A61">
        <w:rPr>
          <w:lang w:val="en-US"/>
        </w:rPr>
        <w:t xml:space="preserve"> </w:t>
      </w:r>
      <w:proofErr w:type="spellStart"/>
      <w:r w:rsidRPr="00D85A61">
        <w:rPr>
          <w:lang w:val="en-US"/>
        </w:rPr>
        <w:t>olmayan</w:t>
      </w:r>
      <w:proofErr w:type="spellEnd"/>
      <w:r w:rsidRPr="00D85A61">
        <w:rPr>
          <w:lang w:val="en-US"/>
        </w:rPr>
        <w:t xml:space="preserve"> </w:t>
      </w:r>
      <w:proofErr w:type="spellStart"/>
      <w:r w:rsidRPr="00D85A61">
        <w:rPr>
          <w:lang w:val="en-US"/>
        </w:rPr>
        <w:t>aktörlerin</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tarihin</w:t>
      </w:r>
      <w:proofErr w:type="spellEnd"/>
      <w:r w:rsidRPr="00D85A61">
        <w:rPr>
          <w:lang w:val="en-US"/>
        </w:rPr>
        <w:t xml:space="preserve"> </w:t>
      </w:r>
      <w:proofErr w:type="spellStart"/>
      <w:r w:rsidRPr="00D85A61">
        <w:rPr>
          <w:lang w:val="en-US"/>
        </w:rPr>
        <w:t>yönünü</w:t>
      </w:r>
      <w:proofErr w:type="spellEnd"/>
      <w:r w:rsidRPr="00D85A61">
        <w:rPr>
          <w:lang w:val="en-US"/>
        </w:rPr>
        <w:t xml:space="preserve"> </w:t>
      </w:r>
      <w:proofErr w:type="spellStart"/>
      <w:r w:rsidRPr="00D85A61">
        <w:rPr>
          <w:lang w:val="en-US"/>
        </w:rPr>
        <w:t>etkilemek</w:t>
      </w:r>
      <w:proofErr w:type="spellEnd"/>
      <w:r w:rsidRPr="00D85A61">
        <w:rPr>
          <w:lang w:val="en-US"/>
        </w:rPr>
        <w:t xml:space="preserve"> </w:t>
      </w:r>
      <w:proofErr w:type="spellStart"/>
      <w:r w:rsidRPr="00D85A61">
        <w:rPr>
          <w:lang w:val="en-US"/>
        </w:rPr>
        <w:t>için</w:t>
      </w:r>
      <w:proofErr w:type="spellEnd"/>
      <w:r w:rsidRPr="00D85A61">
        <w:rPr>
          <w:lang w:val="en-US"/>
        </w:rPr>
        <w:t xml:space="preserve"> </w:t>
      </w:r>
      <w:proofErr w:type="spellStart"/>
      <w:r w:rsidRPr="00D85A61">
        <w:rPr>
          <w:lang w:val="en-US"/>
        </w:rPr>
        <w:t>nasıl</w:t>
      </w:r>
      <w:proofErr w:type="spellEnd"/>
      <w:r w:rsidRPr="00D85A61">
        <w:rPr>
          <w:lang w:val="en-US"/>
        </w:rPr>
        <w:t xml:space="preserve"> </w:t>
      </w:r>
      <w:proofErr w:type="spellStart"/>
      <w:r w:rsidRPr="00D85A61">
        <w:rPr>
          <w:lang w:val="en-US"/>
        </w:rPr>
        <w:t>harekete</w:t>
      </w:r>
      <w:proofErr w:type="spellEnd"/>
      <w:r w:rsidRPr="00D85A61">
        <w:rPr>
          <w:lang w:val="en-US"/>
        </w:rPr>
        <w:t xml:space="preserve"> </w:t>
      </w:r>
      <w:proofErr w:type="spellStart"/>
      <w:r w:rsidRPr="00D85A61">
        <w:rPr>
          <w:lang w:val="en-US"/>
        </w:rPr>
        <w:t>geçtiğini</w:t>
      </w:r>
      <w:proofErr w:type="spellEnd"/>
      <w:r w:rsidRPr="00D85A61">
        <w:rPr>
          <w:lang w:val="en-US"/>
        </w:rPr>
        <w:t xml:space="preserve"> </w:t>
      </w:r>
      <w:proofErr w:type="spellStart"/>
      <w:r w:rsidRPr="00D85A61">
        <w:rPr>
          <w:lang w:val="en-US"/>
        </w:rPr>
        <w:t>göstermekte</w:t>
      </w:r>
      <w:proofErr w:type="spellEnd"/>
      <w:r w:rsidRPr="00D85A61">
        <w:rPr>
          <w:lang w:val="en-US"/>
        </w:rPr>
        <w:t xml:space="preserve">⁹ </w:t>
      </w:r>
      <w:r>
        <w:rPr>
          <w:lang w:val="en-US"/>
        </w:rPr>
        <w:t xml:space="preserve"> </w:t>
      </w:r>
      <w:r>
        <w:rPr>
          <w:rStyle w:val="FootnoteReference"/>
          <w:lang w:val="en-US"/>
        </w:rPr>
        <w:footnoteReference w:id="9"/>
      </w:r>
      <w:proofErr w:type="spellStart"/>
      <w:r w:rsidRPr="00D85A61">
        <w:rPr>
          <w:lang w:val="en-US"/>
        </w:rPr>
        <w:t>ve</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karar</w:t>
      </w:r>
      <w:proofErr w:type="spellEnd"/>
      <w:r w:rsidRPr="00D85A61">
        <w:rPr>
          <w:lang w:val="en-US"/>
        </w:rPr>
        <w:t xml:space="preserve"> alma </w:t>
      </w:r>
      <w:proofErr w:type="spellStart"/>
      <w:r w:rsidRPr="00D85A61">
        <w:rPr>
          <w:lang w:val="en-US"/>
        </w:rPr>
        <w:t>sürecimizin</w:t>
      </w:r>
      <w:proofErr w:type="spellEnd"/>
      <w:r w:rsidRPr="00D85A61">
        <w:rPr>
          <w:lang w:val="en-US"/>
        </w:rPr>
        <w:t xml:space="preserve"> </w:t>
      </w:r>
      <w:proofErr w:type="spellStart"/>
      <w:r w:rsidRPr="00D85A61">
        <w:rPr>
          <w:lang w:val="en-US"/>
        </w:rPr>
        <w:t>yapısına</w:t>
      </w:r>
      <w:proofErr w:type="spellEnd"/>
      <w:r w:rsidRPr="00D85A61">
        <w:rPr>
          <w:lang w:val="en-US"/>
        </w:rPr>
        <w:t xml:space="preserve"> </w:t>
      </w:r>
      <w:proofErr w:type="spellStart"/>
      <w:r w:rsidRPr="00D85A61">
        <w:rPr>
          <w:lang w:val="en-US"/>
        </w:rPr>
        <w:t>ilişkin</w:t>
      </w:r>
      <w:proofErr w:type="spellEnd"/>
      <w:r w:rsidRPr="00D85A61">
        <w:rPr>
          <w:lang w:val="en-US"/>
        </w:rPr>
        <w:t xml:space="preserve"> </w:t>
      </w:r>
      <w:proofErr w:type="spellStart"/>
      <w:r w:rsidRPr="00D85A61">
        <w:rPr>
          <w:lang w:val="en-US"/>
        </w:rPr>
        <w:t>kritik</w:t>
      </w:r>
      <w:proofErr w:type="spellEnd"/>
      <w:r w:rsidRPr="00D85A61">
        <w:rPr>
          <w:lang w:val="en-US"/>
        </w:rPr>
        <w:t xml:space="preserve"> </w:t>
      </w:r>
      <w:proofErr w:type="spellStart"/>
      <w:r w:rsidRPr="00D85A61">
        <w:rPr>
          <w:lang w:val="en-US"/>
        </w:rPr>
        <w:t>kararların</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metne</w:t>
      </w:r>
      <w:proofErr w:type="spellEnd"/>
      <w:r w:rsidRPr="00D85A61">
        <w:rPr>
          <w:lang w:val="en-US"/>
        </w:rPr>
        <w:t xml:space="preserve"> </w:t>
      </w:r>
      <w:proofErr w:type="spellStart"/>
      <w:r w:rsidRPr="00D85A61">
        <w:rPr>
          <w:lang w:val="en-US"/>
        </w:rPr>
        <w:t>fazla</w:t>
      </w:r>
      <w:proofErr w:type="spellEnd"/>
      <w:r w:rsidRPr="00D85A61">
        <w:rPr>
          <w:lang w:val="en-US"/>
        </w:rPr>
        <w:t xml:space="preserve"> </w:t>
      </w:r>
      <w:proofErr w:type="spellStart"/>
      <w:r w:rsidRPr="00D85A61">
        <w:rPr>
          <w:lang w:val="en-US"/>
        </w:rPr>
        <w:t>başvurmaksızın</w:t>
      </w:r>
      <w:proofErr w:type="spellEnd"/>
      <w:r w:rsidRPr="00D85A61">
        <w:rPr>
          <w:lang w:val="en-US"/>
        </w:rPr>
        <w:t xml:space="preserve"> </w:t>
      </w:r>
      <w:proofErr w:type="spellStart"/>
      <w:r w:rsidRPr="00D85A61">
        <w:rPr>
          <w:lang w:val="en-US"/>
        </w:rPr>
        <w:t>nasıl</w:t>
      </w:r>
      <w:proofErr w:type="spellEnd"/>
      <w:r w:rsidRPr="00D85A61">
        <w:rPr>
          <w:lang w:val="en-US"/>
        </w:rPr>
        <w:t xml:space="preserve"> </w:t>
      </w:r>
      <w:proofErr w:type="spellStart"/>
      <w:r w:rsidRPr="00D85A61">
        <w:rPr>
          <w:lang w:val="en-US"/>
        </w:rPr>
        <w:t>verildiğini</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verilmesi</w:t>
      </w:r>
      <w:proofErr w:type="spellEnd"/>
      <w:r w:rsidRPr="00D85A61">
        <w:rPr>
          <w:lang w:val="en-US"/>
        </w:rPr>
        <w:t xml:space="preserve"> </w:t>
      </w:r>
      <w:proofErr w:type="spellStart"/>
      <w:r w:rsidRPr="00D85A61">
        <w:rPr>
          <w:lang w:val="en-US"/>
        </w:rPr>
        <w:t>gerektiğini</w:t>
      </w:r>
      <w:proofErr w:type="spellEnd"/>
      <w:r w:rsidRPr="00D85A61">
        <w:rPr>
          <w:lang w:val="en-US"/>
        </w:rPr>
        <w:t xml:space="preserve">) </w:t>
      </w:r>
      <w:proofErr w:type="spellStart"/>
      <w:r w:rsidRPr="00D85A61">
        <w:rPr>
          <w:lang w:val="en-US"/>
        </w:rPr>
        <w:t>ortaya</w:t>
      </w:r>
      <w:proofErr w:type="spellEnd"/>
      <w:r w:rsidRPr="00D85A61">
        <w:rPr>
          <w:lang w:val="en-US"/>
        </w:rPr>
        <w:t xml:space="preserve"> koymaktadır¹⁰.</w:t>
      </w:r>
      <w:r w:rsidRPr="00D85A61">
        <w:rPr>
          <w:lang w:val="en-US"/>
        </w:rPr>
        <w:t xml:space="preserve"> </w:t>
      </w:r>
      <w:r>
        <w:rPr>
          <w:rStyle w:val="FootnoteReference"/>
          <w:lang w:val="en-US"/>
        </w:rPr>
        <w:footnoteReference w:id="10"/>
      </w:r>
      <w:r w:rsidRPr="00D85A61">
        <w:rPr>
          <w:lang w:val="en-US"/>
        </w:rPr>
        <w:t xml:space="preserve">Bu </w:t>
      </w:r>
      <w:proofErr w:type="spellStart"/>
      <w:r w:rsidRPr="00D85A61">
        <w:rPr>
          <w:lang w:val="en-US"/>
        </w:rPr>
        <w:t>makalenin</w:t>
      </w:r>
      <w:proofErr w:type="spellEnd"/>
      <w:r w:rsidRPr="00D85A61">
        <w:rPr>
          <w:lang w:val="en-US"/>
        </w:rPr>
        <w:t xml:space="preserve"> </w:t>
      </w:r>
      <w:proofErr w:type="spellStart"/>
      <w:r w:rsidRPr="00D85A61">
        <w:rPr>
          <w:lang w:val="en-US"/>
        </w:rPr>
        <w:t>temel</w:t>
      </w:r>
      <w:proofErr w:type="spellEnd"/>
      <w:r w:rsidRPr="00D85A61">
        <w:rPr>
          <w:lang w:val="en-US"/>
        </w:rPr>
        <w:t xml:space="preserve"> </w:t>
      </w:r>
      <w:proofErr w:type="spellStart"/>
      <w:r w:rsidRPr="00D85A61">
        <w:rPr>
          <w:lang w:val="en-US"/>
        </w:rPr>
        <w:t>amaçlarından</w:t>
      </w:r>
      <w:proofErr w:type="spellEnd"/>
      <w:r w:rsidRPr="00D85A61">
        <w:rPr>
          <w:lang w:val="en-US"/>
        </w:rPr>
        <w:t xml:space="preserve"> </w:t>
      </w:r>
      <w:proofErr w:type="spellStart"/>
      <w:r w:rsidRPr="00D85A61">
        <w:rPr>
          <w:lang w:val="en-US"/>
        </w:rPr>
        <w:t>biri</w:t>
      </w:r>
      <w:proofErr w:type="spellEnd"/>
      <w:r w:rsidRPr="00D85A61">
        <w:rPr>
          <w:lang w:val="en-US"/>
        </w:rPr>
        <w:t xml:space="preserve">, </w:t>
      </w:r>
      <w:proofErr w:type="spellStart"/>
      <w:r w:rsidRPr="00D85A61">
        <w:rPr>
          <w:lang w:val="en-US"/>
        </w:rPr>
        <w:t>bu</w:t>
      </w:r>
      <w:proofErr w:type="spellEnd"/>
      <w:r w:rsidRPr="00D85A61">
        <w:rPr>
          <w:lang w:val="en-US"/>
        </w:rPr>
        <w:t xml:space="preserve"> </w:t>
      </w:r>
      <w:proofErr w:type="spellStart"/>
      <w:r w:rsidRPr="00D85A61">
        <w:rPr>
          <w:lang w:val="en-US"/>
        </w:rPr>
        <w:t>akademik</w:t>
      </w:r>
      <w:proofErr w:type="spellEnd"/>
      <w:r w:rsidRPr="00D85A61">
        <w:rPr>
          <w:lang w:val="en-US"/>
        </w:rPr>
        <w:t xml:space="preserve"> </w:t>
      </w:r>
      <w:proofErr w:type="spellStart"/>
      <w:r w:rsidRPr="00D85A61">
        <w:rPr>
          <w:lang w:val="en-US"/>
        </w:rPr>
        <w:t>literatüre</w:t>
      </w:r>
      <w:proofErr w:type="spellEnd"/>
      <w:r w:rsidRPr="00D85A61">
        <w:rPr>
          <w:lang w:val="en-US"/>
        </w:rPr>
        <w:t xml:space="preserve"> </w:t>
      </w:r>
      <w:proofErr w:type="spellStart"/>
      <w:r w:rsidRPr="00D85A61">
        <w:rPr>
          <w:lang w:val="en-US"/>
        </w:rPr>
        <w:t>dikkat</w:t>
      </w:r>
      <w:proofErr w:type="spellEnd"/>
      <w:r w:rsidRPr="00D85A61">
        <w:rPr>
          <w:lang w:val="en-US"/>
        </w:rPr>
        <w:t xml:space="preserve"> </w:t>
      </w:r>
      <w:proofErr w:type="spellStart"/>
      <w:r w:rsidRPr="00D85A61">
        <w:rPr>
          <w:lang w:val="en-US"/>
        </w:rPr>
        <w:t>çekmek</w:t>
      </w:r>
      <w:proofErr w:type="spellEnd"/>
      <w:r w:rsidRPr="00D85A61">
        <w:rPr>
          <w:lang w:val="en-US"/>
        </w:rPr>
        <w:t xml:space="preserve">, </w:t>
      </w:r>
      <w:proofErr w:type="spellStart"/>
      <w:r w:rsidRPr="00D85A61">
        <w:rPr>
          <w:lang w:val="en-US"/>
        </w:rPr>
        <w:t>bu</w:t>
      </w:r>
      <w:proofErr w:type="spellEnd"/>
      <w:r w:rsidRPr="00D85A61">
        <w:rPr>
          <w:lang w:val="en-US"/>
        </w:rPr>
        <w:t xml:space="preserve"> </w:t>
      </w:r>
      <w:proofErr w:type="spellStart"/>
      <w:r w:rsidRPr="00D85A61">
        <w:rPr>
          <w:lang w:val="en-US"/>
        </w:rPr>
        <w:t>çalışmaların</w:t>
      </w:r>
      <w:proofErr w:type="spellEnd"/>
      <w:r w:rsidRPr="00D85A61">
        <w:rPr>
          <w:lang w:val="en-US"/>
        </w:rPr>
        <w:t xml:space="preserve"> </w:t>
      </w:r>
      <w:proofErr w:type="spellStart"/>
      <w:r w:rsidRPr="00D85A61">
        <w:rPr>
          <w:lang w:val="en-US"/>
        </w:rPr>
        <w:t>ortak</w:t>
      </w:r>
      <w:proofErr w:type="spellEnd"/>
      <w:r w:rsidRPr="00D85A61">
        <w:rPr>
          <w:lang w:val="en-US"/>
        </w:rPr>
        <w:t xml:space="preserve"> </w:t>
      </w:r>
      <w:proofErr w:type="spellStart"/>
      <w:r w:rsidRPr="00D85A61">
        <w:rPr>
          <w:lang w:val="en-US"/>
        </w:rPr>
        <w:t>varsayımlarını</w:t>
      </w:r>
      <w:proofErr w:type="spellEnd"/>
      <w:r w:rsidRPr="00D85A61">
        <w:rPr>
          <w:lang w:val="en-US"/>
        </w:rPr>
        <w:t xml:space="preserve"> </w:t>
      </w:r>
      <w:proofErr w:type="spellStart"/>
      <w:r w:rsidRPr="00D85A61">
        <w:rPr>
          <w:lang w:val="en-US"/>
        </w:rPr>
        <w:t>incelemek</w:t>
      </w:r>
      <w:proofErr w:type="spellEnd"/>
      <w:r w:rsidRPr="00D85A61">
        <w:rPr>
          <w:lang w:val="en-US"/>
        </w:rPr>
        <w:t xml:space="preserve"> </w:t>
      </w:r>
      <w:proofErr w:type="spellStart"/>
      <w:r w:rsidRPr="00D85A61">
        <w:rPr>
          <w:lang w:val="en-US"/>
        </w:rPr>
        <w:t>ve</w:t>
      </w:r>
      <w:proofErr w:type="spellEnd"/>
      <w:r w:rsidRPr="00D85A61">
        <w:rPr>
          <w:lang w:val="en-US"/>
        </w:rPr>
        <w:t xml:space="preserve"> Amerikan </w:t>
      </w:r>
      <w:proofErr w:type="spellStart"/>
      <w:r w:rsidRPr="00D85A61">
        <w:rPr>
          <w:lang w:val="en-US"/>
        </w:rPr>
        <w:t>anayasa</w:t>
      </w:r>
      <w:proofErr w:type="spellEnd"/>
      <w:r w:rsidRPr="00D85A61">
        <w:rPr>
          <w:lang w:val="en-US"/>
        </w:rPr>
        <w:t xml:space="preserve"> </w:t>
      </w:r>
      <w:proofErr w:type="spellStart"/>
      <w:r w:rsidRPr="00D85A61">
        <w:rPr>
          <w:lang w:val="en-US"/>
        </w:rPr>
        <w:t>teorisinde</w:t>
      </w:r>
      <w:proofErr w:type="spellEnd"/>
      <w:r w:rsidRPr="00D85A61">
        <w:rPr>
          <w:lang w:val="en-US"/>
        </w:rPr>
        <w:t xml:space="preserve"> </w:t>
      </w:r>
      <w:proofErr w:type="spellStart"/>
      <w:r w:rsidRPr="00D85A61">
        <w:rPr>
          <w:lang w:val="en-US"/>
        </w:rPr>
        <w:t>daha</w:t>
      </w:r>
      <w:proofErr w:type="spellEnd"/>
      <w:r w:rsidRPr="00D85A61">
        <w:rPr>
          <w:lang w:val="en-US"/>
        </w:rPr>
        <w:t xml:space="preserve"> yeni </w:t>
      </w:r>
      <w:proofErr w:type="spellStart"/>
      <w:r w:rsidRPr="00D85A61">
        <w:rPr>
          <w:lang w:val="en-US"/>
        </w:rPr>
        <w:t>ve</w:t>
      </w:r>
      <w:proofErr w:type="spellEnd"/>
      <w:r w:rsidRPr="00D85A61">
        <w:rPr>
          <w:lang w:val="en-US"/>
        </w:rPr>
        <w:t xml:space="preserve"> </w:t>
      </w:r>
      <w:proofErr w:type="spellStart"/>
      <w:r w:rsidRPr="00D85A61">
        <w:rPr>
          <w:lang w:val="en-US"/>
        </w:rPr>
        <w:t>daha</w:t>
      </w:r>
      <w:proofErr w:type="spellEnd"/>
      <w:r w:rsidRPr="00D85A61">
        <w:rPr>
          <w:lang w:val="en-US"/>
        </w:rPr>
        <w:t xml:space="preserve"> </w:t>
      </w:r>
      <w:proofErr w:type="spellStart"/>
      <w:r w:rsidRPr="00D85A61">
        <w:rPr>
          <w:lang w:val="en-US"/>
        </w:rPr>
        <w:t>gerçekçi</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paradigmanın</w:t>
      </w:r>
      <w:proofErr w:type="spellEnd"/>
      <w:r w:rsidRPr="00D85A61">
        <w:rPr>
          <w:lang w:val="en-US"/>
        </w:rPr>
        <w:t xml:space="preserve"> </w:t>
      </w:r>
      <w:proofErr w:type="spellStart"/>
      <w:r w:rsidRPr="00D85A61">
        <w:rPr>
          <w:lang w:val="en-US"/>
        </w:rPr>
        <w:t>ortaya</w:t>
      </w:r>
      <w:proofErr w:type="spellEnd"/>
      <w:r w:rsidRPr="00D85A61">
        <w:rPr>
          <w:lang w:val="en-US"/>
        </w:rPr>
        <w:t xml:space="preserve"> </w:t>
      </w:r>
      <w:proofErr w:type="spellStart"/>
      <w:r w:rsidRPr="00D85A61">
        <w:rPr>
          <w:lang w:val="en-US"/>
        </w:rPr>
        <w:t>çıkmakta</w:t>
      </w:r>
      <w:proofErr w:type="spellEnd"/>
      <w:r w:rsidRPr="00D85A61">
        <w:rPr>
          <w:lang w:val="en-US"/>
        </w:rPr>
        <w:t xml:space="preserve"> </w:t>
      </w:r>
      <w:proofErr w:type="spellStart"/>
      <w:r w:rsidRPr="00D85A61">
        <w:rPr>
          <w:lang w:val="en-US"/>
        </w:rPr>
        <w:t>olduğunu</w:t>
      </w:r>
      <w:proofErr w:type="spellEnd"/>
      <w:r w:rsidRPr="00D85A61">
        <w:rPr>
          <w:lang w:val="en-US"/>
        </w:rPr>
        <w:t xml:space="preserve"> </w:t>
      </w:r>
      <w:proofErr w:type="spellStart"/>
      <w:r w:rsidRPr="00D85A61">
        <w:rPr>
          <w:lang w:val="en-US"/>
        </w:rPr>
        <w:t>öne</w:t>
      </w:r>
      <w:proofErr w:type="spellEnd"/>
      <w:r w:rsidRPr="00D85A61">
        <w:rPr>
          <w:lang w:val="en-US"/>
        </w:rPr>
        <w:t xml:space="preserve"> sürmektir¹¹.</w:t>
      </w:r>
      <w:r w:rsidRPr="00D85A61">
        <w:rPr>
          <w:lang w:val="en-US"/>
        </w:rPr>
        <w:t xml:space="preserve"> </w:t>
      </w:r>
      <w:r>
        <w:rPr>
          <w:lang w:val="en-US"/>
        </w:rPr>
        <w:t xml:space="preserve"> </w:t>
      </w:r>
      <w:r>
        <w:rPr>
          <w:rStyle w:val="FootnoteReference"/>
          <w:lang w:val="en-US"/>
        </w:rPr>
        <w:footnoteReference w:id="11"/>
      </w:r>
      <w:r w:rsidRPr="00D85A61">
        <w:rPr>
          <w:lang w:val="en-US"/>
        </w:rPr>
        <w:t>[5-6]</w:t>
      </w:r>
    </w:p>
    <w:p w14:paraId="64478F0B" w14:textId="652DA71A" w:rsidR="00A91771" w:rsidRPr="00A91771" w:rsidRDefault="00A91771" w:rsidP="00A91771">
      <w:pPr>
        <w:rPr>
          <w:lang w:val="en-US"/>
        </w:rPr>
      </w:pPr>
      <w:r w:rsidRPr="00A91771">
        <w:rPr>
          <w:lang w:val="en-US"/>
        </w:rPr>
        <w:t xml:space="preserve">Bu </w:t>
      </w:r>
      <w:proofErr w:type="spellStart"/>
      <w:r w:rsidRPr="00A91771">
        <w:rPr>
          <w:lang w:val="en-US"/>
        </w:rPr>
        <w:t>makalenin</w:t>
      </w:r>
      <w:proofErr w:type="spellEnd"/>
      <w:r w:rsidRPr="00A91771">
        <w:rPr>
          <w:lang w:val="en-US"/>
        </w:rPr>
        <w:t xml:space="preserve"> </w:t>
      </w:r>
      <w:proofErr w:type="spellStart"/>
      <w:r w:rsidRPr="00A91771">
        <w:rPr>
          <w:lang w:val="en-US"/>
        </w:rPr>
        <w:t>Bölüm</w:t>
      </w:r>
      <w:proofErr w:type="spellEnd"/>
      <w:r w:rsidRPr="00A91771">
        <w:rPr>
          <w:lang w:val="en-US"/>
        </w:rPr>
        <w:t xml:space="preserve"> I </w:t>
      </w:r>
      <w:proofErr w:type="spellStart"/>
      <w:r w:rsidRPr="00A91771">
        <w:rPr>
          <w:lang w:val="en-US"/>
        </w:rPr>
        <w:t>ve</w:t>
      </w:r>
      <w:proofErr w:type="spellEnd"/>
      <w:r w:rsidRPr="00A91771">
        <w:rPr>
          <w:lang w:val="en-US"/>
        </w:rPr>
        <w:t xml:space="preserve"> </w:t>
      </w:r>
      <w:proofErr w:type="spellStart"/>
      <w:r w:rsidRPr="00A91771">
        <w:rPr>
          <w:lang w:val="en-US"/>
        </w:rPr>
        <w:t>Bölüm</w:t>
      </w:r>
      <w:proofErr w:type="spellEnd"/>
      <w:r w:rsidRPr="00A91771">
        <w:rPr>
          <w:lang w:val="en-US"/>
        </w:rPr>
        <w:t xml:space="preserve"> </w:t>
      </w:r>
      <w:proofErr w:type="spellStart"/>
      <w:r w:rsidRPr="00A91771">
        <w:rPr>
          <w:lang w:val="en-US"/>
        </w:rPr>
        <w:t>II’sinde</w:t>
      </w:r>
      <w:proofErr w:type="spellEnd"/>
      <w:r w:rsidRPr="00A91771">
        <w:rPr>
          <w:lang w:val="en-US"/>
        </w:rPr>
        <w:t xml:space="preserve">, modern Amerikan </w:t>
      </w:r>
      <w:proofErr w:type="spellStart"/>
      <w:r w:rsidRPr="00A91771">
        <w:rPr>
          <w:lang w:val="en-US"/>
        </w:rPr>
        <w:t>anayasa</w:t>
      </w:r>
      <w:proofErr w:type="spellEnd"/>
      <w:r w:rsidRPr="00A91771">
        <w:rPr>
          <w:lang w:val="en-US"/>
        </w:rPr>
        <w:t xml:space="preserve"> </w:t>
      </w:r>
      <w:proofErr w:type="spellStart"/>
      <w:r w:rsidRPr="00A91771">
        <w:rPr>
          <w:lang w:val="en-US"/>
        </w:rPr>
        <w:t>teorisinin</w:t>
      </w:r>
      <w:proofErr w:type="spellEnd"/>
      <w:r w:rsidRPr="00A91771">
        <w:rPr>
          <w:lang w:val="en-US"/>
        </w:rPr>
        <w:t xml:space="preserve"> </w:t>
      </w:r>
      <w:proofErr w:type="spellStart"/>
      <w:r w:rsidRPr="00A91771">
        <w:rPr>
          <w:lang w:val="en-US"/>
        </w:rPr>
        <w:t>standart</w:t>
      </w:r>
      <w:proofErr w:type="spellEnd"/>
      <w:r w:rsidRPr="00A91771">
        <w:rPr>
          <w:lang w:val="en-US"/>
        </w:rPr>
        <w:t xml:space="preserve"> </w:t>
      </w:r>
      <w:proofErr w:type="spellStart"/>
      <w:r w:rsidRPr="00A91771">
        <w:rPr>
          <w:lang w:val="en-US"/>
        </w:rPr>
        <w:t>eserlerinin</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kültürümüzün</w:t>
      </w:r>
      <w:proofErr w:type="spellEnd"/>
      <w:r w:rsidRPr="00A91771">
        <w:rPr>
          <w:lang w:val="en-US"/>
        </w:rPr>
        <w:t xml:space="preserve"> </w:t>
      </w:r>
      <w:proofErr w:type="spellStart"/>
      <w:r w:rsidRPr="00A91771">
        <w:rPr>
          <w:lang w:val="en-US"/>
        </w:rPr>
        <w:t>farklı</w:t>
      </w:r>
      <w:proofErr w:type="spellEnd"/>
      <w:r w:rsidRPr="00A91771">
        <w:rPr>
          <w:lang w:val="en-US"/>
        </w:rPr>
        <w:t xml:space="preserve"> </w:t>
      </w:r>
      <w:proofErr w:type="spellStart"/>
      <w:r w:rsidRPr="00A91771">
        <w:rPr>
          <w:lang w:val="en-US"/>
        </w:rPr>
        <w:t>unsurlarını</w:t>
      </w:r>
      <w:proofErr w:type="spellEnd"/>
      <w:r w:rsidRPr="00A91771">
        <w:rPr>
          <w:lang w:val="en-US"/>
        </w:rPr>
        <w:t xml:space="preserve"> </w:t>
      </w:r>
      <w:proofErr w:type="spellStart"/>
      <w:r w:rsidRPr="00A91771">
        <w:rPr>
          <w:lang w:val="en-US"/>
        </w:rPr>
        <w:t>tutarsız</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ikna</w:t>
      </w:r>
      <w:proofErr w:type="spellEnd"/>
      <w:r w:rsidRPr="00A91771">
        <w:rPr>
          <w:lang w:val="en-US"/>
        </w:rPr>
        <w:t xml:space="preserve"> </w:t>
      </w:r>
      <w:proofErr w:type="spellStart"/>
      <w:r w:rsidRPr="00A91771">
        <w:rPr>
          <w:lang w:val="en-US"/>
        </w:rPr>
        <w:t>edici</w:t>
      </w:r>
      <w:proofErr w:type="spellEnd"/>
      <w:r w:rsidRPr="00A91771">
        <w:rPr>
          <w:lang w:val="en-US"/>
        </w:rPr>
        <w:t xml:space="preserve"> </w:t>
      </w:r>
      <w:proofErr w:type="spellStart"/>
      <w:r w:rsidRPr="00A91771">
        <w:rPr>
          <w:lang w:val="en-US"/>
        </w:rPr>
        <w:t>olmayan</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şekilde</w:t>
      </w:r>
      <w:proofErr w:type="spellEnd"/>
      <w:r w:rsidRPr="00A91771">
        <w:rPr>
          <w:lang w:val="en-US"/>
        </w:rPr>
        <w:t xml:space="preserve"> </w:t>
      </w:r>
      <w:proofErr w:type="spellStart"/>
      <w:r w:rsidRPr="00A91771">
        <w:rPr>
          <w:lang w:val="en-US"/>
        </w:rPr>
        <w:t>ele</w:t>
      </w:r>
      <w:proofErr w:type="spellEnd"/>
      <w:r w:rsidRPr="00A91771">
        <w:rPr>
          <w:lang w:val="en-US"/>
        </w:rPr>
        <w:t xml:space="preserve"> </w:t>
      </w:r>
      <w:proofErr w:type="spellStart"/>
      <w:r w:rsidRPr="00A91771">
        <w:rPr>
          <w:lang w:val="en-US"/>
        </w:rPr>
        <w:t>aldığı</w:t>
      </w:r>
      <w:proofErr w:type="spellEnd"/>
      <w:r w:rsidRPr="00A91771">
        <w:rPr>
          <w:lang w:val="en-US"/>
        </w:rPr>
        <w:t xml:space="preserve"> </w:t>
      </w:r>
      <w:proofErr w:type="spellStart"/>
      <w:r w:rsidRPr="00A91771">
        <w:rPr>
          <w:lang w:val="en-US"/>
        </w:rPr>
        <w:t>yönündeki</w:t>
      </w:r>
      <w:proofErr w:type="spellEnd"/>
      <w:r w:rsidRPr="00A91771">
        <w:rPr>
          <w:lang w:val="en-US"/>
        </w:rPr>
        <w:t xml:space="preserve"> </w:t>
      </w:r>
      <w:proofErr w:type="spellStart"/>
      <w:r w:rsidRPr="00A91771">
        <w:rPr>
          <w:lang w:val="en-US"/>
        </w:rPr>
        <w:t>iddiamı</w:t>
      </w:r>
      <w:proofErr w:type="spellEnd"/>
      <w:r w:rsidRPr="00A91771">
        <w:rPr>
          <w:lang w:val="en-US"/>
        </w:rPr>
        <w:t xml:space="preserve"> </w:t>
      </w:r>
      <w:proofErr w:type="spellStart"/>
      <w:r w:rsidRPr="00A91771">
        <w:rPr>
          <w:lang w:val="en-US"/>
        </w:rPr>
        <w:t>açıklıyor</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geliştiriyorum</w:t>
      </w:r>
      <w:proofErr w:type="spellEnd"/>
      <w:r w:rsidRPr="00A91771">
        <w:rPr>
          <w:lang w:val="en-US"/>
        </w:rPr>
        <w:t>.</w:t>
      </w:r>
      <w:r w:rsidRPr="00A91771">
        <w:rPr>
          <w:lang w:val="en-US"/>
        </w:rPr>
        <w:t xml:space="preserve"> </w:t>
      </w:r>
      <w:proofErr w:type="spellStart"/>
      <w:r w:rsidRPr="00A91771">
        <w:rPr>
          <w:lang w:val="en-US"/>
        </w:rPr>
        <w:t>Bölüm</w:t>
      </w:r>
      <w:proofErr w:type="spellEnd"/>
      <w:r w:rsidRPr="00A91771">
        <w:rPr>
          <w:lang w:val="en-US"/>
        </w:rPr>
        <w:t xml:space="preserve"> I, </w:t>
      </w:r>
      <w:proofErr w:type="spellStart"/>
      <w:r w:rsidRPr="00A91771">
        <w:rPr>
          <w:lang w:val="en-US"/>
        </w:rPr>
        <w:t>anayasal</w:t>
      </w:r>
      <w:proofErr w:type="spellEnd"/>
      <w:r w:rsidRPr="00A91771">
        <w:rPr>
          <w:lang w:val="en-US"/>
        </w:rPr>
        <w:t xml:space="preserve"> </w:t>
      </w:r>
      <w:proofErr w:type="spellStart"/>
      <w:r w:rsidRPr="00A91771">
        <w:rPr>
          <w:lang w:val="en-US"/>
        </w:rPr>
        <w:t>yapı</w:t>
      </w:r>
      <w:proofErr w:type="spellEnd"/>
      <w:r w:rsidRPr="00A91771">
        <w:rPr>
          <w:lang w:val="en-US"/>
        </w:rPr>
        <w:t xml:space="preserve"> (constitutional structure) </w:t>
      </w:r>
      <w:proofErr w:type="spellStart"/>
      <w:r w:rsidRPr="00A91771">
        <w:rPr>
          <w:lang w:val="en-US"/>
        </w:rPr>
        <w:t>hakkındaki</w:t>
      </w:r>
      <w:proofErr w:type="spellEnd"/>
      <w:r w:rsidRPr="00A91771">
        <w:rPr>
          <w:lang w:val="en-US"/>
        </w:rPr>
        <w:t xml:space="preserve"> </w:t>
      </w:r>
      <w:proofErr w:type="spellStart"/>
      <w:r w:rsidRPr="00A91771">
        <w:rPr>
          <w:lang w:val="en-US"/>
        </w:rPr>
        <w:t>iddiaların</w:t>
      </w:r>
      <w:proofErr w:type="spellEnd"/>
      <w:r w:rsidRPr="00A91771">
        <w:rPr>
          <w:lang w:val="en-US"/>
        </w:rPr>
        <w:t xml:space="preserve"> Amerikan </w:t>
      </w:r>
      <w:proofErr w:type="spellStart"/>
      <w:r w:rsidRPr="00A91771">
        <w:rPr>
          <w:lang w:val="en-US"/>
        </w:rPr>
        <w:t>anayasacılığının</w:t>
      </w:r>
      <w:proofErr w:type="spellEnd"/>
      <w:r w:rsidRPr="00A91771">
        <w:rPr>
          <w:lang w:val="en-US"/>
        </w:rPr>
        <w:t xml:space="preserve"> </w:t>
      </w:r>
      <w:proofErr w:type="spellStart"/>
      <w:r w:rsidRPr="00A91771">
        <w:rPr>
          <w:lang w:val="en-US"/>
        </w:rPr>
        <w:t>standart</w:t>
      </w:r>
      <w:proofErr w:type="spellEnd"/>
      <w:r w:rsidRPr="00A91771">
        <w:rPr>
          <w:lang w:val="en-US"/>
        </w:rPr>
        <w:t xml:space="preserve"> </w:t>
      </w:r>
      <w:proofErr w:type="spellStart"/>
      <w:r w:rsidRPr="00A91771">
        <w:rPr>
          <w:lang w:val="en-US"/>
        </w:rPr>
        <w:t>açıklaması</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savunusundaki</w:t>
      </w:r>
      <w:proofErr w:type="spellEnd"/>
      <w:r w:rsidRPr="00A91771">
        <w:rPr>
          <w:lang w:val="en-US"/>
        </w:rPr>
        <w:t xml:space="preserve"> </w:t>
      </w:r>
      <w:proofErr w:type="spellStart"/>
      <w:r w:rsidRPr="00A91771">
        <w:rPr>
          <w:lang w:val="en-US"/>
        </w:rPr>
        <w:t>kritik</w:t>
      </w:r>
      <w:proofErr w:type="spellEnd"/>
      <w:r w:rsidRPr="00A91771">
        <w:rPr>
          <w:lang w:val="en-US"/>
        </w:rPr>
        <w:t xml:space="preserve"> </w:t>
      </w:r>
      <w:proofErr w:type="spellStart"/>
      <w:r w:rsidRPr="00A91771">
        <w:rPr>
          <w:lang w:val="en-US"/>
        </w:rPr>
        <w:t>rolünü</w:t>
      </w:r>
      <w:proofErr w:type="spellEnd"/>
      <w:r w:rsidRPr="00A91771">
        <w:rPr>
          <w:lang w:val="en-US"/>
        </w:rPr>
        <w:t xml:space="preserve"> </w:t>
      </w:r>
      <w:proofErr w:type="spellStart"/>
      <w:r w:rsidRPr="00A91771">
        <w:rPr>
          <w:lang w:val="en-US"/>
        </w:rPr>
        <w:t>inceler</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bu</w:t>
      </w:r>
      <w:proofErr w:type="spellEnd"/>
      <w:r w:rsidRPr="00A91771">
        <w:rPr>
          <w:lang w:val="en-US"/>
        </w:rPr>
        <w:t xml:space="preserve"> </w:t>
      </w:r>
      <w:proofErr w:type="spellStart"/>
      <w:r w:rsidRPr="00A91771">
        <w:rPr>
          <w:lang w:val="en-US"/>
        </w:rPr>
        <w:t>anlatının</w:t>
      </w:r>
      <w:proofErr w:type="spellEnd"/>
      <w:r w:rsidRPr="00A91771">
        <w:rPr>
          <w:lang w:val="en-US"/>
        </w:rPr>
        <w:t xml:space="preserve"> </w:t>
      </w:r>
      <w:proofErr w:type="spellStart"/>
      <w:r w:rsidRPr="00A91771">
        <w:rPr>
          <w:lang w:val="en-US"/>
        </w:rPr>
        <w:t>nihayetinde</w:t>
      </w:r>
      <w:proofErr w:type="spellEnd"/>
      <w:r w:rsidRPr="00A91771">
        <w:rPr>
          <w:lang w:val="en-US"/>
        </w:rPr>
        <w:t xml:space="preserve"> </w:t>
      </w:r>
      <w:proofErr w:type="spellStart"/>
      <w:r w:rsidRPr="00A91771">
        <w:rPr>
          <w:lang w:val="en-US"/>
        </w:rPr>
        <w:t>zayıf</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tarih</w:t>
      </w:r>
      <w:proofErr w:type="spellEnd"/>
      <w:r w:rsidRPr="00A91771">
        <w:rPr>
          <w:lang w:val="en-US"/>
        </w:rPr>
        <w:t xml:space="preserve"> </w:t>
      </w:r>
      <w:proofErr w:type="spellStart"/>
      <w:r w:rsidRPr="00A91771">
        <w:rPr>
          <w:lang w:val="en-US"/>
        </w:rPr>
        <w:t>dışı</w:t>
      </w:r>
      <w:proofErr w:type="spellEnd"/>
      <w:r w:rsidRPr="00A91771">
        <w:rPr>
          <w:lang w:val="en-US"/>
        </w:rPr>
        <w:t xml:space="preserve"> (ahistorical) </w:t>
      </w:r>
      <w:proofErr w:type="spellStart"/>
      <w:r w:rsidRPr="00A91771">
        <w:rPr>
          <w:lang w:val="en-US"/>
        </w:rPr>
        <w:t>bir</w:t>
      </w:r>
      <w:proofErr w:type="spellEnd"/>
      <w:r w:rsidRPr="00A91771">
        <w:rPr>
          <w:lang w:val="en-US"/>
        </w:rPr>
        <w:t xml:space="preserve"> </w:t>
      </w:r>
      <w:proofErr w:type="spellStart"/>
      <w:r w:rsidRPr="00A91771">
        <w:rPr>
          <w:lang w:val="en-US"/>
        </w:rPr>
        <w:t>temele</w:t>
      </w:r>
      <w:proofErr w:type="spellEnd"/>
      <w:r w:rsidRPr="00A91771">
        <w:rPr>
          <w:lang w:val="en-US"/>
        </w:rPr>
        <w:t xml:space="preserve"> </w:t>
      </w:r>
      <w:proofErr w:type="spellStart"/>
      <w:r w:rsidRPr="00A91771">
        <w:rPr>
          <w:lang w:val="en-US"/>
        </w:rPr>
        <w:t>dayandığını</w:t>
      </w:r>
      <w:proofErr w:type="spellEnd"/>
      <w:r w:rsidRPr="00A91771">
        <w:rPr>
          <w:lang w:val="en-US"/>
        </w:rPr>
        <w:t xml:space="preserve"> </w:t>
      </w:r>
      <w:proofErr w:type="spellStart"/>
      <w:r w:rsidRPr="00A91771">
        <w:rPr>
          <w:lang w:val="en-US"/>
        </w:rPr>
        <w:t>öne</w:t>
      </w:r>
      <w:proofErr w:type="spellEnd"/>
      <w:r w:rsidRPr="00A91771">
        <w:rPr>
          <w:lang w:val="en-US"/>
        </w:rPr>
        <w:t xml:space="preserve"> </w:t>
      </w:r>
      <w:proofErr w:type="spellStart"/>
      <w:r w:rsidRPr="00A91771">
        <w:rPr>
          <w:lang w:val="en-US"/>
        </w:rPr>
        <w:t>sürer</w:t>
      </w:r>
      <w:proofErr w:type="spellEnd"/>
      <w:r w:rsidRPr="00A91771">
        <w:rPr>
          <w:lang w:val="en-US"/>
        </w:rPr>
        <w:t>.</w:t>
      </w:r>
      <w:r w:rsidRPr="00A91771">
        <w:rPr>
          <w:lang w:val="en-US"/>
        </w:rPr>
        <w:t xml:space="preserve"> </w:t>
      </w:r>
      <w:proofErr w:type="spellStart"/>
      <w:r w:rsidRPr="00A91771">
        <w:rPr>
          <w:lang w:val="en-US"/>
        </w:rPr>
        <w:t>Bölüm</w:t>
      </w:r>
      <w:proofErr w:type="spellEnd"/>
      <w:r w:rsidRPr="00A91771">
        <w:rPr>
          <w:lang w:val="en-US"/>
        </w:rPr>
        <w:t xml:space="preserve"> II </w:t>
      </w:r>
      <w:proofErr w:type="spellStart"/>
      <w:r w:rsidRPr="00A91771">
        <w:rPr>
          <w:lang w:val="en-US"/>
        </w:rPr>
        <w:t>ise</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kültürümüzün</w:t>
      </w:r>
      <w:proofErr w:type="spellEnd"/>
      <w:r w:rsidRPr="00A91771">
        <w:rPr>
          <w:lang w:val="en-US"/>
        </w:rPr>
        <w:t xml:space="preserve"> </w:t>
      </w:r>
      <w:proofErr w:type="spellStart"/>
      <w:r w:rsidRPr="00A91771">
        <w:rPr>
          <w:lang w:val="en-US"/>
        </w:rPr>
        <w:t>daha</w:t>
      </w:r>
      <w:proofErr w:type="spellEnd"/>
      <w:r w:rsidRPr="00A91771">
        <w:rPr>
          <w:lang w:val="en-US"/>
        </w:rPr>
        <w:t xml:space="preserve"> yeni </w:t>
      </w:r>
      <w:proofErr w:type="spellStart"/>
      <w:r w:rsidRPr="00A91771">
        <w:rPr>
          <w:lang w:val="en-US"/>
        </w:rPr>
        <w:t>ve</w:t>
      </w:r>
      <w:proofErr w:type="spellEnd"/>
      <w:r w:rsidRPr="00A91771">
        <w:rPr>
          <w:lang w:val="en-US"/>
        </w:rPr>
        <w:t xml:space="preserve"> </w:t>
      </w:r>
      <w:proofErr w:type="spellStart"/>
      <w:r w:rsidRPr="00A91771">
        <w:rPr>
          <w:lang w:val="en-US"/>
        </w:rPr>
        <w:t>daha</w:t>
      </w:r>
      <w:proofErr w:type="spellEnd"/>
      <w:r w:rsidRPr="00A91771">
        <w:rPr>
          <w:lang w:val="en-US"/>
        </w:rPr>
        <w:t xml:space="preserve"> </w:t>
      </w:r>
      <w:proofErr w:type="spellStart"/>
      <w:r w:rsidRPr="00A91771">
        <w:rPr>
          <w:lang w:val="en-US"/>
        </w:rPr>
        <w:t>tartışmalı</w:t>
      </w:r>
      <w:proofErr w:type="spellEnd"/>
      <w:r w:rsidRPr="00A91771">
        <w:rPr>
          <w:lang w:val="en-US"/>
        </w:rPr>
        <w:t xml:space="preserve"> </w:t>
      </w:r>
      <w:proofErr w:type="spellStart"/>
      <w:r w:rsidRPr="00A91771">
        <w:rPr>
          <w:lang w:val="en-US"/>
        </w:rPr>
        <w:t>yönlerini</w:t>
      </w:r>
      <w:proofErr w:type="spellEnd"/>
      <w:r w:rsidRPr="00A91771">
        <w:rPr>
          <w:lang w:val="en-US"/>
        </w:rPr>
        <w:t xml:space="preserve"> </w:t>
      </w:r>
      <w:proofErr w:type="spellStart"/>
      <w:r w:rsidRPr="00A91771">
        <w:rPr>
          <w:lang w:val="en-US"/>
        </w:rPr>
        <w:t>ele</w:t>
      </w:r>
      <w:proofErr w:type="spellEnd"/>
      <w:r w:rsidRPr="00A91771">
        <w:rPr>
          <w:lang w:val="en-US"/>
        </w:rPr>
        <w:t xml:space="preserve"> </w:t>
      </w:r>
      <w:proofErr w:type="spellStart"/>
      <w:r w:rsidRPr="00A91771">
        <w:rPr>
          <w:lang w:val="en-US"/>
        </w:rPr>
        <w:t>alarak</w:t>
      </w:r>
      <w:proofErr w:type="spellEnd"/>
      <w:r w:rsidRPr="00A91771">
        <w:rPr>
          <w:lang w:val="en-US"/>
        </w:rPr>
        <w:t xml:space="preserve">, </w:t>
      </w:r>
      <w:proofErr w:type="spellStart"/>
      <w:r w:rsidRPr="00A91771">
        <w:rPr>
          <w:lang w:val="en-US"/>
        </w:rPr>
        <w:t>bunların</w:t>
      </w:r>
      <w:proofErr w:type="spellEnd"/>
      <w:r w:rsidRPr="00A91771">
        <w:rPr>
          <w:lang w:val="en-US"/>
        </w:rPr>
        <w:t xml:space="preserve"> </w:t>
      </w:r>
      <w:proofErr w:type="spellStart"/>
      <w:r w:rsidRPr="00A91771">
        <w:rPr>
          <w:lang w:val="en-US"/>
        </w:rPr>
        <w:t>gelişimini</w:t>
      </w:r>
      <w:proofErr w:type="spellEnd"/>
      <w:r w:rsidRPr="00A91771">
        <w:rPr>
          <w:lang w:val="en-US"/>
        </w:rPr>
        <w:t xml:space="preserve">, </w:t>
      </w:r>
      <w:proofErr w:type="spellStart"/>
      <w:r w:rsidRPr="00A91771">
        <w:rPr>
          <w:lang w:val="en-US"/>
        </w:rPr>
        <w:t>önemini</w:t>
      </w:r>
      <w:proofErr w:type="spellEnd"/>
      <w:r w:rsidRPr="00A91771">
        <w:rPr>
          <w:lang w:val="en-US"/>
        </w:rPr>
        <w:t xml:space="preserve">, </w:t>
      </w:r>
      <w:proofErr w:type="spellStart"/>
      <w:r w:rsidRPr="00A91771">
        <w:rPr>
          <w:lang w:val="en-US"/>
        </w:rPr>
        <w:t>diğer</w:t>
      </w:r>
      <w:proofErr w:type="spellEnd"/>
      <w:r w:rsidRPr="00A91771">
        <w:rPr>
          <w:lang w:val="en-US"/>
        </w:rPr>
        <w:t xml:space="preserve"> </w:t>
      </w:r>
      <w:proofErr w:type="spellStart"/>
      <w:r w:rsidRPr="00A91771">
        <w:rPr>
          <w:lang w:val="en-US"/>
        </w:rPr>
        <w:t>kitlelerin</w:t>
      </w:r>
      <w:proofErr w:type="spellEnd"/>
      <w:r w:rsidRPr="00A91771">
        <w:rPr>
          <w:lang w:val="en-US"/>
        </w:rPr>
        <w:t xml:space="preserve"> ne </w:t>
      </w:r>
      <w:proofErr w:type="spellStart"/>
      <w:r w:rsidRPr="00A91771">
        <w:rPr>
          <w:lang w:val="en-US"/>
        </w:rPr>
        <w:t>ölçüde</w:t>
      </w:r>
      <w:proofErr w:type="spellEnd"/>
      <w:r w:rsidRPr="00A91771">
        <w:rPr>
          <w:lang w:val="en-US"/>
        </w:rPr>
        <w:t xml:space="preserve"> </w:t>
      </w:r>
      <w:proofErr w:type="spellStart"/>
      <w:r w:rsidRPr="00A91771">
        <w:rPr>
          <w:lang w:val="en-US"/>
        </w:rPr>
        <w:t>dikkatini</w:t>
      </w:r>
      <w:proofErr w:type="spellEnd"/>
      <w:r w:rsidRPr="00A91771">
        <w:rPr>
          <w:lang w:val="en-US"/>
        </w:rPr>
        <w:t xml:space="preserve"> </w:t>
      </w:r>
      <w:proofErr w:type="spellStart"/>
      <w:r w:rsidRPr="00A91771">
        <w:rPr>
          <w:lang w:val="en-US"/>
        </w:rPr>
        <w:t>çektiğini</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teorisine</w:t>
      </w:r>
      <w:proofErr w:type="spellEnd"/>
      <w:r w:rsidRPr="00A91771">
        <w:rPr>
          <w:lang w:val="en-US"/>
        </w:rPr>
        <w:t xml:space="preserve"> ne </w:t>
      </w:r>
      <w:proofErr w:type="spellStart"/>
      <w:r w:rsidRPr="00A91771">
        <w:rPr>
          <w:lang w:val="en-US"/>
        </w:rPr>
        <w:t>ölçüde</w:t>
      </w:r>
      <w:proofErr w:type="spellEnd"/>
      <w:r w:rsidRPr="00A91771">
        <w:rPr>
          <w:lang w:val="en-US"/>
        </w:rPr>
        <w:t xml:space="preserve"> </w:t>
      </w:r>
      <w:proofErr w:type="spellStart"/>
      <w:r w:rsidRPr="00A91771">
        <w:rPr>
          <w:lang w:val="en-US"/>
        </w:rPr>
        <w:t>dahil</w:t>
      </w:r>
      <w:proofErr w:type="spellEnd"/>
      <w:r w:rsidRPr="00A91771">
        <w:rPr>
          <w:lang w:val="en-US"/>
        </w:rPr>
        <w:t xml:space="preserve"> </w:t>
      </w:r>
      <w:proofErr w:type="spellStart"/>
      <w:r w:rsidRPr="00A91771">
        <w:rPr>
          <w:lang w:val="en-US"/>
        </w:rPr>
        <w:t>edildiğini</w:t>
      </w:r>
      <w:proofErr w:type="spellEnd"/>
      <w:r w:rsidRPr="00A91771">
        <w:rPr>
          <w:lang w:val="en-US"/>
        </w:rPr>
        <w:t xml:space="preserve"> </w:t>
      </w:r>
      <w:proofErr w:type="spellStart"/>
      <w:r w:rsidRPr="00A91771">
        <w:rPr>
          <w:lang w:val="en-US"/>
        </w:rPr>
        <w:t>ayrıntılı</w:t>
      </w:r>
      <w:proofErr w:type="spellEnd"/>
      <w:r w:rsidRPr="00A91771">
        <w:rPr>
          <w:lang w:val="en-US"/>
        </w:rPr>
        <w:t xml:space="preserve"> </w:t>
      </w:r>
      <w:proofErr w:type="spellStart"/>
      <w:r w:rsidRPr="00A91771">
        <w:rPr>
          <w:lang w:val="en-US"/>
        </w:rPr>
        <w:t>olarak</w:t>
      </w:r>
      <w:proofErr w:type="spellEnd"/>
      <w:r w:rsidRPr="00A91771">
        <w:rPr>
          <w:lang w:val="en-US"/>
        </w:rPr>
        <w:t xml:space="preserve"> </w:t>
      </w:r>
      <w:proofErr w:type="spellStart"/>
      <w:r w:rsidRPr="00A91771">
        <w:rPr>
          <w:lang w:val="en-US"/>
        </w:rPr>
        <w:t>incelemektedir</w:t>
      </w:r>
      <w:proofErr w:type="spellEnd"/>
      <w:r w:rsidRPr="00A91771">
        <w:rPr>
          <w:lang w:val="en-US"/>
        </w:rPr>
        <w:t>.</w:t>
      </w:r>
    </w:p>
    <w:p w14:paraId="486541D4" w14:textId="3C7FE8C1" w:rsidR="00A91771" w:rsidRDefault="00A91771" w:rsidP="00A91771">
      <w:pPr>
        <w:rPr>
          <w:lang w:val="en-US"/>
        </w:rPr>
      </w:pPr>
      <w:proofErr w:type="spellStart"/>
      <w:r w:rsidRPr="00A91771">
        <w:rPr>
          <w:lang w:val="en-US"/>
        </w:rPr>
        <w:t>Makalenin</w:t>
      </w:r>
      <w:proofErr w:type="spellEnd"/>
      <w:r w:rsidRPr="00A91771">
        <w:rPr>
          <w:lang w:val="en-US"/>
        </w:rPr>
        <w:t xml:space="preserve"> </w:t>
      </w:r>
      <w:proofErr w:type="spellStart"/>
      <w:r w:rsidRPr="00A91771">
        <w:rPr>
          <w:lang w:val="en-US"/>
        </w:rPr>
        <w:t>geri</w:t>
      </w:r>
      <w:proofErr w:type="spellEnd"/>
      <w:r w:rsidRPr="00A91771">
        <w:rPr>
          <w:lang w:val="en-US"/>
        </w:rPr>
        <w:t xml:space="preserve"> </w:t>
      </w:r>
      <w:proofErr w:type="spellStart"/>
      <w:r w:rsidRPr="00A91771">
        <w:rPr>
          <w:lang w:val="en-US"/>
        </w:rPr>
        <w:t>kalanında</w:t>
      </w:r>
      <w:proofErr w:type="spellEnd"/>
      <w:r w:rsidRPr="00A91771">
        <w:rPr>
          <w:lang w:val="en-US"/>
        </w:rPr>
        <w:t xml:space="preserve">, </w:t>
      </w:r>
      <w:proofErr w:type="spellStart"/>
      <w:r w:rsidRPr="00A91771">
        <w:rPr>
          <w:lang w:val="en-US"/>
        </w:rPr>
        <w:t>alternatif</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yaklaşım</w:t>
      </w:r>
      <w:proofErr w:type="spellEnd"/>
      <w:r w:rsidRPr="00A91771">
        <w:rPr>
          <w:lang w:val="en-US"/>
        </w:rPr>
        <w:t xml:space="preserve"> </w:t>
      </w:r>
      <w:proofErr w:type="spellStart"/>
      <w:r w:rsidRPr="00A91771">
        <w:rPr>
          <w:lang w:val="en-US"/>
        </w:rPr>
        <w:t>geliştiriyorum</w:t>
      </w:r>
      <w:proofErr w:type="spellEnd"/>
      <w:r w:rsidRPr="00A91771">
        <w:rPr>
          <w:lang w:val="en-US"/>
        </w:rPr>
        <w:t>.</w:t>
      </w:r>
      <w:r w:rsidRPr="00A91771">
        <w:rPr>
          <w:lang w:val="en-US"/>
        </w:rPr>
        <w:t xml:space="preserve"> </w:t>
      </w:r>
      <w:proofErr w:type="spellStart"/>
      <w:r w:rsidRPr="00A91771">
        <w:rPr>
          <w:lang w:val="en-US"/>
        </w:rPr>
        <w:t>Bölüm</w:t>
      </w:r>
      <w:proofErr w:type="spellEnd"/>
      <w:r w:rsidRPr="00A91771">
        <w:rPr>
          <w:lang w:val="en-US"/>
        </w:rPr>
        <w:t xml:space="preserve"> III, "</w:t>
      </w:r>
      <w:proofErr w:type="spellStart"/>
      <w:r w:rsidRPr="00A91771">
        <w:rPr>
          <w:lang w:val="en-US"/>
        </w:rPr>
        <w:t>anayasa</w:t>
      </w:r>
      <w:proofErr w:type="spellEnd"/>
      <w:r w:rsidRPr="00A91771">
        <w:rPr>
          <w:lang w:val="en-US"/>
        </w:rPr>
        <w:t xml:space="preserve"> </w:t>
      </w:r>
      <w:proofErr w:type="spellStart"/>
      <w:r w:rsidRPr="00A91771">
        <w:rPr>
          <w:lang w:val="en-US"/>
        </w:rPr>
        <w:t>kültürü</w:t>
      </w:r>
      <w:proofErr w:type="spellEnd"/>
      <w:r w:rsidRPr="00A91771">
        <w:rPr>
          <w:lang w:val="en-US"/>
        </w:rPr>
        <w:t xml:space="preserve">" (constitutional culture) </w:t>
      </w:r>
      <w:proofErr w:type="spellStart"/>
      <w:r w:rsidRPr="00A91771">
        <w:rPr>
          <w:lang w:val="en-US"/>
        </w:rPr>
        <w:t>kavramını</w:t>
      </w:r>
      <w:proofErr w:type="spellEnd"/>
      <w:r w:rsidRPr="00A91771">
        <w:rPr>
          <w:lang w:val="en-US"/>
        </w:rPr>
        <w:t xml:space="preserve"> </w:t>
      </w:r>
      <w:proofErr w:type="spellStart"/>
      <w:r w:rsidRPr="00A91771">
        <w:rPr>
          <w:lang w:val="en-US"/>
        </w:rPr>
        <w:t>açıklayarak</w:t>
      </w:r>
      <w:proofErr w:type="spellEnd"/>
      <w:r w:rsidRPr="00A91771">
        <w:rPr>
          <w:lang w:val="en-US"/>
        </w:rPr>
        <w:t xml:space="preserve">, hem </w:t>
      </w:r>
      <w:proofErr w:type="spellStart"/>
      <w:r w:rsidRPr="00A91771">
        <w:rPr>
          <w:lang w:val="en-US"/>
        </w:rPr>
        <w:t>anayasal</w:t>
      </w:r>
      <w:proofErr w:type="spellEnd"/>
      <w:r w:rsidRPr="00A91771">
        <w:rPr>
          <w:lang w:val="en-US"/>
        </w:rPr>
        <w:t xml:space="preserve"> </w:t>
      </w:r>
      <w:proofErr w:type="spellStart"/>
      <w:r w:rsidRPr="00A91771">
        <w:rPr>
          <w:lang w:val="en-US"/>
        </w:rPr>
        <w:t>karar</w:t>
      </w:r>
      <w:proofErr w:type="spellEnd"/>
      <w:r w:rsidRPr="00A91771">
        <w:rPr>
          <w:lang w:val="en-US"/>
        </w:rPr>
        <w:t xml:space="preserve"> alma </w:t>
      </w:r>
      <w:proofErr w:type="spellStart"/>
      <w:r w:rsidRPr="00A91771">
        <w:rPr>
          <w:lang w:val="en-US"/>
        </w:rPr>
        <w:t>sürecine</w:t>
      </w:r>
      <w:proofErr w:type="spellEnd"/>
      <w:r w:rsidRPr="00A91771">
        <w:rPr>
          <w:lang w:val="en-US"/>
        </w:rPr>
        <w:t xml:space="preserve"> </w:t>
      </w:r>
      <w:proofErr w:type="spellStart"/>
      <w:r w:rsidRPr="00A91771">
        <w:rPr>
          <w:lang w:val="en-US"/>
        </w:rPr>
        <w:t>ilişkin</w:t>
      </w:r>
      <w:proofErr w:type="spellEnd"/>
      <w:r w:rsidRPr="00A91771">
        <w:rPr>
          <w:lang w:val="en-US"/>
        </w:rPr>
        <w:t xml:space="preserve"> </w:t>
      </w:r>
      <w:proofErr w:type="spellStart"/>
      <w:r w:rsidRPr="00A91771">
        <w:rPr>
          <w:lang w:val="en-US"/>
        </w:rPr>
        <w:t>maddi</w:t>
      </w:r>
      <w:proofErr w:type="spellEnd"/>
      <w:r w:rsidRPr="00A91771">
        <w:rPr>
          <w:lang w:val="en-US"/>
        </w:rPr>
        <w:t xml:space="preserve"> </w:t>
      </w:r>
      <w:proofErr w:type="spellStart"/>
      <w:r w:rsidRPr="00A91771">
        <w:rPr>
          <w:lang w:val="en-US"/>
        </w:rPr>
        <w:lastRenderedPageBreak/>
        <w:t>tasvirimi</w:t>
      </w:r>
      <w:proofErr w:type="spellEnd"/>
      <w:r w:rsidRPr="00A91771">
        <w:rPr>
          <w:lang w:val="en-US"/>
        </w:rPr>
        <w:t xml:space="preserve"> hem de </w:t>
      </w:r>
      <w:proofErr w:type="spellStart"/>
      <w:r w:rsidRPr="00A91771">
        <w:rPr>
          <w:lang w:val="en-US"/>
        </w:rPr>
        <w:t>terminoloji</w:t>
      </w:r>
      <w:proofErr w:type="spellEnd"/>
      <w:r w:rsidRPr="00A91771">
        <w:rPr>
          <w:lang w:val="en-US"/>
        </w:rPr>
        <w:t xml:space="preserve"> </w:t>
      </w:r>
      <w:proofErr w:type="spellStart"/>
      <w:r w:rsidRPr="00A91771">
        <w:rPr>
          <w:lang w:val="en-US"/>
        </w:rPr>
        <w:t>seçimimi</w:t>
      </w:r>
      <w:proofErr w:type="spellEnd"/>
      <w:r w:rsidRPr="00A91771">
        <w:rPr>
          <w:lang w:val="en-US"/>
        </w:rPr>
        <w:t xml:space="preserve"> savunmaktadır¹².</w:t>
      </w:r>
      <w:r w:rsidRPr="00A91771">
        <w:rPr>
          <w:lang w:val="en-US"/>
        </w:rPr>
        <w:t xml:space="preserve"> </w:t>
      </w:r>
      <w:r w:rsidRPr="00A91771">
        <w:rPr>
          <w:rStyle w:val="FootnoteReference"/>
          <w:lang w:val="en-US"/>
        </w:rPr>
        <w:footnoteReference w:id="12"/>
      </w:r>
      <w:r w:rsidRPr="00A91771">
        <w:rPr>
          <w:lang w:val="en-US"/>
        </w:rPr>
        <w:t xml:space="preserve"> </w:t>
      </w:r>
      <w:proofErr w:type="spellStart"/>
      <w:r w:rsidRPr="00A91771">
        <w:rPr>
          <w:lang w:val="en-US"/>
        </w:rPr>
        <w:t>Bölüm</w:t>
      </w:r>
      <w:proofErr w:type="spellEnd"/>
      <w:r w:rsidRPr="00A91771">
        <w:rPr>
          <w:lang w:val="en-US"/>
        </w:rPr>
        <w:t xml:space="preserve"> IV, yeni </w:t>
      </w:r>
      <w:proofErr w:type="spellStart"/>
      <w:r w:rsidRPr="00A91771">
        <w:rPr>
          <w:lang w:val="en-US"/>
        </w:rPr>
        <w:t>bir</w:t>
      </w:r>
      <w:proofErr w:type="spellEnd"/>
      <w:r w:rsidRPr="00A91771">
        <w:rPr>
          <w:lang w:val="en-US"/>
        </w:rPr>
        <w:t xml:space="preserve"> </w:t>
      </w:r>
      <w:proofErr w:type="spellStart"/>
      <w:r w:rsidRPr="00A91771">
        <w:rPr>
          <w:lang w:val="en-US"/>
        </w:rPr>
        <w:t>paradigmanın</w:t>
      </w:r>
      <w:proofErr w:type="spellEnd"/>
      <w:r w:rsidRPr="00A91771">
        <w:rPr>
          <w:lang w:val="en-US"/>
        </w:rPr>
        <w:t xml:space="preserve"> </w:t>
      </w:r>
      <w:proofErr w:type="spellStart"/>
      <w:r w:rsidRPr="00A91771">
        <w:rPr>
          <w:lang w:val="en-US"/>
        </w:rPr>
        <w:t>çerçevesini</w:t>
      </w:r>
      <w:proofErr w:type="spellEnd"/>
      <w:r w:rsidRPr="00A91771">
        <w:rPr>
          <w:lang w:val="en-US"/>
        </w:rPr>
        <w:t xml:space="preserve"> </w:t>
      </w:r>
      <w:proofErr w:type="spellStart"/>
      <w:r w:rsidRPr="00A91771">
        <w:rPr>
          <w:lang w:val="en-US"/>
        </w:rPr>
        <w:t>çizmeye</w:t>
      </w:r>
      <w:proofErr w:type="spellEnd"/>
      <w:r w:rsidRPr="00A91771">
        <w:rPr>
          <w:lang w:val="en-US"/>
        </w:rPr>
        <w:t xml:space="preserve"> </w:t>
      </w:r>
      <w:proofErr w:type="spellStart"/>
      <w:r w:rsidRPr="00A91771">
        <w:rPr>
          <w:lang w:val="en-US"/>
        </w:rPr>
        <w:t>başlamakta</w:t>
      </w:r>
      <w:proofErr w:type="spellEnd"/>
      <w:r w:rsidRPr="00A91771">
        <w:rPr>
          <w:lang w:val="en-US"/>
        </w:rPr>
        <w:t xml:space="preserve">, </w:t>
      </w:r>
      <w:proofErr w:type="spellStart"/>
      <w:r w:rsidRPr="00A91771">
        <w:rPr>
          <w:lang w:val="en-US"/>
        </w:rPr>
        <w:t>bu</w:t>
      </w:r>
      <w:proofErr w:type="spellEnd"/>
      <w:r w:rsidRPr="00A91771">
        <w:rPr>
          <w:lang w:val="en-US"/>
        </w:rPr>
        <w:t xml:space="preserve"> </w:t>
      </w:r>
      <w:proofErr w:type="spellStart"/>
      <w:r w:rsidRPr="00A91771">
        <w:rPr>
          <w:lang w:val="en-US"/>
        </w:rPr>
        <w:t>makalenin</w:t>
      </w:r>
      <w:proofErr w:type="spellEnd"/>
      <w:r w:rsidRPr="00A91771">
        <w:rPr>
          <w:lang w:val="en-US"/>
        </w:rPr>
        <w:t xml:space="preserve"> </w:t>
      </w:r>
      <w:proofErr w:type="spellStart"/>
      <w:r w:rsidRPr="00A91771">
        <w:rPr>
          <w:lang w:val="en-US"/>
        </w:rPr>
        <w:t>temel</w:t>
      </w:r>
      <w:proofErr w:type="spellEnd"/>
      <w:r w:rsidRPr="00A91771">
        <w:rPr>
          <w:lang w:val="en-US"/>
        </w:rPr>
        <w:t xml:space="preserve"> </w:t>
      </w:r>
      <w:proofErr w:type="spellStart"/>
      <w:r w:rsidRPr="00A91771">
        <w:rPr>
          <w:lang w:val="en-US"/>
        </w:rPr>
        <w:t>çıkarımlarıyla</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şekilde</w:t>
      </w:r>
      <w:proofErr w:type="spellEnd"/>
      <w:r w:rsidRPr="00A91771">
        <w:rPr>
          <w:lang w:val="en-US"/>
        </w:rPr>
        <w:t xml:space="preserve"> </w:t>
      </w:r>
      <w:proofErr w:type="spellStart"/>
      <w:r w:rsidRPr="00A91771">
        <w:rPr>
          <w:lang w:val="en-US"/>
        </w:rPr>
        <w:t>örtüşen</w:t>
      </w:r>
      <w:proofErr w:type="spellEnd"/>
      <w:r w:rsidRPr="00A91771">
        <w:rPr>
          <w:lang w:val="en-US"/>
        </w:rPr>
        <w:t xml:space="preserve"> </w:t>
      </w:r>
      <w:proofErr w:type="spellStart"/>
      <w:r w:rsidRPr="00A91771">
        <w:rPr>
          <w:lang w:val="en-US"/>
        </w:rPr>
        <w:t>gelişmekte</w:t>
      </w:r>
      <w:proofErr w:type="spellEnd"/>
      <w:r w:rsidRPr="00A91771">
        <w:rPr>
          <w:lang w:val="en-US"/>
        </w:rPr>
        <w:t xml:space="preserve"> </w:t>
      </w:r>
      <w:proofErr w:type="spellStart"/>
      <w:r w:rsidRPr="00A91771">
        <w:rPr>
          <w:lang w:val="en-US"/>
        </w:rPr>
        <w:t>olan</w:t>
      </w:r>
      <w:proofErr w:type="spellEnd"/>
      <w:r w:rsidRPr="00A91771">
        <w:rPr>
          <w:lang w:val="en-US"/>
        </w:rPr>
        <w:t xml:space="preserve"> </w:t>
      </w:r>
      <w:proofErr w:type="spellStart"/>
      <w:r w:rsidRPr="00A91771">
        <w:rPr>
          <w:lang w:val="en-US"/>
        </w:rPr>
        <w:t>literatürü</w:t>
      </w:r>
      <w:proofErr w:type="spellEnd"/>
      <w:r w:rsidRPr="00A91771">
        <w:rPr>
          <w:lang w:val="en-US"/>
        </w:rPr>
        <w:t xml:space="preserve"> </w:t>
      </w:r>
      <w:proofErr w:type="spellStart"/>
      <w:r w:rsidRPr="00A91771">
        <w:rPr>
          <w:lang w:val="en-US"/>
        </w:rPr>
        <w:t>tartışıp</w:t>
      </w:r>
      <w:proofErr w:type="spellEnd"/>
      <w:r w:rsidRPr="00A91771">
        <w:rPr>
          <w:lang w:val="en-US"/>
        </w:rPr>
        <w:t xml:space="preserve"> </w:t>
      </w:r>
      <w:proofErr w:type="spellStart"/>
      <w:r w:rsidRPr="00A91771">
        <w:rPr>
          <w:lang w:val="en-US"/>
        </w:rPr>
        <w:t>analiz</w:t>
      </w:r>
      <w:proofErr w:type="spellEnd"/>
      <w:r w:rsidRPr="00A91771">
        <w:rPr>
          <w:lang w:val="en-US"/>
        </w:rPr>
        <w:t xml:space="preserve"> </w:t>
      </w:r>
      <w:proofErr w:type="spellStart"/>
      <w:r w:rsidRPr="00A91771">
        <w:rPr>
          <w:lang w:val="en-US"/>
        </w:rPr>
        <w:t>etmekte</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daha</w:t>
      </w:r>
      <w:proofErr w:type="spellEnd"/>
      <w:r w:rsidRPr="00A91771">
        <w:rPr>
          <w:lang w:val="en-US"/>
        </w:rPr>
        <w:t xml:space="preserve"> </w:t>
      </w:r>
      <w:proofErr w:type="spellStart"/>
      <w:r w:rsidRPr="00A91771">
        <w:rPr>
          <w:lang w:val="en-US"/>
        </w:rPr>
        <w:t>ileri</w:t>
      </w:r>
      <w:proofErr w:type="spellEnd"/>
      <w:r w:rsidRPr="00A91771">
        <w:rPr>
          <w:lang w:val="en-US"/>
        </w:rPr>
        <w:t xml:space="preserve"> </w:t>
      </w:r>
      <w:proofErr w:type="spellStart"/>
      <w:r w:rsidRPr="00A91771">
        <w:rPr>
          <w:lang w:val="en-US"/>
        </w:rPr>
        <w:t>çalışmalar</w:t>
      </w:r>
      <w:proofErr w:type="spellEnd"/>
      <w:r w:rsidRPr="00A91771">
        <w:rPr>
          <w:lang w:val="en-US"/>
        </w:rPr>
        <w:t xml:space="preserve"> </w:t>
      </w:r>
      <w:proofErr w:type="spellStart"/>
      <w:r w:rsidRPr="00A91771">
        <w:rPr>
          <w:lang w:val="en-US"/>
        </w:rPr>
        <w:t>için</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araştırma</w:t>
      </w:r>
      <w:proofErr w:type="spellEnd"/>
      <w:r w:rsidRPr="00A91771">
        <w:rPr>
          <w:lang w:val="en-US"/>
        </w:rPr>
        <w:t xml:space="preserve"> </w:t>
      </w:r>
      <w:proofErr w:type="spellStart"/>
      <w:r w:rsidRPr="00A91771">
        <w:rPr>
          <w:lang w:val="en-US"/>
        </w:rPr>
        <w:t>gündemi</w:t>
      </w:r>
      <w:proofErr w:type="spellEnd"/>
      <w:r w:rsidRPr="00A91771">
        <w:rPr>
          <w:lang w:val="en-US"/>
        </w:rPr>
        <w:t xml:space="preserve"> </w:t>
      </w:r>
      <w:proofErr w:type="spellStart"/>
      <w:r w:rsidRPr="00A91771">
        <w:rPr>
          <w:lang w:val="en-US"/>
        </w:rPr>
        <w:t>ortaya</w:t>
      </w:r>
      <w:proofErr w:type="spellEnd"/>
      <w:r w:rsidRPr="00A91771">
        <w:rPr>
          <w:lang w:val="en-US"/>
        </w:rPr>
        <w:t xml:space="preserve"> </w:t>
      </w:r>
      <w:proofErr w:type="spellStart"/>
      <w:r w:rsidRPr="00A91771">
        <w:rPr>
          <w:lang w:val="en-US"/>
        </w:rPr>
        <w:t>koymaktadır</w:t>
      </w:r>
      <w:proofErr w:type="spellEnd"/>
      <w:r w:rsidRPr="00A91771">
        <w:rPr>
          <w:lang w:val="en-US"/>
        </w:rPr>
        <w:t>.</w:t>
      </w:r>
      <w:r w:rsidRPr="00A91771">
        <w:rPr>
          <w:lang w:val="en-US"/>
        </w:rPr>
        <w:t xml:space="preserve"> </w:t>
      </w:r>
      <w:r w:rsidRPr="00A91771">
        <w:rPr>
          <w:lang w:val="en-US"/>
        </w:rPr>
        <w:t xml:space="preserve">Son </w:t>
      </w:r>
      <w:proofErr w:type="spellStart"/>
      <w:r w:rsidRPr="00A91771">
        <w:rPr>
          <w:lang w:val="en-US"/>
        </w:rPr>
        <w:t>olarak</w:t>
      </w:r>
      <w:proofErr w:type="spellEnd"/>
      <w:r w:rsidRPr="00A91771">
        <w:rPr>
          <w:lang w:val="en-US"/>
        </w:rPr>
        <w:t xml:space="preserve">, </w:t>
      </w:r>
      <w:proofErr w:type="spellStart"/>
      <w:r w:rsidRPr="00A91771">
        <w:rPr>
          <w:lang w:val="en-US"/>
        </w:rPr>
        <w:t>Bölüm</w:t>
      </w:r>
      <w:proofErr w:type="spellEnd"/>
      <w:r w:rsidRPr="00A91771">
        <w:rPr>
          <w:lang w:val="en-US"/>
        </w:rPr>
        <w:t xml:space="preserve"> V </w:t>
      </w:r>
      <w:proofErr w:type="spellStart"/>
      <w:r w:rsidRPr="00A91771">
        <w:rPr>
          <w:lang w:val="en-US"/>
        </w:rPr>
        <w:t>betimleyici</w:t>
      </w:r>
      <w:proofErr w:type="spellEnd"/>
      <w:r w:rsidRPr="00A91771">
        <w:rPr>
          <w:lang w:val="en-US"/>
        </w:rPr>
        <w:t xml:space="preserve"> </w:t>
      </w:r>
      <w:proofErr w:type="spellStart"/>
      <w:r w:rsidRPr="00A91771">
        <w:rPr>
          <w:lang w:val="en-US"/>
        </w:rPr>
        <w:t>analizden</w:t>
      </w:r>
      <w:proofErr w:type="spellEnd"/>
      <w:r w:rsidRPr="00A91771">
        <w:rPr>
          <w:lang w:val="en-US"/>
        </w:rPr>
        <w:t xml:space="preserve"> </w:t>
      </w:r>
      <w:proofErr w:type="spellStart"/>
      <w:r w:rsidRPr="00A91771">
        <w:rPr>
          <w:lang w:val="en-US"/>
        </w:rPr>
        <w:t>normatif</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tartışmaya</w:t>
      </w:r>
      <w:proofErr w:type="spellEnd"/>
      <w:r w:rsidRPr="00A91771">
        <w:rPr>
          <w:lang w:val="en-US"/>
        </w:rPr>
        <w:t xml:space="preserve"> </w:t>
      </w:r>
      <w:proofErr w:type="spellStart"/>
      <w:r w:rsidRPr="00A91771">
        <w:rPr>
          <w:lang w:val="en-US"/>
        </w:rPr>
        <w:t>geçerek</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teorisi</w:t>
      </w:r>
      <w:proofErr w:type="spellEnd"/>
      <w:r w:rsidRPr="00A91771">
        <w:rPr>
          <w:lang w:val="en-US"/>
        </w:rPr>
        <w:t xml:space="preserve"> </w:t>
      </w:r>
      <w:proofErr w:type="spellStart"/>
      <w:r w:rsidRPr="00A91771">
        <w:rPr>
          <w:lang w:val="en-US"/>
        </w:rPr>
        <w:t>çerçevesinin</w:t>
      </w:r>
      <w:proofErr w:type="spellEnd"/>
      <w:r w:rsidRPr="00A91771">
        <w:rPr>
          <w:lang w:val="en-US"/>
        </w:rPr>
        <w:t xml:space="preserve"> </w:t>
      </w:r>
      <w:proofErr w:type="spellStart"/>
      <w:r w:rsidRPr="00A91771">
        <w:rPr>
          <w:lang w:val="en-US"/>
        </w:rPr>
        <w:t>yönetişim</w:t>
      </w:r>
      <w:proofErr w:type="spellEnd"/>
      <w:r w:rsidRPr="00A91771">
        <w:rPr>
          <w:lang w:val="en-US"/>
        </w:rPr>
        <w:t xml:space="preserve"> </w:t>
      </w:r>
      <w:proofErr w:type="spellStart"/>
      <w:r w:rsidRPr="00A91771">
        <w:rPr>
          <w:lang w:val="en-US"/>
        </w:rPr>
        <w:t>sistemimizin</w:t>
      </w:r>
      <w:proofErr w:type="spellEnd"/>
      <w:r w:rsidRPr="00A91771">
        <w:rPr>
          <w:lang w:val="en-US"/>
        </w:rPr>
        <w:t xml:space="preserve"> </w:t>
      </w:r>
      <w:proofErr w:type="spellStart"/>
      <w:r w:rsidRPr="00A91771">
        <w:rPr>
          <w:lang w:val="en-US"/>
        </w:rPr>
        <w:t>sağlığı</w:t>
      </w:r>
      <w:proofErr w:type="spellEnd"/>
      <w:r w:rsidRPr="00A91771">
        <w:rPr>
          <w:lang w:val="en-US"/>
        </w:rPr>
        <w:t xml:space="preserve"> </w:t>
      </w:r>
      <w:proofErr w:type="spellStart"/>
      <w:r w:rsidRPr="00A91771">
        <w:rPr>
          <w:lang w:val="en-US"/>
        </w:rPr>
        <w:t>açısından</w:t>
      </w:r>
      <w:proofErr w:type="spellEnd"/>
      <w:r w:rsidRPr="00A91771">
        <w:rPr>
          <w:lang w:val="en-US"/>
        </w:rPr>
        <w:t xml:space="preserve"> </w:t>
      </w:r>
      <w:proofErr w:type="spellStart"/>
      <w:r w:rsidRPr="00A91771">
        <w:rPr>
          <w:lang w:val="en-US"/>
        </w:rPr>
        <w:t>doğurduğu</w:t>
      </w:r>
      <w:proofErr w:type="spellEnd"/>
      <w:r w:rsidRPr="00A91771">
        <w:rPr>
          <w:lang w:val="en-US"/>
        </w:rPr>
        <w:t xml:space="preserve"> </w:t>
      </w:r>
      <w:proofErr w:type="spellStart"/>
      <w:r w:rsidRPr="00A91771">
        <w:rPr>
          <w:lang w:val="en-US"/>
        </w:rPr>
        <w:t>sonuçlara</w:t>
      </w:r>
      <w:proofErr w:type="spellEnd"/>
      <w:r w:rsidRPr="00A91771">
        <w:rPr>
          <w:lang w:val="en-US"/>
        </w:rPr>
        <w:t xml:space="preserve"> </w:t>
      </w:r>
      <w:proofErr w:type="spellStart"/>
      <w:r w:rsidRPr="00A91771">
        <w:rPr>
          <w:lang w:val="en-US"/>
        </w:rPr>
        <w:t>dair</w:t>
      </w:r>
      <w:proofErr w:type="spellEnd"/>
      <w:r w:rsidRPr="00A91771">
        <w:rPr>
          <w:lang w:val="en-US"/>
        </w:rPr>
        <w:t xml:space="preserve"> ilk </w:t>
      </w:r>
      <w:proofErr w:type="spellStart"/>
      <w:r w:rsidRPr="00A91771">
        <w:rPr>
          <w:lang w:val="en-US"/>
        </w:rPr>
        <w:t>gözlemler</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araştırmaya</w:t>
      </w:r>
      <w:proofErr w:type="spellEnd"/>
      <w:r w:rsidRPr="00A91771">
        <w:rPr>
          <w:lang w:val="en-US"/>
        </w:rPr>
        <w:t xml:space="preserve"> </w:t>
      </w:r>
      <w:proofErr w:type="spellStart"/>
      <w:r w:rsidRPr="00A91771">
        <w:rPr>
          <w:lang w:val="en-US"/>
        </w:rPr>
        <w:t>yönelik</w:t>
      </w:r>
      <w:proofErr w:type="spellEnd"/>
      <w:r w:rsidRPr="00A91771">
        <w:rPr>
          <w:lang w:val="en-US"/>
        </w:rPr>
        <w:t xml:space="preserve"> </w:t>
      </w:r>
      <w:proofErr w:type="spellStart"/>
      <w:r w:rsidRPr="00A91771">
        <w:rPr>
          <w:lang w:val="en-US"/>
        </w:rPr>
        <w:t>sorular</w:t>
      </w:r>
      <w:proofErr w:type="spellEnd"/>
      <w:r w:rsidRPr="00A91771">
        <w:rPr>
          <w:lang w:val="en-US"/>
        </w:rPr>
        <w:t xml:space="preserve"> </w:t>
      </w:r>
      <w:proofErr w:type="spellStart"/>
      <w:r w:rsidRPr="00A91771">
        <w:rPr>
          <w:lang w:val="en-US"/>
        </w:rPr>
        <w:t>sunmaktadır</w:t>
      </w:r>
      <w:proofErr w:type="spellEnd"/>
      <w:r w:rsidRPr="00A91771">
        <w:rPr>
          <w:lang w:val="en-US"/>
        </w:rPr>
        <w:t>.</w:t>
      </w:r>
    </w:p>
    <w:p w14:paraId="330C1E6B" w14:textId="22B210CB" w:rsidR="00A91771" w:rsidRDefault="00A91771" w:rsidP="00A91771">
      <w:pPr>
        <w:rPr>
          <w:lang w:val="en-US"/>
        </w:rPr>
      </w:pPr>
      <w:r w:rsidRPr="00A91771">
        <w:rPr>
          <w:lang w:val="en-US"/>
        </w:rPr>
        <w:t xml:space="preserve">Bu </w:t>
      </w:r>
      <w:proofErr w:type="spellStart"/>
      <w:r w:rsidRPr="00A91771">
        <w:rPr>
          <w:lang w:val="en-US"/>
        </w:rPr>
        <w:t>makalenin</w:t>
      </w:r>
      <w:proofErr w:type="spellEnd"/>
      <w:r w:rsidRPr="00A91771">
        <w:rPr>
          <w:lang w:val="en-US"/>
        </w:rPr>
        <w:t xml:space="preserve"> </w:t>
      </w:r>
      <w:proofErr w:type="spellStart"/>
      <w:r w:rsidRPr="00A91771">
        <w:rPr>
          <w:lang w:val="en-US"/>
        </w:rPr>
        <w:t>bazı</w:t>
      </w:r>
      <w:proofErr w:type="spellEnd"/>
      <w:r w:rsidRPr="00A91771">
        <w:rPr>
          <w:lang w:val="en-US"/>
        </w:rPr>
        <w:t xml:space="preserve"> </w:t>
      </w:r>
      <w:proofErr w:type="spellStart"/>
      <w:r w:rsidRPr="00A91771">
        <w:rPr>
          <w:lang w:val="en-US"/>
        </w:rPr>
        <w:t>yönleri</w:t>
      </w:r>
      <w:proofErr w:type="spellEnd"/>
      <w:r w:rsidRPr="00A91771">
        <w:rPr>
          <w:lang w:val="en-US"/>
        </w:rPr>
        <w:t>—</w:t>
      </w:r>
      <w:proofErr w:type="spellStart"/>
      <w:r w:rsidRPr="00A91771">
        <w:rPr>
          <w:lang w:val="en-US"/>
        </w:rPr>
        <w:t>ve</w:t>
      </w:r>
      <w:proofErr w:type="spellEnd"/>
      <w:r w:rsidRPr="00A91771">
        <w:rPr>
          <w:lang w:val="en-US"/>
        </w:rPr>
        <w:t xml:space="preserve"> </w:t>
      </w:r>
      <w:proofErr w:type="spellStart"/>
      <w:r w:rsidRPr="00A91771">
        <w:rPr>
          <w:lang w:val="en-US"/>
        </w:rPr>
        <w:t>birçok</w:t>
      </w:r>
      <w:proofErr w:type="spellEnd"/>
      <w:r w:rsidRPr="00A91771">
        <w:rPr>
          <w:lang w:val="en-US"/>
        </w:rPr>
        <w:t xml:space="preserve"> </w:t>
      </w:r>
      <w:proofErr w:type="spellStart"/>
      <w:r w:rsidRPr="00A91771">
        <w:rPr>
          <w:lang w:val="en-US"/>
        </w:rPr>
        <w:t>sonucu</w:t>
      </w:r>
      <w:proofErr w:type="spellEnd"/>
      <w:r w:rsidRPr="00A91771">
        <w:rPr>
          <w:lang w:val="en-US"/>
        </w:rPr>
        <w:t>—</w:t>
      </w:r>
      <w:proofErr w:type="spellStart"/>
      <w:r w:rsidRPr="00A91771">
        <w:rPr>
          <w:lang w:val="en-US"/>
        </w:rPr>
        <w:t>tartışmalıdır</w:t>
      </w:r>
      <w:proofErr w:type="spellEnd"/>
      <w:r w:rsidRPr="00A91771">
        <w:rPr>
          <w:lang w:val="en-US"/>
        </w:rPr>
        <w:t xml:space="preserve">. </w:t>
      </w:r>
      <w:proofErr w:type="spellStart"/>
      <w:r w:rsidRPr="00A91771">
        <w:rPr>
          <w:lang w:val="en-US"/>
        </w:rPr>
        <w:t>Ancak</w:t>
      </w:r>
      <w:proofErr w:type="spellEnd"/>
      <w:r w:rsidRPr="00A91771">
        <w:rPr>
          <w:lang w:val="en-US"/>
        </w:rPr>
        <w:t xml:space="preserve">, </w:t>
      </w:r>
      <w:proofErr w:type="spellStart"/>
      <w:r w:rsidRPr="00A91771">
        <w:rPr>
          <w:lang w:val="en-US"/>
        </w:rPr>
        <w:t>bu</w:t>
      </w:r>
      <w:proofErr w:type="spellEnd"/>
      <w:r w:rsidRPr="00A91771">
        <w:rPr>
          <w:lang w:val="en-US"/>
        </w:rPr>
        <w:t xml:space="preserve"> </w:t>
      </w:r>
      <w:proofErr w:type="spellStart"/>
      <w:r w:rsidRPr="00A91771">
        <w:rPr>
          <w:lang w:val="en-US"/>
        </w:rPr>
        <w:t>çalışmanın</w:t>
      </w:r>
      <w:proofErr w:type="spellEnd"/>
      <w:r w:rsidRPr="00A91771">
        <w:rPr>
          <w:lang w:val="en-US"/>
        </w:rPr>
        <w:t xml:space="preserve"> </w:t>
      </w:r>
      <w:proofErr w:type="spellStart"/>
      <w:r w:rsidRPr="00A91771">
        <w:rPr>
          <w:lang w:val="en-US"/>
        </w:rPr>
        <w:t>merkezinde</w:t>
      </w:r>
      <w:proofErr w:type="spellEnd"/>
      <w:r w:rsidRPr="00A91771">
        <w:rPr>
          <w:lang w:val="en-US"/>
        </w:rPr>
        <w:t xml:space="preserve">, iyi </w:t>
      </w:r>
      <w:proofErr w:type="spellStart"/>
      <w:r w:rsidRPr="00A91771">
        <w:rPr>
          <w:lang w:val="en-US"/>
        </w:rPr>
        <w:t>niyetli</w:t>
      </w:r>
      <w:proofErr w:type="spellEnd"/>
      <w:r w:rsidRPr="00A91771">
        <w:rPr>
          <w:lang w:val="en-US"/>
        </w:rPr>
        <w:t xml:space="preserve"> </w:t>
      </w:r>
      <w:proofErr w:type="spellStart"/>
      <w:r w:rsidRPr="00A91771">
        <w:rPr>
          <w:lang w:val="en-US"/>
        </w:rPr>
        <w:t>tüm</w:t>
      </w:r>
      <w:proofErr w:type="spellEnd"/>
      <w:r w:rsidRPr="00A91771">
        <w:rPr>
          <w:lang w:val="en-US"/>
        </w:rPr>
        <w:t xml:space="preserve"> </w:t>
      </w:r>
      <w:proofErr w:type="spellStart"/>
      <w:r w:rsidRPr="00A91771">
        <w:rPr>
          <w:lang w:val="en-US"/>
        </w:rPr>
        <w:t>akademisyenler</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gözlemcilerin</w:t>
      </w:r>
      <w:proofErr w:type="spellEnd"/>
      <w:r w:rsidRPr="00A91771">
        <w:rPr>
          <w:lang w:val="en-US"/>
        </w:rPr>
        <w:t xml:space="preserve"> </w:t>
      </w:r>
      <w:proofErr w:type="spellStart"/>
      <w:r w:rsidRPr="00A91771">
        <w:rPr>
          <w:lang w:val="en-US"/>
        </w:rPr>
        <w:t>muhtemelen</w:t>
      </w:r>
      <w:proofErr w:type="spellEnd"/>
      <w:r w:rsidRPr="00A91771">
        <w:rPr>
          <w:lang w:val="en-US"/>
        </w:rPr>
        <w:t xml:space="preserve"> </w:t>
      </w:r>
      <w:proofErr w:type="spellStart"/>
      <w:r w:rsidRPr="00A91771">
        <w:rPr>
          <w:lang w:val="en-US"/>
        </w:rPr>
        <w:t>paylaştığı</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hedef</w:t>
      </w:r>
      <w:proofErr w:type="spellEnd"/>
      <w:r w:rsidRPr="00A91771">
        <w:rPr>
          <w:lang w:val="en-US"/>
        </w:rPr>
        <w:t xml:space="preserve"> </w:t>
      </w:r>
      <w:proofErr w:type="spellStart"/>
      <w:r w:rsidRPr="00A91771">
        <w:rPr>
          <w:lang w:val="en-US"/>
        </w:rPr>
        <w:t>yer</w:t>
      </w:r>
      <w:proofErr w:type="spellEnd"/>
      <w:r w:rsidRPr="00A91771">
        <w:rPr>
          <w:lang w:val="en-US"/>
        </w:rPr>
        <w:t xml:space="preserve"> </w:t>
      </w:r>
      <w:proofErr w:type="spellStart"/>
      <w:r w:rsidRPr="00A91771">
        <w:rPr>
          <w:lang w:val="en-US"/>
        </w:rPr>
        <w:t>almaktadır</w:t>
      </w:r>
      <w:proofErr w:type="spellEnd"/>
      <w:r w:rsidRPr="00A91771">
        <w:rPr>
          <w:lang w:val="en-US"/>
        </w:rPr>
        <w:t xml:space="preserve">: </w:t>
      </w:r>
      <w:proofErr w:type="spellStart"/>
      <w:r w:rsidRPr="00A91771">
        <w:rPr>
          <w:lang w:val="en-US"/>
        </w:rPr>
        <w:t>içinde</w:t>
      </w:r>
      <w:proofErr w:type="spellEnd"/>
      <w:r w:rsidRPr="00A91771">
        <w:rPr>
          <w:lang w:val="en-US"/>
        </w:rPr>
        <w:t xml:space="preserve"> </w:t>
      </w:r>
      <w:proofErr w:type="spellStart"/>
      <w:r w:rsidRPr="00A91771">
        <w:rPr>
          <w:lang w:val="en-US"/>
        </w:rPr>
        <w:t>yaşadığımız</w:t>
      </w:r>
      <w:proofErr w:type="spellEnd"/>
      <w:r w:rsidRPr="00A91771">
        <w:rPr>
          <w:lang w:val="en-US"/>
        </w:rPr>
        <w:t xml:space="preserve"> </w:t>
      </w:r>
      <w:proofErr w:type="spellStart"/>
      <w:r w:rsidRPr="00A91771">
        <w:rPr>
          <w:lang w:val="en-US"/>
        </w:rPr>
        <w:t>dünyayı</w:t>
      </w:r>
      <w:proofErr w:type="spellEnd"/>
      <w:r w:rsidRPr="00A91771">
        <w:rPr>
          <w:lang w:val="en-US"/>
        </w:rPr>
        <w:t xml:space="preserve">, </w:t>
      </w:r>
      <w:proofErr w:type="spellStart"/>
      <w:r w:rsidRPr="00A91771">
        <w:rPr>
          <w:lang w:val="en-US"/>
        </w:rPr>
        <w:t>olmasını</w:t>
      </w:r>
      <w:proofErr w:type="spellEnd"/>
      <w:r w:rsidRPr="00A91771">
        <w:rPr>
          <w:lang w:val="en-US"/>
        </w:rPr>
        <w:t xml:space="preserve"> </w:t>
      </w:r>
      <w:proofErr w:type="spellStart"/>
      <w:r w:rsidRPr="00A91771">
        <w:rPr>
          <w:lang w:val="en-US"/>
        </w:rPr>
        <w:t>umduğumuz</w:t>
      </w:r>
      <w:proofErr w:type="spellEnd"/>
      <w:r w:rsidRPr="00A91771">
        <w:rPr>
          <w:lang w:val="en-US"/>
        </w:rPr>
        <w:t xml:space="preserve"> </w:t>
      </w:r>
      <w:proofErr w:type="spellStart"/>
      <w:r w:rsidRPr="00A91771">
        <w:rPr>
          <w:lang w:val="en-US"/>
        </w:rPr>
        <w:t>ya</w:t>
      </w:r>
      <w:proofErr w:type="spellEnd"/>
      <w:r w:rsidRPr="00A91771">
        <w:rPr>
          <w:lang w:val="en-US"/>
        </w:rPr>
        <w:t xml:space="preserve"> da </w:t>
      </w:r>
      <w:proofErr w:type="spellStart"/>
      <w:r w:rsidRPr="00A91771">
        <w:rPr>
          <w:lang w:val="en-US"/>
        </w:rPr>
        <w:t>korktuğumuz</w:t>
      </w:r>
      <w:proofErr w:type="spellEnd"/>
      <w:r w:rsidRPr="00A91771">
        <w:rPr>
          <w:lang w:val="en-US"/>
        </w:rPr>
        <w:t xml:space="preserve"> </w:t>
      </w:r>
      <w:proofErr w:type="spellStart"/>
      <w:r w:rsidRPr="00A91771">
        <w:rPr>
          <w:lang w:val="en-US"/>
        </w:rPr>
        <w:t>gibi</w:t>
      </w:r>
      <w:proofErr w:type="spellEnd"/>
      <w:r w:rsidRPr="00A91771">
        <w:rPr>
          <w:lang w:val="en-US"/>
        </w:rPr>
        <w:t xml:space="preserve"> </w:t>
      </w:r>
      <w:proofErr w:type="spellStart"/>
      <w:r w:rsidRPr="00A91771">
        <w:rPr>
          <w:lang w:val="en-US"/>
        </w:rPr>
        <w:t>değil</w:t>
      </w:r>
      <w:proofErr w:type="spellEnd"/>
      <w:r w:rsidRPr="00A91771">
        <w:rPr>
          <w:lang w:val="en-US"/>
        </w:rPr>
        <w:t xml:space="preserve">, </w:t>
      </w:r>
      <w:proofErr w:type="spellStart"/>
      <w:r w:rsidRPr="00A91771">
        <w:rPr>
          <w:lang w:val="en-US"/>
        </w:rPr>
        <w:t>olduğu</w:t>
      </w:r>
      <w:proofErr w:type="spellEnd"/>
      <w:r w:rsidRPr="00A91771">
        <w:rPr>
          <w:lang w:val="en-US"/>
        </w:rPr>
        <w:t xml:space="preserve"> </w:t>
      </w:r>
      <w:proofErr w:type="spellStart"/>
      <w:r w:rsidRPr="00A91771">
        <w:rPr>
          <w:lang w:val="en-US"/>
        </w:rPr>
        <w:t>haliyle</w:t>
      </w:r>
      <w:proofErr w:type="spellEnd"/>
      <w:r w:rsidRPr="00A91771">
        <w:rPr>
          <w:lang w:val="en-US"/>
        </w:rPr>
        <w:t xml:space="preserve"> anlamak¹³.</w:t>
      </w:r>
      <w:r w:rsidRPr="00A91771">
        <w:rPr>
          <w:lang w:val="en-US"/>
        </w:rPr>
        <w:t xml:space="preserve"> </w:t>
      </w:r>
      <w:r w:rsidRPr="00A91771">
        <w:rPr>
          <w:rStyle w:val="FootnoteReference"/>
          <w:lang w:val="en-US"/>
        </w:rPr>
        <w:footnoteReference w:id="13"/>
      </w:r>
      <w:r w:rsidRPr="00A91771">
        <w:rPr>
          <w:lang w:val="en-US"/>
        </w:rPr>
        <w:t xml:space="preserve"> </w:t>
      </w:r>
      <w:r w:rsidRPr="00A91771">
        <w:rPr>
          <w:lang w:val="en-US"/>
        </w:rPr>
        <w:t xml:space="preserve">Bu </w:t>
      </w:r>
      <w:proofErr w:type="spellStart"/>
      <w:r w:rsidRPr="00A91771">
        <w:rPr>
          <w:lang w:val="en-US"/>
        </w:rPr>
        <w:t>makalenin</w:t>
      </w:r>
      <w:proofErr w:type="spellEnd"/>
      <w:r w:rsidRPr="00A91771">
        <w:rPr>
          <w:lang w:val="en-US"/>
        </w:rPr>
        <w:t xml:space="preserve"> </w:t>
      </w:r>
      <w:proofErr w:type="spellStart"/>
      <w:r w:rsidRPr="00A91771">
        <w:rPr>
          <w:lang w:val="en-US"/>
        </w:rPr>
        <w:t>göstereceğini</w:t>
      </w:r>
      <w:proofErr w:type="spellEnd"/>
      <w:r w:rsidRPr="00A91771">
        <w:rPr>
          <w:lang w:val="en-US"/>
        </w:rPr>
        <w:t xml:space="preserve"> </w:t>
      </w:r>
      <w:proofErr w:type="spellStart"/>
      <w:r w:rsidRPr="00A91771">
        <w:rPr>
          <w:lang w:val="en-US"/>
        </w:rPr>
        <w:t>umduğum</w:t>
      </w:r>
      <w:proofErr w:type="spellEnd"/>
      <w:r w:rsidRPr="00A91771">
        <w:rPr>
          <w:lang w:val="en-US"/>
        </w:rPr>
        <w:t xml:space="preserve"> </w:t>
      </w:r>
      <w:proofErr w:type="spellStart"/>
      <w:r w:rsidRPr="00A91771">
        <w:rPr>
          <w:lang w:val="en-US"/>
        </w:rPr>
        <w:t>üzere</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yönetişime</w:t>
      </w:r>
      <w:proofErr w:type="spellEnd"/>
      <w:r w:rsidRPr="00A91771">
        <w:rPr>
          <w:lang w:val="en-US"/>
        </w:rPr>
        <w:t xml:space="preserve"> </w:t>
      </w:r>
      <w:proofErr w:type="spellStart"/>
      <w:r w:rsidRPr="00A91771">
        <w:rPr>
          <w:lang w:val="en-US"/>
        </w:rPr>
        <w:t>ilişkin</w:t>
      </w:r>
      <w:proofErr w:type="spellEnd"/>
      <w:r w:rsidRPr="00A91771">
        <w:rPr>
          <w:lang w:val="en-US"/>
        </w:rPr>
        <w:t xml:space="preserve"> </w:t>
      </w:r>
      <w:proofErr w:type="spellStart"/>
      <w:r w:rsidRPr="00A91771">
        <w:rPr>
          <w:lang w:val="en-US"/>
        </w:rPr>
        <w:t>büyük</w:t>
      </w:r>
      <w:proofErr w:type="spellEnd"/>
      <w:r w:rsidRPr="00A91771">
        <w:rPr>
          <w:lang w:val="en-US"/>
        </w:rPr>
        <w:t xml:space="preserve"> </w:t>
      </w:r>
      <w:proofErr w:type="spellStart"/>
      <w:r w:rsidRPr="00A91771">
        <w:rPr>
          <w:lang w:val="en-US"/>
        </w:rPr>
        <w:t>sorular</w:t>
      </w:r>
      <w:proofErr w:type="spellEnd"/>
      <w:r w:rsidRPr="00A91771">
        <w:rPr>
          <w:lang w:val="en-US"/>
        </w:rPr>
        <w:t>—</w:t>
      </w:r>
      <w:proofErr w:type="spellStart"/>
      <w:r w:rsidRPr="00A91771">
        <w:rPr>
          <w:lang w:val="en-US"/>
        </w:rPr>
        <w:t>örneğin</w:t>
      </w:r>
      <w:proofErr w:type="spellEnd"/>
      <w:r w:rsidRPr="00A91771">
        <w:rPr>
          <w:lang w:val="en-US"/>
        </w:rPr>
        <w:t xml:space="preserve">, </w:t>
      </w:r>
      <w:proofErr w:type="spellStart"/>
      <w:r w:rsidRPr="00A91771">
        <w:rPr>
          <w:lang w:val="en-US"/>
        </w:rPr>
        <w:t>mahkemelerin</w:t>
      </w:r>
      <w:proofErr w:type="spellEnd"/>
      <w:r w:rsidRPr="00A91771">
        <w:rPr>
          <w:lang w:val="en-US"/>
        </w:rPr>
        <w:t xml:space="preserve"> </w:t>
      </w:r>
      <w:proofErr w:type="spellStart"/>
      <w:r w:rsidRPr="00A91771">
        <w:rPr>
          <w:lang w:val="en-US"/>
        </w:rPr>
        <w:t>rolü</w:t>
      </w:r>
      <w:proofErr w:type="spellEnd"/>
      <w:r w:rsidRPr="00A91771">
        <w:rPr>
          <w:lang w:val="en-US"/>
        </w:rPr>
        <w:t xml:space="preserve">, </w:t>
      </w:r>
      <w:proofErr w:type="spellStart"/>
      <w:r w:rsidRPr="00A91771">
        <w:rPr>
          <w:lang w:val="en-US"/>
        </w:rPr>
        <w:t>sıradan</w:t>
      </w:r>
      <w:proofErr w:type="spellEnd"/>
      <w:r w:rsidRPr="00A91771">
        <w:rPr>
          <w:lang w:val="en-US"/>
        </w:rPr>
        <w:t xml:space="preserve"> </w:t>
      </w:r>
      <w:proofErr w:type="spellStart"/>
      <w:r w:rsidRPr="00A91771">
        <w:rPr>
          <w:lang w:val="en-US"/>
        </w:rPr>
        <w:t>vatandaşların</w:t>
      </w:r>
      <w:proofErr w:type="spellEnd"/>
      <w:r w:rsidRPr="00A91771">
        <w:rPr>
          <w:lang w:val="en-US"/>
        </w:rPr>
        <w:t xml:space="preserve"> </w:t>
      </w:r>
      <w:proofErr w:type="spellStart"/>
      <w:r w:rsidRPr="00A91771">
        <w:rPr>
          <w:lang w:val="en-US"/>
        </w:rPr>
        <w:t>etkisi</w:t>
      </w:r>
      <w:proofErr w:type="spellEnd"/>
      <w:r w:rsidRPr="00A91771">
        <w:rPr>
          <w:lang w:val="en-US"/>
        </w:rPr>
        <w:t xml:space="preserve"> </w:t>
      </w:r>
      <w:proofErr w:type="spellStart"/>
      <w:r w:rsidRPr="00A91771">
        <w:rPr>
          <w:lang w:val="en-US"/>
        </w:rPr>
        <w:t>veya</w:t>
      </w:r>
      <w:proofErr w:type="spellEnd"/>
      <w:r w:rsidRPr="00A91771">
        <w:rPr>
          <w:lang w:val="en-US"/>
        </w:rPr>
        <w:t xml:space="preserve"> </w:t>
      </w:r>
      <w:proofErr w:type="spellStart"/>
      <w:r w:rsidRPr="00A91771">
        <w:rPr>
          <w:lang w:val="en-US"/>
        </w:rPr>
        <w:t>kuşaklar</w:t>
      </w:r>
      <w:proofErr w:type="spellEnd"/>
      <w:r w:rsidRPr="00A91771">
        <w:rPr>
          <w:lang w:val="en-US"/>
        </w:rPr>
        <w:t xml:space="preserve"> </w:t>
      </w:r>
      <w:proofErr w:type="spellStart"/>
      <w:r w:rsidRPr="00A91771">
        <w:rPr>
          <w:lang w:val="en-US"/>
        </w:rPr>
        <w:t>arası</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ilişkiler</w:t>
      </w:r>
      <w:proofErr w:type="spellEnd"/>
      <w:r w:rsidRPr="00A91771">
        <w:rPr>
          <w:lang w:val="en-US"/>
        </w:rPr>
        <w:t>—</w:t>
      </w:r>
      <w:proofErr w:type="spellStart"/>
      <w:r w:rsidRPr="00A91771">
        <w:rPr>
          <w:lang w:val="en-US"/>
        </w:rPr>
        <w:t>üzerine</w:t>
      </w:r>
      <w:proofErr w:type="spellEnd"/>
      <w:r w:rsidRPr="00A91771">
        <w:rPr>
          <w:lang w:val="en-US"/>
        </w:rPr>
        <w:t xml:space="preserve"> </w:t>
      </w:r>
      <w:proofErr w:type="spellStart"/>
      <w:r w:rsidRPr="00A91771">
        <w:rPr>
          <w:lang w:val="en-US"/>
        </w:rPr>
        <w:t>teoriler</w:t>
      </w:r>
      <w:proofErr w:type="spellEnd"/>
      <w:r w:rsidRPr="00A91771">
        <w:rPr>
          <w:lang w:val="en-US"/>
        </w:rPr>
        <w:t xml:space="preserve"> </w:t>
      </w:r>
      <w:proofErr w:type="spellStart"/>
      <w:r w:rsidRPr="00A91771">
        <w:rPr>
          <w:lang w:val="en-US"/>
        </w:rPr>
        <w:t>geliştirme</w:t>
      </w:r>
      <w:proofErr w:type="spellEnd"/>
      <w:r w:rsidRPr="00A91771">
        <w:rPr>
          <w:lang w:val="en-US"/>
        </w:rPr>
        <w:t xml:space="preserve"> </w:t>
      </w:r>
      <w:proofErr w:type="spellStart"/>
      <w:r w:rsidRPr="00A91771">
        <w:rPr>
          <w:lang w:val="en-US"/>
        </w:rPr>
        <w:t>yetimiz</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metinden</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sonuca</w:t>
      </w:r>
      <w:proofErr w:type="spellEnd"/>
      <w:r w:rsidRPr="00A91771">
        <w:rPr>
          <w:lang w:val="en-US"/>
        </w:rPr>
        <w:t xml:space="preserve"> </w:t>
      </w:r>
      <w:proofErr w:type="spellStart"/>
      <w:r w:rsidRPr="00A91771">
        <w:rPr>
          <w:lang w:val="en-US"/>
        </w:rPr>
        <w:t>giden</w:t>
      </w:r>
      <w:proofErr w:type="spellEnd"/>
      <w:r w:rsidRPr="00A91771">
        <w:rPr>
          <w:lang w:val="en-US"/>
        </w:rPr>
        <w:t xml:space="preserve"> </w:t>
      </w:r>
      <w:proofErr w:type="spellStart"/>
      <w:r w:rsidRPr="00A91771">
        <w:rPr>
          <w:lang w:val="en-US"/>
        </w:rPr>
        <w:t>yolun</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kültüründen</w:t>
      </w:r>
      <w:proofErr w:type="spellEnd"/>
      <w:r w:rsidRPr="00A91771">
        <w:rPr>
          <w:lang w:val="en-US"/>
        </w:rPr>
        <w:t xml:space="preserve"> </w:t>
      </w:r>
      <w:proofErr w:type="spellStart"/>
      <w:r w:rsidRPr="00A91771">
        <w:rPr>
          <w:lang w:val="en-US"/>
        </w:rPr>
        <w:t>geçtiğini</w:t>
      </w:r>
      <w:proofErr w:type="spellEnd"/>
      <w:r w:rsidRPr="00A91771">
        <w:rPr>
          <w:lang w:val="en-US"/>
        </w:rPr>
        <w:t xml:space="preserve"> </w:t>
      </w:r>
      <w:proofErr w:type="spellStart"/>
      <w:r w:rsidRPr="00A91771">
        <w:rPr>
          <w:lang w:val="en-US"/>
        </w:rPr>
        <w:t>anlamamızla</w:t>
      </w:r>
      <w:proofErr w:type="spellEnd"/>
      <w:r w:rsidRPr="00A91771">
        <w:rPr>
          <w:lang w:val="en-US"/>
        </w:rPr>
        <w:t xml:space="preserve"> </w:t>
      </w:r>
      <w:proofErr w:type="spellStart"/>
      <w:r w:rsidRPr="00A91771">
        <w:rPr>
          <w:lang w:val="en-US"/>
        </w:rPr>
        <w:t>güçlenmektedir</w:t>
      </w:r>
      <w:proofErr w:type="spellEnd"/>
      <w:r w:rsidRPr="00A91771">
        <w:rPr>
          <w:lang w:val="en-US"/>
        </w:rPr>
        <w:t>.</w:t>
      </w:r>
      <w:r w:rsidRPr="00A91771">
        <w:rPr>
          <w:lang w:val="en-US"/>
        </w:rPr>
        <w:t xml:space="preserve"> [6-7]</w:t>
      </w:r>
    </w:p>
    <w:p w14:paraId="2F7DD0BA" w14:textId="0A4B440B" w:rsidR="00A91771" w:rsidRDefault="00A91771" w:rsidP="00A91771">
      <w:pPr>
        <w:pStyle w:val="Heading2"/>
      </w:pPr>
      <w:proofErr w:type="spellStart"/>
      <w:r w:rsidRPr="00A91771">
        <w:t>Anayasal</w:t>
      </w:r>
      <w:proofErr w:type="spellEnd"/>
      <w:r w:rsidRPr="00A91771">
        <w:t xml:space="preserve"> "</w:t>
      </w:r>
      <w:proofErr w:type="spellStart"/>
      <w:r w:rsidRPr="00A91771">
        <w:t>Yapı</w:t>
      </w:r>
      <w:proofErr w:type="spellEnd"/>
      <w:r w:rsidRPr="00A91771">
        <w:t>" (Constitutional "Structure")</w:t>
      </w:r>
    </w:p>
    <w:p w14:paraId="509A5E71" w14:textId="2FEB6C72" w:rsidR="00A91771" w:rsidRDefault="00A91771" w:rsidP="003177A9">
      <w:pPr>
        <w:rPr>
          <w:lang w:val="en-US"/>
        </w:rPr>
      </w:pPr>
      <w:proofErr w:type="spellStart"/>
      <w:r w:rsidRPr="00A91771">
        <w:rPr>
          <w:lang w:val="en-US"/>
        </w:rPr>
        <w:t>Birçok</w:t>
      </w:r>
      <w:proofErr w:type="spellEnd"/>
      <w:r w:rsidRPr="00A91771">
        <w:rPr>
          <w:lang w:val="en-US"/>
        </w:rPr>
        <w:t xml:space="preserve"> </w:t>
      </w:r>
      <w:proofErr w:type="spellStart"/>
      <w:r w:rsidRPr="00A91771">
        <w:rPr>
          <w:lang w:val="en-US"/>
        </w:rPr>
        <w:t>çağdaş</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teorisyeni</w:t>
      </w:r>
      <w:proofErr w:type="spellEnd"/>
      <w:r w:rsidRPr="00A91771">
        <w:rPr>
          <w:lang w:val="en-US"/>
        </w:rPr>
        <w:t>—</w:t>
      </w:r>
      <w:proofErr w:type="spellStart"/>
      <w:r w:rsidRPr="00A91771">
        <w:rPr>
          <w:lang w:val="en-US"/>
        </w:rPr>
        <w:t>özellikle</w:t>
      </w:r>
      <w:proofErr w:type="spellEnd"/>
      <w:r w:rsidRPr="00A91771">
        <w:rPr>
          <w:lang w:val="en-US"/>
        </w:rPr>
        <w:t xml:space="preserve"> de </w:t>
      </w:r>
      <w:proofErr w:type="spellStart"/>
      <w:r w:rsidRPr="00A91771">
        <w:rPr>
          <w:b/>
          <w:bCs/>
          <w:lang w:val="en-US"/>
        </w:rPr>
        <w:t>yargının</w:t>
      </w:r>
      <w:proofErr w:type="spellEnd"/>
      <w:r w:rsidRPr="00A91771">
        <w:rPr>
          <w:b/>
          <w:bCs/>
          <w:lang w:val="en-US"/>
        </w:rPr>
        <w:t xml:space="preserve"> </w:t>
      </w:r>
      <w:proofErr w:type="spellStart"/>
      <w:r w:rsidRPr="00A91771">
        <w:rPr>
          <w:b/>
          <w:bCs/>
          <w:lang w:val="en-US"/>
        </w:rPr>
        <w:t>güçlü</w:t>
      </w:r>
      <w:proofErr w:type="spellEnd"/>
      <w:r w:rsidRPr="00A91771">
        <w:rPr>
          <w:b/>
          <w:bCs/>
          <w:lang w:val="en-US"/>
        </w:rPr>
        <w:t xml:space="preserve"> </w:t>
      </w:r>
      <w:proofErr w:type="spellStart"/>
      <w:r w:rsidRPr="00A91771">
        <w:rPr>
          <w:b/>
          <w:bCs/>
          <w:lang w:val="en-US"/>
        </w:rPr>
        <w:t>bir</w:t>
      </w:r>
      <w:proofErr w:type="spellEnd"/>
      <w:r w:rsidRPr="00A91771">
        <w:rPr>
          <w:b/>
          <w:bCs/>
          <w:lang w:val="en-US"/>
        </w:rPr>
        <w:t xml:space="preserve"> </w:t>
      </w:r>
      <w:proofErr w:type="spellStart"/>
      <w:r w:rsidRPr="00A91771">
        <w:rPr>
          <w:b/>
          <w:bCs/>
          <w:lang w:val="en-US"/>
        </w:rPr>
        <w:t>rolünü</w:t>
      </w:r>
      <w:proofErr w:type="spellEnd"/>
      <w:r w:rsidRPr="00A91771">
        <w:rPr>
          <w:b/>
          <w:bCs/>
          <w:lang w:val="en-US"/>
        </w:rPr>
        <w:t xml:space="preserve"> </w:t>
      </w:r>
      <w:proofErr w:type="spellStart"/>
      <w:r w:rsidRPr="00A91771">
        <w:rPr>
          <w:b/>
          <w:bCs/>
          <w:lang w:val="en-US"/>
        </w:rPr>
        <w:t>savunmayı</w:t>
      </w:r>
      <w:proofErr w:type="spellEnd"/>
      <w:r w:rsidRPr="00A91771">
        <w:rPr>
          <w:b/>
          <w:bCs/>
          <w:lang w:val="en-US"/>
        </w:rPr>
        <w:t xml:space="preserve"> </w:t>
      </w:r>
      <w:proofErr w:type="spellStart"/>
      <w:r w:rsidRPr="00A91771">
        <w:rPr>
          <w:b/>
          <w:bCs/>
          <w:lang w:val="en-US"/>
        </w:rPr>
        <w:t>amaçlayan</w:t>
      </w:r>
      <w:proofErr w:type="spellEnd"/>
      <w:r w:rsidRPr="00A91771">
        <w:rPr>
          <w:b/>
          <w:bCs/>
          <w:lang w:val="en-US"/>
        </w:rPr>
        <w:t xml:space="preserve"> </w:t>
      </w:r>
      <w:proofErr w:type="spellStart"/>
      <w:r w:rsidRPr="00A91771">
        <w:rPr>
          <w:b/>
          <w:bCs/>
          <w:lang w:val="en-US"/>
        </w:rPr>
        <w:t>merkez</w:t>
      </w:r>
      <w:proofErr w:type="spellEnd"/>
      <w:r w:rsidRPr="00A91771">
        <w:rPr>
          <w:b/>
          <w:bCs/>
          <w:lang w:val="en-US"/>
        </w:rPr>
        <w:t xml:space="preserve">-sol </w:t>
      </w:r>
      <w:proofErr w:type="spellStart"/>
      <w:r w:rsidRPr="00A91771">
        <w:rPr>
          <w:b/>
          <w:bCs/>
          <w:lang w:val="en-US"/>
        </w:rPr>
        <w:t>teorisyenler</w:t>
      </w:r>
      <w:proofErr w:type="spellEnd"/>
      <w:r w:rsidRPr="00A91771">
        <w:rPr>
          <w:lang w:val="en-US"/>
        </w:rPr>
        <w:t>—</w:t>
      </w:r>
      <w:proofErr w:type="spellStart"/>
      <w:r w:rsidRPr="00A91771">
        <w:rPr>
          <w:lang w:val="en-US"/>
        </w:rPr>
        <w:t>bazı</w:t>
      </w:r>
      <w:proofErr w:type="spellEnd"/>
      <w:r w:rsidRPr="00A91771">
        <w:rPr>
          <w:lang w:val="en-US"/>
        </w:rPr>
        <w:t xml:space="preserve"> </w:t>
      </w:r>
      <w:proofErr w:type="spellStart"/>
      <w:r w:rsidRPr="00A91771">
        <w:rPr>
          <w:lang w:val="en-US"/>
        </w:rPr>
        <w:t>yerleşik</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uygulamalara</w:t>
      </w:r>
      <w:proofErr w:type="spellEnd"/>
      <w:r w:rsidRPr="00A91771">
        <w:rPr>
          <w:lang w:val="en-US"/>
        </w:rPr>
        <w:t xml:space="preserve"> </w:t>
      </w:r>
      <w:proofErr w:type="spellStart"/>
      <w:r w:rsidRPr="00A91771">
        <w:rPr>
          <w:lang w:val="en-US"/>
        </w:rPr>
        <w:t>büyük</w:t>
      </w:r>
      <w:proofErr w:type="spellEnd"/>
      <w:r w:rsidRPr="00A91771">
        <w:rPr>
          <w:lang w:val="en-US"/>
        </w:rPr>
        <w:t xml:space="preserve"> </w:t>
      </w:r>
      <w:proofErr w:type="spellStart"/>
      <w:r w:rsidRPr="00A91771">
        <w:rPr>
          <w:lang w:val="en-US"/>
        </w:rPr>
        <w:t>ölçüde</w:t>
      </w:r>
      <w:proofErr w:type="spellEnd"/>
      <w:r w:rsidRPr="00A91771">
        <w:rPr>
          <w:lang w:val="en-US"/>
        </w:rPr>
        <w:t xml:space="preserve"> </w:t>
      </w:r>
      <w:proofErr w:type="spellStart"/>
      <w:r w:rsidRPr="00A91771">
        <w:rPr>
          <w:lang w:val="en-US"/>
        </w:rPr>
        <w:t>dayanmakta</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bunları</w:t>
      </w:r>
      <w:proofErr w:type="spellEnd"/>
      <w:r w:rsidRPr="00A91771">
        <w:rPr>
          <w:lang w:val="en-US"/>
        </w:rPr>
        <w:t xml:space="preserve"> </w:t>
      </w:r>
      <w:proofErr w:type="spellStart"/>
      <w:r w:rsidRPr="00A91771">
        <w:rPr>
          <w:b/>
          <w:bCs/>
          <w:lang w:val="en-US"/>
        </w:rPr>
        <w:t>anayasal</w:t>
      </w:r>
      <w:proofErr w:type="spellEnd"/>
      <w:r w:rsidRPr="00A91771">
        <w:rPr>
          <w:b/>
          <w:bCs/>
          <w:lang w:val="en-US"/>
        </w:rPr>
        <w:t xml:space="preserve"> </w:t>
      </w:r>
      <w:proofErr w:type="spellStart"/>
      <w:r w:rsidRPr="00A91771">
        <w:rPr>
          <w:b/>
          <w:bCs/>
          <w:lang w:val="en-US"/>
        </w:rPr>
        <w:t>tasarımımızın</w:t>
      </w:r>
      <w:proofErr w:type="spellEnd"/>
      <w:r w:rsidRPr="00A91771">
        <w:rPr>
          <w:b/>
          <w:bCs/>
          <w:lang w:val="en-US"/>
        </w:rPr>
        <w:t xml:space="preserve"> (constitutional design) </w:t>
      </w:r>
      <w:proofErr w:type="spellStart"/>
      <w:r w:rsidRPr="00A91771">
        <w:rPr>
          <w:b/>
          <w:bCs/>
          <w:lang w:val="en-US"/>
        </w:rPr>
        <w:t>bir</w:t>
      </w:r>
      <w:proofErr w:type="spellEnd"/>
      <w:r w:rsidRPr="00A91771">
        <w:rPr>
          <w:b/>
          <w:bCs/>
          <w:lang w:val="en-US"/>
        </w:rPr>
        <w:t xml:space="preserve"> </w:t>
      </w:r>
      <w:proofErr w:type="spellStart"/>
      <w:r w:rsidRPr="00A91771">
        <w:rPr>
          <w:b/>
          <w:bCs/>
          <w:lang w:val="en-US"/>
        </w:rPr>
        <w:t>parçası</w:t>
      </w:r>
      <w:proofErr w:type="spellEnd"/>
      <w:r w:rsidRPr="00A91771">
        <w:rPr>
          <w:lang w:val="en-US"/>
        </w:rPr>
        <w:t xml:space="preserve"> </w:t>
      </w:r>
      <w:proofErr w:type="spellStart"/>
      <w:r w:rsidRPr="00A91771">
        <w:rPr>
          <w:lang w:val="en-US"/>
        </w:rPr>
        <w:t>olarak</w:t>
      </w:r>
      <w:proofErr w:type="spellEnd"/>
      <w:r w:rsidRPr="00A91771">
        <w:rPr>
          <w:lang w:val="en-US"/>
        </w:rPr>
        <w:t xml:space="preserve"> kavramsallaştırmaktadır¹⁴.</w:t>
      </w:r>
      <w:r>
        <w:rPr>
          <w:lang w:val="en-US"/>
        </w:rPr>
        <w:t xml:space="preserve"> </w:t>
      </w:r>
      <w:r>
        <w:rPr>
          <w:rStyle w:val="FootnoteReference"/>
          <w:lang w:val="en-US"/>
        </w:rPr>
        <w:footnoteReference w:id="14"/>
      </w:r>
      <w:r w:rsidR="003177A9">
        <w:rPr>
          <w:lang w:val="en-US"/>
        </w:rPr>
        <w:t xml:space="preserve"> </w:t>
      </w:r>
      <w:r w:rsidRPr="00A91771">
        <w:rPr>
          <w:lang w:val="en-US"/>
        </w:rPr>
        <w:t xml:space="preserve">Bu </w:t>
      </w:r>
      <w:proofErr w:type="spellStart"/>
      <w:r w:rsidRPr="00A91771">
        <w:rPr>
          <w:lang w:val="en-US"/>
        </w:rPr>
        <w:t>bölümde</w:t>
      </w:r>
      <w:proofErr w:type="spellEnd"/>
      <w:r w:rsidRPr="00A91771">
        <w:rPr>
          <w:lang w:val="en-US"/>
        </w:rPr>
        <w:t xml:space="preserve">, </w:t>
      </w:r>
      <w:proofErr w:type="spellStart"/>
      <w:r w:rsidRPr="00A91771">
        <w:rPr>
          <w:lang w:val="en-US"/>
        </w:rPr>
        <w:t>söz</w:t>
      </w:r>
      <w:proofErr w:type="spellEnd"/>
      <w:r w:rsidRPr="00A91771">
        <w:rPr>
          <w:lang w:val="en-US"/>
        </w:rPr>
        <w:t xml:space="preserve"> </w:t>
      </w:r>
      <w:proofErr w:type="spellStart"/>
      <w:r w:rsidRPr="00A91771">
        <w:rPr>
          <w:lang w:val="en-US"/>
        </w:rPr>
        <w:t>konusu</w:t>
      </w:r>
      <w:proofErr w:type="spellEnd"/>
      <w:r w:rsidRPr="00A91771">
        <w:rPr>
          <w:lang w:val="en-US"/>
        </w:rPr>
        <w:t xml:space="preserve"> </w:t>
      </w:r>
      <w:proofErr w:type="spellStart"/>
      <w:r w:rsidRPr="00A91771">
        <w:rPr>
          <w:lang w:val="en-US"/>
        </w:rPr>
        <w:t>teorisyenlerin</w:t>
      </w:r>
      <w:proofErr w:type="spellEnd"/>
      <w:r w:rsidRPr="00A91771">
        <w:rPr>
          <w:lang w:val="en-US"/>
        </w:rPr>
        <w:t xml:space="preserve"> </w:t>
      </w:r>
      <w:proofErr w:type="spellStart"/>
      <w:r w:rsidRPr="00A91771">
        <w:rPr>
          <w:lang w:val="en-US"/>
        </w:rPr>
        <w:t>anlattığı</w:t>
      </w:r>
      <w:proofErr w:type="spellEnd"/>
      <w:r w:rsidRPr="00A91771">
        <w:rPr>
          <w:lang w:val="en-US"/>
        </w:rPr>
        <w:t xml:space="preserve"> </w:t>
      </w:r>
      <w:proofErr w:type="spellStart"/>
      <w:r w:rsidRPr="00A91771">
        <w:rPr>
          <w:lang w:val="en-US"/>
        </w:rPr>
        <w:t>hikâyeyi</w:t>
      </w:r>
      <w:proofErr w:type="spellEnd"/>
      <w:r w:rsidRPr="00A91771">
        <w:rPr>
          <w:lang w:val="en-US"/>
        </w:rPr>
        <w:t xml:space="preserve"> </w:t>
      </w:r>
      <w:proofErr w:type="spellStart"/>
      <w:r w:rsidRPr="00A91771">
        <w:rPr>
          <w:lang w:val="en-US"/>
        </w:rPr>
        <w:t>daha</w:t>
      </w:r>
      <w:proofErr w:type="spellEnd"/>
      <w:r w:rsidRPr="00A91771">
        <w:rPr>
          <w:lang w:val="en-US"/>
        </w:rPr>
        <w:t xml:space="preserve"> </w:t>
      </w:r>
      <w:proofErr w:type="spellStart"/>
      <w:r w:rsidRPr="00A91771">
        <w:rPr>
          <w:lang w:val="en-US"/>
        </w:rPr>
        <w:t>ayrıntılı</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şekilde</w:t>
      </w:r>
      <w:proofErr w:type="spellEnd"/>
      <w:r w:rsidRPr="00A91771">
        <w:rPr>
          <w:lang w:val="en-US"/>
        </w:rPr>
        <w:t xml:space="preserve"> </w:t>
      </w:r>
      <w:proofErr w:type="spellStart"/>
      <w:r w:rsidRPr="00A91771">
        <w:rPr>
          <w:lang w:val="en-US"/>
        </w:rPr>
        <w:t>özetleyecek</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ardından</w:t>
      </w:r>
      <w:proofErr w:type="spellEnd"/>
      <w:r w:rsidRPr="00A91771">
        <w:rPr>
          <w:lang w:val="en-US"/>
        </w:rPr>
        <w:t xml:space="preserve"> </w:t>
      </w:r>
      <w:proofErr w:type="spellStart"/>
      <w:r w:rsidRPr="00A91771">
        <w:rPr>
          <w:lang w:val="en-US"/>
        </w:rPr>
        <w:t>bu</w:t>
      </w:r>
      <w:proofErr w:type="spellEnd"/>
      <w:r w:rsidRPr="00A91771">
        <w:rPr>
          <w:lang w:val="en-US"/>
        </w:rPr>
        <w:t xml:space="preserve"> </w:t>
      </w:r>
      <w:proofErr w:type="spellStart"/>
      <w:r w:rsidRPr="00A91771">
        <w:rPr>
          <w:lang w:val="en-US"/>
        </w:rPr>
        <w:t>anlatıya</w:t>
      </w:r>
      <w:proofErr w:type="spellEnd"/>
      <w:r w:rsidRPr="00A91771">
        <w:rPr>
          <w:lang w:val="en-US"/>
        </w:rPr>
        <w:t xml:space="preserve"> </w:t>
      </w:r>
      <w:proofErr w:type="spellStart"/>
      <w:r w:rsidRPr="00A91771">
        <w:rPr>
          <w:lang w:val="en-US"/>
        </w:rPr>
        <w:t>ilişkin</w:t>
      </w:r>
      <w:proofErr w:type="spellEnd"/>
      <w:r w:rsidRPr="00A91771">
        <w:rPr>
          <w:lang w:val="en-US"/>
        </w:rPr>
        <w:t xml:space="preserve"> </w:t>
      </w:r>
      <w:proofErr w:type="spellStart"/>
      <w:r w:rsidRPr="00A91771">
        <w:rPr>
          <w:b/>
          <w:bCs/>
          <w:lang w:val="en-US"/>
        </w:rPr>
        <w:t>betimleyici</w:t>
      </w:r>
      <w:proofErr w:type="spellEnd"/>
      <w:r w:rsidRPr="00A91771">
        <w:rPr>
          <w:b/>
          <w:bCs/>
          <w:lang w:val="en-US"/>
        </w:rPr>
        <w:t xml:space="preserve"> </w:t>
      </w:r>
      <w:proofErr w:type="spellStart"/>
      <w:r w:rsidRPr="00A91771">
        <w:rPr>
          <w:b/>
          <w:bCs/>
          <w:lang w:val="en-US"/>
        </w:rPr>
        <w:t>bir</w:t>
      </w:r>
      <w:proofErr w:type="spellEnd"/>
      <w:r w:rsidRPr="00A91771">
        <w:rPr>
          <w:b/>
          <w:bCs/>
          <w:lang w:val="en-US"/>
        </w:rPr>
        <w:t xml:space="preserve"> </w:t>
      </w:r>
      <w:proofErr w:type="spellStart"/>
      <w:r w:rsidRPr="00A91771">
        <w:rPr>
          <w:b/>
          <w:bCs/>
          <w:lang w:val="en-US"/>
        </w:rPr>
        <w:t>eleştiri</w:t>
      </w:r>
      <w:proofErr w:type="spellEnd"/>
      <w:r w:rsidRPr="00A91771">
        <w:rPr>
          <w:lang w:val="en-US"/>
        </w:rPr>
        <w:t xml:space="preserve"> sunacağım¹⁵.</w:t>
      </w:r>
      <w:r w:rsidR="003177A9">
        <w:rPr>
          <w:lang w:val="en-US"/>
        </w:rPr>
        <w:t xml:space="preserve"> </w:t>
      </w:r>
      <w:r w:rsidR="003177A9">
        <w:rPr>
          <w:rStyle w:val="FootnoteReference"/>
          <w:lang w:val="en-US"/>
        </w:rPr>
        <w:footnoteReference w:id="15"/>
      </w:r>
    </w:p>
    <w:p w14:paraId="5454B380" w14:textId="77777777" w:rsidR="003177A9" w:rsidRDefault="003177A9" w:rsidP="003177A9">
      <w:pPr>
        <w:pStyle w:val="Heading3"/>
      </w:pPr>
      <w:r w:rsidRPr="003177A9">
        <w:t>Anlatı (The Story)</w:t>
      </w:r>
    </w:p>
    <w:p w14:paraId="7BFC5EE0" w14:textId="5C47A6E9" w:rsidR="003177A9" w:rsidRDefault="003177A9" w:rsidP="003177A9">
      <w:pPr>
        <w:rPr>
          <w:lang w:val="en-US"/>
        </w:rPr>
      </w:pPr>
      <w:proofErr w:type="spellStart"/>
      <w:r w:rsidRPr="003177A9">
        <w:rPr>
          <w:lang w:val="en-US"/>
        </w:rPr>
        <w:t>Eğer</w:t>
      </w:r>
      <w:proofErr w:type="spellEnd"/>
      <w:r w:rsidRPr="003177A9">
        <w:rPr>
          <w:lang w:val="en-US"/>
        </w:rPr>
        <w:t xml:space="preserve"> son </w:t>
      </w:r>
      <w:proofErr w:type="spellStart"/>
      <w:r w:rsidRPr="003177A9">
        <w:rPr>
          <w:lang w:val="en-US"/>
        </w:rPr>
        <w:t>birkaç</w:t>
      </w:r>
      <w:proofErr w:type="spellEnd"/>
      <w:r w:rsidRPr="003177A9">
        <w:rPr>
          <w:lang w:val="en-US"/>
        </w:rPr>
        <w:t xml:space="preserve"> on </w:t>
      </w:r>
      <w:proofErr w:type="spellStart"/>
      <w:r w:rsidRPr="003177A9">
        <w:rPr>
          <w:lang w:val="en-US"/>
        </w:rPr>
        <w:t>yılda</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hukuk</w:t>
      </w:r>
      <w:proofErr w:type="spellEnd"/>
      <w:r w:rsidRPr="003177A9">
        <w:rPr>
          <w:lang w:val="en-US"/>
        </w:rPr>
        <w:t xml:space="preserve"> </w:t>
      </w:r>
      <w:proofErr w:type="spellStart"/>
      <w:r w:rsidRPr="003177A9">
        <w:rPr>
          <w:lang w:val="en-US"/>
        </w:rPr>
        <w:t>fakültesine</w:t>
      </w:r>
      <w:proofErr w:type="spellEnd"/>
      <w:r w:rsidRPr="003177A9">
        <w:rPr>
          <w:lang w:val="en-US"/>
        </w:rPr>
        <w:t xml:space="preserve"> </w:t>
      </w:r>
      <w:proofErr w:type="spellStart"/>
      <w:r w:rsidRPr="003177A9">
        <w:rPr>
          <w:lang w:val="en-US"/>
        </w:rPr>
        <w:t>gittiyseniz</w:t>
      </w:r>
      <w:proofErr w:type="spellEnd"/>
      <w:r w:rsidRPr="003177A9">
        <w:rPr>
          <w:lang w:val="en-US"/>
        </w:rPr>
        <w:t xml:space="preserve"> </w:t>
      </w:r>
      <w:proofErr w:type="spellStart"/>
      <w:r w:rsidRPr="003177A9">
        <w:rPr>
          <w:lang w:val="en-US"/>
        </w:rPr>
        <w:t>veya</w:t>
      </w:r>
      <w:proofErr w:type="spellEnd"/>
      <w:r w:rsidRPr="003177A9">
        <w:rPr>
          <w:lang w:val="en-US"/>
        </w:rPr>
        <w:t xml:space="preserve"> </w:t>
      </w:r>
      <w:proofErr w:type="spellStart"/>
      <w:r w:rsidRPr="003177A9">
        <w:rPr>
          <w:lang w:val="en-US"/>
        </w:rPr>
        <w:t>anayasa</w:t>
      </w:r>
      <w:proofErr w:type="spellEnd"/>
      <w:r w:rsidRPr="003177A9">
        <w:rPr>
          <w:lang w:val="en-US"/>
        </w:rPr>
        <w:t xml:space="preserve"> </w:t>
      </w:r>
      <w:proofErr w:type="spellStart"/>
      <w:r w:rsidRPr="003177A9">
        <w:rPr>
          <w:lang w:val="en-US"/>
        </w:rPr>
        <w:t>teorisi</w:t>
      </w:r>
      <w:proofErr w:type="spellEnd"/>
      <w:r w:rsidRPr="003177A9">
        <w:rPr>
          <w:lang w:val="en-US"/>
        </w:rPr>
        <w:t xml:space="preserve"> </w:t>
      </w:r>
      <w:proofErr w:type="spellStart"/>
      <w:r w:rsidRPr="003177A9">
        <w:rPr>
          <w:lang w:val="en-US"/>
        </w:rPr>
        <w:t>okuduysanız</w:t>
      </w:r>
      <w:proofErr w:type="spellEnd"/>
      <w:r w:rsidRPr="003177A9">
        <w:rPr>
          <w:lang w:val="en-US"/>
        </w:rPr>
        <w:t xml:space="preserve">, </w:t>
      </w:r>
      <w:proofErr w:type="spellStart"/>
      <w:r w:rsidRPr="003177A9">
        <w:rPr>
          <w:lang w:val="en-US"/>
        </w:rPr>
        <w:t>büyük</w:t>
      </w:r>
      <w:proofErr w:type="spellEnd"/>
      <w:r w:rsidRPr="003177A9">
        <w:rPr>
          <w:lang w:val="en-US"/>
        </w:rPr>
        <w:t xml:space="preserve"> </w:t>
      </w:r>
      <w:proofErr w:type="spellStart"/>
      <w:r w:rsidRPr="003177A9">
        <w:rPr>
          <w:lang w:val="en-US"/>
        </w:rPr>
        <w:t>olasılıkla</w:t>
      </w:r>
      <w:proofErr w:type="spellEnd"/>
      <w:r w:rsidRPr="003177A9">
        <w:rPr>
          <w:lang w:val="en-US"/>
        </w:rPr>
        <w:t xml:space="preserve"> </w:t>
      </w:r>
      <w:proofErr w:type="spellStart"/>
      <w:r w:rsidRPr="003177A9">
        <w:rPr>
          <w:lang w:val="en-US"/>
        </w:rPr>
        <w:t>aşina</w:t>
      </w:r>
      <w:proofErr w:type="spellEnd"/>
      <w:r w:rsidRPr="003177A9">
        <w:rPr>
          <w:lang w:val="en-US"/>
        </w:rPr>
        <w:t xml:space="preserve"> </w:t>
      </w:r>
      <w:proofErr w:type="spellStart"/>
      <w:r w:rsidRPr="003177A9">
        <w:rPr>
          <w:lang w:val="en-US"/>
        </w:rPr>
        <w:t>olduğunuz</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anlatı</w:t>
      </w:r>
      <w:proofErr w:type="spellEnd"/>
      <w:r w:rsidRPr="003177A9">
        <w:rPr>
          <w:lang w:val="en-US"/>
        </w:rPr>
        <w:t xml:space="preserve"> </w:t>
      </w:r>
      <w:proofErr w:type="spellStart"/>
      <w:r w:rsidRPr="003177A9">
        <w:rPr>
          <w:lang w:val="en-US"/>
        </w:rPr>
        <w:t>vardır</w:t>
      </w:r>
      <w:proofErr w:type="spellEnd"/>
      <w:r w:rsidRPr="003177A9">
        <w:rPr>
          <w:lang w:val="en-US"/>
        </w:rPr>
        <w:t xml:space="preserve">. Bu </w:t>
      </w:r>
      <w:proofErr w:type="spellStart"/>
      <w:r w:rsidRPr="003177A9">
        <w:rPr>
          <w:lang w:val="en-US"/>
        </w:rPr>
        <w:t>hikâye</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tür</w:t>
      </w:r>
      <w:proofErr w:type="spellEnd"/>
      <w:r w:rsidRPr="003177A9">
        <w:rPr>
          <w:lang w:val="en-US"/>
        </w:rPr>
        <w:t xml:space="preserve"> </w:t>
      </w:r>
      <w:proofErr w:type="spellStart"/>
      <w:r w:rsidRPr="003177A9">
        <w:rPr>
          <w:lang w:val="en-US"/>
        </w:rPr>
        <w:t>itirafla</w:t>
      </w:r>
      <w:proofErr w:type="spellEnd"/>
      <w:r w:rsidRPr="003177A9">
        <w:rPr>
          <w:lang w:val="en-US"/>
        </w:rPr>
        <w:t xml:space="preserve"> </w:t>
      </w:r>
      <w:proofErr w:type="spellStart"/>
      <w:r w:rsidRPr="003177A9">
        <w:rPr>
          <w:lang w:val="en-US"/>
        </w:rPr>
        <w:t>başlar</w:t>
      </w:r>
      <w:proofErr w:type="spellEnd"/>
      <w:r w:rsidRPr="003177A9">
        <w:rPr>
          <w:lang w:val="en-US"/>
        </w:rPr>
        <w:t>.</w:t>
      </w:r>
      <w:r w:rsidRPr="003177A9">
        <w:rPr>
          <w:lang w:val="en-US"/>
        </w:rPr>
        <w:t xml:space="preserve"> </w:t>
      </w:r>
      <w:r w:rsidRPr="003177A9">
        <w:rPr>
          <w:lang w:val="en-US"/>
        </w:rPr>
        <w:t>"</w:t>
      </w:r>
      <w:proofErr w:type="spellStart"/>
      <w:r w:rsidRPr="003177A9">
        <w:rPr>
          <w:lang w:val="en-US"/>
        </w:rPr>
        <w:t>Bakın</w:t>
      </w:r>
      <w:proofErr w:type="spellEnd"/>
      <w:r w:rsidRPr="003177A9">
        <w:rPr>
          <w:lang w:val="en-US"/>
        </w:rPr>
        <w:t xml:space="preserve">," der </w:t>
      </w:r>
      <w:proofErr w:type="spellStart"/>
      <w:r w:rsidRPr="003177A9">
        <w:rPr>
          <w:lang w:val="en-US"/>
        </w:rPr>
        <w:t>profesör</w:t>
      </w:r>
      <w:proofErr w:type="spellEnd"/>
      <w:r w:rsidRPr="003177A9">
        <w:rPr>
          <w:lang w:val="en-US"/>
        </w:rPr>
        <w:t xml:space="preserve"> </w:t>
      </w:r>
      <w:proofErr w:type="spellStart"/>
      <w:r w:rsidRPr="003177A9">
        <w:rPr>
          <w:lang w:val="en-US"/>
        </w:rPr>
        <w:t>veya</w:t>
      </w:r>
      <w:proofErr w:type="spellEnd"/>
      <w:r w:rsidRPr="003177A9">
        <w:rPr>
          <w:lang w:val="en-US"/>
        </w:rPr>
        <w:t xml:space="preserve"> </w:t>
      </w:r>
      <w:proofErr w:type="spellStart"/>
      <w:r w:rsidRPr="003177A9">
        <w:rPr>
          <w:lang w:val="en-US"/>
        </w:rPr>
        <w:t>teorisyen</w:t>
      </w:r>
      <w:proofErr w:type="spellEnd"/>
      <w:r w:rsidRPr="003177A9">
        <w:rPr>
          <w:lang w:val="en-US"/>
        </w:rPr>
        <w:t xml:space="preserve">, "Yüksek </w:t>
      </w:r>
      <w:proofErr w:type="spellStart"/>
      <w:r w:rsidRPr="003177A9">
        <w:rPr>
          <w:lang w:val="en-US"/>
        </w:rPr>
        <w:t>Mahkeme'nin</w:t>
      </w:r>
      <w:proofErr w:type="spellEnd"/>
      <w:r w:rsidRPr="003177A9">
        <w:rPr>
          <w:lang w:val="en-US"/>
        </w:rPr>
        <w:t xml:space="preserve"> son </w:t>
      </w:r>
      <w:proofErr w:type="spellStart"/>
      <w:r w:rsidRPr="003177A9">
        <w:rPr>
          <w:lang w:val="en-US"/>
        </w:rPr>
        <w:t>altmış</w:t>
      </w:r>
      <w:proofErr w:type="spellEnd"/>
      <w:r w:rsidRPr="003177A9">
        <w:rPr>
          <w:lang w:val="en-US"/>
        </w:rPr>
        <w:t xml:space="preserve"> </w:t>
      </w:r>
      <w:proofErr w:type="spellStart"/>
      <w:r w:rsidRPr="003177A9">
        <w:rPr>
          <w:lang w:val="en-US"/>
        </w:rPr>
        <w:t>yılda</w:t>
      </w:r>
      <w:proofErr w:type="spellEnd"/>
      <w:r w:rsidRPr="003177A9">
        <w:rPr>
          <w:lang w:val="en-US"/>
        </w:rPr>
        <w:t xml:space="preserve"> </w:t>
      </w:r>
      <w:proofErr w:type="spellStart"/>
      <w:r w:rsidRPr="003177A9">
        <w:rPr>
          <w:lang w:val="en-US"/>
        </w:rPr>
        <w:t>özgürlüğü</w:t>
      </w:r>
      <w:proofErr w:type="spellEnd"/>
      <w:r w:rsidRPr="003177A9">
        <w:rPr>
          <w:lang w:val="en-US"/>
        </w:rPr>
        <w:t xml:space="preserve"> </w:t>
      </w:r>
      <w:proofErr w:type="spellStart"/>
      <w:r w:rsidRPr="003177A9">
        <w:rPr>
          <w:lang w:val="en-US"/>
        </w:rPr>
        <w:t>genişletme</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bizi</w:t>
      </w:r>
      <w:proofErr w:type="spellEnd"/>
      <w:r w:rsidRPr="003177A9">
        <w:rPr>
          <w:lang w:val="en-US"/>
        </w:rPr>
        <w:t xml:space="preserve"> </w:t>
      </w:r>
      <w:proofErr w:type="spellStart"/>
      <w:r w:rsidRPr="003177A9">
        <w:rPr>
          <w:lang w:val="en-US"/>
        </w:rPr>
        <w:t>gerçekten</w:t>
      </w:r>
      <w:proofErr w:type="spellEnd"/>
      <w:r w:rsidRPr="003177A9">
        <w:rPr>
          <w:lang w:val="en-US"/>
        </w:rPr>
        <w:t xml:space="preserve"> </w:t>
      </w:r>
      <w:proofErr w:type="spellStart"/>
      <w:r w:rsidRPr="003177A9">
        <w:rPr>
          <w:lang w:val="en-US"/>
        </w:rPr>
        <w:t>eşit</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topluma</w:t>
      </w:r>
      <w:proofErr w:type="spellEnd"/>
      <w:r w:rsidRPr="003177A9">
        <w:rPr>
          <w:lang w:val="en-US"/>
        </w:rPr>
        <w:t xml:space="preserve"> </w:t>
      </w:r>
      <w:proofErr w:type="spellStart"/>
      <w:r w:rsidRPr="003177A9">
        <w:rPr>
          <w:lang w:val="en-US"/>
        </w:rPr>
        <w:t>yaklaştırma</w:t>
      </w:r>
      <w:proofErr w:type="spellEnd"/>
      <w:r w:rsidRPr="003177A9">
        <w:rPr>
          <w:lang w:val="en-US"/>
        </w:rPr>
        <w:t xml:space="preserve"> </w:t>
      </w:r>
      <w:proofErr w:type="spellStart"/>
      <w:r w:rsidRPr="003177A9">
        <w:rPr>
          <w:lang w:val="en-US"/>
        </w:rPr>
        <w:t>konusunda</w:t>
      </w:r>
      <w:proofErr w:type="spellEnd"/>
      <w:r w:rsidRPr="003177A9">
        <w:rPr>
          <w:lang w:val="en-US"/>
        </w:rPr>
        <w:t xml:space="preserve"> </w:t>
      </w:r>
      <w:proofErr w:type="spellStart"/>
      <w:r w:rsidRPr="003177A9">
        <w:rPr>
          <w:lang w:val="en-US"/>
        </w:rPr>
        <w:t>yaptığı</w:t>
      </w:r>
      <w:proofErr w:type="spellEnd"/>
      <w:r w:rsidRPr="003177A9">
        <w:rPr>
          <w:lang w:val="en-US"/>
        </w:rPr>
        <w:t xml:space="preserve"> </w:t>
      </w:r>
      <w:proofErr w:type="spellStart"/>
      <w:r w:rsidRPr="003177A9">
        <w:rPr>
          <w:lang w:val="en-US"/>
        </w:rPr>
        <w:t>işleri</w:t>
      </w:r>
      <w:proofErr w:type="spellEnd"/>
      <w:r w:rsidRPr="003177A9">
        <w:rPr>
          <w:lang w:val="en-US"/>
        </w:rPr>
        <w:t xml:space="preserve"> </w:t>
      </w:r>
      <w:proofErr w:type="spellStart"/>
      <w:r w:rsidRPr="003177A9">
        <w:rPr>
          <w:lang w:val="en-US"/>
        </w:rPr>
        <w:t>büyük</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hayranlıkla</w:t>
      </w:r>
      <w:proofErr w:type="spellEnd"/>
      <w:r w:rsidRPr="003177A9">
        <w:rPr>
          <w:lang w:val="en-US"/>
        </w:rPr>
        <w:t xml:space="preserve"> </w:t>
      </w:r>
      <w:proofErr w:type="spellStart"/>
      <w:r w:rsidRPr="003177A9">
        <w:rPr>
          <w:lang w:val="en-US"/>
        </w:rPr>
        <w:t>takip</w:t>
      </w:r>
      <w:proofErr w:type="spellEnd"/>
      <w:r w:rsidRPr="003177A9">
        <w:rPr>
          <w:lang w:val="en-US"/>
        </w:rPr>
        <w:t xml:space="preserve"> </w:t>
      </w:r>
      <w:proofErr w:type="spellStart"/>
      <w:r w:rsidRPr="003177A9">
        <w:rPr>
          <w:lang w:val="en-US"/>
        </w:rPr>
        <w:t>ediyorum</w:t>
      </w:r>
      <w:proofErr w:type="spellEnd"/>
      <w:r w:rsidRPr="003177A9">
        <w:rPr>
          <w:lang w:val="en-US"/>
        </w:rPr>
        <w:t xml:space="preserve">. </w:t>
      </w:r>
      <w:proofErr w:type="spellStart"/>
      <w:r w:rsidRPr="003177A9">
        <w:rPr>
          <w:lang w:val="en-US"/>
        </w:rPr>
        <w:t>Ancak</w:t>
      </w:r>
      <w:proofErr w:type="spellEnd"/>
      <w:r w:rsidRPr="003177A9">
        <w:rPr>
          <w:lang w:val="en-US"/>
        </w:rPr>
        <w:t xml:space="preserve"> </w:t>
      </w:r>
      <w:proofErr w:type="spellStart"/>
      <w:r w:rsidRPr="003177A9">
        <w:rPr>
          <w:lang w:val="en-US"/>
        </w:rPr>
        <w:t>dürüst</w:t>
      </w:r>
      <w:proofErr w:type="spellEnd"/>
      <w:r w:rsidRPr="003177A9">
        <w:rPr>
          <w:lang w:val="en-US"/>
        </w:rPr>
        <w:t xml:space="preserve"> </w:t>
      </w:r>
      <w:proofErr w:type="spellStart"/>
      <w:r w:rsidRPr="003177A9">
        <w:rPr>
          <w:lang w:val="en-US"/>
        </w:rPr>
        <w:t>olmam</w:t>
      </w:r>
      <w:proofErr w:type="spellEnd"/>
      <w:r w:rsidRPr="003177A9">
        <w:rPr>
          <w:lang w:val="en-US"/>
        </w:rPr>
        <w:t xml:space="preserve"> </w:t>
      </w:r>
      <w:proofErr w:type="spellStart"/>
      <w:r w:rsidRPr="003177A9">
        <w:rPr>
          <w:lang w:val="en-US"/>
        </w:rPr>
        <w:t>gerekirse</w:t>
      </w:r>
      <w:proofErr w:type="spellEnd"/>
      <w:r w:rsidRPr="003177A9">
        <w:rPr>
          <w:lang w:val="en-US"/>
        </w:rPr>
        <w:t xml:space="preserve">, </w:t>
      </w:r>
      <w:proofErr w:type="spellStart"/>
      <w:r w:rsidRPr="003177A9">
        <w:rPr>
          <w:lang w:val="en-US"/>
        </w:rPr>
        <w:t>karşı</w:t>
      </w:r>
      <w:proofErr w:type="spellEnd"/>
      <w:r w:rsidRPr="003177A9">
        <w:rPr>
          <w:lang w:val="en-US"/>
        </w:rPr>
        <w:t xml:space="preserve"> </w:t>
      </w:r>
      <w:proofErr w:type="spellStart"/>
      <w:r w:rsidRPr="003177A9">
        <w:rPr>
          <w:lang w:val="en-US"/>
        </w:rPr>
        <w:t>çoğunlukçu</w:t>
      </w:r>
      <w:proofErr w:type="spellEnd"/>
      <w:r w:rsidRPr="003177A9">
        <w:rPr>
          <w:lang w:val="en-US"/>
        </w:rPr>
        <w:t xml:space="preserve"> </w:t>
      </w:r>
      <w:proofErr w:type="spellStart"/>
      <w:r w:rsidRPr="003177A9">
        <w:rPr>
          <w:lang w:val="en-US"/>
        </w:rPr>
        <w:t>güçlük</w:t>
      </w:r>
      <w:proofErr w:type="spellEnd"/>
      <w:r w:rsidRPr="003177A9">
        <w:rPr>
          <w:lang w:val="en-US"/>
        </w:rPr>
        <w:t xml:space="preserve"> (counter-majoritarian difficulty)¹⁶ </w:t>
      </w:r>
      <w:r w:rsidRPr="003177A9">
        <w:rPr>
          <w:lang w:val="en-US"/>
        </w:rPr>
        <w:t xml:space="preserve"> </w:t>
      </w:r>
      <w:r w:rsidRPr="003177A9">
        <w:rPr>
          <w:rStyle w:val="FootnoteReference"/>
          <w:rFonts w:eastAsia="Times New Roman" w:cs="Times New Roman"/>
          <w:szCs w:val="24"/>
          <w:lang w:val="en-US"/>
        </w:rPr>
        <w:footnoteReference w:id="16"/>
      </w:r>
      <w:r w:rsidRPr="003177A9">
        <w:rPr>
          <w:lang w:val="en-US"/>
        </w:rPr>
        <w:t xml:space="preserve">her zaman </w:t>
      </w:r>
      <w:proofErr w:type="spellStart"/>
      <w:r w:rsidRPr="003177A9">
        <w:rPr>
          <w:lang w:val="en-US"/>
        </w:rPr>
        <w:t>aklımı</w:t>
      </w:r>
      <w:proofErr w:type="spellEnd"/>
      <w:r w:rsidRPr="003177A9">
        <w:rPr>
          <w:lang w:val="en-US"/>
        </w:rPr>
        <w:t xml:space="preserve"> </w:t>
      </w:r>
      <w:proofErr w:type="spellStart"/>
      <w:r w:rsidRPr="003177A9">
        <w:rPr>
          <w:lang w:val="en-US"/>
        </w:rPr>
        <w:t>kurcalamıştır</w:t>
      </w:r>
      <w:proofErr w:type="spellEnd"/>
      <w:r w:rsidRPr="003177A9">
        <w:rPr>
          <w:lang w:val="en-US"/>
        </w:rPr>
        <w:t xml:space="preserve">. İlk </w:t>
      </w:r>
      <w:proofErr w:type="spellStart"/>
      <w:r w:rsidRPr="003177A9">
        <w:rPr>
          <w:lang w:val="en-US"/>
        </w:rPr>
        <w:t>bakışta</w:t>
      </w:r>
      <w:proofErr w:type="spellEnd"/>
      <w:r w:rsidRPr="003177A9">
        <w:rPr>
          <w:lang w:val="en-US"/>
        </w:rPr>
        <w:t xml:space="preserve">, </w:t>
      </w:r>
      <w:proofErr w:type="spellStart"/>
      <w:r w:rsidRPr="003177A9">
        <w:rPr>
          <w:lang w:val="en-US"/>
        </w:rPr>
        <w:t>özgürlük</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eşitliği</w:t>
      </w:r>
      <w:proofErr w:type="spellEnd"/>
      <w:r w:rsidRPr="003177A9">
        <w:rPr>
          <w:lang w:val="en-US"/>
        </w:rPr>
        <w:t xml:space="preserve"> </w:t>
      </w:r>
      <w:proofErr w:type="spellStart"/>
      <w:r w:rsidRPr="003177A9">
        <w:rPr>
          <w:lang w:val="en-US"/>
        </w:rPr>
        <w:t>ilerletme</w:t>
      </w:r>
      <w:proofErr w:type="spellEnd"/>
      <w:r w:rsidRPr="003177A9">
        <w:rPr>
          <w:lang w:val="en-US"/>
        </w:rPr>
        <w:t xml:space="preserve"> </w:t>
      </w:r>
      <w:proofErr w:type="spellStart"/>
      <w:r w:rsidRPr="003177A9">
        <w:rPr>
          <w:lang w:val="en-US"/>
        </w:rPr>
        <w:t>çabasının</w:t>
      </w:r>
      <w:proofErr w:type="spellEnd"/>
      <w:r w:rsidRPr="003177A9">
        <w:rPr>
          <w:lang w:val="en-US"/>
        </w:rPr>
        <w:t xml:space="preserve"> </w:t>
      </w:r>
      <w:proofErr w:type="spellStart"/>
      <w:r w:rsidRPr="003177A9">
        <w:rPr>
          <w:lang w:val="en-US"/>
        </w:rPr>
        <w:t>dokuz</w:t>
      </w:r>
      <w:proofErr w:type="spellEnd"/>
      <w:r w:rsidRPr="003177A9">
        <w:rPr>
          <w:lang w:val="en-US"/>
        </w:rPr>
        <w:t xml:space="preserve"> </w:t>
      </w:r>
      <w:proofErr w:type="spellStart"/>
      <w:r w:rsidRPr="003177A9">
        <w:rPr>
          <w:lang w:val="en-US"/>
        </w:rPr>
        <w:t>seçilmemiş</w:t>
      </w:r>
      <w:proofErr w:type="spellEnd"/>
      <w:r w:rsidRPr="003177A9">
        <w:rPr>
          <w:lang w:val="en-US"/>
        </w:rPr>
        <w:t xml:space="preserve"> </w:t>
      </w:r>
      <w:proofErr w:type="spellStart"/>
      <w:r w:rsidRPr="003177A9">
        <w:rPr>
          <w:lang w:val="en-US"/>
        </w:rPr>
        <w:t>yaşlı</w:t>
      </w:r>
      <w:proofErr w:type="spellEnd"/>
      <w:r w:rsidRPr="003177A9">
        <w:rPr>
          <w:lang w:val="en-US"/>
        </w:rPr>
        <w:t xml:space="preserve"> </w:t>
      </w:r>
      <w:proofErr w:type="spellStart"/>
      <w:r w:rsidRPr="003177A9">
        <w:rPr>
          <w:lang w:val="en-US"/>
        </w:rPr>
        <w:t>yargıcın</w:t>
      </w:r>
      <w:proofErr w:type="spellEnd"/>
      <w:r w:rsidRPr="003177A9">
        <w:rPr>
          <w:lang w:val="en-US"/>
        </w:rPr>
        <w:t xml:space="preserve"> </w:t>
      </w:r>
      <w:proofErr w:type="spellStart"/>
      <w:r w:rsidRPr="003177A9">
        <w:rPr>
          <w:lang w:val="en-US"/>
        </w:rPr>
        <w:t>keyfine</w:t>
      </w:r>
      <w:proofErr w:type="spellEnd"/>
      <w:r w:rsidRPr="003177A9">
        <w:rPr>
          <w:lang w:val="en-US"/>
        </w:rPr>
        <w:t xml:space="preserve"> </w:t>
      </w:r>
      <w:proofErr w:type="spellStart"/>
      <w:r w:rsidRPr="003177A9">
        <w:rPr>
          <w:lang w:val="en-US"/>
        </w:rPr>
        <w:t>bağlı</w:t>
      </w:r>
      <w:proofErr w:type="spellEnd"/>
      <w:r w:rsidRPr="003177A9">
        <w:rPr>
          <w:lang w:val="en-US"/>
        </w:rPr>
        <w:t xml:space="preserve"> </w:t>
      </w:r>
      <w:proofErr w:type="spellStart"/>
      <w:r w:rsidRPr="003177A9">
        <w:rPr>
          <w:lang w:val="en-US"/>
        </w:rPr>
        <w:t>olması</w:t>
      </w:r>
      <w:proofErr w:type="spellEnd"/>
      <w:r w:rsidRPr="003177A9">
        <w:rPr>
          <w:lang w:val="en-US"/>
        </w:rPr>
        <w:t xml:space="preserve"> </w:t>
      </w:r>
      <w:proofErr w:type="spellStart"/>
      <w:r w:rsidRPr="003177A9">
        <w:rPr>
          <w:lang w:val="en-US"/>
        </w:rPr>
        <w:t>pek</w:t>
      </w:r>
      <w:proofErr w:type="spellEnd"/>
      <w:r w:rsidRPr="003177A9">
        <w:rPr>
          <w:lang w:val="en-US"/>
        </w:rPr>
        <w:t xml:space="preserve"> de </w:t>
      </w:r>
      <w:proofErr w:type="spellStart"/>
      <w:r w:rsidRPr="003177A9">
        <w:rPr>
          <w:lang w:val="en-US"/>
        </w:rPr>
        <w:t>doğru</w:t>
      </w:r>
      <w:proofErr w:type="spellEnd"/>
      <w:r w:rsidRPr="003177A9">
        <w:rPr>
          <w:lang w:val="en-US"/>
        </w:rPr>
        <w:t xml:space="preserve"> </w:t>
      </w:r>
      <w:proofErr w:type="spellStart"/>
      <w:r w:rsidRPr="003177A9">
        <w:rPr>
          <w:lang w:val="en-US"/>
        </w:rPr>
        <w:t>görünmüyor</w:t>
      </w:r>
      <w:proofErr w:type="spellEnd"/>
      <w:r w:rsidRPr="003177A9">
        <w:rPr>
          <w:lang w:val="en-US"/>
        </w:rPr>
        <w:t>."</w:t>
      </w:r>
      <w:r w:rsidRPr="003177A9">
        <w:rPr>
          <w:lang w:val="en-US"/>
        </w:rPr>
        <w:t xml:space="preserve"> </w:t>
      </w:r>
      <w:proofErr w:type="spellStart"/>
      <w:r w:rsidRPr="003177A9">
        <w:rPr>
          <w:lang w:val="en-US"/>
        </w:rPr>
        <w:t>Kısa</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vurgulama</w:t>
      </w:r>
      <w:proofErr w:type="spellEnd"/>
      <w:r w:rsidRPr="003177A9">
        <w:rPr>
          <w:lang w:val="en-US"/>
        </w:rPr>
        <w:t xml:space="preserve"> </w:t>
      </w:r>
      <w:proofErr w:type="spellStart"/>
      <w:r w:rsidRPr="003177A9">
        <w:rPr>
          <w:lang w:val="en-US"/>
        </w:rPr>
        <w:t>molasının</w:t>
      </w:r>
      <w:proofErr w:type="spellEnd"/>
      <w:r w:rsidRPr="003177A9">
        <w:rPr>
          <w:lang w:val="en-US"/>
        </w:rPr>
        <w:t xml:space="preserve"> </w:t>
      </w:r>
      <w:proofErr w:type="spellStart"/>
      <w:r w:rsidRPr="003177A9">
        <w:rPr>
          <w:lang w:val="en-US"/>
        </w:rPr>
        <w:lastRenderedPageBreak/>
        <w:t>ardından</w:t>
      </w:r>
      <w:proofErr w:type="spellEnd"/>
      <w:r w:rsidRPr="003177A9">
        <w:rPr>
          <w:lang w:val="en-US"/>
        </w:rPr>
        <w:t xml:space="preserve"> </w:t>
      </w:r>
      <w:proofErr w:type="spellStart"/>
      <w:r w:rsidRPr="003177A9">
        <w:rPr>
          <w:lang w:val="en-US"/>
        </w:rPr>
        <w:t>veya</w:t>
      </w:r>
      <w:proofErr w:type="spellEnd"/>
      <w:r w:rsidRPr="003177A9">
        <w:rPr>
          <w:lang w:val="en-US"/>
        </w:rPr>
        <w:t xml:space="preserve"> </w:t>
      </w:r>
      <w:proofErr w:type="spellStart"/>
      <w:r w:rsidRPr="003177A9">
        <w:rPr>
          <w:lang w:val="en-US"/>
        </w:rPr>
        <w:t>sayfayı</w:t>
      </w:r>
      <w:proofErr w:type="spellEnd"/>
      <w:r w:rsidRPr="003177A9">
        <w:rPr>
          <w:lang w:val="en-US"/>
        </w:rPr>
        <w:t xml:space="preserve"> </w:t>
      </w:r>
      <w:proofErr w:type="spellStart"/>
      <w:r w:rsidRPr="003177A9">
        <w:rPr>
          <w:lang w:val="en-US"/>
        </w:rPr>
        <w:t>çevirdikten</w:t>
      </w:r>
      <w:proofErr w:type="spellEnd"/>
      <w:r w:rsidRPr="003177A9">
        <w:rPr>
          <w:lang w:val="en-US"/>
        </w:rPr>
        <w:t xml:space="preserve"> </w:t>
      </w:r>
      <w:proofErr w:type="spellStart"/>
      <w:r w:rsidRPr="003177A9">
        <w:rPr>
          <w:lang w:val="en-US"/>
        </w:rPr>
        <w:t>sonra</w:t>
      </w:r>
      <w:proofErr w:type="spellEnd"/>
      <w:r w:rsidRPr="003177A9">
        <w:rPr>
          <w:lang w:val="en-US"/>
        </w:rPr>
        <w:t xml:space="preserve"> </w:t>
      </w:r>
      <w:proofErr w:type="spellStart"/>
      <w:r w:rsidRPr="003177A9">
        <w:rPr>
          <w:lang w:val="en-US"/>
        </w:rPr>
        <w:t>şöyle</w:t>
      </w:r>
      <w:proofErr w:type="spellEnd"/>
      <w:r w:rsidRPr="003177A9">
        <w:rPr>
          <w:lang w:val="en-US"/>
        </w:rPr>
        <w:t xml:space="preserve"> </w:t>
      </w:r>
      <w:proofErr w:type="spellStart"/>
      <w:r w:rsidRPr="003177A9">
        <w:rPr>
          <w:lang w:val="en-US"/>
        </w:rPr>
        <w:t>devam</w:t>
      </w:r>
      <w:proofErr w:type="spellEnd"/>
      <w:r w:rsidRPr="003177A9">
        <w:rPr>
          <w:lang w:val="en-US"/>
        </w:rPr>
        <w:t xml:space="preserve"> </w:t>
      </w:r>
      <w:proofErr w:type="spellStart"/>
      <w:r w:rsidRPr="003177A9">
        <w:rPr>
          <w:lang w:val="en-US"/>
        </w:rPr>
        <w:t>eder</w:t>
      </w:r>
      <w:proofErr w:type="spellEnd"/>
      <w:r w:rsidRPr="003177A9">
        <w:rPr>
          <w:lang w:val="en-US"/>
        </w:rPr>
        <w:t>: "</w:t>
      </w:r>
      <w:proofErr w:type="spellStart"/>
      <w:r w:rsidRPr="003177A9">
        <w:rPr>
          <w:lang w:val="en-US"/>
        </w:rPr>
        <w:t>Ancak</w:t>
      </w:r>
      <w:proofErr w:type="spellEnd"/>
      <w:r w:rsidRPr="003177A9">
        <w:rPr>
          <w:lang w:val="en-US"/>
        </w:rPr>
        <w:t xml:space="preserve">, </w:t>
      </w:r>
      <w:proofErr w:type="spellStart"/>
      <w:r w:rsidRPr="003177A9">
        <w:rPr>
          <w:lang w:val="en-US"/>
        </w:rPr>
        <w:t>benim</w:t>
      </w:r>
      <w:proofErr w:type="spellEnd"/>
      <w:r w:rsidRPr="003177A9">
        <w:rPr>
          <w:lang w:val="en-US"/>
        </w:rPr>
        <w:t xml:space="preserve"> </w:t>
      </w:r>
      <w:proofErr w:type="spellStart"/>
      <w:r w:rsidRPr="003177A9">
        <w:rPr>
          <w:lang w:val="en-US"/>
        </w:rPr>
        <w:t>için</w:t>
      </w:r>
      <w:proofErr w:type="spellEnd"/>
      <w:r w:rsidRPr="003177A9">
        <w:rPr>
          <w:lang w:val="en-US"/>
        </w:rPr>
        <w:t>—</w:t>
      </w:r>
      <w:proofErr w:type="spellStart"/>
      <w:r w:rsidRPr="003177A9">
        <w:rPr>
          <w:lang w:val="en-US"/>
        </w:rPr>
        <w:t>ve</w:t>
      </w:r>
      <w:proofErr w:type="spellEnd"/>
      <w:r w:rsidRPr="003177A9">
        <w:rPr>
          <w:lang w:val="en-US"/>
        </w:rPr>
        <w:t xml:space="preserve"> </w:t>
      </w:r>
      <w:proofErr w:type="spellStart"/>
      <w:r w:rsidRPr="003177A9">
        <w:rPr>
          <w:lang w:val="en-US"/>
        </w:rPr>
        <w:t>sizin</w:t>
      </w:r>
      <w:proofErr w:type="spellEnd"/>
      <w:r w:rsidRPr="003177A9">
        <w:rPr>
          <w:lang w:val="en-US"/>
        </w:rPr>
        <w:t xml:space="preserve"> </w:t>
      </w:r>
      <w:proofErr w:type="spellStart"/>
      <w:r w:rsidRPr="003177A9">
        <w:rPr>
          <w:lang w:val="en-US"/>
        </w:rPr>
        <w:t>için</w:t>
      </w:r>
      <w:proofErr w:type="spellEnd"/>
      <w:r w:rsidRPr="003177A9">
        <w:rPr>
          <w:lang w:val="en-US"/>
        </w:rPr>
        <w:t>—</w:t>
      </w:r>
      <w:proofErr w:type="spellStart"/>
      <w:r w:rsidRPr="003177A9">
        <w:rPr>
          <w:lang w:val="en-US"/>
        </w:rPr>
        <w:t>şanslıyız</w:t>
      </w:r>
      <w:proofErr w:type="spellEnd"/>
      <w:r w:rsidRPr="003177A9">
        <w:rPr>
          <w:lang w:val="en-US"/>
        </w:rPr>
        <w:t xml:space="preserve"> ki, </w:t>
      </w:r>
      <w:proofErr w:type="spellStart"/>
      <w:r w:rsidRPr="003177A9">
        <w:rPr>
          <w:lang w:val="en-US"/>
        </w:rPr>
        <w:t>bu</w:t>
      </w:r>
      <w:proofErr w:type="spellEnd"/>
      <w:r w:rsidRPr="003177A9">
        <w:rPr>
          <w:lang w:val="en-US"/>
        </w:rPr>
        <w:t xml:space="preserve"> </w:t>
      </w:r>
      <w:proofErr w:type="spellStart"/>
      <w:r w:rsidRPr="003177A9">
        <w:rPr>
          <w:lang w:val="en-US"/>
        </w:rPr>
        <w:t>soruna</w:t>
      </w:r>
      <w:proofErr w:type="spellEnd"/>
      <w:r w:rsidRPr="003177A9">
        <w:rPr>
          <w:lang w:val="en-US"/>
        </w:rPr>
        <w:t xml:space="preserve"> </w:t>
      </w:r>
      <w:proofErr w:type="spellStart"/>
      <w:r w:rsidRPr="003177A9">
        <w:rPr>
          <w:lang w:val="en-US"/>
        </w:rPr>
        <w:t>böyle</w:t>
      </w:r>
      <w:proofErr w:type="spellEnd"/>
      <w:r w:rsidRPr="003177A9">
        <w:rPr>
          <w:lang w:val="en-US"/>
        </w:rPr>
        <w:t xml:space="preserve"> </w:t>
      </w:r>
      <w:proofErr w:type="spellStart"/>
      <w:r w:rsidRPr="003177A9">
        <w:rPr>
          <w:lang w:val="en-US"/>
        </w:rPr>
        <w:t>bakmanın</w:t>
      </w:r>
      <w:proofErr w:type="spellEnd"/>
      <w:r w:rsidRPr="003177A9">
        <w:rPr>
          <w:lang w:val="en-US"/>
        </w:rPr>
        <w:t xml:space="preserve"> </w:t>
      </w:r>
      <w:proofErr w:type="spellStart"/>
      <w:r w:rsidRPr="003177A9">
        <w:rPr>
          <w:lang w:val="en-US"/>
        </w:rPr>
        <w:t>fazla</w:t>
      </w:r>
      <w:proofErr w:type="spellEnd"/>
      <w:r w:rsidRPr="003177A9">
        <w:rPr>
          <w:lang w:val="en-US"/>
        </w:rPr>
        <w:t xml:space="preserve"> </w:t>
      </w:r>
      <w:proofErr w:type="spellStart"/>
      <w:r w:rsidRPr="003177A9">
        <w:rPr>
          <w:lang w:val="en-US"/>
        </w:rPr>
        <w:t>basit</w:t>
      </w:r>
      <w:proofErr w:type="spellEnd"/>
      <w:r w:rsidRPr="003177A9">
        <w:rPr>
          <w:lang w:val="en-US"/>
        </w:rPr>
        <w:t xml:space="preserve"> </w:t>
      </w:r>
      <w:proofErr w:type="spellStart"/>
      <w:r w:rsidRPr="003177A9">
        <w:rPr>
          <w:lang w:val="en-US"/>
        </w:rPr>
        <w:t>olduğunu</w:t>
      </w:r>
      <w:proofErr w:type="spellEnd"/>
      <w:r w:rsidRPr="003177A9">
        <w:rPr>
          <w:lang w:val="en-US"/>
        </w:rPr>
        <w:t xml:space="preserve"> </w:t>
      </w:r>
      <w:proofErr w:type="spellStart"/>
      <w:r w:rsidRPr="003177A9">
        <w:rPr>
          <w:lang w:val="en-US"/>
        </w:rPr>
        <w:t>düşünüyorum</w:t>
      </w:r>
      <w:proofErr w:type="spellEnd"/>
      <w:r w:rsidRPr="003177A9">
        <w:rPr>
          <w:lang w:val="en-US"/>
        </w:rPr>
        <w:t xml:space="preserve">. </w:t>
      </w:r>
      <w:proofErr w:type="spellStart"/>
      <w:r w:rsidRPr="003177A9">
        <w:rPr>
          <w:lang w:val="en-US"/>
        </w:rPr>
        <w:t>Nedenini</w:t>
      </w:r>
      <w:proofErr w:type="spellEnd"/>
      <w:r w:rsidRPr="003177A9">
        <w:rPr>
          <w:lang w:val="en-US"/>
        </w:rPr>
        <w:t xml:space="preserve"> </w:t>
      </w:r>
      <w:proofErr w:type="spellStart"/>
      <w:r w:rsidRPr="003177A9">
        <w:rPr>
          <w:lang w:val="en-US"/>
        </w:rPr>
        <w:t>anlatayım</w:t>
      </w:r>
      <w:proofErr w:type="spellEnd"/>
      <w:r w:rsidRPr="003177A9">
        <w:rPr>
          <w:lang w:val="en-US"/>
        </w:rPr>
        <w:t>."</w:t>
      </w:r>
    </w:p>
    <w:p w14:paraId="1751300F" w14:textId="5C4B4215" w:rsidR="003177A9" w:rsidRPr="003177A9" w:rsidRDefault="003177A9" w:rsidP="003177A9">
      <w:pPr>
        <w:rPr>
          <w:lang w:val="en-US"/>
        </w:rPr>
      </w:pPr>
      <w:proofErr w:type="spellStart"/>
      <w:r w:rsidRPr="003177A9">
        <w:rPr>
          <w:lang w:val="en-US"/>
        </w:rPr>
        <w:t>Bundan</w:t>
      </w:r>
      <w:proofErr w:type="spellEnd"/>
      <w:r w:rsidRPr="003177A9">
        <w:rPr>
          <w:lang w:val="en-US"/>
        </w:rPr>
        <w:t xml:space="preserve"> </w:t>
      </w:r>
      <w:proofErr w:type="spellStart"/>
      <w:r w:rsidRPr="003177A9">
        <w:rPr>
          <w:lang w:val="en-US"/>
        </w:rPr>
        <w:t>sonra</w:t>
      </w:r>
      <w:proofErr w:type="spellEnd"/>
      <w:r w:rsidRPr="003177A9">
        <w:rPr>
          <w:lang w:val="en-US"/>
        </w:rPr>
        <w:t xml:space="preserve"> </w:t>
      </w:r>
      <w:proofErr w:type="spellStart"/>
      <w:r w:rsidRPr="003177A9">
        <w:rPr>
          <w:lang w:val="en-US"/>
        </w:rPr>
        <w:t>gelen</w:t>
      </w:r>
      <w:proofErr w:type="spellEnd"/>
      <w:r w:rsidRPr="003177A9">
        <w:rPr>
          <w:lang w:val="en-US"/>
        </w:rPr>
        <w:t xml:space="preserve"> </w:t>
      </w:r>
      <w:proofErr w:type="spellStart"/>
      <w:r w:rsidRPr="003177A9">
        <w:rPr>
          <w:lang w:val="en-US"/>
        </w:rPr>
        <w:t>açıklama</w:t>
      </w:r>
      <w:proofErr w:type="spellEnd"/>
      <w:r w:rsidRPr="003177A9">
        <w:rPr>
          <w:lang w:val="en-US"/>
        </w:rPr>
        <w:t xml:space="preserve"> </w:t>
      </w:r>
      <w:proofErr w:type="spellStart"/>
      <w:r w:rsidRPr="003177A9">
        <w:rPr>
          <w:lang w:val="en-US"/>
        </w:rPr>
        <w:t>genellikle</w:t>
      </w:r>
      <w:proofErr w:type="spellEnd"/>
      <w:r w:rsidRPr="003177A9">
        <w:rPr>
          <w:lang w:val="en-US"/>
        </w:rPr>
        <w:t xml:space="preserve"> </w:t>
      </w:r>
      <w:proofErr w:type="spellStart"/>
      <w:r w:rsidRPr="003177A9">
        <w:rPr>
          <w:lang w:val="en-US"/>
        </w:rPr>
        <w:t>şu</w:t>
      </w:r>
      <w:proofErr w:type="spellEnd"/>
      <w:r w:rsidRPr="003177A9">
        <w:rPr>
          <w:lang w:val="en-US"/>
        </w:rPr>
        <w:t xml:space="preserve"> </w:t>
      </w:r>
      <w:proofErr w:type="spellStart"/>
      <w:r w:rsidRPr="003177A9">
        <w:rPr>
          <w:lang w:val="en-US"/>
        </w:rPr>
        <w:t>şekilde</w:t>
      </w:r>
      <w:proofErr w:type="spellEnd"/>
      <w:r w:rsidRPr="003177A9">
        <w:rPr>
          <w:lang w:val="en-US"/>
        </w:rPr>
        <w:t xml:space="preserve"> </w:t>
      </w:r>
      <w:proofErr w:type="spellStart"/>
      <w:r w:rsidRPr="003177A9">
        <w:rPr>
          <w:lang w:val="en-US"/>
        </w:rPr>
        <w:t>ilerler</w:t>
      </w:r>
      <w:proofErr w:type="spellEnd"/>
      <w:r w:rsidRPr="003177A9">
        <w:rPr>
          <w:lang w:val="en-US"/>
        </w:rPr>
        <w:t xml:space="preserve"> (</w:t>
      </w:r>
      <w:proofErr w:type="spellStart"/>
      <w:r w:rsidRPr="003177A9">
        <w:rPr>
          <w:lang w:val="en-US"/>
        </w:rPr>
        <w:t>elbette</w:t>
      </w:r>
      <w:proofErr w:type="spellEnd"/>
      <w:r w:rsidRPr="003177A9">
        <w:rPr>
          <w:lang w:val="en-US"/>
        </w:rPr>
        <w:t xml:space="preserve"> </w:t>
      </w:r>
      <w:proofErr w:type="spellStart"/>
      <w:r w:rsidRPr="003177A9">
        <w:rPr>
          <w:lang w:val="en-US"/>
        </w:rPr>
        <w:t>bu</w:t>
      </w:r>
      <w:proofErr w:type="spellEnd"/>
      <w:r w:rsidRPr="003177A9">
        <w:rPr>
          <w:lang w:val="en-US"/>
        </w:rPr>
        <w:t xml:space="preserve"> </w:t>
      </w:r>
      <w:proofErr w:type="spellStart"/>
      <w:r w:rsidRPr="003177A9">
        <w:rPr>
          <w:lang w:val="en-US"/>
        </w:rPr>
        <w:t>anlatının</w:t>
      </w:r>
      <w:proofErr w:type="spellEnd"/>
      <w:r w:rsidRPr="003177A9">
        <w:rPr>
          <w:lang w:val="en-US"/>
        </w:rPr>
        <w:t xml:space="preserve"> </w:t>
      </w:r>
      <w:proofErr w:type="spellStart"/>
      <w:r w:rsidRPr="003177A9">
        <w:rPr>
          <w:lang w:val="en-US"/>
        </w:rPr>
        <w:t>birçok</w:t>
      </w:r>
      <w:proofErr w:type="spellEnd"/>
      <w:r w:rsidRPr="003177A9">
        <w:rPr>
          <w:lang w:val="en-US"/>
        </w:rPr>
        <w:t xml:space="preserve"> </w:t>
      </w:r>
      <w:proofErr w:type="spellStart"/>
      <w:r w:rsidRPr="003177A9">
        <w:rPr>
          <w:lang w:val="en-US"/>
        </w:rPr>
        <w:t>farklı</w:t>
      </w:r>
      <w:proofErr w:type="spellEnd"/>
      <w:r w:rsidRPr="003177A9">
        <w:rPr>
          <w:lang w:val="en-US"/>
        </w:rPr>
        <w:t xml:space="preserve"> </w:t>
      </w:r>
      <w:proofErr w:type="spellStart"/>
      <w:r w:rsidRPr="003177A9">
        <w:rPr>
          <w:lang w:val="en-US"/>
        </w:rPr>
        <w:t>versiyonu</w:t>
      </w:r>
      <w:proofErr w:type="spellEnd"/>
      <w:r w:rsidRPr="003177A9">
        <w:rPr>
          <w:lang w:val="en-US"/>
        </w:rPr>
        <w:t xml:space="preserve"> </w:t>
      </w:r>
      <w:proofErr w:type="spellStart"/>
      <w:r w:rsidRPr="003177A9">
        <w:rPr>
          <w:lang w:val="en-US"/>
        </w:rPr>
        <w:t>vardır</w:t>
      </w:r>
      <w:proofErr w:type="spellEnd"/>
      <w:r w:rsidRPr="003177A9">
        <w:rPr>
          <w:lang w:val="en-US"/>
        </w:rPr>
        <w:t>):</w:t>
      </w:r>
      <w:r w:rsidRPr="003177A9">
        <w:rPr>
          <w:lang w:val="en-US"/>
        </w:rPr>
        <w:t xml:space="preserve"> </w:t>
      </w:r>
      <w:r w:rsidRPr="003177A9">
        <w:rPr>
          <w:lang w:val="en-US"/>
        </w:rPr>
        <w:t>"</w:t>
      </w:r>
      <w:proofErr w:type="spellStart"/>
      <w:r w:rsidRPr="003177A9">
        <w:rPr>
          <w:lang w:val="en-US"/>
        </w:rPr>
        <w:t>Ulusumuz</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demokrasi</w:t>
      </w:r>
      <w:proofErr w:type="spellEnd"/>
      <w:r w:rsidRPr="003177A9">
        <w:rPr>
          <w:lang w:val="en-US"/>
        </w:rPr>
        <w:t xml:space="preserve"> </w:t>
      </w:r>
      <w:proofErr w:type="spellStart"/>
      <w:r w:rsidRPr="003177A9">
        <w:rPr>
          <w:lang w:val="en-US"/>
        </w:rPr>
        <w:t>değildir</w:t>
      </w:r>
      <w:proofErr w:type="spellEnd"/>
      <w:r w:rsidRPr="003177A9">
        <w:rPr>
          <w:lang w:val="en-US"/>
        </w:rPr>
        <w:t xml:space="preserve">; </w:t>
      </w:r>
      <w:proofErr w:type="spellStart"/>
      <w:r w:rsidRPr="003177A9">
        <w:rPr>
          <w:lang w:val="en-US"/>
        </w:rPr>
        <w:t>anayasal</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cumhuriyettir</w:t>
      </w:r>
      <w:proofErr w:type="spellEnd"/>
      <w:r w:rsidRPr="003177A9">
        <w:rPr>
          <w:lang w:val="en-US"/>
        </w:rPr>
        <w:t xml:space="preserve"> (constitutional republic) </w:t>
      </w:r>
      <w:proofErr w:type="spellStart"/>
      <w:r w:rsidRPr="003177A9">
        <w:rPr>
          <w:lang w:val="en-US"/>
        </w:rPr>
        <w:t>ve</w:t>
      </w:r>
      <w:proofErr w:type="spellEnd"/>
      <w:r w:rsidRPr="003177A9">
        <w:rPr>
          <w:lang w:val="en-US"/>
        </w:rPr>
        <w:t xml:space="preserve"> </w:t>
      </w:r>
      <w:proofErr w:type="spellStart"/>
      <w:r w:rsidRPr="003177A9">
        <w:rPr>
          <w:lang w:val="en-US"/>
        </w:rPr>
        <w:t>demokratik</w:t>
      </w:r>
      <w:proofErr w:type="spellEnd"/>
      <w:r w:rsidRPr="003177A9">
        <w:rPr>
          <w:lang w:val="en-US"/>
        </w:rPr>
        <w:t xml:space="preserve"> </w:t>
      </w:r>
      <w:proofErr w:type="spellStart"/>
      <w:r w:rsidRPr="003177A9">
        <w:rPr>
          <w:lang w:val="en-US"/>
        </w:rPr>
        <w:t>karar</w:t>
      </w:r>
      <w:proofErr w:type="spellEnd"/>
      <w:r w:rsidRPr="003177A9">
        <w:rPr>
          <w:lang w:val="en-US"/>
        </w:rPr>
        <w:t xml:space="preserve"> alma </w:t>
      </w:r>
      <w:proofErr w:type="spellStart"/>
      <w:r w:rsidRPr="003177A9">
        <w:rPr>
          <w:lang w:val="en-US"/>
        </w:rPr>
        <w:t>süreçleri</w:t>
      </w:r>
      <w:proofErr w:type="spellEnd"/>
      <w:r w:rsidRPr="003177A9">
        <w:rPr>
          <w:lang w:val="en-US"/>
        </w:rPr>
        <w:t xml:space="preserve"> </w:t>
      </w:r>
      <w:proofErr w:type="spellStart"/>
      <w:r w:rsidRPr="003177A9">
        <w:rPr>
          <w:lang w:val="en-US"/>
        </w:rPr>
        <w:t>ile</w:t>
      </w:r>
      <w:proofErr w:type="spellEnd"/>
      <w:r w:rsidRPr="003177A9">
        <w:rPr>
          <w:lang w:val="en-US"/>
        </w:rPr>
        <w:t xml:space="preserve"> </w:t>
      </w:r>
      <w:proofErr w:type="spellStart"/>
      <w:r w:rsidRPr="003177A9">
        <w:rPr>
          <w:lang w:val="en-US"/>
        </w:rPr>
        <w:t>bireysel</w:t>
      </w:r>
      <w:proofErr w:type="spellEnd"/>
      <w:r w:rsidRPr="003177A9">
        <w:rPr>
          <w:lang w:val="en-US"/>
        </w:rPr>
        <w:t xml:space="preserve"> </w:t>
      </w:r>
      <w:proofErr w:type="spellStart"/>
      <w:r w:rsidRPr="003177A9">
        <w:rPr>
          <w:lang w:val="en-US"/>
        </w:rPr>
        <w:t>hakların</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arada</w:t>
      </w:r>
      <w:proofErr w:type="spellEnd"/>
      <w:r w:rsidRPr="003177A9">
        <w:rPr>
          <w:lang w:val="en-US"/>
        </w:rPr>
        <w:t xml:space="preserve"> var </w:t>
      </w:r>
      <w:proofErr w:type="spellStart"/>
      <w:r w:rsidRPr="003177A9">
        <w:rPr>
          <w:lang w:val="en-US"/>
        </w:rPr>
        <w:t>olmasına</w:t>
      </w:r>
      <w:proofErr w:type="spellEnd"/>
      <w:r w:rsidRPr="003177A9">
        <w:rPr>
          <w:lang w:val="en-US"/>
        </w:rPr>
        <w:t xml:space="preserve"> </w:t>
      </w:r>
      <w:proofErr w:type="spellStart"/>
      <w:r w:rsidRPr="003177A9">
        <w:rPr>
          <w:lang w:val="en-US"/>
        </w:rPr>
        <w:t>bağlıdır</w:t>
      </w:r>
      <w:proofErr w:type="spellEnd"/>
      <w:r w:rsidRPr="003177A9">
        <w:rPr>
          <w:lang w:val="en-US"/>
        </w:rPr>
        <w:t xml:space="preserve">. Bu </w:t>
      </w:r>
      <w:proofErr w:type="spellStart"/>
      <w:r w:rsidRPr="003177A9">
        <w:rPr>
          <w:lang w:val="en-US"/>
        </w:rPr>
        <w:t>iki</w:t>
      </w:r>
      <w:proofErr w:type="spellEnd"/>
      <w:r w:rsidRPr="003177A9">
        <w:rPr>
          <w:lang w:val="en-US"/>
        </w:rPr>
        <w:t xml:space="preserve"> </w:t>
      </w:r>
      <w:proofErr w:type="spellStart"/>
      <w:r w:rsidRPr="003177A9">
        <w:rPr>
          <w:lang w:val="en-US"/>
        </w:rPr>
        <w:t>eşit</w:t>
      </w:r>
      <w:proofErr w:type="spellEnd"/>
      <w:r w:rsidRPr="003177A9">
        <w:rPr>
          <w:lang w:val="en-US"/>
        </w:rPr>
        <w:t xml:space="preserve"> </w:t>
      </w:r>
      <w:proofErr w:type="spellStart"/>
      <w:r w:rsidRPr="003177A9">
        <w:rPr>
          <w:lang w:val="en-US"/>
        </w:rPr>
        <w:t>derecede</w:t>
      </w:r>
      <w:proofErr w:type="spellEnd"/>
      <w:r w:rsidRPr="003177A9">
        <w:rPr>
          <w:lang w:val="en-US"/>
        </w:rPr>
        <w:t xml:space="preserve"> </w:t>
      </w:r>
      <w:proofErr w:type="spellStart"/>
      <w:r w:rsidRPr="003177A9">
        <w:rPr>
          <w:lang w:val="en-US"/>
        </w:rPr>
        <w:t>önemli</w:t>
      </w:r>
      <w:proofErr w:type="spellEnd"/>
      <w:r w:rsidRPr="003177A9">
        <w:rPr>
          <w:lang w:val="en-US"/>
        </w:rPr>
        <w:t xml:space="preserve"> </w:t>
      </w:r>
      <w:proofErr w:type="spellStart"/>
      <w:r w:rsidRPr="003177A9">
        <w:rPr>
          <w:lang w:val="en-US"/>
        </w:rPr>
        <w:t>ilke</w:t>
      </w:r>
      <w:proofErr w:type="spellEnd"/>
      <w:r w:rsidRPr="003177A9">
        <w:rPr>
          <w:lang w:val="en-US"/>
        </w:rPr>
        <w:t xml:space="preserve"> </w:t>
      </w:r>
      <w:proofErr w:type="spellStart"/>
      <w:r w:rsidRPr="003177A9">
        <w:rPr>
          <w:lang w:val="en-US"/>
        </w:rPr>
        <w:t>arasında</w:t>
      </w:r>
      <w:proofErr w:type="spellEnd"/>
      <w:r w:rsidRPr="003177A9">
        <w:rPr>
          <w:lang w:val="en-US"/>
        </w:rPr>
        <w:t xml:space="preserve"> </w:t>
      </w:r>
      <w:proofErr w:type="spellStart"/>
      <w:r w:rsidRPr="003177A9">
        <w:rPr>
          <w:lang w:val="en-US"/>
        </w:rPr>
        <w:t>doğru</w:t>
      </w:r>
      <w:proofErr w:type="spellEnd"/>
      <w:r w:rsidRPr="003177A9">
        <w:rPr>
          <w:lang w:val="en-US"/>
        </w:rPr>
        <w:t xml:space="preserve"> </w:t>
      </w:r>
      <w:proofErr w:type="spellStart"/>
      <w:r w:rsidRPr="003177A9">
        <w:rPr>
          <w:lang w:val="en-US"/>
        </w:rPr>
        <w:t>dengeyi</w:t>
      </w:r>
      <w:proofErr w:type="spellEnd"/>
      <w:r w:rsidRPr="003177A9">
        <w:rPr>
          <w:lang w:val="en-US"/>
        </w:rPr>
        <w:t xml:space="preserve"> </w:t>
      </w:r>
      <w:proofErr w:type="spellStart"/>
      <w:r w:rsidRPr="003177A9">
        <w:rPr>
          <w:lang w:val="en-US"/>
        </w:rPr>
        <w:t>sağlamak</w:t>
      </w:r>
      <w:proofErr w:type="spellEnd"/>
      <w:r w:rsidRPr="003177A9">
        <w:rPr>
          <w:lang w:val="en-US"/>
        </w:rPr>
        <w:t xml:space="preserve">, </w:t>
      </w:r>
      <w:proofErr w:type="spellStart"/>
      <w:r w:rsidRPr="003177A9">
        <w:rPr>
          <w:lang w:val="en-US"/>
        </w:rPr>
        <w:t>hassas</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kurumsal</w:t>
      </w:r>
      <w:proofErr w:type="spellEnd"/>
      <w:r w:rsidRPr="003177A9">
        <w:rPr>
          <w:lang w:val="en-US"/>
        </w:rPr>
        <w:t xml:space="preserve"> </w:t>
      </w:r>
      <w:proofErr w:type="spellStart"/>
      <w:r w:rsidRPr="003177A9">
        <w:rPr>
          <w:lang w:val="en-US"/>
        </w:rPr>
        <w:t>tasarım</w:t>
      </w:r>
      <w:proofErr w:type="spellEnd"/>
      <w:r w:rsidRPr="003177A9">
        <w:rPr>
          <w:lang w:val="en-US"/>
        </w:rPr>
        <w:t xml:space="preserve"> (institutional design) </w:t>
      </w:r>
      <w:proofErr w:type="spellStart"/>
      <w:r w:rsidRPr="003177A9">
        <w:rPr>
          <w:lang w:val="en-US"/>
        </w:rPr>
        <w:t>meselesidir</w:t>
      </w:r>
      <w:proofErr w:type="spellEnd"/>
      <w:r w:rsidRPr="003177A9">
        <w:rPr>
          <w:lang w:val="en-US"/>
        </w:rPr>
        <w:t>.</w:t>
      </w:r>
      <w:r w:rsidRPr="003177A9">
        <w:rPr>
          <w:lang w:val="en-US"/>
        </w:rPr>
        <w:t xml:space="preserve"> </w:t>
      </w:r>
      <w:r w:rsidRPr="003177A9">
        <w:rPr>
          <w:lang w:val="en-US"/>
        </w:rPr>
        <w:t xml:space="preserve">Tek </w:t>
      </w:r>
      <w:proofErr w:type="spellStart"/>
      <w:r w:rsidRPr="003177A9">
        <w:rPr>
          <w:lang w:val="en-US"/>
        </w:rPr>
        <w:t>bir</w:t>
      </w:r>
      <w:proofErr w:type="spellEnd"/>
      <w:r w:rsidRPr="003177A9">
        <w:rPr>
          <w:lang w:val="en-US"/>
        </w:rPr>
        <w:t xml:space="preserve"> </w:t>
      </w:r>
      <w:proofErr w:type="spellStart"/>
      <w:r w:rsidRPr="003177A9">
        <w:rPr>
          <w:lang w:val="en-US"/>
        </w:rPr>
        <w:t>hükümet</w:t>
      </w:r>
      <w:proofErr w:type="spellEnd"/>
      <w:r w:rsidRPr="003177A9">
        <w:rPr>
          <w:lang w:val="en-US"/>
        </w:rPr>
        <w:t xml:space="preserve"> </w:t>
      </w:r>
      <w:proofErr w:type="spellStart"/>
      <w:r w:rsidRPr="003177A9">
        <w:rPr>
          <w:lang w:val="en-US"/>
        </w:rPr>
        <w:t>organına</w:t>
      </w:r>
      <w:proofErr w:type="spellEnd"/>
      <w:r w:rsidRPr="003177A9">
        <w:rPr>
          <w:lang w:val="en-US"/>
        </w:rPr>
        <w:t xml:space="preserve"> </w:t>
      </w:r>
      <w:proofErr w:type="spellStart"/>
      <w:r w:rsidRPr="003177A9">
        <w:rPr>
          <w:lang w:val="en-US"/>
        </w:rPr>
        <w:t>ya</w:t>
      </w:r>
      <w:proofErr w:type="spellEnd"/>
      <w:r w:rsidRPr="003177A9">
        <w:rPr>
          <w:lang w:val="en-US"/>
        </w:rPr>
        <w:t xml:space="preserve"> da </w:t>
      </w:r>
      <w:proofErr w:type="spellStart"/>
      <w:r w:rsidRPr="003177A9">
        <w:rPr>
          <w:lang w:val="en-US"/>
        </w:rPr>
        <w:t>belirli</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yetkili</w:t>
      </w:r>
      <w:proofErr w:type="spellEnd"/>
      <w:r w:rsidRPr="003177A9">
        <w:rPr>
          <w:lang w:val="en-US"/>
        </w:rPr>
        <w:t xml:space="preserve"> </w:t>
      </w:r>
      <w:proofErr w:type="spellStart"/>
      <w:r w:rsidRPr="003177A9">
        <w:rPr>
          <w:lang w:val="en-US"/>
        </w:rPr>
        <w:t>türüne</w:t>
      </w:r>
      <w:proofErr w:type="spellEnd"/>
      <w:r w:rsidRPr="003177A9">
        <w:rPr>
          <w:lang w:val="en-US"/>
        </w:rPr>
        <w:t xml:space="preserve"> her </w:t>
      </w:r>
      <w:proofErr w:type="spellStart"/>
      <w:r w:rsidRPr="003177A9">
        <w:rPr>
          <w:lang w:val="en-US"/>
        </w:rPr>
        <w:t>iki</w:t>
      </w:r>
      <w:proofErr w:type="spellEnd"/>
      <w:r w:rsidRPr="003177A9">
        <w:rPr>
          <w:lang w:val="en-US"/>
        </w:rPr>
        <w:t xml:space="preserve"> </w:t>
      </w:r>
      <w:proofErr w:type="spellStart"/>
      <w:r w:rsidRPr="003177A9">
        <w:rPr>
          <w:lang w:val="en-US"/>
        </w:rPr>
        <w:t>değeri</w:t>
      </w:r>
      <w:proofErr w:type="spellEnd"/>
      <w:r w:rsidRPr="003177A9">
        <w:rPr>
          <w:lang w:val="en-US"/>
        </w:rPr>
        <w:t xml:space="preserve"> </w:t>
      </w:r>
      <w:proofErr w:type="spellStart"/>
      <w:r w:rsidRPr="003177A9">
        <w:rPr>
          <w:lang w:val="en-US"/>
        </w:rPr>
        <w:t>birden</w:t>
      </w:r>
      <w:proofErr w:type="spellEnd"/>
      <w:r w:rsidRPr="003177A9">
        <w:rPr>
          <w:lang w:val="en-US"/>
        </w:rPr>
        <w:t xml:space="preserve"> </w:t>
      </w:r>
      <w:proofErr w:type="spellStart"/>
      <w:r w:rsidRPr="003177A9">
        <w:rPr>
          <w:lang w:val="en-US"/>
        </w:rPr>
        <w:t>koruma</w:t>
      </w:r>
      <w:proofErr w:type="spellEnd"/>
      <w:r w:rsidRPr="003177A9">
        <w:rPr>
          <w:lang w:val="en-US"/>
        </w:rPr>
        <w:t xml:space="preserve"> </w:t>
      </w:r>
      <w:proofErr w:type="spellStart"/>
      <w:r w:rsidRPr="003177A9">
        <w:rPr>
          <w:lang w:val="en-US"/>
        </w:rPr>
        <w:t>görevi</w:t>
      </w:r>
      <w:proofErr w:type="spellEnd"/>
      <w:r w:rsidRPr="003177A9">
        <w:rPr>
          <w:lang w:val="en-US"/>
        </w:rPr>
        <w:t xml:space="preserve"> </w:t>
      </w:r>
      <w:proofErr w:type="spellStart"/>
      <w:r w:rsidRPr="003177A9">
        <w:rPr>
          <w:lang w:val="en-US"/>
        </w:rPr>
        <w:t>emanet</w:t>
      </w:r>
      <w:proofErr w:type="spellEnd"/>
      <w:r w:rsidRPr="003177A9">
        <w:rPr>
          <w:lang w:val="en-US"/>
        </w:rPr>
        <w:t xml:space="preserve"> </w:t>
      </w:r>
      <w:proofErr w:type="spellStart"/>
      <w:r w:rsidRPr="003177A9">
        <w:rPr>
          <w:lang w:val="en-US"/>
        </w:rPr>
        <w:t>edilemez</w:t>
      </w:r>
      <w:proofErr w:type="spellEnd"/>
      <w:r w:rsidRPr="003177A9">
        <w:rPr>
          <w:lang w:val="en-US"/>
        </w:rPr>
        <w:t xml:space="preserve">; </w:t>
      </w:r>
      <w:proofErr w:type="spellStart"/>
      <w:r w:rsidRPr="003177A9">
        <w:rPr>
          <w:lang w:val="en-US"/>
        </w:rPr>
        <w:t>bunun</w:t>
      </w:r>
      <w:proofErr w:type="spellEnd"/>
      <w:r w:rsidRPr="003177A9">
        <w:rPr>
          <w:lang w:val="en-US"/>
        </w:rPr>
        <w:t xml:space="preserve"> </w:t>
      </w:r>
      <w:proofErr w:type="spellStart"/>
      <w:r w:rsidRPr="003177A9">
        <w:rPr>
          <w:lang w:val="en-US"/>
        </w:rPr>
        <w:t>yerine</w:t>
      </w:r>
      <w:proofErr w:type="spellEnd"/>
      <w:r w:rsidRPr="003177A9">
        <w:rPr>
          <w:lang w:val="en-US"/>
        </w:rPr>
        <w:t xml:space="preserve">, </w:t>
      </w:r>
      <w:proofErr w:type="spellStart"/>
      <w:r w:rsidRPr="003177A9">
        <w:rPr>
          <w:lang w:val="en-US"/>
        </w:rPr>
        <w:t>farklı</w:t>
      </w:r>
      <w:proofErr w:type="spellEnd"/>
      <w:r w:rsidRPr="003177A9">
        <w:rPr>
          <w:lang w:val="en-US"/>
        </w:rPr>
        <w:t xml:space="preserve"> </w:t>
      </w:r>
      <w:proofErr w:type="spellStart"/>
      <w:r w:rsidRPr="003177A9">
        <w:rPr>
          <w:lang w:val="en-US"/>
        </w:rPr>
        <w:t>bakış</w:t>
      </w:r>
      <w:proofErr w:type="spellEnd"/>
      <w:r w:rsidRPr="003177A9">
        <w:rPr>
          <w:lang w:val="en-US"/>
        </w:rPr>
        <w:t xml:space="preserve"> </w:t>
      </w:r>
      <w:proofErr w:type="spellStart"/>
      <w:r w:rsidRPr="003177A9">
        <w:rPr>
          <w:lang w:val="en-US"/>
        </w:rPr>
        <w:t>açılarını</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uzmanlık</w:t>
      </w:r>
      <w:proofErr w:type="spellEnd"/>
      <w:r w:rsidRPr="003177A9">
        <w:rPr>
          <w:lang w:val="en-US"/>
        </w:rPr>
        <w:t xml:space="preserve"> </w:t>
      </w:r>
      <w:proofErr w:type="spellStart"/>
      <w:r w:rsidRPr="003177A9">
        <w:rPr>
          <w:lang w:val="en-US"/>
        </w:rPr>
        <w:t>alanlarını</w:t>
      </w:r>
      <w:proofErr w:type="spellEnd"/>
      <w:r w:rsidRPr="003177A9">
        <w:rPr>
          <w:lang w:val="en-US"/>
        </w:rPr>
        <w:t xml:space="preserve"> </w:t>
      </w:r>
      <w:proofErr w:type="spellStart"/>
      <w:r w:rsidRPr="003177A9">
        <w:rPr>
          <w:lang w:val="en-US"/>
        </w:rPr>
        <w:t>yansıtacak</w:t>
      </w:r>
      <w:proofErr w:type="spellEnd"/>
      <w:r w:rsidRPr="003177A9">
        <w:rPr>
          <w:lang w:val="en-US"/>
        </w:rPr>
        <w:t xml:space="preserve"> </w:t>
      </w:r>
      <w:proofErr w:type="spellStart"/>
      <w:r w:rsidRPr="003177A9">
        <w:rPr>
          <w:lang w:val="en-US"/>
        </w:rPr>
        <w:t>şekilde</w:t>
      </w:r>
      <w:proofErr w:type="spellEnd"/>
      <w:r w:rsidRPr="003177A9">
        <w:rPr>
          <w:lang w:val="en-US"/>
        </w:rPr>
        <w:t xml:space="preserve"> </w:t>
      </w:r>
      <w:proofErr w:type="spellStart"/>
      <w:r w:rsidRPr="003177A9">
        <w:rPr>
          <w:lang w:val="en-US"/>
        </w:rPr>
        <w:t>çeşitlendirilmiş</w:t>
      </w:r>
      <w:proofErr w:type="spellEnd"/>
      <w:r w:rsidRPr="003177A9">
        <w:rPr>
          <w:lang w:val="en-US"/>
        </w:rPr>
        <w:t xml:space="preserve"> </w:t>
      </w:r>
      <w:proofErr w:type="spellStart"/>
      <w:r w:rsidRPr="003177A9">
        <w:rPr>
          <w:lang w:val="en-US"/>
        </w:rPr>
        <w:t>kurumlar</w:t>
      </w:r>
      <w:proofErr w:type="spellEnd"/>
      <w:r w:rsidRPr="003177A9">
        <w:rPr>
          <w:lang w:val="en-US"/>
        </w:rPr>
        <w:t xml:space="preserve"> </w:t>
      </w:r>
      <w:proofErr w:type="spellStart"/>
      <w:r w:rsidRPr="003177A9">
        <w:rPr>
          <w:lang w:val="en-US"/>
        </w:rPr>
        <w:t>tasarlamamız</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bunları</w:t>
      </w:r>
      <w:proofErr w:type="spellEnd"/>
      <w:r w:rsidRPr="003177A9">
        <w:rPr>
          <w:lang w:val="en-US"/>
        </w:rPr>
        <w:t xml:space="preserve"> </w:t>
      </w:r>
      <w:proofErr w:type="spellStart"/>
      <w:r w:rsidRPr="003177A9">
        <w:rPr>
          <w:lang w:val="en-US"/>
        </w:rPr>
        <w:t>uygun</w:t>
      </w:r>
      <w:proofErr w:type="spellEnd"/>
      <w:r w:rsidRPr="003177A9">
        <w:rPr>
          <w:lang w:val="en-US"/>
        </w:rPr>
        <w:t xml:space="preserve"> </w:t>
      </w:r>
      <w:proofErr w:type="spellStart"/>
      <w:r w:rsidRPr="003177A9">
        <w:rPr>
          <w:lang w:val="en-US"/>
        </w:rPr>
        <w:t>şekilde</w:t>
      </w:r>
      <w:proofErr w:type="spellEnd"/>
      <w:r w:rsidRPr="003177A9">
        <w:rPr>
          <w:lang w:val="en-US"/>
        </w:rPr>
        <w:t xml:space="preserve"> </w:t>
      </w:r>
      <w:proofErr w:type="spellStart"/>
      <w:r w:rsidRPr="003177A9">
        <w:rPr>
          <w:lang w:val="en-US"/>
        </w:rPr>
        <w:t>donatmamız</w:t>
      </w:r>
      <w:proofErr w:type="spellEnd"/>
      <w:r w:rsidRPr="003177A9">
        <w:rPr>
          <w:lang w:val="en-US"/>
        </w:rPr>
        <w:t xml:space="preserve"> </w:t>
      </w:r>
      <w:proofErr w:type="spellStart"/>
      <w:r w:rsidRPr="003177A9">
        <w:rPr>
          <w:lang w:val="en-US"/>
        </w:rPr>
        <w:t>gerekmektedir</w:t>
      </w:r>
      <w:proofErr w:type="spellEnd"/>
      <w:r w:rsidRPr="003177A9">
        <w:rPr>
          <w:lang w:val="en-US"/>
        </w:rPr>
        <w:t xml:space="preserve">. </w:t>
      </w:r>
      <w:proofErr w:type="spellStart"/>
      <w:r w:rsidRPr="003177A9">
        <w:rPr>
          <w:lang w:val="en-US"/>
        </w:rPr>
        <w:t>Eğer</w:t>
      </w:r>
      <w:proofErr w:type="spellEnd"/>
      <w:r w:rsidRPr="003177A9">
        <w:rPr>
          <w:lang w:val="en-US"/>
        </w:rPr>
        <w:t xml:space="preserve"> </w:t>
      </w:r>
      <w:proofErr w:type="spellStart"/>
      <w:r w:rsidRPr="003177A9">
        <w:rPr>
          <w:lang w:val="en-US"/>
        </w:rPr>
        <w:t>doğru</w:t>
      </w:r>
      <w:proofErr w:type="spellEnd"/>
      <w:r w:rsidRPr="003177A9">
        <w:rPr>
          <w:lang w:val="en-US"/>
        </w:rPr>
        <w:t xml:space="preserve"> </w:t>
      </w:r>
      <w:proofErr w:type="spellStart"/>
      <w:r w:rsidRPr="003177A9">
        <w:rPr>
          <w:lang w:val="en-US"/>
        </w:rPr>
        <w:t>tasarlanırsa</w:t>
      </w:r>
      <w:proofErr w:type="spellEnd"/>
      <w:r w:rsidRPr="003177A9">
        <w:rPr>
          <w:lang w:val="en-US"/>
        </w:rPr>
        <w:t xml:space="preserve">, </w:t>
      </w:r>
      <w:proofErr w:type="spellStart"/>
      <w:r w:rsidRPr="003177A9">
        <w:rPr>
          <w:lang w:val="en-US"/>
        </w:rPr>
        <w:t>güçlü</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yargı</w:t>
      </w:r>
      <w:proofErr w:type="spellEnd"/>
      <w:r w:rsidRPr="003177A9">
        <w:rPr>
          <w:lang w:val="en-US"/>
        </w:rPr>
        <w:t xml:space="preserve"> (robust judiciary), </w:t>
      </w:r>
      <w:proofErr w:type="spellStart"/>
      <w:r w:rsidRPr="003177A9">
        <w:rPr>
          <w:lang w:val="en-US"/>
        </w:rPr>
        <w:t>bu</w:t>
      </w:r>
      <w:proofErr w:type="spellEnd"/>
      <w:r w:rsidRPr="003177A9">
        <w:rPr>
          <w:lang w:val="en-US"/>
        </w:rPr>
        <w:t xml:space="preserve"> </w:t>
      </w:r>
      <w:proofErr w:type="spellStart"/>
      <w:r w:rsidRPr="003177A9">
        <w:rPr>
          <w:lang w:val="en-US"/>
        </w:rPr>
        <w:t>gerekli</w:t>
      </w:r>
      <w:proofErr w:type="spellEnd"/>
      <w:r w:rsidRPr="003177A9">
        <w:rPr>
          <w:lang w:val="en-US"/>
        </w:rPr>
        <w:t xml:space="preserve"> </w:t>
      </w:r>
      <w:proofErr w:type="spellStart"/>
      <w:r w:rsidRPr="003177A9">
        <w:rPr>
          <w:lang w:val="en-US"/>
        </w:rPr>
        <w:t>dengeyi</w:t>
      </w:r>
      <w:proofErr w:type="spellEnd"/>
      <w:r w:rsidRPr="003177A9">
        <w:rPr>
          <w:lang w:val="en-US"/>
        </w:rPr>
        <w:t xml:space="preserve"> </w:t>
      </w:r>
      <w:proofErr w:type="spellStart"/>
      <w:r w:rsidRPr="003177A9">
        <w:rPr>
          <w:lang w:val="en-US"/>
        </w:rPr>
        <w:t>sağlamaya</w:t>
      </w:r>
      <w:proofErr w:type="spellEnd"/>
      <w:r w:rsidRPr="003177A9">
        <w:rPr>
          <w:lang w:val="en-US"/>
        </w:rPr>
        <w:t xml:space="preserve"> </w:t>
      </w:r>
      <w:proofErr w:type="spellStart"/>
      <w:r w:rsidRPr="003177A9">
        <w:rPr>
          <w:lang w:val="en-US"/>
        </w:rPr>
        <w:t>yardımcı</w:t>
      </w:r>
      <w:proofErr w:type="spellEnd"/>
      <w:r w:rsidRPr="003177A9">
        <w:rPr>
          <w:lang w:val="en-US"/>
        </w:rPr>
        <w:t xml:space="preserve"> </w:t>
      </w:r>
      <w:proofErr w:type="spellStart"/>
      <w:r w:rsidRPr="003177A9">
        <w:rPr>
          <w:lang w:val="en-US"/>
        </w:rPr>
        <w:t>olan</w:t>
      </w:r>
      <w:proofErr w:type="spellEnd"/>
      <w:r w:rsidRPr="003177A9">
        <w:rPr>
          <w:lang w:val="en-US"/>
        </w:rPr>
        <w:t xml:space="preserve"> </w:t>
      </w:r>
      <w:proofErr w:type="spellStart"/>
      <w:r w:rsidRPr="003177A9">
        <w:rPr>
          <w:lang w:val="en-US"/>
        </w:rPr>
        <w:t>kurumlardan</w:t>
      </w:r>
      <w:proofErr w:type="spellEnd"/>
      <w:r w:rsidRPr="003177A9">
        <w:rPr>
          <w:lang w:val="en-US"/>
        </w:rPr>
        <w:t xml:space="preserve"> </w:t>
      </w:r>
      <w:proofErr w:type="spellStart"/>
      <w:r w:rsidRPr="003177A9">
        <w:rPr>
          <w:lang w:val="en-US"/>
        </w:rPr>
        <w:t>biri</w:t>
      </w:r>
      <w:proofErr w:type="spellEnd"/>
      <w:r w:rsidRPr="003177A9">
        <w:rPr>
          <w:lang w:val="en-US"/>
        </w:rPr>
        <w:t xml:space="preserve"> </w:t>
      </w:r>
      <w:proofErr w:type="spellStart"/>
      <w:r w:rsidRPr="003177A9">
        <w:rPr>
          <w:lang w:val="en-US"/>
        </w:rPr>
        <w:t>olur</w:t>
      </w:r>
      <w:proofErr w:type="spellEnd"/>
      <w:r w:rsidRPr="003177A9">
        <w:rPr>
          <w:lang w:val="en-US"/>
        </w:rPr>
        <w:t>.</w:t>
      </w:r>
      <w:r w:rsidRPr="003177A9">
        <w:rPr>
          <w:lang w:val="en-US"/>
        </w:rPr>
        <w:t xml:space="preserve"> </w:t>
      </w:r>
      <w:r w:rsidRPr="003177A9">
        <w:rPr>
          <w:lang w:val="en-US"/>
        </w:rPr>
        <w:t xml:space="preserve">Bir </w:t>
      </w:r>
      <w:proofErr w:type="spellStart"/>
      <w:r w:rsidRPr="003177A9">
        <w:rPr>
          <w:lang w:val="en-US"/>
        </w:rPr>
        <w:t>anayasal</w:t>
      </w:r>
      <w:proofErr w:type="spellEnd"/>
      <w:r w:rsidRPr="003177A9">
        <w:rPr>
          <w:lang w:val="en-US"/>
        </w:rPr>
        <w:t xml:space="preserve"> </w:t>
      </w:r>
      <w:proofErr w:type="spellStart"/>
      <w:r w:rsidRPr="003177A9">
        <w:rPr>
          <w:lang w:val="en-US"/>
        </w:rPr>
        <w:t>cumhuriyetin</w:t>
      </w:r>
      <w:proofErr w:type="spellEnd"/>
      <w:r w:rsidRPr="003177A9">
        <w:rPr>
          <w:lang w:val="en-US"/>
        </w:rPr>
        <w:t xml:space="preserve"> </w:t>
      </w:r>
      <w:proofErr w:type="spellStart"/>
      <w:r w:rsidRPr="003177A9">
        <w:rPr>
          <w:lang w:val="en-US"/>
        </w:rPr>
        <w:t>uzun</w:t>
      </w:r>
      <w:proofErr w:type="spellEnd"/>
      <w:r w:rsidRPr="003177A9">
        <w:rPr>
          <w:lang w:val="en-US"/>
        </w:rPr>
        <w:t xml:space="preserve"> </w:t>
      </w:r>
      <w:proofErr w:type="spellStart"/>
      <w:r w:rsidRPr="003177A9">
        <w:rPr>
          <w:lang w:val="en-US"/>
        </w:rPr>
        <w:t>vadede</w:t>
      </w:r>
      <w:proofErr w:type="spellEnd"/>
      <w:r w:rsidRPr="003177A9">
        <w:rPr>
          <w:lang w:val="en-US"/>
        </w:rPr>
        <w:t xml:space="preserve"> </w:t>
      </w:r>
      <w:proofErr w:type="spellStart"/>
      <w:r w:rsidRPr="003177A9">
        <w:rPr>
          <w:lang w:val="en-US"/>
        </w:rPr>
        <w:t>başarılı</w:t>
      </w:r>
      <w:proofErr w:type="spellEnd"/>
      <w:r w:rsidRPr="003177A9">
        <w:rPr>
          <w:lang w:val="en-US"/>
        </w:rPr>
        <w:t xml:space="preserve"> </w:t>
      </w:r>
      <w:proofErr w:type="spellStart"/>
      <w:r w:rsidRPr="003177A9">
        <w:rPr>
          <w:lang w:val="en-US"/>
        </w:rPr>
        <w:t>olup</w:t>
      </w:r>
      <w:proofErr w:type="spellEnd"/>
      <w:r w:rsidRPr="003177A9">
        <w:rPr>
          <w:lang w:val="en-US"/>
        </w:rPr>
        <w:t xml:space="preserve"> </w:t>
      </w:r>
      <w:proofErr w:type="spellStart"/>
      <w:r w:rsidRPr="003177A9">
        <w:rPr>
          <w:lang w:val="en-US"/>
        </w:rPr>
        <w:t>olmayacağı</w:t>
      </w:r>
      <w:proofErr w:type="spellEnd"/>
      <w:r w:rsidRPr="003177A9">
        <w:rPr>
          <w:lang w:val="en-US"/>
        </w:rPr>
        <w:t xml:space="preserve">, </w:t>
      </w:r>
      <w:proofErr w:type="spellStart"/>
      <w:r w:rsidRPr="003177A9">
        <w:rPr>
          <w:lang w:val="en-US"/>
        </w:rPr>
        <w:t>günlük</w:t>
      </w:r>
      <w:proofErr w:type="spellEnd"/>
      <w:r w:rsidRPr="003177A9">
        <w:rPr>
          <w:lang w:val="en-US"/>
        </w:rPr>
        <w:t xml:space="preserve"> </w:t>
      </w:r>
      <w:proofErr w:type="spellStart"/>
      <w:r w:rsidRPr="003177A9">
        <w:rPr>
          <w:lang w:val="en-US"/>
        </w:rPr>
        <w:t>işleyişte</w:t>
      </w:r>
      <w:proofErr w:type="spellEnd"/>
      <w:r w:rsidRPr="003177A9">
        <w:rPr>
          <w:lang w:val="en-US"/>
        </w:rPr>
        <w:t xml:space="preserve"> </w:t>
      </w:r>
      <w:proofErr w:type="spellStart"/>
      <w:r w:rsidRPr="003177A9">
        <w:rPr>
          <w:lang w:val="en-US"/>
        </w:rPr>
        <w:t>halk</w:t>
      </w:r>
      <w:proofErr w:type="spellEnd"/>
      <w:r w:rsidRPr="003177A9">
        <w:rPr>
          <w:lang w:val="en-US"/>
        </w:rPr>
        <w:t xml:space="preserve"> </w:t>
      </w:r>
      <w:proofErr w:type="spellStart"/>
      <w:r w:rsidRPr="003177A9">
        <w:rPr>
          <w:lang w:val="en-US"/>
        </w:rPr>
        <w:t>egemenliği</w:t>
      </w:r>
      <w:proofErr w:type="spellEnd"/>
      <w:r w:rsidRPr="003177A9">
        <w:rPr>
          <w:lang w:val="en-US"/>
        </w:rPr>
        <w:t xml:space="preserve"> (self-rule) </w:t>
      </w:r>
      <w:proofErr w:type="spellStart"/>
      <w:r w:rsidRPr="003177A9">
        <w:rPr>
          <w:lang w:val="en-US"/>
        </w:rPr>
        <w:t>ile</w:t>
      </w:r>
      <w:proofErr w:type="spellEnd"/>
      <w:r w:rsidRPr="003177A9">
        <w:rPr>
          <w:lang w:val="en-US"/>
        </w:rPr>
        <w:t xml:space="preserve"> </w:t>
      </w:r>
      <w:proofErr w:type="spellStart"/>
      <w:r w:rsidRPr="003177A9">
        <w:rPr>
          <w:lang w:val="en-US"/>
        </w:rPr>
        <w:t>bireysel</w:t>
      </w:r>
      <w:proofErr w:type="spellEnd"/>
      <w:r w:rsidRPr="003177A9">
        <w:rPr>
          <w:lang w:val="en-US"/>
        </w:rPr>
        <w:t xml:space="preserve"> </w:t>
      </w:r>
      <w:proofErr w:type="spellStart"/>
      <w:r w:rsidRPr="003177A9">
        <w:rPr>
          <w:lang w:val="en-US"/>
        </w:rPr>
        <w:t>haklar</w:t>
      </w:r>
      <w:proofErr w:type="spellEnd"/>
      <w:r w:rsidRPr="003177A9">
        <w:rPr>
          <w:lang w:val="en-US"/>
        </w:rPr>
        <w:t xml:space="preserve"> </w:t>
      </w:r>
      <w:proofErr w:type="spellStart"/>
      <w:r w:rsidRPr="003177A9">
        <w:rPr>
          <w:lang w:val="en-US"/>
        </w:rPr>
        <w:t>arasındaki</w:t>
      </w:r>
      <w:proofErr w:type="spellEnd"/>
      <w:r w:rsidRPr="003177A9">
        <w:rPr>
          <w:lang w:val="en-US"/>
        </w:rPr>
        <w:t xml:space="preserve"> </w:t>
      </w:r>
      <w:proofErr w:type="spellStart"/>
      <w:r w:rsidRPr="003177A9">
        <w:rPr>
          <w:lang w:val="en-US"/>
        </w:rPr>
        <w:t>gerilimi</w:t>
      </w:r>
      <w:proofErr w:type="spellEnd"/>
      <w:r w:rsidRPr="003177A9">
        <w:rPr>
          <w:lang w:val="en-US"/>
        </w:rPr>
        <w:t xml:space="preserve"> </w:t>
      </w:r>
      <w:proofErr w:type="spellStart"/>
      <w:r w:rsidRPr="003177A9">
        <w:rPr>
          <w:lang w:val="en-US"/>
        </w:rPr>
        <w:t>etkili</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şekilde</w:t>
      </w:r>
      <w:proofErr w:type="spellEnd"/>
      <w:r w:rsidRPr="003177A9">
        <w:rPr>
          <w:lang w:val="en-US"/>
        </w:rPr>
        <w:t xml:space="preserve"> </w:t>
      </w:r>
      <w:proofErr w:type="spellStart"/>
      <w:r w:rsidRPr="003177A9">
        <w:rPr>
          <w:lang w:val="en-US"/>
        </w:rPr>
        <w:t>dengeleyebilen</w:t>
      </w:r>
      <w:proofErr w:type="spellEnd"/>
      <w:r w:rsidRPr="003177A9">
        <w:rPr>
          <w:lang w:val="en-US"/>
        </w:rPr>
        <w:t xml:space="preserve"> </w:t>
      </w:r>
      <w:proofErr w:type="spellStart"/>
      <w:r w:rsidRPr="003177A9">
        <w:rPr>
          <w:lang w:val="en-US"/>
        </w:rPr>
        <w:t>kurumlar</w:t>
      </w:r>
      <w:proofErr w:type="spellEnd"/>
      <w:r w:rsidRPr="003177A9">
        <w:rPr>
          <w:lang w:val="en-US"/>
        </w:rPr>
        <w:t xml:space="preserve"> </w:t>
      </w:r>
      <w:proofErr w:type="spellStart"/>
      <w:r w:rsidRPr="003177A9">
        <w:rPr>
          <w:lang w:val="en-US"/>
        </w:rPr>
        <w:t>tasarlayıp</w:t>
      </w:r>
      <w:proofErr w:type="spellEnd"/>
      <w:r w:rsidRPr="003177A9">
        <w:rPr>
          <w:lang w:val="en-US"/>
        </w:rPr>
        <w:t xml:space="preserve"> </w:t>
      </w:r>
      <w:proofErr w:type="spellStart"/>
      <w:r w:rsidRPr="003177A9">
        <w:rPr>
          <w:lang w:val="en-US"/>
        </w:rPr>
        <w:t>tasarlayamadığımıza</w:t>
      </w:r>
      <w:proofErr w:type="spellEnd"/>
      <w:r w:rsidRPr="003177A9">
        <w:rPr>
          <w:lang w:val="en-US"/>
        </w:rPr>
        <w:t xml:space="preserve"> </w:t>
      </w:r>
      <w:proofErr w:type="spellStart"/>
      <w:r w:rsidRPr="003177A9">
        <w:rPr>
          <w:lang w:val="en-US"/>
        </w:rPr>
        <w:t>bağlıdır</w:t>
      </w:r>
      <w:proofErr w:type="spellEnd"/>
      <w:r w:rsidRPr="003177A9">
        <w:rPr>
          <w:lang w:val="en-US"/>
        </w:rPr>
        <w:t>."**</w:t>
      </w:r>
    </w:p>
    <w:p w14:paraId="0E73B178" w14:textId="7930B811" w:rsidR="003177A9" w:rsidRDefault="003177A9" w:rsidP="003177A9">
      <w:pPr>
        <w:rPr>
          <w:lang w:val="en-US"/>
        </w:rPr>
      </w:pPr>
      <w:r w:rsidRPr="003177A9">
        <w:rPr>
          <w:lang w:val="en-US"/>
        </w:rPr>
        <w:t xml:space="preserve">Bu </w:t>
      </w:r>
      <w:proofErr w:type="spellStart"/>
      <w:r w:rsidRPr="003177A9">
        <w:rPr>
          <w:lang w:val="en-US"/>
        </w:rPr>
        <w:t>iddia</w:t>
      </w:r>
      <w:proofErr w:type="spellEnd"/>
      <w:r w:rsidRPr="003177A9">
        <w:rPr>
          <w:lang w:val="en-US"/>
        </w:rPr>
        <w:t xml:space="preserve"> </w:t>
      </w:r>
      <w:proofErr w:type="spellStart"/>
      <w:r w:rsidRPr="003177A9">
        <w:rPr>
          <w:lang w:val="en-US"/>
        </w:rPr>
        <w:t>genellikle</w:t>
      </w:r>
      <w:proofErr w:type="spellEnd"/>
      <w:r w:rsidRPr="003177A9">
        <w:rPr>
          <w:lang w:val="en-US"/>
        </w:rPr>
        <w:t xml:space="preserve"> </w:t>
      </w:r>
      <w:proofErr w:type="spellStart"/>
      <w:r w:rsidRPr="003177A9">
        <w:rPr>
          <w:lang w:val="en-US"/>
        </w:rPr>
        <w:t>etkinlikten</w:t>
      </w:r>
      <w:proofErr w:type="spellEnd"/>
      <w:r w:rsidRPr="003177A9">
        <w:rPr>
          <w:lang w:val="en-US"/>
        </w:rPr>
        <w:t xml:space="preserve"> </w:t>
      </w:r>
      <w:proofErr w:type="spellStart"/>
      <w:r w:rsidRPr="003177A9">
        <w:rPr>
          <w:lang w:val="en-US"/>
        </w:rPr>
        <w:t>kaynaklanan</w:t>
      </w:r>
      <w:proofErr w:type="spellEnd"/>
      <w:r w:rsidRPr="003177A9">
        <w:rPr>
          <w:lang w:val="en-US"/>
        </w:rPr>
        <w:t xml:space="preserve"> </w:t>
      </w:r>
      <w:proofErr w:type="spellStart"/>
      <w:r w:rsidRPr="003177A9">
        <w:rPr>
          <w:lang w:val="en-US"/>
        </w:rPr>
        <w:t>tamamlayıcı</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argümanla</w:t>
      </w:r>
      <w:proofErr w:type="spellEnd"/>
      <w:r w:rsidRPr="003177A9">
        <w:rPr>
          <w:lang w:val="en-US"/>
        </w:rPr>
        <w:t xml:space="preserve"> </w:t>
      </w:r>
      <w:proofErr w:type="spellStart"/>
      <w:r w:rsidRPr="003177A9">
        <w:rPr>
          <w:lang w:val="en-US"/>
        </w:rPr>
        <w:t>birlikte</w:t>
      </w:r>
      <w:proofErr w:type="spellEnd"/>
      <w:r w:rsidRPr="003177A9">
        <w:rPr>
          <w:lang w:val="en-US"/>
        </w:rPr>
        <w:t xml:space="preserve"> </w:t>
      </w:r>
      <w:proofErr w:type="spellStart"/>
      <w:r w:rsidRPr="003177A9">
        <w:rPr>
          <w:lang w:val="en-US"/>
        </w:rPr>
        <w:t>sunulmakta</w:t>
      </w:r>
      <w:proofErr w:type="spellEnd"/>
      <w:r w:rsidRPr="003177A9">
        <w:rPr>
          <w:lang w:val="en-US"/>
        </w:rPr>
        <w:t xml:space="preserve">, Amerika </w:t>
      </w:r>
      <w:proofErr w:type="spellStart"/>
      <w:r w:rsidRPr="003177A9">
        <w:rPr>
          <w:lang w:val="en-US"/>
        </w:rPr>
        <w:t>Birleşik</w:t>
      </w:r>
      <w:proofErr w:type="spellEnd"/>
      <w:r w:rsidRPr="003177A9">
        <w:rPr>
          <w:lang w:val="en-US"/>
        </w:rPr>
        <w:t xml:space="preserve"> </w:t>
      </w:r>
      <w:proofErr w:type="spellStart"/>
      <w:r w:rsidRPr="003177A9">
        <w:rPr>
          <w:lang w:val="en-US"/>
        </w:rPr>
        <w:t>Devletleri’nin</w:t>
      </w:r>
      <w:proofErr w:type="spellEnd"/>
      <w:r w:rsidRPr="003177A9">
        <w:rPr>
          <w:lang w:val="en-US"/>
        </w:rPr>
        <w:t xml:space="preserve"> </w:t>
      </w:r>
      <w:proofErr w:type="spellStart"/>
      <w:r w:rsidRPr="003177A9">
        <w:rPr>
          <w:lang w:val="en-US"/>
        </w:rPr>
        <w:t>anayasal</w:t>
      </w:r>
      <w:proofErr w:type="spellEnd"/>
      <w:r w:rsidRPr="003177A9">
        <w:rPr>
          <w:lang w:val="en-US"/>
        </w:rPr>
        <w:t xml:space="preserve"> </w:t>
      </w:r>
      <w:proofErr w:type="spellStart"/>
      <w:r w:rsidRPr="003177A9">
        <w:rPr>
          <w:lang w:val="en-US"/>
        </w:rPr>
        <w:t>yapıyı</w:t>
      </w:r>
      <w:proofErr w:type="spellEnd"/>
      <w:r w:rsidRPr="003177A9">
        <w:rPr>
          <w:lang w:val="en-US"/>
        </w:rPr>
        <w:t xml:space="preserve"> </w:t>
      </w:r>
      <w:proofErr w:type="spellStart"/>
      <w:r w:rsidRPr="003177A9">
        <w:rPr>
          <w:lang w:val="en-US"/>
        </w:rPr>
        <w:t>ustalıkla</w:t>
      </w:r>
      <w:proofErr w:type="spellEnd"/>
      <w:r w:rsidRPr="003177A9">
        <w:rPr>
          <w:lang w:val="en-US"/>
        </w:rPr>
        <w:t xml:space="preserve"> </w:t>
      </w:r>
      <w:proofErr w:type="spellStart"/>
      <w:r w:rsidRPr="003177A9">
        <w:rPr>
          <w:lang w:val="en-US"/>
        </w:rPr>
        <w:t>tasarladığına</w:t>
      </w:r>
      <w:proofErr w:type="spellEnd"/>
      <w:r w:rsidRPr="003177A9">
        <w:rPr>
          <w:lang w:val="en-US"/>
        </w:rPr>
        <w:t xml:space="preserve"> </w:t>
      </w:r>
      <w:proofErr w:type="spellStart"/>
      <w:r w:rsidRPr="003177A9">
        <w:rPr>
          <w:lang w:val="en-US"/>
        </w:rPr>
        <w:t>dair</w:t>
      </w:r>
      <w:proofErr w:type="spellEnd"/>
      <w:r w:rsidRPr="003177A9">
        <w:rPr>
          <w:lang w:val="en-US"/>
        </w:rPr>
        <w:t xml:space="preserve"> </w:t>
      </w:r>
      <w:proofErr w:type="spellStart"/>
      <w:r w:rsidRPr="003177A9">
        <w:rPr>
          <w:lang w:val="en-US"/>
        </w:rPr>
        <w:t>kendini</w:t>
      </w:r>
      <w:proofErr w:type="spellEnd"/>
      <w:r w:rsidRPr="003177A9">
        <w:rPr>
          <w:lang w:val="en-US"/>
        </w:rPr>
        <w:t xml:space="preserve"> </w:t>
      </w:r>
      <w:proofErr w:type="spellStart"/>
      <w:r w:rsidRPr="003177A9">
        <w:rPr>
          <w:lang w:val="en-US"/>
        </w:rPr>
        <w:t>öven</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beyan</w:t>
      </w:r>
      <w:proofErr w:type="spellEnd"/>
      <w:r w:rsidRPr="003177A9">
        <w:rPr>
          <w:lang w:val="en-US"/>
        </w:rPr>
        <w:t xml:space="preserve"> </w:t>
      </w:r>
      <w:proofErr w:type="spellStart"/>
      <w:r w:rsidRPr="003177A9">
        <w:rPr>
          <w:lang w:val="en-US"/>
        </w:rPr>
        <w:t>içermektedir</w:t>
      </w:r>
      <w:proofErr w:type="spellEnd"/>
      <w:r w:rsidRPr="003177A9">
        <w:rPr>
          <w:lang w:val="en-US"/>
        </w:rPr>
        <w:t xml:space="preserve">. </w:t>
      </w:r>
      <w:proofErr w:type="spellStart"/>
      <w:r w:rsidRPr="003177A9">
        <w:rPr>
          <w:lang w:val="en-US"/>
        </w:rPr>
        <w:t>Farklı</w:t>
      </w:r>
      <w:proofErr w:type="spellEnd"/>
      <w:r w:rsidRPr="003177A9">
        <w:rPr>
          <w:lang w:val="en-US"/>
        </w:rPr>
        <w:t xml:space="preserve"> </w:t>
      </w:r>
      <w:proofErr w:type="spellStart"/>
      <w:r w:rsidRPr="003177A9">
        <w:rPr>
          <w:lang w:val="en-US"/>
        </w:rPr>
        <w:t>teorisyenler</w:t>
      </w:r>
      <w:proofErr w:type="spellEnd"/>
      <w:r w:rsidRPr="003177A9">
        <w:rPr>
          <w:lang w:val="en-US"/>
        </w:rPr>
        <w:t xml:space="preserve"> </w:t>
      </w:r>
      <w:proofErr w:type="spellStart"/>
      <w:r w:rsidRPr="003177A9">
        <w:rPr>
          <w:lang w:val="en-US"/>
        </w:rPr>
        <w:t>farklı</w:t>
      </w:r>
      <w:proofErr w:type="spellEnd"/>
      <w:r w:rsidRPr="003177A9">
        <w:rPr>
          <w:lang w:val="en-US"/>
        </w:rPr>
        <w:t xml:space="preserve"> </w:t>
      </w:r>
      <w:proofErr w:type="spellStart"/>
      <w:r w:rsidRPr="003177A9">
        <w:rPr>
          <w:lang w:val="en-US"/>
        </w:rPr>
        <w:t>unsurları</w:t>
      </w:r>
      <w:proofErr w:type="spellEnd"/>
      <w:r w:rsidRPr="003177A9">
        <w:rPr>
          <w:lang w:val="en-US"/>
        </w:rPr>
        <w:t xml:space="preserve"> </w:t>
      </w:r>
      <w:proofErr w:type="spellStart"/>
      <w:r w:rsidRPr="003177A9">
        <w:rPr>
          <w:lang w:val="en-US"/>
        </w:rPr>
        <w:t>vurgulasa</w:t>
      </w:r>
      <w:proofErr w:type="spellEnd"/>
      <w:r w:rsidRPr="003177A9">
        <w:rPr>
          <w:lang w:val="en-US"/>
        </w:rPr>
        <w:t xml:space="preserve"> da, </w:t>
      </w:r>
      <w:proofErr w:type="spellStart"/>
      <w:r w:rsidRPr="003177A9">
        <w:rPr>
          <w:lang w:val="en-US"/>
        </w:rPr>
        <w:t>ortak</w:t>
      </w:r>
      <w:proofErr w:type="spellEnd"/>
      <w:r w:rsidRPr="003177A9">
        <w:rPr>
          <w:lang w:val="en-US"/>
        </w:rPr>
        <w:t xml:space="preserve"> </w:t>
      </w:r>
      <w:proofErr w:type="spellStart"/>
      <w:r w:rsidRPr="003177A9">
        <w:rPr>
          <w:lang w:val="en-US"/>
        </w:rPr>
        <w:t>noktalar</w:t>
      </w:r>
      <w:proofErr w:type="spellEnd"/>
      <w:r w:rsidRPr="003177A9">
        <w:rPr>
          <w:lang w:val="en-US"/>
        </w:rPr>
        <w:t xml:space="preserve"> </w:t>
      </w:r>
      <w:proofErr w:type="spellStart"/>
      <w:r w:rsidRPr="003177A9">
        <w:rPr>
          <w:lang w:val="en-US"/>
        </w:rPr>
        <w:t>farklılıklardan</w:t>
      </w:r>
      <w:proofErr w:type="spellEnd"/>
      <w:r w:rsidRPr="003177A9">
        <w:rPr>
          <w:lang w:val="en-US"/>
        </w:rPr>
        <w:t xml:space="preserve"> </w:t>
      </w:r>
      <w:proofErr w:type="spellStart"/>
      <w:r w:rsidRPr="003177A9">
        <w:rPr>
          <w:lang w:val="en-US"/>
        </w:rPr>
        <w:t>ağır</w:t>
      </w:r>
      <w:proofErr w:type="spellEnd"/>
      <w:r w:rsidRPr="003177A9">
        <w:rPr>
          <w:lang w:val="en-US"/>
        </w:rPr>
        <w:t xml:space="preserve"> </w:t>
      </w:r>
      <w:proofErr w:type="spellStart"/>
      <w:r w:rsidRPr="003177A9">
        <w:rPr>
          <w:lang w:val="en-US"/>
        </w:rPr>
        <w:t>basmaktadır</w:t>
      </w:r>
      <w:proofErr w:type="spellEnd"/>
      <w:r w:rsidRPr="003177A9">
        <w:rPr>
          <w:lang w:val="en-US"/>
        </w:rPr>
        <w:t xml:space="preserve">. Bu </w:t>
      </w:r>
      <w:proofErr w:type="spellStart"/>
      <w:r w:rsidRPr="003177A9">
        <w:rPr>
          <w:lang w:val="en-US"/>
        </w:rPr>
        <w:t>doğrultuda</w:t>
      </w:r>
      <w:proofErr w:type="spellEnd"/>
      <w:r w:rsidRPr="003177A9">
        <w:rPr>
          <w:lang w:val="en-US"/>
        </w:rPr>
        <w:t xml:space="preserve"> </w:t>
      </w:r>
      <w:proofErr w:type="spellStart"/>
      <w:r w:rsidRPr="003177A9">
        <w:rPr>
          <w:lang w:val="en-US"/>
        </w:rPr>
        <w:t>argüman</w:t>
      </w:r>
      <w:proofErr w:type="spellEnd"/>
      <w:r w:rsidRPr="003177A9">
        <w:rPr>
          <w:lang w:val="en-US"/>
        </w:rPr>
        <w:t xml:space="preserve"> </w:t>
      </w:r>
      <w:proofErr w:type="spellStart"/>
      <w:r w:rsidRPr="003177A9">
        <w:rPr>
          <w:lang w:val="en-US"/>
        </w:rPr>
        <w:t>ilerlemektedir</w:t>
      </w:r>
      <w:proofErr w:type="spellEnd"/>
      <w:r w:rsidRPr="003177A9">
        <w:rPr>
          <w:lang w:val="en-US"/>
        </w:rPr>
        <w:t xml:space="preserve">: </w:t>
      </w:r>
      <w:proofErr w:type="spellStart"/>
      <w:r w:rsidRPr="003177A9">
        <w:rPr>
          <w:lang w:val="en-US"/>
        </w:rPr>
        <w:t>Yargımız</w:t>
      </w:r>
      <w:proofErr w:type="spellEnd"/>
      <w:r w:rsidRPr="003177A9">
        <w:rPr>
          <w:lang w:val="en-US"/>
        </w:rPr>
        <w:t xml:space="preserve">, </w:t>
      </w:r>
      <w:proofErr w:type="spellStart"/>
      <w:r w:rsidRPr="003177A9">
        <w:rPr>
          <w:lang w:val="en-US"/>
        </w:rPr>
        <w:t>siyasi</w:t>
      </w:r>
      <w:proofErr w:type="spellEnd"/>
      <w:r w:rsidRPr="003177A9">
        <w:rPr>
          <w:lang w:val="en-US"/>
        </w:rPr>
        <w:t xml:space="preserve"> </w:t>
      </w:r>
      <w:proofErr w:type="spellStart"/>
      <w:r w:rsidRPr="003177A9">
        <w:rPr>
          <w:lang w:val="en-US"/>
        </w:rPr>
        <w:t>etkilerden</w:t>
      </w:r>
      <w:proofErr w:type="spellEnd"/>
      <w:r w:rsidRPr="003177A9">
        <w:rPr>
          <w:lang w:val="en-US"/>
        </w:rPr>
        <w:t xml:space="preserve"> </w:t>
      </w:r>
      <w:proofErr w:type="spellStart"/>
      <w:r w:rsidRPr="003177A9">
        <w:rPr>
          <w:lang w:val="en-US"/>
        </w:rPr>
        <w:t>yapısal</w:t>
      </w:r>
      <w:proofErr w:type="spellEnd"/>
      <w:r w:rsidRPr="003177A9">
        <w:rPr>
          <w:lang w:val="en-US"/>
        </w:rPr>
        <w:t xml:space="preserve"> </w:t>
      </w:r>
      <w:proofErr w:type="spellStart"/>
      <w:r w:rsidRPr="003177A9">
        <w:rPr>
          <w:lang w:val="en-US"/>
        </w:rPr>
        <w:t>olarak</w:t>
      </w:r>
      <w:proofErr w:type="spellEnd"/>
      <w:r w:rsidRPr="003177A9">
        <w:rPr>
          <w:lang w:val="en-US"/>
        </w:rPr>
        <w:t xml:space="preserve"> </w:t>
      </w:r>
      <w:proofErr w:type="spellStart"/>
      <w:r w:rsidRPr="003177A9">
        <w:rPr>
          <w:lang w:val="en-US"/>
        </w:rPr>
        <w:t>bağımsızdır</w:t>
      </w:r>
      <w:proofErr w:type="spellEnd"/>
      <w:r w:rsidRPr="003177A9">
        <w:rPr>
          <w:lang w:val="en-US"/>
        </w:rPr>
        <w:t xml:space="preserve">. </w:t>
      </w:r>
      <w:proofErr w:type="spellStart"/>
      <w:r w:rsidRPr="003177A9">
        <w:rPr>
          <w:lang w:val="en-US"/>
        </w:rPr>
        <w:t>Yargıçlarımız</w:t>
      </w:r>
      <w:proofErr w:type="spellEnd"/>
      <w:r w:rsidRPr="003177A9">
        <w:rPr>
          <w:lang w:val="en-US"/>
        </w:rPr>
        <w:t xml:space="preserve">, </w:t>
      </w:r>
      <w:proofErr w:type="spellStart"/>
      <w:r w:rsidRPr="003177A9">
        <w:rPr>
          <w:lang w:val="en-US"/>
        </w:rPr>
        <w:t>onları</w:t>
      </w:r>
      <w:proofErr w:type="spellEnd"/>
      <w:r w:rsidRPr="003177A9">
        <w:rPr>
          <w:lang w:val="en-US"/>
        </w:rPr>
        <w:t xml:space="preserve"> </w:t>
      </w:r>
      <w:proofErr w:type="spellStart"/>
      <w:r w:rsidRPr="003177A9">
        <w:rPr>
          <w:lang w:val="en-US"/>
        </w:rPr>
        <w:t>diğer</w:t>
      </w:r>
      <w:proofErr w:type="spellEnd"/>
      <w:r w:rsidRPr="003177A9">
        <w:rPr>
          <w:lang w:val="en-US"/>
        </w:rPr>
        <w:t xml:space="preserve"> </w:t>
      </w:r>
      <w:proofErr w:type="spellStart"/>
      <w:r w:rsidRPr="003177A9">
        <w:rPr>
          <w:lang w:val="en-US"/>
        </w:rPr>
        <w:t>devlet</w:t>
      </w:r>
      <w:proofErr w:type="spellEnd"/>
      <w:r w:rsidRPr="003177A9">
        <w:rPr>
          <w:lang w:val="en-US"/>
        </w:rPr>
        <w:t xml:space="preserve"> </w:t>
      </w:r>
      <w:proofErr w:type="spellStart"/>
      <w:r w:rsidRPr="003177A9">
        <w:rPr>
          <w:lang w:val="en-US"/>
        </w:rPr>
        <w:t>aktörlerinden</w:t>
      </w:r>
      <w:proofErr w:type="spellEnd"/>
      <w:r w:rsidRPr="003177A9">
        <w:rPr>
          <w:lang w:val="en-US"/>
        </w:rPr>
        <w:t xml:space="preserve"> </w:t>
      </w:r>
      <w:proofErr w:type="spellStart"/>
      <w:r w:rsidRPr="003177A9">
        <w:rPr>
          <w:lang w:val="en-US"/>
        </w:rPr>
        <w:t>ayıran</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belirli</w:t>
      </w:r>
      <w:proofErr w:type="spellEnd"/>
      <w:r w:rsidRPr="003177A9">
        <w:rPr>
          <w:lang w:val="en-US"/>
        </w:rPr>
        <w:t xml:space="preserve"> </w:t>
      </w:r>
      <w:proofErr w:type="spellStart"/>
      <w:r w:rsidRPr="003177A9">
        <w:rPr>
          <w:lang w:val="en-US"/>
        </w:rPr>
        <w:t>türdeki</w:t>
      </w:r>
      <w:proofErr w:type="spellEnd"/>
      <w:r w:rsidRPr="003177A9">
        <w:rPr>
          <w:lang w:val="en-US"/>
        </w:rPr>
        <w:t xml:space="preserve"> </w:t>
      </w:r>
      <w:proofErr w:type="spellStart"/>
      <w:r w:rsidRPr="003177A9">
        <w:rPr>
          <w:lang w:val="en-US"/>
        </w:rPr>
        <w:t>meseleleri</w:t>
      </w:r>
      <w:proofErr w:type="spellEnd"/>
      <w:r w:rsidRPr="003177A9">
        <w:rPr>
          <w:lang w:val="en-US"/>
        </w:rPr>
        <w:t xml:space="preserve"> </w:t>
      </w:r>
      <w:proofErr w:type="spellStart"/>
      <w:r w:rsidRPr="003177A9">
        <w:rPr>
          <w:lang w:val="en-US"/>
        </w:rPr>
        <w:t>çözme</w:t>
      </w:r>
      <w:proofErr w:type="spellEnd"/>
      <w:r w:rsidRPr="003177A9">
        <w:rPr>
          <w:lang w:val="en-US"/>
        </w:rPr>
        <w:t xml:space="preserve"> </w:t>
      </w:r>
      <w:proofErr w:type="spellStart"/>
      <w:r w:rsidRPr="003177A9">
        <w:rPr>
          <w:lang w:val="en-US"/>
        </w:rPr>
        <w:t>konusunda</w:t>
      </w:r>
      <w:proofErr w:type="spellEnd"/>
      <w:r w:rsidRPr="003177A9">
        <w:rPr>
          <w:lang w:val="en-US"/>
        </w:rPr>
        <w:t xml:space="preserve"> </w:t>
      </w:r>
      <w:proofErr w:type="spellStart"/>
      <w:r w:rsidRPr="003177A9">
        <w:rPr>
          <w:lang w:val="en-US"/>
        </w:rPr>
        <w:t>onları</w:t>
      </w:r>
      <w:proofErr w:type="spellEnd"/>
      <w:r w:rsidRPr="003177A9">
        <w:rPr>
          <w:lang w:val="en-US"/>
        </w:rPr>
        <w:t xml:space="preserve"> </w:t>
      </w:r>
      <w:proofErr w:type="spellStart"/>
      <w:r w:rsidRPr="003177A9">
        <w:rPr>
          <w:lang w:val="en-US"/>
        </w:rPr>
        <w:t>benzersiz</w:t>
      </w:r>
      <w:proofErr w:type="spellEnd"/>
      <w:r w:rsidRPr="003177A9">
        <w:rPr>
          <w:lang w:val="en-US"/>
        </w:rPr>
        <w:t xml:space="preserve"> </w:t>
      </w:r>
      <w:proofErr w:type="spellStart"/>
      <w:r w:rsidRPr="003177A9">
        <w:rPr>
          <w:lang w:val="en-US"/>
        </w:rPr>
        <w:t>şekilde</w:t>
      </w:r>
      <w:proofErr w:type="spellEnd"/>
      <w:r w:rsidRPr="003177A9">
        <w:rPr>
          <w:lang w:val="en-US"/>
        </w:rPr>
        <w:t xml:space="preserve"> </w:t>
      </w:r>
      <w:proofErr w:type="spellStart"/>
      <w:r w:rsidRPr="003177A9">
        <w:rPr>
          <w:lang w:val="en-US"/>
        </w:rPr>
        <w:t>yetkin</w:t>
      </w:r>
      <w:proofErr w:type="spellEnd"/>
      <w:r w:rsidRPr="003177A9">
        <w:rPr>
          <w:lang w:val="en-US"/>
        </w:rPr>
        <w:t xml:space="preserve"> </w:t>
      </w:r>
      <w:proofErr w:type="spellStart"/>
      <w:r w:rsidRPr="003177A9">
        <w:rPr>
          <w:lang w:val="en-US"/>
        </w:rPr>
        <w:t>kılan</w:t>
      </w:r>
      <w:proofErr w:type="spellEnd"/>
      <w:r w:rsidRPr="003177A9">
        <w:rPr>
          <w:lang w:val="en-US"/>
        </w:rPr>
        <w:t xml:space="preserve"> </w:t>
      </w:r>
      <w:proofErr w:type="spellStart"/>
      <w:r w:rsidRPr="003177A9">
        <w:rPr>
          <w:lang w:val="en-US"/>
        </w:rPr>
        <w:t>farklı</w:t>
      </w:r>
      <w:proofErr w:type="spellEnd"/>
      <w:r w:rsidRPr="003177A9">
        <w:rPr>
          <w:lang w:val="en-US"/>
        </w:rPr>
        <w:t xml:space="preserve"> </w:t>
      </w:r>
      <w:proofErr w:type="spellStart"/>
      <w:r w:rsidRPr="003177A9">
        <w:rPr>
          <w:lang w:val="en-US"/>
        </w:rPr>
        <w:t>eğitim</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mesleki</w:t>
      </w:r>
      <w:proofErr w:type="spellEnd"/>
      <w:r w:rsidRPr="003177A9">
        <w:rPr>
          <w:lang w:val="en-US"/>
        </w:rPr>
        <w:t xml:space="preserve"> </w:t>
      </w:r>
      <w:proofErr w:type="spellStart"/>
      <w:r w:rsidRPr="003177A9">
        <w:rPr>
          <w:lang w:val="en-US"/>
        </w:rPr>
        <w:t>deneyimlere</w:t>
      </w:r>
      <w:proofErr w:type="spellEnd"/>
      <w:r w:rsidRPr="003177A9">
        <w:rPr>
          <w:lang w:val="en-US"/>
        </w:rPr>
        <w:t xml:space="preserve"> </w:t>
      </w:r>
      <w:proofErr w:type="spellStart"/>
      <w:r w:rsidRPr="003177A9">
        <w:rPr>
          <w:lang w:val="en-US"/>
        </w:rPr>
        <w:t>sahiptir</w:t>
      </w:r>
      <w:proofErr w:type="spellEnd"/>
      <w:r w:rsidRPr="003177A9">
        <w:rPr>
          <w:lang w:val="en-US"/>
        </w:rPr>
        <w:t xml:space="preserve">. </w:t>
      </w:r>
      <w:proofErr w:type="spellStart"/>
      <w:r w:rsidRPr="003177A9">
        <w:rPr>
          <w:lang w:val="en-US"/>
        </w:rPr>
        <w:t>Önemli</w:t>
      </w:r>
      <w:proofErr w:type="spellEnd"/>
      <w:r w:rsidRPr="003177A9">
        <w:rPr>
          <w:lang w:val="en-US"/>
        </w:rPr>
        <w:t xml:space="preserve"> </w:t>
      </w:r>
      <w:proofErr w:type="spellStart"/>
      <w:r w:rsidRPr="003177A9">
        <w:rPr>
          <w:lang w:val="en-US"/>
        </w:rPr>
        <w:t>kararların</w:t>
      </w:r>
      <w:proofErr w:type="spellEnd"/>
      <w:r w:rsidRPr="003177A9">
        <w:rPr>
          <w:lang w:val="en-US"/>
        </w:rPr>
        <w:t xml:space="preserve"> </w:t>
      </w:r>
      <w:proofErr w:type="spellStart"/>
      <w:r w:rsidRPr="003177A9">
        <w:rPr>
          <w:lang w:val="en-US"/>
        </w:rPr>
        <w:t>çoğu</w:t>
      </w:r>
      <w:proofErr w:type="spellEnd"/>
      <w:r w:rsidRPr="003177A9">
        <w:rPr>
          <w:lang w:val="en-US"/>
        </w:rPr>
        <w:t xml:space="preserve">, </w:t>
      </w:r>
      <w:proofErr w:type="spellStart"/>
      <w:r w:rsidRPr="003177A9">
        <w:rPr>
          <w:lang w:val="en-US"/>
        </w:rPr>
        <w:t>üyelerinin</w:t>
      </w:r>
      <w:proofErr w:type="spellEnd"/>
      <w:r w:rsidRPr="003177A9">
        <w:rPr>
          <w:lang w:val="en-US"/>
        </w:rPr>
        <w:t xml:space="preserve"> </w:t>
      </w:r>
      <w:proofErr w:type="spellStart"/>
      <w:r w:rsidRPr="003177A9">
        <w:rPr>
          <w:lang w:val="en-US"/>
        </w:rPr>
        <w:t>gerekçeleri</w:t>
      </w:r>
      <w:proofErr w:type="spellEnd"/>
      <w:r w:rsidRPr="003177A9">
        <w:rPr>
          <w:lang w:val="en-US"/>
        </w:rPr>
        <w:t xml:space="preserve"> </w:t>
      </w:r>
      <w:proofErr w:type="spellStart"/>
      <w:r w:rsidRPr="003177A9">
        <w:rPr>
          <w:lang w:val="en-US"/>
        </w:rPr>
        <w:t>üzerinde</w:t>
      </w:r>
      <w:proofErr w:type="spellEnd"/>
      <w:r w:rsidRPr="003177A9">
        <w:rPr>
          <w:lang w:val="en-US"/>
        </w:rPr>
        <w:t xml:space="preserve"> </w:t>
      </w:r>
      <w:proofErr w:type="spellStart"/>
      <w:r w:rsidRPr="003177A9">
        <w:rPr>
          <w:lang w:val="en-US"/>
        </w:rPr>
        <w:t>uzlaşmasını</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kararlarını</w:t>
      </w:r>
      <w:proofErr w:type="spellEnd"/>
      <w:r w:rsidRPr="003177A9">
        <w:rPr>
          <w:lang w:val="en-US"/>
        </w:rPr>
        <w:t xml:space="preserve"> </w:t>
      </w:r>
      <w:proofErr w:type="spellStart"/>
      <w:r w:rsidRPr="003177A9">
        <w:rPr>
          <w:lang w:val="en-US"/>
        </w:rPr>
        <w:t>kamuya</w:t>
      </w:r>
      <w:proofErr w:type="spellEnd"/>
      <w:r w:rsidRPr="003177A9">
        <w:rPr>
          <w:lang w:val="en-US"/>
        </w:rPr>
        <w:t xml:space="preserve"> </w:t>
      </w:r>
      <w:proofErr w:type="spellStart"/>
      <w:r w:rsidRPr="003177A9">
        <w:rPr>
          <w:lang w:val="en-US"/>
        </w:rPr>
        <w:t>açık</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gerekçeli</w:t>
      </w:r>
      <w:proofErr w:type="spellEnd"/>
      <w:r w:rsidRPr="003177A9">
        <w:rPr>
          <w:lang w:val="en-US"/>
        </w:rPr>
        <w:t xml:space="preserve"> </w:t>
      </w:r>
      <w:proofErr w:type="spellStart"/>
      <w:r w:rsidRPr="003177A9">
        <w:rPr>
          <w:lang w:val="en-US"/>
        </w:rPr>
        <w:t>görüşte</w:t>
      </w:r>
      <w:proofErr w:type="spellEnd"/>
      <w:r w:rsidRPr="003177A9">
        <w:rPr>
          <w:lang w:val="en-US"/>
        </w:rPr>
        <w:t xml:space="preserve"> </w:t>
      </w:r>
      <w:proofErr w:type="spellStart"/>
      <w:r w:rsidRPr="003177A9">
        <w:rPr>
          <w:lang w:val="en-US"/>
        </w:rPr>
        <w:t>belirtmesini</w:t>
      </w:r>
      <w:proofErr w:type="spellEnd"/>
      <w:r w:rsidRPr="003177A9">
        <w:rPr>
          <w:lang w:val="en-US"/>
        </w:rPr>
        <w:t xml:space="preserve"> </w:t>
      </w:r>
      <w:proofErr w:type="spellStart"/>
      <w:r w:rsidRPr="003177A9">
        <w:rPr>
          <w:lang w:val="en-US"/>
        </w:rPr>
        <w:t>gerektiren</w:t>
      </w:r>
      <w:proofErr w:type="spellEnd"/>
      <w:r w:rsidRPr="003177A9">
        <w:rPr>
          <w:lang w:val="en-US"/>
        </w:rPr>
        <w:t xml:space="preserve"> </w:t>
      </w:r>
      <w:proofErr w:type="spellStart"/>
      <w:r w:rsidRPr="003177A9">
        <w:rPr>
          <w:lang w:val="en-US"/>
        </w:rPr>
        <w:t>çok</w:t>
      </w:r>
      <w:proofErr w:type="spellEnd"/>
      <w:r w:rsidRPr="003177A9">
        <w:rPr>
          <w:lang w:val="en-US"/>
        </w:rPr>
        <w:t xml:space="preserve"> </w:t>
      </w:r>
      <w:proofErr w:type="spellStart"/>
      <w:r w:rsidRPr="003177A9">
        <w:rPr>
          <w:lang w:val="en-US"/>
        </w:rPr>
        <w:t>üyeli</w:t>
      </w:r>
      <w:proofErr w:type="spellEnd"/>
      <w:r w:rsidRPr="003177A9">
        <w:rPr>
          <w:lang w:val="en-US"/>
        </w:rPr>
        <w:t xml:space="preserve"> </w:t>
      </w:r>
      <w:proofErr w:type="spellStart"/>
      <w:r w:rsidRPr="003177A9">
        <w:rPr>
          <w:lang w:val="en-US"/>
        </w:rPr>
        <w:t>mahkemeler</w:t>
      </w:r>
      <w:proofErr w:type="spellEnd"/>
      <w:r w:rsidRPr="003177A9">
        <w:rPr>
          <w:lang w:val="en-US"/>
        </w:rPr>
        <w:t xml:space="preserve"> </w:t>
      </w:r>
      <w:proofErr w:type="spellStart"/>
      <w:r w:rsidRPr="003177A9">
        <w:rPr>
          <w:lang w:val="en-US"/>
        </w:rPr>
        <w:t>tarafından</w:t>
      </w:r>
      <w:proofErr w:type="spellEnd"/>
      <w:r w:rsidRPr="003177A9">
        <w:rPr>
          <w:lang w:val="en-US"/>
        </w:rPr>
        <w:t xml:space="preserve"> </w:t>
      </w:r>
      <w:proofErr w:type="spellStart"/>
      <w:r w:rsidRPr="003177A9">
        <w:rPr>
          <w:lang w:val="en-US"/>
        </w:rPr>
        <w:t>alınmaktadır</w:t>
      </w:r>
      <w:proofErr w:type="spellEnd"/>
      <w:r w:rsidRPr="003177A9">
        <w:rPr>
          <w:lang w:val="en-US"/>
        </w:rPr>
        <w:t xml:space="preserve">. Güçlü </w:t>
      </w:r>
      <w:proofErr w:type="spellStart"/>
      <w:r w:rsidRPr="003177A9">
        <w:rPr>
          <w:lang w:val="en-US"/>
        </w:rPr>
        <w:t>mesleki</w:t>
      </w:r>
      <w:proofErr w:type="spellEnd"/>
      <w:r w:rsidRPr="003177A9">
        <w:rPr>
          <w:lang w:val="en-US"/>
        </w:rPr>
        <w:t xml:space="preserve"> </w:t>
      </w:r>
      <w:proofErr w:type="spellStart"/>
      <w:r w:rsidRPr="003177A9">
        <w:rPr>
          <w:lang w:val="en-US"/>
        </w:rPr>
        <w:t>normlar</w:t>
      </w:r>
      <w:proofErr w:type="spellEnd"/>
      <w:r w:rsidRPr="003177A9">
        <w:rPr>
          <w:lang w:val="en-US"/>
        </w:rPr>
        <w:t xml:space="preserve">, </w:t>
      </w:r>
      <w:proofErr w:type="spellStart"/>
      <w:r w:rsidRPr="003177A9">
        <w:rPr>
          <w:lang w:val="en-US"/>
        </w:rPr>
        <w:t>meşru</w:t>
      </w:r>
      <w:proofErr w:type="spellEnd"/>
      <w:r w:rsidRPr="003177A9">
        <w:rPr>
          <w:lang w:val="en-US"/>
        </w:rPr>
        <w:t xml:space="preserve"> </w:t>
      </w:r>
      <w:proofErr w:type="spellStart"/>
      <w:r w:rsidRPr="003177A9">
        <w:rPr>
          <w:lang w:val="en-US"/>
        </w:rPr>
        <w:t>anayasal</w:t>
      </w:r>
      <w:proofErr w:type="spellEnd"/>
      <w:r w:rsidRPr="003177A9">
        <w:rPr>
          <w:lang w:val="en-US"/>
        </w:rPr>
        <w:t xml:space="preserve"> </w:t>
      </w:r>
      <w:proofErr w:type="spellStart"/>
      <w:r w:rsidRPr="003177A9">
        <w:rPr>
          <w:lang w:val="en-US"/>
        </w:rPr>
        <w:t>argümanların</w:t>
      </w:r>
      <w:proofErr w:type="spellEnd"/>
      <w:r w:rsidRPr="003177A9">
        <w:rPr>
          <w:lang w:val="en-US"/>
        </w:rPr>
        <w:t xml:space="preserve"> </w:t>
      </w:r>
      <w:proofErr w:type="spellStart"/>
      <w:r w:rsidRPr="003177A9">
        <w:rPr>
          <w:lang w:val="en-US"/>
        </w:rPr>
        <w:t>alanını</w:t>
      </w:r>
      <w:proofErr w:type="spellEnd"/>
      <w:r w:rsidRPr="003177A9">
        <w:rPr>
          <w:lang w:val="en-US"/>
        </w:rPr>
        <w:t xml:space="preserve"> </w:t>
      </w:r>
      <w:proofErr w:type="spellStart"/>
      <w:r w:rsidRPr="003177A9">
        <w:rPr>
          <w:lang w:val="en-US"/>
        </w:rPr>
        <w:t>sınırlandırarak</w:t>
      </w:r>
      <w:proofErr w:type="spellEnd"/>
      <w:r w:rsidRPr="003177A9">
        <w:rPr>
          <w:lang w:val="en-US"/>
        </w:rPr>
        <w:t xml:space="preserve">, </w:t>
      </w:r>
      <w:proofErr w:type="spellStart"/>
      <w:r w:rsidRPr="003177A9">
        <w:rPr>
          <w:lang w:val="en-US"/>
        </w:rPr>
        <w:t>yargısal</w:t>
      </w:r>
      <w:proofErr w:type="spellEnd"/>
      <w:r w:rsidRPr="003177A9">
        <w:rPr>
          <w:lang w:val="en-US"/>
        </w:rPr>
        <w:t xml:space="preserve"> gasp </w:t>
      </w:r>
      <w:proofErr w:type="spellStart"/>
      <w:r w:rsidRPr="003177A9">
        <w:rPr>
          <w:lang w:val="en-US"/>
        </w:rPr>
        <w:t>girişimlerine</w:t>
      </w:r>
      <w:proofErr w:type="spellEnd"/>
      <w:r w:rsidRPr="003177A9">
        <w:rPr>
          <w:lang w:val="en-US"/>
        </w:rPr>
        <w:t xml:space="preserve"> </w:t>
      </w:r>
      <w:proofErr w:type="spellStart"/>
      <w:r w:rsidRPr="003177A9">
        <w:rPr>
          <w:lang w:val="en-US"/>
        </w:rPr>
        <w:t>karşı</w:t>
      </w:r>
      <w:proofErr w:type="spellEnd"/>
      <w:r w:rsidRPr="003177A9">
        <w:rPr>
          <w:lang w:val="en-US"/>
        </w:rPr>
        <w:t xml:space="preserve"> </w:t>
      </w:r>
      <w:proofErr w:type="spellStart"/>
      <w:r w:rsidRPr="003177A9">
        <w:rPr>
          <w:lang w:val="en-US"/>
        </w:rPr>
        <w:t>harekete</w:t>
      </w:r>
      <w:proofErr w:type="spellEnd"/>
      <w:r w:rsidRPr="003177A9">
        <w:rPr>
          <w:lang w:val="en-US"/>
        </w:rPr>
        <w:t xml:space="preserve"> </w:t>
      </w:r>
      <w:proofErr w:type="spellStart"/>
      <w:r w:rsidRPr="003177A9">
        <w:rPr>
          <w:lang w:val="en-US"/>
        </w:rPr>
        <w:t>geçirilebilecek</w:t>
      </w:r>
      <w:proofErr w:type="spellEnd"/>
      <w:r w:rsidRPr="003177A9">
        <w:rPr>
          <w:lang w:val="en-US"/>
        </w:rPr>
        <w:t xml:space="preserve"> </w:t>
      </w:r>
      <w:proofErr w:type="spellStart"/>
      <w:r w:rsidRPr="003177A9">
        <w:rPr>
          <w:lang w:val="en-US"/>
        </w:rPr>
        <w:t>yarı-nesnel</w:t>
      </w:r>
      <w:proofErr w:type="spellEnd"/>
      <w:r w:rsidRPr="003177A9">
        <w:rPr>
          <w:lang w:val="en-US"/>
        </w:rPr>
        <w:t xml:space="preserve"> </w:t>
      </w:r>
      <w:proofErr w:type="spellStart"/>
      <w:r w:rsidRPr="003177A9">
        <w:rPr>
          <w:lang w:val="en-US"/>
        </w:rPr>
        <w:t>standartlar</w:t>
      </w:r>
      <w:proofErr w:type="spellEnd"/>
      <w:r w:rsidRPr="003177A9">
        <w:rPr>
          <w:lang w:val="en-US"/>
        </w:rPr>
        <w:t xml:space="preserve"> </w:t>
      </w:r>
      <w:proofErr w:type="spellStart"/>
      <w:r w:rsidRPr="003177A9">
        <w:rPr>
          <w:lang w:val="en-US"/>
        </w:rPr>
        <w:t>yaratmaktadır</w:t>
      </w:r>
      <w:proofErr w:type="spellEnd"/>
      <w:r w:rsidRPr="003177A9">
        <w:rPr>
          <w:lang w:val="en-US"/>
        </w:rPr>
        <w:t xml:space="preserve">. </w:t>
      </w:r>
      <w:proofErr w:type="spellStart"/>
      <w:r w:rsidRPr="003177A9">
        <w:rPr>
          <w:lang w:val="en-US"/>
        </w:rPr>
        <w:t>Köklü</w:t>
      </w:r>
      <w:proofErr w:type="spellEnd"/>
      <w:r w:rsidRPr="003177A9">
        <w:rPr>
          <w:lang w:val="en-US"/>
        </w:rPr>
        <w:t xml:space="preserve"> </w:t>
      </w:r>
      <w:proofErr w:type="spellStart"/>
      <w:r w:rsidRPr="003177A9">
        <w:rPr>
          <w:lang w:val="en-US"/>
        </w:rPr>
        <w:t>anayasal</w:t>
      </w:r>
      <w:proofErr w:type="spellEnd"/>
      <w:r w:rsidRPr="003177A9">
        <w:rPr>
          <w:lang w:val="en-US"/>
        </w:rPr>
        <w:t xml:space="preserve"> </w:t>
      </w:r>
      <w:proofErr w:type="spellStart"/>
      <w:r w:rsidRPr="003177A9">
        <w:rPr>
          <w:lang w:val="en-US"/>
        </w:rPr>
        <w:t>yapımız</w:t>
      </w:r>
      <w:proofErr w:type="spellEnd"/>
      <w:r w:rsidRPr="003177A9">
        <w:rPr>
          <w:lang w:val="en-US"/>
        </w:rPr>
        <w:t xml:space="preserve"> </w:t>
      </w:r>
      <w:proofErr w:type="spellStart"/>
      <w:r w:rsidRPr="003177A9">
        <w:rPr>
          <w:lang w:val="en-US"/>
        </w:rPr>
        <w:t>sayesinde</w:t>
      </w:r>
      <w:proofErr w:type="spellEnd"/>
      <w:r w:rsidRPr="003177A9">
        <w:rPr>
          <w:lang w:val="en-US"/>
        </w:rPr>
        <w:t xml:space="preserve"> </w:t>
      </w:r>
      <w:proofErr w:type="spellStart"/>
      <w:r w:rsidRPr="003177A9">
        <w:rPr>
          <w:lang w:val="en-US"/>
        </w:rPr>
        <w:t>Amerikalılar</w:t>
      </w:r>
      <w:proofErr w:type="spellEnd"/>
      <w:r w:rsidRPr="003177A9">
        <w:rPr>
          <w:lang w:val="en-US"/>
        </w:rPr>
        <w:t xml:space="preserve"> hem </w:t>
      </w:r>
      <w:proofErr w:type="spellStart"/>
      <w:r w:rsidRPr="003177A9">
        <w:rPr>
          <w:lang w:val="en-US"/>
        </w:rPr>
        <w:t>demokrasiyi</w:t>
      </w:r>
      <w:proofErr w:type="spellEnd"/>
      <w:r w:rsidRPr="003177A9">
        <w:rPr>
          <w:lang w:val="en-US"/>
        </w:rPr>
        <w:t xml:space="preserve"> (democracy) </w:t>
      </w:r>
      <w:proofErr w:type="spellStart"/>
      <w:r w:rsidRPr="003177A9">
        <w:rPr>
          <w:lang w:val="en-US"/>
        </w:rPr>
        <w:t>muhafaza</w:t>
      </w:r>
      <w:proofErr w:type="spellEnd"/>
      <w:r w:rsidRPr="003177A9">
        <w:rPr>
          <w:lang w:val="en-US"/>
        </w:rPr>
        <w:t xml:space="preserve"> </w:t>
      </w:r>
      <w:proofErr w:type="spellStart"/>
      <w:r w:rsidRPr="003177A9">
        <w:rPr>
          <w:lang w:val="en-US"/>
        </w:rPr>
        <w:t>edebilir</w:t>
      </w:r>
      <w:proofErr w:type="spellEnd"/>
      <w:r w:rsidRPr="003177A9">
        <w:rPr>
          <w:lang w:val="en-US"/>
        </w:rPr>
        <w:t xml:space="preserve"> hem de </w:t>
      </w:r>
      <w:proofErr w:type="spellStart"/>
      <w:r w:rsidRPr="003177A9">
        <w:rPr>
          <w:lang w:val="en-US"/>
        </w:rPr>
        <w:t>bireysel</w:t>
      </w:r>
      <w:proofErr w:type="spellEnd"/>
      <w:r w:rsidRPr="003177A9">
        <w:rPr>
          <w:lang w:val="en-US"/>
        </w:rPr>
        <w:t xml:space="preserve"> </w:t>
      </w:r>
      <w:proofErr w:type="spellStart"/>
      <w:r w:rsidRPr="003177A9">
        <w:rPr>
          <w:lang w:val="en-US"/>
        </w:rPr>
        <w:t>haklarını</w:t>
      </w:r>
      <w:proofErr w:type="spellEnd"/>
      <w:r w:rsidRPr="003177A9">
        <w:rPr>
          <w:lang w:val="en-US"/>
        </w:rPr>
        <w:t xml:space="preserve"> (individual rights) koruyabilir.¹⁷</w:t>
      </w:r>
      <w:r>
        <w:rPr>
          <w:lang w:val="en-US"/>
        </w:rPr>
        <w:t xml:space="preserve"> </w:t>
      </w:r>
      <w:r>
        <w:rPr>
          <w:rStyle w:val="FootnoteReference"/>
          <w:lang w:val="en-US"/>
        </w:rPr>
        <w:footnoteReference w:id="17"/>
      </w:r>
    </w:p>
    <w:p w14:paraId="4D213295" w14:textId="1F7CD057" w:rsidR="00E85807" w:rsidRDefault="00E85807" w:rsidP="00E85807">
      <w:pPr>
        <w:rPr>
          <w:lang w:val="en-US"/>
        </w:rPr>
      </w:pPr>
      <w:r w:rsidRPr="00E85807">
        <w:rPr>
          <w:lang w:val="en-US"/>
        </w:rPr>
        <w:t xml:space="preserve">Bu </w:t>
      </w:r>
      <w:proofErr w:type="spellStart"/>
      <w:r w:rsidRPr="00E85807">
        <w:rPr>
          <w:lang w:val="en-US"/>
        </w:rPr>
        <w:t>temel</w:t>
      </w:r>
      <w:proofErr w:type="spellEnd"/>
      <w:r w:rsidRPr="00E85807">
        <w:rPr>
          <w:lang w:val="en-US"/>
        </w:rPr>
        <w:t xml:space="preserve"> </w:t>
      </w:r>
      <w:proofErr w:type="spellStart"/>
      <w:r w:rsidRPr="00E85807">
        <w:rPr>
          <w:lang w:val="en-US"/>
        </w:rPr>
        <w:t>iddialar</w:t>
      </w:r>
      <w:proofErr w:type="spellEnd"/>
      <w:r w:rsidRPr="00E85807">
        <w:rPr>
          <w:lang w:val="en-US"/>
        </w:rPr>
        <w:t>—</w:t>
      </w:r>
      <w:proofErr w:type="spellStart"/>
      <w:r w:rsidRPr="00E85807">
        <w:rPr>
          <w:lang w:val="en-US"/>
        </w:rPr>
        <w:t>anayasal</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cumhuriyetin</w:t>
      </w:r>
      <w:proofErr w:type="spellEnd"/>
      <w:r w:rsidRPr="00E85807">
        <w:rPr>
          <w:lang w:val="en-US"/>
        </w:rPr>
        <w:t xml:space="preserve"> (constitutional republic) </w:t>
      </w:r>
      <w:proofErr w:type="spellStart"/>
      <w:r w:rsidRPr="00E85807">
        <w:rPr>
          <w:lang w:val="en-US"/>
        </w:rPr>
        <w:t>gerekli</w:t>
      </w:r>
      <w:proofErr w:type="spellEnd"/>
      <w:r w:rsidRPr="00E85807">
        <w:rPr>
          <w:lang w:val="en-US"/>
        </w:rPr>
        <w:t xml:space="preserve"> </w:t>
      </w:r>
      <w:proofErr w:type="spellStart"/>
      <w:r w:rsidRPr="00E85807">
        <w:rPr>
          <w:lang w:val="en-US"/>
        </w:rPr>
        <w:t>unsurlarını</w:t>
      </w:r>
      <w:proofErr w:type="spellEnd"/>
      <w:r w:rsidRPr="00E85807">
        <w:rPr>
          <w:lang w:val="en-US"/>
        </w:rPr>
        <w:t xml:space="preserve"> </w:t>
      </w:r>
      <w:proofErr w:type="spellStart"/>
      <w:r w:rsidRPr="00E85807">
        <w:rPr>
          <w:lang w:val="en-US"/>
        </w:rPr>
        <w:t>dengelemenin</w:t>
      </w:r>
      <w:proofErr w:type="spellEnd"/>
      <w:r w:rsidRPr="00E85807">
        <w:rPr>
          <w:lang w:val="en-US"/>
        </w:rPr>
        <w:t xml:space="preserve"> </w:t>
      </w:r>
      <w:proofErr w:type="spellStart"/>
      <w:r w:rsidRPr="00E85807">
        <w:rPr>
          <w:lang w:val="en-US"/>
        </w:rPr>
        <w:t>kurumsal</w:t>
      </w:r>
      <w:proofErr w:type="spellEnd"/>
      <w:r w:rsidRPr="00E85807">
        <w:rPr>
          <w:lang w:val="en-US"/>
        </w:rPr>
        <w:t xml:space="preserve"> </w:t>
      </w:r>
      <w:proofErr w:type="spellStart"/>
      <w:r w:rsidRPr="00E85807">
        <w:rPr>
          <w:lang w:val="en-US"/>
        </w:rPr>
        <w:t>tasarım</w:t>
      </w:r>
      <w:proofErr w:type="spellEnd"/>
      <w:r w:rsidRPr="00E85807">
        <w:rPr>
          <w:lang w:val="en-US"/>
        </w:rPr>
        <w:t xml:space="preserve"> </w:t>
      </w:r>
      <w:proofErr w:type="spellStart"/>
      <w:r w:rsidRPr="00E85807">
        <w:rPr>
          <w:lang w:val="en-US"/>
        </w:rPr>
        <w:t>açısından</w:t>
      </w:r>
      <w:proofErr w:type="spellEnd"/>
      <w:r w:rsidRPr="00E85807">
        <w:rPr>
          <w:lang w:val="en-US"/>
        </w:rPr>
        <w:t xml:space="preserve"> </w:t>
      </w:r>
      <w:proofErr w:type="spellStart"/>
      <w:r w:rsidRPr="00E85807">
        <w:rPr>
          <w:lang w:val="en-US"/>
        </w:rPr>
        <w:t>karmaşık</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sorun</w:t>
      </w:r>
      <w:proofErr w:type="spellEnd"/>
      <w:r w:rsidRPr="00E85807">
        <w:rPr>
          <w:lang w:val="en-US"/>
        </w:rPr>
        <w:t xml:space="preserve"> </w:t>
      </w:r>
      <w:proofErr w:type="spellStart"/>
      <w:r w:rsidRPr="00E85807">
        <w:rPr>
          <w:lang w:val="en-US"/>
        </w:rPr>
        <w:t>teşkil</w:t>
      </w:r>
      <w:proofErr w:type="spellEnd"/>
      <w:r w:rsidRPr="00E85807">
        <w:rPr>
          <w:lang w:val="en-US"/>
        </w:rPr>
        <w:t xml:space="preserve"> </w:t>
      </w:r>
      <w:proofErr w:type="spellStart"/>
      <w:r w:rsidRPr="00E85807">
        <w:rPr>
          <w:lang w:val="en-US"/>
        </w:rPr>
        <w:t>ettiği</w:t>
      </w:r>
      <w:proofErr w:type="spellEnd"/>
      <w:r w:rsidRPr="00E85807">
        <w:rPr>
          <w:lang w:val="en-US"/>
        </w:rPr>
        <w:t xml:space="preserve"> </w:t>
      </w:r>
      <w:proofErr w:type="spellStart"/>
      <w:r w:rsidRPr="00E85807">
        <w:rPr>
          <w:lang w:val="en-US"/>
        </w:rPr>
        <w:t>ve</w:t>
      </w:r>
      <w:proofErr w:type="spellEnd"/>
      <w:r w:rsidRPr="00E85807">
        <w:rPr>
          <w:lang w:val="en-US"/>
        </w:rPr>
        <w:t xml:space="preserve"> Amerika </w:t>
      </w:r>
      <w:proofErr w:type="spellStart"/>
      <w:r w:rsidRPr="00E85807">
        <w:rPr>
          <w:lang w:val="en-US"/>
        </w:rPr>
        <w:t>Birleşik</w:t>
      </w:r>
      <w:proofErr w:type="spellEnd"/>
      <w:r w:rsidRPr="00E85807">
        <w:rPr>
          <w:lang w:val="en-US"/>
        </w:rPr>
        <w:t xml:space="preserve"> </w:t>
      </w:r>
      <w:proofErr w:type="spellStart"/>
      <w:r w:rsidRPr="00E85807">
        <w:rPr>
          <w:lang w:val="en-US"/>
        </w:rPr>
        <w:t>Devletleri’nin</w:t>
      </w:r>
      <w:proofErr w:type="spellEnd"/>
      <w:r w:rsidRPr="00E85807">
        <w:rPr>
          <w:lang w:val="en-US"/>
        </w:rPr>
        <w:t xml:space="preserve"> </w:t>
      </w:r>
      <w:proofErr w:type="spellStart"/>
      <w:r w:rsidRPr="00E85807">
        <w:rPr>
          <w:lang w:val="en-US"/>
        </w:rPr>
        <w:t>bu</w:t>
      </w:r>
      <w:proofErr w:type="spellEnd"/>
      <w:r w:rsidRPr="00E85807">
        <w:rPr>
          <w:lang w:val="en-US"/>
        </w:rPr>
        <w:t xml:space="preserve"> </w:t>
      </w:r>
      <w:proofErr w:type="spellStart"/>
      <w:r w:rsidRPr="00E85807">
        <w:rPr>
          <w:lang w:val="en-US"/>
        </w:rPr>
        <w:t>sorunu</w:t>
      </w:r>
      <w:proofErr w:type="spellEnd"/>
      <w:r w:rsidRPr="00E85807">
        <w:rPr>
          <w:lang w:val="en-US"/>
        </w:rPr>
        <w:t xml:space="preserve"> </w:t>
      </w:r>
      <w:proofErr w:type="spellStart"/>
      <w:r w:rsidRPr="00E85807">
        <w:rPr>
          <w:lang w:val="en-US"/>
        </w:rPr>
        <w:t>ele</w:t>
      </w:r>
      <w:proofErr w:type="spellEnd"/>
      <w:r w:rsidRPr="00E85807">
        <w:rPr>
          <w:lang w:val="en-US"/>
        </w:rPr>
        <w:t xml:space="preserve"> </w:t>
      </w:r>
      <w:proofErr w:type="spellStart"/>
      <w:r w:rsidRPr="00E85807">
        <w:rPr>
          <w:lang w:val="en-US"/>
        </w:rPr>
        <w:t>almadaki</w:t>
      </w:r>
      <w:proofErr w:type="spellEnd"/>
      <w:r w:rsidRPr="00E85807">
        <w:rPr>
          <w:lang w:val="en-US"/>
        </w:rPr>
        <w:t xml:space="preserve"> </w:t>
      </w:r>
      <w:proofErr w:type="spellStart"/>
      <w:r w:rsidRPr="00E85807">
        <w:rPr>
          <w:lang w:val="en-US"/>
        </w:rPr>
        <w:t>başarısının</w:t>
      </w:r>
      <w:proofErr w:type="spellEnd"/>
      <w:r w:rsidRPr="00E85807">
        <w:rPr>
          <w:lang w:val="en-US"/>
        </w:rPr>
        <w:t xml:space="preserve">, </w:t>
      </w:r>
      <w:proofErr w:type="spellStart"/>
      <w:r w:rsidRPr="00E85807">
        <w:rPr>
          <w:lang w:val="en-US"/>
        </w:rPr>
        <w:t>yerleşik</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uygulamaların</w:t>
      </w:r>
      <w:proofErr w:type="spellEnd"/>
      <w:r w:rsidRPr="00E85807">
        <w:rPr>
          <w:lang w:val="en-US"/>
        </w:rPr>
        <w:t xml:space="preserve"> </w:t>
      </w:r>
      <w:proofErr w:type="spellStart"/>
      <w:r w:rsidRPr="00E85807">
        <w:rPr>
          <w:lang w:val="en-US"/>
        </w:rPr>
        <w:t>varlığından</w:t>
      </w:r>
      <w:proofErr w:type="spellEnd"/>
      <w:r w:rsidRPr="00E85807">
        <w:rPr>
          <w:lang w:val="en-US"/>
        </w:rPr>
        <w:t xml:space="preserve"> </w:t>
      </w:r>
      <w:proofErr w:type="spellStart"/>
      <w:r w:rsidRPr="00E85807">
        <w:rPr>
          <w:lang w:val="en-US"/>
        </w:rPr>
        <w:t>kaynaklandığı</w:t>
      </w:r>
      <w:proofErr w:type="spellEnd"/>
      <w:r w:rsidRPr="00E85807">
        <w:rPr>
          <w:lang w:val="en-US"/>
        </w:rPr>
        <w:t xml:space="preserve">, </w:t>
      </w:r>
      <w:proofErr w:type="spellStart"/>
      <w:r w:rsidRPr="00E85807">
        <w:rPr>
          <w:lang w:val="en-US"/>
        </w:rPr>
        <w:t>dolayısıyla</w:t>
      </w:r>
      <w:proofErr w:type="spellEnd"/>
      <w:r w:rsidRPr="00E85807">
        <w:rPr>
          <w:lang w:val="en-US"/>
        </w:rPr>
        <w:t xml:space="preserve"> </w:t>
      </w:r>
      <w:proofErr w:type="spellStart"/>
      <w:r w:rsidRPr="00E85807">
        <w:rPr>
          <w:lang w:val="en-US"/>
        </w:rPr>
        <w:t>bunların</w:t>
      </w:r>
      <w:proofErr w:type="spellEnd"/>
      <w:r w:rsidRPr="00E85807">
        <w:rPr>
          <w:lang w:val="en-US"/>
        </w:rPr>
        <w:t xml:space="preserve"> </w:t>
      </w:r>
      <w:proofErr w:type="spellStart"/>
      <w:r w:rsidRPr="00E85807">
        <w:rPr>
          <w:lang w:val="en-US"/>
        </w:rPr>
        <w:t>içkin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yapımızın</w:t>
      </w:r>
      <w:proofErr w:type="spellEnd"/>
      <w:r w:rsidRPr="00E85807">
        <w:rPr>
          <w:lang w:val="en-US"/>
        </w:rPr>
        <w:t xml:space="preserve"> (constitutional structure) </w:t>
      </w:r>
      <w:proofErr w:type="spellStart"/>
      <w:r w:rsidRPr="00E85807">
        <w:rPr>
          <w:lang w:val="en-US"/>
        </w:rPr>
        <w:t>bir</w:t>
      </w:r>
      <w:proofErr w:type="spellEnd"/>
      <w:r w:rsidRPr="00E85807">
        <w:rPr>
          <w:lang w:val="en-US"/>
        </w:rPr>
        <w:t xml:space="preserve"> </w:t>
      </w:r>
      <w:proofErr w:type="spellStart"/>
      <w:r w:rsidRPr="00E85807">
        <w:rPr>
          <w:lang w:val="en-US"/>
        </w:rPr>
        <w:t>parçası</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kavramsallaştırılması</w:t>
      </w:r>
      <w:proofErr w:type="spellEnd"/>
      <w:r w:rsidRPr="00E85807">
        <w:rPr>
          <w:lang w:val="en-US"/>
        </w:rPr>
        <w:t xml:space="preserve"> </w:t>
      </w:r>
      <w:proofErr w:type="spellStart"/>
      <w:r w:rsidRPr="00E85807">
        <w:rPr>
          <w:lang w:val="en-US"/>
        </w:rPr>
        <w:t>gerektiği</w:t>
      </w:r>
      <w:proofErr w:type="spellEnd"/>
      <w:r w:rsidRPr="00E85807">
        <w:rPr>
          <w:lang w:val="en-US"/>
        </w:rPr>
        <w:t xml:space="preserve">—1950’lerin </w:t>
      </w:r>
      <w:proofErr w:type="spellStart"/>
      <w:r w:rsidRPr="00E85807">
        <w:rPr>
          <w:lang w:val="en-US"/>
        </w:rPr>
        <w:t>ortalarından</w:t>
      </w:r>
      <w:proofErr w:type="spellEnd"/>
      <w:r w:rsidRPr="00E85807">
        <w:rPr>
          <w:lang w:val="en-US"/>
        </w:rPr>
        <w:t xml:space="preserve"> </w:t>
      </w:r>
      <w:proofErr w:type="spellStart"/>
      <w:r w:rsidRPr="00E85807">
        <w:rPr>
          <w:lang w:val="en-US"/>
        </w:rPr>
        <w:t>itibaren</w:t>
      </w:r>
      <w:proofErr w:type="spellEnd"/>
      <w:r w:rsidRPr="00E85807">
        <w:rPr>
          <w:lang w:val="en-US"/>
        </w:rPr>
        <w:t xml:space="preserve"> Amerikan </w:t>
      </w:r>
      <w:proofErr w:type="spellStart"/>
      <w:r w:rsidRPr="00E85807">
        <w:rPr>
          <w:lang w:val="en-US"/>
        </w:rPr>
        <w:t>hukukunda</w:t>
      </w:r>
      <w:proofErr w:type="spellEnd"/>
      <w:r w:rsidRPr="00E85807">
        <w:rPr>
          <w:lang w:val="en-US"/>
        </w:rPr>
        <w:t xml:space="preserve"> </w:t>
      </w:r>
      <w:proofErr w:type="spellStart"/>
      <w:r w:rsidRPr="00E85807">
        <w:rPr>
          <w:lang w:val="en-US"/>
        </w:rPr>
        <w:t>baskın</w:t>
      </w:r>
      <w:proofErr w:type="spellEnd"/>
      <w:r w:rsidRPr="00E85807">
        <w:rPr>
          <w:lang w:val="en-US"/>
        </w:rPr>
        <w:t xml:space="preserve"> hale </w:t>
      </w:r>
      <w:proofErr w:type="spellStart"/>
      <w:r w:rsidRPr="00E85807">
        <w:rPr>
          <w:lang w:val="en-US"/>
        </w:rPr>
        <w:t>gelen</w:t>
      </w:r>
      <w:proofErr w:type="spellEnd"/>
      <w:r w:rsidRPr="00E85807">
        <w:rPr>
          <w:lang w:val="en-US"/>
        </w:rPr>
        <w:t xml:space="preserve"> </w:t>
      </w:r>
      <w:proofErr w:type="spellStart"/>
      <w:r w:rsidRPr="00E85807">
        <w:rPr>
          <w:lang w:val="en-US"/>
        </w:rPr>
        <w:t>iddialı</w:t>
      </w:r>
      <w:proofErr w:type="spellEnd"/>
      <w:r w:rsidRPr="00E85807">
        <w:rPr>
          <w:lang w:val="en-US"/>
        </w:rPr>
        <w:t xml:space="preserve"> </w:t>
      </w:r>
      <w:proofErr w:type="spellStart"/>
      <w:r w:rsidRPr="00E85807">
        <w:rPr>
          <w:lang w:val="en-US"/>
        </w:rPr>
        <w:t>yargısal</w:t>
      </w:r>
      <w:proofErr w:type="spellEnd"/>
      <w:r w:rsidRPr="00E85807">
        <w:rPr>
          <w:lang w:val="en-US"/>
        </w:rPr>
        <w:t xml:space="preserve"> </w:t>
      </w:r>
      <w:proofErr w:type="spellStart"/>
      <w:r w:rsidRPr="00E85807">
        <w:rPr>
          <w:lang w:val="en-US"/>
        </w:rPr>
        <w:t>denetim</w:t>
      </w:r>
      <w:proofErr w:type="spellEnd"/>
      <w:r w:rsidRPr="00E85807">
        <w:rPr>
          <w:lang w:val="en-US"/>
        </w:rPr>
        <w:t xml:space="preserve"> (judicial review) </w:t>
      </w:r>
      <w:proofErr w:type="spellStart"/>
      <w:r w:rsidRPr="00E85807">
        <w:rPr>
          <w:lang w:val="en-US"/>
        </w:rPr>
        <w:t>tarzının</w:t>
      </w:r>
      <w:proofErr w:type="spellEnd"/>
      <w:r w:rsidRPr="00E85807">
        <w:rPr>
          <w:lang w:val="en-US"/>
        </w:rPr>
        <w:t xml:space="preserve"> </w:t>
      </w:r>
      <w:proofErr w:type="spellStart"/>
      <w:r w:rsidRPr="00E85807">
        <w:rPr>
          <w:lang w:val="en-US"/>
        </w:rPr>
        <w:t>geleneksel</w:t>
      </w:r>
      <w:proofErr w:type="spellEnd"/>
      <w:r w:rsidRPr="00E85807">
        <w:rPr>
          <w:lang w:val="en-US"/>
        </w:rPr>
        <w:t xml:space="preserve"> liberal </w:t>
      </w:r>
      <w:proofErr w:type="spellStart"/>
      <w:r w:rsidRPr="00E85807">
        <w:rPr>
          <w:lang w:val="en-US"/>
        </w:rPr>
        <w:t>savunusunun</w:t>
      </w:r>
      <w:proofErr w:type="spellEnd"/>
      <w:r w:rsidRPr="00E85807">
        <w:rPr>
          <w:lang w:val="en-US"/>
        </w:rPr>
        <w:t xml:space="preserve"> </w:t>
      </w:r>
      <w:proofErr w:type="spellStart"/>
      <w:r w:rsidRPr="00E85807">
        <w:rPr>
          <w:lang w:val="en-US"/>
        </w:rPr>
        <w:t>merkezinde</w:t>
      </w:r>
      <w:proofErr w:type="spellEnd"/>
      <w:r w:rsidRPr="00E85807">
        <w:rPr>
          <w:lang w:val="en-US"/>
        </w:rPr>
        <w:t xml:space="preserve"> </w:t>
      </w:r>
      <w:proofErr w:type="spellStart"/>
      <w:r w:rsidRPr="00E85807">
        <w:rPr>
          <w:lang w:val="en-US"/>
        </w:rPr>
        <w:t>yer</w:t>
      </w:r>
      <w:proofErr w:type="spellEnd"/>
      <w:r w:rsidRPr="00E85807">
        <w:rPr>
          <w:lang w:val="en-US"/>
        </w:rPr>
        <w:t xml:space="preserve"> </w:t>
      </w:r>
      <w:proofErr w:type="spellStart"/>
      <w:r w:rsidRPr="00E85807">
        <w:rPr>
          <w:lang w:val="en-US"/>
        </w:rPr>
        <w:t>almaktadır</w:t>
      </w:r>
      <w:proofErr w:type="spellEnd"/>
      <w:r w:rsidRPr="00E85807">
        <w:rPr>
          <w:lang w:val="en-US"/>
        </w:rPr>
        <w:t xml:space="preserve">. Bu </w:t>
      </w:r>
      <w:proofErr w:type="spellStart"/>
      <w:r w:rsidRPr="00E85807">
        <w:rPr>
          <w:lang w:val="en-US"/>
        </w:rPr>
        <w:t>iddialar</w:t>
      </w:r>
      <w:proofErr w:type="spellEnd"/>
      <w:r w:rsidRPr="00E85807">
        <w:rPr>
          <w:lang w:val="en-US"/>
        </w:rPr>
        <w:t xml:space="preserve"> </w:t>
      </w:r>
      <w:proofErr w:type="spellStart"/>
      <w:r w:rsidRPr="00E85807">
        <w:rPr>
          <w:lang w:val="en-US"/>
        </w:rPr>
        <w:t>en</w:t>
      </w:r>
      <w:proofErr w:type="spellEnd"/>
      <w:r w:rsidRPr="00E85807">
        <w:rPr>
          <w:lang w:val="en-US"/>
        </w:rPr>
        <w:t xml:space="preserve"> </w:t>
      </w:r>
      <w:proofErr w:type="spellStart"/>
      <w:r w:rsidRPr="00E85807">
        <w:rPr>
          <w:lang w:val="en-US"/>
        </w:rPr>
        <w:t>açık</w:t>
      </w:r>
      <w:proofErr w:type="spellEnd"/>
      <w:r w:rsidRPr="00E85807">
        <w:rPr>
          <w:lang w:val="en-US"/>
        </w:rPr>
        <w:t xml:space="preserve"> </w:t>
      </w:r>
      <w:proofErr w:type="spellStart"/>
      <w:r w:rsidRPr="00E85807">
        <w:rPr>
          <w:lang w:val="en-US"/>
        </w:rPr>
        <w:t>şekilde</w:t>
      </w:r>
      <w:proofErr w:type="spellEnd"/>
      <w:r w:rsidRPr="00E85807">
        <w:rPr>
          <w:lang w:val="en-US"/>
        </w:rPr>
        <w:t xml:space="preserve"> Lawrence </w:t>
      </w:r>
      <w:proofErr w:type="spellStart"/>
      <w:r w:rsidRPr="00E85807">
        <w:rPr>
          <w:lang w:val="en-US"/>
        </w:rPr>
        <w:t>Sager’in</w:t>
      </w:r>
      <w:proofErr w:type="spellEnd"/>
      <w:r w:rsidRPr="00E85807">
        <w:rPr>
          <w:lang w:val="en-US"/>
        </w:rPr>
        <w:t xml:space="preserve"> </w:t>
      </w:r>
      <w:proofErr w:type="spellStart"/>
      <w:r w:rsidRPr="00E85807">
        <w:rPr>
          <w:lang w:val="en-US"/>
        </w:rPr>
        <w:t>klasik</w:t>
      </w:r>
      <w:proofErr w:type="spellEnd"/>
      <w:r w:rsidRPr="00E85807">
        <w:rPr>
          <w:lang w:val="en-US"/>
        </w:rPr>
        <w:t xml:space="preserve"> </w:t>
      </w:r>
      <w:proofErr w:type="spellStart"/>
      <w:r w:rsidRPr="00E85807">
        <w:rPr>
          <w:lang w:val="en-US"/>
        </w:rPr>
        <w:t>eserlerinde</w:t>
      </w:r>
      <w:proofErr w:type="spellEnd"/>
      <w:r w:rsidRPr="00E85807">
        <w:rPr>
          <w:lang w:val="en-US"/>
        </w:rPr>
        <w:t xml:space="preserve"> dilegetirilmekte¹⁸,</w:t>
      </w:r>
      <w:r>
        <w:rPr>
          <w:lang w:val="en-US"/>
        </w:rPr>
        <w:t xml:space="preserve"> </w:t>
      </w:r>
      <w:r>
        <w:rPr>
          <w:rStyle w:val="FootnoteReference"/>
          <w:lang w:val="en-US"/>
        </w:rPr>
        <w:footnoteReference w:id="18"/>
      </w:r>
      <w:r w:rsidRPr="00E85807">
        <w:rPr>
          <w:lang w:val="en-US"/>
        </w:rPr>
        <w:t xml:space="preserve"> </w:t>
      </w:r>
      <w:proofErr w:type="spellStart"/>
      <w:r w:rsidRPr="00E85807">
        <w:rPr>
          <w:lang w:val="en-US"/>
        </w:rPr>
        <w:t>ancak</w:t>
      </w:r>
      <w:proofErr w:type="spellEnd"/>
      <w:r w:rsidRPr="00E85807">
        <w:rPr>
          <w:lang w:val="en-US"/>
        </w:rPr>
        <w:t xml:space="preserve"> Cass Sunstein¹⁹, </w:t>
      </w:r>
      <w:r>
        <w:rPr>
          <w:lang w:val="en-US"/>
        </w:rPr>
        <w:t xml:space="preserve"> </w:t>
      </w:r>
      <w:r>
        <w:rPr>
          <w:rStyle w:val="FootnoteReference"/>
          <w:lang w:val="en-US"/>
        </w:rPr>
        <w:footnoteReference w:id="19"/>
      </w:r>
      <w:r w:rsidRPr="00E85807">
        <w:rPr>
          <w:lang w:val="en-US"/>
        </w:rPr>
        <w:t>Ronald Dworkin²⁰,</w:t>
      </w:r>
      <w:r>
        <w:rPr>
          <w:lang w:val="en-US"/>
        </w:rPr>
        <w:t xml:space="preserve"> </w:t>
      </w:r>
      <w:r>
        <w:rPr>
          <w:rStyle w:val="FootnoteReference"/>
          <w:lang w:val="en-US"/>
        </w:rPr>
        <w:footnoteReference w:id="20"/>
      </w:r>
      <w:r w:rsidRPr="00E85807">
        <w:rPr>
          <w:lang w:val="en-US"/>
        </w:rPr>
        <w:t xml:space="preserve"> Chris Eisgruber²¹,</w:t>
      </w:r>
      <w:r>
        <w:rPr>
          <w:lang w:val="en-US"/>
        </w:rPr>
        <w:t xml:space="preserve"> </w:t>
      </w:r>
      <w:r>
        <w:rPr>
          <w:rStyle w:val="FootnoteReference"/>
          <w:lang w:val="en-US"/>
        </w:rPr>
        <w:footnoteReference w:id="21"/>
      </w:r>
      <w:r w:rsidRPr="00E85807">
        <w:rPr>
          <w:lang w:val="en-US"/>
        </w:rPr>
        <w:t xml:space="preserve"> Jim</w:t>
      </w:r>
      <w:r w:rsidR="009F15C9">
        <w:rPr>
          <w:lang w:val="en-US"/>
        </w:rPr>
        <w:t xml:space="preserve"> </w:t>
      </w:r>
      <w:r w:rsidRPr="00E85807">
        <w:rPr>
          <w:lang w:val="en-US"/>
        </w:rPr>
        <w:lastRenderedPageBreak/>
        <w:t xml:space="preserve">Fleming²², </w:t>
      </w:r>
      <w:r>
        <w:rPr>
          <w:rStyle w:val="FootnoteReference"/>
          <w:lang w:val="en-US"/>
        </w:rPr>
        <w:footnoteReference w:id="22"/>
      </w:r>
      <w:r w:rsidRPr="00E85807">
        <w:rPr>
          <w:lang w:val="en-US"/>
        </w:rPr>
        <w:t>Richard Fallon²³</w:t>
      </w:r>
      <w:r>
        <w:rPr>
          <w:lang w:val="en-US"/>
        </w:rPr>
        <w:t xml:space="preserve"> </w:t>
      </w:r>
      <w:r>
        <w:rPr>
          <w:rStyle w:val="FootnoteReference"/>
          <w:lang w:val="en-US"/>
        </w:rPr>
        <w:footnoteReference w:id="23"/>
      </w:r>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daha</w:t>
      </w:r>
      <w:proofErr w:type="spellEnd"/>
      <w:r w:rsidRPr="00E85807">
        <w:rPr>
          <w:lang w:val="en-US"/>
        </w:rPr>
        <w:t xml:space="preserve"> </w:t>
      </w:r>
      <w:proofErr w:type="spellStart"/>
      <w:r w:rsidRPr="00E85807">
        <w:rPr>
          <w:lang w:val="en-US"/>
        </w:rPr>
        <w:t>birçok</w:t>
      </w:r>
      <w:proofErr w:type="spellEnd"/>
      <w:r w:rsidRPr="00E85807">
        <w:rPr>
          <w:lang w:val="en-US"/>
        </w:rPr>
        <w:t xml:space="preserve"> </w:t>
      </w:r>
      <w:proofErr w:type="spellStart"/>
      <w:r w:rsidRPr="00E85807">
        <w:rPr>
          <w:lang w:val="en-US"/>
        </w:rPr>
        <w:t>akademisyenin</w:t>
      </w:r>
      <w:proofErr w:type="spellEnd"/>
      <w:r w:rsidRPr="00E85807">
        <w:rPr>
          <w:lang w:val="en-US"/>
        </w:rPr>
        <w:t xml:space="preserve"> </w:t>
      </w:r>
      <w:proofErr w:type="spellStart"/>
      <w:r w:rsidRPr="00E85807">
        <w:rPr>
          <w:lang w:val="en-US"/>
        </w:rPr>
        <w:t>çalışmalarında</w:t>
      </w:r>
      <w:proofErr w:type="spellEnd"/>
      <w:r w:rsidRPr="00E85807">
        <w:rPr>
          <w:lang w:val="en-US"/>
        </w:rPr>
        <w:t xml:space="preserve"> da </w:t>
      </w:r>
      <w:proofErr w:type="spellStart"/>
      <w:r w:rsidRPr="00E85807">
        <w:rPr>
          <w:lang w:val="en-US"/>
        </w:rPr>
        <w:t>yankı</w:t>
      </w:r>
      <w:proofErr w:type="spellEnd"/>
      <w:r w:rsidRPr="00E85807">
        <w:rPr>
          <w:lang w:val="en-US"/>
        </w:rPr>
        <w:t xml:space="preserve"> </w:t>
      </w:r>
      <w:proofErr w:type="spellStart"/>
      <w:r w:rsidRPr="00E85807">
        <w:rPr>
          <w:lang w:val="en-US"/>
        </w:rPr>
        <w:t>bulmaktadır</w:t>
      </w:r>
      <w:proofErr w:type="spellEnd"/>
      <w:r w:rsidRPr="00E85807">
        <w:rPr>
          <w:lang w:val="en-US"/>
        </w:rPr>
        <w:t>.</w:t>
      </w:r>
      <w:r>
        <w:rPr>
          <w:lang w:val="en-US"/>
        </w:rPr>
        <w:t xml:space="preserve"> [8-9]</w:t>
      </w:r>
    </w:p>
    <w:p w14:paraId="03C2D5B3" w14:textId="672078A2" w:rsidR="00E85807" w:rsidRDefault="00E85807" w:rsidP="00E85807">
      <w:pPr>
        <w:pStyle w:val="Heading3"/>
        <w:rPr>
          <w:lang w:val="en-US"/>
        </w:rPr>
      </w:pPr>
      <w:proofErr w:type="spellStart"/>
      <w:r w:rsidRPr="00E85807">
        <w:rPr>
          <w:lang w:val="en-US"/>
        </w:rPr>
        <w:t>Anayasal</w:t>
      </w:r>
      <w:proofErr w:type="spellEnd"/>
      <w:r w:rsidRPr="00E85807">
        <w:rPr>
          <w:lang w:val="en-US"/>
        </w:rPr>
        <w:t xml:space="preserve"> </w:t>
      </w:r>
      <w:proofErr w:type="spellStart"/>
      <w:r w:rsidRPr="00E85807">
        <w:rPr>
          <w:lang w:val="en-US"/>
        </w:rPr>
        <w:t>Yapının</w:t>
      </w:r>
      <w:proofErr w:type="spellEnd"/>
      <w:r w:rsidRPr="00E85807">
        <w:rPr>
          <w:lang w:val="en-US"/>
        </w:rPr>
        <w:t xml:space="preserve"> (Constitutional Structure) </w:t>
      </w:r>
      <w:proofErr w:type="spellStart"/>
      <w:r w:rsidRPr="00E85807">
        <w:rPr>
          <w:lang w:val="en-US"/>
        </w:rPr>
        <w:t>Akışkanlığı</w:t>
      </w:r>
      <w:proofErr w:type="spellEnd"/>
    </w:p>
    <w:p w14:paraId="533F59F7" w14:textId="77777777" w:rsidR="00E85807" w:rsidRDefault="00E85807" w:rsidP="00E85807">
      <w:pPr>
        <w:rPr>
          <w:lang w:val="en-US"/>
        </w:rPr>
      </w:pPr>
      <w:r w:rsidRPr="00E85807">
        <w:rPr>
          <w:lang w:val="en-US"/>
        </w:rPr>
        <w:t xml:space="preserve">Bu </w:t>
      </w:r>
      <w:proofErr w:type="spellStart"/>
      <w:r w:rsidRPr="00E85807">
        <w:rPr>
          <w:lang w:val="en-US"/>
        </w:rPr>
        <w:t>yaygın</w:t>
      </w:r>
      <w:proofErr w:type="spellEnd"/>
      <w:r w:rsidRPr="00E85807">
        <w:rPr>
          <w:lang w:val="en-US"/>
        </w:rPr>
        <w:t xml:space="preserve"> </w:t>
      </w:r>
      <w:proofErr w:type="spellStart"/>
      <w:r w:rsidRPr="00E85807">
        <w:rPr>
          <w:lang w:val="en-US"/>
        </w:rPr>
        <w:t>anlatı</w:t>
      </w:r>
      <w:proofErr w:type="spellEnd"/>
      <w:r w:rsidRPr="00E85807">
        <w:rPr>
          <w:lang w:val="en-US"/>
        </w:rPr>
        <w:t xml:space="preserve"> </w:t>
      </w:r>
      <w:proofErr w:type="spellStart"/>
      <w:r w:rsidRPr="00E85807">
        <w:rPr>
          <w:lang w:val="en-US"/>
        </w:rPr>
        <w:t>rahatlatıcıdır</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düzenimizin</w:t>
      </w:r>
      <w:proofErr w:type="spellEnd"/>
      <w:r w:rsidRPr="00E85807">
        <w:rPr>
          <w:lang w:val="en-US"/>
        </w:rPr>
        <w:t xml:space="preserve"> (constitutional order) </w:t>
      </w:r>
      <w:proofErr w:type="spellStart"/>
      <w:r w:rsidRPr="00E85807">
        <w:rPr>
          <w:lang w:val="en-US"/>
        </w:rPr>
        <w:t>istikrarını</w:t>
      </w:r>
      <w:proofErr w:type="spellEnd"/>
      <w:r w:rsidRPr="00E85807">
        <w:rPr>
          <w:lang w:val="en-US"/>
        </w:rPr>
        <w:t xml:space="preserve"> </w:t>
      </w:r>
      <w:proofErr w:type="spellStart"/>
      <w:r w:rsidRPr="00E85807">
        <w:rPr>
          <w:lang w:val="en-US"/>
        </w:rPr>
        <w:t>artırma</w:t>
      </w:r>
      <w:proofErr w:type="spellEnd"/>
      <w:r w:rsidRPr="00E85807">
        <w:rPr>
          <w:lang w:val="en-US"/>
        </w:rPr>
        <w:t xml:space="preserve"> </w:t>
      </w:r>
      <w:proofErr w:type="spellStart"/>
      <w:r w:rsidRPr="00E85807">
        <w:rPr>
          <w:lang w:val="en-US"/>
        </w:rPr>
        <w:t>eğiliminde</w:t>
      </w:r>
      <w:proofErr w:type="spellEnd"/>
      <w:r w:rsidRPr="00E85807">
        <w:rPr>
          <w:lang w:val="en-US"/>
        </w:rPr>
        <w:t xml:space="preserve"> </w:t>
      </w:r>
      <w:proofErr w:type="spellStart"/>
      <w:r w:rsidRPr="00E85807">
        <w:rPr>
          <w:lang w:val="en-US"/>
        </w:rPr>
        <w:t>olan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uygulamalara</w:t>
      </w:r>
      <w:proofErr w:type="spellEnd"/>
      <w:r w:rsidRPr="00E85807">
        <w:rPr>
          <w:lang w:val="en-US"/>
        </w:rPr>
        <w:t xml:space="preserve"> </w:t>
      </w:r>
      <w:proofErr w:type="spellStart"/>
      <w:r w:rsidRPr="00E85807">
        <w:rPr>
          <w:lang w:val="en-US"/>
        </w:rPr>
        <w:t>dikkat</w:t>
      </w:r>
      <w:proofErr w:type="spellEnd"/>
      <w:r w:rsidRPr="00E85807">
        <w:rPr>
          <w:lang w:val="en-US"/>
        </w:rPr>
        <w:t xml:space="preserve"> </w:t>
      </w:r>
      <w:proofErr w:type="spellStart"/>
      <w:r w:rsidRPr="00E85807">
        <w:rPr>
          <w:lang w:val="en-US"/>
        </w:rPr>
        <w:t>çekme</w:t>
      </w:r>
      <w:proofErr w:type="spellEnd"/>
      <w:r w:rsidRPr="00E85807">
        <w:rPr>
          <w:lang w:val="en-US"/>
        </w:rPr>
        <w:t xml:space="preserve"> </w:t>
      </w:r>
      <w:proofErr w:type="spellStart"/>
      <w:r w:rsidRPr="00E85807">
        <w:rPr>
          <w:lang w:val="en-US"/>
        </w:rPr>
        <w:t>erdemine</w:t>
      </w:r>
      <w:proofErr w:type="spellEnd"/>
      <w:r w:rsidRPr="00E85807">
        <w:rPr>
          <w:lang w:val="en-US"/>
        </w:rPr>
        <w:t xml:space="preserve"> </w:t>
      </w:r>
      <w:proofErr w:type="spellStart"/>
      <w:r w:rsidRPr="00E85807">
        <w:rPr>
          <w:lang w:val="en-US"/>
        </w:rPr>
        <w:t>sahiptir</w:t>
      </w:r>
      <w:proofErr w:type="spellEnd"/>
      <w:r w:rsidRPr="00E85807">
        <w:rPr>
          <w:lang w:val="en-US"/>
        </w:rPr>
        <w:t xml:space="preserve">. </w:t>
      </w:r>
      <w:proofErr w:type="spellStart"/>
      <w:r w:rsidRPr="00E85807">
        <w:rPr>
          <w:lang w:val="en-US"/>
        </w:rPr>
        <w:t>Ancak</w:t>
      </w:r>
      <w:proofErr w:type="spellEnd"/>
      <w:r w:rsidRPr="00E85807">
        <w:rPr>
          <w:lang w:val="en-US"/>
        </w:rPr>
        <w:t xml:space="preserve"> </w:t>
      </w:r>
      <w:proofErr w:type="spellStart"/>
      <w:r w:rsidRPr="00E85807">
        <w:rPr>
          <w:lang w:val="en-US"/>
        </w:rPr>
        <w:t>ciddi</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betimleme</w:t>
      </w:r>
      <w:proofErr w:type="spellEnd"/>
      <w:r w:rsidRPr="00E85807">
        <w:rPr>
          <w:lang w:val="en-US"/>
        </w:rPr>
        <w:t xml:space="preserve"> </w:t>
      </w:r>
      <w:proofErr w:type="spellStart"/>
      <w:r w:rsidRPr="00E85807">
        <w:rPr>
          <w:lang w:val="en-US"/>
        </w:rPr>
        <w:t>kusuru</w:t>
      </w:r>
      <w:proofErr w:type="spellEnd"/>
      <w:r w:rsidRPr="00E85807">
        <w:rPr>
          <w:lang w:val="en-US"/>
        </w:rPr>
        <w:t xml:space="preserve"> </w:t>
      </w:r>
      <w:proofErr w:type="spellStart"/>
      <w:r w:rsidRPr="00E85807">
        <w:rPr>
          <w:lang w:val="en-US"/>
        </w:rPr>
        <w:t>taşımaktadır</w:t>
      </w:r>
      <w:proofErr w:type="spellEnd"/>
      <w:r w:rsidRPr="00E85807">
        <w:rPr>
          <w:lang w:val="en-US"/>
        </w:rPr>
        <w:t xml:space="preserve">: </w:t>
      </w:r>
      <w:proofErr w:type="spellStart"/>
      <w:r w:rsidRPr="00E85807">
        <w:rPr>
          <w:lang w:val="en-US"/>
        </w:rPr>
        <w:t>Günümüz</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uygulamalarını</w:t>
      </w:r>
      <w:proofErr w:type="spellEnd"/>
      <w:r w:rsidRPr="00E85807">
        <w:rPr>
          <w:lang w:val="en-US"/>
        </w:rPr>
        <w:t xml:space="preserve"> </w:t>
      </w:r>
      <w:proofErr w:type="spellStart"/>
      <w:r w:rsidRPr="00E85807">
        <w:rPr>
          <w:lang w:val="en-US"/>
        </w:rPr>
        <w:t>içkin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yapımızın</w:t>
      </w:r>
      <w:proofErr w:type="spellEnd"/>
      <w:r w:rsidRPr="00E85807">
        <w:rPr>
          <w:lang w:val="en-US"/>
        </w:rPr>
        <w:t xml:space="preserve"> (constitutional structure) </w:t>
      </w:r>
      <w:proofErr w:type="spellStart"/>
      <w:r w:rsidRPr="00E85807">
        <w:rPr>
          <w:lang w:val="en-US"/>
        </w:rPr>
        <w:t>bir</w:t>
      </w:r>
      <w:proofErr w:type="spellEnd"/>
      <w:r w:rsidRPr="00E85807">
        <w:rPr>
          <w:lang w:val="en-US"/>
        </w:rPr>
        <w:t xml:space="preserve"> </w:t>
      </w:r>
      <w:proofErr w:type="spellStart"/>
      <w:r w:rsidRPr="00E85807">
        <w:rPr>
          <w:lang w:val="en-US"/>
        </w:rPr>
        <w:t>parçası</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okumak</w:t>
      </w:r>
      <w:proofErr w:type="spellEnd"/>
      <w:r w:rsidRPr="00E85807">
        <w:rPr>
          <w:lang w:val="en-US"/>
        </w:rPr>
        <w:t xml:space="preserve"> </w:t>
      </w:r>
      <w:proofErr w:type="spellStart"/>
      <w:r w:rsidRPr="00E85807">
        <w:rPr>
          <w:lang w:val="en-US"/>
        </w:rPr>
        <w:t>yerine</w:t>
      </w:r>
      <w:proofErr w:type="spellEnd"/>
      <w:r w:rsidRPr="00E85807">
        <w:rPr>
          <w:lang w:val="en-US"/>
        </w:rPr>
        <w:t xml:space="preserve">, </w:t>
      </w:r>
      <w:proofErr w:type="spellStart"/>
      <w:r w:rsidRPr="00E85807">
        <w:rPr>
          <w:lang w:val="en-US"/>
        </w:rPr>
        <w:t>bunları</w:t>
      </w:r>
      <w:proofErr w:type="spellEnd"/>
      <w:r w:rsidRPr="00E85807">
        <w:rPr>
          <w:lang w:val="en-US"/>
        </w:rPr>
        <w:t xml:space="preserve"> </w:t>
      </w:r>
      <w:proofErr w:type="spellStart"/>
      <w:r w:rsidRPr="00E85807">
        <w:rPr>
          <w:lang w:val="en-US"/>
        </w:rPr>
        <w:t>olumsal</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tartışmalı</w:t>
      </w:r>
      <w:proofErr w:type="spellEnd"/>
      <w:r w:rsidRPr="00E85807">
        <w:rPr>
          <w:lang w:val="en-US"/>
        </w:rPr>
        <w:t xml:space="preserve"> </w:t>
      </w:r>
      <w:proofErr w:type="spellStart"/>
      <w:r w:rsidRPr="00E85807">
        <w:rPr>
          <w:lang w:val="en-US"/>
        </w:rPr>
        <w:t>düzenlemeler</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değerlendirdiğimizde</w:t>
      </w:r>
      <w:proofErr w:type="spellEnd"/>
      <w:r w:rsidRPr="00E85807">
        <w:rPr>
          <w:lang w:val="en-US"/>
        </w:rPr>
        <w:t xml:space="preserve">, </w:t>
      </w:r>
      <w:proofErr w:type="spellStart"/>
      <w:r w:rsidRPr="00E85807">
        <w:rPr>
          <w:lang w:val="en-US"/>
        </w:rPr>
        <w:t>bu</w:t>
      </w:r>
      <w:proofErr w:type="spellEnd"/>
      <w:r w:rsidRPr="00E85807">
        <w:rPr>
          <w:lang w:val="en-US"/>
        </w:rPr>
        <w:t xml:space="preserve"> </w:t>
      </w:r>
      <w:proofErr w:type="spellStart"/>
      <w:r w:rsidRPr="00E85807">
        <w:rPr>
          <w:lang w:val="en-US"/>
        </w:rPr>
        <w:t>uygulamaların</w:t>
      </w:r>
      <w:proofErr w:type="spellEnd"/>
      <w:r w:rsidRPr="00E85807">
        <w:rPr>
          <w:lang w:val="en-US"/>
        </w:rPr>
        <w:t xml:space="preserve"> </w:t>
      </w:r>
      <w:proofErr w:type="spellStart"/>
      <w:r w:rsidRPr="00E85807">
        <w:rPr>
          <w:lang w:val="en-US"/>
        </w:rPr>
        <w:t>kalıcılığını</w:t>
      </w:r>
      <w:proofErr w:type="spellEnd"/>
      <w:r w:rsidRPr="00E85807">
        <w:rPr>
          <w:lang w:val="en-US"/>
        </w:rPr>
        <w:t xml:space="preserve"> </w:t>
      </w:r>
      <w:proofErr w:type="spellStart"/>
      <w:r w:rsidRPr="00E85807">
        <w:rPr>
          <w:lang w:val="en-US"/>
        </w:rPr>
        <w:t>abartmakta</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işler</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normların</w:t>
      </w:r>
      <w:proofErr w:type="spellEnd"/>
      <w:r w:rsidRPr="00E85807">
        <w:rPr>
          <w:lang w:val="en-US"/>
        </w:rPr>
        <w:t xml:space="preserve"> (constitutional norms) </w:t>
      </w:r>
      <w:proofErr w:type="spellStart"/>
      <w:r w:rsidRPr="00E85807">
        <w:rPr>
          <w:lang w:val="en-US"/>
        </w:rPr>
        <w:t>tesis</w:t>
      </w:r>
      <w:proofErr w:type="spellEnd"/>
      <w:r w:rsidRPr="00E85807">
        <w:rPr>
          <w:lang w:val="en-US"/>
        </w:rPr>
        <w:t xml:space="preserve"> </w:t>
      </w:r>
      <w:proofErr w:type="spellStart"/>
      <w:r w:rsidRPr="00E85807">
        <w:rPr>
          <w:lang w:val="en-US"/>
        </w:rPr>
        <w:t>edilmesi</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sürdürülmesi</w:t>
      </w:r>
      <w:proofErr w:type="spellEnd"/>
      <w:r w:rsidRPr="00E85807">
        <w:rPr>
          <w:lang w:val="en-US"/>
        </w:rPr>
        <w:t xml:space="preserve"> </w:t>
      </w:r>
      <w:proofErr w:type="spellStart"/>
      <w:r w:rsidRPr="00E85807">
        <w:rPr>
          <w:lang w:val="en-US"/>
        </w:rPr>
        <w:t>sürecine</w:t>
      </w:r>
      <w:proofErr w:type="spellEnd"/>
      <w:r w:rsidRPr="00E85807">
        <w:rPr>
          <w:lang w:val="en-US"/>
        </w:rPr>
        <w:t xml:space="preserve"> </w:t>
      </w:r>
      <w:proofErr w:type="spellStart"/>
      <w:r w:rsidRPr="00E85807">
        <w:rPr>
          <w:lang w:val="en-US"/>
        </w:rPr>
        <w:t>dâhil</w:t>
      </w:r>
      <w:proofErr w:type="spellEnd"/>
      <w:r w:rsidRPr="00E85807">
        <w:rPr>
          <w:lang w:val="en-US"/>
        </w:rPr>
        <w:t xml:space="preserve"> </w:t>
      </w:r>
      <w:proofErr w:type="spellStart"/>
      <w:r w:rsidRPr="00E85807">
        <w:rPr>
          <w:lang w:val="en-US"/>
        </w:rPr>
        <w:t>olmuş</w:t>
      </w:r>
      <w:proofErr w:type="spellEnd"/>
      <w:r w:rsidRPr="00E85807">
        <w:rPr>
          <w:lang w:val="en-US"/>
        </w:rPr>
        <w:t xml:space="preserve"> – </w:t>
      </w:r>
      <w:proofErr w:type="spellStart"/>
      <w:r w:rsidRPr="00E85807">
        <w:rPr>
          <w:lang w:val="en-US"/>
        </w:rPr>
        <w:t>ve</w:t>
      </w:r>
      <w:proofErr w:type="spellEnd"/>
      <w:r w:rsidRPr="00E85807">
        <w:rPr>
          <w:lang w:val="en-US"/>
        </w:rPr>
        <w:t xml:space="preserve"> </w:t>
      </w:r>
      <w:proofErr w:type="spellStart"/>
      <w:r w:rsidRPr="00E85807">
        <w:rPr>
          <w:lang w:val="en-US"/>
        </w:rPr>
        <w:t>olmaya</w:t>
      </w:r>
      <w:proofErr w:type="spellEnd"/>
      <w:r w:rsidRPr="00E85807">
        <w:rPr>
          <w:lang w:val="en-US"/>
        </w:rPr>
        <w:t xml:space="preserve"> </w:t>
      </w:r>
      <w:proofErr w:type="spellStart"/>
      <w:r w:rsidRPr="00E85807">
        <w:rPr>
          <w:lang w:val="en-US"/>
        </w:rPr>
        <w:t>devam</w:t>
      </w:r>
      <w:proofErr w:type="spellEnd"/>
      <w:r w:rsidRPr="00E85807">
        <w:rPr>
          <w:lang w:val="en-US"/>
        </w:rPr>
        <w:t xml:space="preserve"> </w:t>
      </w:r>
      <w:proofErr w:type="spellStart"/>
      <w:r w:rsidRPr="00E85807">
        <w:rPr>
          <w:lang w:val="en-US"/>
        </w:rPr>
        <w:t>eden</w:t>
      </w:r>
      <w:proofErr w:type="spellEnd"/>
      <w:r w:rsidRPr="00E85807">
        <w:rPr>
          <w:lang w:val="en-US"/>
        </w:rPr>
        <w:t xml:space="preserve"> – </w:t>
      </w:r>
      <w:proofErr w:type="spellStart"/>
      <w:r w:rsidRPr="00E85807">
        <w:rPr>
          <w:lang w:val="en-US"/>
        </w:rPr>
        <w:t>sayısız</w:t>
      </w:r>
      <w:proofErr w:type="spellEnd"/>
      <w:r w:rsidRPr="00E85807">
        <w:rPr>
          <w:lang w:val="en-US"/>
        </w:rPr>
        <w:t xml:space="preserve"> </w:t>
      </w:r>
      <w:proofErr w:type="spellStart"/>
      <w:r w:rsidRPr="00E85807">
        <w:rPr>
          <w:lang w:val="en-US"/>
        </w:rPr>
        <w:t>bireyin</w:t>
      </w:r>
      <w:proofErr w:type="spellEnd"/>
      <w:r w:rsidRPr="00E85807">
        <w:rPr>
          <w:lang w:val="en-US"/>
        </w:rPr>
        <w:t xml:space="preserve"> </w:t>
      </w:r>
      <w:proofErr w:type="spellStart"/>
      <w:r w:rsidRPr="00E85807">
        <w:rPr>
          <w:lang w:val="en-US"/>
        </w:rPr>
        <w:t>çabalarını</w:t>
      </w:r>
      <w:proofErr w:type="spellEnd"/>
      <w:r w:rsidRPr="00E85807">
        <w:rPr>
          <w:lang w:val="en-US"/>
        </w:rPr>
        <w:t xml:space="preserve"> </w:t>
      </w:r>
      <w:proofErr w:type="spellStart"/>
      <w:r w:rsidRPr="00E85807">
        <w:rPr>
          <w:lang w:val="en-US"/>
        </w:rPr>
        <w:t>göz</w:t>
      </w:r>
      <w:proofErr w:type="spellEnd"/>
      <w:r w:rsidRPr="00E85807">
        <w:rPr>
          <w:lang w:val="en-US"/>
        </w:rPr>
        <w:t xml:space="preserve"> </w:t>
      </w:r>
      <w:proofErr w:type="spellStart"/>
      <w:r w:rsidRPr="00E85807">
        <w:rPr>
          <w:lang w:val="en-US"/>
        </w:rPr>
        <w:t>ardı</w:t>
      </w:r>
      <w:proofErr w:type="spellEnd"/>
      <w:r w:rsidRPr="00E85807">
        <w:rPr>
          <w:lang w:val="en-US"/>
        </w:rPr>
        <w:t xml:space="preserve"> </w:t>
      </w:r>
      <w:proofErr w:type="spellStart"/>
      <w:r w:rsidRPr="00E85807">
        <w:rPr>
          <w:lang w:val="en-US"/>
        </w:rPr>
        <w:t>etmektedir</w:t>
      </w:r>
      <w:proofErr w:type="spellEnd"/>
      <w:r w:rsidRPr="00E85807">
        <w:rPr>
          <w:lang w:val="en-US"/>
        </w:rPr>
        <w:t>.</w:t>
      </w:r>
    </w:p>
    <w:p w14:paraId="718B2EC0" w14:textId="53605294" w:rsidR="00E85807" w:rsidRDefault="00E85807" w:rsidP="00E85807">
      <w:pPr>
        <w:rPr>
          <w:lang w:val="en-US"/>
        </w:rPr>
      </w:pPr>
      <w:proofErr w:type="spellStart"/>
      <w:r w:rsidRPr="00E85807">
        <w:rPr>
          <w:lang w:val="en-US"/>
        </w:rPr>
        <w:t>İkincil</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mesele</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yapıya</w:t>
      </w:r>
      <w:proofErr w:type="spellEnd"/>
      <w:r w:rsidRPr="00E85807">
        <w:rPr>
          <w:lang w:val="en-US"/>
        </w:rPr>
        <w:t xml:space="preserve"> (constitutional structure) </w:t>
      </w:r>
      <w:proofErr w:type="spellStart"/>
      <w:r w:rsidRPr="00E85807">
        <w:rPr>
          <w:lang w:val="en-US"/>
        </w:rPr>
        <w:t>odaklanmak</w:t>
      </w:r>
      <w:proofErr w:type="spellEnd"/>
      <w:r w:rsidRPr="00E85807">
        <w:rPr>
          <w:lang w:val="en-US"/>
        </w:rPr>
        <w:t xml:space="preserve">, </w:t>
      </w:r>
      <w:proofErr w:type="spellStart"/>
      <w:r w:rsidRPr="00E85807">
        <w:rPr>
          <w:lang w:val="en-US"/>
        </w:rPr>
        <w:t>en</w:t>
      </w:r>
      <w:proofErr w:type="spellEnd"/>
      <w:r w:rsidRPr="00E85807">
        <w:rPr>
          <w:lang w:val="en-US"/>
        </w:rPr>
        <w:t xml:space="preserve"> </w:t>
      </w:r>
      <w:proofErr w:type="spellStart"/>
      <w:r w:rsidRPr="00E85807">
        <w:rPr>
          <w:lang w:val="en-US"/>
        </w:rPr>
        <w:t>azından</w:t>
      </w:r>
      <w:proofErr w:type="spellEnd"/>
      <w:r w:rsidRPr="00E85807">
        <w:rPr>
          <w:lang w:val="en-US"/>
        </w:rPr>
        <w:t xml:space="preserve"> </w:t>
      </w:r>
      <w:proofErr w:type="spellStart"/>
      <w:r w:rsidRPr="00E85807">
        <w:rPr>
          <w:lang w:val="en-US"/>
        </w:rPr>
        <w:t>belirli</w:t>
      </w:r>
      <w:proofErr w:type="spellEnd"/>
      <w:r w:rsidRPr="00E85807">
        <w:rPr>
          <w:lang w:val="en-US"/>
        </w:rPr>
        <w:t xml:space="preserve"> </w:t>
      </w:r>
      <w:proofErr w:type="spellStart"/>
      <w:r w:rsidRPr="00E85807">
        <w:rPr>
          <w:lang w:val="en-US"/>
        </w:rPr>
        <w:t>sınırlar</w:t>
      </w:r>
      <w:proofErr w:type="spellEnd"/>
      <w:r w:rsidRPr="00E85807">
        <w:rPr>
          <w:lang w:val="en-US"/>
        </w:rPr>
        <w:t xml:space="preserve"> </w:t>
      </w:r>
      <w:proofErr w:type="spellStart"/>
      <w:r w:rsidRPr="00E85807">
        <w:rPr>
          <w:lang w:val="en-US"/>
        </w:rPr>
        <w:t>dâhilinde</w:t>
      </w:r>
      <w:proofErr w:type="spellEnd"/>
      <w:r w:rsidRPr="00E85807">
        <w:rPr>
          <w:lang w:val="en-US"/>
        </w:rPr>
        <w:t xml:space="preserve">, </w:t>
      </w:r>
      <w:proofErr w:type="spellStart"/>
      <w:r w:rsidRPr="00E85807">
        <w:rPr>
          <w:lang w:val="en-US"/>
        </w:rPr>
        <w:t>çağdaş</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düzenlemelerin</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uygulamaların</w:t>
      </w:r>
      <w:proofErr w:type="spellEnd"/>
      <w:r w:rsidRPr="00E85807">
        <w:rPr>
          <w:lang w:val="en-US"/>
        </w:rPr>
        <w:t xml:space="preserve"> </w:t>
      </w:r>
      <w:proofErr w:type="spellStart"/>
      <w:r w:rsidRPr="00E85807">
        <w:rPr>
          <w:lang w:val="en-US"/>
        </w:rPr>
        <w:t>özüne</w:t>
      </w:r>
      <w:proofErr w:type="spellEnd"/>
      <w:r w:rsidRPr="00E85807">
        <w:rPr>
          <w:lang w:val="en-US"/>
        </w:rPr>
        <w:t xml:space="preserve"> </w:t>
      </w:r>
      <w:proofErr w:type="spellStart"/>
      <w:r w:rsidRPr="00E85807">
        <w:rPr>
          <w:lang w:val="en-US"/>
        </w:rPr>
        <w:t>dair</w:t>
      </w:r>
      <w:proofErr w:type="spellEnd"/>
      <w:r w:rsidRPr="00E85807">
        <w:rPr>
          <w:lang w:val="en-US"/>
        </w:rPr>
        <w:t xml:space="preserve"> </w:t>
      </w:r>
      <w:proofErr w:type="spellStart"/>
      <w:r w:rsidRPr="00E85807">
        <w:rPr>
          <w:lang w:val="en-US"/>
        </w:rPr>
        <w:t>anlayışımızı</w:t>
      </w:r>
      <w:proofErr w:type="spellEnd"/>
      <w:r w:rsidRPr="00E85807">
        <w:rPr>
          <w:lang w:val="en-US"/>
        </w:rPr>
        <w:t xml:space="preserve"> da </w:t>
      </w:r>
      <w:proofErr w:type="spellStart"/>
      <w:r w:rsidRPr="00E85807">
        <w:rPr>
          <w:lang w:val="en-US"/>
        </w:rPr>
        <w:t>çarpıtmaktadır</w:t>
      </w:r>
      <w:proofErr w:type="spellEnd"/>
      <w:r w:rsidRPr="00E85807">
        <w:rPr>
          <w:lang w:val="en-US"/>
        </w:rPr>
        <w:t xml:space="preserve">. </w:t>
      </w:r>
      <w:proofErr w:type="spellStart"/>
      <w:r w:rsidRPr="00E85807">
        <w:rPr>
          <w:lang w:val="en-US"/>
        </w:rPr>
        <w:t>Kalıcı</w:t>
      </w:r>
      <w:proofErr w:type="spellEnd"/>
      <w:r w:rsidRPr="00E85807">
        <w:rPr>
          <w:lang w:val="en-US"/>
        </w:rPr>
        <w:t xml:space="preserve"> </w:t>
      </w:r>
      <w:proofErr w:type="spellStart"/>
      <w:r w:rsidRPr="00E85807">
        <w:rPr>
          <w:lang w:val="en-US"/>
        </w:rPr>
        <w:t>yapılar</w:t>
      </w:r>
      <w:proofErr w:type="spellEnd"/>
      <w:r w:rsidRPr="00E85807">
        <w:rPr>
          <w:lang w:val="en-US"/>
        </w:rPr>
        <w:t xml:space="preserve"> </w:t>
      </w:r>
      <w:proofErr w:type="spellStart"/>
      <w:r w:rsidRPr="00E85807">
        <w:rPr>
          <w:lang w:val="en-US"/>
        </w:rPr>
        <w:t>çerçevesinde</w:t>
      </w:r>
      <w:proofErr w:type="spellEnd"/>
      <w:r w:rsidRPr="00E85807">
        <w:rPr>
          <w:lang w:val="en-US"/>
        </w:rPr>
        <w:t xml:space="preserve"> </w:t>
      </w:r>
      <w:proofErr w:type="spellStart"/>
      <w:r w:rsidRPr="00E85807">
        <w:rPr>
          <w:lang w:val="en-US"/>
        </w:rPr>
        <w:t>düşünmek</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konuşmak</w:t>
      </w:r>
      <w:proofErr w:type="spellEnd"/>
      <w:r w:rsidRPr="00E85807">
        <w:rPr>
          <w:lang w:val="en-US"/>
        </w:rPr>
        <w:t xml:space="preserve">, </w:t>
      </w:r>
      <w:proofErr w:type="spellStart"/>
      <w:r w:rsidRPr="00E85807">
        <w:rPr>
          <w:lang w:val="en-US"/>
        </w:rPr>
        <w:t>teorisyenleri</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pratiği</w:t>
      </w:r>
      <w:proofErr w:type="spellEnd"/>
      <w:r w:rsidRPr="00E85807">
        <w:rPr>
          <w:lang w:val="en-US"/>
        </w:rPr>
        <w:t xml:space="preserve"> </w:t>
      </w:r>
      <w:proofErr w:type="spellStart"/>
      <w:r w:rsidRPr="00E85807">
        <w:rPr>
          <w:lang w:val="en-US"/>
        </w:rPr>
        <w:t>soyut</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şekilde</w:t>
      </w:r>
      <w:proofErr w:type="spellEnd"/>
      <w:r w:rsidRPr="00E85807">
        <w:rPr>
          <w:lang w:val="en-US"/>
        </w:rPr>
        <w:t xml:space="preserve"> </w:t>
      </w:r>
      <w:proofErr w:type="spellStart"/>
      <w:r w:rsidRPr="00E85807">
        <w:rPr>
          <w:lang w:val="en-US"/>
        </w:rPr>
        <w:t>betimlemeye</w:t>
      </w:r>
      <w:proofErr w:type="spellEnd"/>
      <w:r w:rsidRPr="00E85807">
        <w:rPr>
          <w:lang w:val="en-US"/>
        </w:rPr>
        <w:t xml:space="preserve"> </w:t>
      </w:r>
      <w:proofErr w:type="spellStart"/>
      <w:r w:rsidRPr="00E85807">
        <w:rPr>
          <w:lang w:val="en-US"/>
        </w:rPr>
        <w:t>yönlendirerek</w:t>
      </w:r>
      <w:proofErr w:type="spellEnd"/>
      <w:r w:rsidRPr="00E85807">
        <w:rPr>
          <w:lang w:val="en-US"/>
        </w:rPr>
        <w:t xml:space="preserve">, </w:t>
      </w:r>
      <w:proofErr w:type="spellStart"/>
      <w:r w:rsidRPr="00E85807">
        <w:rPr>
          <w:lang w:val="en-US"/>
        </w:rPr>
        <w:t>onu</w:t>
      </w:r>
      <w:proofErr w:type="spellEnd"/>
      <w:r w:rsidRPr="00E85807">
        <w:rPr>
          <w:lang w:val="en-US"/>
        </w:rPr>
        <w:t xml:space="preserve"> </w:t>
      </w:r>
      <w:proofErr w:type="spellStart"/>
      <w:r w:rsidRPr="00E85807">
        <w:rPr>
          <w:lang w:val="en-US"/>
        </w:rPr>
        <w:t>belirli</w:t>
      </w:r>
      <w:proofErr w:type="spellEnd"/>
      <w:r w:rsidRPr="00E85807">
        <w:rPr>
          <w:lang w:val="en-US"/>
        </w:rPr>
        <w:t xml:space="preserve"> </w:t>
      </w:r>
      <w:proofErr w:type="spellStart"/>
      <w:r w:rsidRPr="00E85807">
        <w:rPr>
          <w:lang w:val="en-US"/>
        </w:rPr>
        <w:t>dönemlere</w:t>
      </w:r>
      <w:proofErr w:type="spellEnd"/>
      <w:r w:rsidRPr="00E85807">
        <w:rPr>
          <w:lang w:val="en-US"/>
        </w:rPr>
        <w:t xml:space="preserve"> </w:t>
      </w:r>
      <w:proofErr w:type="spellStart"/>
      <w:r w:rsidRPr="00E85807">
        <w:rPr>
          <w:lang w:val="en-US"/>
        </w:rPr>
        <w:t>özgü</w:t>
      </w:r>
      <w:proofErr w:type="spellEnd"/>
      <w:r w:rsidRPr="00E85807">
        <w:rPr>
          <w:lang w:val="en-US"/>
        </w:rPr>
        <w:t xml:space="preserve"> </w:t>
      </w:r>
      <w:proofErr w:type="spellStart"/>
      <w:r w:rsidRPr="00E85807">
        <w:rPr>
          <w:lang w:val="en-US"/>
        </w:rPr>
        <w:t>daha</w:t>
      </w:r>
      <w:proofErr w:type="spellEnd"/>
      <w:r w:rsidRPr="00E85807">
        <w:rPr>
          <w:lang w:val="en-US"/>
        </w:rPr>
        <w:t xml:space="preserve"> </w:t>
      </w:r>
      <w:proofErr w:type="spellStart"/>
      <w:r w:rsidRPr="00E85807">
        <w:rPr>
          <w:lang w:val="en-US"/>
        </w:rPr>
        <w:t>hassas</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biçimde</w:t>
      </w:r>
      <w:proofErr w:type="spellEnd"/>
      <w:r w:rsidRPr="00E85807">
        <w:rPr>
          <w:lang w:val="en-US"/>
        </w:rPr>
        <w:t xml:space="preserve"> </w:t>
      </w:r>
      <w:proofErr w:type="spellStart"/>
      <w:r w:rsidRPr="00E85807">
        <w:rPr>
          <w:lang w:val="en-US"/>
        </w:rPr>
        <w:t>değil</w:t>
      </w:r>
      <w:proofErr w:type="spellEnd"/>
      <w:r w:rsidRPr="00E85807">
        <w:rPr>
          <w:lang w:val="en-US"/>
        </w:rPr>
        <w:t xml:space="preserve">, </w:t>
      </w:r>
      <w:proofErr w:type="spellStart"/>
      <w:r w:rsidRPr="00E85807">
        <w:rPr>
          <w:lang w:val="en-US"/>
        </w:rPr>
        <w:t>birden</w:t>
      </w:r>
      <w:proofErr w:type="spellEnd"/>
      <w:r w:rsidRPr="00E85807">
        <w:rPr>
          <w:lang w:val="en-US"/>
        </w:rPr>
        <w:t xml:space="preserve"> </w:t>
      </w:r>
      <w:proofErr w:type="spellStart"/>
      <w:r w:rsidRPr="00E85807">
        <w:rPr>
          <w:lang w:val="en-US"/>
        </w:rPr>
        <w:t>fazla</w:t>
      </w:r>
      <w:proofErr w:type="spellEnd"/>
      <w:r w:rsidRPr="00E85807">
        <w:rPr>
          <w:lang w:val="en-US"/>
        </w:rPr>
        <w:t xml:space="preserve"> </w:t>
      </w:r>
      <w:proofErr w:type="spellStart"/>
      <w:r w:rsidRPr="00E85807">
        <w:rPr>
          <w:lang w:val="en-US"/>
        </w:rPr>
        <w:t>döneme</w:t>
      </w:r>
      <w:proofErr w:type="spellEnd"/>
      <w:r w:rsidRPr="00E85807">
        <w:rPr>
          <w:lang w:val="en-US"/>
        </w:rPr>
        <w:t xml:space="preserve"> </w:t>
      </w:r>
      <w:proofErr w:type="spellStart"/>
      <w:r w:rsidRPr="00E85807">
        <w:rPr>
          <w:lang w:val="en-US"/>
        </w:rPr>
        <w:t>genellenebilir</w:t>
      </w:r>
      <w:proofErr w:type="spellEnd"/>
      <w:r w:rsidRPr="00E85807">
        <w:rPr>
          <w:lang w:val="en-US"/>
        </w:rPr>
        <w:t xml:space="preserve"> </w:t>
      </w:r>
      <w:proofErr w:type="spellStart"/>
      <w:r w:rsidRPr="00E85807">
        <w:rPr>
          <w:lang w:val="en-US"/>
        </w:rPr>
        <w:t>terimlerle</w:t>
      </w:r>
      <w:proofErr w:type="spellEnd"/>
      <w:r w:rsidRPr="00E85807">
        <w:rPr>
          <w:lang w:val="en-US"/>
        </w:rPr>
        <w:t xml:space="preserve"> </w:t>
      </w:r>
      <w:proofErr w:type="spellStart"/>
      <w:r w:rsidRPr="00E85807">
        <w:rPr>
          <w:lang w:val="en-US"/>
        </w:rPr>
        <w:t>tanımlamalarına</w:t>
      </w:r>
      <w:proofErr w:type="spellEnd"/>
      <w:r w:rsidRPr="00E85807">
        <w:rPr>
          <w:lang w:val="en-US"/>
        </w:rPr>
        <w:t xml:space="preserve"> </w:t>
      </w:r>
      <w:proofErr w:type="spellStart"/>
      <w:r w:rsidRPr="00E85807">
        <w:rPr>
          <w:lang w:val="en-US"/>
        </w:rPr>
        <w:t>neden</w:t>
      </w:r>
      <w:proofErr w:type="spellEnd"/>
      <w:r w:rsidRPr="00E85807">
        <w:rPr>
          <w:lang w:val="en-US"/>
        </w:rPr>
        <w:t xml:space="preserve"> </w:t>
      </w:r>
      <w:proofErr w:type="spellStart"/>
      <w:r w:rsidRPr="00E85807">
        <w:rPr>
          <w:lang w:val="en-US"/>
        </w:rPr>
        <w:t>olmaktadır</w:t>
      </w:r>
      <w:proofErr w:type="spellEnd"/>
      <w:r w:rsidRPr="00E85807">
        <w:rPr>
          <w:lang w:val="en-US"/>
        </w:rPr>
        <w:t xml:space="preserve">. </w:t>
      </w:r>
      <w:proofErr w:type="spellStart"/>
      <w:r w:rsidRPr="00E85807">
        <w:rPr>
          <w:lang w:val="en-US"/>
        </w:rPr>
        <w:t>Aşağıda</w:t>
      </w:r>
      <w:proofErr w:type="spellEnd"/>
      <w:r w:rsidRPr="00E85807">
        <w:rPr>
          <w:lang w:val="en-US"/>
        </w:rPr>
        <w:t xml:space="preserve"> </w:t>
      </w:r>
      <w:proofErr w:type="spellStart"/>
      <w:r w:rsidRPr="00E85807">
        <w:rPr>
          <w:lang w:val="en-US"/>
        </w:rPr>
        <w:t>Bölüm</w:t>
      </w:r>
      <w:proofErr w:type="spellEnd"/>
      <w:r w:rsidRPr="00E85807">
        <w:rPr>
          <w:lang w:val="en-US"/>
        </w:rPr>
        <w:t xml:space="preserve"> </w:t>
      </w:r>
      <w:proofErr w:type="spellStart"/>
      <w:r w:rsidRPr="00E85807">
        <w:rPr>
          <w:lang w:val="en-US"/>
        </w:rPr>
        <w:t>II’de</w:t>
      </w:r>
      <w:proofErr w:type="spellEnd"/>
      <w:r w:rsidRPr="00E85807">
        <w:rPr>
          <w:lang w:val="en-US"/>
        </w:rPr>
        <w:t xml:space="preserve"> </w:t>
      </w:r>
      <w:proofErr w:type="spellStart"/>
      <w:r w:rsidRPr="00E85807">
        <w:rPr>
          <w:lang w:val="en-US"/>
        </w:rPr>
        <w:t>tartışılacağı</w:t>
      </w:r>
      <w:proofErr w:type="spellEnd"/>
      <w:r w:rsidRPr="00E85807">
        <w:rPr>
          <w:lang w:val="en-US"/>
        </w:rPr>
        <w:t xml:space="preserve"> </w:t>
      </w:r>
      <w:proofErr w:type="spellStart"/>
      <w:r w:rsidRPr="00E85807">
        <w:rPr>
          <w:lang w:val="en-US"/>
        </w:rPr>
        <w:t>üzere</w:t>
      </w:r>
      <w:proofErr w:type="spellEnd"/>
      <w:r w:rsidRPr="00E85807">
        <w:rPr>
          <w:lang w:val="en-US"/>
        </w:rPr>
        <w:t xml:space="preserve">, </w:t>
      </w:r>
      <w:proofErr w:type="spellStart"/>
      <w:r w:rsidRPr="00E85807">
        <w:rPr>
          <w:lang w:val="en-US"/>
        </w:rPr>
        <w:t>teorisyenler</w:t>
      </w:r>
      <w:proofErr w:type="spellEnd"/>
      <w:r w:rsidRPr="00E85807">
        <w:rPr>
          <w:lang w:val="en-US"/>
        </w:rPr>
        <w:t xml:space="preserve"> </w:t>
      </w:r>
      <w:proofErr w:type="spellStart"/>
      <w:r w:rsidRPr="00E85807">
        <w:rPr>
          <w:lang w:val="en-US"/>
        </w:rPr>
        <w:t>özellikle</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karar</w:t>
      </w:r>
      <w:proofErr w:type="spellEnd"/>
      <w:r w:rsidRPr="00E85807">
        <w:rPr>
          <w:lang w:val="en-US"/>
        </w:rPr>
        <w:t xml:space="preserve"> alma </w:t>
      </w:r>
      <w:proofErr w:type="spellStart"/>
      <w:r w:rsidRPr="00E85807">
        <w:rPr>
          <w:lang w:val="en-US"/>
        </w:rPr>
        <w:t>sürecinin</w:t>
      </w:r>
      <w:proofErr w:type="spellEnd"/>
      <w:r w:rsidRPr="00E85807">
        <w:rPr>
          <w:lang w:val="en-US"/>
        </w:rPr>
        <w:t xml:space="preserve"> </w:t>
      </w:r>
      <w:proofErr w:type="spellStart"/>
      <w:r w:rsidRPr="00E85807">
        <w:rPr>
          <w:lang w:val="en-US"/>
        </w:rPr>
        <w:t>geleneksel</w:t>
      </w:r>
      <w:proofErr w:type="spellEnd"/>
      <w:r w:rsidRPr="00E85807">
        <w:rPr>
          <w:lang w:val="en-US"/>
        </w:rPr>
        <w:t xml:space="preserve"> </w:t>
      </w:r>
      <w:proofErr w:type="spellStart"/>
      <w:r w:rsidRPr="00E85807">
        <w:rPr>
          <w:lang w:val="en-US"/>
        </w:rPr>
        <w:t>yöntemlerini</w:t>
      </w:r>
      <w:proofErr w:type="spellEnd"/>
      <w:r w:rsidRPr="00E85807">
        <w:rPr>
          <w:lang w:val="en-US"/>
        </w:rPr>
        <w:t xml:space="preserve"> </w:t>
      </w:r>
      <w:proofErr w:type="spellStart"/>
      <w:r w:rsidRPr="00E85807">
        <w:rPr>
          <w:lang w:val="en-US"/>
        </w:rPr>
        <w:t>değiştiren</w:t>
      </w:r>
      <w:proofErr w:type="spellEnd"/>
      <w:r w:rsidRPr="00E85807">
        <w:rPr>
          <w:lang w:val="en-US"/>
        </w:rPr>
        <w:t xml:space="preserve"> </w:t>
      </w:r>
      <w:proofErr w:type="spellStart"/>
      <w:r w:rsidRPr="00E85807">
        <w:rPr>
          <w:lang w:val="en-US"/>
        </w:rPr>
        <w:t>veya</w:t>
      </w:r>
      <w:proofErr w:type="spellEnd"/>
      <w:r w:rsidRPr="00E85807">
        <w:rPr>
          <w:lang w:val="en-US"/>
        </w:rPr>
        <w:t xml:space="preserve"> </w:t>
      </w:r>
      <w:proofErr w:type="spellStart"/>
      <w:r w:rsidRPr="00E85807">
        <w:rPr>
          <w:lang w:val="en-US"/>
        </w:rPr>
        <w:t>karmaşıklaştıran</w:t>
      </w:r>
      <w:proofErr w:type="spellEnd"/>
      <w:r w:rsidRPr="00E85807">
        <w:rPr>
          <w:lang w:val="en-US"/>
        </w:rPr>
        <w:t xml:space="preserve"> </w:t>
      </w:r>
      <w:proofErr w:type="spellStart"/>
      <w:r w:rsidRPr="00E85807">
        <w:rPr>
          <w:lang w:val="en-US"/>
        </w:rPr>
        <w:t>yakın</w:t>
      </w:r>
      <w:proofErr w:type="spellEnd"/>
      <w:r w:rsidRPr="00E85807">
        <w:rPr>
          <w:lang w:val="en-US"/>
        </w:rPr>
        <w:t xml:space="preserve"> </w:t>
      </w:r>
      <w:proofErr w:type="spellStart"/>
      <w:r w:rsidRPr="00E85807">
        <w:rPr>
          <w:lang w:val="en-US"/>
        </w:rPr>
        <w:t>tarihli</w:t>
      </w:r>
      <w:proofErr w:type="spellEnd"/>
      <w:r w:rsidRPr="00E85807">
        <w:rPr>
          <w:lang w:val="en-US"/>
        </w:rPr>
        <w:t xml:space="preserve"> </w:t>
      </w:r>
      <w:proofErr w:type="spellStart"/>
      <w:r w:rsidRPr="00E85807">
        <w:rPr>
          <w:lang w:val="en-US"/>
        </w:rPr>
        <w:t>gelişmeleri</w:t>
      </w:r>
      <w:proofErr w:type="spellEnd"/>
      <w:r w:rsidRPr="00E85807">
        <w:rPr>
          <w:lang w:val="en-US"/>
        </w:rPr>
        <w:t xml:space="preserve"> </w:t>
      </w:r>
      <w:proofErr w:type="spellStart"/>
      <w:r w:rsidRPr="00E85807">
        <w:rPr>
          <w:lang w:val="en-US"/>
        </w:rPr>
        <w:t>göz</w:t>
      </w:r>
      <w:proofErr w:type="spellEnd"/>
      <w:r w:rsidRPr="00E85807">
        <w:rPr>
          <w:lang w:val="en-US"/>
        </w:rPr>
        <w:t xml:space="preserve"> </w:t>
      </w:r>
      <w:proofErr w:type="spellStart"/>
      <w:r w:rsidRPr="00E85807">
        <w:rPr>
          <w:lang w:val="en-US"/>
        </w:rPr>
        <w:t>ardı</w:t>
      </w:r>
      <w:proofErr w:type="spellEnd"/>
      <w:r w:rsidRPr="00E85807">
        <w:rPr>
          <w:lang w:val="en-US"/>
        </w:rPr>
        <w:t xml:space="preserve"> </w:t>
      </w:r>
      <w:proofErr w:type="spellStart"/>
      <w:r w:rsidRPr="00E85807">
        <w:rPr>
          <w:lang w:val="en-US"/>
        </w:rPr>
        <w:t>etme</w:t>
      </w:r>
      <w:proofErr w:type="spellEnd"/>
      <w:r w:rsidRPr="00E85807">
        <w:rPr>
          <w:lang w:val="en-US"/>
        </w:rPr>
        <w:t xml:space="preserve"> </w:t>
      </w:r>
      <w:proofErr w:type="spellStart"/>
      <w:r w:rsidRPr="00E85807">
        <w:rPr>
          <w:lang w:val="en-US"/>
        </w:rPr>
        <w:t>eğilimindedir</w:t>
      </w:r>
      <w:proofErr w:type="spellEnd"/>
      <w:r w:rsidRPr="00E85807">
        <w:rPr>
          <w:lang w:val="en-US"/>
        </w:rPr>
        <w:t xml:space="preserve">. Bu </w:t>
      </w:r>
      <w:proofErr w:type="spellStart"/>
      <w:r w:rsidRPr="00E85807">
        <w:rPr>
          <w:lang w:val="en-US"/>
        </w:rPr>
        <w:t>gelişmeler</w:t>
      </w:r>
      <w:proofErr w:type="spellEnd"/>
      <w:r w:rsidRPr="00E85807">
        <w:rPr>
          <w:lang w:val="en-US"/>
        </w:rPr>
        <w:t xml:space="preserve">, </w:t>
      </w:r>
      <w:proofErr w:type="spellStart"/>
      <w:r w:rsidRPr="00E85807">
        <w:rPr>
          <w:lang w:val="en-US"/>
        </w:rPr>
        <w:t>özellikle</w:t>
      </w:r>
      <w:proofErr w:type="spellEnd"/>
      <w:r w:rsidRPr="00E85807">
        <w:rPr>
          <w:lang w:val="en-US"/>
        </w:rPr>
        <w:t xml:space="preserve"> de </w:t>
      </w:r>
      <w:proofErr w:type="spellStart"/>
      <w:r w:rsidRPr="00E85807">
        <w:rPr>
          <w:lang w:val="en-US"/>
        </w:rPr>
        <w:t>önceki</w:t>
      </w:r>
      <w:proofErr w:type="spellEnd"/>
      <w:r w:rsidRPr="00E85807">
        <w:rPr>
          <w:lang w:val="en-US"/>
        </w:rPr>
        <w:t xml:space="preserve"> </w:t>
      </w:r>
      <w:proofErr w:type="spellStart"/>
      <w:r w:rsidRPr="00E85807">
        <w:rPr>
          <w:lang w:val="en-US"/>
        </w:rPr>
        <w:t>bölümde</w:t>
      </w:r>
      <w:proofErr w:type="spellEnd"/>
      <w:r w:rsidRPr="00E85807">
        <w:rPr>
          <w:lang w:val="en-US"/>
        </w:rPr>
        <w:t xml:space="preserve"> </w:t>
      </w:r>
      <w:proofErr w:type="spellStart"/>
      <w:r w:rsidRPr="00E85807">
        <w:rPr>
          <w:lang w:val="en-US"/>
        </w:rPr>
        <w:t>açıklanan</w:t>
      </w:r>
      <w:proofErr w:type="spellEnd"/>
      <w:r w:rsidRPr="00E85807">
        <w:rPr>
          <w:lang w:val="en-US"/>
        </w:rPr>
        <w:t xml:space="preserve"> </w:t>
      </w:r>
      <w:proofErr w:type="spellStart"/>
      <w:r w:rsidRPr="00E85807">
        <w:rPr>
          <w:lang w:val="en-US"/>
        </w:rPr>
        <w:t>rahatlatıcı</w:t>
      </w:r>
      <w:proofErr w:type="spellEnd"/>
      <w:r w:rsidRPr="00E85807">
        <w:rPr>
          <w:lang w:val="en-US"/>
        </w:rPr>
        <w:t xml:space="preserve"> </w:t>
      </w:r>
      <w:proofErr w:type="spellStart"/>
      <w:r w:rsidRPr="00E85807">
        <w:rPr>
          <w:lang w:val="en-US"/>
        </w:rPr>
        <w:t>anlatının</w:t>
      </w:r>
      <w:proofErr w:type="spellEnd"/>
      <w:r w:rsidRPr="00E85807">
        <w:rPr>
          <w:lang w:val="en-US"/>
        </w:rPr>
        <w:t xml:space="preserve"> </w:t>
      </w:r>
      <w:proofErr w:type="spellStart"/>
      <w:r w:rsidRPr="00E85807">
        <w:rPr>
          <w:lang w:val="en-US"/>
        </w:rPr>
        <w:t>zaferci</w:t>
      </w:r>
      <w:proofErr w:type="spellEnd"/>
      <w:r w:rsidRPr="00E85807">
        <w:rPr>
          <w:lang w:val="en-US"/>
        </w:rPr>
        <w:t xml:space="preserve"> </w:t>
      </w:r>
      <w:proofErr w:type="spellStart"/>
      <w:r w:rsidRPr="00E85807">
        <w:rPr>
          <w:lang w:val="en-US"/>
        </w:rPr>
        <w:t>yönünü</w:t>
      </w:r>
      <w:proofErr w:type="spellEnd"/>
      <w:r w:rsidRPr="00E85807">
        <w:rPr>
          <w:lang w:val="en-US"/>
        </w:rPr>
        <w:t xml:space="preserve"> </w:t>
      </w:r>
      <w:proofErr w:type="spellStart"/>
      <w:r w:rsidRPr="00E85807">
        <w:rPr>
          <w:lang w:val="en-US"/>
        </w:rPr>
        <w:t>zayıflatıyorsa</w:t>
      </w:r>
      <w:proofErr w:type="spellEnd"/>
      <w:r w:rsidRPr="00E85807">
        <w:rPr>
          <w:lang w:val="en-US"/>
        </w:rPr>
        <w:t xml:space="preserve">, </w:t>
      </w:r>
      <w:proofErr w:type="spellStart"/>
      <w:r w:rsidRPr="00E85807">
        <w:rPr>
          <w:lang w:val="en-US"/>
        </w:rPr>
        <w:t>istisnai</w:t>
      </w:r>
      <w:proofErr w:type="spellEnd"/>
      <w:r w:rsidRPr="00E85807">
        <w:rPr>
          <w:lang w:val="en-US"/>
        </w:rPr>
        <w:t xml:space="preserve"> </w:t>
      </w:r>
      <w:proofErr w:type="spellStart"/>
      <w:r w:rsidRPr="00E85807">
        <w:rPr>
          <w:lang w:val="en-US"/>
        </w:rPr>
        <w:t>sapmalar</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değerlendirilmektedir</w:t>
      </w:r>
      <w:proofErr w:type="spellEnd"/>
      <w:r w:rsidRPr="00E85807">
        <w:rPr>
          <w:lang w:val="en-US"/>
        </w:rPr>
        <w:t>.</w:t>
      </w:r>
      <w:r>
        <w:rPr>
          <w:lang w:val="en-US"/>
        </w:rPr>
        <w:t xml:space="preserve"> [9-10]</w:t>
      </w:r>
    </w:p>
    <w:p w14:paraId="2CBE60E4" w14:textId="77777777" w:rsidR="00E85807" w:rsidRPr="00E85807" w:rsidRDefault="00E85807" w:rsidP="00E85807">
      <w:pPr>
        <w:rPr>
          <w:lang w:val="en-US"/>
        </w:rPr>
      </w:pPr>
      <w:proofErr w:type="spellStart"/>
      <w:r w:rsidRPr="00E85807">
        <w:rPr>
          <w:lang w:val="en-US"/>
        </w:rPr>
        <w:t>Sözde</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yapımızın</w:t>
      </w:r>
      <w:proofErr w:type="spellEnd"/>
      <w:r w:rsidRPr="00E85807">
        <w:rPr>
          <w:lang w:val="en-US"/>
        </w:rPr>
        <w:t xml:space="preserve">" (constitutional structure) </w:t>
      </w:r>
      <w:proofErr w:type="spellStart"/>
      <w:r w:rsidRPr="00E85807">
        <w:rPr>
          <w:lang w:val="en-US"/>
        </w:rPr>
        <w:t>en</w:t>
      </w:r>
      <w:proofErr w:type="spellEnd"/>
      <w:r w:rsidRPr="00E85807">
        <w:rPr>
          <w:lang w:val="en-US"/>
        </w:rPr>
        <w:t xml:space="preserve"> </w:t>
      </w:r>
      <w:proofErr w:type="spellStart"/>
      <w:r w:rsidRPr="00E85807">
        <w:rPr>
          <w:lang w:val="en-US"/>
        </w:rPr>
        <w:t>belirgin</w:t>
      </w:r>
      <w:proofErr w:type="spellEnd"/>
      <w:r w:rsidRPr="00E85807">
        <w:rPr>
          <w:lang w:val="en-US"/>
        </w:rPr>
        <w:t xml:space="preserve"> </w:t>
      </w:r>
      <w:proofErr w:type="spellStart"/>
      <w:r w:rsidRPr="00E85807">
        <w:rPr>
          <w:lang w:val="en-US"/>
        </w:rPr>
        <w:t>birkaç</w:t>
      </w:r>
      <w:proofErr w:type="spellEnd"/>
      <w:r w:rsidRPr="00E85807">
        <w:rPr>
          <w:lang w:val="en-US"/>
        </w:rPr>
        <w:t xml:space="preserve"> </w:t>
      </w:r>
      <w:proofErr w:type="spellStart"/>
      <w:r w:rsidRPr="00E85807">
        <w:rPr>
          <w:lang w:val="en-US"/>
        </w:rPr>
        <w:t>unsuruna</w:t>
      </w:r>
      <w:proofErr w:type="spellEnd"/>
      <w:r w:rsidRPr="00E85807">
        <w:rPr>
          <w:lang w:val="en-US"/>
        </w:rPr>
        <w:t xml:space="preserve"> </w:t>
      </w:r>
      <w:proofErr w:type="spellStart"/>
      <w:r w:rsidRPr="00E85807">
        <w:rPr>
          <w:lang w:val="en-US"/>
        </w:rPr>
        <w:t>ilişkin</w:t>
      </w:r>
      <w:proofErr w:type="spellEnd"/>
      <w:r w:rsidRPr="00E85807">
        <w:rPr>
          <w:lang w:val="en-US"/>
        </w:rPr>
        <w:t xml:space="preserve"> </w:t>
      </w:r>
      <w:proofErr w:type="spellStart"/>
      <w:r w:rsidRPr="00E85807">
        <w:rPr>
          <w:lang w:val="en-US"/>
        </w:rPr>
        <w:t>tarihsel</w:t>
      </w:r>
      <w:proofErr w:type="spellEnd"/>
      <w:r w:rsidRPr="00E85807">
        <w:rPr>
          <w:lang w:val="en-US"/>
        </w:rPr>
        <w:t xml:space="preserve"> </w:t>
      </w:r>
      <w:proofErr w:type="spellStart"/>
      <w:r w:rsidRPr="00E85807">
        <w:rPr>
          <w:lang w:val="en-US"/>
        </w:rPr>
        <w:t>kayıtlara</w:t>
      </w:r>
      <w:proofErr w:type="spellEnd"/>
      <w:r w:rsidRPr="00E85807">
        <w:rPr>
          <w:lang w:val="en-US"/>
        </w:rPr>
        <w:t xml:space="preserve"> </w:t>
      </w:r>
      <w:proofErr w:type="spellStart"/>
      <w:r w:rsidRPr="00E85807">
        <w:rPr>
          <w:lang w:val="en-US"/>
        </w:rPr>
        <w:t>bakmak</w:t>
      </w:r>
      <w:proofErr w:type="spellEnd"/>
      <w:r w:rsidRPr="00E85807">
        <w:rPr>
          <w:lang w:val="en-US"/>
        </w:rPr>
        <w:t xml:space="preserve"> bile, </w:t>
      </w:r>
      <w:proofErr w:type="spellStart"/>
      <w:r w:rsidRPr="00E85807">
        <w:rPr>
          <w:lang w:val="en-US"/>
        </w:rPr>
        <w:t>en</w:t>
      </w:r>
      <w:proofErr w:type="spellEnd"/>
      <w:r w:rsidRPr="00E85807">
        <w:rPr>
          <w:lang w:val="en-US"/>
        </w:rPr>
        <w:t xml:space="preserve"> </w:t>
      </w:r>
      <w:proofErr w:type="spellStart"/>
      <w:r w:rsidRPr="00E85807">
        <w:rPr>
          <w:lang w:val="en-US"/>
        </w:rPr>
        <w:t>aşina</w:t>
      </w:r>
      <w:proofErr w:type="spellEnd"/>
      <w:r w:rsidRPr="00E85807">
        <w:rPr>
          <w:lang w:val="en-US"/>
        </w:rPr>
        <w:t xml:space="preserve"> </w:t>
      </w:r>
      <w:proofErr w:type="spellStart"/>
      <w:r w:rsidRPr="00E85807">
        <w:rPr>
          <w:lang w:val="en-US"/>
        </w:rPr>
        <w:t>olduğumuz</w:t>
      </w:r>
      <w:proofErr w:type="spellEnd"/>
      <w:r w:rsidRPr="00E85807">
        <w:rPr>
          <w:lang w:val="en-US"/>
        </w:rPr>
        <w:t xml:space="preserve"> </w:t>
      </w:r>
      <w:proofErr w:type="spellStart"/>
      <w:r w:rsidRPr="00E85807">
        <w:rPr>
          <w:lang w:val="en-US"/>
        </w:rPr>
        <w:t>düzenlemelerin</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uygulamaların</w:t>
      </w:r>
      <w:proofErr w:type="spellEnd"/>
      <w:r w:rsidRPr="00E85807">
        <w:rPr>
          <w:lang w:val="en-US"/>
        </w:rPr>
        <w:t xml:space="preserve"> </w:t>
      </w:r>
      <w:proofErr w:type="spellStart"/>
      <w:r w:rsidRPr="00E85807">
        <w:rPr>
          <w:lang w:val="en-US"/>
        </w:rPr>
        <w:t>dahi</w:t>
      </w:r>
      <w:proofErr w:type="spellEnd"/>
      <w:r w:rsidRPr="00E85807">
        <w:rPr>
          <w:lang w:val="en-US"/>
        </w:rPr>
        <w:t xml:space="preserve"> </w:t>
      </w:r>
      <w:proofErr w:type="spellStart"/>
      <w:r w:rsidRPr="00E85807">
        <w:rPr>
          <w:lang w:val="en-US"/>
        </w:rPr>
        <w:t>yalnızca</w:t>
      </w:r>
      <w:proofErr w:type="spellEnd"/>
      <w:r w:rsidRPr="00E85807">
        <w:rPr>
          <w:lang w:val="en-US"/>
        </w:rPr>
        <w:t xml:space="preserve"> </w:t>
      </w:r>
      <w:proofErr w:type="spellStart"/>
      <w:r w:rsidRPr="00E85807">
        <w:rPr>
          <w:lang w:val="en-US"/>
        </w:rPr>
        <w:t>biçimsel</w:t>
      </w:r>
      <w:proofErr w:type="spellEnd"/>
      <w:r w:rsidRPr="00E85807">
        <w:rPr>
          <w:lang w:val="en-US"/>
        </w:rPr>
        <w:t xml:space="preserve">, </w:t>
      </w:r>
      <w:proofErr w:type="spellStart"/>
      <w:r w:rsidRPr="00E85807">
        <w:rPr>
          <w:lang w:val="en-US"/>
        </w:rPr>
        <w:t>tarihsel</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olumsal</w:t>
      </w:r>
      <w:proofErr w:type="spellEnd"/>
      <w:r w:rsidRPr="00E85807">
        <w:rPr>
          <w:lang w:val="en-US"/>
        </w:rPr>
        <w:t xml:space="preserve"> (contingent) </w:t>
      </w:r>
      <w:proofErr w:type="spellStart"/>
      <w:r w:rsidRPr="00E85807">
        <w:rPr>
          <w:lang w:val="en-US"/>
        </w:rPr>
        <w:t>ve</w:t>
      </w:r>
      <w:proofErr w:type="spellEnd"/>
      <w:r w:rsidRPr="00E85807">
        <w:rPr>
          <w:lang w:val="en-US"/>
        </w:rPr>
        <w:t xml:space="preserve"> </w:t>
      </w:r>
      <w:proofErr w:type="spellStart"/>
      <w:r w:rsidRPr="00E85807">
        <w:rPr>
          <w:lang w:val="en-US"/>
        </w:rPr>
        <w:t>hâlâ</w:t>
      </w:r>
      <w:proofErr w:type="spellEnd"/>
      <w:r w:rsidRPr="00E85807">
        <w:rPr>
          <w:lang w:val="en-US"/>
        </w:rPr>
        <w:t xml:space="preserve"> </w:t>
      </w:r>
      <w:proofErr w:type="spellStart"/>
      <w:r w:rsidRPr="00E85807">
        <w:rPr>
          <w:lang w:val="en-US"/>
        </w:rPr>
        <w:t>evrim</w:t>
      </w:r>
      <w:proofErr w:type="spellEnd"/>
      <w:r w:rsidRPr="00E85807">
        <w:rPr>
          <w:lang w:val="en-US"/>
        </w:rPr>
        <w:t xml:space="preserve"> </w:t>
      </w:r>
      <w:proofErr w:type="spellStart"/>
      <w:r w:rsidRPr="00E85807">
        <w:rPr>
          <w:lang w:val="en-US"/>
        </w:rPr>
        <w:t>geçirmekte</w:t>
      </w:r>
      <w:proofErr w:type="spellEnd"/>
      <w:r w:rsidRPr="00E85807">
        <w:rPr>
          <w:lang w:val="en-US"/>
        </w:rPr>
        <w:t xml:space="preserve"> </w:t>
      </w:r>
      <w:proofErr w:type="spellStart"/>
      <w:r w:rsidRPr="00E85807">
        <w:rPr>
          <w:lang w:val="en-US"/>
        </w:rPr>
        <w:t>olduğunu</w:t>
      </w:r>
      <w:proofErr w:type="spellEnd"/>
      <w:r w:rsidRPr="00E85807">
        <w:rPr>
          <w:lang w:val="en-US"/>
        </w:rPr>
        <w:t xml:space="preserve"> </w:t>
      </w:r>
      <w:proofErr w:type="spellStart"/>
      <w:r w:rsidRPr="00E85807">
        <w:rPr>
          <w:lang w:val="en-US"/>
        </w:rPr>
        <w:t>anlamak</w:t>
      </w:r>
      <w:proofErr w:type="spellEnd"/>
      <w:r w:rsidRPr="00E85807">
        <w:rPr>
          <w:lang w:val="en-US"/>
        </w:rPr>
        <w:t xml:space="preserve"> </w:t>
      </w:r>
      <w:proofErr w:type="spellStart"/>
      <w:r w:rsidRPr="00E85807">
        <w:rPr>
          <w:lang w:val="en-US"/>
        </w:rPr>
        <w:t>için</w:t>
      </w:r>
      <w:proofErr w:type="spellEnd"/>
      <w:r w:rsidRPr="00E85807">
        <w:rPr>
          <w:lang w:val="en-US"/>
        </w:rPr>
        <w:t xml:space="preserve"> </w:t>
      </w:r>
      <w:proofErr w:type="spellStart"/>
      <w:r w:rsidRPr="00E85807">
        <w:rPr>
          <w:lang w:val="en-US"/>
        </w:rPr>
        <w:t>yeterlidir</w:t>
      </w:r>
      <w:proofErr w:type="spellEnd"/>
      <w:r w:rsidRPr="00E85807">
        <w:rPr>
          <w:lang w:val="en-US"/>
        </w:rPr>
        <w:t xml:space="preserve">. Bu </w:t>
      </w:r>
      <w:proofErr w:type="spellStart"/>
      <w:r w:rsidRPr="00E85807">
        <w:rPr>
          <w:lang w:val="en-US"/>
        </w:rPr>
        <w:t>bölümün</w:t>
      </w:r>
      <w:proofErr w:type="spellEnd"/>
      <w:r w:rsidRPr="00E85807">
        <w:rPr>
          <w:lang w:val="en-US"/>
        </w:rPr>
        <w:t xml:space="preserve"> </w:t>
      </w:r>
      <w:proofErr w:type="spellStart"/>
      <w:r w:rsidRPr="00E85807">
        <w:rPr>
          <w:lang w:val="en-US"/>
        </w:rPr>
        <w:t>geri</w:t>
      </w:r>
      <w:proofErr w:type="spellEnd"/>
      <w:r w:rsidRPr="00E85807">
        <w:rPr>
          <w:lang w:val="en-US"/>
        </w:rPr>
        <w:t xml:space="preserve"> </w:t>
      </w:r>
      <w:proofErr w:type="spellStart"/>
      <w:r w:rsidRPr="00E85807">
        <w:rPr>
          <w:lang w:val="en-US"/>
        </w:rPr>
        <w:t>kalan</w:t>
      </w:r>
      <w:proofErr w:type="spellEnd"/>
      <w:r w:rsidRPr="00E85807">
        <w:rPr>
          <w:lang w:val="en-US"/>
        </w:rPr>
        <w:t xml:space="preserve"> </w:t>
      </w:r>
      <w:proofErr w:type="spellStart"/>
      <w:r w:rsidRPr="00E85807">
        <w:rPr>
          <w:lang w:val="en-US"/>
        </w:rPr>
        <w:t>kısmı</w:t>
      </w:r>
      <w:proofErr w:type="spellEnd"/>
      <w:r w:rsidRPr="00E85807">
        <w:rPr>
          <w:lang w:val="en-US"/>
        </w:rPr>
        <w:t xml:space="preserve">, </w:t>
      </w:r>
      <w:proofErr w:type="spellStart"/>
      <w:r w:rsidRPr="00E85807">
        <w:rPr>
          <w:lang w:val="en-US"/>
        </w:rPr>
        <w:t>bu</w:t>
      </w:r>
      <w:proofErr w:type="spellEnd"/>
      <w:r w:rsidRPr="00E85807">
        <w:rPr>
          <w:lang w:val="en-US"/>
        </w:rPr>
        <w:t xml:space="preserve"> </w:t>
      </w:r>
      <w:proofErr w:type="spellStart"/>
      <w:r w:rsidRPr="00E85807">
        <w:rPr>
          <w:lang w:val="en-US"/>
        </w:rPr>
        <w:t>meseleyi</w:t>
      </w:r>
      <w:proofErr w:type="spellEnd"/>
      <w:r w:rsidRPr="00E85807">
        <w:rPr>
          <w:lang w:val="en-US"/>
        </w:rPr>
        <w:t xml:space="preserve"> </w:t>
      </w:r>
      <w:proofErr w:type="spellStart"/>
      <w:r w:rsidRPr="00E85807">
        <w:rPr>
          <w:lang w:val="en-US"/>
        </w:rPr>
        <w:t>ele</w:t>
      </w:r>
      <w:proofErr w:type="spellEnd"/>
      <w:r w:rsidRPr="00E85807">
        <w:rPr>
          <w:lang w:val="en-US"/>
        </w:rPr>
        <w:t xml:space="preserve"> </w:t>
      </w:r>
      <w:proofErr w:type="spellStart"/>
      <w:r w:rsidRPr="00E85807">
        <w:rPr>
          <w:lang w:val="en-US"/>
        </w:rPr>
        <w:t>almaktadır</w:t>
      </w:r>
      <w:proofErr w:type="spellEnd"/>
      <w:r w:rsidRPr="00E85807">
        <w:rPr>
          <w:lang w:val="en-US"/>
        </w:rPr>
        <w:t>.</w:t>
      </w:r>
    </w:p>
    <w:p w14:paraId="6BC9F0B4" w14:textId="3D60A326" w:rsidR="00E85807" w:rsidRDefault="00E85807" w:rsidP="006A62B6">
      <w:pPr>
        <w:pStyle w:val="Heading4"/>
        <w:rPr>
          <w:lang w:val="en-US"/>
        </w:rPr>
      </w:pPr>
      <w:proofErr w:type="spellStart"/>
      <w:r w:rsidRPr="00E85807">
        <w:rPr>
          <w:lang w:val="en-US"/>
        </w:rPr>
        <w:t>Yargıçların</w:t>
      </w:r>
      <w:proofErr w:type="spellEnd"/>
      <w:r w:rsidRPr="00E85807">
        <w:rPr>
          <w:lang w:val="en-US"/>
        </w:rPr>
        <w:t xml:space="preserve"> </w:t>
      </w:r>
      <w:proofErr w:type="spellStart"/>
      <w:r w:rsidRPr="00E85807">
        <w:rPr>
          <w:lang w:val="en-US"/>
        </w:rPr>
        <w:t>Kendine</w:t>
      </w:r>
      <w:proofErr w:type="spellEnd"/>
      <w:r w:rsidRPr="00E85807">
        <w:rPr>
          <w:lang w:val="en-US"/>
        </w:rPr>
        <w:t xml:space="preserve"> </w:t>
      </w:r>
      <w:proofErr w:type="spellStart"/>
      <w:r w:rsidRPr="00E85807">
        <w:rPr>
          <w:lang w:val="en-US"/>
        </w:rPr>
        <w:t>Özgü</w:t>
      </w:r>
      <w:proofErr w:type="spellEnd"/>
      <w:r w:rsidRPr="00E85807">
        <w:rPr>
          <w:lang w:val="en-US"/>
        </w:rPr>
        <w:t xml:space="preserve"> </w:t>
      </w:r>
      <w:proofErr w:type="spellStart"/>
      <w:r w:rsidRPr="00E85807">
        <w:rPr>
          <w:lang w:val="en-US"/>
        </w:rPr>
        <w:t>Geçmişi</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Eğitimi</w:t>
      </w:r>
      <w:proofErr w:type="spellEnd"/>
    </w:p>
    <w:p w14:paraId="356C4F1C" w14:textId="2AE5A1B2" w:rsidR="006A62B6" w:rsidRDefault="006A62B6" w:rsidP="006A62B6">
      <w:pPr>
        <w:rPr>
          <w:lang w:val="en-US"/>
        </w:rPr>
      </w:pPr>
      <w:r w:rsidRPr="006A62B6">
        <w:rPr>
          <w:lang w:val="en-US"/>
        </w:rPr>
        <w:t xml:space="preserve">Amerika </w:t>
      </w:r>
      <w:proofErr w:type="spellStart"/>
      <w:r w:rsidRPr="006A62B6">
        <w:rPr>
          <w:lang w:val="en-US"/>
        </w:rPr>
        <w:t>Birleşik</w:t>
      </w:r>
      <w:proofErr w:type="spellEnd"/>
      <w:r w:rsidRPr="006A62B6">
        <w:rPr>
          <w:lang w:val="en-US"/>
        </w:rPr>
        <w:t xml:space="preserve"> </w:t>
      </w:r>
      <w:proofErr w:type="spellStart"/>
      <w:r w:rsidRPr="006A62B6">
        <w:rPr>
          <w:lang w:val="en-US"/>
        </w:rPr>
        <w:t>Devletleri’nin</w:t>
      </w:r>
      <w:proofErr w:type="spellEnd"/>
      <w:r w:rsidRPr="006A62B6">
        <w:rPr>
          <w:lang w:val="en-US"/>
        </w:rPr>
        <w:t xml:space="preserve"> </w:t>
      </w:r>
      <w:proofErr w:type="spellStart"/>
      <w:r w:rsidRPr="006A62B6">
        <w:rPr>
          <w:lang w:val="en-US"/>
        </w:rPr>
        <w:t>başarıya</w:t>
      </w:r>
      <w:proofErr w:type="spellEnd"/>
      <w:r w:rsidRPr="006A62B6">
        <w:rPr>
          <w:lang w:val="en-US"/>
        </w:rPr>
        <w:t xml:space="preserve"> </w:t>
      </w:r>
      <w:proofErr w:type="spellStart"/>
      <w:r w:rsidRPr="006A62B6">
        <w:rPr>
          <w:lang w:val="en-US"/>
        </w:rPr>
        <w:t>uygun</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anayasal</w:t>
      </w:r>
      <w:proofErr w:type="spellEnd"/>
      <w:r w:rsidRPr="006A62B6">
        <w:rPr>
          <w:lang w:val="en-US"/>
        </w:rPr>
        <w:t xml:space="preserve"> </w:t>
      </w:r>
      <w:proofErr w:type="spellStart"/>
      <w:r w:rsidRPr="006A62B6">
        <w:rPr>
          <w:lang w:val="en-US"/>
        </w:rPr>
        <w:t>yapıya</w:t>
      </w:r>
      <w:proofErr w:type="spellEnd"/>
      <w:r w:rsidRPr="006A62B6">
        <w:rPr>
          <w:lang w:val="en-US"/>
        </w:rPr>
        <w:t xml:space="preserve"> (constitutional structure) </w:t>
      </w:r>
      <w:proofErr w:type="spellStart"/>
      <w:r w:rsidRPr="006A62B6">
        <w:rPr>
          <w:lang w:val="en-US"/>
        </w:rPr>
        <w:t>sahip</w:t>
      </w:r>
      <w:proofErr w:type="spellEnd"/>
      <w:r w:rsidRPr="006A62B6">
        <w:rPr>
          <w:lang w:val="en-US"/>
        </w:rPr>
        <w:t xml:space="preserve"> </w:t>
      </w:r>
      <w:proofErr w:type="spellStart"/>
      <w:r w:rsidRPr="006A62B6">
        <w:rPr>
          <w:lang w:val="en-US"/>
        </w:rPr>
        <w:t>olduğunu</w:t>
      </w:r>
      <w:proofErr w:type="spellEnd"/>
      <w:r w:rsidRPr="006A62B6">
        <w:rPr>
          <w:lang w:val="en-US"/>
        </w:rPr>
        <w:t xml:space="preserve"> </w:t>
      </w:r>
      <w:proofErr w:type="spellStart"/>
      <w:r w:rsidRPr="006A62B6">
        <w:rPr>
          <w:lang w:val="en-US"/>
        </w:rPr>
        <w:t>savunanların</w:t>
      </w:r>
      <w:proofErr w:type="spellEnd"/>
      <w:r w:rsidRPr="006A62B6">
        <w:rPr>
          <w:lang w:val="en-US"/>
        </w:rPr>
        <w:t xml:space="preserve"> </w:t>
      </w:r>
      <w:proofErr w:type="spellStart"/>
      <w:r w:rsidRPr="006A62B6">
        <w:rPr>
          <w:lang w:val="en-US"/>
        </w:rPr>
        <w:t>sıkça</w:t>
      </w:r>
      <w:proofErr w:type="spellEnd"/>
      <w:r w:rsidRPr="006A62B6">
        <w:rPr>
          <w:lang w:val="en-US"/>
        </w:rPr>
        <w:t xml:space="preserve"> </w:t>
      </w:r>
      <w:proofErr w:type="spellStart"/>
      <w:r w:rsidRPr="006A62B6">
        <w:rPr>
          <w:lang w:val="en-US"/>
        </w:rPr>
        <w:t>öne</w:t>
      </w:r>
      <w:proofErr w:type="spellEnd"/>
      <w:r w:rsidRPr="006A62B6">
        <w:rPr>
          <w:lang w:val="en-US"/>
        </w:rPr>
        <w:t xml:space="preserve"> </w:t>
      </w:r>
      <w:proofErr w:type="spellStart"/>
      <w:r w:rsidRPr="006A62B6">
        <w:rPr>
          <w:lang w:val="en-US"/>
        </w:rPr>
        <w:t>sürdüğü</w:t>
      </w:r>
      <w:proofErr w:type="spellEnd"/>
      <w:r w:rsidRPr="006A62B6">
        <w:rPr>
          <w:lang w:val="en-US"/>
        </w:rPr>
        <w:t xml:space="preserve"> </w:t>
      </w:r>
      <w:proofErr w:type="spellStart"/>
      <w:r w:rsidRPr="006A62B6">
        <w:rPr>
          <w:lang w:val="en-US"/>
        </w:rPr>
        <w:t>iddialardan</w:t>
      </w:r>
      <w:proofErr w:type="spellEnd"/>
      <w:r w:rsidRPr="006A62B6">
        <w:rPr>
          <w:lang w:val="en-US"/>
        </w:rPr>
        <w:t xml:space="preserve"> </w:t>
      </w:r>
      <w:proofErr w:type="spellStart"/>
      <w:r w:rsidRPr="006A62B6">
        <w:rPr>
          <w:lang w:val="en-US"/>
        </w:rPr>
        <w:t>biri</w:t>
      </w:r>
      <w:proofErr w:type="spellEnd"/>
      <w:r w:rsidRPr="006A62B6">
        <w:rPr>
          <w:lang w:val="en-US"/>
        </w:rPr>
        <w:t xml:space="preserve">, </w:t>
      </w:r>
      <w:proofErr w:type="spellStart"/>
      <w:r w:rsidRPr="006A62B6">
        <w:rPr>
          <w:lang w:val="en-US"/>
        </w:rPr>
        <w:t>önemli</w:t>
      </w:r>
      <w:proofErr w:type="spellEnd"/>
      <w:r w:rsidRPr="006A62B6">
        <w:rPr>
          <w:lang w:val="en-US"/>
        </w:rPr>
        <w:t xml:space="preserve"> </w:t>
      </w:r>
      <w:proofErr w:type="spellStart"/>
      <w:r w:rsidRPr="006A62B6">
        <w:rPr>
          <w:lang w:val="en-US"/>
        </w:rPr>
        <w:t>karar</w:t>
      </w:r>
      <w:proofErr w:type="spellEnd"/>
      <w:r w:rsidRPr="006A62B6">
        <w:rPr>
          <w:lang w:val="en-US"/>
        </w:rPr>
        <w:t xml:space="preserve"> alma </w:t>
      </w:r>
      <w:proofErr w:type="spellStart"/>
      <w:r w:rsidRPr="006A62B6">
        <w:rPr>
          <w:lang w:val="en-US"/>
        </w:rPr>
        <w:t>yetkisinin</w:t>
      </w:r>
      <w:proofErr w:type="spellEnd"/>
      <w:r w:rsidRPr="006A62B6">
        <w:rPr>
          <w:lang w:val="en-US"/>
        </w:rPr>
        <w:t xml:space="preserve"> (</w:t>
      </w:r>
      <w:proofErr w:type="spellStart"/>
      <w:r w:rsidRPr="006A62B6">
        <w:rPr>
          <w:lang w:val="en-US"/>
        </w:rPr>
        <w:t>belirli</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konu</w:t>
      </w:r>
      <w:proofErr w:type="spellEnd"/>
      <w:r w:rsidRPr="006A62B6">
        <w:rPr>
          <w:lang w:val="en-US"/>
        </w:rPr>
        <w:t xml:space="preserve"> </w:t>
      </w:r>
      <w:proofErr w:type="spellStart"/>
      <w:r w:rsidRPr="006A62B6">
        <w:rPr>
          <w:lang w:val="en-US"/>
        </w:rPr>
        <w:t>seti</w:t>
      </w:r>
      <w:proofErr w:type="spellEnd"/>
      <w:r w:rsidRPr="006A62B6">
        <w:rPr>
          <w:lang w:val="en-US"/>
        </w:rPr>
        <w:t xml:space="preserve"> </w:t>
      </w:r>
      <w:proofErr w:type="spellStart"/>
      <w:r w:rsidRPr="006A62B6">
        <w:rPr>
          <w:lang w:val="en-US"/>
        </w:rPr>
        <w:t>üzerinde</w:t>
      </w:r>
      <w:proofErr w:type="spellEnd"/>
      <w:r w:rsidRPr="006A62B6">
        <w:rPr>
          <w:lang w:val="en-US"/>
        </w:rPr>
        <w:t xml:space="preserve">) </w:t>
      </w:r>
      <w:proofErr w:type="spellStart"/>
      <w:r w:rsidRPr="006A62B6">
        <w:rPr>
          <w:lang w:val="en-US"/>
        </w:rPr>
        <w:t>uygun</w:t>
      </w:r>
      <w:proofErr w:type="spellEnd"/>
      <w:r w:rsidRPr="006A62B6">
        <w:rPr>
          <w:lang w:val="en-US"/>
        </w:rPr>
        <w:t xml:space="preserve"> </w:t>
      </w:r>
      <w:proofErr w:type="spellStart"/>
      <w:r w:rsidRPr="006A62B6">
        <w:rPr>
          <w:lang w:val="en-US"/>
        </w:rPr>
        <w:t>şekilde</w:t>
      </w:r>
      <w:proofErr w:type="spellEnd"/>
      <w:r w:rsidRPr="006A62B6">
        <w:rPr>
          <w:lang w:val="en-US"/>
        </w:rPr>
        <w:t xml:space="preserve"> </w:t>
      </w:r>
      <w:proofErr w:type="spellStart"/>
      <w:r w:rsidRPr="006A62B6">
        <w:rPr>
          <w:lang w:val="en-US"/>
        </w:rPr>
        <w:t>yargıçlara</w:t>
      </w:r>
      <w:proofErr w:type="spellEnd"/>
      <w:r w:rsidRPr="006A62B6">
        <w:rPr>
          <w:lang w:val="en-US"/>
        </w:rPr>
        <w:t xml:space="preserve"> </w:t>
      </w:r>
      <w:proofErr w:type="spellStart"/>
      <w:r w:rsidRPr="006A62B6">
        <w:rPr>
          <w:lang w:val="en-US"/>
        </w:rPr>
        <w:t>tahsis</w:t>
      </w:r>
      <w:proofErr w:type="spellEnd"/>
      <w:r w:rsidRPr="006A62B6">
        <w:rPr>
          <w:lang w:val="en-US"/>
        </w:rPr>
        <w:t xml:space="preserve"> </w:t>
      </w:r>
      <w:proofErr w:type="spellStart"/>
      <w:r w:rsidRPr="006A62B6">
        <w:rPr>
          <w:lang w:val="en-US"/>
        </w:rPr>
        <w:t>edildiği</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bu</w:t>
      </w:r>
      <w:proofErr w:type="spellEnd"/>
      <w:r w:rsidRPr="006A62B6">
        <w:rPr>
          <w:lang w:val="en-US"/>
        </w:rPr>
        <w:t xml:space="preserve"> </w:t>
      </w:r>
      <w:proofErr w:type="spellStart"/>
      <w:r w:rsidRPr="006A62B6">
        <w:rPr>
          <w:lang w:val="en-US"/>
        </w:rPr>
        <w:t>yargıçların</w:t>
      </w:r>
      <w:proofErr w:type="spellEnd"/>
      <w:r w:rsidRPr="006A62B6">
        <w:rPr>
          <w:lang w:val="en-US"/>
        </w:rPr>
        <w:t xml:space="preserve"> </w:t>
      </w:r>
      <w:proofErr w:type="spellStart"/>
      <w:r w:rsidRPr="006A62B6">
        <w:rPr>
          <w:lang w:val="en-US"/>
        </w:rPr>
        <w:t>eğitim</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deneyimleri</w:t>
      </w:r>
      <w:proofErr w:type="spellEnd"/>
      <w:r w:rsidRPr="006A62B6">
        <w:rPr>
          <w:lang w:val="en-US"/>
        </w:rPr>
        <w:t xml:space="preserve"> </w:t>
      </w:r>
      <w:proofErr w:type="spellStart"/>
      <w:r w:rsidRPr="006A62B6">
        <w:rPr>
          <w:lang w:val="en-US"/>
        </w:rPr>
        <w:t>sayesinde</w:t>
      </w:r>
      <w:proofErr w:type="spellEnd"/>
      <w:r w:rsidRPr="006A62B6">
        <w:rPr>
          <w:lang w:val="en-US"/>
        </w:rPr>
        <w:t xml:space="preserve"> </w:t>
      </w:r>
      <w:proofErr w:type="spellStart"/>
      <w:r w:rsidRPr="006A62B6">
        <w:rPr>
          <w:lang w:val="en-US"/>
        </w:rPr>
        <w:t>bu</w:t>
      </w:r>
      <w:proofErr w:type="spellEnd"/>
      <w:r w:rsidRPr="006A62B6">
        <w:rPr>
          <w:lang w:val="en-US"/>
        </w:rPr>
        <w:t xml:space="preserve"> </w:t>
      </w:r>
      <w:proofErr w:type="spellStart"/>
      <w:r w:rsidRPr="006A62B6">
        <w:rPr>
          <w:lang w:val="en-US"/>
        </w:rPr>
        <w:t>tür</w:t>
      </w:r>
      <w:proofErr w:type="spellEnd"/>
      <w:r w:rsidRPr="006A62B6">
        <w:rPr>
          <w:lang w:val="en-US"/>
        </w:rPr>
        <w:t xml:space="preserve"> </w:t>
      </w:r>
      <w:proofErr w:type="spellStart"/>
      <w:r w:rsidRPr="006A62B6">
        <w:rPr>
          <w:lang w:val="en-US"/>
        </w:rPr>
        <w:t>meseleleri</w:t>
      </w:r>
      <w:proofErr w:type="spellEnd"/>
      <w:r w:rsidRPr="006A62B6">
        <w:rPr>
          <w:lang w:val="en-US"/>
        </w:rPr>
        <w:t xml:space="preserve"> </w:t>
      </w:r>
      <w:proofErr w:type="spellStart"/>
      <w:r w:rsidRPr="006A62B6">
        <w:rPr>
          <w:lang w:val="en-US"/>
        </w:rPr>
        <w:t>çözmeye</w:t>
      </w:r>
      <w:proofErr w:type="spellEnd"/>
      <w:r w:rsidRPr="006A62B6">
        <w:rPr>
          <w:lang w:val="en-US"/>
        </w:rPr>
        <w:t xml:space="preserve"> </w:t>
      </w:r>
      <w:proofErr w:type="spellStart"/>
      <w:r w:rsidRPr="006A62B6">
        <w:rPr>
          <w:lang w:val="en-US"/>
        </w:rPr>
        <w:t>uygun</w:t>
      </w:r>
      <w:proofErr w:type="spellEnd"/>
      <w:r w:rsidRPr="006A62B6">
        <w:rPr>
          <w:lang w:val="en-US"/>
        </w:rPr>
        <w:t xml:space="preserve"> olduklarıdır.²⁴</w:t>
      </w:r>
      <w:r>
        <w:rPr>
          <w:lang w:val="en-US"/>
        </w:rPr>
        <w:t xml:space="preserve"> </w:t>
      </w:r>
      <w:r>
        <w:rPr>
          <w:rStyle w:val="FootnoteReference"/>
          <w:lang w:val="en-US"/>
        </w:rPr>
        <w:footnoteReference w:id="24"/>
      </w:r>
      <w:r w:rsidRPr="006A62B6">
        <w:rPr>
          <w:lang w:val="en-US"/>
        </w:rPr>
        <w:t xml:space="preserve"> </w:t>
      </w:r>
      <w:proofErr w:type="spellStart"/>
      <w:r w:rsidRPr="006A62B6">
        <w:rPr>
          <w:lang w:val="en-US"/>
        </w:rPr>
        <w:t>Yargıçların</w:t>
      </w:r>
      <w:proofErr w:type="spellEnd"/>
      <w:r w:rsidRPr="006A62B6">
        <w:rPr>
          <w:lang w:val="en-US"/>
        </w:rPr>
        <w:t xml:space="preserve"> </w:t>
      </w:r>
      <w:proofErr w:type="spellStart"/>
      <w:r w:rsidRPr="006A62B6">
        <w:rPr>
          <w:lang w:val="en-US"/>
        </w:rPr>
        <w:t>gerçekten</w:t>
      </w:r>
      <w:proofErr w:type="spellEnd"/>
      <w:r w:rsidRPr="006A62B6">
        <w:rPr>
          <w:lang w:val="en-US"/>
        </w:rPr>
        <w:t xml:space="preserve"> de </w:t>
      </w:r>
      <w:proofErr w:type="spellStart"/>
      <w:r w:rsidRPr="006A62B6">
        <w:rPr>
          <w:lang w:val="en-US"/>
        </w:rPr>
        <w:t>şu</w:t>
      </w:r>
      <w:proofErr w:type="spellEnd"/>
      <w:r w:rsidRPr="006A62B6">
        <w:rPr>
          <w:lang w:val="en-US"/>
        </w:rPr>
        <w:t xml:space="preserve"> </w:t>
      </w:r>
      <w:proofErr w:type="spellStart"/>
      <w:r w:rsidRPr="006A62B6">
        <w:rPr>
          <w:lang w:val="en-US"/>
        </w:rPr>
        <w:t>anda</w:t>
      </w:r>
      <w:proofErr w:type="spellEnd"/>
      <w:r w:rsidRPr="006A62B6">
        <w:rPr>
          <w:lang w:val="en-US"/>
        </w:rPr>
        <w:t xml:space="preserve"> </w:t>
      </w:r>
      <w:proofErr w:type="spellStart"/>
      <w:r w:rsidRPr="006A62B6">
        <w:rPr>
          <w:lang w:val="en-US"/>
        </w:rPr>
        <w:t>karar</w:t>
      </w:r>
      <w:proofErr w:type="spellEnd"/>
      <w:r w:rsidRPr="006A62B6">
        <w:rPr>
          <w:lang w:val="en-US"/>
        </w:rPr>
        <w:t xml:space="preserve"> </w:t>
      </w:r>
      <w:proofErr w:type="spellStart"/>
      <w:r w:rsidRPr="006A62B6">
        <w:rPr>
          <w:lang w:val="en-US"/>
        </w:rPr>
        <w:t>verdikleri</w:t>
      </w:r>
      <w:proofErr w:type="spellEnd"/>
      <w:r w:rsidRPr="006A62B6">
        <w:rPr>
          <w:lang w:val="en-US"/>
        </w:rPr>
        <w:t xml:space="preserve"> </w:t>
      </w:r>
      <w:proofErr w:type="spellStart"/>
      <w:r w:rsidRPr="006A62B6">
        <w:rPr>
          <w:lang w:val="en-US"/>
        </w:rPr>
        <w:t>türden</w:t>
      </w:r>
      <w:proofErr w:type="spellEnd"/>
      <w:r w:rsidRPr="006A62B6">
        <w:rPr>
          <w:lang w:val="en-US"/>
        </w:rPr>
        <w:t xml:space="preserve"> </w:t>
      </w:r>
      <w:proofErr w:type="spellStart"/>
      <w:r w:rsidRPr="006A62B6">
        <w:rPr>
          <w:lang w:val="en-US"/>
        </w:rPr>
        <w:t>meseleleri</w:t>
      </w:r>
      <w:proofErr w:type="spellEnd"/>
      <w:r w:rsidRPr="006A62B6">
        <w:rPr>
          <w:lang w:val="en-US"/>
        </w:rPr>
        <w:t xml:space="preserve"> </w:t>
      </w:r>
      <w:proofErr w:type="spellStart"/>
      <w:r w:rsidRPr="006A62B6">
        <w:rPr>
          <w:lang w:val="en-US"/>
        </w:rPr>
        <w:t>çözmeye</w:t>
      </w:r>
      <w:proofErr w:type="spellEnd"/>
      <w:r w:rsidRPr="006A62B6">
        <w:rPr>
          <w:lang w:val="en-US"/>
        </w:rPr>
        <w:t xml:space="preserve"> ne </w:t>
      </w:r>
      <w:proofErr w:type="spellStart"/>
      <w:r w:rsidRPr="006A62B6">
        <w:rPr>
          <w:lang w:val="en-US"/>
        </w:rPr>
        <w:t>kadar</w:t>
      </w:r>
      <w:proofErr w:type="spellEnd"/>
      <w:r w:rsidRPr="006A62B6">
        <w:rPr>
          <w:lang w:val="en-US"/>
        </w:rPr>
        <w:t xml:space="preserve"> </w:t>
      </w:r>
      <w:proofErr w:type="spellStart"/>
      <w:r w:rsidRPr="006A62B6">
        <w:rPr>
          <w:lang w:val="en-US"/>
        </w:rPr>
        <w:t>uygun</w:t>
      </w:r>
      <w:proofErr w:type="spellEnd"/>
      <w:r w:rsidRPr="006A62B6">
        <w:rPr>
          <w:lang w:val="en-US"/>
        </w:rPr>
        <w:t xml:space="preserve"> </w:t>
      </w:r>
      <w:proofErr w:type="spellStart"/>
      <w:r w:rsidRPr="006A62B6">
        <w:rPr>
          <w:lang w:val="en-US"/>
        </w:rPr>
        <w:t>oldukları</w:t>
      </w:r>
      <w:proofErr w:type="spellEnd"/>
      <w:r w:rsidRPr="006A62B6">
        <w:rPr>
          <w:lang w:val="en-US"/>
        </w:rPr>
        <w:t xml:space="preserve"> </w:t>
      </w:r>
      <w:proofErr w:type="spellStart"/>
      <w:r w:rsidRPr="006A62B6">
        <w:rPr>
          <w:lang w:val="en-US"/>
        </w:rPr>
        <w:t>sorusu</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yana</w:t>
      </w:r>
      <w:proofErr w:type="spellEnd"/>
      <w:r w:rsidRPr="006A62B6">
        <w:rPr>
          <w:lang w:val="en-US"/>
        </w:rPr>
        <w:t xml:space="preserve">, federal </w:t>
      </w:r>
      <w:proofErr w:type="spellStart"/>
      <w:r w:rsidRPr="006A62B6">
        <w:rPr>
          <w:lang w:val="en-US"/>
        </w:rPr>
        <w:t>yargıçların</w:t>
      </w:r>
      <w:proofErr w:type="spellEnd"/>
      <w:r w:rsidRPr="006A62B6">
        <w:rPr>
          <w:lang w:val="en-US"/>
        </w:rPr>
        <w:t xml:space="preserve"> </w:t>
      </w:r>
      <w:proofErr w:type="spellStart"/>
      <w:r w:rsidRPr="006A62B6">
        <w:rPr>
          <w:lang w:val="en-US"/>
        </w:rPr>
        <w:t>ortak</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geçmişe</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ortak</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deneyim</w:t>
      </w:r>
      <w:proofErr w:type="spellEnd"/>
      <w:r w:rsidRPr="006A62B6">
        <w:rPr>
          <w:lang w:val="en-US"/>
        </w:rPr>
        <w:t xml:space="preserve"> </w:t>
      </w:r>
      <w:proofErr w:type="spellStart"/>
      <w:r w:rsidRPr="006A62B6">
        <w:rPr>
          <w:lang w:val="en-US"/>
        </w:rPr>
        <w:t>setine</w:t>
      </w:r>
      <w:proofErr w:type="spellEnd"/>
      <w:r w:rsidRPr="006A62B6">
        <w:rPr>
          <w:lang w:val="en-US"/>
        </w:rPr>
        <w:t xml:space="preserve"> </w:t>
      </w:r>
      <w:proofErr w:type="spellStart"/>
      <w:r w:rsidRPr="006A62B6">
        <w:rPr>
          <w:lang w:val="en-US"/>
        </w:rPr>
        <w:t>sahip</w:t>
      </w:r>
      <w:proofErr w:type="spellEnd"/>
      <w:r w:rsidRPr="006A62B6">
        <w:rPr>
          <w:lang w:val="en-US"/>
        </w:rPr>
        <w:t xml:space="preserve"> </w:t>
      </w:r>
      <w:proofErr w:type="spellStart"/>
      <w:r w:rsidRPr="006A62B6">
        <w:rPr>
          <w:lang w:val="en-US"/>
        </w:rPr>
        <w:t>oldukları</w:t>
      </w:r>
      <w:proofErr w:type="spellEnd"/>
      <w:r w:rsidRPr="006A62B6">
        <w:rPr>
          <w:lang w:val="en-US"/>
        </w:rPr>
        <w:t xml:space="preserve"> </w:t>
      </w:r>
      <w:proofErr w:type="spellStart"/>
      <w:r w:rsidRPr="006A62B6">
        <w:rPr>
          <w:lang w:val="en-US"/>
        </w:rPr>
        <w:t>iddiasında</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gerçeklik</w:t>
      </w:r>
      <w:proofErr w:type="spellEnd"/>
      <w:r w:rsidRPr="006A62B6">
        <w:rPr>
          <w:lang w:val="en-US"/>
        </w:rPr>
        <w:t xml:space="preserve"> </w:t>
      </w:r>
      <w:proofErr w:type="spellStart"/>
      <w:r w:rsidRPr="006A62B6">
        <w:rPr>
          <w:lang w:val="en-US"/>
        </w:rPr>
        <w:t>payı</w:t>
      </w:r>
      <w:proofErr w:type="spellEnd"/>
      <w:r w:rsidRPr="006A62B6">
        <w:rPr>
          <w:lang w:val="en-US"/>
        </w:rPr>
        <w:t xml:space="preserve"> </w:t>
      </w:r>
      <w:proofErr w:type="spellStart"/>
      <w:r w:rsidRPr="006A62B6">
        <w:rPr>
          <w:lang w:val="en-US"/>
        </w:rPr>
        <w:t>bulunmaktadır</w:t>
      </w:r>
      <w:proofErr w:type="spellEnd"/>
      <w:r w:rsidRPr="006A62B6">
        <w:rPr>
          <w:lang w:val="en-US"/>
        </w:rPr>
        <w:t xml:space="preserve">. </w:t>
      </w:r>
      <w:proofErr w:type="spellStart"/>
      <w:r w:rsidRPr="006A62B6">
        <w:rPr>
          <w:lang w:val="en-US"/>
        </w:rPr>
        <w:t>Kuşkusuz</w:t>
      </w:r>
      <w:proofErr w:type="spellEnd"/>
      <w:r w:rsidRPr="006A62B6">
        <w:rPr>
          <w:lang w:val="en-US"/>
        </w:rPr>
        <w:t xml:space="preserve">, </w:t>
      </w:r>
      <w:r>
        <w:rPr>
          <w:rStyle w:val="FootnoteReference"/>
          <w:lang w:val="en-US"/>
        </w:rPr>
        <w:footnoteReference w:id="25"/>
      </w:r>
      <w:proofErr w:type="spellStart"/>
      <w:r w:rsidRPr="006A62B6">
        <w:rPr>
          <w:lang w:val="en-US"/>
        </w:rPr>
        <w:t>mevcut</w:t>
      </w:r>
      <w:proofErr w:type="spellEnd"/>
      <w:r w:rsidRPr="006A62B6">
        <w:rPr>
          <w:lang w:val="en-US"/>
        </w:rPr>
        <w:t xml:space="preserve"> </w:t>
      </w:r>
      <w:proofErr w:type="spellStart"/>
      <w:r w:rsidRPr="006A62B6">
        <w:rPr>
          <w:lang w:val="en-US"/>
        </w:rPr>
        <w:t>tüm</w:t>
      </w:r>
      <w:proofErr w:type="spellEnd"/>
      <w:r w:rsidRPr="006A62B6">
        <w:rPr>
          <w:lang w:val="en-US"/>
        </w:rPr>
        <w:t xml:space="preserve"> federal </w:t>
      </w:r>
      <w:proofErr w:type="spellStart"/>
      <w:r w:rsidRPr="006A62B6">
        <w:rPr>
          <w:lang w:val="en-US"/>
        </w:rPr>
        <w:t>yargıçlar</w:t>
      </w:r>
      <w:proofErr w:type="spellEnd"/>
      <w:r w:rsidRPr="006A62B6">
        <w:rPr>
          <w:lang w:val="en-US"/>
        </w:rPr>
        <w:t xml:space="preserve"> </w:t>
      </w:r>
      <w:proofErr w:type="spellStart"/>
      <w:r w:rsidRPr="006A62B6">
        <w:rPr>
          <w:lang w:val="en-US"/>
        </w:rPr>
        <w:t>en</w:t>
      </w:r>
      <w:proofErr w:type="spellEnd"/>
      <w:r w:rsidRPr="006A62B6">
        <w:rPr>
          <w:lang w:val="en-US"/>
        </w:rPr>
        <w:t xml:space="preserve"> </w:t>
      </w:r>
      <w:proofErr w:type="spellStart"/>
      <w:r w:rsidRPr="006A62B6">
        <w:rPr>
          <w:lang w:val="en-US"/>
        </w:rPr>
        <w:t>azından</w:t>
      </w:r>
      <w:proofErr w:type="spellEnd"/>
      <w:r w:rsidRPr="006A62B6">
        <w:rPr>
          <w:lang w:val="en-US"/>
        </w:rPr>
        <w:t xml:space="preserve"> </w:t>
      </w:r>
      <w:proofErr w:type="spellStart"/>
      <w:r w:rsidRPr="006A62B6">
        <w:rPr>
          <w:lang w:val="en-US"/>
        </w:rPr>
        <w:t>isim</w:t>
      </w:r>
      <w:proofErr w:type="spellEnd"/>
      <w:r w:rsidRPr="006A62B6">
        <w:rPr>
          <w:lang w:val="en-US"/>
        </w:rPr>
        <w:t xml:space="preserve"> </w:t>
      </w:r>
      <w:proofErr w:type="spellStart"/>
      <w:r w:rsidRPr="006A62B6">
        <w:rPr>
          <w:lang w:val="en-US"/>
        </w:rPr>
        <w:t>olarak</w:t>
      </w:r>
      <w:proofErr w:type="spellEnd"/>
      <w:r w:rsidRPr="006A62B6">
        <w:rPr>
          <w:lang w:val="en-US"/>
        </w:rPr>
        <w:t xml:space="preserve"> </w:t>
      </w:r>
      <w:proofErr w:type="spellStart"/>
      <w:r w:rsidRPr="006A62B6">
        <w:rPr>
          <w:lang w:val="en-US"/>
        </w:rPr>
        <w:t>avukattır</w:t>
      </w:r>
      <w:proofErr w:type="spellEnd"/>
      <w:r w:rsidRPr="006A62B6">
        <w:rPr>
          <w:lang w:val="en-US"/>
        </w:rPr>
        <w:t xml:space="preserve">, </w:t>
      </w:r>
      <w:proofErr w:type="spellStart"/>
      <w:r w:rsidRPr="006A62B6">
        <w:rPr>
          <w:lang w:val="en-US"/>
        </w:rPr>
        <w:t>tamamı</w:t>
      </w:r>
      <w:proofErr w:type="spellEnd"/>
      <w:r w:rsidRPr="006A62B6">
        <w:rPr>
          <w:lang w:val="en-US"/>
        </w:rPr>
        <w:t xml:space="preserve"> </w:t>
      </w:r>
      <w:proofErr w:type="spellStart"/>
      <w:r w:rsidRPr="006A62B6">
        <w:rPr>
          <w:lang w:val="en-US"/>
        </w:rPr>
        <w:t>hukuk</w:t>
      </w:r>
      <w:proofErr w:type="spellEnd"/>
      <w:r w:rsidRPr="006A62B6">
        <w:rPr>
          <w:lang w:val="en-US"/>
        </w:rPr>
        <w:t xml:space="preserve"> </w:t>
      </w:r>
      <w:proofErr w:type="spellStart"/>
      <w:r w:rsidRPr="006A62B6">
        <w:rPr>
          <w:lang w:val="en-US"/>
        </w:rPr>
        <w:t>fakültesi</w:t>
      </w:r>
      <w:proofErr w:type="spellEnd"/>
      <w:r w:rsidRPr="006A62B6">
        <w:rPr>
          <w:lang w:val="en-US"/>
        </w:rPr>
        <w:t xml:space="preserve"> </w:t>
      </w:r>
      <w:proofErr w:type="spellStart"/>
      <w:r w:rsidRPr="006A62B6">
        <w:rPr>
          <w:lang w:val="en-US"/>
        </w:rPr>
        <w:t>mezunu</w:t>
      </w:r>
      <w:proofErr w:type="spellEnd"/>
      <w:r w:rsidRPr="006A62B6">
        <w:rPr>
          <w:lang w:val="en-US"/>
        </w:rPr>
        <w:t xml:space="preserve"> </w:t>
      </w:r>
      <w:proofErr w:type="spellStart"/>
      <w:r w:rsidRPr="006A62B6">
        <w:rPr>
          <w:lang w:val="en-US"/>
        </w:rPr>
        <w:t>görünmektedir</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birçoğu</w:t>
      </w:r>
      <w:proofErr w:type="spellEnd"/>
      <w:r w:rsidRPr="006A62B6">
        <w:rPr>
          <w:lang w:val="en-US"/>
        </w:rPr>
        <w:t xml:space="preserve">, partizan </w:t>
      </w:r>
      <w:proofErr w:type="spellStart"/>
      <w:r w:rsidRPr="006A62B6">
        <w:rPr>
          <w:lang w:val="en-US"/>
        </w:rPr>
        <w:t>ve</w:t>
      </w:r>
      <w:proofErr w:type="spellEnd"/>
      <w:r w:rsidRPr="006A62B6">
        <w:rPr>
          <w:lang w:val="en-US"/>
        </w:rPr>
        <w:t xml:space="preserve"> </w:t>
      </w:r>
      <w:proofErr w:type="spellStart"/>
      <w:r w:rsidRPr="006A62B6">
        <w:rPr>
          <w:lang w:val="en-US"/>
        </w:rPr>
        <w:t>yargısal</w:t>
      </w:r>
      <w:proofErr w:type="spellEnd"/>
      <w:r w:rsidRPr="006A62B6">
        <w:rPr>
          <w:lang w:val="en-US"/>
        </w:rPr>
        <w:t xml:space="preserve"> </w:t>
      </w:r>
      <w:proofErr w:type="spellStart"/>
      <w:r w:rsidRPr="006A62B6">
        <w:rPr>
          <w:lang w:val="en-US"/>
        </w:rPr>
        <w:t>yaklaşım</w:t>
      </w:r>
      <w:proofErr w:type="spellEnd"/>
      <w:r w:rsidRPr="006A62B6">
        <w:rPr>
          <w:lang w:val="en-US"/>
        </w:rPr>
        <w:t xml:space="preserve"> (jurisprudential) </w:t>
      </w:r>
      <w:proofErr w:type="spellStart"/>
      <w:r w:rsidRPr="006A62B6">
        <w:rPr>
          <w:lang w:val="en-US"/>
        </w:rPr>
        <w:lastRenderedPageBreak/>
        <w:t>farklılıklarını</w:t>
      </w:r>
      <w:proofErr w:type="spellEnd"/>
      <w:r w:rsidRPr="006A62B6">
        <w:rPr>
          <w:lang w:val="en-US"/>
        </w:rPr>
        <w:t xml:space="preserve"> </w:t>
      </w:r>
      <w:proofErr w:type="spellStart"/>
      <w:r w:rsidRPr="006A62B6">
        <w:rPr>
          <w:lang w:val="en-US"/>
        </w:rPr>
        <w:t>aşan</w:t>
      </w:r>
      <w:proofErr w:type="spellEnd"/>
      <w:r w:rsidRPr="006A62B6">
        <w:rPr>
          <w:lang w:val="en-US"/>
        </w:rPr>
        <w:t xml:space="preserve">, </w:t>
      </w:r>
      <w:proofErr w:type="spellStart"/>
      <w:r w:rsidRPr="006A62B6">
        <w:rPr>
          <w:lang w:val="en-US"/>
        </w:rPr>
        <w:t>yargının</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avukatlık</w:t>
      </w:r>
      <w:proofErr w:type="spellEnd"/>
      <w:r w:rsidRPr="006A62B6">
        <w:rPr>
          <w:lang w:val="en-US"/>
        </w:rPr>
        <w:t xml:space="preserve"> </w:t>
      </w:r>
      <w:proofErr w:type="spellStart"/>
      <w:r w:rsidRPr="006A62B6">
        <w:rPr>
          <w:lang w:val="en-US"/>
        </w:rPr>
        <w:t>mesleğinin</w:t>
      </w:r>
      <w:proofErr w:type="spellEnd"/>
      <w:r w:rsidRPr="006A62B6">
        <w:rPr>
          <w:lang w:val="en-US"/>
        </w:rPr>
        <w:t xml:space="preserve"> </w:t>
      </w:r>
      <w:proofErr w:type="spellStart"/>
      <w:r w:rsidRPr="006A62B6">
        <w:rPr>
          <w:lang w:val="en-US"/>
        </w:rPr>
        <w:t>rolüne</w:t>
      </w:r>
      <w:proofErr w:type="spellEnd"/>
      <w:r w:rsidRPr="006A62B6">
        <w:rPr>
          <w:lang w:val="en-US"/>
        </w:rPr>
        <w:t xml:space="preserve"> </w:t>
      </w:r>
      <w:proofErr w:type="spellStart"/>
      <w:r w:rsidRPr="006A62B6">
        <w:rPr>
          <w:lang w:val="en-US"/>
        </w:rPr>
        <w:t>dair</w:t>
      </w:r>
      <w:proofErr w:type="spellEnd"/>
      <w:r w:rsidRPr="006A62B6">
        <w:rPr>
          <w:lang w:val="en-US"/>
        </w:rPr>
        <w:t xml:space="preserve"> </w:t>
      </w:r>
      <w:proofErr w:type="spellStart"/>
      <w:r w:rsidRPr="006A62B6">
        <w:rPr>
          <w:lang w:val="en-US"/>
        </w:rPr>
        <w:t>kolektif</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anlayışı</w:t>
      </w:r>
      <w:proofErr w:type="spellEnd"/>
      <w:r w:rsidRPr="006A62B6">
        <w:rPr>
          <w:lang w:val="en-US"/>
        </w:rPr>
        <w:t xml:space="preserve"> </w:t>
      </w:r>
      <w:proofErr w:type="spellStart"/>
      <w:r w:rsidRPr="006A62B6">
        <w:rPr>
          <w:lang w:val="en-US"/>
        </w:rPr>
        <w:t>şekillendiren</w:t>
      </w:r>
      <w:proofErr w:type="spellEnd"/>
      <w:r w:rsidRPr="006A62B6">
        <w:rPr>
          <w:lang w:val="en-US"/>
        </w:rPr>
        <w:t xml:space="preserve"> </w:t>
      </w:r>
      <w:proofErr w:type="spellStart"/>
      <w:r w:rsidRPr="006A62B6">
        <w:rPr>
          <w:lang w:val="en-US"/>
        </w:rPr>
        <w:t>benzer</w:t>
      </w:r>
      <w:proofErr w:type="spellEnd"/>
      <w:r w:rsidRPr="006A62B6">
        <w:rPr>
          <w:lang w:val="en-US"/>
        </w:rPr>
        <w:t xml:space="preserve"> </w:t>
      </w:r>
      <w:proofErr w:type="spellStart"/>
      <w:r w:rsidRPr="006A62B6">
        <w:rPr>
          <w:lang w:val="en-US"/>
        </w:rPr>
        <w:t>kariyer</w:t>
      </w:r>
      <w:proofErr w:type="spellEnd"/>
      <w:r w:rsidRPr="006A62B6">
        <w:rPr>
          <w:lang w:val="en-US"/>
        </w:rPr>
        <w:t xml:space="preserve"> </w:t>
      </w:r>
      <w:proofErr w:type="spellStart"/>
      <w:r w:rsidRPr="006A62B6">
        <w:rPr>
          <w:lang w:val="en-US"/>
        </w:rPr>
        <w:t>yollarını</w:t>
      </w:r>
      <w:proofErr w:type="spellEnd"/>
      <w:r w:rsidRPr="006A62B6">
        <w:rPr>
          <w:lang w:val="en-US"/>
        </w:rPr>
        <w:t xml:space="preserve"> </w:t>
      </w:r>
      <w:proofErr w:type="spellStart"/>
      <w:r w:rsidRPr="006A62B6">
        <w:rPr>
          <w:lang w:val="en-US"/>
        </w:rPr>
        <w:t>takip</w:t>
      </w:r>
      <w:proofErr w:type="spellEnd"/>
      <w:r w:rsidRPr="006A62B6">
        <w:rPr>
          <w:lang w:val="en-US"/>
        </w:rPr>
        <w:t xml:space="preserve"> etmiştir.²⁶</w:t>
      </w:r>
      <w:r>
        <w:rPr>
          <w:lang w:val="en-US"/>
        </w:rPr>
        <w:t xml:space="preserve"> </w:t>
      </w:r>
      <w:r>
        <w:rPr>
          <w:rStyle w:val="FootnoteReference"/>
          <w:lang w:val="en-US"/>
        </w:rPr>
        <w:footnoteReference w:id="26"/>
      </w:r>
    </w:p>
    <w:p w14:paraId="12223B48" w14:textId="55626EAB" w:rsidR="006A62B6" w:rsidRDefault="006A62B6" w:rsidP="006A62B6">
      <w:pPr>
        <w:rPr>
          <w:lang w:val="en-US"/>
        </w:rPr>
      </w:pPr>
      <w:proofErr w:type="spellStart"/>
      <w:r w:rsidRPr="006A62B6">
        <w:rPr>
          <w:lang w:val="en-US"/>
        </w:rPr>
        <w:t>Yine</w:t>
      </w:r>
      <w:proofErr w:type="spellEnd"/>
      <w:r w:rsidRPr="006A62B6">
        <w:rPr>
          <w:lang w:val="en-US"/>
        </w:rPr>
        <w:t xml:space="preserve"> de, </w:t>
      </w:r>
      <w:proofErr w:type="spellStart"/>
      <w:r w:rsidRPr="006A62B6">
        <w:rPr>
          <w:lang w:val="en-US"/>
        </w:rPr>
        <w:t>kurucuların</w:t>
      </w:r>
      <w:proofErr w:type="spellEnd"/>
      <w:r w:rsidRPr="006A62B6">
        <w:rPr>
          <w:lang w:val="en-US"/>
        </w:rPr>
        <w:t xml:space="preserve"> (framers) </w:t>
      </w:r>
      <w:proofErr w:type="spellStart"/>
      <w:r w:rsidRPr="006A62B6">
        <w:rPr>
          <w:lang w:val="en-US"/>
        </w:rPr>
        <w:t>mahkemelere</w:t>
      </w:r>
      <w:proofErr w:type="spellEnd"/>
      <w:r w:rsidRPr="006A62B6">
        <w:rPr>
          <w:lang w:val="en-US"/>
        </w:rPr>
        <w:t xml:space="preserve"> </w:t>
      </w:r>
      <w:proofErr w:type="spellStart"/>
      <w:r w:rsidRPr="006A62B6">
        <w:rPr>
          <w:lang w:val="en-US"/>
        </w:rPr>
        <w:t>özel</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rol</w:t>
      </w:r>
      <w:proofErr w:type="spellEnd"/>
      <w:r w:rsidRPr="006A62B6">
        <w:rPr>
          <w:lang w:val="en-US"/>
        </w:rPr>
        <w:t xml:space="preserve"> </w:t>
      </w:r>
      <w:proofErr w:type="spellStart"/>
      <w:r w:rsidRPr="006A62B6">
        <w:rPr>
          <w:lang w:val="en-US"/>
        </w:rPr>
        <w:t>vermelerinin</w:t>
      </w:r>
      <w:proofErr w:type="spellEnd"/>
      <w:r w:rsidRPr="006A62B6">
        <w:rPr>
          <w:lang w:val="en-US"/>
        </w:rPr>
        <w:t xml:space="preserve">, </w:t>
      </w:r>
      <w:proofErr w:type="spellStart"/>
      <w:r w:rsidRPr="006A62B6">
        <w:rPr>
          <w:lang w:val="en-US"/>
        </w:rPr>
        <w:t>yargıyı</w:t>
      </w:r>
      <w:proofErr w:type="spellEnd"/>
      <w:r w:rsidRPr="006A62B6">
        <w:rPr>
          <w:lang w:val="en-US"/>
        </w:rPr>
        <w:t xml:space="preserve"> </w:t>
      </w:r>
      <w:proofErr w:type="spellStart"/>
      <w:r w:rsidRPr="006A62B6">
        <w:rPr>
          <w:lang w:val="en-US"/>
        </w:rPr>
        <w:t>dolduracak</w:t>
      </w:r>
      <w:proofErr w:type="spellEnd"/>
      <w:r w:rsidRPr="006A62B6">
        <w:rPr>
          <w:lang w:val="en-US"/>
        </w:rPr>
        <w:t xml:space="preserve"> </w:t>
      </w:r>
      <w:proofErr w:type="spellStart"/>
      <w:r w:rsidRPr="006A62B6">
        <w:rPr>
          <w:lang w:val="en-US"/>
        </w:rPr>
        <w:t>kişilere</w:t>
      </w:r>
      <w:proofErr w:type="spellEnd"/>
      <w:r w:rsidRPr="006A62B6">
        <w:rPr>
          <w:lang w:val="en-US"/>
        </w:rPr>
        <w:t xml:space="preserve"> </w:t>
      </w:r>
      <w:proofErr w:type="spellStart"/>
      <w:r w:rsidRPr="006A62B6">
        <w:rPr>
          <w:lang w:val="en-US"/>
        </w:rPr>
        <w:t>dair</w:t>
      </w:r>
      <w:proofErr w:type="spellEnd"/>
      <w:r w:rsidRPr="006A62B6">
        <w:rPr>
          <w:lang w:val="en-US"/>
        </w:rPr>
        <w:t xml:space="preserve"> </w:t>
      </w:r>
      <w:proofErr w:type="spellStart"/>
      <w:r w:rsidRPr="006A62B6">
        <w:rPr>
          <w:lang w:val="en-US"/>
        </w:rPr>
        <w:t>belirli</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vizyonları</w:t>
      </w:r>
      <w:proofErr w:type="spellEnd"/>
      <w:r w:rsidRPr="006A62B6">
        <w:rPr>
          <w:lang w:val="en-US"/>
        </w:rPr>
        <w:t xml:space="preserve"> </w:t>
      </w:r>
      <w:proofErr w:type="spellStart"/>
      <w:r w:rsidRPr="006A62B6">
        <w:rPr>
          <w:lang w:val="en-US"/>
        </w:rPr>
        <w:t>olduğu</w:t>
      </w:r>
      <w:proofErr w:type="spellEnd"/>
      <w:r w:rsidRPr="006A62B6">
        <w:rPr>
          <w:lang w:val="en-US"/>
        </w:rPr>
        <w:t xml:space="preserve"> </w:t>
      </w:r>
      <w:proofErr w:type="spellStart"/>
      <w:r w:rsidRPr="006A62B6">
        <w:rPr>
          <w:lang w:val="en-US"/>
        </w:rPr>
        <w:t>düşüncesine</w:t>
      </w:r>
      <w:proofErr w:type="spellEnd"/>
      <w:r w:rsidRPr="006A62B6">
        <w:rPr>
          <w:lang w:val="en-US"/>
        </w:rPr>
        <w:t xml:space="preserve"> </w:t>
      </w:r>
      <w:proofErr w:type="spellStart"/>
      <w:r w:rsidRPr="006A62B6">
        <w:rPr>
          <w:lang w:val="en-US"/>
        </w:rPr>
        <w:t>dayandığı</w:t>
      </w:r>
      <w:proofErr w:type="spellEnd"/>
      <w:r w:rsidRPr="006A62B6">
        <w:rPr>
          <w:lang w:val="en-US"/>
        </w:rPr>
        <w:t xml:space="preserve"> </w:t>
      </w:r>
      <w:proofErr w:type="spellStart"/>
      <w:r w:rsidRPr="006A62B6">
        <w:rPr>
          <w:lang w:val="en-US"/>
        </w:rPr>
        <w:t>iddiası</w:t>
      </w:r>
      <w:proofErr w:type="spellEnd"/>
      <w:r w:rsidRPr="006A62B6">
        <w:rPr>
          <w:lang w:val="en-US"/>
        </w:rPr>
        <w:t xml:space="preserve">, </w:t>
      </w:r>
      <w:proofErr w:type="spellStart"/>
      <w:r w:rsidRPr="006A62B6">
        <w:rPr>
          <w:lang w:val="en-US"/>
        </w:rPr>
        <w:t>tarihsel</w:t>
      </w:r>
      <w:proofErr w:type="spellEnd"/>
      <w:r w:rsidRPr="006A62B6">
        <w:rPr>
          <w:lang w:val="en-US"/>
        </w:rPr>
        <w:t xml:space="preserve"> </w:t>
      </w:r>
      <w:proofErr w:type="spellStart"/>
      <w:r w:rsidRPr="006A62B6">
        <w:rPr>
          <w:lang w:val="en-US"/>
        </w:rPr>
        <w:t>kayıtlarla</w:t>
      </w:r>
      <w:proofErr w:type="spellEnd"/>
      <w:r w:rsidRPr="006A62B6">
        <w:rPr>
          <w:lang w:val="en-US"/>
        </w:rPr>
        <w:t xml:space="preserve"> </w:t>
      </w:r>
      <w:proofErr w:type="spellStart"/>
      <w:r w:rsidRPr="006A62B6">
        <w:rPr>
          <w:lang w:val="en-US"/>
        </w:rPr>
        <w:t>çelişmektedir</w:t>
      </w:r>
      <w:proofErr w:type="spellEnd"/>
      <w:r w:rsidRPr="006A62B6">
        <w:rPr>
          <w:lang w:val="en-US"/>
        </w:rPr>
        <w:t xml:space="preserve">. Amerikan </w:t>
      </w:r>
      <w:proofErr w:type="spellStart"/>
      <w:r w:rsidRPr="006A62B6">
        <w:rPr>
          <w:lang w:val="en-US"/>
        </w:rPr>
        <w:t>tarihinin</w:t>
      </w:r>
      <w:proofErr w:type="spellEnd"/>
      <w:r w:rsidRPr="006A62B6">
        <w:rPr>
          <w:lang w:val="en-US"/>
        </w:rPr>
        <w:t xml:space="preserve"> </w:t>
      </w:r>
      <w:proofErr w:type="spellStart"/>
      <w:r w:rsidRPr="006A62B6">
        <w:rPr>
          <w:lang w:val="en-US"/>
        </w:rPr>
        <w:t>farklı</w:t>
      </w:r>
      <w:proofErr w:type="spellEnd"/>
      <w:r w:rsidRPr="006A62B6">
        <w:rPr>
          <w:lang w:val="en-US"/>
        </w:rPr>
        <w:t xml:space="preserve"> </w:t>
      </w:r>
      <w:proofErr w:type="spellStart"/>
      <w:r w:rsidRPr="006A62B6">
        <w:rPr>
          <w:lang w:val="en-US"/>
        </w:rPr>
        <w:t>dönemlerinde</w:t>
      </w:r>
      <w:proofErr w:type="spellEnd"/>
      <w:r w:rsidRPr="006A62B6">
        <w:rPr>
          <w:lang w:val="en-US"/>
        </w:rPr>
        <w:t xml:space="preserve">, </w:t>
      </w:r>
      <w:proofErr w:type="spellStart"/>
      <w:r w:rsidRPr="006A62B6">
        <w:rPr>
          <w:lang w:val="en-US"/>
        </w:rPr>
        <w:t>başkanlar</w:t>
      </w:r>
      <w:proofErr w:type="spellEnd"/>
      <w:r w:rsidRPr="006A62B6">
        <w:rPr>
          <w:lang w:val="en-US"/>
        </w:rPr>
        <w:t xml:space="preserve"> </w:t>
      </w:r>
      <w:proofErr w:type="spellStart"/>
      <w:r w:rsidRPr="006A62B6">
        <w:rPr>
          <w:lang w:val="en-US"/>
        </w:rPr>
        <w:t>çok</w:t>
      </w:r>
      <w:proofErr w:type="spellEnd"/>
      <w:r w:rsidRPr="006A62B6">
        <w:rPr>
          <w:lang w:val="en-US"/>
        </w:rPr>
        <w:t xml:space="preserve"> </w:t>
      </w:r>
      <w:proofErr w:type="spellStart"/>
      <w:r w:rsidRPr="006A62B6">
        <w:rPr>
          <w:lang w:val="en-US"/>
        </w:rPr>
        <w:t>farklı</w:t>
      </w:r>
      <w:proofErr w:type="spellEnd"/>
      <w:r w:rsidRPr="006A62B6">
        <w:rPr>
          <w:lang w:val="en-US"/>
        </w:rPr>
        <w:t xml:space="preserve"> </w:t>
      </w:r>
      <w:proofErr w:type="spellStart"/>
      <w:r w:rsidRPr="006A62B6">
        <w:rPr>
          <w:lang w:val="en-US"/>
        </w:rPr>
        <w:t>eğitim</w:t>
      </w:r>
      <w:proofErr w:type="spellEnd"/>
      <w:r w:rsidRPr="006A62B6">
        <w:rPr>
          <w:lang w:val="en-US"/>
        </w:rPr>
        <w:t xml:space="preserve"> </w:t>
      </w:r>
      <w:proofErr w:type="spellStart"/>
      <w:r w:rsidRPr="006A62B6">
        <w:rPr>
          <w:lang w:val="en-US"/>
        </w:rPr>
        <w:t>geçmişlerine</w:t>
      </w:r>
      <w:proofErr w:type="spellEnd"/>
      <w:r w:rsidRPr="006A62B6">
        <w:rPr>
          <w:lang w:val="en-US"/>
        </w:rPr>
        <w:t xml:space="preserve">, </w:t>
      </w:r>
      <w:proofErr w:type="spellStart"/>
      <w:r w:rsidRPr="006A62B6">
        <w:rPr>
          <w:lang w:val="en-US"/>
        </w:rPr>
        <w:t>yaşam</w:t>
      </w:r>
      <w:proofErr w:type="spellEnd"/>
      <w:r w:rsidRPr="006A62B6">
        <w:rPr>
          <w:lang w:val="en-US"/>
        </w:rPr>
        <w:t xml:space="preserve"> </w:t>
      </w:r>
      <w:proofErr w:type="spellStart"/>
      <w:r w:rsidRPr="006A62B6">
        <w:rPr>
          <w:lang w:val="en-US"/>
        </w:rPr>
        <w:t>yollarına</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beceri</w:t>
      </w:r>
      <w:proofErr w:type="spellEnd"/>
      <w:r w:rsidRPr="006A62B6">
        <w:rPr>
          <w:lang w:val="en-US"/>
        </w:rPr>
        <w:t xml:space="preserve"> </w:t>
      </w:r>
      <w:proofErr w:type="spellStart"/>
      <w:r w:rsidRPr="006A62B6">
        <w:rPr>
          <w:lang w:val="en-US"/>
        </w:rPr>
        <w:t>setlerine</w:t>
      </w:r>
      <w:proofErr w:type="spellEnd"/>
      <w:r w:rsidRPr="006A62B6">
        <w:rPr>
          <w:lang w:val="en-US"/>
        </w:rPr>
        <w:t xml:space="preserve"> </w:t>
      </w:r>
      <w:proofErr w:type="spellStart"/>
      <w:r w:rsidRPr="006A62B6">
        <w:rPr>
          <w:lang w:val="en-US"/>
        </w:rPr>
        <w:t>sahip</w:t>
      </w:r>
      <w:proofErr w:type="spellEnd"/>
      <w:r w:rsidRPr="006A62B6">
        <w:rPr>
          <w:lang w:val="en-US"/>
        </w:rPr>
        <w:t xml:space="preserve"> </w:t>
      </w:r>
      <w:proofErr w:type="spellStart"/>
      <w:r w:rsidRPr="006A62B6">
        <w:rPr>
          <w:lang w:val="en-US"/>
        </w:rPr>
        <w:t>yargıçlar</w:t>
      </w:r>
      <w:proofErr w:type="spellEnd"/>
      <w:r w:rsidRPr="006A62B6">
        <w:rPr>
          <w:lang w:val="en-US"/>
        </w:rPr>
        <w:t xml:space="preserve"> </w:t>
      </w:r>
      <w:proofErr w:type="spellStart"/>
      <w:r w:rsidRPr="006A62B6">
        <w:rPr>
          <w:lang w:val="en-US"/>
        </w:rPr>
        <w:t>ve</w:t>
      </w:r>
      <w:proofErr w:type="spellEnd"/>
      <w:r w:rsidRPr="006A62B6">
        <w:rPr>
          <w:lang w:val="en-US"/>
        </w:rPr>
        <w:t xml:space="preserve"> Yüksek </w:t>
      </w:r>
      <w:proofErr w:type="spellStart"/>
      <w:r w:rsidRPr="006A62B6">
        <w:rPr>
          <w:lang w:val="en-US"/>
        </w:rPr>
        <w:t>Mahkeme</w:t>
      </w:r>
      <w:proofErr w:type="spellEnd"/>
      <w:r w:rsidRPr="006A62B6">
        <w:rPr>
          <w:lang w:val="en-US"/>
        </w:rPr>
        <w:t xml:space="preserve"> </w:t>
      </w:r>
      <w:proofErr w:type="spellStart"/>
      <w:r w:rsidRPr="006A62B6">
        <w:rPr>
          <w:lang w:val="en-US"/>
        </w:rPr>
        <w:t>yargıçlarını</w:t>
      </w:r>
      <w:proofErr w:type="spellEnd"/>
      <w:r w:rsidRPr="006A62B6">
        <w:rPr>
          <w:lang w:val="en-US"/>
        </w:rPr>
        <w:t xml:space="preserve"> (Justices) </w:t>
      </w:r>
      <w:proofErr w:type="spellStart"/>
      <w:r w:rsidRPr="006A62B6">
        <w:rPr>
          <w:lang w:val="en-US"/>
        </w:rPr>
        <w:t>atamış</w:t>
      </w:r>
      <w:proofErr w:type="spellEnd"/>
      <w:r w:rsidRPr="006A62B6">
        <w:rPr>
          <w:lang w:val="en-US"/>
        </w:rPr>
        <w:t xml:space="preserve"> </w:t>
      </w:r>
      <w:proofErr w:type="spellStart"/>
      <w:r w:rsidRPr="006A62B6">
        <w:rPr>
          <w:lang w:val="en-US"/>
        </w:rPr>
        <w:t>ve</w:t>
      </w:r>
      <w:proofErr w:type="spellEnd"/>
      <w:r w:rsidRPr="006A62B6">
        <w:rPr>
          <w:lang w:val="en-US"/>
        </w:rPr>
        <w:t xml:space="preserve"> Senato da </w:t>
      </w:r>
      <w:proofErr w:type="spellStart"/>
      <w:r w:rsidRPr="006A62B6">
        <w:rPr>
          <w:lang w:val="en-US"/>
        </w:rPr>
        <w:t>bunları</w:t>
      </w:r>
      <w:proofErr w:type="spellEnd"/>
      <w:r w:rsidRPr="006A62B6">
        <w:rPr>
          <w:lang w:val="en-US"/>
        </w:rPr>
        <w:t xml:space="preserve"> </w:t>
      </w:r>
      <w:proofErr w:type="spellStart"/>
      <w:r w:rsidRPr="006A62B6">
        <w:rPr>
          <w:lang w:val="en-US"/>
        </w:rPr>
        <w:t>kolaylıkla</w:t>
      </w:r>
      <w:proofErr w:type="spellEnd"/>
      <w:r w:rsidRPr="006A62B6">
        <w:rPr>
          <w:lang w:val="en-US"/>
        </w:rPr>
        <w:t xml:space="preserve"> onaylamıştır.²⁷</w:t>
      </w:r>
      <w:r>
        <w:rPr>
          <w:lang w:val="en-US"/>
        </w:rPr>
        <w:t xml:space="preserve"> </w:t>
      </w:r>
      <w:r>
        <w:rPr>
          <w:rStyle w:val="FootnoteReference"/>
          <w:lang w:val="en-US"/>
        </w:rPr>
        <w:footnoteReference w:id="27"/>
      </w:r>
      <w:r w:rsidRPr="006A62B6">
        <w:rPr>
          <w:lang w:val="en-US"/>
        </w:rPr>
        <w:t xml:space="preserve"> </w:t>
      </w:r>
      <w:proofErr w:type="spellStart"/>
      <w:r w:rsidRPr="006A62B6">
        <w:rPr>
          <w:lang w:val="en-US"/>
        </w:rPr>
        <w:t>Belirli</w:t>
      </w:r>
      <w:proofErr w:type="spellEnd"/>
      <w:r w:rsidRPr="006A62B6">
        <w:rPr>
          <w:lang w:val="en-US"/>
        </w:rPr>
        <w:t xml:space="preserve"> </w:t>
      </w:r>
      <w:proofErr w:type="spellStart"/>
      <w:r w:rsidRPr="006A62B6">
        <w:rPr>
          <w:lang w:val="en-US"/>
        </w:rPr>
        <w:t>dönemler</w:t>
      </w:r>
      <w:proofErr w:type="spellEnd"/>
      <w:r w:rsidRPr="006A62B6">
        <w:rPr>
          <w:lang w:val="en-US"/>
        </w:rPr>
        <w:t xml:space="preserve">, </w:t>
      </w:r>
      <w:proofErr w:type="spellStart"/>
      <w:r w:rsidRPr="006A62B6">
        <w:rPr>
          <w:lang w:val="en-US"/>
        </w:rPr>
        <w:t>yargı</w:t>
      </w:r>
      <w:proofErr w:type="spellEnd"/>
      <w:r w:rsidRPr="006A62B6">
        <w:rPr>
          <w:lang w:val="en-US"/>
        </w:rPr>
        <w:t xml:space="preserve"> </w:t>
      </w:r>
      <w:proofErr w:type="spellStart"/>
      <w:r w:rsidRPr="006A62B6">
        <w:rPr>
          <w:lang w:val="en-US"/>
        </w:rPr>
        <w:t>makamları</w:t>
      </w:r>
      <w:proofErr w:type="spellEnd"/>
      <w:r w:rsidRPr="006A62B6">
        <w:rPr>
          <w:lang w:val="en-US"/>
        </w:rPr>
        <w:t xml:space="preserve"> </w:t>
      </w:r>
      <w:proofErr w:type="spellStart"/>
      <w:r w:rsidRPr="006A62B6">
        <w:rPr>
          <w:lang w:val="en-US"/>
        </w:rPr>
        <w:t>için</w:t>
      </w:r>
      <w:proofErr w:type="spellEnd"/>
      <w:r w:rsidRPr="006A62B6">
        <w:rPr>
          <w:lang w:val="en-US"/>
        </w:rPr>
        <w:t xml:space="preserve"> </w:t>
      </w:r>
      <w:proofErr w:type="spellStart"/>
      <w:r w:rsidRPr="006A62B6">
        <w:rPr>
          <w:lang w:val="en-US"/>
        </w:rPr>
        <w:t>uygun</w:t>
      </w:r>
      <w:proofErr w:type="spellEnd"/>
      <w:r w:rsidRPr="006A62B6">
        <w:rPr>
          <w:lang w:val="en-US"/>
        </w:rPr>
        <w:t xml:space="preserve"> </w:t>
      </w:r>
      <w:proofErr w:type="spellStart"/>
      <w:r w:rsidRPr="006A62B6">
        <w:rPr>
          <w:lang w:val="en-US"/>
        </w:rPr>
        <w:t>niteliklere</w:t>
      </w:r>
      <w:proofErr w:type="spellEnd"/>
      <w:r w:rsidRPr="006A62B6">
        <w:rPr>
          <w:lang w:val="en-US"/>
        </w:rPr>
        <w:t xml:space="preserve"> </w:t>
      </w:r>
      <w:proofErr w:type="spellStart"/>
      <w:r w:rsidRPr="006A62B6">
        <w:rPr>
          <w:lang w:val="en-US"/>
        </w:rPr>
        <w:t>ilişkin</w:t>
      </w:r>
      <w:proofErr w:type="spellEnd"/>
      <w:r w:rsidRPr="006A62B6">
        <w:rPr>
          <w:lang w:val="en-US"/>
        </w:rPr>
        <w:t xml:space="preserve"> </w:t>
      </w:r>
      <w:proofErr w:type="spellStart"/>
      <w:r w:rsidRPr="006A62B6">
        <w:rPr>
          <w:lang w:val="en-US"/>
        </w:rPr>
        <w:t>normlar</w:t>
      </w:r>
      <w:proofErr w:type="spellEnd"/>
      <w:r w:rsidRPr="006A62B6">
        <w:rPr>
          <w:lang w:val="en-US"/>
        </w:rPr>
        <w:t xml:space="preserve"> </w:t>
      </w:r>
      <w:proofErr w:type="spellStart"/>
      <w:r w:rsidRPr="006A62B6">
        <w:rPr>
          <w:lang w:val="en-US"/>
        </w:rPr>
        <w:t>oluşturmuş</w:t>
      </w:r>
      <w:proofErr w:type="spellEnd"/>
      <w:r w:rsidRPr="006A62B6">
        <w:rPr>
          <w:lang w:val="en-US"/>
        </w:rPr>
        <w:t xml:space="preserve"> </w:t>
      </w:r>
      <w:proofErr w:type="spellStart"/>
      <w:r w:rsidRPr="006A62B6">
        <w:rPr>
          <w:lang w:val="en-US"/>
        </w:rPr>
        <w:t>olsa</w:t>
      </w:r>
      <w:proofErr w:type="spellEnd"/>
      <w:r w:rsidRPr="006A62B6">
        <w:rPr>
          <w:lang w:val="en-US"/>
        </w:rPr>
        <w:t xml:space="preserve"> da, </w:t>
      </w:r>
      <w:proofErr w:type="spellStart"/>
      <w:r w:rsidRPr="006A62B6">
        <w:rPr>
          <w:lang w:val="en-US"/>
        </w:rPr>
        <w:t>bu</w:t>
      </w:r>
      <w:proofErr w:type="spellEnd"/>
      <w:r w:rsidRPr="006A62B6">
        <w:rPr>
          <w:lang w:val="en-US"/>
        </w:rPr>
        <w:t xml:space="preserve"> </w:t>
      </w:r>
      <w:proofErr w:type="spellStart"/>
      <w:r w:rsidRPr="006A62B6">
        <w:rPr>
          <w:lang w:val="en-US"/>
        </w:rPr>
        <w:t>normlar</w:t>
      </w:r>
      <w:proofErr w:type="spellEnd"/>
      <w:r w:rsidRPr="006A62B6">
        <w:rPr>
          <w:lang w:val="en-US"/>
        </w:rPr>
        <w:t xml:space="preserve"> </w:t>
      </w:r>
      <w:proofErr w:type="spellStart"/>
      <w:r w:rsidRPr="006A62B6">
        <w:rPr>
          <w:lang w:val="en-US"/>
        </w:rPr>
        <w:t>geçici</w:t>
      </w:r>
      <w:proofErr w:type="spellEnd"/>
      <w:r w:rsidRPr="006A62B6">
        <w:rPr>
          <w:lang w:val="en-US"/>
        </w:rPr>
        <w:t xml:space="preserve"> </w:t>
      </w:r>
      <w:proofErr w:type="spellStart"/>
      <w:r w:rsidRPr="006A62B6">
        <w:rPr>
          <w:lang w:val="en-US"/>
        </w:rPr>
        <w:t>olmuş</w:t>
      </w:r>
      <w:proofErr w:type="spellEnd"/>
      <w:r w:rsidRPr="006A62B6">
        <w:rPr>
          <w:lang w:val="en-US"/>
        </w:rPr>
        <w:t xml:space="preserve"> </w:t>
      </w:r>
      <w:proofErr w:type="spellStart"/>
      <w:r w:rsidRPr="006A62B6">
        <w:rPr>
          <w:lang w:val="en-US"/>
        </w:rPr>
        <w:t>ve</w:t>
      </w:r>
      <w:proofErr w:type="spellEnd"/>
      <w:r w:rsidRPr="006A62B6">
        <w:rPr>
          <w:lang w:val="en-US"/>
        </w:rPr>
        <w:t xml:space="preserve"> — </w:t>
      </w:r>
      <w:proofErr w:type="spellStart"/>
      <w:r w:rsidRPr="006A62B6">
        <w:rPr>
          <w:lang w:val="en-US"/>
        </w:rPr>
        <w:t>en</w:t>
      </w:r>
      <w:proofErr w:type="spellEnd"/>
      <w:r w:rsidRPr="006A62B6">
        <w:rPr>
          <w:lang w:val="en-US"/>
        </w:rPr>
        <w:t xml:space="preserve"> </w:t>
      </w:r>
      <w:proofErr w:type="spellStart"/>
      <w:r w:rsidRPr="006A62B6">
        <w:rPr>
          <w:lang w:val="en-US"/>
        </w:rPr>
        <w:t>güçlü</w:t>
      </w:r>
      <w:proofErr w:type="spellEnd"/>
      <w:r w:rsidRPr="006A62B6">
        <w:rPr>
          <w:lang w:val="en-US"/>
        </w:rPr>
        <w:t xml:space="preserve"> </w:t>
      </w:r>
      <w:proofErr w:type="spellStart"/>
      <w:r w:rsidRPr="006A62B6">
        <w:rPr>
          <w:lang w:val="en-US"/>
        </w:rPr>
        <w:t>oldukları</w:t>
      </w:r>
      <w:proofErr w:type="spellEnd"/>
      <w:r w:rsidRPr="006A62B6">
        <w:rPr>
          <w:lang w:val="en-US"/>
        </w:rPr>
        <w:t xml:space="preserve"> </w:t>
      </w:r>
      <w:proofErr w:type="spellStart"/>
      <w:r w:rsidRPr="006A62B6">
        <w:rPr>
          <w:lang w:val="en-US"/>
        </w:rPr>
        <w:t>dönemlerde</w:t>
      </w:r>
      <w:proofErr w:type="spellEnd"/>
      <w:r w:rsidRPr="006A62B6">
        <w:rPr>
          <w:lang w:val="en-US"/>
        </w:rPr>
        <w:t xml:space="preserve"> bile — </w:t>
      </w:r>
      <w:proofErr w:type="spellStart"/>
      <w:r w:rsidRPr="006A62B6">
        <w:rPr>
          <w:lang w:val="en-US"/>
        </w:rPr>
        <w:t>ancak</w:t>
      </w:r>
      <w:proofErr w:type="spellEnd"/>
      <w:r w:rsidRPr="006A62B6">
        <w:rPr>
          <w:lang w:val="en-US"/>
        </w:rPr>
        <w:t xml:space="preserve"> </w:t>
      </w:r>
      <w:proofErr w:type="spellStart"/>
      <w:r w:rsidRPr="006A62B6">
        <w:rPr>
          <w:lang w:val="en-US"/>
        </w:rPr>
        <w:t>kısmen</w:t>
      </w:r>
      <w:proofErr w:type="spellEnd"/>
      <w:r w:rsidRPr="006A62B6">
        <w:rPr>
          <w:lang w:val="en-US"/>
        </w:rPr>
        <w:t xml:space="preserve"> </w:t>
      </w:r>
      <w:proofErr w:type="spellStart"/>
      <w:r w:rsidRPr="006A62B6">
        <w:rPr>
          <w:lang w:val="en-US"/>
        </w:rPr>
        <w:t>hayata</w:t>
      </w:r>
      <w:proofErr w:type="spellEnd"/>
      <w:r w:rsidRPr="006A62B6">
        <w:rPr>
          <w:lang w:val="en-US"/>
        </w:rPr>
        <w:t xml:space="preserve"> geçirilmiştir.²⁸</w:t>
      </w:r>
      <w:r>
        <w:rPr>
          <w:lang w:val="en-US"/>
        </w:rPr>
        <w:t xml:space="preserve">  </w:t>
      </w:r>
      <w:r>
        <w:rPr>
          <w:rStyle w:val="FootnoteReference"/>
          <w:lang w:val="en-US"/>
        </w:rPr>
        <w:footnoteReference w:id="28"/>
      </w:r>
      <w:r>
        <w:rPr>
          <w:lang w:val="en-US"/>
        </w:rPr>
        <w:t>[10-11]</w:t>
      </w:r>
    </w:p>
    <w:p w14:paraId="55E6180D" w14:textId="4F3EA251" w:rsidR="006A62B6" w:rsidRDefault="006A62B6" w:rsidP="006A62B6">
      <w:pPr>
        <w:rPr>
          <w:lang w:val="en-US"/>
        </w:rPr>
      </w:pPr>
      <w:proofErr w:type="spellStart"/>
      <w:r w:rsidRPr="006A62B6">
        <w:rPr>
          <w:lang w:val="en-US"/>
        </w:rPr>
        <w:t>Örneğin</w:t>
      </w:r>
      <w:proofErr w:type="spellEnd"/>
      <w:r w:rsidRPr="006A62B6">
        <w:rPr>
          <w:lang w:val="en-US"/>
        </w:rPr>
        <w:t xml:space="preserve">, Yüksek </w:t>
      </w:r>
      <w:proofErr w:type="spellStart"/>
      <w:r w:rsidRPr="006A62B6">
        <w:rPr>
          <w:lang w:val="en-US"/>
        </w:rPr>
        <w:t>Mahkeme</w:t>
      </w:r>
      <w:proofErr w:type="spellEnd"/>
      <w:r w:rsidRPr="006A62B6">
        <w:rPr>
          <w:lang w:val="en-US"/>
        </w:rPr>
        <w:t xml:space="preserve"> </w:t>
      </w:r>
      <w:proofErr w:type="spellStart"/>
      <w:r w:rsidRPr="006A62B6">
        <w:rPr>
          <w:lang w:val="en-US"/>
        </w:rPr>
        <w:t>yargıçlarını</w:t>
      </w:r>
      <w:proofErr w:type="spellEnd"/>
      <w:r w:rsidRPr="006A62B6">
        <w:rPr>
          <w:lang w:val="en-US"/>
        </w:rPr>
        <w:t xml:space="preserve"> (Justices) </w:t>
      </w:r>
      <w:proofErr w:type="spellStart"/>
      <w:r w:rsidRPr="006A62B6">
        <w:rPr>
          <w:lang w:val="en-US"/>
        </w:rPr>
        <w:t>ele</w:t>
      </w:r>
      <w:proofErr w:type="spellEnd"/>
      <w:r w:rsidRPr="006A62B6">
        <w:rPr>
          <w:lang w:val="en-US"/>
        </w:rPr>
        <w:t xml:space="preserve"> </w:t>
      </w:r>
      <w:proofErr w:type="spellStart"/>
      <w:r w:rsidRPr="006A62B6">
        <w:rPr>
          <w:lang w:val="en-US"/>
        </w:rPr>
        <w:t>alalım</w:t>
      </w:r>
      <w:proofErr w:type="spellEnd"/>
      <w:r w:rsidRPr="006A62B6">
        <w:rPr>
          <w:lang w:val="en-US"/>
        </w:rPr>
        <w:t xml:space="preserve">. </w:t>
      </w:r>
      <w:proofErr w:type="spellStart"/>
      <w:r w:rsidRPr="006A62B6">
        <w:rPr>
          <w:lang w:val="en-US"/>
        </w:rPr>
        <w:t>Yakın</w:t>
      </w:r>
      <w:proofErr w:type="spellEnd"/>
      <w:r w:rsidRPr="006A62B6">
        <w:rPr>
          <w:lang w:val="en-US"/>
        </w:rPr>
        <w:t xml:space="preserve"> </w:t>
      </w:r>
      <w:proofErr w:type="spellStart"/>
      <w:r w:rsidRPr="006A62B6">
        <w:rPr>
          <w:lang w:val="en-US"/>
        </w:rPr>
        <w:t>tarihli</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çalışma</w:t>
      </w:r>
      <w:proofErr w:type="spellEnd"/>
      <w:r w:rsidRPr="006A62B6">
        <w:rPr>
          <w:lang w:val="en-US"/>
        </w:rPr>
        <w:t xml:space="preserve">, </w:t>
      </w:r>
      <w:proofErr w:type="spellStart"/>
      <w:r w:rsidRPr="006A62B6">
        <w:rPr>
          <w:lang w:val="en-US"/>
        </w:rPr>
        <w:t>Mahkeme’de</w:t>
      </w:r>
      <w:proofErr w:type="spellEnd"/>
      <w:r w:rsidRPr="006A62B6">
        <w:rPr>
          <w:lang w:val="en-US"/>
        </w:rPr>
        <w:t xml:space="preserve"> </w:t>
      </w:r>
      <w:proofErr w:type="spellStart"/>
      <w:r w:rsidRPr="006A62B6">
        <w:rPr>
          <w:lang w:val="en-US"/>
        </w:rPr>
        <w:t>görev</w:t>
      </w:r>
      <w:proofErr w:type="spellEnd"/>
      <w:r w:rsidRPr="006A62B6">
        <w:rPr>
          <w:lang w:val="en-US"/>
        </w:rPr>
        <w:t xml:space="preserve"> </w:t>
      </w:r>
      <w:proofErr w:type="spellStart"/>
      <w:r w:rsidRPr="006A62B6">
        <w:rPr>
          <w:lang w:val="en-US"/>
        </w:rPr>
        <w:t>yapmış</w:t>
      </w:r>
      <w:proofErr w:type="spellEnd"/>
      <w:r w:rsidRPr="006A62B6">
        <w:rPr>
          <w:lang w:val="en-US"/>
        </w:rPr>
        <w:t xml:space="preserve"> 112 </w:t>
      </w:r>
      <w:proofErr w:type="spellStart"/>
      <w:r w:rsidRPr="006A62B6">
        <w:rPr>
          <w:lang w:val="en-US"/>
        </w:rPr>
        <w:t>yargıcın</w:t>
      </w:r>
      <w:proofErr w:type="spellEnd"/>
      <w:r w:rsidRPr="006A62B6">
        <w:rPr>
          <w:lang w:val="en-US"/>
        </w:rPr>
        <w:t xml:space="preserve"> </w:t>
      </w:r>
      <w:proofErr w:type="spellStart"/>
      <w:r w:rsidRPr="006A62B6">
        <w:rPr>
          <w:lang w:val="en-US"/>
        </w:rPr>
        <w:t>kamu</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özel</w:t>
      </w:r>
      <w:proofErr w:type="spellEnd"/>
      <w:r w:rsidRPr="006A62B6">
        <w:rPr>
          <w:lang w:val="en-US"/>
        </w:rPr>
        <w:t xml:space="preserve"> </w:t>
      </w:r>
      <w:proofErr w:type="spellStart"/>
      <w:r w:rsidRPr="006A62B6">
        <w:rPr>
          <w:lang w:val="en-US"/>
        </w:rPr>
        <w:t>sektörün</w:t>
      </w:r>
      <w:proofErr w:type="spellEnd"/>
      <w:r w:rsidRPr="006A62B6">
        <w:rPr>
          <w:lang w:val="en-US"/>
        </w:rPr>
        <w:t xml:space="preserve"> </w:t>
      </w:r>
      <w:proofErr w:type="spellStart"/>
      <w:r w:rsidRPr="006A62B6">
        <w:rPr>
          <w:lang w:val="en-US"/>
        </w:rPr>
        <w:t>çok</w:t>
      </w:r>
      <w:proofErr w:type="spellEnd"/>
      <w:r w:rsidRPr="006A62B6">
        <w:rPr>
          <w:lang w:val="en-US"/>
        </w:rPr>
        <w:t xml:space="preserve"> </w:t>
      </w:r>
      <w:proofErr w:type="spellStart"/>
      <w:r w:rsidRPr="006A62B6">
        <w:rPr>
          <w:lang w:val="en-US"/>
        </w:rPr>
        <w:t>çeşitli</w:t>
      </w:r>
      <w:proofErr w:type="spellEnd"/>
      <w:r w:rsidRPr="006A62B6">
        <w:rPr>
          <w:lang w:val="en-US"/>
        </w:rPr>
        <w:t xml:space="preserve"> </w:t>
      </w:r>
      <w:proofErr w:type="spellStart"/>
      <w:r w:rsidRPr="006A62B6">
        <w:rPr>
          <w:lang w:val="en-US"/>
        </w:rPr>
        <w:t>pozisyonlarından</w:t>
      </w:r>
      <w:proofErr w:type="spellEnd"/>
      <w:r w:rsidRPr="006A62B6">
        <w:rPr>
          <w:lang w:val="en-US"/>
        </w:rPr>
        <w:t xml:space="preserve"> </w:t>
      </w:r>
      <w:proofErr w:type="spellStart"/>
      <w:r w:rsidRPr="006A62B6">
        <w:rPr>
          <w:lang w:val="en-US"/>
        </w:rPr>
        <w:t>geldiğini</w:t>
      </w:r>
      <w:proofErr w:type="spellEnd"/>
      <w:r w:rsidRPr="006A62B6">
        <w:rPr>
          <w:lang w:val="en-US"/>
        </w:rPr>
        <w:t xml:space="preserve"> </w:t>
      </w:r>
      <w:proofErr w:type="spellStart"/>
      <w:r w:rsidRPr="006A62B6">
        <w:rPr>
          <w:lang w:val="en-US"/>
        </w:rPr>
        <w:t>ortaya</w:t>
      </w:r>
      <w:proofErr w:type="spellEnd"/>
      <w:r w:rsidRPr="006A62B6">
        <w:rPr>
          <w:lang w:val="en-US"/>
        </w:rPr>
        <w:t xml:space="preserve"> koymaktadır.²⁹ </w:t>
      </w:r>
      <w:r>
        <w:rPr>
          <w:rStyle w:val="FootnoteReference"/>
          <w:lang w:val="en-US"/>
        </w:rPr>
        <w:footnoteReference w:id="29"/>
      </w:r>
      <w:r>
        <w:rPr>
          <w:lang w:val="en-US"/>
        </w:rPr>
        <w:t xml:space="preserve"> </w:t>
      </w:r>
      <w:proofErr w:type="spellStart"/>
      <w:r w:rsidRPr="006A62B6">
        <w:rPr>
          <w:lang w:val="en-US"/>
        </w:rPr>
        <w:t>Mahkemelerin</w:t>
      </w:r>
      <w:proofErr w:type="spellEnd"/>
      <w:r w:rsidRPr="006A62B6">
        <w:rPr>
          <w:lang w:val="en-US"/>
        </w:rPr>
        <w:t xml:space="preserve"> </w:t>
      </w:r>
      <w:proofErr w:type="spellStart"/>
      <w:r w:rsidRPr="006A62B6">
        <w:rPr>
          <w:lang w:val="en-US"/>
        </w:rPr>
        <w:t>diğer</w:t>
      </w:r>
      <w:proofErr w:type="spellEnd"/>
      <w:r w:rsidRPr="006A62B6">
        <w:rPr>
          <w:lang w:val="en-US"/>
        </w:rPr>
        <w:t xml:space="preserve"> </w:t>
      </w:r>
      <w:proofErr w:type="spellStart"/>
      <w:r w:rsidRPr="006A62B6">
        <w:rPr>
          <w:lang w:val="en-US"/>
        </w:rPr>
        <w:t>erklerden</w:t>
      </w:r>
      <w:proofErr w:type="spellEnd"/>
      <w:r w:rsidRPr="006A62B6">
        <w:rPr>
          <w:lang w:val="en-US"/>
        </w:rPr>
        <w:t xml:space="preserve"> </w:t>
      </w:r>
      <w:proofErr w:type="spellStart"/>
      <w:r w:rsidRPr="006A62B6">
        <w:rPr>
          <w:lang w:val="en-US"/>
        </w:rPr>
        <w:t>farklı</w:t>
      </w:r>
      <w:proofErr w:type="spellEnd"/>
      <w:r w:rsidRPr="006A62B6">
        <w:rPr>
          <w:lang w:val="en-US"/>
        </w:rPr>
        <w:t xml:space="preserve"> </w:t>
      </w:r>
      <w:proofErr w:type="spellStart"/>
      <w:r w:rsidRPr="006A62B6">
        <w:rPr>
          <w:lang w:val="en-US"/>
        </w:rPr>
        <w:t>erdemleri</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deneyimleri</w:t>
      </w:r>
      <w:proofErr w:type="spellEnd"/>
      <w:r w:rsidRPr="006A62B6">
        <w:rPr>
          <w:lang w:val="en-US"/>
        </w:rPr>
        <w:t xml:space="preserve"> </w:t>
      </w:r>
      <w:proofErr w:type="spellStart"/>
      <w:r w:rsidRPr="006A62B6">
        <w:rPr>
          <w:lang w:val="en-US"/>
        </w:rPr>
        <w:t>temsil</w:t>
      </w:r>
      <w:proofErr w:type="spellEnd"/>
      <w:r w:rsidRPr="006A62B6">
        <w:rPr>
          <w:lang w:val="en-US"/>
        </w:rPr>
        <w:t xml:space="preserve"> </w:t>
      </w:r>
      <w:proofErr w:type="spellStart"/>
      <w:r w:rsidRPr="006A62B6">
        <w:rPr>
          <w:lang w:val="en-US"/>
        </w:rPr>
        <w:t>etmesi</w:t>
      </w:r>
      <w:proofErr w:type="spellEnd"/>
      <w:r w:rsidRPr="006A62B6">
        <w:rPr>
          <w:lang w:val="en-US"/>
        </w:rPr>
        <w:t xml:space="preserve"> </w:t>
      </w:r>
      <w:proofErr w:type="spellStart"/>
      <w:r w:rsidRPr="006A62B6">
        <w:rPr>
          <w:lang w:val="en-US"/>
        </w:rPr>
        <w:t>gerektiği</w:t>
      </w:r>
      <w:proofErr w:type="spellEnd"/>
      <w:r w:rsidRPr="006A62B6">
        <w:rPr>
          <w:lang w:val="en-US"/>
        </w:rPr>
        <w:t xml:space="preserve"> </w:t>
      </w:r>
      <w:proofErr w:type="spellStart"/>
      <w:r w:rsidRPr="006A62B6">
        <w:rPr>
          <w:lang w:val="en-US"/>
        </w:rPr>
        <w:t>fikriyle</w:t>
      </w:r>
      <w:proofErr w:type="spellEnd"/>
      <w:r w:rsidRPr="006A62B6">
        <w:rPr>
          <w:lang w:val="en-US"/>
        </w:rPr>
        <w:t xml:space="preserve"> </w:t>
      </w:r>
      <w:proofErr w:type="spellStart"/>
      <w:r w:rsidRPr="006A62B6">
        <w:rPr>
          <w:lang w:val="en-US"/>
        </w:rPr>
        <w:t>potansiyel</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çelişki</w:t>
      </w:r>
      <w:proofErr w:type="spellEnd"/>
      <w:r w:rsidRPr="006A62B6">
        <w:rPr>
          <w:lang w:val="en-US"/>
        </w:rPr>
        <w:t xml:space="preserve"> </w:t>
      </w:r>
      <w:proofErr w:type="spellStart"/>
      <w:r w:rsidRPr="006A62B6">
        <w:rPr>
          <w:lang w:val="en-US"/>
        </w:rPr>
        <w:t>içinde</w:t>
      </w:r>
      <w:proofErr w:type="spellEnd"/>
      <w:r w:rsidRPr="006A62B6">
        <w:rPr>
          <w:lang w:val="en-US"/>
        </w:rPr>
        <w:t xml:space="preserve"> </w:t>
      </w:r>
      <w:proofErr w:type="spellStart"/>
      <w:r w:rsidRPr="006A62B6">
        <w:rPr>
          <w:lang w:val="en-US"/>
        </w:rPr>
        <w:t>olarak</w:t>
      </w:r>
      <w:proofErr w:type="spellEnd"/>
      <w:r w:rsidRPr="006A62B6">
        <w:rPr>
          <w:lang w:val="en-US"/>
        </w:rPr>
        <w:t xml:space="preserve">, Yüksek </w:t>
      </w:r>
      <w:proofErr w:type="spellStart"/>
      <w:r w:rsidRPr="006A62B6">
        <w:rPr>
          <w:lang w:val="en-US"/>
        </w:rPr>
        <w:t>Mahkeme</w:t>
      </w:r>
      <w:proofErr w:type="spellEnd"/>
      <w:r w:rsidRPr="006A62B6">
        <w:rPr>
          <w:lang w:val="en-US"/>
        </w:rPr>
        <w:t xml:space="preserve"> </w:t>
      </w:r>
      <w:proofErr w:type="spellStart"/>
      <w:r w:rsidRPr="006A62B6">
        <w:rPr>
          <w:lang w:val="en-US"/>
        </w:rPr>
        <w:t>yargıçlarının</w:t>
      </w:r>
      <w:proofErr w:type="spellEnd"/>
      <w:r w:rsidRPr="006A62B6">
        <w:rPr>
          <w:lang w:val="en-US"/>
        </w:rPr>
        <w:t xml:space="preserve"> </w:t>
      </w:r>
      <w:proofErr w:type="spellStart"/>
      <w:r w:rsidRPr="006A62B6">
        <w:rPr>
          <w:lang w:val="en-US"/>
        </w:rPr>
        <w:t>tarih</w:t>
      </w:r>
      <w:proofErr w:type="spellEnd"/>
      <w:r w:rsidRPr="006A62B6">
        <w:rPr>
          <w:lang w:val="en-US"/>
        </w:rPr>
        <w:t xml:space="preserve"> </w:t>
      </w:r>
      <w:proofErr w:type="spellStart"/>
      <w:r w:rsidRPr="006A62B6">
        <w:rPr>
          <w:lang w:val="en-US"/>
        </w:rPr>
        <w:t>boyunca</w:t>
      </w:r>
      <w:proofErr w:type="spellEnd"/>
      <w:r w:rsidRPr="006A62B6">
        <w:rPr>
          <w:lang w:val="en-US"/>
        </w:rPr>
        <w:t xml:space="preserve"> </w:t>
      </w:r>
      <w:proofErr w:type="spellStart"/>
      <w:r w:rsidRPr="006A62B6">
        <w:rPr>
          <w:lang w:val="en-US"/>
        </w:rPr>
        <w:t>yasama</w:t>
      </w:r>
      <w:proofErr w:type="spellEnd"/>
      <w:r w:rsidRPr="006A62B6">
        <w:rPr>
          <w:lang w:val="en-US"/>
        </w:rPr>
        <w:t xml:space="preserve"> </w:t>
      </w:r>
      <w:proofErr w:type="spellStart"/>
      <w:r w:rsidRPr="006A62B6">
        <w:rPr>
          <w:lang w:val="en-US"/>
        </w:rPr>
        <w:t>organında</w:t>
      </w:r>
      <w:proofErr w:type="spellEnd"/>
      <w:r w:rsidRPr="006A62B6">
        <w:rPr>
          <w:lang w:val="en-US"/>
        </w:rPr>
        <w:t xml:space="preserve"> (legislative branch) </w:t>
      </w:r>
      <w:proofErr w:type="spellStart"/>
      <w:r w:rsidRPr="006A62B6">
        <w:rPr>
          <w:lang w:val="en-US"/>
        </w:rPr>
        <w:t>daha</w:t>
      </w:r>
      <w:proofErr w:type="spellEnd"/>
      <w:r w:rsidRPr="006A62B6">
        <w:rPr>
          <w:lang w:val="en-US"/>
        </w:rPr>
        <w:t xml:space="preserve"> </w:t>
      </w:r>
      <w:proofErr w:type="spellStart"/>
      <w:r w:rsidRPr="006A62B6">
        <w:rPr>
          <w:lang w:val="en-US"/>
        </w:rPr>
        <w:t>önce</w:t>
      </w:r>
      <w:proofErr w:type="spellEnd"/>
      <w:r w:rsidRPr="006A62B6">
        <w:rPr>
          <w:lang w:val="en-US"/>
        </w:rPr>
        <w:t xml:space="preserve"> </w:t>
      </w:r>
      <w:proofErr w:type="spellStart"/>
      <w:r w:rsidRPr="006A62B6">
        <w:rPr>
          <w:lang w:val="en-US"/>
        </w:rPr>
        <w:t>görev</w:t>
      </w:r>
      <w:proofErr w:type="spellEnd"/>
      <w:r w:rsidRPr="006A62B6">
        <w:rPr>
          <w:lang w:val="en-US"/>
        </w:rPr>
        <w:t xml:space="preserve"> </w:t>
      </w:r>
      <w:proofErr w:type="spellStart"/>
      <w:r w:rsidRPr="006A62B6">
        <w:rPr>
          <w:lang w:val="en-US"/>
        </w:rPr>
        <w:t>yapmış</w:t>
      </w:r>
      <w:proofErr w:type="spellEnd"/>
      <w:r w:rsidRPr="006A62B6">
        <w:rPr>
          <w:lang w:val="en-US"/>
        </w:rPr>
        <w:t xml:space="preserve"> </w:t>
      </w:r>
      <w:proofErr w:type="spellStart"/>
      <w:r w:rsidRPr="006A62B6">
        <w:rPr>
          <w:lang w:val="en-US"/>
        </w:rPr>
        <w:t>olma</w:t>
      </w:r>
      <w:proofErr w:type="spellEnd"/>
      <w:r w:rsidRPr="006A62B6">
        <w:rPr>
          <w:lang w:val="en-US"/>
        </w:rPr>
        <w:t xml:space="preserve"> </w:t>
      </w:r>
      <w:proofErr w:type="spellStart"/>
      <w:r w:rsidRPr="006A62B6">
        <w:rPr>
          <w:lang w:val="en-US"/>
        </w:rPr>
        <w:t>olasılığı</w:t>
      </w:r>
      <w:proofErr w:type="spellEnd"/>
      <w:r w:rsidRPr="006A62B6">
        <w:rPr>
          <w:lang w:val="en-US"/>
        </w:rPr>
        <w:t xml:space="preserve">, </w:t>
      </w:r>
      <w:proofErr w:type="spellStart"/>
      <w:r w:rsidRPr="006A62B6">
        <w:rPr>
          <w:lang w:val="en-US"/>
        </w:rPr>
        <w:t>yargı</w:t>
      </w:r>
      <w:proofErr w:type="spellEnd"/>
      <w:r w:rsidRPr="006A62B6">
        <w:rPr>
          <w:lang w:val="en-US"/>
        </w:rPr>
        <w:t xml:space="preserve"> </w:t>
      </w:r>
      <w:proofErr w:type="spellStart"/>
      <w:r w:rsidRPr="006A62B6">
        <w:rPr>
          <w:lang w:val="en-US"/>
        </w:rPr>
        <w:t>deneyimine</w:t>
      </w:r>
      <w:proofErr w:type="spellEnd"/>
      <w:r w:rsidRPr="006A62B6">
        <w:rPr>
          <w:lang w:val="en-US"/>
        </w:rPr>
        <w:t xml:space="preserve"> </w:t>
      </w:r>
      <w:proofErr w:type="spellStart"/>
      <w:r w:rsidRPr="006A62B6">
        <w:rPr>
          <w:lang w:val="en-US"/>
        </w:rPr>
        <w:t>sahip</w:t>
      </w:r>
      <w:proofErr w:type="spellEnd"/>
      <w:r w:rsidRPr="006A62B6">
        <w:rPr>
          <w:lang w:val="en-US"/>
        </w:rPr>
        <w:t xml:space="preserve"> </w:t>
      </w:r>
      <w:proofErr w:type="spellStart"/>
      <w:r w:rsidRPr="006A62B6">
        <w:rPr>
          <w:lang w:val="en-US"/>
        </w:rPr>
        <w:t>olma</w:t>
      </w:r>
      <w:proofErr w:type="spellEnd"/>
      <w:r w:rsidRPr="006A62B6">
        <w:rPr>
          <w:lang w:val="en-US"/>
        </w:rPr>
        <w:t xml:space="preserve"> </w:t>
      </w:r>
      <w:proofErr w:type="spellStart"/>
      <w:r w:rsidRPr="006A62B6">
        <w:rPr>
          <w:lang w:val="en-US"/>
        </w:rPr>
        <w:t>olasılığıyla</w:t>
      </w:r>
      <w:proofErr w:type="spellEnd"/>
      <w:r w:rsidRPr="006A62B6">
        <w:rPr>
          <w:lang w:val="en-US"/>
        </w:rPr>
        <w:t xml:space="preserve"> </w:t>
      </w:r>
      <w:proofErr w:type="spellStart"/>
      <w:r w:rsidRPr="006A62B6">
        <w:rPr>
          <w:lang w:val="en-US"/>
        </w:rPr>
        <w:t>neredeyse</w:t>
      </w:r>
      <w:proofErr w:type="spellEnd"/>
      <w:r w:rsidRPr="006A62B6">
        <w:rPr>
          <w:lang w:val="en-US"/>
        </w:rPr>
        <w:t xml:space="preserve"> </w:t>
      </w:r>
      <w:proofErr w:type="spellStart"/>
      <w:r w:rsidRPr="006A62B6">
        <w:rPr>
          <w:lang w:val="en-US"/>
        </w:rPr>
        <w:t>eşit</w:t>
      </w:r>
      <w:proofErr w:type="spellEnd"/>
      <w:r w:rsidRPr="006A62B6">
        <w:rPr>
          <w:lang w:val="en-US"/>
        </w:rPr>
        <w:t xml:space="preserve"> olmuştur.³⁰ </w:t>
      </w:r>
      <w:r w:rsidR="009F15C9">
        <w:rPr>
          <w:rStyle w:val="FootnoteReference"/>
          <w:lang w:val="en-US"/>
        </w:rPr>
        <w:footnoteReference w:id="30"/>
      </w:r>
      <w:r w:rsidR="009F15C9">
        <w:rPr>
          <w:lang w:val="en-US"/>
        </w:rPr>
        <w:t xml:space="preserve"> </w:t>
      </w:r>
      <w:proofErr w:type="spellStart"/>
      <w:r w:rsidRPr="006A62B6">
        <w:rPr>
          <w:lang w:val="en-US"/>
        </w:rPr>
        <w:t>Yargıçlar</w:t>
      </w:r>
      <w:proofErr w:type="spellEnd"/>
      <w:r w:rsidRPr="006A62B6">
        <w:rPr>
          <w:lang w:val="en-US"/>
        </w:rPr>
        <w:t xml:space="preserve">, </w:t>
      </w:r>
      <w:proofErr w:type="spellStart"/>
      <w:r w:rsidRPr="006A62B6">
        <w:rPr>
          <w:lang w:val="en-US"/>
        </w:rPr>
        <w:t>prestijli</w:t>
      </w:r>
      <w:proofErr w:type="spellEnd"/>
      <w:r w:rsidRPr="006A62B6">
        <w:rPr>
          <w:lang w:val="en-US"/>
        </w:rPr>
        <w:t xml:space="preserve"> </w:t>
      </w:r>
      <w:proofErr w:type="spellStart"/>
      <w:r w:rsidRPr="006A62B6">
        <w:rPr>
          <w:lang w:val="en-US"/>
        </w:rPr>
        <w:t>hukuk</w:t>
      </w:r>
      <w:proofErr w:type="spellEnd"/>
      <w:r w:rsidRPr="006A62B6">
        <w:rPr>
          <w:lang w:val="en-US"/>
        </w:rPr>
        <w:t xml:space="preserve"> </w:t>
      </w:r>
      <w:proofErr w:type="spellStart"/>
      <w:r w:rsidRPr="006A62B6">
        <w:rPr>
          <w:lang w:val="en-US"/>
        </w:rPr>
        <w:t>fakültelerinden</w:t>
      </w:r>
      <w:proofErr w:type="spellEnd"/>
      <w:r w:rsidRPr="006A62B6">
        <w:rPr>
          <w:lang w:val="en-US"/>
        </w:rPr>
        <w:t xml:space="preserve"> </w:t>
      </w:r>
      <w:proofErr w:type="spellStart"/>
      <w:r w:rsidRPr="006A62B6">
        <w:rPr>
          <w:lang w:val="en-US"/>
        </w:rPr>
        <w:t>mezun</w:t>
      </w:r>
      <w:proofErr w:type="spellEnd"/>
      <w:r w:rsidRPr="006A62B6">
        <w:rPr>
          <w:lang w:val="en-US"/>
        </w:rPr>
        <w:t xml:space="preserve"> </w:t>
      </w:r>
      <w:proofErr w:type="spellStart"/>
      <w:r w:rsidRPr="006A62B6">
        <w:rPr>
          <w:lang w:val="en-US"/>
        </w:rPr>
        <w:t>olmuş</w:t>
      </w:r>
      <w:proofErr w:type="spellEnd"/>
      <w:r w:rsidRPr="006A62B6">
        <w:rPr>
          <w:lang w:val="en-US"/>
        </w:rPr>
        <w:t xml:space="preserve">, </w:t>
      </w:r>
      <w:proofErr w:type="spellStart"/>
      <w:r w:rsidRPr="006A62B6">
        <w:rPr>
          <w:lang w:val="en-US"/>
        </w:rPr>
        <w:t>daha</w:t>
      </w:r>
      <w:proofErr w:type="spellEnd"/>
      <w:r w:rsidRPr="006A62B6">
        <w:rPr>
          <w:lang w:val="en-US"/>
        </w:rPr>
        <w:t xml:space="preserve"> </w:t>
      </w:r>
      <w:proofErr w:type="spellStart"/>
      <w:r w:rsidRPr="006A62B6">
        <w:rPr>
          <w:lang w:val="en-US"/>
        </w:rPr>
        <w:t>az</w:t>
      </w:r>
      <w:proofErr w:type="spellEnd"/>
      <w:r w:rsidRPr="006A62B6">
        <w:rPr>
          <w:lang w:val="en-US"/>
        </w:rPr>
        <w:t xml:space="preserve"> </w:t>
      </w:r>
      <w:proofErr w:type="spellStart"/>
      <w:r w:rsidRPr="006A62B6">
        <w:rPr>
          <w:lang w:val="en-US"/>
        </w:rPr>
        <w:t>itibarlı</w:t>
      </w:r>
      <w:proofErr w:type="spellEnd"/>
      <w:r w:rsidRPr="006A62B6">
        <w:rPr>
          <w:lang w:val="en-US"/>
        </w:rPr>
        <w:t xml:space="preserve"> </w:t>
      </w:r>
      <w:proofErr w:type="spellStart"/>
      <w:r w:rsidRPr="006A62B6">
        <w:rPr>
          <w:lang w:val="en-US"/>
        </w:rPr>
        <w:t>okullardan</w:t>
      </w:r>
      <w:proofErr w:type="spellEnd"/>
      <w:r w:rsidRPr="006A62B6">
        <w:rPr>
          <w:lang w:val="en-US"/>
        </w:rPr>
        <w:t xml:space="preserve"> </w:t>
      </w:r>
      <w:proofErr w:type="spellStart"/>
      <w:r w:rsidRPr="006A62B6">
        <w:rPr>
          <w:lang w:val="en-US"/>
        </w:rPr>
        <w:t>diplomalar</w:t>
      </w:r>
      <w:proofErr w:type="spellEnd"/>
      <w:r w:rsidRPr="006A62B6">
        <w:rPr>
          <w:lang w:val="en-US"/>
        </w:rPr>
        <w:t xml:space="preserve"> </w:t>
      </w:r>
      <w:proofErr w:type="spellStart"/>
      <w:r w:rsidRPr="006A62B6">
        <w:rPr>
          <w:lang w:val="en-US"/>
        </w:rPr>
        <w:t>almış</w:t>
      </w:r>
      <w:proofErr w:type="spellEnd"/>
      <w:r w:rsidRPr="006A62B6">
        <w:rPr>
          <w:lang w:val="en-US"/>
        </w:rPr>
        <w:t xml:space="preserve"> </w:t>
      </w:r>
      <w:proofErr w:type="spellStart"/>
      <w:r w:rsidRPr="006A62B6">
        <w:rPr>
          <w:lang w:val="en-US"/>
        </w:rPr>
        <w:t>veya</w:t>
      </w:r>
      <w:proofErr w:type="spellEnd"/>
      <w:r w:rsidRPr="006A62B6">
        <w:rPr>
          <w:lang w:val="en-US"/>
        </w:rPr>
        <w:t xml:space="preserve"> (</w:t>
      </w:r>
      <w:proofErr w:type="spellStart"/>
      <w:r w:rsidRPr="006A62B6">
        <w:rPr>
          <w:lang w:val="en-US"/>
        </w:rPr>
        <w:t>resmî</w:t>
      </w:r>
      <w:proofErr w:type="spellEnd"/>
      <w:r w:rsidRPr="006A62B6">
        <w:rPr>
          <w:lang w:val="en-US"/>
        </w:rPr>
        <w:t xml:space="preserve"> </w:t>
      </w:r>
      <w:proofErr w:type="spellStart"/>
      <w:r w:rsidRPr="006A62B6">
        <w:rPr>
          <w:lang w:val="en-US"/>
        </w:rPr>
        <w:t>hukuk</w:t>
      </w:r>
      <w:proofErr w:type="spellEnd"/>
      <w:r w:rsidRPr="006A62B6">
        <w:rPr>
          <w:lang w:val="en-US"/>
        </w:rPr>
        <w:t xml:space="preserve"> </w:t>
      </w:r>
      <w:proofErr w:type="spellStart"/>
      <w:r w:rsidRPr="006A62B6">
        <w:rPr>
          <w:lang w:val="en-US"/>
        </w:rPr>
        <w:t>eğitimi</w:t>
      </w:r>
      <w:proofErr w:type="spellEnd"/>
      <w:r w:rsidRPr="006A62B6">
        <w:rPr>
          <w:lang w:val="en-US"/>
        </w:rPr>
        <w:t xml:space="preserve"> </w:t>
      </w:r>
      <w:proofErr w:type="spellStart"/>
      <w:r w:rsidRPr="006A62B6">
        <w:rPr>
          <w:lang w:val="en-US"/>
        </w:rPr>
        <w:t>baroya</w:t>
      </w:r>
      <w:proofErr w:type="spellEnd"/>
      <w:r w:rsidRPr="006A62B6">
        <w:rPr>
          <w:lang w:val="en-US"/>
        </w:rPr>
        <w:t xml:space="preserve"> </w:t>
      </w:r>
      <w:proofErr w:type="spellStart"/>
      <w:r w:rsidRPr="006A62B6">
        <w:rPr>
          <w:lang w:val="en-US"/>
        </w:rPr>
        <w:t>kabulün</w:t>
      </w:r>
      <w:proofErr w:type="spellEnd"/>
      <w:r w:rsidRPr="006A62B6">
        <w:rPr>
          <w:lang w:val="en-US"/>
        </w:rPr>
        <w:t xml:space="preserve"> </w:t>
      </w:r>
      <w:proofErr w:type="spellStart"/>
      <w:r w:rsidRPr="006A62B6">
        <w:rPr>
          <w:lang w:val="en-US"/>
        </w:rPr>
        <w:t>varsayılan</w:t>
      </w:r>
      <w:proofErr w:type="spellEnd"/>
      <w:r w:rsidRPr="006A62B6">
        <w:rPr>
          <w:lang w:val="en-US"/>
        </w:rPr>
        <w:t xml:space="preserve"> </w:t>
      </w:r>
      <w:proofErr w:type="spellStart"/>
      <w:r w:rsidRPr="006A62B6">
        <w:rPr>
          <w:lang w:val="en-US"/>
        </w:rPr>
        <w:t>yolu</w:t>
      </w:r>
      <w:proofErr w:type="spellEnd"/>
      <w:r w:rsidRPr="006A62B6">
        <w:rPr>
          <w:lang w:val="en-US"/>
        </w:rPr>
        <w:t xml:space="preserve"> </w:t>
      </w:r>
      <w:proofErr w:type="spellStart"/>
      <w:r w:rsidRPr="006A62B6">
        <w:rPr>
          <w:lang w:val="en-US"/>
        </w:rPr>
        <w:t>haline</w:t>
      </w:r>
      <w:proofErr w:type="spellEnd"/>
      <w:r w:rsidRPr="006A62B6">
        <w:rPr>
          <w:lang w:val="en-US"/>
        </w:rPr>
        <w:t xml:space="preserve"> </w:t>
      </w:r>
      <w:proofErr w:type="spellStart"/>
      <w:r w:rsidRPr="006A62B6">
        <w:rPr>
          <w:lang w:val="en-US"/>
        </w:rPr>
        <w:t>geldikten</w:t>
      </w:r>
      <w:proofErr w:type="spellEnd"/>
      <w:r w:rsidRPr="006A62B6">
        <w:rPr>
          <w:lang w:val="en-US"/>
        </w:rPr>
        <w:t xml:space="preserve"> </w:t>
      </w:r>
      <w:proofErr w:type="spellStart"/>
      <w:r w:rsidRPr="006A62B6">
        <w:rPr>
          <w:lang w:val="en-US"/>
        </w:rPr>
        <w:t>sonraki</w:t>
      </w:r>
      <w:proofErr w:type="spellEnd"/>
      <w:r w:rsidRPr="006A62B6">
        <w:rPr>
          <w:lang w:val="en-US"/>
        </w:rPr>
        <w:t xml:space="preserve"> on </w:t>
      </w:r>
      <w:proofErr w:type="spellStart"/>
      <w:r w:rsidRPr="006A62B6">
        <w:rPr>
          <w:lang w:val="en-US"/>
        </w:rPr>
        <w:t>yıllar</w:t>
      </w:r>
      <w:proofErr w:type="spellEnd"/>
      <w:r w:rsidRPr="006A62B6">
        <w:rPr>
          <w:lang w:val="en-US"/>
        </w:rPr>
        <w:t xml:space="preserve"> da </w:t>
      </w:r>
      <w:proofErr w:type="spellStart"/>
      <w:r w:rsidRPr="006A62B6">
        <w:rPr>
          <w:lang w:val="en-US"/>
        </w:rPr>
        <w:t>dâhil</w:t>
      </w:r>
      <w:proofErr w:type="spellEnd"/>
      <w:r w:rsidRPr="006A62B6">
        <w:rPr>
          <w:lang w:val="en-US"/>
        </w:rPr>
        <w:t xml:space="preserve"> </w:t>
      </w:r>
      <w:proofErr w:type="spellStart"/>
      <w:r w:rsidRPr="006A62B6">
        <w:rPr>
          <w:lang w:val="en-US"/>
        </w:rPr>
        <w:t>olmak</w:t>
      </w:r>
      <w:proofErr w:type="spellEnd"/>
      <w:r w:rsidRPr="006A62B6">
        <w:rPr>
          <w:lang w:val="en-US"/>
        </w:rPr>
        <w:t xml:space="preserve"> </w:t>
      </w:r>
      <w:proofErr w:type="spellStart"/>
      <w:r w:rsidRPr="006A62B6">
        <w:rPr>
          <w:lang w:val="en-US"/>
        </w:rPr>
        <w:t>üzere</w:t>
      </w:r>
      <w:proofErr w:type="spellEnd"/>
      <w:r w:rsidRPr="006A62B6">
        <w:rPr>
          <w:lang w:val="en-US"/>
        </w:rPr>
        <w:t xml:space="preserve">) </w:t>
      </w:r>
      <w:proofErr w:type="spellStart"/>
      <w:r w:rsidRPr="006A62B6">
        <w:rPr>
          <w:lang w:val="en-US"/>
        </w:rPr>
        <w:t>hiç</w:t>
      </w:r>
      <w:proofErr w:type="spellEnd"/>
      <w:r w:rsidRPr="006A62B6">
        <w:rPr>
          <w:lang w:val="en-US"/>
        </w:rPr>
        <w:t xml:space="preserve"> </w:t>
      </w:r>
      <w:proofErr w:type="spellStart"/>
      <w:r w:rsidRPr="006A62B6">
        <w:rPr>
          <w:lang w:val="en-US"/>
        </w:rPr>
        <w:t>hukuk</w:t>
      </w:r>
      <w:proofErr w:type="spellEnd"/>
      <w:r w:rsidRPr="006A62B6">
        <w:rPr>
          <w:lang w:val="en-US"/>
        </w:rPr>
        <w:t xml:space="preserve"> </w:t>
      </w:r>
      <w:proofErr w:type="spellStart"/>
      <w:r w:rsidRPr="006A62B6">
        <w:rPr>
          <w:lang w:val="en-US"/>
        </w:rPr>
        <w:t>fakültesine</w:t>
      </w:r>
      <w:proofErr w:type="spellEnd"/>
      <w:r w:rsidRPr="006A62B6">
        <w:rPr>
          <w:lang w:val="en-US"/>
        </w:rPr>
        <w:t xml:space="preserve"> gitmemiştir.³¹ </w:t>
      </w:r>
      <w:r w:rsidR="009F15C9">
        <w:rPr>
          <w:rStyle w:val="FootnoteReference"/>
          <w:lang w:val="en-US"/>
        </w:rPr>
        <w:footnoteReference w:id="31"/>
      </w:r>
      <w:proofErr w:type="spellStart"/>
      <w:r w:rsidRPr="006A62B6">
        <w:rPr>
          <w:lang w:val="en-US"/>
        </w:rPr>
        <w:t>Bazıları</w:t>
      </w:r>
      <w:proofErr w:type="spellEnd"/>
      <w:r w:rsidRPr="006A62B6">
        <w:rPr>
          <w:lang w:val="en-US"/>
        </w:rPr>
        <w:t xml:space="preserve"> </w:t>
      </w:r>
      <w:proofErr w:type="spellStart"/>
      <w:r w:rsidRPr="006A62B6">
        <w:rPr>
          <w:lang w:val="en-US"/>
        </w:rPr>
        <w:t>neredeyse</w:t>
      </w:r>
      <w:proofErr w:type="spellEnd"/>
      <w:r w:rsidRPr="006A62B6">
        <w:rPr>
          <w:lang w:val="en-US"/>
        </w:rPr>
        <w:t xml:space="preserve"> </w:t>
      </w:r>
      <w:proofErr w:type="spellStart"/>
      <w:r w:rsidRPr="006A62B6">
        <w:rPr>
          <w:lang w:val="en-US"/>
        </w:rPr>
        <w:t>hiç</w:t>
      </w:r>
      <w:proofErr w:type="spellEnd"/>
      <w:r w:rsidRPr="006A62B6">
        <w:rPr>
          <w:lang w:val="en-US"/>
        </w:rPr>
        <w:t xml:space="preserve"> </w:t>
      </w:r>
      <w:proofErr w:type="spellStart"/>
      <w:r w:rsidRPr="006A62B6">
        <w:rPr>
          <w:lang w:val="en-US"/>
        </w:rPr>
        <w:t>avukatlık</w:t>
      </w:r>
      <w:proofErr w:type="spellEnd"/>
      <w:r w:rsidRPr="006A62B6">
        <w:rPr>
          <w:lang w:val="en-US"/>
        </w:rPr>
        <w:t xml:space="preserve"> </w:t>
      </w:r>
      <w:proofErr w:type="spellStart"/>
      <w:r w:rsidRPr="006A62B6">
        <w:rPr>
          <w:lang w:val="en-US"/>
        </w:rPr>
        <w:t>deneyimine</w:t>
      </w:r>
      <w:proofErr w:type="spellEnd"/>
      <w:r w:rsidRPr="006A62B6">
        <w:rPr>
          <w:lang w:val="en-US"/>
        </w:rPr>
        <w:t xml:space="preserve"> </w:t>
      </w:r>
      <w:proofErr w:type="spellStart"/>
      <w:r w:rsidRPr="006A62B6">
        <w:rPr>
          <w:lang w:val="en-US"/>
        </w:rPr>
        <w:t>sahip</w:t>
      </w:r>
      <w:proofErr w:type="spellEnd"/>
      <w:r w:rsidRPr="006A62B6">
        <w:rPr>
          <w:lang w:val="en-US"/>
        </w:rPr>
        <w:t xml:space="preserve"> </w:t>
      </w:r>
      <w:proofErr w:type="spellStart"/>
      <w:r w:rsidRPr="006A62B6">
        <w:rPr>
          <w:lang w:val="en-US"/>
        </w:rPr>
        <w:t>olmazken</w:t>
      </w:r>
      <w:proofErr w:type="spellEnd"/>
      <w:r w:rsidRPr="006A62B6">
        <w:rPr>
          <w:lang w:val="en-US"/>
        </w:rPr>
        <w:t xml:space="preserve">, </w:t>
      </w:r>
      <w:proofErr w:type="spellStart"/>
      <w:r w:rsidRPr="006A62B6">
        <w:rPr>
          <w:lang w:val="en-US"/>
        </w:rPr>
        <w:t>bazıları</w:t>
      </w:r>
      <w:proofErr w:type="spellEnd"/>
      <w:r w:rsidRPr="006A62B6">
        <w:rPr>
          <w:lang w:val="en-US"/>
        </w:rPr>
        <w:t xml:space="preserve"> </w:t>
      </w:r>
      <w:proofErr w:type="spellStart"/>
      <w:r w:rsidRPr="006A62B6">
        <w:rPr>
          <w:lang w:val="en-US"/>
        </w:rPr>
        <w:t>aday</w:t>
      </w:r>
      <w:proofErr w:type="spellEnd"/>
      <w:r w:rsidRPr="006A62B6">
        <w:rPr>
          <w:lang w:val="en-US"/>
        </w:rPr>
        <w:t xml:space="preserve"> </w:t>
      </w:r>
      <w:proofErr w:type="spellStart"/>
      <w:r w:rsidRPr="006A62B6">
        <w:rPr>
          <w:lang w:val="en-US"/>
        </w:rPr>
        <w:t>gösterilmeden</w:t>
      </w:r>
      <w:proofErr w:type="spellEnd"/>
      <w:r w:rsidRPr="006A62B6">
        <w:rPr>
          <w:lang w:val="en-US"/>
        </w:rPr>
        <w:t xml:space="preserve"> </w:t>
      </w:r>
      <w:proofErr w:type="spellStart"/>
      <w:r w:rsidRPr="006A62B6">
        <w:rPr>
          <w:lang w:val="en-US"/>
        </w:rPr>
        <w:t>önce</w:t>
      </w:r>
      <w:proofErr w:type="spellEnd"/>
      <w:r w:rsidRPr="006A62B6">
        <w:rPr>
          <w:lang w:val="en-US"/>
        </w:rPr>
        <w:t xml:space="preserve"> </w:t>
      </w:r>
      <w:proofErr w:type="spellStart"/>
      <w:r w:rsidRPr="006A62B6">
        <w:rPr>
          <w:lang w:val="en-US"/>
        </w:rPr>
        <w:t>uzun</w:t>
      </w:r>
      <w:proofErr w:type="spellEnd"/>
      <w:r w:rsidRPr="006A62B6">
        <w:rPr>
          <w:lang w:val="en-US"/>
        </w:rPr>
        <w:t xml:space="preserve"> </w:t>
      </w:r>
      <w:proofErr w:type="spellStart"/>
      <w:r w:rsidRPr="006A62B6">
        <w:rPr>
          <w:lang w:val="en-US"/>
        </w:rPr>
        <w:t>yıllar</w:t>
      </w:r>
      <w:proofErr w:type="spellEnd"/>
      <w:r w:rsidRPr="006A62B6">
        <w:rPr>
          <w:lang w:val="en-US"/>
        </w:rPr>
        <w:t xml:space="preserve"> </w:t>
      </w:r>
      <w:proofErr w:type="spellStart"/>
      <w:r w:rsidRPr="006A62B6">
        <w:rPr>
          <w:lang w:val="en-US"/>
        </w:rPr>
        <w:t>boyunca</w:t>
      </w:r>
      <w:proofErr w:type="spellEnd"/>
      <w:r w:rsidRPr="006A62B6">
        <w:rPr>
          <w:lang w:val="en-US"/>
        </w:rPr>
        <w:t xml:space="preserve"> </w:t>
      </w:r>
      <w:proofErr w:type="spellStart"/>
      <w:r w:rsidRPr="006A62B6">
        <w:rPr>
          <w:lang w:val="en-US"/>
        </w:rPr>
        <w:t>ülkenin</w:t>
      </w:r>
      <w:proofErr w:type="spellEnd"/>
      <w:r w:rsidRPr="006A62B6">
        <w:rPr>
          <w:lang w:val="en-US"/>
        </w:rPr>
        <w:t xml:space="preserve"> </w:t>
      </w:r>
      <w:proofErr w:type="spellStart"/>
      <w:r w:rsidRPr="006A62B6">
        <w:rPr>
          <w:lang w:val="en-US"/>
        </w:rPr>
        <w:t>önde</w:t>
      </w:r>
      <w:proofErr w:type="spellEnd"/>
      <w:r w:rsidRPr="006A62B6">
        <w:rPr>
          <w:lang w:val="en-US"/>
        </w:rPr>
        <w:t xml:space="preserve"> </w:t>
      </w:r>
      <w:proofErr w:type="spellStart"/>
      <w:r w:rsidRPr="006A62B6">
        <w:rPr>
          <w:lang w:val="en-US"/>
        </w:rPr>
        <w:t>gelen</w:t>
      </w:r>
      <w:proofErr w:type="spellEnd"/>
      <w:r w:rsidRPr="006A62B6">
        <w:rPr>
          <w:lang w:val="en-US"/>
        </w:rPr>
        <w:t xml:space="preserve"> </w:t>
      </w:r>
      <w:proofErr w:type="spellStart"/>
      <w:r w:rsidRPr="006A62B6">
        <w:rPr>
          <w:lang w:val="en-US"/>
        </w:rPr>
        <w:t>avukatları</w:t>
      </w:r>
      <w:proofErr w:type="spellEnd"/>
      <w:r w:rsidRPr="006A62B6">
        <w:rPr>
          <w:lang w:val="en-US"/>
        </w:rPr>
        <w:t xml:space="preserve"> </w:t>
      </w:r>
      <w:proofErr w:type="spellStart"/>
      <w:r w:rsidRPr="006A62B6">
        <w:rPr>
          <w:lang w:val="en-US"/>
        </w:rPr>
        <w:t>arasında</w:t>
      </w:r>
      <w:proofErr w:type="spellEnd"/>
      <w:r w:rsidRPr="006A62B6">
        <w:rPr>
          <w:lang w:val="en-US"/>
        </w:rPr>
        <w:t xml:space="preserve"> </w:t>
      </w:r>
      <w:proofErr w:type="spellStart"/>
      <w:r w:rsidRPr="006A62B6">
        <w:rPr>
          <w:lang w:val="en-US"/>
        </w:rPr>
        <w:t>yer</w:t>
      </w:r>
      <w:proofErr w:type="spellEnd"/>
      <w:r w:rsidRPr="006A62B6">
        <w:rPr>
          <w:lang w:val="en-US"/>
        </w:rPr>
        <w:t xml:space="preserve"> </w:t>
      </w:r>
      <w:proofErr w:type="spellStart"/>
      <w:r w:rsidRPr="006A62B6">
        <w:rPr>
          <w:lang w:val="en-US"/>
        </w:rPr>
        <w:t>almıştır</w:t>
      </w:r>
      <w:proofErr w:type="spellEnd"/>
      <w:r w:rsidRPr="006A62B6">
        <w:rPr>
          <w:lang w:val="en-US"/>
        </w:rPr>
        <w:t>.</w:t>
      </w:r>
    </w:p>
    <w:p w14:paraId="67B22BD6" w14:textId="24C1F695" w:rsidR="009F15C9" w:rsidRDefault="009F15C9" w:rsidP="009F15C9">
      <w:pPr>
        <w:rPr>
          <w:lang w:val="en-US"/>
        </w:rPr>
      </w:pPr>
      <w:r w:rsidRPr="009F15C9">
        <w:rPr>
          <w:lang w:val="en-US"/>
        </w:rPr>
        <w:t xml:space="preserve">Son </w:t>
      </w:r>
      <w:proofErr w:type="spellStart"/>
      <w:r w:rsidRPr="009F15C9">
        <w:rPr>
          <w:lang w:val="en-US"/>
        </w:rPr>
        <w:t>birkaç</w:t>
      </w:r>
      <w:proofErr w:type="spellEnd"/>
      <w:r w:rsidRPr="009F15C9">
        <w:rPr>
          <w:lang w:val="en-US"/>
        </w:rPr>
        <w:t xml:space="preserve"> on </w:t>
      </w:r>
      <w:proofErr w:type="spellStart"/>
      <w:r w:rsidRPr="009F15C9">
        <w:rPr>
          <w:lang w:val="en-US"/>
        </w:rPr>
        <w:t>yılda</w:t>
      </w:r>
      <w:proofErr w:type="spellEnd"/>
      <w:r w:rsidRPr="009F15C9">
        <w:rPr>
          <w:lang w:val="en-US"/>
        </w:rPr>
        <w:t xml:space="preserve">, Yüksek </w:t>
      </w:r>
      <w:proofErr w:type="spellStart"/>
      <w:r w:rsidRPr="009F15C9">
        <w:rPr>
          <w:lang w:val="en-US"/>
        </w:rPr>
        <w:t>Mahkeme'ye</w:t>
      </w:r>
      <w:proofErr w:type="spellEnd"/>
      <w:r w:rsidRPr="009F15C9">
        <w:rPr>
          <w:lang w:val="en-US"/>
        </w:rPr>
        <w:t xml:space="preserve"> (Supreme Court) </w:t>
      </w:r>
      <w:proofErr w:type="spellStart"/>
      <w:r w:rsidRPr="009F15C9">
        <w:rPr>
          <w:lang w:val="en-US"/>
        </w:rPr>
        <w:t>giden</w:t>
      </w:r>
      <w:proofErr w:type="spellEnd"/>
      <w:r w:rsidRPr="009F15C9">
        <w:rPr>
          <w:lang w:val="en-US"/>
        </w:rPr>
        <w:t xml:space="preserve"> </w:t>
      </w:r>
      <w:proofErr w:type="spellStart"/>
      <w:r w:rsidRPr="009F15C9">
        <w:rPr>
          <w:lang w:val="en-US"/>
        </w:rPr>
        <w:t>neredeyse</w:t>
      </w:r>
      <w:proofErr w:type="spellEnd"/>
      <w:r w:rsidRPr="009F15C9">
        <w:rPr>
          <w:lang w:val="en-US"/>
        </w:rPr>
        <w:t xml:space="preserve"> </w:t>
      </w:r>
      <w:proofErr w:type="spellStart"/>
      <w:r w:rsidRPr="009F15C9">
        <w:rPr>
          <w:lang w:val="en-US"/>
        </w:rPr>
        <w:t>komik</w:t>
      </w:r>
      <w:proofErr w:type="spellEnd"/>
      <w:r w:rsidRPr="009F15C9">
        <w:rPr>
          <w:lang w:val="en-US"/>
        </w:rPr>
        <w:t xml:space="preserve"> </w:t>
      </w:r>
      <w:proofErr w:type="spellStart"/>
      <w:r w:rsidRPr="009F15C9">
        <w:rPr>
          <w:lang w:val="en-US"/>
        </w:rPr>
        <w:t>derecede</w:t>
      </w:r>
      <w:proofErr w:type="spellEnd"/>
      <w:r w:rsidRPr="009F15C9">
        <w:rPr>
          <w:lang w:val="en-US"/>
        </w:rPr>
        <w:t xml:space="preserve"> </w:t>
      </w:r>
      <w:proofErr w:type="spellStart"/>
      <w:r w:rsidRPr="009F15C9">
        <w:rPr>
          <w:lang w:val="en-US"/>
        </w:rPr>
        <w:t>dar</w:t>
      </w:r>
      <w:proofErr w:type="spellEnd"/>
      <w:r w:rsidRPr="009F15C9">
        <w:rPr>
          <w:lang w:val="en-US"/>
        </w:rPr>
        <w:t xml:space="preserve"> </w:t>
      </w:r>
      <w:proofErr w:type="spellStart"/>
      <w:r w:rsidRPr="009F15C9">
        <w:rPr>
          <w:lang w:val="en-US"/>
        </w:rPr>
        <w:t>bir</w:t>
      </w:r>
      <w:proofErr w:type="spellEnd"/>
      <w:r w:rsidRPr="009F15C9">
        <w:rPr>
          <w:lang w:val="en-US"/>
        </w:rPr>
        <w:t xml:space="preserve"> </w:t>
      </w:r>
      <w:proofErr w:type="spellStart"/>
      <w:r w:rsidRPr="009F15C9">
        <w:rPr>
          <w:lang w:val="en-US"/>
        </w:rPr>
        <w:t>yol</w:t>
      </w:r>
      <w:proofErr w:type="spellEnd"/>
      <w:r w:rsidRPr="009F15C9">
        <w:rPr>
          <w:lang w:val="en-US"/>
        </w:rPr>
        <w:t xml:space="preserve"> </w:t>
      </w:r>
      <w:proofErr w:type="spellStart"/>
      <w:r w:rsidRPr="009F15C9">
        <w:rPr>
          <w:lang w:val="en-US"/>
        </w:rPr>
        <w:t>benimsemiş</w:t>
      </w:r>
      <w:proofErr w:type="spellEnd"/>
      <w:r w:rsidRPr="009F15C9">
        <w:rPr>
          <w:lang w:val="en-US"/>
        </w:rPr>
        <w:t xml:space="preserve"> </w:t>
      </w:r>
      <w:proofErr w:type="spellStart"/>
      <w:r w:rsidRPr="009F15C9">
        <w:rPr>
          <w:lang w:val="en-US"/>
        </w:rPr>
        <w:t>bulunmaktayız</w:t>
      </w:r>
      <w:proofErr w:type="spellEnd"/>
      <w:r w:rsidRPr="009F15C9">
        <w:rPr>
          <w:lang w:val="en-US"/>
        </w:rPr>
        <w:t xml:space="preserve">. Buna </w:t>
      </w:r>
      <w:proofErr w:type="spellStart"/>
      <w:r w:rsidRPr="009F15C9">
        <w:rPr>
          <w:lang w:val="en-US"/>
        </w:rPr>
        <w:t>göre</w:t>
      </w:r>
      <w:proofErr w:type="spellEnd"/>
      <w:r w:rsidRPr="009F15C9">
        <w:rPr>
          <w:lang w:val="en-US"/>
        </w:rPr>
        <w:t xml:space="preserve">, </w:t>
      </w:r>
      <w:proofErr w:type="spellStart"/>
      <w:r w:rsidRPr="009F15C9">
        <w:rPr>
          <w:lang w:val="en-US"/>
        </w:rPr>
        <w:t>geleceğin</w:t>
      </w:r>
      <w:proofErr w:type="spellEnd"/>
      <w:r w:rsidRPr="009F15C9">
        <w:rPr>
          <w:lang w:val="en-US"/>
        </w:rPr>
        <w:t xml:space="preserve"> </w:t>
      </w:r>
      <w:proofErr w:type="spellStart"/>
      <w:r w:rsidRPr="009F15C9">
        <w:rPr>
          <w:lang w:val="en-US"/>
        </w:rPr>
        <w:t>bir</w:t>
      </w:r>
      <w:proofErr w:type="spellEnd"/>
      <w:r w:rsidRPr="009F15C9">
        <w:rPr>
          <w:lang w:val="en-US"/>
        </w:rPr>
        <w:t xml:space="preserve"> Yüksek </w:t>
      </w:r>
      <w:proofErr w:type="spellStart"/>
      <w:r w:rsidRPr="009F15C9">
        <w:rPr>
          <w:lang w:val="en-US"/>
        </w:rPr>
        <w:t>Mahkeme</w:t>
      </w:r>
      <w:proofErr w:type="spellEnd"/>
      <w:r w:rsidRPr="009F15C9">
        <w:rPr>
          <w:lang w:val="en-US"/>
        </w:rPr>
        <w:t xml:space="preserve"> </w:t>
      </w:r>
      <w:proofErr w:type="spellStart"/>
      <w:r w:rsidRPr="009F15C9">
        <w:rPr>
          <w:lang w:val="en-US"/>
        </w:rPr>
        <w:t>yargıcının</w:t>
      </w:r>
      <w:proofErr w:type="spellEnd"/>
      <w:r w:rsidRPr="009F15C9">
        <w:rPr>
          <w:lang w:val="en-US"/>
        </w:rPr>
        <w:t xml:space="preserve"> (Justice), </w:t>
      </w:r>
      <w:proofErr w:type="spellStart"/>
      <w:r w:rsidRPr="009F15C9">
        <w:rPr>
          <w:lang w:val="en-US"/>
        </w:rPr>
        <w:t>birkaç</w:t>
      </w:r>
      <w:proofErr w:type="spellEnd"/>
      <w:r w:rsidRPr="009F15C9">
        <w:rPr>
          <w:lang w:val="en-US"/>
        </w:rPr>
        <w:t xml:space="preserve"> </w:t>
      </w:r>
      <w:proofErr w:type="spellStart"/>
      <w:r w:rsidRPr="009F15C9">
        <w:rPr>
          <w:lang w:val="en-US"/>
        </w:rPr>
        <w:t>süper-elit</w:t>
      </w:r>
      <w:proofErr w:type="spellEnd"/>
      <w:r w:rsidRPr="009F15C9">
        <w:rPr>
          <w:lang w:val="en-US"/>
        </w:rPr>
        <w:t xml:space="preserve"> </w:t>
      </w:r>
      <w:proofErr w:type="spellStart"/>
      <w:r w:rsidRPr="009F15C9">
        <w:rPr>
          <w:lang w:val="en-US"/>
        </w:rPr>
        <w:t>okuldan</w:t>
      </w:r>
      <w:proofErr w:type="spellEnd"/>
      <w:r w:rsidRPr="009F15C9">
        <w:rPr>
          <w:lang w:val="en-US"/>
        </w:rPr>
        <w:t xml:space="preserve"> </w:t>
      </w:r>
      <w:proofErr w:type="spellStart"/>
      <w:r w:rsidRPr="009F15C9">
        <w:rPr>
          <w:lang w:val="en-US"/>
        </w:rPr>
        <w:t>birine</w:t>
      </w:r>
      <w:proofErr w:type="spellEnd"/>
      <w:r w:rsidRPr="009F15C9">
        <w:rPr>
          <w:lang w:val="en-US"/>
        </w:rPr>
        <w:t xml:space="preserve"> </w:t>
      </w:r>
      <w:proofErr w:type="spellStart"/>
      <w:r w:rsidRPr="009F15C9">
        <w:rPr>
          <w:lang w:val="en-US"/>
        </w:rPr>
        <w:t>gitmesi</w:t>
      </w:r>
      <w:proofErr w:type="spellEnd"/>
      <w:r w:rsidRPr="009F15C9">
        <w:rPr>
          <w:lang w:val="en-US"/>
        </w:rPr>
        <w:t xml:space="preserve">, </w:t>
      </w:r>
      <w:proofErr w:type="spellStart"/>
      <w:r w:rsidRPr="009F15C9">
        <w:rPr>
          <w:lang w:val="en-US"/>
        </w:rPr>
        <w:t>sınıfında</w:t>
      </w:r>
      <w:proofErr w:type="spellEnd"/>
      <w:r w:rsidRPr="009F15C9">
        <w:rPr>
          <w:lang w:val="en-US"/>
        </w:rPr>
        <w:t xml:space="preserve"> </w:t>
      </w:r>
      <w:proofErr w:type="spellStart"/>
      <w:r w:rsidRPr="009F15C9">
        <w:rPr>
          <w:lang w:val="en-US"/>
        </w:rPr>
        <w:t>üst</w:t>
      </w:r>
      <w:proofErr w:type="spellEnd"/>
      <w:r w:rsidRPr="009F15C9">
        <w:rPr>
          <w:lang w:val="en-US"/>
        </w:rPr>
        <w:t xml:space="preserve"> </w:t>
      </w:r>
      <w:proofErr w:type="spellStart"/>
      <w:r w:rsidRPr="009F15C9">
        <w:rPr>
          <w:lang w:val="en-US"/>
        </w:rPr>
        <w:t>sıralarda</w:t>
      </w:r>
      <w:proofErr w:type="spellEnd"/>
      <w:r w:rsidRPr="009F15C9">
        <w:rPr>
          <w:lang w:val="en-US"/>
        </w:rPr>
        <w:t xml:space="preserve"> </w:t>
      </w:r>
      <w:proofErr w:type="spellStart"/>
      <w:r w:rsidRPr="009F15C9">
        <w:rPr>
          <w:lang w:val="en-US"/>
        </w:rPr>
        <w:t>yer</w:t>
      </w:r>
      <w:proofErr w:type="spellEnd"/>
      <w:r w:rsidRPr="009F15C9">
        <w:rPr>
          <w:lang w:val="en-US"/>
        </w:rPr>
        <w:t xml:space="preserve"> </w:t>
      </w:r>
      <w:proofErr w:type="spellStart"/>
      <w:r w:rsidRPr="009F15C9">
        <w:rPr>
          <w:lang w:val="en-US"/>
        </w:rPr>
        <w:t>alması</w:t>
      </w:r>
      <w:proofErr w:type="spellEnd"/>
      <w:r w:rsidRPr="009F15C9">
        <w:rPr>
          <w:lang w:val="en-US"/>
        </w:rPr>
        <w:t xml:space="preserve">, </w:t>
      </w:r>
      <w:proofErr w:type="spellStart"/>
      <w:r w:rsidRPr="009F15C9">
        <w:rPr>
          <w:lang w:val="en-US"/>
        </w:rPr>
        <w:t>prestijli</w:t>
      </w:r>
      <w:proofErr w:type="spellEnd"/>
      <w:r w:rsidRPr="009F15C9">
        <w:rPr>
          <w:lang w:val="en-US"/>
        </w:rPr>
        <w:t xml:space="preserve"> </w:t>
      </w:r>
      <w:proofErr w:type="spellStart"/>
      <w:r w:rsidRPr="009F15C9">
        <w:rPr>
          <w:lang w:val="en-US"/>
        </w:rPr>
        <w:t>bir</w:t>
      </w:r>
      <w:proofErr w:type="spellEnd"/>
      <w:r w:rsidRPr="009F15C9">
        <w:rPr>
          <w:lang w:val="en-US"/>
        </w:rPr>
        <w:t xml:space="preserve"> </w:t>
      </w:r>
      <w:proofErr w:type="spellStart"/>
      <w:r w:rsidRPr="009F15C9">
        <w:rPr>
          <w:lang w:val="en-US"/>
        </w:rPr>
        <w:t>yargıç</w:t>
      </w:r>
      <w:proofErr w:type="spellEnd"/>
      <w:r w:rsidRPr="009F15C9">
        <w:rPr>
          <w:lang w:val="en-US"/>
        </w:rPr>
        <w:t xml:space="preserve"> </w:t>
      </w:r>
      <w:proofErr w:type="spellStart"/>
      <w:r w:rsidRPr="009F15C9">
        <w:rPr>
          <w:lang w:val="en-US"/>
        </w:rPr>
        <w:t>veya</w:t>
      </w:r>
      <w:proofErr w:type="spellEnd"/>
      <w:r w:rsidRPr="009F15C9">
        <w:rPr>
          <w:lang w:val="en-US"/>
        </w:rPr>
        <w:t xml:space="preserve"> Yüksek </w:t>
      </w:r>
      <w:proofErr w:type="spellStart"/>
      <w:r w:rsidRPr="009F15C9">
        <w:rPr>
          <w:lang w:val="en-US"/>
        </w:rPr>
        <w:t>Mahkeme</w:t>
      </w:r>
      <w:proofErr w:type="spellEnd"/>
      <w:r w:rsidRPr="009F15C9">
        <w:rPr>
          <w:lang w:val="en-US"/>
        </w:rPr>
        <w:t xml:space="preserve"> </w:t>
      </w:r>
      <w:proofErr w:type="spellStart"/>
      <w:r w:rsidRPr="009F15C9">
        <w:rPr>
          <w:lang w:val="en-US"/>
        </w:rPr>
        <w:t>yargıcı</w:t>
      </w:r>
      <w:proofErr w:type="spellEnd"/>
      <w:r w:rsidRPr="009F15C9">
        <w:rPr>
          <w:lang w:val="en-US"/>
        </w:rPr>
        <w:t xml:space="preserve"> </w:t>
      </w:r>
      <w:proofErr w:type="spellStart"/>
      <w:r w:rsidRPr="009F15C9">
        <w:rPr>
          <w:lang w:val="en-US"/>
        </w:rPr>
        <w:t>yanında</w:t>
      </w:r>
      <w:proofErr w:type="spellEnd"/>
      <w:r w:rsidRPr="009F15C9">
        <w:rPr>
          <w:lang w:val="en-US"/>
        </w:rPr>
        <w:t xml:space="preserve"> </w:t>
      </w:r>
      <w:proofErr w:type="spellStart"/>
      <w:r w:rsidRPr="009F15C9">
        <w:rPr>
          <w:lang w:val="en-US"/>
        </w:rPr>
        <w:t>katiplik</w:t>
      </w:r>
      <w:proofErr w:type="spellEnd"/>
      <w:r w:rsidRPr="009F15C9">
        <w:rPr>
          <w:lang w:val="en-US"/>
        </w:rPr>
        <w:t xml:space="preserve"> (clerkship) </w:t>
      </w:r>
      <w:proofErr w:type="spellStart"/>
      <w:r w:rsidRPr="009F15C9">
        <w:rPr>
          <w:lang w:val="en-US"/>
        </w:rPr>
        <w:t>yapması</w:t>
      </w:r>
      <w:proofErr w:type="spellEnd"/>
      <w:r w:rsidRPr="009F15C9">
        <w:rPr>
          <w:lang w:val="en-US"/>
        </w:rPr>
        <w:t xml:space="preserve">, </w:t>
      </w:r>
      <w:proofErr w:type="spellStart"/>
      <w:r w:rsidRPr="009F15C9">
        <w:rPr>
          <w:lang w:val="en-US"/>
        </w:rPr>
        <w:t>büyük</w:t>
      </w:r>
      <w:proofErr w:type="spellEnd"/>
      <w:r w:rsidRPr="009F15C9">
        <w:rPr>
          <w:lang w:val="en-US"/>
        </w:rPr>
        <w:t xml:space="preserve"> </w:t>
      </w:r>
      <w:proofErr w:type="spellStart"/>
      <w:r w:rsidRPr="009F15C9">
        <w:rPr>
          <w:lang w:val="en-US"/>
        </w:rPr>
        <w:t>siyasi</w:t>
      </w:r>
      <w:proofErr w:type="spellEnd"/>
      <w:r w:rsidRPr="009F15C9">
        <w:rPr>
          <w:lang w:val="en-US"/>
        </w:rPr>
        <w:t xml:space="preserve"> </w:t>
      </w:r>
      <w:proofErr w:type="spellStart"/>
      <w:r w:rsidRPr="009F15C9">
        <w:rPr>
          <w:lang w:val="en-US"/>
        </w:rPr>
        <w:t>partilerden</w:t>
      </w:r>
      <w:proofErr w:type="spellEnd"/>
      <w:r w:rsidRPr="009F15C9">
        <w:rPr>
          <w:lang w:val="en-US"/>
        </w:rPr>
        <w:t xml:space="preserve"> </w:t>
      </w:r>
      <w:proofErr w:type="spellStart"/>
      <w:r w:rsidRPr="009F15C9">
        <w:rPr>
          <w:lang w:val="en-US"/>
        </w:rPr>
        <w:t>biriyle</w:t>
      </w:r>
      <w:proofErr w:type="spellEnd"/>
      <w:r w:rsidRPr="009F15C9">
        <w:rPr>
          <w:lang w:val="en-US"/>
        </w:rPr>
        <w:t xml:space="preserve"> </w:t>
      </w:r>
      <w:proofErr w:type="spellStart"/>
      <w:r w:rsidRPr="009F15C9">
        <w:rPr>
          <w:lang w:val="en-US"/>
        </w:rPr>
        <w:t>bağlantı</w:t>
      </w:r>
      <w:proofErr w:type="spellEnd"/>
      <w:r w:rsidRPr="009F15C9">
        <w:rPr>
          <w:lang w:val="en-US"/>
        </w:rPr>
        <w:t xml:space="preserve"> </w:t>
      </w:r>
      <w:proofErr w:type="spellStart"/>
      <w:r w:rsidRPr="009F15C9">
        <w:rPr>
          <w:lang w:val="en-US"/>
        </w:rPr>
        <w:t>kurması</w:t>
      </w:r>
      <w:proofErr w:type="spellEnd"/>
      <w:r w:rsidRPr="009F15C9">
        <w:rPr>
          <w:lang w:val="en-US"/>
        </w:rPr>
        <w:t xml:space="preserve">, </w:t>
      </w:r>
      <w:proofErr w:type="spellStart"/>
      <w:r w:rsidRPr="009F15C9">
        <w:rPr>
          <w:lang w:val="en-US"/>
        </w:rPr>
        <w:t>akademide</w:t>
      </w:r>
      <w:proofErr w:type="spellEnd"/>
      <w:r w:rsidRPr="009F15C9">
        <w:rPr>
          <w:lang w:val="en-US"/>
        </w:rPr>
        <w:t xml:space="preserve">, </w:t>
      </w:r>
      <w:proofErr w:type="spellStart"/>
      <w:r w:rsidRPr="009F15C9">
        <w:rPr>
          <w:lang w:val="en-US"/>
        </w:rPr>
        <w:t>kamu</w:t>
      </w:r>
      <w:proofErr w:type="spellEnd"/>
      <w:r w:rsidRPr="009F15C9">
        <w:rPr>
          <w:lang w:val="en-US"/>
        </w:rPr>
        <w:t xml:space="preserve"> </w:t>
      </w:r>
      <w:proofErr w:type="spellStart"/>
      <w:r w:rsidRPr="009F15C9">
        <w:rPr>
          <w:lang w:val="en-US"/>
        </w:rPr>
        <w:t>hizmetinde</w:t>
      </w:r>
      <w:proofErr w:type="spellEnd"/>
      <w:r w:rsidRPr="009F15C9">
        <w:rPr>
          <w:lang w:val="en-US"/>
        </w:rPr>
        <w:t xml:space="preserve"> </w:t>
      </w:r>
      <w:proofErr w:type="spellStart"/>
      <w:r w:rsidRPr="009F15C9">
        <w:rPr>
          <w:lang w:val="en-US"/>
        </w:rPr>
        <w:t>veya</w:t>
      </w:r>
      <w:proofErr w:type="spellEnd"/>
      <w:r w:rsidRPr="009F15C9">
        <w:rPr>
          <w:lang w:val="en-US"/>
        </w:rPr>
        <w:t xml:space="preserve"> </w:t>
      </w:r>
      <w:proofErr w:type="spellStart"/>
      <w:r w:rsidRPr="009F15C9">
        <w:rPr>
          <w:lang w:val="en-US"/>
        </w:rPr>
        <w:t>gerekirse</w:t>
      </w:r>
      <w:proofErr w:type="spellEnd"/>
      <w:r w:rsidRPr="009F15C9">
        <w:rPr>
          <w:lang w:val="en-US"/>
        </w:rPr>
        <w:t xml:space="preserve"> </w:t>
      </w:r>
      <w:proofErr w:type="spellStart"/>
      <w:r w:rsidRPr="009F15C9">
        <w:rPr>
          <w:lang w:val="en-US"/>
        </w:rPr>
        <w:t>özel</w:t>
      </w:r>
      <w:proofErr w:type="spellEnd"/>
      <w:r w:rsidRPr="009F15C9">
        <w:rPr>
          <w:lang w:val="en-US"/>
        </w:rPr>
        <w:t xml:space="preserve"> </w:t>
      </w:r>
      <w:proofErr w:type="spellStart"/>
      <w:r w:rsidRPr="009F15C9">
        <w:rPr>
          <w:lang w:val="en-US"/>
        </w:rPr>
        <w:t>uygulamada</w:t>
      </w:r>
      <w:proofErr w:type="spellEnd"/>
      <w:r w:rsidRPr="009F15C9">
        <w:rPr>
          <w:lang w:val="en-US"/>
        </w:rPr>
        <w:t xml:space="preserve"> </w:t>
      </w:r>
      <w:proofErr w:type="spellStart"/>
      <w:r w:rsidRPr="009F15C9">
        <w:rPr>
          <w:lang w:val="en-US"/>
        </w:rPr>
        <w:t>makul</w:t>
      </w:r>
      <w:proofErr w:type="spellEnd"/>
      <w:r w:rsidRPr="009F15C9">
        <w:rPr>
          <w:lang w:val="en-US"/>
        </w:rPr>
        <w:t xml:space="preserve"> </w:t>
      </w:r>
      <w:proofErr w:type="spellStart"/>
      <w:r w:rsidRPr="009F15C9">
        <w:rPr>
          <w:lang w:val="en-US"/>
        </w:rPr>
        <w:t>fakat</w:t>
      </w:r>
      <w:proofErr w:type="spellEnd"/>
      <w:r w:rsidRPr="009F15C9">
        <w:rPr>
          <w:lang w:val="en-US"/>
        </w:rPr>
        <w:t xml:space="preserve"> </w:t>
      </w:r>
      <w:proofErr w:type="spellStart"/>
      <w:r w:rsidRPr="009F15C9">
        <w:rPr>
          <w:lang w:val="en-US"/>
        </w:rPr>
        <w:t>aşırıya</w:t>
      </w:r>
      <w:proofErr w:type="spellEnd"/>
      <w:r w:rsidRPr="009F15C9">
        <w:rPr>
          <w:lang w:val="en-US"/>
        </w:rPr>
        <w:t xml:space="preserve"> </w:t>
      </w:r>
      <w:proofErr w:type="spellStart"/>
      <w:r w:rsidRPr="009F15C9">
        <w:rPr>
          <w:lang w:val="en-US"/>
        </w:rPr>
        <w:t>kaçmayan</w:t>
      </w:r>
      <w:proofErr w:type="spellEnd"/>
      <w:r w:rsidRPr="009F15C9">
        <w:rPr>
          <w:lang w:val="en-US"/>
        </w:rPr>
        <w:t xml:space="preserve"> </w:t>
      </w:r>
      <w:proofErr w:type="spellStart"/>
      <w:r w:rsidRPr="009F15C9">
        <w:rPr>
          <w:lang w:val="en-US"/>
        </w:rPr>
        <w:t>bir</w:t>
      </w:r>
      <w:proofErr w:type="spellEnd"/>
      <w:r w:rsidRPr="009F15C9">
        <w:rPr>
          <w:lang w:val="en-US"/>
        </w:rPr>
        <w:t xml:space="preserve"> </w:t>
      </w:r>
      <w:proofErr w:type="spellStart"/>
      <w:r w:rsidRPr="009F15C9">
        <w:rPr>
          <w:lang w:val="en-US"/>
        </w:rPr>
        <w:t>deneyim</w:t>
      </w:r>
      <w:proofErr w:type="spellEnd"/>
      <w:r w:rsidRPr="009F15C9">
        <w:rPr>
          <w:lang w:val="en-US"/>
        </w:rPr>
        <w:t xml:space="preserve"> </w:t>
      </w:r>
      <w:proofErr w:type="spellStart"/>
      <w:r w:rsidRPr="009F15C9">
        <w:rPr>
          <w:lang w:val="en-US"/>
        </w:rPr>
        <w:t>edinmesi</w:t>
      </w:r>
      <w:proofErr w:type="spellEnd"/>
      <w:r w:rsidRPr="009F15C9">
        <w:rPr>
          <w:lang w:val="en-US"/>
        </w:rPr>
        <w:t xml:space="preserve"> </w:t>
      </w:r>
      <w:proofErr w:type="spellStart"/>
      <w:r w:rsidRPr="009F15C9">
        <w:rPr>
          <w:lang w:val="en-US"/>
        </w:rPr>
        <w:t>ve</w:t>
      </w:r>
      <w:proofErr w:type="spellEnd"/>
      <w:r w:rsidRPr="009F15C9">
        <w:rPr>
          <w:lang w:val="en-US"/>
        </w:rPr>
        <w:t xml:space="preserve"> federal </w:t>
      </w:r>
      <w:proofErr w:type="spellStart"/>
      <w:r w:rsidRPr="009F15C9">
        <w:rPr>
          <w:lang w:val="en-US"/>
        </w:rPr>
        <w:t>bir</w:t>
      </w:r>
      <w:proofErr w:type="spellEnd"/>
      <w:r w:rsidRPr="009F15C9">
        <w:rPr>
          <w:lang w:val="en-US"/>
        </w:rPr>
        <w:t xml:space="preserve"> </w:t>
      </w:r>
      <w:proofErr w:type="spellStart"/>
      <w:r w:rsidRPr="009F15C9">
        <w:rPr>
          <w:lang w:val="en-US"/>
        </w:rPr>
        <w:t>temyiz</w:t>
      </w:r>
      <w:proofErr w:type="spellEnd"/>
      <w:r w:rsidRPr="009F15C9">
        <w:rPr>
          <w:lang w:val="en-US"/>
        </w:rPr>
        <w:t xml:space="preserve"> </w:t>
      </w:r>
      <w:proofErr w:type="spellStart"/>
      <w:r w:rsidRPr="009F15C9">
        <w:rPr>
          <w:lang w:val="en-US"/>
        </w:rPr>
        <w:t>mahkemesinde</w:t>
      </w:r>
      <w:proofErr w:type="spellEnd"/>
      <w:r w:rsidRPr="009F15C9">
        <w:rPr>
          <w:lang w:val="en-US"/>
        </w:rPr>
        <w:t xml:space="preserve"> (federal court of appeals) — ne </w:t>
      </w:r>
      <w:proofErr w:type="spellStart"/>
      <w:r w:rsidRPr="009F15C9">
        <w:rPr>
          <w:lang w:val="en-US"/>
        </w:rPr>
        <w:t>kadar</w:t>
      </w:r>
      <w:proofErr w:type="spellEnd"/>
      <w:r w:rsidRPr="009F15C9">
        <w:rPr>
          <w:lang w:val="en-US"/>
        </w:rPr>
        <w:t xml:space="preserve"> </w:t>
      </w:r>
      <w:proofErr w:type="spellStart"/>
      <w:r w:rsidRPr="009F15C9">
        <w:rPr>
          <w:lang w:val="en-US"/>
        </w:rPr>
        <w:t>kısa</w:t>
      </w:r>
      <w:proofErr w:type="spellEnd"/>
      <w:r w:rsidRPr="009F15C9">
        <w:rPr>
          <w:lang w:val="en-US"/>
        </w:rPr>
        <w:t xml:space="preserve"> </w:t>
      </w:r>
      <w:proofErr w:type="spellStart"/>
      <w:r w:rsidRPr="009F15C9">
        <w:rPr>
          <w:lang w:val="en-US"/>
        </w:rPr>
        <w:t>süreyle</w:t>
      </w:r>
      <w:proofErr w:type="spellEnd"/>
      <w:r w:rsidRPr="009F15C9">
        <w:rPr>
          <w:lang w:val="en-US"/>
        </w:rPr>
        <w:t xml:space="preserve"> </w:t>
      </w:r>
      <w:proofErr w:type="spellStart"/>
      <w:r w:rsidRPr="009F15C9">
        <w:rPr>
          <w:lang w:val="en-US"/>
        </w:rPr>
        <w:t>olursa</w:t>
      </w:r>
      <w:proofErr w:type="spellEnd"/>
      <w:r w:rsidRPr="009F15C9">
        <w:rPr>
          <w:lang w:val="en-US"/>
        </w:rPr>
        <w:t xml:space="preserve"> </w:t>
      </w:r>
      <w:proofErr w:type="spellStart"/>
      <w:r w:rsidRPr="009F15C9">
        <w:rPr>
          <w:lang w:val="en-US"/>
        </w:rPr>
        <w:t>olsun</w:t>
      </w:r>
      <w:proofErr w:type="spellEnd"/>
      <w:r w:rsidRPr="009F15C9">
        <w:rPr>
          <w:lang w:val="en-US"/>
        </w:rPr>
        <w:t xml:space="preserve"> — </w:t>
      </w:r>
      <w:proofErr w:type="spellStart"/>
      <w:r w:rsidRPr="009F15C9">
        <w:rPr>
          <w:lang w:val="en-US"/>
        </w:rPr>
        <w:t>görev</w:t>
      </w:r>
      <w:proofErr w:type="spellEnd"/>
      <w:r w:rsidRPr="009F15C9">
        <w:rPr>
          <w:lang w:val="en-US"/>
        </w:rPr>
        <w:t xml:space="preserve"> </w:t>
      </w:r>
      <w:proofErr w:type="spellStart"/>
      <w:r w:rsidRPr="009F15C9">
        <w:rPr>
          <w:lang w:val="en-US"/>
        </w:rPr>
        <w:t>yapması</w:t>
      </w:r>
      <w:proofErr w:type="spellEnd"/>
      <w:r w:rsidRPr="009F15C9">
        <w:rPr>
          <w:lang w:val="en-US"/>
        </w:rPr>
        <w:t xml:space="preserve"> gerekmektedir.³²</w:t>
      </w:r>
      <w:r>
        <w:rPr>
          <w:lang w:val="en-US"/>
        </w:rPr>
        <w:t xml:space="preserve"> </w:t>
      </w:r>
      <w:r>
        <w:rPr>
          <w:rStyle w:val="FootnoteReference"/>
          <w:lang w:val="en-US"/>
        </w:rPr>
        <w:footnoteReference w:id="32"/>
      </w:r>
      <w:r w:rsidRPr="009F15C9">
        <w:rPr>
          <w:lang w:val="en-US"/>
        </w:rPr>
        <w:t xml:space="preserve"> </w:t>
      </w:r>
      <w:proofErr w:type="spellStart"/>
      <w:r w:rsidRPr="009F15C9">
        <w:rPr>
          <w:lang w:val="en-US"/>
        </w:rPr>
        <w:t>Ancak</w:t>
      </w:r>
      <w:proofErr w:type="spellEnd"/>
      <w:r w:rsidRPr="009F15C9">
        <w:rPr>
          <w:lang w:val="en-US"/>
        </w:rPr>
        <w:t xml:space="preserve">, </w:t>
      </w:r>
      <w:proofErr w:type="spellStart"/>
      <w:r w:rsidRPr="009F15C9">
        <w:rPr>
          <w:lang w:val="en-US"/>
        </w:rPr>
        <w:t>bu</w:t>
      </w:r>
      <w:proofErr w:type="spellEnd"/>
      <w:r w:rsidRPr="009F15C9">
        <w:rPr>
          <w:lang w:val="en-US"/>
        </w:rPr>
        <w:t xml:space="preserve"> </w:t>
      </w:r>
      <w:proofErr w:type="spellStart"/>
      <w:r w:rsidRPr="009F15C9">
        <w:rPr>
          <w:lang w:val="en-US"/>
        </w:rPr>
        <w:t>normlar</w:t>
      </w:r>
      <w:proofErr w:type="spellEnd"/>
      <w:r w:rsidRPr="009F15C9">
        <w:rPr>
          <w:lang w:val="en-US"/>
        </w:rPr>
        <w:t xml:space="preserve"> </w:t>
      </w:r>
      <w:proofErr w:type="spellStart"/>
      <w:r w:rsidRPr="009F15C9">
        <w:rPr>
          <w:lang w:val="en-US"/>
        </w:rPr>
        <w:t>neredeyse</w:t>
      </w:r>
      <w:proofErr w:type="spellEnd"/>
      <w:r w:rsidRPr="009F15C9">
        <w:rPr>
          <w:lang w:val="en-US"/>
        </w:rPr>
        <w:t xml:space="preserve"> </w:t>
      </w:r>
      <w:proofErr w:type="spellStart"/>
      <w:r w:rsidRPr="009F15C9">
        <w:rPr>
          <w:lang w:val="en-US"/>
        </w:rPr>
        <w:t>tamamen</w:t>
      </w:r>
      <w:proofErr w:type="spellEnd"/>
      <w:r w:rsidRPr="009F15C9">
        <w:rPr>
          <w:lang w:val="en-US"/>
        </w:rPr>
        <w:t xml:space="preserve"> son </w:t>
      </w:r>
      <w:proofErr w:type="spellStart"/>
      <w:r w:rsidRPr="009F15C9">
        <w:rPr>
          <w:lang w:val="en-US"/>
        </w:rPr>
        <w:t>kırk</w:t>
      </w:r>
      <w:proofErr w:type="spellEnd"/>
      <w:r w:rsidRPr="009F15C9">
        <w:rPr>
          <w:lang w:val="en-US"/>
        </w:rPr>
        <w:t xml:space="preserve"> </w:t>
      </w:r>
      <w:proofErr w:type="spellStart"/>
      <w:r w:rsidRPr="009F15C9">
        <w:rPr>
          <w:lang w:val="en-US"/>
        </w:rPr>
        <w:t>ila</w:t>
      </w:r>
      <w:proofErr w:type="spellEnd"/>
      <w:r w:rsidRPr="009F15C9">
        <w:rPr>
          <w:lang w:val="en-US"/>
        </w:rPr>
        <w:t xml:space="preserve"> </w:t>
      </w:r>
      <w:proofErr w:type="spellStart"/>
      <w:r w:rsidRPr="009F15C9">
        <w:rPr>
          <w:lang w:val="en-US"/>
        </w:rPr>
        <w:t>elli</w:t>
      </w:r>
      <w:proofErr w:type="spellEnd"/>
      <w:r w:rsidRPr="009F15C9">
        <w:rPr>
          <w:lang w:val="en-US"/>
        </w:rPr>
        <w:t xml:space="preserve"> </w:t>
      </w:r>
      <w:proofErr w:type="spellStart"/>
      <w:r w:rsidRPr="009F15C9">
        <w:rPr>
          <w:lang w:val="en-US"/>
        </w:rPr>
        <w:t>yılın</w:t>
      </w:r>
      <w:proofErr w:type="spellEnd"/>
      <w:r w:rsidRPr="009F15C9">
        <w:rPr>
          <w:lang w:val="en-US"/>
        </w:rPr>
        <w:t xml:space="preserve"> </w:t>
      </w:r>
      <w:proofErr w:type="spellStart"/>
      <w:r w:rsidRPr="009F15C9">
        <w:rPr>
          <w:lang w:val="en-US"/>
        </w:rPr>
        <w:t>bir</w:t>
      </w:r>
      <w:proofErr w:type="spellEnd"/>
      <w:r w:rsidRPr="009F15C9">
        <w:rPr>
          <w:lang w:val="en-US"/>
        </w:rPr>
        <w:t xml:space="preserve"> </w:t>
      </w:r>
      <w:proofErr w:type="spellStart"/>
      <w:r w:rsidRPr="009F15C9">
        <w:rPr>
          <w:lang w:val="en-US"/>
        </w:rPr>
        <w:t>ürünüdür</w:t>
      </w:r>
      <w:proofErr w:type="spellEnd"/>
      <w:r w:rsidRPr="009F15C9">
        <w:rPr>
          <w:lang w:val="en-US"/>
        </w:rPr>
        <w:t>.</w:t>
      </w:r>
      <w:r>
        <w:rPr>
          <w:lang w:val="en-US"/>
        </w:rPr>
        <w:t xml:space="preserve"> </w:t>
      </w:r>
      <w:proofErr w:type="spellStart"/>
      <w:r w:rsidRPr="009F15C9">
        <w:rPr>
          <w:lang w:val="en-US"/>
        </w:rPr>
        <w:t>Diğer</w:t>
      </w:r>
      <w:proofErr w:type="spellEnd"/>
      <w:r w:rsidRPr="009F15C9">
        <w:rPr>
          <w:lang w:val="en-US"/>
        </w:rPr>
        <w:t xml:space="preserve"> </w:t>
      </w:r>
      <w:proofErr w:type="spellStart"/>
      <w:r w:rsidRPr="009F15C9">
        <w:rPr>
          <w:lang w:val="en-US"/>
        </w:rPr>
        <w:t>akademisyenlerin</w:t>
      </w:r>
      <w:proofErr w:type="spellEnd"/>
      <w:r w:rsidRPr="009F15C9">
        <w:rPr>
          <w:lang w:val="en-US"/>
        </w:rPr>
        <w:t xml:space="preserve"> de </w:t>
      </w:r>
      <w:proofErr w:type="spellStart"/>
      <w:r w:rsidRPr="009F15C9">
        <w:rPr>
          <w:lang w:val="en-US"/>
        </w:rPr>
        <w:t>belirttiği</w:t>
      </w:r>
      <w:proofErr w:type="spellEnd"/>
      <w:r w:rsidRPr="009F15C9">
        <w:rPr>
          <w:lang w:val="en-US"/>
        </w:rPr>
        <w:t xml:space="preserve"> gibi,³³</w:t>
      </w:r>
      <w:r>
        <w:rPr>
          <w:lang w:val="en-US"/>
        </w:rPr>
        <w:t xml:space="preserve"> </w:t>
      </w:r>
      <w:r>
        <w:rPr>
          <w:rStyle w:val="FootnoteReference"/>
          <w:lang w:val="en-US"/>
        </w:rPr>
        <w:footnoteReference w:id="33"/>
      </w:r>
      <w:r w:rsidRPr="009F15C9">
        <w:rPr>
          <w:lang w:val="en-US"/>
        </w:rPr>
        <w:t xml:space="preserve"> Başkan </w:t>
      </w:r>
      <w:r w:rsidRPr="009F15C9">
        <w:rPr>
          <w:lang w:val="en-US"/>
        </w:rPr>
        <w:lastRenderedPageBreak/>
        <w:t xml:space="preserve">Dwight Eisenhower, federal </w:t>
      </w:r>
      <w:proofErr w:type="spellStart"/>
      <w:r w:rsidRPr="009F15C9">
        <w:rPr>
          <w:lang w:val="en-US"/>
        </w:rPr>
        <w:t>temyiz</w:t>
      </w:r>
      <w:proofErr w:type="spellEnd"/>
      <w:r w:rsidRPr="009F15C9">
        <w:rPr>
          <w:lang w:val="en-US"/>
        </w:rPr>
        <w:t xml:space="preserve"> </w:t>
      </w:r>
      <w:proofErr w:type="spellStart"/>
      <w:r w:rsidRPr="009F15C9">
        <w:rPr>
          <w:lang w:val="en-US"/>
        </w:rPr>
        <w:t>mahkemesi</w:t>
      </w:r>
      <w:proofErr w:type="spellEnd"/>
      <w:r w:rsidRPr="009F15C9">
        <w:rPr>
          <w:lang w:val="en-US"/>
        </w:rPr>
        <w:t xml:space="preserve"> </w:t>
      </w:r>
      <w:proofErr w:type="spellStart"/>
      <w:r w:rsidRPr="009F15C9">
        <w:rPr>
          <w:lang w:val="en-US"/>
        </w:rPr>
        <w:t>yargıcı</w:t>
      </w:r>
      <w:proofErr w:type="spellEnd"/>
      <w:r w:rsidRPr="009F15C9">
        <w:rPr>
          <w:lang w:val="en-US"/>
        </w:rPr>
        <w:t xml:space="preserve"> (federal appeals court judge) </w:t>
      </w:r>
      <w:proofErr w:type="spellStart"/>
      <w:r w:rsidRPr="009F15C9">
        <w:rPr>
          <w:lang w:val="en-US"/>
        </w:rPr>
        <w:t>olarak</w:t>
      </w:r>
      <w:proofErr w:type="spellEnd"/>
      <w:r w:rsidRPr="009F15C9">
        <w:rPr>
          <w:lang w:val="en-US"/>
        </w:rPr>
        <w:t xml:space="preserve"> </w:t>
      </w:r>
      <w:proofErr w:type="spellStart"/>
      <w:r w:rsidRPr="009F15C9">
        <w:rPr>
          <w:lang w:val="en-US"/>
        </w:rPr>
        <w:t>daha</w:t>
      </w:r>
      <w:proofErr w:type="spellEnd"/>
      <w:r w:rsidRPr="009F15C9">
        <w:rPr>
          <w:lang w:val="en-US"/>
        </w:rPr>
        <w:t xml:space="preserve"> </w:t>
      </w:r>
      <w:proofErr w:type="spellStart"/>
      <w:r w:rsidRPr="009F15C9">
        <w:rPr>
          <w:lang w:val="en-US"/>
        </w:rPr>
        <w:t>önce</w:t>
      </w:r>
      <w:proofErr w:type="spellEnd"/>
      <w:r w:rsidRPr="009F15C9">
        <w:rPr>
          <w:lang w:val="en-US"/>
        </w:rPr>
        <w:t xml:space="preserve"> </w:t>
      </w:r>
      <w:proofErr w:type="spellStart"/>
      <w:r w:rsidRPr="009F15C9">
        <w:rPr>
          <w:lang w:val="en-US"/>
        </w:rPr>
        <w:t>deneyimi</w:t>
      </w:r>
      <w:proofErr w:type="spellEnd"/>
      <w:r w:rsidRPr="009F15C9">
        <w:rPr>
          <w:lang w:val="en-US"/>
        </w:rPr>
        <w:t xml:space="preserve"> </w:t>
      </w:r>
      <w:proofErr w:type="spellStart"/>
      <w:r w:rsidRPr="009F15C9">
        <w:rPr>
          <w:lang w:val="en-US"/>
        </w:rPr>
        <w:t>olan</w:t>
      </w:r>
      <w:proofErr w:type="spellEnd"/>
      <w:r w:rsidRPr="009F15C9">
        <w:rPr>
          <w:lang w:val="en-US"/>
        </w:rPr>
        <w:t xml:space="preserve"> </w:t>
      </w:r>
      <w:proofErr w:type="spellStart"/>
      <w:r w:rsidRPr="009F15C9">
        <w:rPr>
          <w:lang w:val="en-US"/>
        </w:rPr>
        <w:t>adaylara</w:t>
      </w:r>
      <w:proofErr w:type="spellEnd"/>
      <w:r w:rsidRPr="009F15C9">
        <w:rPr>
          <w:lang w:val="en-US"/>
        </w:rPr>
        <w:t xml:space="preserve"> </w:t>
      </w:r>
      <w:proofErr w:type="spellStart"/>
      <w:r w:rsidRPr="009F15C9">
        <w:rPr>
          <w:lang w:val="en-US"/>
        </w:rPr>
        <w:t>yönelik</w:t>
      </w:r>
      <w:proofErr w:type="spellEnd"/>
      <w:r w:rsidRPr="009F15C9">
        <w:rPr>
          <w:lang w:val="en-US"/>
        </w:rPr>
        <w:t xml:space="preserve"> </w:t>
      </w:r>
      <w:proofErr w:type="spellStart"/>
      <w:r w:rsidRPr="009F15C9">
        <w:rPr>
          <w:lang w:val="en-US"/>
        </w:rPr>
        <w:t>bir</w:t>
      </w:r>
      <w:proofErr w:type="spellEnd"/>
      <w:r w:rsidRPr="009F15C9">
        <w:rPr>
          <w:lang w:val="en-US"/>
        </w:rPr>
        <w:t xml:space="preserve"> </w:t>
      </w:r>
      <w:proofErr w:type="spellStart"/>
      <w:r w:rsidRPr="009F15C9">
        <w:rPr>
          <w:lang w:val="en-US"/>
        </w:rPr>
        <w:t>tercih</w:t>
      </w:r>
      <w:proofErr w:type="spellEnd"/>
      <w:r w:rsidRPr="009F15C9">
        <w:rPr>
          <w:lang w:val="en-US"/>
        </w:rPr>
        <w:t xml:space="preserve"> </w:t>
      </w:r>
      <w:proofErr w:type="spellStart"/>
      <w:r w:rsidRPr="009F15C9">
        <w:rPr>
          <w:lang w:val="en-US"/>
        </w:rPr>
        <w:t>belirten</w:t>
      </w:r>
      <w:proofErr w:type="spellEnd"/>
      <w:r w:rsidRPr="009F15C9">
        <w:rPr>
          <w:lang w:val="en-US"/>
        </w:rPr>
        <w:t xml:space="preserve"> ilk </w:t>
      </w:r>
      <w:proofErr w:type="spellStart"/>
      <w:r w:rsidRPr="009F15C9">
        <w:rPr>
          <w:lang w:val="en-US"/>
        </w:rPr>
        <w:t>başkan</w:t>
      </w:r>
      <w:proofErr w:type="spellEnd"/>
      <w:r w:rsidRPr="009F15C9">
        <w:rPr>
          <w:lang w:val="en-US"/>
        </w:rPr>
        <w:t xml:space="preserve"> </w:t>
      </w:r>
      <w:proofErr w:type="spellStart"/>
      <w:r w:rsidRPr="009F15C9">
        <w:rPr>
          <w:lang w:val="en-US"/>
        </w:rPr>
        <w:t>olmuştur</w:t>
      </w:r>
      <w:proofErr w:type="spellEnd"/>
      <w:r w:rsidRPr="009F15C9">
        <w:rPr>
          <w:lang w:val="en-US"/>
        </w:rPr>
        <w:t xml:space="preserve">. Ondan </w:t>
      </w:r>
      <w:proofErr w:type="spellStart"/>
      <w:r w:rsidRPr="009F15C9">
        <w:rPr>
          <w:lang w:val="en-US"/>
        </w:rPr>
        <w:t>önceki</w:t>
      </w:r>
      <w:proofErr w:type="spellEnd"/>
      <w:r w:rsidRPr="009F15C9">
        <w:rPr>
          <w:lang w:val="en-US"/>
        </w:rPr>
        <w:t xml:space="preserve"> </w:t>
      </w:r>
      <w:proofErr w:type="spellStart"/>
      <w:r w:rsidRPr="009F15C9">
        <w:rPr>
          <w:lang w:val="en-US"/>
        </w:rPr>
        <w:t>başkanlar</w:t>
      </w:r>
      <w:proofErr w:type="spellEnd"/>
      <w:r w:rsidRPr="009F15C9">
        <w:rPr>
          <w:lang w:val="en-US"/>
        </w:rPr>
        <w:t xml:space="preserve"> </w:t>
      </w:r>
      <w:proofErr w:type="spellStart"/>
      <w:r w:rsidRPr="009F15C9">
        <w:rPr>
          <w:lang w:val="en-US"/>
        </w:rPr>
        <w:t>ve</w:t>
      </w:r>
      <w:proofErr w:type="spellEnd"/>
      <w:r w:rsidRPr="009F15C9">
        <w:rPr>
          <w:lang w:val="en-US"/>
        </w:rPr>
        <w:t xml:space="preserve"> </w:t>
      </w:r>
      <w:proofErr w:type="spellStart"/>
      <w:r w:rsidRPr="009F15C9">
        <w:rPr>
          <w:lang w:val="en-US"/>
        </w:rPr>
        <w:t>hatta</w:t>
      </w:r>
      <w:proofErr w:type="spellEnd"/>
      <w:r w:rsidRPr="009F15C9">
        <w:rPr>
          <w:lang w:val="en-US"/>
        </w:rPr>
        <w:t xml:space="preserve"> </w:t>
      </w:r>
      <w:proofErr w:type="spellStart"/>
      <w:r w:rsidRPr="009F15C9">
        <w:rPr>
          <w:lang w:val="en-US"/>
        </w:rPr>
        <w:t>kendisinden</w:t>
      </w:r>
      <w:proofErr w:type="spellEnd"/>
      <w:r w:rsidRPr="009F15C9">
        <w:rPr>
          <w:lang w:val="en-US"/>
        </w:rPr>
        <w:t xml:space="preserve"> </w:t>
      </w:r>
      <w:proofErr w:type="spellStart"/>
      <w:r w:rsidRPr="009F15C9">
        <w:rPr>
          <w:lang w:val="en-US"/>
        </w:rPr>
        <w:t>sonraki</w:t>
      </w:r>
      <w:proofErr w:type="spellEnd"/>
      <w:r w:rsidRPr="009F15C9">
        <w:rPr>
          <w:lang w:val="en-US"/>
        </w:rPr>
        <w:t xml:space="preserve"> </w:t>
      </w:r>
      <w:proofErr w:type="spellStart"/>
      <w:r w:rsidRPr="009F15C9">
        <w:rPr>
          <w:lang w:val="en-US"/>
        </w:rPr>
        <w:t>birkaç</w:t>
      </w:r>
      <w:proofErr w:type="spellEnd"/>
      <w:r w:rsidRPr="009F15C9">
        <w:rPr>
          <w:lang w:val="en-US"/>
        </w:rPr>
        <w:t xml:space="preserve"> </w:t>
      </w:r>
      <w:proofErr w:type="spellStart"/>
      <w:r w:rsidRPr="009F15C9">
        <w:rPr>
          <w:lang w:val="en-US"/>
        </w:rPr>
        <w:t>halefi</w:t>
      </w:r>
      <w:proofErr w:type="spellEnd"/>
      <w:r w:rsidRPr="009F15C9">
        <w:rPr>
          <w:lang w:val="en-US"/>
        </w:rPr>
        <w:t xml:space="preserve">, </w:t>
      </w:r>
      <w:proofErr w:type="spellStart"/>
      <w:r w:rsidRPr="009F15C9">
        <w:rPr>
          <w:lang w:val="en-US"/>
        </w:rPr>
        <w:t>bu</w:t>
      </w:r>
      <w:proofErr w:type="spellEnd"/>
      <w:r w:rsidRPr="009F15C9">
        <w:rPr>
          <w:lang w:val="en-US"/>
        </w:rPr>
        <w:t xml:space="preserve"> </w:t>
      </w:r>
      <w:proofErr w:type="spellStart"/>
      <w:r w:rsidRPr="009F15C9">
        <w:rPr>
          <w:lang w:val="en-US"/>
        </w:rPr>
        <w:t>niteliğe</w:t>
      </w:r>
      <w:proofErr w:type="spellEnd"/>
      <w:r w:rsidRPr="009F15C9">
        <w:rPr>
          <w:lang w:val="en-US"/>
        </w:rPr>
        <w:t xml:space="preserve"> </w:t>
      </w:r>
      <w:proofErr w:type="spellStart"/>
      <w:r w:rsidRPr="009F15C9">
        <w:rPr>
          <w:lang w:val="en-US"/>
        </w:rPr>
        <w:t>çok</w:t>
      </w:r>
      <w:proofErr w:type="spellEnd"/>
      <w:r w:rsidRPr="009F15C9">
        <w:rPr>
          <w:lang w:val="en-US"/>
        </w:rPr>
        <w:t xml:space="preserve"> </w:t>
      </w:r>
      <w:proofErr w:type="spellStart"/>
      <w:r w:rsidRPr="009F15C9">
        <w:rPr>
          <w:lang w:val="en-US"/>
        </w:rPr>
        <w:t>az</w:t>
      </w:r>
      <w:proofErr w:type="spellEnd"/>
      <w:r w:rsidRPr="009F15C9">
        <w:rPr>
          <w:lang w:val="en-US"/>
        </w:rPr>
        <w:t xml:space="preserve"> </w:t>
      </w:r>
      <w:proofErr w:type="spellStart"/>
      <w:r w:rsidRPr="009F15C9">
        <w:rPr>
          <w:lang w:val="en-US"/>
        </w:rPr>
        <w:t>önem</w:t>
      </w:r>
      <w:proofErr w:type="spellEnd"/>
      <w:r w:rsidRPr="009F15C9">
        <w:rPr>
          <w:lang w:val="en-US"/>
        </w:rPr>
        <w:t xml:space="preserve"> </w:t>
      </w:r>
      <w:proofErr w:type="spellStart"/>
      <w:r w:rsidRPr="009F15C9">
        <w:rPr>
          <w:lang w:val="en-US"/>
        </w:rPr>
        <w:t>vermiş</w:t>
      </w:r>
      <w:proofErr w:type="spellEnd"/>
      <w:r w:rsidRPr="009F15C9">
        <w:rPr>
          <w:lang w:val="en-US"/>
        </w:rPr>
        <w:t xml:space="preserve">, </w:t>
      </w:r>
      <w:proofErr w:type="spellStart"/>
      <w:r w:rsidRPr="009F15C9">
        <w:rPr>
          <w:lang w:val="en-US"/>
        </w:rPr>
        <w:t>alternatif</w:t>
      </w:r>
      <w:proofErr w:type="spellEnd"/>
      <w:r w:rsidRPr="009F15C9">
        <w:rPr>
          <w:lang w:val="en-US"/>
        </w:rPr>
        <w:t xml:space="preserve"> </w:t>
      </w:r>
      <w:proofErr w:type="spellStart"/>
      <w:r w:rsidRPr="009F15C9">
        <w:rPr>
          <w:lang w:val="en-US"/>
        </w:rPr>
        <w:t>profiller</w:t>
      </w:r>
      <w:proofErr w:type="spellEnd"/>
      <w:r w:rsidRPr="009F15C9">
        <w:rPr>
          <w:lang w:val="en-US"/>
        </w:rPr>
        <w:t xml:space="preserve"> </w:t>
      </w:r>
      <w:proofErr w:type="spellStart"/>
      <w:r w:rsidRPr="009F15C9">
        <w:rPr>
          <w:lang w:val="en-US"/>
        </w:rPr>
        <w:t>geliştirmiş</w:t>
      </w:r>
      <w:proofErr w:type="spellEnd"/>
      <w:r w:rsidRPr="009F15C9">
        <w:rPr>
          <w:lang w:val="en-US"/>
        </w:rPr>
        <w:t xml:space="preserve"> </w:t>
      </w:r>
      <w:proofErr w:type="spellStart"/>
      <w:r w:rsidRPr="009F15C9">
        <w:rPr>
          <w:lang w:val="en-US"/>
        </w:rPr>
        <w:t>veya</w:t>
      </w:r>
      <w:proofErr w:type="spellEnd"/>
      <w:r w:rsidRPr="009F15C9">
        <w:rPr>
          <w:lang w:val="en-US"/>
        </w:rPr>
        <w:t xml:space="preserve"> </w:t>
      </w:r>
      <w:proofErr w:type="spellStart"/>
      <w:r w:rsidRPr="009F15C9">
        <w:rPr>
          <w:lang w:val="en-US"/>
        </w:rPr>
        <w:t>aday</w:t>
      </w:r>
      <w:proofErr w:type="spellEnd"/>
      <w:r w:rsidRPr="009F15C9">
        <w:rPr>
          <w:lang w:val="en-US"/>
        </w:rPr>
        <w:t xml:space="preserve"> </w:t>
      </w:r>
      <w:proofErr w:type="spellStart"/>
      <w:r w:rsidRPr="009F15C9">
        <w:rPr>
          <w:lang w:val="en-US"/>
        </w:rPr>
        <w:t>havuzlarından</w:t>
      </w:r>
      <w:proofErr w:type="spellEnd"/>
      <w:r w:rsidRPr="009F15C9">
        <w:rPr>
          <w:lang w:val="en-US"/>
        </w:rPr>
        <w:t xml:space="preserve"> </w:t>
      </w:r>
      <w:proofErr w:type="spellStart"/>
      <w:r w:rsidRPr="009F15C9">
        <w:rPr>
          <w:lang w:val="en-US"/>
        </w:rPr>
        <w:t>eklektik</w:t>
      </w:r>
      <w:proofErr w:type="spellEnd"/>
      <w:r w:rsidRPr="009F15C9">
        <w:rPr>
          <w:lang w:val="en-US"/>
        </w:rPr>
        <w:t xml:space="preserve"> </w:t>
      </w:r>
      <w:proofErr w:type="spellStart"/>
      <w:r w:rsidRPr="009F15C9">
        <w:rPr>
          <w:lang w:val="en-US"/>
        </w:rPr>
        <w:t>seçimler</w:t>
      </w:r>
      <w:proofErr w:type="spellEnd"/>
      <w:r w:rsidRPr="009F15C9">
        <w:rPr>
          <w:lang w:val="en-US"/>
        </w:rPr>
        <w:t xml:space="preserve"> yapmıştır.³⁴</w:t>
      </w:r>
      <w:r>
        <w:rPr>
          <w:lang w:val="en-US"/>
        </w:rPr>
        <w:t xml:space="preserve"> </w:t>
      </w:r>
      <w:r>
        <w:rPr>
          <w:rStyle w:val="FootnoteReference"/>
          <w:lang w:val="en-US"/>
        </w:rPr>
        <w:footnoteReference w:id="34"/>
      </w:r>
      <w:r w:rsidRPr="009F15C9">
        <w:rPr>
          <w:lang w:val="en-US"/>
        </w:rPr>
        <w:t xml:space="preserve"> </w:t>
      </w:r>
      <w:proofErr w:type="spellStart"/>
      <w:r w:rsidRPr="009F15C9">
        <w:rPr>
          <w:lang w:val="en-US"/>
        </w:rPr>
        <w:t>Yirminci</w:t>
      </w:r>
      <w:proofErr w:type="spellEnd"/>
      <w:r w:rsidRPr="009F15C9">
        <w:rPr>
          <w:lang w:val="en-US"/>
        </w:rPr>
        <w:t xml:space="preserve"> </w:t>
      </w:r>
      <w:proofErr w:type="spellStart"/>
      <w:r w:rsidRPr="009F15C9">
        <w:rPr>
          <w:lang w:val="en-US"/>
        </w:rPr>
        <w:t>yüzyılın</w:t>
      </w:r>
      <w:proofErr w:type="spellEnd"/>
      <w:r w:rsidRPr="009F15C9">
        <w:rPr>
          <w:lang w:val="en-US"/>
        </w:rPr>
        <w:t xml:space="preserve"> </w:t>
      </w:r>
      <w:proofErr w:type="spellStart"/>
      <w:r w:rsidRPr="009F15C9">
        <w:rPr>
          <w:lang w:val="en-US"/>
        </w:rPr>
        <w:t>en</w:t>
      </w:r>
      <w:proofErr w:type="spellEnd"/>
      <w:r w:rsidRPr="009F15C9">
        <w:rPr>
          <w:lang w:val="en-US"/>
        </w:rPr>
        <w:t xml:space="preserve"> </w:t>
      </w:r>
      <w:proofErr w:type="spellStart"/>
      <w:r w:rsidRPr="009F15C9">
        <w:rPr>
          <w:lang w:val="en-US"/>
        </w:rPr>
        <w:t>önemli</w:t>
      </w:r>
      <w:proofErr w:type="spellEnd"/>
      <w:r w:rsidRPr="009F15C9">
        <w:rPr>
          <w:lang w:val="en-US"/>
        </w:rPr>
        <w:t xml:space="preserve"> Yüksek </w:t>
      </w:r>
      <w:proofErr w:type="spellStart"/>
      <w:r w:rsidRPr="009F15C9">
        <w:rPr>
          <w:lang w:val="en-US"/>
        </w:rPr>
        <w:t>Mahkeme</w:t>
      </w:r>
      <w:proofErr w:type="spellEnd"/>
      <w:r w:rsidRPr="009F15C9">
        <w:rPr>
          <w:lang w:val="en-US"/>
        </w:rPr>
        <w:t xml:space="preserve"> </w:t>
      </w:r>
      <w:proofErr w:type="spellStart"/>
      <w:r w:rsidRPr="009F15C9">
        <w:rPr>
          <w:lang w:val="en-US"/>
        </w:rPr>
        <w:t>yargıçlarından</w:t>
      </w:r>
      <w:proofErr w:type="spellEnd"/>
      <w:r w:rsidRPr="009F15C9">
        <w:rPr>
          <w:lang w:val="en-US"/>
        </w:rPr>
        <w:t xml:space="preserve"> </w:t>
      </w:r>
      <w:proofErr w:type="spellStart"/>
      <w:r w:rsidRPr="009F15C9">
        <w:rPr>
          <w:lang w:val="en-US"/>
        </w:rPr>
        <w:t>birçoğu</w:t>
      </w:r>
      <w:proofErr w:type="spellEnd"/>
      <w:r w:rsidRPr="009F15C9">
        <w:rPr>
          <w:lang w:val="en-US"/>
        </w:rPr>
        <w:t xml:space="preserve">, </w:t>
      </w:r>
      <w:proofErr w:type="spellStart"/>
      <w:r w:rsidRPr="009F15C9">
        <w:rPr>
          <w:lang w:val="en-US"/>
        </w:rPr>
        <w:t>Senatör</w:t>
      </w:r>
      <w:proofErr w:type="spellEnd"/>
      <w:r w:rsidRPr="009F15C9">
        <w:rPr>
          <w:lang w:val="en-US"/>
        </w:rPr>
        <w:t xml:space="preserve"> Hugo Black </w:t>
      </w:r>
      <w:proofErr w:type="spellStart"/>
      <w:r w:rsidRPr="009F15C9">
        <w:rPr>
          <w:lang w:val="en-US"/>
        </w:rPr>
        <w:t>ve</w:t>
      </w:r>
      <w:proofErr w:type="spellEnd"/>
      <w:r w:rsidRPr="009F15C9">
        <w:rPr>
          <w:lang w:val="en-US"/>
        </w:rPr>
        <w:t xml:space="preserve"> Vali Earl Warren da </w:t>
      </w:r>
      <w:proofErr w:type="spellStart"/>
      <w:r w:rsidRPr="009F15C9">
        <w:rPr>
          <w:lang w:val="en-US"/>
        </w:rPr>
        <w:t>dâhil</w:t>
      </w:r>
      <w:proofErr w:type="spellEnd"/>
      <w:r w:rsidRPr="009F15C9">
        <w:rPr>
          <w:lang w:val="en-US"/>
        </w:rPr>
        <w:t xml:space="preserve"> </w:t>
      </w:r>
      <w:proofErr w:type="spellStart"/>
      <w:r w:rsidRPr="009F15C9">
        <w:rPr>
          <w:lang w:val="en-US"/>
        </w:rPr>
        <w:t>olmak</w:t>
      </w:r>
      <w:proofErr w:type="spellEnd"/>
      <w:r w:rsidRPr="009F15C9">
        <w:rPr>
          <w:lang w:val="en-US"/>
        </w:rPr>
        <w:t xml:space="preserve"> </w:t>
      </w:r>
      <w:proofErr w:type="spellStart"/>
      <w:r w:rsidRPr="009F15C9">
        <w:rPr>
          <w:lang w:val="en-US"/>
        </w:rPr>
        <w:t>üzere</w:t>
      </w:r>
      <w:proofErr w:type="spellEnd"/>
      <w:r w:rsidRPr="009F15C9">
        <w:rPr>
          <w:lang w:val="en-US"/>
        </w:rPr>
        <w:t xml:space="preserve">, </w:t>
      </w:r>
      <w:proofErr w:type="spellStart"/>
      <w:r w:rsidRPr="009F15C9">
        <w:rPr>
          <w:lang w:val="en-US"/>
        </w:rPr>
        <w:t>doğrudan</w:t>
      </w:r>
      <w:proofErr w:type="spellEnd"/>
      <w:r w:rsidRPr="009F15C9">
        <w:rPr>
          <w:lang w:val="en-US"/>
        </w:rPr>
        <w:t xml:space="preserve"> </w:t>
      </w:r>
      <w:proofErr w:type="spellStart"/>
      <w:r w:rsidRPr="009F15C9">
        <w:rPr>
          <w:lang w:val="en-US"/>
        </w:rPr>
        <w:t>siyasi</w:t>
      </w:r>
      <w:proofErr w:type="spellEnd"/>
      <w:r w:rsidRPr="009F15C9">
        <w:rPr>
          <w:lang w:val="en-US"/>
        </w:rPr>
        <w:t xml:space="preserve"> </w:t>
      </w:r>
      <w:proofErr w:type="spellStart"/>
      <w:r w:rsidRPr="009F15C9">
        <w:rPr>
          <w:lang w:val="en-US"/>
        </w:rPr>
        <w:t>arenadan</w:t>
      </w:r>
      <w:proofErr w:type="spellEnd"/>
      <w:r w:rsidRPr="009F15C9">
        <w:rPr>
          <w:lang w:val="en-US"/>
        </w:rPr>
        <w:t xml:space="preserve"> </w:t>
      </w:r>
      <w:proofErr w:type="spellStart"/>
      <w:r w:rsidRPr="009F15C9">
        <w:rPr>
          <w:lang w:val="en-US"/>
        </w:rPr>
        <w:t>Mahkeme'ye</w:t>
      </w:r>
      <w:proofErr w:type="spellEnd"/>
      <w:r w:rsidRPr="009F15C9">
        <w:rPr>
          <w:lang w:val="en-US"/>
        </w:rPr>
        <w:t xml:space="preserve"> </w:t>
      </w:r>
      <w:proofErr w:type="spellStart"/>
      <w:r w:rsidRPr="009F15C9">
        <w:rPr>
          <w:lang w:val="en-US"/>
        </w:rPr>
        <w:t>gelmiştir</w:t>
      </w:r>
      <w:proofErr w:type="spellEnd"/>
      <w:r w:rsidRPr="009F15C9">
        <w:rPr>
          <w:lang w:val="en-US"/>
        </w:rPr>
        <w:t xml:space="preserve">. </w:t>
      </w:r>
      <w:proofErr w:type="spellStart"/>
      <w:r w:rsidRPr="009F15C9">
        <w:rPr>
          <w:lang w:val="en-US"/>
        </w:rPr>
        <w:t>Yargıçlar</w:t>
      </w:r>
      <w:proofErr w:type="spellEnd"/>
      <w:r w:rsidRPr="009F15C9">
        <w:rPr>
          <w:lang w:val="en-US"/>
        </w:rPr>
        <w:t xml:space="preserve"> </w:t>
      </w:r>
      <w:proofErr w:type="spellStart"/>
      <w:r w:rsidRPr="009F15C9">
        <w:rPr>
          <w:lang w:val="en-US"/>
        </w:rPr>
        <w:t>çoğu</w:t>
      </w:r>
      <w:proofErr w:type="spellEnd"/>
      <w:r w:rsidRPr="009F15C9">
        <w:rPr>
          <w:lang w:val="en-US"/>
        </w:rPr>
        <w:t xml:space="preserve"> zaman </w:t>
      </w:r>
      <w:proofErr w:type="spellStart"/>
      <w:r w:rsidRPr="009F15C9">
        <w:rPr>
          <w:lang w:val="en-US"/>
        </w:rPr>
        <w:t>entelektüel</w:t>
      </w:r>
      <w:proofErr w:type="spellEnd"/>
      <w:r w:rsidRPr="009F15C9">
        <w:rPr>
          <w:lang w:val="en-US"/>
        </w:rPr>
        <w:t xml:space="preserve"> </w:t>
      </w:r>
      <w:proofErr w:type="spellStart"/>
      <w:r w:rsidRPr="009F15C9">
        <w:rPr>
          <w:lang w:val="en-US"/>
        </w:rPr>
        <w:t>ve</w:t>
      </w:r>
      <w:proofErr w:type="spellEnd"/>
      <w:r w:rsidRPr="009F15C9">
        <w:rPr>
          <w:lang w:val="en-US"/>
        </w:rPr>
        <w:t xml:space="preserve"> </w:t>
      </w:r>
      <w:proofErr w:type="spellStart"/>
      <w:r w:rsidRPr="009F15C9">
        <w:rPr>
          <w:lang w:val="en-US"/>
        </w:rPr>
        <w:t>mesleki</w:t>
      </w:r>
      <w:proofErr w:type="spellEnd"/>
      <w:r w:rsidRPr="009F15C9">
        <w:rPr>
          <w:lang w:val="en-US"/>
        </w:rPr>
        <w:t xml:space="preserve"> </w:t>
      </w:r>
      <w:proofErr w:type="spellStart"/>
      <w:r w:rsidRPr="009F15C9">
        <w:rPr>
          <w:lang w:val="en-US"/>
        </w:rPr>
        <w:t>açıdan</w:t>
      </w:r>
      <w:proofErr w:type="spellEnd"/>
      <w:r w:rsidRPr="009F15C9">
        <w:rPr>
          <w:lang w:val="en-US"/>
        </w:rPr>
        <w:t xml:space="preserve"> </w:t>
      </w:r>
      <w:proofErr w:type="spellStart"/>
      <w:r w:rsidRPr="009F15C9">
        <w:rPr>
          <w:lang w:val="en-US"/>
        </w:rPr>
        <w:t>seçkin</w:t>
      </w:r>
      <w:proofErr w:type="spellEnd"/>
      <w:r w:rsidRPr="009F15C9">
        <w:rPr>
          <w:lang w:val="en-US"/>
        </w:rPr>
        <w:t xml:space="preserve"> </w:t>
      </w:r>
      <w:proofErr w:type="spellStart"/>
      <w:r w:rsidRPr="009F15C9">
        <w:rPr>
          <w:lang w:val="en-US"/>
        </w:rPr>
        <w:t>kişiler</w:t>
      </w:r>
      <w:proofErr w:type="spellEnd"/>
      <w:r w:rsidRPr="009F15C9">
        <w:rPr>
          <w:lang w:val="en-US"/>
        </w:rPr>
        <w:t xml:space="preserve"> </w:t>
      </w:r>
      <w:proofErr w:type="spellStart"/>
      <w:r w:rsidRPr="009F15C9">
        <w:rPr>
          <w:lang w:val="en-US"/>
        </w:rPr>
        <w:t>olsa</w:t>
      </w:r>
      <w:proofErr w:type="spellEnd"/>
      <w:r w:rsidRPr="009F15C9">
        <w:rPr>
          <w:lang w:val="en-US"/>
        </w:rPr>
        <w:t xml:space="preserve"> da, </w:t>
      </w:r>
      <w:proofErr w:type="spellStart"/>
      <w:r w:rsidRPr="009F15C9">
        <w:rPr>
          <w:lang w:val="en-US"/>
        </w:rPr>
        <w:t>sahip</w:t>
      </w:r>
      <w:proofErr w:type="spellEnd"/>
      <w:r w:rsidRPr="009F15C9">
        <w:rPr>
          <w:lang w:val="en-US"/>
        </w:rPr>
        <w:t xml:space="preserve"> </w:t>
      </w:r>
      <w:proofErr w:type="spellStart"/>
      <w:r w:rsidRPr="009F15C9">
        <w:rPr>
          <w:lang w:val="en-US"/>
        </w:rPr>
        <w:t>oldukları</w:t>
      </w:r>
      <w:proofErr w:type="spellEnd"/>
      <w:r w:rsidRPr="009F15C9">
        <w:rPr>
          <w:lang w:val="en-US"/>
        </w:rPr>
        <w:t xml:space="preserve"> </w:t>
      </w:r>
      <w:proofErr w:type="spellStart"/>
      <w:r w:rsidRPr="009F15C9">
        <w:rPr>
          <w:lang w:val="en-US"/>
        </w:rPr>
        <w:t>nitelikler</w:t>
      </w:r>
      <w:proofErr w:type="spellEnd"/>
      <w:r w:rsidRPr="009F15C9">
        <w:rPr>
          <w:lang w:val="en-US"/>
        </w:rPr>
        <w:t xml:space="preserve"> </w:t>
      </w:r>
      <w:proofErr w:type="spellStart"/>
      <w:r w:rsidRPr="009F15C9">
        <w:rPr>
          <w:lang w:val="en-US"/>
        </w:rPr>
        <w:t>günümüz</w:t>
      </w:r>
      <w:proofErr w:type="spellEnd"/>
      <w:r w:rsidRPr="009F15C9">
        <w:rPr>
          <w:lang w:val="en-US"/>
        </w:rPr>
        <w:t xml:space="preserve"> </w:t>
      </w:r>
      <w:proofErr w:type="spellStart"/>
      <w:r w:rsidRPr="009F15C9">
        <w:rPr>
          <w:lang w:val="en-US"/>
        </w:rPr>
        <w:t>yargıçlarınınki</w:t>
      </w:r>
      <w:proofErr w:type="spellEnd"/>
      <w:r w:rsidRPr="009F15C9">
        <w:rPr>
          <w:lang w:val="en-US"/>
        </w:rPr>
        <w:t xml:space="preserve"> </w:t>
      </w:r>
      <w:proofErr w:type="spellStart"/>
      <w:r w:rsidRPr="009F15C9">
        <w:rPr>
          <w:lang w:val="en-US"/>
        </w:rPr>
        <w:t>kadar</w:t>
      </w:r>
      <w:proofErr w:type="spellEnd"/>
      <w:r w:rsidRPr="009F15C9">
        <w:rPr>
          <w:lang w:val="en-US"/>
        </w:rPr>
        <w:t xml:space="preserve"> </w:t>
      </w:r>
      <w:proofErr w:type="spellStart"/>
      <w:r w:rsidRPr="009F15C9">
        <w:rPr>
          <w:lang w:val="en-US"/>
        </w:rPr>
        <w:t>elit</w:t>
      </w:r>
      <w:proofErr w:type="spellEnd"/>
      <w:r w:rsidRPr="009F15C9">
        <w:rPr>
          <w:lang w:val="en-US"/>
        </w:rPr>
        <w:t xml:space="preserve"> </w:t>
      </w:r>
      <w:proofErr w:type="spellStart"/>
      <w:r w:rsidRPr="009F15C9">
        <w:rPr>
          <w:lang w:val="en-US"/>
        </w:rPr>
        <w:t>veya</w:t>
      </w:r>
      <w:proofErr w:type="spellEnd"/>
      <w:r w:rsidRPr="009F15C9">
        <w:rPr>
          <w:lang w:val="en-US"/>
        </w:rPr>
        <w:t xml:space="preserve"> </w:t>
      </w:r>
      <w:proofErr w:type="spellStart"/>
      <w:r w:rsidRPr="009F15C9">
        <w:rPr>
          <w:lang w:val="en-US"/>
        </w:rPr>
        <w:t>tekdüze</w:t>
      </w:r>
      <w:proofErr w:type="spellEnd"/>
      <w:r w:rsidRPr="009F15C9">
        <w:rPr>
          <w:lang w:val="en-US"/>
        </w:rPr>
        <w:t xml:space="preserve"> </w:t>
      </w:r>
      <w:proofErr w:type="spellStart"/>
      <w:r w:rsidRPr="009F15C9">
        <w:rPr>
          <w:lang w:val="en-US"/>
        </w:rPr>
        <w:t>değildi</w:t>
      </w:r>
      <w:proofErr w:type="spellEnd"/>
      <w:r w:rsidRPr="009F15C9">
        <w:rPr>
          <w:lang w:val="en-US"/>
        </w:rPr>
        <w:t xml:space="preserve">. </w:t>
      </w:r>
      <w:proofErr w:type="spellStart"/>
      <w:r w:rsidRPr="009F15C9">
        <w:rPr>
          <w:lang w:val="en-US"/>
        </w:rPr>
        <w:t>Örneğin</w:t>
      </w:r>
      <w:proofErr w:type="spellEnd"/>
      <w:r w:rsidRPr="009F15C9">
        <w:rPr>
          <w:lang w:val="en-US"/>
        </w:rPr>
        <w:t xml:space="preserve">, </w:t>
      </w:r>
      <w:proofErr w:type="spellStart"/>
      <w:r w:rsidRPr="009F15C9">
        <w:rPr>
          <w:lang w:val="en-US"/>
        </w:rPr>
        <w:t>kolayca</w:t>
      </w:r>
      <w:proofErr w:type="spellEnd"/>
      <w:r w:rsidRPr="009F15C9">
        <w:rPr>
          <w:lang w:val="en-US"/>
        </w:rPr>
        <w:t xml:space="preserve"> </w:t>
      </w:r>
      <w:proofErr w:type="spellStart"/>
      <w:r w:rsidRPr="009F15C9">
        <w:rPr>
          <w:lang w:val="en-US"/>
        </w:rPr>
        <w:t>verilebilecek</w:t>
      </w:r>
      <w:proofErr w:type="spellEnd"/>
      <w:r w:rsidRPr="009F15C9">
        <w:rPr>
          <w:lang w:val="en-US"/>
        </w:rPr>
        <w:t xml:space="preserve"> </w:t>
      </w:r>
      <w:proofErr w:type="spellStart"/>
      <w:r w:rsidRPr="009F15C9">
        <w:rPr>
          <w:lang w:val="en-US"/>
        </w:rPr>
        <w:t>bir</w:t>
      </w:r>
      <w:proofErr w:type="spellEnd"/>
      <w:r w:rsidRPr="009F15C9">
        <w:rPr>
          <w:lang w:val="en-US"/>
        </w:rPr>
        <w:t xml:space="preserve"> </w:t>
      </w:r>
      <w:proofErr w:type="spellStart"/>
      <w:r w:rsidRPr="009F15C9">
        <w:rPr>
          <w:lang w:val="en-US"/>
        </w:rPr>
        <w:t>örnek</w:t>
      </w:r>
      <w:proofErr w:type="spellEnd"/>
      <w:r w:rsidRPr="009F15C9">
        <w:rPr>
          <w:lang w:val="en-US"/>
        </w:rPr>
        <w:t xml:space="preserve"> </w:t>
      </w:r>
      <w:proofErr w:type="spellStart"/>
      <w:r w:rsidRPr="009F15C9">
        <w:rPr>
          <w:lang w:val="en-US"/>
        </w:rPr>
        <w:t>olarak</w:t>
      </w:r>
      <w:proofErr w:type="spellEnd"/>
      <w:r w:rsidRPr="009F15C9">
        <w:rPr>
          <w:lang w:val="en-US"/>
        </w:rPr>
        <w:t xml:space="preserve">, Baş </w:t>
      </w:r>
      <w:proofErr w:type="spellStart"/>
      <w:r w:rsidRPr="009F15C9">
        <w:rPr>
          <w:lang w:val="en-US"/>
        </w:rPr>
        <w:t>Yargıç</w:t>
      </w:r>
      <w:proofErr w:type="spellEnd"/>
      <w:r w:rsidRPr="009F15C9">
        <w:rPr>
          <w:lang w:val="en-US"/>
        </w:rPr>
        <w:t xml:space="preserve"> (Chief Justice) Warren Burger, St. Paul </w:t>
      </w:r>
      <w:proofErr w:type="spellStart"/>
      <w:r w:rsidRPr="009F15C9">
        <w:rPr>
          <w:lang w:val="en-US"/>
        </w:rPr>
        <w:t>Hukuk</w:t>
      </w:r>
      <w:proofErr w:type="spellEnd"/>
      <w:r w:rsidRPr="009F15C9">
        <w:rPr>
          <w:lang w:val="en-US"/>
        </w:rPr>
        <w:t xml:space="preserve"> </w:t>
      </w:r>
      <w:proofErr w:type="spellStart"/>
      <w:r w:rsidRPr="009F15C9">
        <w:rPr>
          <w:lang w:val="en-US"/>
        </w:rPr>
        <w:t>Fakültesi’nin</w:t>
      </w:r>
      <w:proofErr w:type="spellEnd"/>
      <w:r w:rsidRPr="009F15C9">
        <w:rPr>
          <w:lang w:val="en-US"/>
        </w:rPr>
        <w:t xml:space="preserve"> (St. Paul College of Law) </w:t>
      </w:r>
      <w:proofErr w:type="spellStart"/>
      <w:r w:rsidRPr="009F15C9">
        <w:rPr>
          <w:lang w:val="en-US"/>
        </w:rPr>
        <w:t>gece</w:t>
      </w:r>
      <w:proofErr w:type="spellEnd"/>
      <w:r w:rsidRPr="009F15C9">
        <w:rPr>
          <w:lang w:val="en-US"/>
        </w:rPr>
        <w:t xml:space="preserve"> </w:t>
      </w:r>
      <w:proofErr w:type="spellStart"/>
      <w:r w:rsidRPr="009F15C9">
        <w:rPr>
          <w:lang w:val="en-US"/>
        </w:rPr>
        <w:t>eğitim</w:t>
      </w:r>
      <w:proofErr w:type="spellEnd"/>
      <w:r w:rsidRPr="009F15C9">
        <w:rPr>
          <w:lang w:val="en-US"/>
        </w:rPr>
        <w:t xml:space="preserve"> </w:t>
      </w:r>
      <w:proofErr w:type="spellStart"/>
      <w:r w:rsidRPr="009F15C9">
        <w:rPr>
          <w:lang w:val="en-US"/>
        </w:rPr>
        <w:t>programından</w:t>
      </w:r>
      <w:proofErr w:type="spellEnd"/>
      <w:r w:rsidRPr="009F15C9">
        <w:rPr>
          <w:lang w:val="en-US"/>
        </w:rPr>
        <w:t xml:space="preserve"> (</w:t>
      </w:r>
      <w:proofErr w:type="spellStart"/>
      <w:r w:rsidRPr="009F15C9">
        <w:rPr>
          <w:lang w:val="en-US"/>
        </w:rPr>
        <w:t>şu</w:t>
      </w:r>
      <w:proofErr w:type="spellEnd"/>
      <w:r w:rsidRPr="009F15C9">
        <w:rPr>
          <w:lang w:val="en-US"/>
        </w:rPr>
        <w:t xml:space="preserve"> </w:t>
      </w:r>
      <w:proofErr w:type="spellStart"/>
      <w:r w:rsidRPr="009F15C9">
        <w:rPr>
          <w:lang w:val="en-US"/>
        </w:rPr>
        <w:t>anki</w:t>
      </w:r>
      <w:proofErr w:type="spellEnd"/>
      <w:r w:rsidRPr="009F15C9">
        <w:rPr>
          <w:lang w:val="en-US"/>
        </w:rPr>
        <w:t xml:space="preserve"> </w:t>
      </w:r>
      <w:proofErr w:type="spellStart"/>
      <w:r w:rsidRPr="009F15C9">
        <w:rPr>
          <w:lang w:val="en-US"/>
        </w:rPr>
        <w:t>adıyla</w:t>
      </w:r>
      <w:proofErr w:type="spellEnd"/>
      <w:r w:rsidRPr="009F15C9">
        <w:rPr>
          <w:lang w:val="en-US"/>
        </w:rPr>
        <w:t xml:space="preserve"> Hamline Mitchell School of Law) </w:t>
      </w:r>
      <w:proofErr w:type="spellStart"/>
      <w:r w:rsidRPr="009F15C9">
        <w:rPr>
          <w:lang w:val="en-US"/>
        </w:rPr>
        <w:t>mezun</w:t>
      </w:r>
      <w:proofErr w:type="spellEnd"/>
      <w:r w:rsidRPr="009F15C9">
        <w:rPr>
          <w:lang w:val="en-US"/>
        </w:rPr>
        <w:t xml:space="preserve"> olmuştur.³⁵</w:t>
      </w:r>
      <w:r>
        <w:rPr>
          <w:lang w:val="en-US"/>
        </w:rPr>
        <w:t xml:space="preserve"> </w:t>
      </w:r>
      <w:r>
        <w:rPr>
          <w:rStyle w:val="FootnoteReference"/>
          <w:lang w:val="en-US"/>
        </w:rPr>
        <w:footnoteReference w:id="35"/>
      </w:r>
      <w:r>
        <w:rPr>
          <w:lang w:val="en-US"/>
        </w:rPr>
        <w:t xml:space="preserve"> [11-12]</w:t>
      </w:r>
    </w:p>
    <w:p w14:paraId="09B303C0" w14:textId="5241158E" w:rsidR="009F15C9" w:rsidRPr="006A62B6" w:rsidRDefault="00653741" w:rsidP="00653741">
      <w:pPr>
        <w:rPr>
          <w:lang w:val="en-US"/>
        </w:rPr>
      </w:pPr>
      <w:r w:rsidRPr="00653741">
        <w:rPr>
          <w:lang w:val="en-US"/>
        </w:rPr>
        <w:t xml:space="preserve">Yüksek </w:t>
      </w:r>
      <w:proofErr w:type="spellStart"/>
      <w:r w:rsidRPr="00653741">
        <w:rPr>
          <w:lang w:val="en-US"/>
        </w:rPr>
        <w:t>Mahkeme</w:t>
      </w:r>
      <w:proofErr w:type="spellEnd"/>
      <w:r w:rsidRPr="00653741">
        <w:rPr>
          <w:lang w:val="en-US"/>
        </w:rPr>
        <w:t xml:space="preserve"> </w:t>
      </w:r>
      <w:proofErr w:type="spellStart"/>
      <w:r w:rsidRPr="00653741">
        <w:rPr>
          <w:lang w:val="en-US"/>
        </w:rPr>
        <w:t>adaylarının</w:t>
      </w:r>
      <w:proofErr w:type="spellEnd"/>
      <w:r w:rsidRPr="00653741">
        <w:rPr>
          <w:lang w:val="en-US"/>
        </w:rPr>
        <w:t xml:space="preserve"> </w:t>
      </w:r>
      <w:proofErr w:type="spellStart"/>
      <w:r w:rsidRPr="00653741">
        <w:rPr>
          <w:lang w:val="en-US"/>
        </w:rPr>
        <w:t>artık</w:t>
      </w:r>
      <w:proofErr w:type="spellEnd"/>
      <w:r w:rsidRPr="00653741">
        <w:rPr>
          <w:lang w:val="en-US"/>
        </w:rPr>
        <w:t xml:space="preserve"> </w:t>
      </w:r>
      <w:proofErr w:type="spellStart"/>
      <w:r w:rsidRPr="00653741">
        <w:rPr>
          <w:lang w:val="en-US"/>
        </w:rPr>
        <w:t>deneyimli</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Temyiz</w:t>
      </w:r>
      <w:proofErr w:type="spellEnd"/>
      <w:r w:rsidRPr="00653741">
        <w:rPr>
          <w:lang w:val="en-US"/>
        </w:rPr>
        <w:t xml:space="preserve"> </w:t>
      </w:r>
      <w:proofErr w:type="spellStart"/>
      <w:r w:rsidRPr="00653741">
        <w:rPr>
          <w:lang w:val="en-US"/>
        </w:rPr>
        <w:t>Mahkemesi</w:t>
      </w:r>
      <w:proofErr w:type="spellEnd"/>
      <w:r w:rsidRPr="00653741">
        <w:rPr>
          <w:lang w:val="en-US"/>
        </w:rPr>
        <w:t xml:space="preserve"> (Court of Appeals) </w:t>
      </w:r>
      <w:proofErr w:type="spellStart"/>
      <w:r w:rsidRPr="00653741">
        <w:rPr>
          <w:lang w:val="en-US"/>
        </w:rPr>
        <w:t>yargıcı</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akademik</w:t>
      </w:r>
      <w:proofErr w:type="spellEnd"/>
      <w:r w:rsidRPr="00653741">
        <w:rPr>
          <w:lang w:val="en-US"/>
        </w:rPr>
        <w:t xml:space="preserve"> </w:t>
      </w:r>
      <w:proofErr w:type="spellStart"/>
      <w:r w:rsidRPr="00653741">
        <w:rPr>
          <w:lang w:val="en-US"/>
        </w:rPr>
        <w:t>anlamda</w:t>
      </w:r>
      <w:proofErr w:type="spellEnd"/>
      <w:r w:rsidRPr="00653741">
        <w:rPr>
          <w:lang w:val="en-US"/>
        </w:rPr>
        <w:t xml:space="preserve"> </w:t>
      </w:r>
      <w:proofErr w:type="spellStart"/>
      <w:r w:rsidRPr="00653741">
        <w:rPr>
          <w:lang w:val="en-US"/>
        </w:rPr>
        <w:t>seçkin</w:t>
      </w:r>
      <w:proofErr w:type="spellEnd"/>
      <w:r w:rsidRPr="00653741">
        <w:rPr>
          <w:lang w:val="en-US"/>
        </w:rPr>
        <w:t xml:space="preserve"> (academic Olympian) </w:t>
      </w:r>
      <w:proofErr w:type="spellStart"/>
      <w:r w:rsidRPr="00653741">
        <w:rPr>
          <w:lang w:val="en-US"/>
        </w:rPr>
        <w:t>olmalarının</w:t>
      </w:r>
      <w:proofErr w:type="spellEnd"/>
      <w:r w:rsidRPr="00653741">
        <w:rPr>
          <w:lang w:val="en-US"/>
        </w:rPr>
        <w:t xml:space="preserve"> </w:t>
      </w:r>
      <w:proofErr w:type="spellStart"/>
      <w:r w:rsidRPr="00653741">
        <w:rPr>
          <w:lang w:val="en-US"/>
        </w:rPr>
        <w:t>beklendiğini</w:t>
      </w:r>
      <w:proofErr w:type="spellEnd"/>
      <w:r w:rsidRPr="00653741">
        <w:rPr>
          <w:lang w:val="en-US"/>
        </w:rPr>
        <w:t xml:space="preserve"> </w:t>
      </w:r>
      <w:proofErr w:type="spellStart"/>
      <w:r w:rsidRPr="00653741">
        <w:rPr>
          <w:lang w:val="en-US"/>
        </w:rPr>
        <w:t>varsaydığımız</w:t>
      </w:r>
      <w:proofErr w:type="spellEnd"/>
      <w:r w:rsidRPr="00653741">
        <w:rPr>
          <w:lang w:val="en-US"/>
        </w:rPr>
        <w:t xml:space="preserve"> </w:t>
      </w:r>
      <w:proofErr w:type="spellStart"/>
      <w:r w:rsidRPr="00653741">
        <w:rPr>
          <w:lang w:val="en-US"/>
        </w:rPr>
        <w:t>ölçüde</w:t>
      </w:r>
      <w:proofErr w:type="spellEnd"/>
      <w:r w:rsidRPr="00653741">
        <w:rPr>
          <w:lang w:val="en-US"/>
        </w:rPr>
        <w:t xml:space="preserve">, </w:t>
      </w:r>
      <w:proofErr w:type="spellStart"/>
      <w:r w:rsidRPr="00653741">
        <w:rPr>
          <w:lang w:val="en-US"/>
        </w:rPr>
        <w:t>bu</w:t>
      </w:r>
      <w:proofErr w:type="spellEnd"/>
      <w:r w:rsidRPr="00653741">
        <w:rPr>
          <w:lang w:val="en-US"/>
        </w:rPr>
        <w:t xml:space="preserve"> </w:t>
      </w:r>
      <w:proofErr w:type="spellStart"/>
      <w:r w:rsidRPr="00653741">
        <w:rPr>
          <w:lang w:val="en-US"/>
        </w:rPr>
        <w:t>beklentiler</w:t>
      </w:r>
      <w:proofErr w:type="spellEnd"/>
      <w:r w:rsidRPr="00653741">
        <w:rPr>
          <w:lang w:val="en-US"/>
        </w:rPr>
        <w:t xml:space="preserve"> yeni </w:t>
      </w:r>
      <w:proofErr w:type="spellStart"/>
      <w:r w:rsidRPr="00653741">
        <w:rPr>
          <w:lang w:val="en-US"/>
        </w:rPr>
        <w:t>olup</w:t>
      </w:r>
      <w:proofErr w:type="spellEnd"/>
      <w:r w:rsidRPr="00653741">
        <w:rPr>
          <w:lang w:val="en-US"/>
        </w:rPr>
        <w:t xml:space="preserve">, </w:t>
      </w:r>
      <w:proofErr w:type="spellStart"/>
      <w:r w:rsidRPr="00653741">
        <w:rPr>
          <w:lang w:val="en-US"/>
        </w:rPr>
        <w:t>mutlaka</w:t>
      </w:r>
      <w:proofErr w:type="spellEnd"/>
      <w:r w:rsidRPr="00653741">
        <w:rPr>
          <w:lang w:val="en-US"/>
        </w:rPr>
        <w:t xml:space="preserve"> </w:t>
      </w:r>
      <w:proofErr w:type="spellStart"/>
      <w:r w:rsidRPr="00653741">
        <w:rPr>
          <w:lang w:val="en-US"/>
        </w:rPr>
        <w:t>kalıcı</w:t>
      </w:r>
      <w:proofErr w:type="spellEnd"/>
      <w:r w:rsidRPr="00653741">
        <w:rPr>
          <w:lang w:val="en-US"/>
        </w:rPr>
        <w:t xml:space="preserve"> </w:t>
      </w:r>
      <w:proofErr w:type="spellStart"/>
      <w:r w:rsidRPr="00653741">
        <w:rPr>
          <w:lang w:val="en-US"/>
        </w:rPr>
        <w:t>normlar</w:t>
      </w:r>
      <w:proofErr w:type="spellEnd"/>
      <w:r w:rsidRPr="00653741">
        <w:rPr>
          <w:lang w:val="en-US"/>
        </w:rPr>
        <w:t xml:space="preserve"> </w:t>
      </w:r>
      <w:proofErr w:type="spellStart"/>
      <w:r w:rsidRPr="00653741">
        <w:rPr>
          <w:lang w:val="en-US"/>
        </w:rPr>
        <w:t>değildir</w:t>
      </w:r>
      <w:proofErr w:type="spellEnd"/>
      <w:r w:rsidRPr="00653741">
        <w:rPr>
          <w:lang w:val="en-US"/>
        </w:rPr>
        <w:t xml:space="preserve">. </w:t>
      </w:r>
      <w:proofErr w:type="spellStart"/>
      <w:r w:rsidRPr="00653741">
        <w:rPr>
          <w:lang w:val="en-US"/>
        </w:rPr>
        <w:t>Yorumcular</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siyasetçiler</w:t>
      </w:r>
      <w:proofErr w:type="spellEnd"/>
      <w:r w:rsidRPr="00653741">
        <w:rPr>
          <w:lang w:val="en-US"/>
        </w:rPr>
        <w:t xml:space="preserve">, </w:t>
      </w:r>
      <w:proofErr w:type="spellStart"/>
      <w:r w:rsidRPr="00653741">
        <w:rPr>
          <w:lang w:val="en-US"/>
        </w:rPr>
        <w:t>mevcut</w:t>
      </w:r>
      <w:proofErr w:type="spellEnd"/>
      <w:r w:rsidRPr="00653741">
        <w:rPr>
          <w:lang w:val="en-US"/>
        </w:rPr>
        <w:t xml:space="preserve"> Yüksek </w:t>
      </w:r>
      <w:proofErr w:type="spellStart"/>
      <w:r w:rsidRPr="00653741">
        <w:rPr>
          <w:lang w:val="en-US"/>
        </w:rPr>
        <w:t>Mahkeme</w:t>
      </w:r>
      <w:proofErr w:type="spellEnd"/>
      <w:r w:rsidRPr="00653741">
        <w:rPr>
          <w:lang w:val="en-US"/>
        </w:rPr>
        <w:t xml:space="preserve"> </w:t>
      </w:r>
      <w:proofErr w:type="spellStart"/>
      <w:r w:rsidRPr="00653741">
        <w:rPr>
          <w:lang w:val="en-US"/>
        </w:rPr>
        <w:t>yargıçlarının</w:t>
      </w:r>
      <w:proofErr w:type="spellEnd"/>
      <w:r w:rsidRPr="00653741">
        <w:rPr>
          <w:lang w:val="en-US"/>
        </w:rPr>
        <w:t xml:space="preserve"> (Justices) </w:t>
      </w:r>
      <w:proofErr w:type="spellStart"/>
      <w:r w:rsidRPr="00653741">
        <w:rPr>
          <w:lang w:val="en-US"/>
        </w:rPr>
        <w:t>sahip</w:t>
      </w:r>
      <w:proofErr w:type="spellEnd"/>
      <w:r w:rsidRPr="00653741">
        <w:rPr>
          <w:lang w:val="en-US"/>
        </w:rPr>
        <w:t xml:space="preserve"> </w:t>
      </w:r>
      <w:proofErr w:type="spellStart"/>
      <w:r w:rsidRPr="00653741">
        <w:rPr>
          <w:lang w:val="en-US"/>
        </w:rPr>
        <w:t>olduğu</w:t>
      </w:r>
      <w:proofErr w:type="spellEnd"/>
      <w:r w:rsidRPr="00653741">
        <w:rPr>
          <w:lang w:val="en-US"/>
        </w:rPr>
        <w:t xml:space="preserve"> </w:t>
      </w:r>
      <w:proofErr w:type="spellStart"/>
      <w:r w:rsidRPr="00653741">
        <w:rPr>
          <w:lang w:val="en-US"/>
        </w:rPr>
        <w:t>deneyim</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niteliklerin</w:t>
      </w:r>
      <w:proofErr w:type="spellEnd"/>
      <w:r w:rsidRPr="00653741">
        <w:rPr>
          <w:lang w:val="en-US"/>
        </w:rPr>
        <w:t xml:space="preserve"> </w:t>
      </w:r>
      <w:proofErr w:type="spellStart"/>
      <w:r w:rsidRPr="00653741">
        <w:rPr>
          <w:lang w:val="en-US"/>
        </w:rPr>
        <w:t>tekdüzeliğini</w:t>
      </w:r>
      <w:proofErr w:type="spellEnd"/>
      <w:r w:rsidRPr="00653741">
        <w:rPr>
          <w:lang w:val="en-US"/>
        </w:rPr>
        <w:t xml:space="preserve"> </w:t>
      </w:r>
      <w:proofErr w:type="spellStart"/>
      <w:r w:rsidRPr="00653741">
        <w:rPr>
          <w:lang w:val="en-US"/>
        </w:rPr>
        <w:t>sıkça</w:t>
      </w:r>
      <w:proofErr w:type="spellEnd"/>
      <w:r w:rsidRPr="00653741">
        <w:rPr>
          <w:lang w:val="en-US"/>
        </w:rPr>
        <w:t xml:space="preserve"> eleştirmiştir,³⁶</w:t>
      </w:r>
      <w:r>
        <w:rPr>
          <w:lang w:val="en-US"/>
        </w:rPr>
        <w:t xml:space="preserve"> </w:t>
      </w:r>
      <w:r>
        <w:rPr>
          <w:rStyle w:val="FootnoteReference"/>
          <w:lang w:val="en-US"/>
        </w:rPr>
        <w:footnoteReference w:id="36"/>
      </w:r>
      <w:r w:rsidRPr="00653741">
        <w:rPr>
          <w:lang w:val="en-US"/>
        </w:rPr>
        <w:t xml:space="preserve"> </w:t>
      </w:r>
      <w:proofErr w:type="spellStart"/>
      <w:r w:rsidRPr="00653741">
        <w:rPr>
          <w:lang w:val="en-US"/>
        </w:rPr>
        <w:t>ve</w:t>
      </w:r>
      <w:proofErr w:type="spellEnd"/>
      <w:r w:rsidRPr="00653741">
        <w:rPr>
          <w:lang w:val="en-US"/>
        </w:rPr>
        <w:t xml:space="preserve"> Başkan Bill Clinton, </w:t>
      </w:r>
      <w:proofErr w:type="spellStart"/>
      <w:r w:rsidRPr="00653741">
        <w:rPr>
          <w:lang w:val="en-US"/>
        </w:rPr>
        <w:t>daha</w:t>
      </w:r>
      <w:proofErr w:type="spellEnd"/>
      <w:r w:rsidRPr="00653741">
        <w:rPr>
          <w:lang w:val="en-US"/>
        </w:rPr>
        <w:t xml:space="preserve"> </w:t>
      </w:r>
      <w:proofErr w:type="spellStart"/>
      <w:r w:rsidRPr="00653741">
        <w:rPr>
          <w:lang w:val="en-US"/>
        </w:rPr>
        <w:t>fazla</w:t>
      </w:r>
      <w:proofErr w:type="spellEnd"/>
      <w:r w:rsidRPr="00653741">
        <w:rPr>
          <w:lang w:val="en-US"/>
        </w:rPr>
        <w:t xml:space="preserve"> </w:t>
      </w:r>
      <w:proofErr w:type="spellStart"/>
      <w:r w:rsidRPr="00653741">
        <w:rPr>
          <w:lang w:val="en-US"/>
        </w:rPr>
        <w:t>siyasi</w:t>
      </w:r>
      <w:proofErr w:type="spellEnd"/>
      <w:r w:rsidRPr="00653741">
        <w:rPr>
          <w:lang w:val="en-US"/>
        </w:rPr>
        <w:t xml:space="preserve"> </w:t>
      </w:r>
      <w:proofErr w:type="spellStart"/>
      <w:r w:rsidRPr="00653741">
        <w:rPr>
          <w:lang w:val="en-US"/>
        </w:rPr>
        <w:t>deneyime</w:t>
      </w:r>
      <w:proofErr w:type="spellEnd"/>
      <w:r w:rsidRPr="00653741">
        <w:rPr>
          <w:lang w:val="en-US"/>
        </w:rPr>
        <w:t xml:space="preserve"> </w:t>
      </w:r>
      <w:proofErr w:type="spellStart"/>
      <w:r w:rsidRPr="00653741">
        <w:rPr>
          <w:lang w:val="en-US"/>
        </w:rPr>
        <w:t>sahip</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adayı</w:t>
      </w:r>
      <w:proofErr w:type="spellEnd"/>
      <w:r w:rsidRPr="00653741">
        <w:rPr>
          <w:lang w:val="en-US"/>
        </w:rPr>
        <w:t xml:space="preserve"> </w:t>
      </w:r>
      <w:proofErr w:type="spellStart"/>
      <w:r w:rsidRPr="00653741">
        <w:rPr>
          <w:lang w:val="en-US"/>
        </w:rPr>
        <w:t>belirlemek</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aday</w:t>
      </w:r>
      <w:proofErr w:type="spellEnd"/>
      <w:r w:rsidRPr="00653741">
        <w:rPr>
          <w:lang w:val="en-US"/>
        </w:rPr>
        <w:t xml:space="preserve"> </w:t>
      </w:r>
      <w:proofErr w:type="spellStart"/>
      <w:r w:rsidRPr="00653741">
        <w:rPr>
          <w:lang w:val="en-US"/>
        </w:rPr>
        <w:t>göstermek</w:t>
      </w:r>
      <w:proofErr w:type="spellEnd"/>
      <w:r w:rsidRPr="00653741">
        <w:rPr>
          <w:lang w:val="en-US"/>
        </w:rPr>
        <w:t xml:space="preserve"> </w:t>
      </w:r>
      <w:proofErr w:type="spellStart"/>
      <w:r w:rsidRPr="00653741">
        <w:rPr>
          <w:lang w:val="en-US"/>
        </w:rPr>
        <w:t>için</w:t>
      </w:r>
      <w:proofErr w:type="spellEnd"/>
      <w:r w:rsidRPr="00653741">
        <w:rPr>
          <w:lang w:val="en-US"/>
        </w:rPr>
        <w:t xml:space="preserve"> </w:t>
      </w:r>
      <w:proofErr w:type="spellStart"/>
      <w:r w:rsidRPr="00653741">
        <w:rPr>
          <w:lang w:val="en-US"/>
        </w:rPr>
        <w:t>birkaç</w:t>
      </w:r>
      <w:proofErr w:type="spellEnd"/>
      <w:r w:rsidRPr="00653741">
        <w:rPr>
          <w:lang w:val="en-US"/>
        </w:rPr>
        <w:t xml:space="preserve"> </w:t>
      </w:r>
      <w:proofErr w:type="spellStart"/>
      <w:r w:rsidRPr="00653741">
        <w:rPr>
          <w:lang w:val="en-US"/>
        </w:rPr>
        <w:t>girişimde</w:t>
      </w:r>
      <w:proofErr w:type="spellEnd"/>
      <w:r w:rsidRPr="00653741">
        <w:rPr>
          <w:lang w:val="en-US"/>
        </w:rPr>
        <w:t xml:space="preserve"> bulunmuştur.³⁷</w:t>
      </w:r>
      <w:r>
        <w:rPr>
          <w:lang w:val="en-US"/>
        </w:rPr>
        <w:t xml:space="preserve"> </w:t>
      </w:r>
      <w:r>
        <w:rPr>
          <w:rStyle w:val="FootnoteReference"/>
          <w:lang w:val="en-US"/>
        </w:rPr>
        <w:footnoteReference w:id="37"/>
      </w:r>
      <w:r>
        <w:rPr>
          <w:lang w:val="en-US"/>
        </w:rPr>
        <w:t xml:space="preserve"> </w:t>
      </w:r>
      <w:proofErr w:type="spellStart"/>
      <w:r w:rsidRPr="00653741">
        <w:rPr>
          <w:lang w:val="en-US"/>
        </w:rPr>
        <w:t>Ayrıca</w:t>
      </w:r>
      <w:proofErr w:type="spellEnd"/>
      <w:r w:rsidRPr="00653741">
        <w:rPr>
          <w:lang w:val="en-US"/>
        </w:rPr>
        <w:t xml:space="preserve">, </w:t>
      </w:r>
      <w:proofErr w:type="spellStart"/>
      <w:r w:rsidRPr="00653741">
        <w:rPr>
          <w:lang w:val="en-US"/>
        </w:rPr>
        <w:t>Yargıç</w:t>
      </w:r>
      <w:proofErr w:type="spellEnd"/>
      <w:r w:rsidRPr="00653741">
        <w:rPr>
          <w:lang w:val="en-US"/>
        </w:rPr>
        <w:t xml:space="preserve"> Kagan </w:t>
      </w:r>
      <w:proofErr w:type="spellStart"/>
      <w:r w:rsidRPr="00653741">
        <w:rPr>
          <w:lang w:val="en-US"/>
        </w:rPr>
        <w:t>birçok</w:t>
      </w:r>
      <w:proofErr w:type="spellEnd"/>
      <w:r w:rsidRPr="00653741">
        <w:rPr>
          <w:lang w:val="en-US"/>
        </w:rPr>
        <w:t xml:space="preserve"> </w:t>
      </w:r>
      <w:proofErr w:type="spellStart"/>
      <w:r w:rsidRPr="00653741">
        <w:rPr>
          <w:lang w:val="en-US"/>
        </w:rPr>
        <w:t>açıdan</w:t>
      </w:r>
      <w:proofErr w:type="spellEnd"/>
      <w:r w:rsidRPr="00653741">
        <w:rPr>
          <w:lang w:val="en-US"/>
        </w:rPr>
        <w:t xml:space="preserve"> </w:t>
      </w:r>
      <w:proofErr w:type="spellStart"/>
      <w:r w:rsidRPr="00653741">
        <w:rPr>
          <w:lang w:val="en-US"/>
        </w:rPr>
        <w:t>diğer</w:t>
      </w:r>
      <w:proofErr w:type="spellEnd"/>
      <w:r w:rsidRPr="00653741">
        <w:rPr>
          <w:lang w:val="en-US"/>
        </w:rPr>
        <w:t xml:space="preserve"> </w:t>
      </w:r>
      <w:proofErr w:type="spellStart"/>
      <w:r w:rsidRPr="00653741">
        <w:rPr>
          <w:lang w:val="en-US"/>
        </w:rPr>
        <w:t>mevcut</w:t>
      </w:r>
      <w:proofErr w:type="spellEnd"/>
      <w:r w:rsidRPr="00653741">
        <w:rPr>
          <w:lang w:val="en-US"/>
        </w:rPr>
        <w:t xml:space="preserve"> </w:t>
      </w:r>
      <w:proofErr w:type="spellStart"/>
      <w:r w:rsidRPr="00653741">
        <w:rPr>
          <w:lang w:val="en-US"/>
        </w:rPr>
        <w:t>Yargıçların</w:t>
      </w:r>
      <w:proofErr w:type="spellEnd"/>
      <w:r w:rsidRPr="00653741">
        <w:rPr>
          <w:lang w:val="en-US"/>
        </w:rPr>
        <w:t xml:space="preserve"> </w:t>
      </w:r>
      <w:proofErr w:type="spellStart"/>
      <w:r w:rsidRPr="00653741">
        <w:rPr>
          <w:lang w:val="en-US"/>
        </w:rPr>
        <w:t>profilini</w:t>
      </w:r>
      <w:proofErr w:type="spellEnd"/>
      <w:r w:rsidRPr="00653741">
        <w:rPr>
          <w:lang w:val="en-US"/>
        </w:rPr>
        <w:t xml:space="preserve"> </w:t>
      </w:r>
      <w:proofErr w:type="spellStart"/>
      <w:r w:rsidRPr="00653741">
        <w:rPr>
          <w:lang w:val="en-US"/>
        </w:rPr>
        <w:t>karşılamakla</w:t>
      </w:r>
      <w:proofErr w:type="spellEnd"/>
      <w:r w:rsidRPr="00653741">
        <w:rPr>
          <w:lang w:val="en-US"/>
        </w:rPr>
        <w:t xml:space="preserve"> </w:t>
      </w:r>
      <w:proofErr w:type="spellStart"/>
      <w:r w:rsidRPr="00653741">
        <w:rPr>
          <w:lang w:val="en-US"/>
        </w:rPr>
        <w:t>birlikte</w:t>
      </w:r>
      <w:proofErr w:type="spellEnd"/>
      <w:r w:rsidRPr="00653741">
        <w:rPr>
          <w:lang w:val="en-US"/>
        </w:rPr>
        <w:t xml:space="preserve">, </w:t>
      </w:r>
      <w:proofErr w:type="spellStart"/>
      <w:r w:rsidRPr="00653741">
        <w:rPr>
          <w:lang w:val="en-US"/>
        </w:rPr>
        <w:t>onun</w:t>
      </w:r>
      <w:proofErr w:type="spellEnd"/>
      <w:r w:rsidRPr="00653741">
        <w:rPr>
          <w:lang w:val="en-US"/>
        </w:rPr>
        <w:t xml:space="preserve"> </w:t>
      </w:r>
      <w:proofErr w:type="spellStart"/>
      <w:r w:rsidRPr="00653741">
        <w:rPr>
          <w:lang w:val="en-US"/>
        </w:rPr>
        <w:t>atanmasının</w:t>
      </w:r>
      <w:proofErr w:type="spellEnd"/>
      <w:r w:rsidRPr="00653741">
        <w:rPr>
          <w:lang w:val="en-US"/>
        </w:rPr>
        <w:t xml:space="preserve"> </w:t>
      </w:r>
      <w:proofErr w:type="spellStart"/>
      <w:r w:rsidRPr="00653741">
        <w:rPr>
          <w:lang w:val="en-US"/>
        </w:rPr>
        <w:t>Mahkeme'ye</w:t>
      </w:r>
      <w:proofErr w:type="spellEnd"/>
      <w:r w:rsidRPr="00653741">
        <w:rPr>
          <w:lang w:val="en-US"/>
        </w:rPr>
        <w:t xml:space="preserve"> </w:t>
      </w:r>
      <w:proofErr w:type="spellStart"/>
      <w:r w:rsidRPr="00653741">
        <w:rPr>
          <w:lang w:val="en-US"/>
        </w:rPr>
        <w:t>yargıçlık</w:t>
      </w:r>
      <w:proofErr w:type="spellEnd"/>
      <w:r w:rsidRPr="00653741">
        <w:rPr>
          <w:lang w:val="en-US"/>
        </w:rPr>
        <w:t xml:space="preserve"> </w:t>
      </w:r>
      <w:proofErr w:type="spellStart"/>
      <w:r w:rsidRPr="00653741">
        <w:rPr>
          <w:lang w:val="en-US"/>
        </w:rPr>
        <w:t>yapmamış</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ismin</w:t>
      </w:r>
      <w:proofErr w:type="spellEnd"/>
      <w:r w:rsidRPr="00653741">
        <w:rPr>
          <w:lang w:val="en-US"/>
        </w:rPr>
        <w:t xml:space="preserve"> </w:t>
      </w:r>
      <w:proofErr w:type="spellStart"/>
      <w:r w:rsidRPr="00653741">
        <w:rPr>
          <w:lang w:val="en-US"/>
        </w:rPr>
        <w:t>dönüşünü</w:t>
      </w:r>
      <w:proofErr w:type="spellEnd"/>
      <w:r w:rsidRPr="00653741">
        <w:rPr>
          <w:lang w:val="en-US"/>
        </w:rPr>
        <w:t xml:space="preserve"> </w:t>
      </w:r>
      <w:proofErr w:type="spellStart"/>
      <w:r w:rsidRPr="00653741">
        <w:rPr>
          <w:lang w:val="en-US"/>
        </w:rPr>
        <w:t>sağladığı</w:t>
      </w:r>
      <w:proofErr w:type="spellEnd"/>
      <w:r w:rsidRPr="00653741">
        <w:rPr>
          <w:lang w:val="en-US"/>
        </w:rPr>
        <w:t xml:space="preserve"> </w:t>
      </w:r>
      <w:proofErr w:type="spellStart"/>
      <w:r w:rsidRPr="00653741">
        <w:rPr>
          <w:lang w:val="en-US"/>
        </w:rPr>
        <w:t>dikkat</w:t>
      </w:r>
      <w:proofErr w:type="spellEnd"/>
      <w:r w:rsidRPr="00653741">
        <w:rPr>
          <w:lang w:val="en-US"/>
        </w:rPr>
        <w:t xml:space="preserve"> </w:t>
      </w:r>
      <w:proofErr w:type="spellStart"/>
      <w:r w:rsidRPr="00653741">
        <w:rPr>
          <w:lang w:val="en-US"/>
        </w:rPr>
        <w:t>çekicidir</w:t>
      </w:r>
      <w:proofErr w:type="spellEnd"/>
      <w:r w:rsidRPr="00653741">
        <w:rPr>
          <w:lang w:val="en-US"/>
        </w:rPr>
        <w:t xml:space="preserve">. Bu </w:t>
      </w:r>
      <w:proofErr w:type="spellStart"/>
      <w:r w:rsidRPr="00653741">
        <w:rPr>
          <w:lang w:val="en-US"/>
        </w:rPr>
        <w:t>atama</w:t>
      </w:r>
      <w:proofErr w:type="spellEnd"/>
      <w:r w:rsidRPr="00653741">
        <w:rPr>
          <w:lang w:val="en-US"/>
        </w:rPr>
        <w:t xml:space="preserve">, </w:t>
      </w:r>
      <w:proofErr w:type="spellStart"/>
      <w:r w:rsidRPr="00653741">
        <w:rPr>
          <w:lang w:val="en-US"/>
        </w:rPr>
        <w:t>Yargıç</w:t>
      </w:r>
      <w:proofErr w:type="spellEnd"/>
      <w:r w:rsidRPr="00653741">
        <w:rPr>
          <w:lang w:val="en-US"/>
        </w:rPr>
        <w:t xml:space="preserve"> Sandra Day </w:t>
      </w:r>
      <w:proofErr w:type="spellStart"/>
      <w:r w:rsidRPr="00653741">
        <w:rPr>
          <w:lang w:val="en-US"/>
        </w:rPr>
        <w:t>O’Connor’ın</w:t>
      </w:r>
      <w:proofErr w:type="spellEnd"/>
      <w:r w:rsidRPr="00653741">
        <w:rPr>
          <w:lang w:val="en-US"/>
        </w:rPr>
        <w:t xml:space="preserve"> </w:t>
      </w:r>
      <w:proofErr w:type="spellStart"/>
      <w:r w:rsidRPr="00653741">
        <w:rPr>
          <w:lang w:val="en-US"/>
        </w:rPr>
        <w:t>emekliliğinden</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yerine</w:t>
      </w:r>
      <w:proofErr w:type="spellEnd"/>
      <w:r w:rsidRPr="00653741">
        <w:rPr>
          <w:lang w:val="en-US"/>
        </w:rPr>
        <w:t xml:space="preserve"> </w:t>
      </w:r>
      <w:proofErr w:type="spellStart"/>
      <w:r w:rsidRPr="00653741">
        <w:rPr>
          <w:lang w:val="en-US"/>
        </w:rPr>
        <w:t>Yargıç</w:t>
      </w:r>
      <w:proofErr w:type="spellEnd"/>
      <w:r w:rsidRPr="00653741">
        <w:rPr>
          <w:lang w:val="en-US"/>
        </w:rPr>
        <w:t xml:space="preserve"> Samuel </w:t>
      </w:r>
      <w:proofErr w:type="spellStart"/>
      <w:r w:rsidRPr="00653741">
        <w:rPr>
          <w:lang w:val="en-US"/>
        </w:rPr>
        <w:t>Alito’nun</w:t>
      </w:r>
      <w:proofErr w:type="spellEnd"/>
      <w:r w:rsidRPr="00653741">
        <w:rPr>
          <w:lang w:val="en-US"/>
        </w:rPr>
        <w:t xml:space="preserve"> </w:t>
      </w:r>
      <w:proofErr w:type="spellStart"/>
      <w:r w:rsidRPr="00653741">
        <w:rPr>
          <w:lang w:val="en-US"/>
        </w:rPr>
        <w:t>atanmasından</w:t>
      </w:r>
      <w:proofErr w:type="spellEnd"/>
      <w:r w:rsidRPr="00653741">
        <w:rPr>
          <w:lang w:val="en-US"/>
        </w:rPr>
        <w:t xml:space="preserve"> </w:t>
      </w:r>
      <w:proofErr w:type="spellStart"/>
      <w:r w:rsidRPr="00653741">
        <w:rPr>
          <w:lang w:val="en-US"/>
        </w:rPr>
        <w:t>yalnızca</w:t>
      </w:r>
      <w:proofErr w:type="spellEnd"/>
      <w:r w:rsidRPr="00653741">
        <w:rPr>
          <w:lang w:val="en-US"/>
        </w:rPr>
        <w:t xml:space="preserve"> </w:t>
      </w:r>
      <w:proofErr w:type="spellStart"/>
      <w:r w:rsidRPr="00653741">
        <w:rPr>
          <w:lang w:val="en-US"/>
        </w:rPr>
        <w:t>beş</w:t>
      </w:r>
      <w:proofErr w:type="spellEnd"/>
      <w:r w:rsidRPr="00653741">
        <w:rPr>
          <w:lang w:val="en-US"/>
        </w:rPr>
        <w:t xml:space="preserve"> </w:t>
      </w:r>
      <w:proofErr w:type="spellStart"/>
      <w:r w:rsidRPr="00653741">
        <w:rPr>
          <w:lang w:val="en-US"/>
        </w:rPr>
        <w:t>yıl</w:t>
      </w:r>
      <w:proofErr w:type="spellEnd"/>
      <w:r w:rsidRPr="00653741">
        <w:rPr>
          <w:lang w:val="en-US"/>
        </w:rPr>
        <w:t xml:space="preserve"> </w:t>
      </w:r>
      <w:proofErr w:type="spellStart"/>
      <w:r w:rsidRPr="00653741">
        <w:rPr>
          <w:lang w:val="en-US"/>
        </w:rPr>
        <w:t>sonra</w:t>
      </w:r>
      <w:proofErr w:type="spellEnd"/>
      <w:r w:rsidRPr="00653741">
        <w:rPr>
          <w:lang w:val="en-US"/>
        </w:rPr>
        <w:t xml:space="preserve"> </w:t>
      </w:r>
      <w:proofErr w:type="spellStart"/>
      <w:r w:rsidRPr="00653741">
        <w:rPr>
          <w:lang w:val="en-US"/>
        </w:rPr>
        <w:t>gerçekleşmiştir</w:t>
      </w:r>
      <w:proofErr w:type="spellEnd"/>
      <w:r w:rsidRPr="00653741">
        <w:rPr>
          <w:lang w:val="en-US"/>
        </w:rPr>
        <w:t xml:space="preserve">. </w:t>
      </w:r>
      <w:proofErr w:type="spellStart"/>
      <w:r w:rsidRPr="00653741">
        <w:rPr>
          <w:lang w:val="en-US"/>
        </w:rPr>
        <w:t>O’Connor’ın</w:t>
      </w:r>
      <w:proofErr w:type="spellEnd"/>
      <w:r w:rsidRPr="00653741">
        <w:rPr>
          <w:lang w:val="en-US"/>
        </w:rPr>
        <w:t xml:space="preserve"> Alito </w:t>
      </w:r>
      <w:proofErr w:type="spellStart"/>
      <w:r w:rsidRPr="00653741">
        <w:rPr>
          <w:lang w:val="en-US"/>
        </w:rPr>
        <w:t>ile</w:t>
      </w:r>
      <w:proofErr w:type="spellEnd"/>
      <w:r w:rsidRPr="00653741">
        <w:rPr>
          <w:lang w:val="en-US"/>
        </w:rPr>
        <w:t xml:space="preserve"> </w:t>
      </w:r>
      <w:proofErr w:type="spellStart"/>
      <w:r w:rsidRPr="00653741">
        <w:rPr>
          <w:lang w:val="en-US"/>
        </w:rPr>
        <w:t>değiştirilmesi</w:t>
      </w:r>
      <w:proofErr w:type="spellEnd"/>
      <w:r w:rsidRPr="00653741">
        <w:rPr>
          <w:lang w:val="en-US"/>
        </w:rPr>
        <w:t xml:space="preserve">, federal </w:t>
      </w:r>
      <w:proofErr w:type="spellStart"/>
      <w:r w:rsidRPr="00653741">
        <w:rPr>
          <w:lang w:val="en-US"/>
        </w:rPr>
        <w:t>temyiz</w:t>
      </w:r>
      <w:proofErr w:type="spellEnd"/>
      <w:r w:rsidRPr="00653741">
        <w:rPr>
          <w:lang w:val="en-US"/>
        </w:rPr>
        <w:t xml:space="preserve"> </w:t>
      </w:r>
      <w:proofErr w:type="spellStart"/>
      <w:r w:rsidRPr="00653741">
        <w:rPr>
          <w:lang w:val="en-US"/>
        </w:rPr>
        <w:t>yargı</w:t>
      </w:r>
      <w:proofErr w:type="spellEnd"/>
      <w:r w:rsidRPr="00653741">
        <w:rPr>
          <w:lang w:val="en-US"/>
        </w:rPr>
        <w:t xml:space="preserve"> </w:t>
      </w:r>
      <w:proofErr w:type="spellStart"/>
      <w:r w:rsidRPr="00653741">
        <w:rPr>
          <w:lang w:val="en-US"/>
        </w:rPr>
        <w:t>deneyimine</w:t>
      </w:r>
      <w:proofErr w:type="spellEnd"/>
      <w:r w:rsidRPr="00653741">
        <w:rPr>
          <w:lang w:val="en-US"/>
        </w:rPr>
        <w:t xml:space="preserve"> </w:t>
      </w:r>
      <w:proofErr w:type="spellStart"/>
      <w:r w:rsidRPr="00653741">
        <w:rPr>
          <w:lang w:val="en-US"/>
        </w:rPr>
        <w:t>sahip</w:t>
      </w:r>
      <w:proofErr w:type="spellEnd"/>
      <w:r w:rsidRPr="00653741">
        <w:rPr>
          <w:lang w:val="en-US"/>
        </w:rPr>
        <w:t xml:space="preserve"> </w:t>
      </w:r>
      <w:proofErr w:type="spellStart"/>
      <w:r w:rsidRPr="00653741">
        <w:rPr>
          <w:lang w:val="en-US"/>
        </w:rPr>
        <w:t>olmanın</w:t>
      </w:r>
      <w:proofErr w:type="spellEnd"/>
      <w:r w:rsidRPr="00653741">
        <w:rPr>
          <w:lang w:val="en-US"/>
        </w:rPr>
        <w:t xml:space="preserve"> </w:t>
      </w:r>
      <w:proofErr w:type="spellStart"/>
      <w:r w:rsidRPr="00653741">
        <w:rPr>
          <w:lang w:val="en-US"/>
        </w:rPr>
        <w:t>bir</w:t>
      </w:r>
      <w:proofErr w:type="spellEnd"/>
      <w:r w:rsidRPr="00653741">
        <w:rPr>
          <w:lang w:val="en-US"/>
        </w:rPr>
        <w:t xml:space="preserve"> norm </w:t>
      </w:r>
      <w:proofErr w:type="spellStart"/>
      <w:r w:rsidRPr="00653741">
        <w:rPr>
          <w:lang w:val="en-US"/>
        </w:rPr>
        <w:t>haline</w:t>
      </w:r>
      <w:proofErr w:type="spellEnd"/>
      <w:r w:rsidRPr="00653741">
        <w:rPr>
          <w:lang w:val="en-US"/>
        </w:rPr>
        <w:t xml:space="preserve"> </w:t>
      </w:r>
      <w:proofErr w:type="spellStart"/>
      <w:r w:rsidRPr="00653741">
        <w:rPr>
          <w:lang w:val="en-US"/>
        </w:rPr>
        <w:t>geldiği</w:t>
      </w:r>
      <w:proofErr w:type="spellEnd"/>
      <w:r w:rsidRPr="00653741">
        <w:rPr>
          <w:lang w:val="en-US"/>
        </w:rPr>
        <w:t xml:space="preserve"> </w:t>
      </w:r>
      <w:proofErr w:type="spellStart"/>
      <w:r w:rsidRPr="00653741">
        <w:rPr>
          <w:lang w:val="en-US"/>
        </w:rPr>
        <w:t>yönündeki</w:t>
      </w:r>
      <w:proofErr w:type="spellEnd"/>
      <w:r w:rsidRPr="00653741">
        <w:rPr>
          <w:lang w:val="en-US"/>
        </w:rPr>
        <w:t xml:space="preserve"> </w:t>
      </w:r>
      <w:proofErr w:type="spellStart"/>
      <w:r w:rsidRPr="00653741">
        <w:rPr>
          <w:lang w:val="en-US"/>
        </w:rPr>
        <w:t>algıyı</w:t>
      </w:r>
      <w:proofErr w:type="spellEnd"/>
      <w:r w:rsidRPr="00653741">
        <w:rPr>
          <w:lang w:val="en-US"/>
        </w:rPr>
        <w:t xml:space="preserve"> </w:t>
      </w:r>
      <w:proofErr w:type="spellStart"/>
      <w:r w:rsidRPr="00653741">
        <w:rPr>
          <w:lang w:val="en-US"/>
        </w:rPr>
        <w:t>pekiştirmiş</w:t>
      </w:r>
      <w:proofErr w:type="spellEnd"/>
      <w:r w:rsidRPr="00653741">
        <w:rPr>
          <w:lang w:val="en-US"/>
        </w:rPr>
        <w:t xml:space="preserve"> </w:t>
      </w:r>
      <w:proofErr w:type="spellStart"/>
      <w:r w:rsidRPr="00653741">
        <w:rPr>
          <w:lang w:val="en-US"/>
        </w:rPr>
        <w:t>ve</w:t>
      </w:r>
      <w:proofErr w:type="spellEnd"/>
      <w:r w:rsidRPr="00653741">
        <w:rPr>
          <w:lang w:val="en-US"/>
        </w:rPr>
        <w:t xml:space="preserve"> Yüksek </w:t>
      </w:r>
      <w:proofErr w:type="spellStart"/>
      <w:r w:rsidRPr="00653741">
        <w:rPr>
          <w:lang w:val="en-US"/>
        </w:rPr>
        <w:t>Mahkeme’yi</w:t>
      </w:r>
      <w:proofErr w:type="spellEnd"/>
      <w:r w:rsidRPr="00653741">
        <w:rPr>
          <w:lang w:val="en-US"/>
        </w:rPr>
        <w:t xml:space="preserve">, ilk </w:t>
      </w:r>
      <w:proofErr w:type="spellStart"/>
      <w:r w:rsidRPr="00653741">
        <w:rPr>
          <w:lang w:val="en-US"/>
        </w:rPr>
        <w:t>kez</w:t>
      </w:r>
      <w:proofErr w:type="spellEnd"/>
      <w:r w:rsidRPr="00653741">
        <w:rPr>
          <w:lang w:val="en-US"/>
        </w:rPr>
        <w:t xml:space="preserve"> </w:t>
      </w:r>
      <w:proofErr w:type="spellStart"/>
      <w:r w:rsidRPr="00653741">
        <w:rPr>
          <w:lang w:val="en-US"/>
        </w:rPr>
        <w:t>tamamen</w:t>
      </w:r>
      <w:proofErr w:type="spellEnd"/>
      <w:r w:rsidRPr="00653741">
        <w:rPr>
          <w:lang w:val="en-US"/>
        </w:rPr>
        <w:t xml:space="preserve"> </w:t>
      </w:r>
      <w:proofErr w:type="spellStart"/>
      <w:r w:rsidRPr="00653741">
        <w:rPr>
          <w:lang w:val="en-US"/>
        </w:rPr>
        <w:t>eski</w:t>
      </w:r>
      <w:proofErr w:type="spellEnd"/>
      <w:r w:rsidRPr="00653741">
        <w:rPr>
          <w:lang w:val="en-US"/>
        </w:rPr>
        <w:t xml:space="preserve"> federal </w:t>
      </w:r>
      <w:proofErr w:type="spellStart"/>
      <w:r w:rsidRPr="00653741">
        <w:rPr>
          <w:lang w:val="en-US"/>
        </w:rPr>
        <w:t>temyiz</w:t>
      </w:r>
      <w:proofErr w:type="spellEnd"/>
      <w:r w:rsidRPr="00653741">
        <w:rPr>
          <w:lang w:val="en-US"/>
        </w:rPr>
        <w:t xml:space="preserve"> </w:t>
      </w:r>
      <w:proofErr w:type="spellStart"/>
      <w:r w:rsidRPr="00653741">
        <w:rPr>
          <w:lang w:val="en-US"/>
        </w:rPr>
        <w:t>yargıçlarından</w:t>
      </w:r>
      <w:proofErr w:type="spellEnd"/>
      <w:r w:rsidRPr="00653741">
        <w:rPr>
          <w:lang w:val="en-US"/>
        </w:rPr>
        <w:t xml:space="preserve"> </w:t>
      </w:r>
      <w:proofErr w:type="spellStart"/>
      <w:r w:rsidRPr="00653741">
        <w:rPr>
          <w:lang w:val="en-US"/>
        </w:rPr>
        <w:t>oluşan</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kurum</w:t>
      </w:r>
      <w:proofErr w:type="spellEnd"/>
      <w:r w:rsidRPr="00653741">
        <w:rPr>
          <w:lang w:val="en-US"/>
        </w:rPr>
        <w:t xml:space="preserve"> </w:t>
      </w:r>
      <w:proofErr w:type="spellStart"/>
      <w:r w:rsidRPr="00653741">
        <w:rPr>
          <w:lang w:val="en-US"/>
        </w:rPr>
        <w:t>haline</w:t>
      </w:r>
      <w:proofErr w:type="spellEnd"/>
      <w:r w:rsidRPr="00653741">
        <w:rPr>
          <w:lang w:val="en-US"/>
        </w:rPr>
        <w:t xml:space="preserve"> </w:t>
      </w:r>
      <w:proofErr w:type="spellStart"/>
      <w:r w:rsidRPr="00653741">
        <w:rPr>
          <w:lang w:val="en-US"/>
        </w:rPr>
        <w:t>getirmiştir</w:t>
      </w:r>
      <w:proofErr w:type="spellEnd"/>
      <w:r w:rsidRPr="00653741">
        <w:rPr>
          <w:lang w:val="en-US"/>
        </w:rPr>
        <w:t>.</w:t>
      </w:r>
      <w:r>
        <w:rPr>
          <w:lang w:val="en-US"/>
        </w:rPr>
        <w:t xml:space="preserve"> [12-13]</w:t>
      </w:r>
    </w:p>
    <w:p w14:paraId="0B11917B" w14:textId="04C056A0" w:rsidR="00653741" w:rsidRDefault="00653741" w:rsidP="00653741">
      <w:pPr>
        <w:rPr>
          <w:lang w:val="en-US"/>
        </w:rPr>
      </w:pPr>
      <w:proofErr w:type="spellStart"/>
      <w:r w:rsidRPr="00653741">
        <w:rPr>
          <w:lang w:val="en-US"/>
        </w:rPr>
        <w:t>Yargıçların</w:t>
      </w:r>
      <w:proofErr w:type="spellEnd"/>
      <w:r w:rsidRPr="00653741">
        <w:rPr>
          <w:lang w:val="en-US"/>
        </w:rPr>
        <w:t xml:space="preserve"> (Justices) </w:t>
      </w:r>
      <w:proofErr w:type="spellStart"/>
      <w:r w:rsidRPr="00653741">
        <w:rPr>
          <w:lang w:val="en-US"/>
        </w:rPr>
        <w:t>tarih</w:t>
      </w:r>
      <w:proofErr w:type="spellEnd"/>
      <w:r w:rsidRPr="00653741">
        <w:rPr>
          <w:lang w:val="en-US"/>
        </w:rPr>
        <w:t xml:space="preserve"> </w:t>
      </w:r>
      <w:proofErr w:type="spellStart"/>
      <w:r w:rsidRPr="00653741">
        <w:rPr>
          <w:lang w:val="en-US"/>
        </w:rPr>
        <w:t>boyunca</w:t>
      </w:r>
      <w:proofErr w:type="spellEnd"/>
      <w:r w:rsidRPr="00653741">
        <w:rPr>
          <w:lang w:val="en-US"/>
        </w:rPr>
        <w:t xml:space="preserve"> </w:t>
      </w:r>
      <w:proofErr w:type="spellStart"/>
      <w:r w:rsidRPr="00653741">
        <w:rPr>
          <w:lang w:val="en-US"/>
        </w:rPr>
        <w:t>belirli</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beceri</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deneyim</w:t>
      </w:r>
      <w:proofErr w:type="spellEnd"/>
      <w:r w:rsidRPr="00653741">
        <w:rPr>
          <w:lang w:val="en-US"/>
        </w:rPr>
        <w:t xml:space="preserve"> </w:t>
      </w:r>
      <w:proofErr w:type="spellStart"/>
      <w:r w:rsidRPr="00653741">
        <w:rPr>
          <w:lang w:val="en-US"/>
        </w:rPr>
        <w:t>setini</w:t>
      </w:r>
      <w:proofErr w:type="spellEnd"/>
      <w:r w:rsidRPr="00653741">
        <w:rPr>
          <w:lang w:val="en-US"/>
        </w:rPr>
        <w:t xml:space="preserve"> </w:t>
      </w:r>
      <w:proofErr w:type="spellStart"/>
      <w:r w:rsidRPr="00653741">
        <w:rPr>
          <w:lang w:val="en-US"/>
        </w:rPr>
        <w:t>paylaştığını</w:t>
      </w:r>
      <w:proofErr w:type="spellEnd"/>
      <w:r w:rsidRPr="00653741">
        <w:rPr>
          <w:lang w:val="en-US"/>
        </w:rPr>
        <w:t xml:space="preserve"> </w:t>
      </w:r>
      <w:proofErr w:type="spellStart"/>
      <w:r w:rsidRPr="00653741">
        <w:rPr>
          <w:lang w:val="en-US"/>
        </w:rPr>
        <w:t>öne</w:t>
      </w:r>
      <w:proofErr w:type="spellEnd"/>
      <w:r w:rsidRPr="00653741">
        <w:rPr>
          <w:lang w:val="en-US"/>
        </w:rPr>
        <w:t xml:space="preserve"> </w:t>
      </w:r>
      <w:proofErr w:type="spellStart"/>
      <w:r w:rsidRPr="00653741">
        <w:rPr>
          <w:lang w:val="en-US"/>
        </w:rPr>
        <w:t>sürmek</w:t>
      </w:r>
      <w:proofErr w:type="spellEnd"/>
      <w:r w:rsidRPr="00653741">
        <w:rPr>
          <w:lang w:val="en-US"/>
        </w:rPr>
        <w:t xml:space="preserve">, </w:t>
      </w:r>
      <w:proofErr w:type="spellStart"/>
      <w:r w:rsidRPr="00653741">
        <w:rPr>
          <w:lang w:val="en-US"/>
        </w:rPr>
        <w:t>fazla</w:t>
      </w:r>
      <w:proofErr w:type="spellEnd"/>
      <w:r w:rsidRPr="00653741">
        <w:rPr>
          <w:lang w:val="en-US"/>
        </w:rPr>
        <w:t xml:space="preserve"> </w:t>
      </w:r>
      <w:proofErr w:type="spellStart"/>
      <w:r w:rsidRPr="00653741">
        <w:rPr>
          <w:lang w:val="en-US"/>
        </w:rPr>
        <w:t>veriyi</w:t>
      </w:r>
      <w:proofErr w:type="spellEnd"/>
      <w:r w:rsidRPr="00653741">
        <w:rPr>
          <w:lang w:val="en-US"/>
        </w:rPr>
        <w:t xml:space="preserve"> </w:t>
      </w:r>
      <w:proofErr w:type="spellStart"/>
      <w:r w:rsidRPr="00653741">
        <w:rPr>
          <w:lang w:val="en-US"/>
        </w:rPr>
        <w:t>göz</w:t>
      </w:r>
      <w:proofErr w:type="spellEnd"/>
      <w:r w:rsidRPr="00653741">
        <w:rPr>
          <w:lang w:val="en-US"/>
        </w:rPr>
        <w:t xml:space="preserve"> </w:t>
      </w:r>
      <w:proofErr w:type="spellStart"/>
      <w:r w:rsidRPr="00653741">
        <w:rPr>
          <w:lang w:val="en-US"/>
        </w:rPr>
        <w:t>ardı</w:t>
      </w:r>
      <w:proofErr w:type="spellEnd"/>
      <w:r w:rsidRPr="00653741">
        <w:rPr>
          <w:lang w:val="en-US"/>
        </w:rPr>
        <w:t xml:space="preserve"> </w:t>
      </w:r>
      <w:proofErr w:type="spellStart"/>
      <w:r w:rsidRPr="00653741">
        <w:rPr>
          <w:lang w:val="en-US"/>
        </w:rPr>
        <w:t>etmek</w:t>
      </w:r>
      <w:proofErr w:type="spellEnd"/>
      <w:r w:rsidRPr="00653741">
        <w:rPr>
          <w:lang w:val="en-US"/>
        </w:rPr>
        <w:t xml:space="preserve"> </w:t>
      </w:r>
      <w:proofErr w:type="spellStart"/>
      <w:r w:rsidRPr="00653741">
        <w:rPr>
          <w:lang w:val="en-US"/>
        </w:rPr>
        <w:t>olur</w:t>
      </w:r>
      <w:proofErr w:type="spellEnd"/>
      <w:r w:rsidRPr="00653741">
        <w:rPr>
          <w:lang w:val="en-US"/>
        </w:rPr>
        <w:t xml:space="preserve">. Başkan Harry </w:t>
      </w:r>
      <w:proofErr w:type="spellStart"/>
      <w:r w:rsidRPr="00653741">
        <w:rPr>
          <w:lang w:val="en-US"/>
        </w:rPr>
        <w:t>Truman’ın</w:t>
      </w:r>
      <w:proofErr w:type="spellEnd"/>
      <w:r w:rsidRPr="00653741">
        <w:rPr>
          <w:lang w:val="en-US"/>
        </w:rPr>
        <w:t xml:space="preserve"> poker </w:t>
      </w:r>
      <w:proofErr w:type="spellStart"/>
      <w:r w:rsidRPr="00653741">
        <w:rPr>
          <w:lang w:val="en-US"/>
        </w:rPr>
        <w:t>oynayan</w:t>
      </w:r>
      <w:proofErr w:type="spellEnd"/>
      <w:r w:rsidRPr="00653741">
        <w:rPr>
          <w:lang w:val="en-US"/>
        </w:rPr>
        <w:t xml:space="preserve"> </w:t>
      </w:r>
      <w:proofErr w:type="spellStart"/>
      <w:r w:rsidRPr="00653741">
        <w:rPr>
          <w:lang w:val="en-US"/>
        </w:rPr>
        <w:t>arkadaşları</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eski</w:t>
      </w:r>
      <w:proofErr w:type="spellEnd"/>
      <w:r w:rsidRPr="00653741">
        <w:rPr>
          <w:lang w:val="en-US"/>
        </w:rPr>
        <w:t xml:space="preserve"> Senato </w:t>
      </w:r>
      <w:proofErr w:type="spellStart"/>
      <w:r w:rsidRPr="00653741">
        <w:rPr>
          <w:lang w:val="en-US"/>
        </w:rPr>
        <w:t>meslektaşları</w:t>
      </w:r>
      <w:proofErr w:type="spellEnd"/>
      <w:r w:rsidRPr="00653741">
        <w:rPr>
          <w:lang w:val="en-US"/>
        </w:rPr>
        <w:t xml:space="preserve"> </w:t>
      </w:r>
      <w:proofErr w:type="spellStart"/>
      <w:r w:rsidRPr="00653741">
        <w:rPr>
          <w:lang w:val="en-US"/>
        </w:rPr>
        <w:t>ile</w:t>
      </w:r>
      <w:proofErr w:type="spellEnd"/>
      <w:r w:rsidRPr="00653741">
        <w:rPr>
          <w:lang w:val="en-US"/>
        </w:rPr>
        <w:t xml:space="preserve"> </w:t>
      </w:r>
      <w:proofErr w:type="spellStart"/>
      <w:r w:rsidRPr="00653741">
        <w:rPr>
          <w:lang w:val="en-US"/>
        </w:rPr>
        <w:t>günümüzün</w:t>
      </w:r>
      <w:proofErr w:type="spellEnd"/>
      <w:r w:rsidRPr="00653741">
        <w:rPr>
          <w:lang w:val="en-US"/>
        </w:rPr>
        <w:t xml:space="preserve"> </w:t>
      </w:r>
      <w:proofErr w:type="spellStart"/>
      <w:r w:rsidRPr="00653741">
        <w:rPr>
          <w:lang w:val="en-US"/>
        </w:rPr>
        <w:t>aşırı</w:t>
      </w:r>
      <w:proofErr w:type="spellEnd"/>
      <w:r w:rsidRPr="00653741">
        <w:rPr>
          <w:lang w:val="en-US"/>
        </w:rPr>
        <w:t xml:space="preserve"> </w:t>
      </w:r>
      <w:proofErr w:type="spellStart"/>
      <w:r w:rsidRPr="00653741">
        <w:rPr>
          <w:lang w:val="en-US"/>
        </w:rPr>
        <w:t>nitelikli</w:t>
      </w:r>
      <w:proofErr w:type="spellEnd"/>
      <w:r w:rsidRPr="00653741">
        <w:rPr>
          <w:lang w:val="en-US"/>
        </w:rPr>
        <w:t xml:space="preserve"> (hyper-credentialed) </w:t>
      </w:r>
      <w:proofErr w:type="spellStart"/>
      <w:r w:rsidRPr="00653741">
        <w:rPr>
          <w:lang w:val="en-US"/>
        </w:rPr>
        <w:t>kariyer</w:t>
      </w:r>
      <w:proofErr w:type="spellEnd"/>
      <w:r w:rsidRPr="00653741">
        <w:rPr>
          <w:lang w:val="en-US"/>
        </w:rPr>
        <w:t xml:space="preserve"> </w:t>
      </w:r>
      <w:proofErr w:type="spellStart"/>
      <w:r w:rsidRPr="00653741">
        <w:rPr>
          <w:lang w:val="en-US"/>
        </w:rPr>
        <w:t>odaklı</w:t>
      </w:r>
      <w:proofErr w:type="spellEnd"/>
      <w:r w:rsidRPr="00653741">
        <w:rPr>
          <w:lang w:val="en-US"/>
        </w:rPr>
        <w:t xml:space="preserve"> </w:t>
      </w:r>
      <w:proofErr w:type="spellStart"/>
      <w:r w:rsidRPr="00653741">
        <w:rPr>
          <w:lang w:val="en-US"/>
        </w:rPr>
        <w:t>yargıçları</w:t>
      </w:r>
      <w:proofErr w:type="spellEnd"/>
      <w:r w:rsidRPr="00653741">
        <w:rPr>
          <w:lang w:val="en-US"/>
        </w:rPr>
        <w:t xml:space="preserve"> </w:t>
      </w:r>
      <w:proofErr w:type="spellStart"/>
      <w:r w:rsidRPr="00653741">
        <w:rPr>
          <w:lang w:val="en-US"/>
        </w:rPr>
        <w:t>arasındaki</w:t>
      </w:r>
      <w:proofErr w:type="spellEnd"/>
      <w:r w:rsidRPr="00653741">
        <w:rPr>
          <w:lang w:val="en-US"/>
        </w:rPr>
        <w:t xml:space="preserve"> fark </w:t>
      </w:r>
      <w:proofErr w:type="spellStart"/>
      <w:r w:rsidRPr="00653741">
        <w:rPr>
          <w:lang w:val="en-US"/>
        </w:rPr>
        <w:t>fazlasıyla</w:t>
      </w:r>
      <w:proofErr w:type="spellEnd"/>
      <w:r w:rsidRPr="00653741">
        <w:rPr>
          <w:lang w:val="en-US"/>
        </w:rPr>
        <w:t xml:space="preserve"> </w:t>
      </w:r>
      <w:proofErr w:type="spellStart"/>
      <w:r w:rsidRPr="00653741">
        <w:rPr>
          <w:lang w:val="en-US"/>
        </w:rPr>
        <w:t>büyüktür</w:t>
      </w:r>
      <w:proofErr w:type="spellEnd"/>
      <w:r w:rsidRPr="00653741">
        <w:rPr>
          <w:lang w:val="en-US"/>
        </w:rPr>
        <w:t xml:space="preserve">; </w:t>
      </w:r>
      <w:proofErr w:type="spellStart"/>
      <w:r w:rsidRPr="00653741">
        <w:rPr>
          <w:lang w:val="en-US"/>
        </w:rPr>
        <w:t>üstelik</w:t>
      </w:r>
      <w:proofErr w:type="spellEnd"/>
      <w:r w:rsidRPr="00653741">
        <w:rPr>
          <w:lang w:val="en-US"/>
        </w:rPr>
        <w:t xml:space="preserve"> 19. </w:t>
      </w:r>
      <w:proofErr w:type="spellStart"/>
      <w:r w:rsidRPr="00653741">
        <w:rPr>
          <w:lang w:val="en-US"/>
        </w:rPr>
        <w:t>yüzyıldaki</w:t>
      </w:r>
      <w:proofErr w:type="spellEnd"/>
      <w:r w:rsidRPr="00653741">
        <w:rPr>
          <w:lang w:val="en-US"/>
        </w:rPr>
        <w:t xml:space="preserve"> </w:t>
      </w:r>
      <w:proofErr w:type="spellStart"/>
      <w:r w:rsidRPr="00653741">
        <w:rPr>
          <w:lang w:val="en-US"/>
        </w:rPr>
        <w:t>başkanların</w:t>
      </w:r>
      <w:proofErr w:type="spellEnd"/>
      <w:r w:rsidRPr="00653741">
        <w:rPr>
          <w:lang w:val="en-US"/>
        </w:rPr>
        <w:t xml:space="preserve"> </w:t>
      </w:r>
      <w:proofErr w:type="spellStart"/>
      <w:r w:rsidRPr="00653741">
        <w:rPr>
          <w:lang w:val="en-US"/>
        </w:rPr>
        <w:t>büyük</w:t>
      </w:r>
      <w:proofErr w:type="spellEnd"/>
      <w:r w:rsidRPr="00653741">
        <w:rPr>
          <w:lang w:val="en-US"/>
        </w:rPr>
        <w:t xml:space="preserve"> </w:t>
      </w:r>
      <w:proofErr w:type="spellStart"/>
      <w:r w:rsidRPr="00653741">
        <w:rPr>
          <w:lang w:val="en-US"/>
        </w:rPr>
        <w:t>çoğunluğunun</w:t>
      </w:r>
      <w:proofErr w:type="spellEnd"/>
      <w:r w:rsidRPr="00653741">
        <w:rPr>
          <w:lang w:val="en-US"/>
        </w:rPr>
        <w:t xml:space="preserve"> </w:t>
      </w:r>
      <w:proofErr w:type="spellStart"/>
      <w:r w:rsidRPr="00653741">
        <w:rPr>
          <w:lang w:val="en-US"/>
        </w:rPr>
        <w:t>seçtiği</w:t>
      </w:r>
      <w:proofErr w:type="spellEnd"/>
      <w:r w:rsidRPr="00653741">
        <w:rPr>
          <w:lang w:val="en-US"/>
        </w:rPr>
        <w:t xml:space="preserve"> </w:t>
      </w:r>
      <w:proofErr w:type="spellStart"/>
      <w:r w:rsidRPr="00653741">
        <w:rPr>
          <w:lang w:val="en-US"/>
        </w:rPr>
        <w:t>eklektik</w:t>
      </w:r>
      <w:proofErr w:type="spellEnd"/>
      <w:r w:rsidRPr="00653741">
        <w:rPr>
          <w:lang w:val="en-US"/>
        </w:rPr>
        <w:t xml:space="preserve"> </w:t>
      </w:r>
      <w:proofErr w:type="spellStart"/>
      <w:r w:rsidRPr="00653741">
        <w:rPr>
          <w:lang w:val="en-US"/>
        </w:rPr>
        <w:t>adayları</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kenara</w:t>
      </w:r>
      <w:proofErr w:type="spellEnd"/>
      <w:r w:rsidRPr="00653741">
        <w:rPr>
          <w:lang w:val="en-US"/>
        </w:rPr>
        <w:t xml:space="preserve"> </w:t>
      </w:r>
      <w:proofErr w:type="spellStart"/>
      <w:r w:rsidRPr="00653741">
        <w:rPr>
          <w:lang w:val="en-US"/>
        </w:rPr>
        <w:t>bıraksak</w:t>
      </w:r>
      <w:proofErr w:type="spellEnd"/>
      <w:r w:rsidRPr="00653741">
        <w:rPr>
          <w:lang w:val="en-US"/>
        </w:rPr>
        <w:t xml:space="preserve"> bile.</w:t>
      </w:r>
      <w:r>
        <w:rPr>
          <w:lang w:val="en-US"/>
        </w:rPr>
        <w:t xml:space="preserve"> </w:t>
      </w:r>
      <w:proofErr w:type="spellStart"/>
      <w:r w:rsidRPr="00653741">
        <w:rPr>
          <w:lang w:val="en-US"/>
        </w:rPr>
        <w:t>Dahası</w:t>
      </w:r>
      <w:proofErr w:type="spellEnd"/>
      <w:r w:rsidRPr="00653741">
        <w:rPr>
          <w:lang w:val="en-US"/>
        </w:rPr>
        <w:t xml:space="preserve">, </w:t>
      </w:r>
      <w:proofErr w:type="spellStart"/>
      <w:r w:rsidRPr="00653741">
        <w:rPr>
          <w:lang w:val="en-US"/>
        </w:rPr>
        <w:t>eğer</w:t>
      </w:r>
      <w:proofErr w:type="spellEnd"/>
      <w:r w:rsidRPr="00653741">
        <w:rPr>
          <w:lang w:val="en-US"/>
        </w:rPr>
        <w:t xml:space="preserve"> Yüksek </w:t>
      </w:r>
      <w:proofErr w:type="spellStart"/>
      <w:r w:rsidRPr="00653741">
        <w:rPr>
          <w:lang w:val="en-US"/>
        </w:rPr>
        <w:t>Mahkeme</w:t>
      </w:r>
      <w:proofErr w:type="spellEnd"/>
      <w:r w:rsidRPr="00653741">
        <w:rPr>
          <w:lang w:val="en-US"/>
        </w:rPr>
        <w:t xml:space="preserve"> </w:t>
      </w:r>
      <w:proofErr w:type="spellStart"/>
      <w:r w:rsidRPr="00653741">
        <w:rPr>
          <w:lang w:val="en-US"/>
        </w:rPr>
        <w:t>yargıçları</w:t>
      </w:r>
      <w:proofErr w:type="spellEnd"/>
      <w:r w:rsidRPr="00653741">
        <w:rPr>
          <w:lang w:val="en-US"/>
        </w:rPr>
        <w:t xml:space="preserve"> </w:t>
      </w:r>
      <w:proofErr w:type="spellStart"/>
      <w:r w:rsidRPr="00653741">
        <w:rPr>
          <w:lang w:val="en-US"/>
        </w:rPr>
        <w:t>daha</w:t>
      </w:r>
      <w:proofErr w:type="spellEnd"/>
      <w:r w:rsidRPr="00653741">
        <w:rPr>
          <w:lang w:val="en-US"/>
        </w:rPr>
        <w:t xml:space="preserve"> </w:t>
      </w:r>
      <w:proofErr w:type="spellStart"/>
      <w:r w:rsidRPr="00653741">
        <w:rPr>
          <w:lang w:val="en-US"/>
        </w:rPr>
        <w:t>ortak</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geçmişe</w:t>
      </w:r>
      <w:proofErr w:type="spellEnd"/>
      <w:r w:rsidRPr="00653741">
        <w:rPr>
          <w:lang w:val="en-US"/>
        </w:rPr>
        <w:t xml:space="preserve"> </w:t>
      </w:r>
      <w:proofErr w:type="spellStart"/>
      <w:r w:rsidRPr="00653741">
        <w:rPr>
          <w:lang w:val="en-US"/>
        </w:rPr>
        <w:t>veya</w:t>
      </w:r>
      <w:proofErr w:type="spellEnd"/>
      <w:r w:rsidRPr="00653741">
        <w:rPr>
          <w:lang w:val="en-US"/>
        </w:rPr>
        <w:t xml:space="preserve"> </w:t>
      </w:r>
      <w:proofErr w:type="spellStart"/>
      <w:r w:rsidRPr="00653741">
        <w:rPr>
          <w:lang w:val="en-US"/>
        </w:rPr>
        <w:t>yaklaşıma</w:t>
      </w:r>
      <w:proofErr w:type="spellEnd"/>
      <w:r w:rsidRPr="00653741">
        <w:rPr>
          <w:lang w:val="en-US"/>
        </w:rPr>
        <w:t xml:space="preserve"> </w:t>
      </w:r>
      <w:proofErr w:type="spellStart"/>
      <w:r w:rsidRPr="00653741">
        <w:rPr>
          <w:lang w:val="en-US"/>
        </w:rPr>
        <w:t>sahip</w:t>
      </w:r>
      <w:proofErr w:type="spellEnd"/>
      <w:r w:rsidRPr="00653741">
        <w:rPr>
          <w:lang w:val="en-US"/>
        </w:rPr>
        <w:t xml:space="preserve"> </w:t>
      </w:r>
      <w:proofErr w:type="spellStart"/>
      <w:r w:rsidRPr="00653741">
        <w:rPr>
          <w:lang w:val="en-US"/>
        </w:rPr>
        <w:t>olsaydı</w:t>
      </w:r>
      <w:proofErr w:type="spellEnd"/>
      <w:r w:rsidRPr="00653741">
        <w:rPr>
          <w:lang w:val="en-US"/>
        </w:rPr>
        <w:t xml:space="preserve"> bile, </w:t>
      </w:r>
      <w:proofErr w:type="spellStart"/>
      <w:r w:rsidRPr="00653741">
        <w:rPr>
          <w:lang w:val="en-US"/>
        </w:rPr>
        <w:t>bu</w:t>
      </w:r>
      <w:proofErr w:type="spellEnd"/>
      <w:r w:rsidRPr="00653741">
        <w:rPr>
          <w:lang w:val="en-US"/>
        </w:rPr>
        <w:t xml:space="preserve"> </w:t>
      </w:r>
      <w:proofErr w:type="spellStart"/>
      <w:r w:rsidRPr="00653741">
        <w:rPr>
          <w:lang w:val="en-US"/>
        </w:rPr>
        <w:t>ortaklıkların</w:t>
      </w:r>
      <w:proofErr w:type="spellEnd"/>
      <w:r w:rsidRPr="00653741">
        <w:rPr>
          <w:lang w:val="en-US"/>
        </w:rPr>
        <w:t xml:space="preserve"> </w:t>
      </w:r>
      <w:proofErr w:type="spellStart"/>
      <w:r w:rsidRPr="00653741">
        <w:rPr>
          <w:lang w:val="en-US"/>
        </w:rPr>
        <w:t>anayasal</w:t>
      </w:r>
      <w:proofErr w:type="spellEnd"/>
      <w:r w:rsidRPr="00653741">
        <w:rPr>
          <w:lang w:val="en-US"/>
        </w:rPr>
        <w:t xml:space="preserve"> </w:t>
      </w:r>
      <w:proofErr w:type="spellStart"/>
      <w:r w:rsidRPr="00653741">
        <w:rPr>
          <w:lang w:val="en-US"/>
        </w:rPr>
        <w:t>tasarımımızın</w:t>
      </w:r>
      <w:proofErr w:type="spellEnd"/>
      <w:r w:rsidRPr="00653741">
        <w:rPr>
          <w:lang w:val="en-US"/>
        </w:rPr>
        <w:t xml:space="preserve"> (constitutional design) </w:t>
      </w:r>
      <w:proofErr w:type="spellStart"/>
      <w:r w:rsidRPr="00653741">
        <w:rPr>
          <w:lang w:val="en-US"/>
        </w:rPr>
        <w:t>içkin</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kasıtlı</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parçası</w:t>
      </w:r>
      <w:proofErr w:type="spellEnd"/>
      <w:r w:rsidRPr="00653741">
        <w:rPr>
          <w:lang w:val="en-US"/>
        </w:rPr>
        <w:t xml:space="preserve"> </w:t>
      </w:r>
      <w:proofErr w:type="spellStart"/>
      <w:r w:rsidRPr="00653741">
        <w:rPr>
          <w:lang w:val="en-US"/>
        </w:rPr>
        <w:t>olduğunu</w:t>
      </w:r>
      <w:proofErr w:type="spellEnd"/>
      <w:r w:rsidRPr="00653741">
        <w:rPr>
          <w:lang w:val="en-US"/>
        </w:rPr>
        <w:t xml:space="preserve"> </w:t>
      </w:r>
      <w:proofErr w:type="spellStart"/>
      <w:r w:rsidRPr="00653741">
        <w:rPr>
          <w:lang w:val="en-US"/>
        </w:rPr>
        <w:t>düşünmek</w:t>
      </w:r>
      <w:proofErr w:type="spellEnd"/>
      <w:r w:rsidRPr="00653741">
        <w:rPr>
          <w:lang w:val="en-US"/>
        </w:rPr>
        <w:t xml:space="preserve"> </w:t>
      </w:r>
      <w:proofErr w:type="spellStart"/>
      <w:r w:rsidRPr="00653741">
        <w:rPr>
          <w:lang w:val="en-US"/>
        </w:rPr>
        <w:t>için</w:t>
      </w:r>
      <w:proofErr w:type="spellEnd"/>
      <w:r w:rsidRPr="00653741">
        <w:rPr>
          <w:lang w:val="en-US"/>
        </w:rPr>
        <w:t xml:space="preserve"> </w:t>
      </w:r>
      <w:proofErr w:type="spellStart"/>
      <w:r w:rsidRPr="00653741">
        <w:rPr>
          <w:lang w:val="en-US"/>
        </w:rPr>
        <w:t>pek</w:t>
      </w:r>
      <w:proofErr w:type="spellEnd"/>
      <w:r w:rsidRPr="00653741">
        <w:rPr>
          <w:lang w:val="en-US"/>
        </w:rPr>
        <w:t xml:space="preserve"> </w:t>
      </w:r>
      <w:proofErr w:type="spellStart"/>
      <w:r w:rsidRPr="00653741">
        <w:rPr>
          <w:lang w:val="en-US"/>
        </w:rPr>
        <w:t>az</w:t>
      </w:r>
      <w:proofErr w:type="spellEnd"/>
      <w:r w:rsidRPr="00653741">
        <w:rPr>
          <w:lang w:val="en-US"/>
        </w:rPr>
        <w:t xml:space="preserve"> </w:t>
      </w:r>
      <w:proofErr w:type="spellStart"/>
      <w:r w:rsidRPr="00653741">
        <w:rPr>
          <w:lang w:val="en-US"/>
        </w:rPr>
        <w:t>gerekçe</w:t>
      </w:r>
      <w:proofErr w:type="spellEnd"/>
      <w:r w:rsidRPr="00653741">
        <w:rPr>
          <w:lang w:val="en-US"/>
        </w:rPr>
        <w:t xml:space="preserve"> </w:t>
      </w:r>
      <w:proofErr w:type="spellStart"/>
      <w:r w:rsidRPr="00653741">
        <w:rPr>
          <w:lang w:val="en-US"/>
        </w:rPr>
        <w:t>olurdu</w:t>
      </w:r>
      <w:proofErr w:type="spellEnd"/>
      <w:r w:rsidRPr="00653741">
        <w:rPr>
          <w:lang w:val="en-US"/>
        </w:rPr>
        <w:t xml:space="preserve">. </w:t>
      </w:r>
      <w:proofErr w:type="spellStart"/>
      <w:r w:rsidRPr="00653741">
        <w:rPr>
          <w:lang w:val="en-US"/>
        </w:rPr>
        <w:t>Aksine</w:t>
      </w:r>
      <w:proofErr w:type="spellEnd"/>
      <w:r w:rsidRPr="00653741">
        <w:rPr>
          <w:lang w:val="en-US"/>
        </w:rPr>
        <w:t xml:space="preserve">, Amerikan </w:t>
      </w:r>
      <w:proofErr w:type="spellStart"/>
      <w:r w:rsidRPr="00653741">
        <w:rPr>
          <w:lang w:val="en-US"/>
        </w:rPr>
        <w:t>tarihi</w:t>
      </w:r>
      <w:proofErr w:type="spellEnd"/>
      <w:r w:rsidRPr="00653741">
        <w:rPr>
          <w:lang w:val="en-US"/>
        </w:rPr>
        <w:t xml:space="preserve">, </w:t>
      </w:r>
      <w:proofErr w:type="spellStart"/>
      <w:r w:rsidRPr="00653741">
        <w:rPr>
          <w:lang w:val="en-US"/>
        </w:rPr>
        <w:t>yargıçların</w:t>
      </w:r>
      <w:proofErr w:type="spellEnd"/>
      <w:r w:rsidRPr="00653741">
        <w:rPr>
          <w:lang w:val="en-US"/>
        </w:rPr>
        <w:t xml:space="preserve"> </w:t>
      </w:r>
      <w:proofErr w:type="spellStart"/>
      <w:r w:rsidRPr="00653741">
        <w:rPr>
          <w:lang w:val="en-US"/>
        </w:rPr>
        <w:t>ve</w:t>
      </w:r>
      <w:proofErr w:type="spellEnd"/>
      <w:r w:rsidRPr="00653741">
        <w:rPr>
          <w:lang w:val="en-US"/>
        </w:rPr>
        <w:t xml:space="preserve"> Yüksek </w:t>
      </w:r>
      <w:proofErr w:type="spellStart"/>
      <w:r w:rsidRPr="00653741">
        <w:rPr>
          <w:lang w:val="en-US"/>
        </w:rPr>
        <w:t>Mahkeme</w:t>
      </w:r>
      <w:proofErr w:type="spellEnd"/>
      <w:r w:rsidRPr="00653741">
        <w:rPr>
          <w:lang w:val="en-US"/>
        </w:rPr>
        <w:t xml:space="preserve"> </w:t>
      </w:r>
      <w:proofErr w:type="spellStart"/>
      <w:r w:rsidRPr="00653741">
        <w:rPr>
          <w:lang w:val="en-US"/>
        </w:rPr>
        <w:t>yargıçlarının</w:t>
      </w:r>
      <w:proofErr w:type="spellEnd"/>
      <w:r w:rsidRPr="00653741">
        <w:rPr>
          <w:lang w:val="en-US"/>
        </w:rPr>
        <w:t xml:space="preserve"> </w:t>
      </w:r>
      <w:proofErr w:type="spellStart"/>
      <w:r w:rsidRPr="00653741">
        <w:rPr>
          <w:lang w:val="en-US"/>
        </w:rPr>
        <w:t>nasıl</w:t>
      </w:r>
      <w:proofErr w:type="spellEnd"/>
      <w:r w:rsidRPr="00653741">
        <w:rPr>
          <w:lang w:val="en-US"/>
        </w:rPr>
        <w:t xml:space="preserve"> </w:t>
      </w:r>
      <w:proofErr w:type="spellStart"/>
      <w:r w:rsidRPr="00653741">
        <w:rPr>
          <w:lang w:val="en-US"/>
        </w:rPr>
        <w:t>seçilmesi</w:t>
      </w:r>
      <w:proofErr w:type="spellEnd"/>
      <w:r w:rsidRPr="00653741">
        <w:rPr>
          <w:lang w:val="en-US"/>
        </w:rPr>
        <w:t xml:space="preserve"> </w:t>
      </w:r>
      <w:proofErr w:type="spellStart"/>
      <w:r w:rsidRPr="00653741">
        <w:rPr>
          <w:lang w:val="en-US"/>
        </w:rPr>
        <w:t>gerektiği</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başarılı</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yargıcı</w:t>
      </w:r>
      <w:proofErr w:type="spellEnd"/>
      <w:r w:rsidRPr="00653741">
        <w:rPr>
          <w:lang w:val="en-US"/>
        </w:rPr>
        <w:t xml:space="preserve"> (jurist) </w:t>
      </w:r>
      <w:proofErr w:type="spellStart"/>
      <w:r w:rsidRPr="00653741">
        <w:rPr>
          <w:lang w:val="en-US"/>
        </w:rPr>
        <w:lastRenderedPageBreak/>
        <w:t>belirleyen</w:t>
      </w:r>
      <w:proofErr w:type="spellEnd"/>
      <w:r w:rsidRPr="00653741">
        <w:rPr>
          <w:lang w:val="en-US"/>
        </w:rPr>
        <w:t xml:space="preserve"> </w:t>
      </w:r>
      <w:proofErr w:type="spellStart"/>
      <w:r w:rsidRPr="00653741">
        <w:rPr>
          <w:lang w:val="en-US"/>
        </w:rPr>
        <w:t>nitelikler</w:t>
      </w:r>
      <w:proofErr w:type="spellEnd"/>
      <w:r w:rsidRPr="00653741">
        <w:rPr>
          <w:lang w:val="en-US"/>
        </w:rPr>
        <w:t xml:space="preserve"> </w:t>
      </w:r>
      <w:proofErr w:type="spellStart"/>
      <w:r w:rsidRPr="00653741">
        <w:rPr>
          <w:lang w:val="en-US"/>
        </w:rPr>
        <w:t>konusunda</w:t>
      </w:r>
      <w:proofErr w:type="spellEnd"/>
      <w:r w:rsidRPr="00653741">
        <w:rPr>
          <w:lang w:val="en-US"/>
        </w:rPr>
        <w:t xml:space="preserve"> </w:t>
      </w:r>
      <w:proofErr w:type="spellStart"/>
      <w:r w:rsidRPr="00653741">
        <w:rPr>
          <w:lang w:val="en-US"/>
        </w:rPr>
        <w:t>keskin</w:t>
      </w:r>
      <w:proofErr w:type="spellEnd"/>
      <w:r w:rsidRPr="00653741">
        <w:rPr>
          <w:lang w:val="en-US"/>
        </w:rPr>
        <w:t xml:space="preserve"> </w:t>
      </w:r>
      <w:proofErr w:type="spellStart"/>
      <w:r w:rsidRPr="00653741">
        <w:rPr>
          <w:lang w:val="en-US"/>
        </w:rPr>
        <w:t>tartışmaların</w:t>
      </w:r>
      <w:proofErr w:type="spellEnd"/>
      <w:r w:rsidRPr="00653741">
        <w:rPr>
          <w:lang w:val="en-US"/>
        </w:rPr>
        <w:t xml:space="preserve"> </w:t>
      </w:r>
      <w:proofErr w:type="spellStart"/>
      <w:r w:rsidRPr="00653741">
        <w:rPr>
          <w:lang w:val="en-US"/>
        </w:rPr>
        <w:t>yaşandığını</w:t>
      </w:r>
      <w:proofErr w:type="spellEnd"/>
      <w:r w:rsidRPr="00653741">
        <w:rPr>
          <w:lang w:val="en-US"/>
        </w:rPr>
        <w:t xml:space="preserve">, </w:t>
      </w:r>
      <w:proofErr w:type="spellStart"/>
      <w:r w:rsidRPr="00653741">
        <w:rPr>
          <w:lang w:val="en-US"/>
        </w:rPr>
        <w:t>bu</w:t>
      </w:r>
      <w:proofErr w:type="spellEnd"/>
      <w:r w:rsidRPr="00653741">
        <w:rPr>
          <w:lang w:val="en-US"/>
        </w:rPr>
        <w:t xml:space="preserve"> </w:t>
      </w:r>
      <w:proofErr w:type="spellStart"/>
      <w:r w:rsidRPr="00653741">
        <w:rPr>
          <w:lang w:val="en-US"/>
        </w:rPr>
        <w:t>konulara</w:t>
      </w:r>
      <w:proofErr w:type="spellEnd"/>
      <w:r w:rsidRPr="00653741">
        <w:rPr>
          <w:lang w:val="en-US"/>
        </w:rPr>
        <w:t xml:space="preserve"> </w:t>
      </w:r>
      <w:proofErr w:type="spellStart"/>
      <w:r w:rsidRPr="00653741">
        <w:rPr>
          <w:lang w:val="en-US"/>
        </w:rPr>
        <w:t>dair</w:t>
      </w:r>
      <w:proofErr w:type="spellEnd"/>
      <w:r w:rsidRPr="00653741">
        <w:rPr>
          <w:lang w:val="en-US"/>
        </w:rPr>
        <w:t xml:space="preserve"> </w:t>
      </w:r>
      <w:proofErr w:type="spellStart"/>
      <w:r w:rsidRPr="00653741">
        <w:rPr>
          <w:lang w:val="en-US"/>
        </w:rPr>
        <w:t>belirli</w:t>
      </w:r>
      <w:proofErr w:type="spellEnd"/>
      <w:r w:rsidRPr="00653741">
        <w:rPr>
          <w:lang w:val="en-US"/>
        </w:rPr>
        <w:t xml:space="preserve"> </w:t>
      </w:r>
      <w:proofErr w:type="spellStart"/>
      <w:r w:rsidRPr="00653741">
        <w:rPr>
          <w:lang w:val="en-US"/>
        </w:rPr>
        <w:t>görüşleri</w:t>
      </w:r>
      <w:proofErr w:type="spellEnd"/>
      <w:r w:rsidRPr="00653741">
        <w:rPr>
          <w:lang w:val="en-US"/>
        </w:rPr>
        <w:t xml:space="preserve"> </w:t>
      </w:r>
      <w:proofErr w:type="spellStart"/>
      <w:r w:rsidRPr="00653741">
        <w:rPr>
          <w:lang w:val="en-US"/>
        </w:rPr>
        <w:t>öne</w:t>
      </w:r>
      <w:proofErr w:type="spellEnd"/>
      <w:r w:rsidRPr="00653741">
        <w:rPr>
          <w:lang w:val="en-US"/>
        </w:rPr>
        <w:t xml:space="preserve"> </w:t>
      </w:r>
      <w:proofErr w:type="spellStart"/>
      <w:r w:rsidRPr="00653741">
        <w:rPr>
          <w:lang w:val="en-US"/>
        </w:rPr>
        <w:t>çıkarmak</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yerleştirmek</w:t>
      </w:r>
      <w:proofErr w:type="spellEnd"/>
      <w:r w:rsidRPr="00653741">
        <w:rPr>
          <w:lang w:val="en-US"/>
        </w:rPr>
        <w:t xml:space="preserve"> </w:t>
      </w:r>
      <w:proofErr w:type="spellStart"/>
      <w:r w:rsidRPr="00653741">
        <w:rPr>
          <w:lang w:val="en-US"/>
        </w:rPr>
        <w:t>için</w:t>
      </w:r>
      <w:proofErr w:type="spellEnd"/>
      <w:r w:rsidRPr="00653741">
        <w:rPr>
          <w:lang w:val="en-US"/>
        </w:rPr>
        <w:t xml:space="preserve"> </w:t>
      </w:r>
      <w:proofErr w:type="spellStart"/>
      <w:r w:rsidRPr="00653741">
        <w:rPr>
          <w:lang w:val="en-US"/>
        </w:rPr>
        <w:t>sürekli</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mücadelenin</w:t>
      </w:r>
      <w:proofErr w:type="spellEnd"/>
      <w:r w:rsidRPr="00653741">
        <w:rPr>
          <w:lang w:val="en-US"/>
        </w:rPr>
        <w:t xml:space="preserve"> </w:t>
      </w:r>
      <w:proofErr w:type="spellStart"/>
      <w:r w:rsidRPr="00653741">
        <w:rPr>
          <w:lang w:val="en-US"/>
        </w:rPr>
        <w:t>sürdüğünü</w:t>
      </w:r>
      <w:proofErr w:type="spellEnd"/>
      <w:r w:rsidRPr="00653741">
        <w:rPr>
          <w:lang w:val="en-US"/>
        </w:rPr>
        <w:t xml:space="preserve"> göstermektedir.³⁸</w:t>
      </w:r>
      <w:r>
        <w:rPr>
          <w:lang w:val="en-US"/>
        </w:rPr>
        <w:t xml:space="preserve"> </w:t>
      </w:r>
      <w:r>
        <w:rPr>
          <w:rStyle w:val="FootnoteReference"/>
          <w:lang w:val="en-US"/>
        </w:rPr>
        <w:footnoteReference w:id="38"/>
      </w:r>
    </w:p>
    <w:p w14:paraId="130DE0C9" w14:textId="77777777" w:rsidR="00653741" w:rsidRDefault="00653741" w:rsidP="00653741">
      <w:pPr>
        <w:pStyle w:val="Heading4"/>
        <w:rPr>
          <w:lang w:val="en-US"/>
        </w:rPr>
      </w:pPr>
      <w:proofErr w:type="spellStart"/>
      <w:r w:rsidRPr="00653741">
        <w:rPr>
          <w:lang w:val="en-US"/>
        </w:rPr>
        <w:t>Çok</w:t>
      </w:r>
      <w:proofErr w:type="spellEnd"/>
      <w:r w:rsidRPr="00653741">
        <w:rPr>
          <w:lang w:val="en-US"/>
        </w:rPr>
        <w:t xml:space="preserve"> </w:t>
      </w:r>
      <w:proofErr w:type="spellStart"/>
      <w:r w:rsidRPr="00653741">
        <w:rPr>
          <w:lang w:val="en-US"/>
        </w:rPr>
        <w:t>Üyeli</w:t>
      </w:r>
      <w:proofErr w:type="spellEnd"/>
      <w:r w:rsidRPr="00653741">
        <w:rPr>
          <w:lang w:val="en-US"/>
        </w:rPr>
        <w:t xml:space="preserve"> </w:t>
      </w:r>
      <w:proofErr w:type="spellStart"/>
      <w:r w:rsidRPr="00653741">
        <w:rPr>
          <w:lang w:val="en-US"/>
        </w:rPr>
        <w:t>Mahkemeler</w:t>
      </w:r>
      <w:proofErr w:type="spellEnd"/>
      <w:r w:rsidRPr="00653741">
        <w:rPr>
          <w:lang w:val="en-US"/>
        </w:rPr>
        <w:t xml:space="preserve">, Ortak </w:t>
      </w:r>
      <w:proofErr w:type="spellStart"/>
      <w:r w:rsidRPr="00653741">
        <w:rPr>
          <w:lang w:val="en-US"/>
        </w:rPr>
        <w:t>Gerekçeli</w:t>
      </w:r>
      <w:proofErr w:type="spellEnd"/>
      <w:r w:rsidRPr="00653741">
        <w:rPr>
          <w:lang w:val="en-US"/>
        </w:rPr>
        <w:t xml:space="preserve"> </w:t>
      </w:r>
      <w:proofErr w:type="spellStart"/>
      <w:r w:rsidRPr="00653741">
        <w:rPr>
          <w:lang w:val="en-US"/>
        </w:rPr>
        <w:t>Kararlar</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Şeffaf</w:t>
      </w:r>
      <w:proofErr w:type="spellEnd"/>
      <w:r w:rsidRPr="00653741">
        <w:rPr>
          <w:lang w:val="en-US"/>
        </w:rPr>
        <w:t xml:space="preserve"> </w:t>
      </w:r>
      <w:proofErr w:type="spellStart"/>
      <w:r w:rsidRPr="00653741">
        <w:rPr>
          <w:lang w:val="en-US"/>
        </w:rPr>
        <w:t>Gerekçelendirme</w:t>
      </w:r>
      <w:proofErr w:type="spellEnd"/>
    </w:p>
    <w:p w14:paraId="1771F8E8" w14:textId="02DD80E0" w:rsidR="00653741" w:rsidRDefault="00653741" w:rsidP="00653741">
      <w:pPr>
        <w:rPr>
          <w:lang w:val="en-US"/>
        </w:rPr>
      </w:pPr>
      <w:proofErr w:type="spellStart"/>
      <w:r w:rsidRPr="00653741">
        <w:rPr>
          <w:lang w:val="en-US"/>
        </w:rPr>
        <w:t>Anayasal</w:t>
      </w:r>
      <w:proofErr w:type="spellEnd"/>
      <w:r w:rsidRPr="00653741">
        <w:rPr>
          <w:lang w:val="en-US"/>
        </w:rPr>
        <w:t xml:space="preserve"> </w:t>
      </w:r>
      <w:proofErr w:type="spellStart"/>
      <w:r w:rsidRPr="00653741">
        <w:rPr>
          <w:lang w:val="en-US"/>
        </w:rPr>
        <w:t>yapımızın</w:t>
      </w:r>
      <w:proofErr w:type="spellEnd"/>
      <w:r w:rsidRPr="00653741">
        <w:rPr>
          <w:lang w:val="en-US"/>
        </w:rPr>
        <w:t xml:space="preserve"> (constitutional structure) </w:t>
      </w:r>
      <w:proofErr w:type="spellStart"/>
      <w:r w:rsidRPr="00653741">
        <w:rPr>
          <w:lang w:val="en-US"/>
        </w:rPr>
        <w:t>övgüye</w:t>
      </w:r>
      <w:proofErr w:type="spellEnd"/>
      <w:r w:rsidRPr="00653741">
        <w:rPr>
          <w:lang w:val="en-US"/>
        </w:rPr>
        <w:t xml:space="preserve"> </w:t>
      </w:r>
      <w:proofErr w:type="spellStart"/>
      <w:r w:rsidRPr="00653741">
        <w:rPr>
          <w:lang w:val="en-US"/>
        </w:rPr>
        <w:t>değer</w:t>
      </w:r>
      <w:proofErr w:type="spellEnd"/>
      <w:r w:rsidRPr="00653741">
        <w:rPr>
          <w:lang w:val="en-US"/>
        </w:rPr>
        <w:t xml:space="preserve"> </w:t>
      </w:r>
      <w:proofErr w:type="spellStart"/>
      <w:r w:rsidRPr="00653741">
        <w:rPr>
          <w:lang w:val="en-US"/>
        </w:rPr>
        <w:t>olduğunu</w:t>
      </w:r>
      <w:proofErr w:type="spellEnd"/>
      <w:r w:rsidRPr="00653741">
        <w:rPr>
          <w:lang w:val="en-US"/>
        </w:rPr>
        <w:t xml:space="preserve"> </w:t>
      </w:r>
      <w:proofErr w:type="spellStart"/>
      <w:r w:rsidRPr="00653741">
        <w:rPr>
          <w:lang w:val="en-US"/>
        </w:rPr>
        <w:t>savunanların</w:t>
      </w:r>
      <w:proofErr w:type="spellEnd"/>
      <w:r w:rsidRPr="00653741">
        <w:rPr>
          <w:lang w:val="en-US"/>
        </w:rPr>
        <w:t xml:space="preserve"> </w:t>
      </w:r>
      <w:proofErr w:type="spellStart"/>
      <w:r w:rsidRPr="00653741">
        <w:rPr>
          <w:lang w:val="en-US"/>
        </w:rPr>
        <w:t>ileri</w:t>
      </w:r>
      <w:proofErr w:type="spellEnd"/>
      <w:r w:rsidRPr="00653741">
        <w:rPr>
          <w:lang w:val="en-US"/>
        </w:rPr>
        <w:t xml:space="preserve"> </w:t>
      </w:r>
      <w:proofErr w:type="spellStart"/>
      <w:r w:rsidRPr="00653741">
        <w:rPr>
          <w:lang w:val="en-US"/>
        </w:rPr>
        <w:t>sürdüğü</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diğer</w:t>
      </w:r>
      <w:proofErr w:type="spellEnd"/>
      <w:r w:rsidRPr="00653741">
        <w:rPr>
          <w:lang w:val="en-US"/>
        </w:rPr>
        <w:t xml:space="preserve"> </w:t>
      </w:r>
      <w:proofErr w:type="spellStart"/>
      <w:r w:rsidRPr="00653741">
        <w:rPr>
          <w:lang w:val="en-US"/>
        </w:rPr>
        <w:t>iddia</w:t>
      </w:r>
      <w:proofErr w:type="spellEnd"/>
      <w:r w:rsidRPr="00653741">
        <w:rPr>
          <w:lang w:val="en-US"/>
        </w:rPr>
        <w:t xml:space="preserve">, </w:t>
      </w:r>
      <w:proofErr w:type="spellStart"/>
      <w:r w:rsidRPr="00653741">
        <w:rPr>
          <w:lang w:val="en-US"/>
        </w:rPr>
        <w:t>yargısal</w:t>
      </w:r>
      <w:proofErr w:type="spellEnd"/>
      <w:r w:rsidRPr="00653741">
        <w:rPr>
          <w:lang w:val="en-US"/>
        </w:rPr>
        <w:t xml:space="preserve"> </w:t>
      </w:r>
      <w:proofErr w:type="spellStart"/>
      <w:r w:rsidRPr="00653741">
        <w:rPr>
          <w:lang w:val="en-US"/>
        </w:rPr>
        <w:t>aşırılıkları</w:t>
      </w:r>
      <w:proofErr w:type="spellEnd"/>
      <w:r w:rsidRPr="00653741">
        <w:rPr>
          <w:lang w:val="en-US"/>
        </w:rPr>
        <w:t xml:space="preserve"> </w:t>
      </w:r>
      <w:proofErr w:type="spellStart"/>
      <w:r w:rsidRPr="00653741">
        <w:rPr>
          <w:lang w:val="en-US"/>
        </w:rPr>
        <w:t>dizginlediğimiz</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önemli</w:t>
      </w:r>
      <w:proofErr w:type="spellEnd"/>
      <w:r w:rsidRPr="00653741">
        <w:rPr>
          <w:lang w:val="en-US"/>
        </w:rPr>
        <w:t xml:space="preserve"> </w:t>
      </w:r>
      <w:proofErr w:type="spellStart"/>
      <w:r w:rsidRPr="00653741">
        <w:rPr>
          <w:lang w:val="en-US"/>
        </w:rPr>
        <w:t>temyiz</w:t>
      </w:r>
      <w:proofErr w:type="spellEnd"/>
      <w:r w:rsidRPr="00653741">
        <w:rPr>
          <w:lang w:val="en-US"/>
        </w:rPr>
        <w:t xml:space="preserve"> </w:t>
      </w:r>
      <w:proofErr w:type="spellStart"/>
      <w:r w:rsidRPr="00653741">
        <w:rPr>
          <w:lang w:val="en-US"/>
        </w:rPr>
        <w:t>meselelerini</w:t>
      </w:r>
      <w:proofErr w:type="spellEnd"/>
      <w:r w:rsidRPr="00653741">
        <w:rPr>
          <w:lang w:val="en-US"/>
        </w:rPr>
        <w:t xml:space="preserve">, </w:t>
      </w:r>
      <w:proofErr w:type="spellStart"/>
      <w:r w:rsidRPr="00653741">
        <w:rPr>
          <w:lang w:val="en-US"/>
        </w:rPr>
        <w:t>üyelerinin</w:t>
      </w:r>
      <w:proofErr w:type="spellEnd"/>
      <w:r w:rsidRPr="00653741">
        <w:rPr>
          <w:lang w:val="en-US"/>
        </w:rPr>
        <w:t xml:space="preserve"> </w:t>
      </w:r>
      <w:proofErr w:type="spellStart"/>
      <w:r w:rsidRPr="00653741">
        <w:rPr>
          <w:lang w:val="en-US"/>
        </w:rPr>
        <w:t>gerekçeleri</w:t>
      </w:r>
      <w:proofErr w:type="spellEnd"/>
      <w:r w:rsidRPr="00653741">
        <w:rPr>
          <w:lang w:val="en-US"/>
        </w:rPr>
        <w:t xml:space="preserve"> </w:t>
      </w:r>
      <w:proofErr w:type="spellStart"/>
      <w:r w:rsidRPr="00653741">
        <w:rPr>
          <w:lang w:val="en-US"/>
        </w:rPr>
        <w:t>üzerinde</w:t>
      </w:r>
      <w:proofErr w:type="spellEnd"/>
      <w:r w:rsidRPr="00653741">
        <w:rPr>
          <w:lang w:val="en-US"/>
        </w:rPr>
        <w:t xml:space="preserve"> </w:t>
      </w:r>
      <w:proofErr w:type="spellStart"/>
      <w:r w:rsidRPr="00653741">
        <w:rPr>
          <w:lang w:val="en-US"/>
        </w:rPr>
        <w:t>uzlaşması</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ardından</w:t>
      </w:r>
      <w:proofErr w:type="spellEnd"/>
      <w:r w:rsidRPr="00653741">
        <w:rPr>
          <w:lang w:val="en-US"/>
        </w:rPr>
        <w:t xml:space="preserve"> </w:t>
      </w:r>
      <w:proofErr w:type="spellStart"/>
      <w:r w:rsidRPr="00653741">
        <w:rPr>
          <w:lang w:val="en-US"/>
        </w:rPr>
        <w:t>bunları</w:t>
      </w:r>
      <w:proofErr w:type="spellEnd"/>
      <w:r w:rsidRPr="00653741">
        <w:rPr>
          <w:lang w:val="en-US"/>
        </w:rPr>
        <w:t xml:space="preserve"> </w:t>
      </w:r>
      <w:proofErr w:type="spellStart"/>
      <w:r w:rsidRPr="00653741">
        <w:rPr>
          <w:lang w:val="en-US"/>
        </w:rPr>
        <w:t>kendi</w:t>
      </w:r>
      <w:proofErr w:type="spellEnd"/>
      <w:r w:rsidRPr="00653741">
        <w:rPr>
          <w:lang w:val="en-US"/>
        </w:rPr>
        <w:t xml:space="preserve"> </w:t>
      </w:r>
      <w:proofErr w:type="spellStart"/>
      <w:r w:rsidRPr="00653741">
        <w:rPr>
          <w:lang w:val="en-US"/>
        </w:rPr>
        <w:t>imzalarıyla</w:t>
      </w:r>
      <w:proofErr w:type="spellEnd"/>
      <w:r w:rsidRPr="00653741">
        <w:rPr>
          <w:lang w:val="en-US"/>
        </w:rPr>
        <w:t xml:space="preserve"> </w:t>
      </w:r>
      <w:proofErr w:type="spellStart"/>
      <w:r w:rsidRPr="00653741">
        <w:rPr>
          <w:lang w:val="en-US"/>
        </w:rPr>
        <w:t>kamuoyuna</w:t>
      </w:r>
      <w:proofErr w:type="spellEnd"/>
      <w:r w:rsidRPr="00653741">
        <w:rPr>
          <w:lang w:val="en-US"/>
        </w:rPr>
        <w:t xml:space="preserve"> </w:t>
      </w:r>
      <w:proofErr w:type="spellStart"/>
      <w:r w:rsidRPr="00653741">
        <w:rPr>
          <w:lang w:val="en-US"/>
        </w:rPr>
        <w:t>şeffaf</w:t>
      </w:r>
      <w:proofErr w:type="spellEnd"/>
      <w:r w:rsidRPr="00653741">
        <w:rPr>
          <w:lang w:val="en-US"/>
        </w:rPr>
        <w:t xml:space="preserve"> </w:t>
      </w:r>
      <w:proofErr w:type="spellStart"/>
      <w:r w:rsidRPr="00653741">
        <w:rPr>
          <w:lang w:val="en-US"/>
        </w:rPr>
        <w:t>bir</w:t>
      </w:r>
      <w:proofErr w:type="spellEnd"/>
      <w:r w:rsidRPr="00653741">
        <w:rPr>
          <w:lang w:val="en-US"/>
        </w:rPr>
        <w:t xml:space="preserve"> </w:t>
      </w:r>
      <w:proofErr w:type="spellStart"/>
      <w:r w:rsidRPr="00653741">
        <w:rPr>
          <w:lang w:val="en-US"/>
        </w:rPr>
        <w:t>şekilde</w:t>
      </w:r>
      <w:proofErr w:type="spellEnd"/>
      <w:r w:rsidRPr="00653741">
        <w:rPr>
          <w:lang w:val="en-US"/>
        </w:rPr>
        <w:t xml:space="preserve"> </w:t>
      </w:r>
      <w:proofErr w:type="spellStart"/>
      <w:r w:rsidRPr="00653741">
        <w:rPr>
          <w:lang w:val="en-US"/>
        </w:rPr>
        <w:t>sunması</w:t>
      </w:r>
      <w:proofErr w:type="spellEnd"/>
      <w:r w:rsidRPr="00653741">
        <w:rPr>
          <w:lang w:val="en-US"/>
        </w:rPr>
        <w:t xml:space="preserve"> </w:t>
      </w:r>
      <w:proofErr w:type="spellStart"/>
      <w:r w:rsidRPr="00653741">
        <w:rPr>
          <w:lang w:val="en-US"/>
        </w:rPr>
        <w:t>gereken</w:t>
      </w:r>
      <w:proofErr w:type="spellEnd"/>
      <w:r w:rsidRPr="00653741">
        <w:rPr>
          <w:lang w:val="en-US"/>
        </w:rPr>
        <w:t xml:space="preserve"> </w:t>
      </w:r>
      <w:proofErr w:type="spellStart"/>
      <w:r w:rsidRPr="00653741">
        <w:rPr>
          <w:lang w:val="en-US"/>
        </w:rPr>
        <w:t>çok</w:t>
      </w:r>
      <w:proofErr w:type="spellEnd"/>
      <w:r w:rsidRPr="00653741">
        <w:rPr>
          <w:lang w:val="en-US"/>
        </w:rPr>
        <w:t xml:space="preserve"> </w:t>
      </w:r>
      <w:proofErr w:type="spellStart"/>
      <w:r w:rsidRPr="00653741">
        <w:rPr>
          <w:lang w:val="en-US"/>
        </w:rPr>
        <w:t>üyeli</w:t>
      </w:r>
      <w:proofErr w:type="spellEnd"/>
      <w:r w:rsidRPr="00653741">
        <w:rPr>
          <w:lang w:val="en-US"/>
        </w:rPr>
        <w:t xml:space="preserve"> </w:t>
      </w:r>
      <w:proofErr w:type="spellStart"/>
      <w:r w:rsidRPr="00653741">
        <w:rPr>
          <w:lang w:val="en-US"/>
        </w:rPr>
        <w:t>mahkemelere</w:t>
      </w:r>
      <w:proofErr w:type="spellEnd"/>
      <w:r w:rsidRPr="00653741">
        <w:rPr>
          <w:lang w:val="en-US"/>
        </w:rPr>
        <w:t xml:space="preserve"> (multi-member courts) </w:t>
      </w:r>
      <w:proofErr w:type="spellStart"/>
      <w:r w:rsidRPr="00653741">
        <w:rPr>
          <w:lang w:val="en-US"/>
        </w:rPr>
        <w:t>emanet</w:t>
      </w:r>
      <w:proofErr w:type="spellEnd"/>
      <w:r w:rsidRPr="00653741">
        <w:rPr>
          <w:lang w:val="en-US"/>
        </w:rPr>
        <w:t xml:space="preserve"> </w:t>
      </w:r>
      <w:proofErr w:type="spellStart"/>
      <w:r w:rsidRPr="00653741">
        <w:rPr>
          <w:lang w:val="en-US"/>
        </w:rPr>
        <w:t>ettiğimiz</w:t>
      </w:r>
      <w:proofErr w:type="spellEnd"/>
      <w:r w:rsidRPr="00653741">
        <w:rPr>
          <w:lang w:val="en-US"/>
        </w:rPr>
        <w:t xml:space="preserve"> yönündedir.³⁹</w:t>
      </w:r>
      <w:r>
        <w:rPr>
          <w:lang w:val="en-US"/>
        </w:rPr>
        <w:t xml:space="preserve"> </w:t>
      </w:r>
      <w:r>
        <w:rPr>
          <w:rStyle w:val="FootnoteReference"/>
          <w:lang w:val="en-US"/>
        </w:rPr>
        <w:footnoteReference w:id="39"/>
      </w:r>
      <w:r>
        <w:rPr>
          <w:lang w:val="en-US"/>
        </w:rPr>
        <w:t xml:space="preserve"> </w:t>
      </w:r>
      <w:proofErr w:type="spellStart"/>
      <w:r w:rsidRPr="00653741">
        <w:rPr>
          <w:lang w:val="en-US"/>
        </w:rPr>
        <w:t>Mesleki</w:t>
      </w:r>
      <w:proofErr w:type="spellEnd"/>
      <w:r w:rsidRPr="00653741">
        <w:rPr>
          <w:lang w:val="en-US"/>
        </w:rPr>
        <w:t xml:space="preserve"> </w:t>
      </w:r>
      <w:proofErr w:type="spellStart"/>
      <w:r w:rsidRPr="00653741">
        <w:rPr>
          <w:lang w:val="en-US"/>
        </w:rPr>
        <w:t>dayanışma</w:t>
      </w:r>
      <w:proofErr w:type="spellEnd"/>
      <w:r w:rsidRPr="00653741">
        <w:rPr>
          <w:lang w:val="en-US"/>
        </w:rPr>
        <w:t xml:space="preserve"> (collegiality) </w:t>
      </w:r>
      <w:proofErr w:type="spellStart"/>
      <w:r w:rsidRPr="00653741">
        <w:rPr>
          <w:lang w:val="en-US"/>
        </w:rPr>
        <w:t>ve</w:t>
      </w:r>
      <w:proofErr w:type="spellEnd"/>
      <w:r w:rsidRPr="00653741">
        <w:rPr>
          <w:lang w:val="en-US"/>
        </w:rPr>
        <w:t xml:space="preserve"> </w:t>
      </w:r>
      <w:proofErr w:type="spellStart"/>
      <w:r w:rsidRPr="00653741">
        <w:rPr>
          <w:lang w:val="en-US"/>
        </w:rPr>
        <w:t>şeffaflık</w:t>
      </w:r>
      <w:proofErr w:type="spellEnd"/>
      <w:r w:rsidRPr="00653741">
        <w:rPr>
          <w:lang w:val="en-US"/>
        </w:rPr>
        <w:t xml:space="preserve"> </w:t>
      </w:r>
      <w:proofErr w:type="spellStart"/>
      <w:r w:rsidRPr="00653741">
        <w:rPr>
          <w:lang w:val="en-US"/>
        </w:rPr>
        <w:t>normlarının</w:t>
      </w:r>
      <w:proofErr w:type="spellEnd"/>
      <w:r w:rsidRPr="00653741">
        <w:rPr>
          <w:lang w:val="en-US"/>
        </w:rPr>
        <w:t xml:space="preserve"> </w:t>
      </w:r>
      <w:proofErr w:type="spellStart"/>
      <w:r w:rsidRPr="00653741">
        <w:rPr>
          <w:lang w:val="en-US"/>
        </w:rPr>
        <w:t>anayasal</w:t>
      </w:r>
      <w:proofErr w:type="spellEnd"/>
      <w:r w:rsidRPr="00653741">
        <w:rPr>
          <w:lang w:val="en-US"/>
        </w:rPr>
        <w:t xml:space="preserve"> </w:t>
      </w:r>
      <w:proofErr w:type="spellStart"/>
      <w:r w:rsidRPr="00653741">
        <w:rPr>
          <w:lang w:val="en-US"/>
        </w:rPr>
        <w:t>söylemimizin</w:t>
      </w:r>
      <w:proofErr w:type="spellEnd"/>
      <w:r w:rsidRPr="00653741">
        <w:rPr>
          <w:lang w:val="en-US"/>
        </w:rPr>
        <w:t xml:space="preserve"> </w:t>
      </w:r>
      <w:proofErr w:type="spellStart"/>
      <w:r w:rsidRPr="00653741">
        <w:rPr>
          <w:lang w:val="en-US"/>
        </w:rPr>
        <w:t>tonuna</w:t>
      </w:r>
      <w:proofErr w:type="spellEnd"/>
      <w:r w:rsidRPr="00653741">
        <w:rPr>
          <w:lang w:val="en-US"/>
        </w:rPr>
        <w:t xml:space="preserve"> (</w:t>
      </w:r>
      <w:proofErr w:type="spellStart"/>
      <w:r w:rsidRPr="00653741">
        <w:rPr>
          <w:lang w:val="en-US"/>
        </w:rPr>
        <w:t>hatta</w:t>
      </w:r>
      <w:proofErr w:type="spellEnd"/>
      <w:r w:rsidRPr="00653741">
        <w:rPr>
          <w:lang w:val="en-US"/>
        </w:rPr>
        <w:t xml:space="preserve"> </w:t>
      </w:r>
      <w:proofErr w:type="spellStart"/>
      <w:r w:rsidRPr="00653741">
        <w:rPr>
          <w:lang w:val="en-US"/>
        </w:rPr>
        <w:t>içeriğine</w:t>
      </w:r>
      <w:proofErr w:type="spellEnd"/>
      <w:r w:rsidRPr="00653741">
        <w:rPr>
          <w:lang w:val="en-US"/>
        </w:rPr>
        <w:t xml:space="preserve">) </w:t>
      </w:r>
      <w:proofErr w:type="spellStart"/>
      <w:r w:rsidRPr="00653741">
        <w:rPr>
          <w:lang w:val="en-US"/>
        </w:rPr>
        <w:t>olumlu</w:t>
      </w:r>
      <w:proofErr w:type="spellEnd"/>
      <w:r w:rsidRPr="00653741">
        <w:rPr>
          <w:lang w:val="en-US"/>
        </w:rPr>
        <w:t xml:space="preserve"> </w:t>
      </w:r>
      <w:proofErr w:type="spellStart"/>
      <w:r w:rsidRPr="00653741">
        <w:rPr>
          <w:lang w:val="en-US"/>
        </w:rPr>
        <w:t>etkileri</w:t>
      </w:r>
      <w:proofErr w:type="spellEnd"/>
      <w:r w:rsidRPr="00653741">
        <w:rPr>
          <w:lang w:val="en-US"/>
        </w:rPr>
        <w:t xml:space="preserve"> </w:t>
      </w:r>
      <w:proofErr w:type="spellStart"/>
      <w:r w:rsidRPr="00653741">
        <w:rPr>
          <w:lang w:val="en-US"/>
        </w:rPr>
        <w:t>olabileceği</w:t>
      </w:r>
      <w:proofErr w:type="spellEnd"/>
      <w:r w:rsidRPr="00653741">
        <w:rPr>
          <w:lang w:val="en-US"/>
        </w:rPr>
        <w:t xml:space="preserve"> </w:t>
      </w:r>
      <w:proofErr w:type="spellStart"/>
      <w:r w:rsidRPr="00653741">
        <w:rPr>
          <w:lang w:val="en-US"/>
        </w:rPr>
        <w:t>doğru</w:t>
      </w:r>
      <w:proofErr w:type="spellEnd"/>
      <w:r w:rsidRPr="00653741">
        <w:rPr>
          <w:lang w:val="en-US"/>
        </w:rPr>
        <w:t xml:space="preserve"> </w:t>
      </w:r>
      <w:proofErr w:type="spellStart"/>
      <w:r w:rsidRPr="00653741">
        <w:rPr>
          <w:lang w:val="en-US"/>
        </w:rPr>
        <w:t>olsa</w:t>
      </w:r>
      <w:proofErr w:type="spellEnd"/>
      <w:r w:rsidRPr="00653741">
        <w:rPr>
          <w:lang w:val="en-US"/>
        </w:rPr>
        <w:t xml:space="preserve"> da, </w:t>
      </w:r>
      <w:proofErr w:type="spellStart"/>
      <w:r w:rsidRPr="00653741">
        <w:rPr>
          <w:lang w:val="en-US"/>
        </w:rPr>
        <w:t>anayasa</w:t>
      </w:r>
      <w:proofErr w:type="spellEnd"/>
      <w:r w:rsidRPr="00653741">
        <w:rPr>
          <w:lang w:val="en-US"/>
        </w:rPr>
        <w:t xml:space="preserve"> </w:t>
      </w:r>
      <w:proofErr w:type="spellStart"/>
      <w:r w:rsidRPr="00653741">
        <w:rPr>
          <w:lang w:val="en-US"/>
        </w:rPr>
        <w:t>teorisyenleri</w:t>
      </w:r>
      <w:proofErr w:type="spellEnd"/>
      <w:r w:rsidRPr="00653741">
        <w:rPr>
          <w:lang w:val="en-US"/>
        </w:rPr>
        <w:t xml:space="preserve"> </w:t>
      </w:r>
      <w:proofErr w:type="spellStart"/>
      <w:r w:rsidRPr="00653741">
        <w:rPr>
          <w:lang w:val="en-US"/>
        </w:rPr>
        <w:t>genellikle</w:t>
      </w:r>
      <w:proofErr w:type="spellEnd"/>
      <w:r w:rsidRPr="00653741">
        <w:rPr>
          <w:lang w:val="en-US"/>
        </w:rPr>
        <w:t xml:space="preserve"> </w:t>
      </w:r>
      <w:proofErr w:type="spellStart"/>
      <w:r w:rsidRPr="00653741">
        <w:rPr>
          <w:lang w:val="en-US"/>
        </w:rPr>
        <w:t>bu</w:t>
      </w:r>
      <w:proofErr w:type="spellEnd"/>
      <w:r w:rsidRPr="00653741">
        <w:rPr>
          <w:lang w:val="en-US"/>
        </w:rPr>
        <w:t xml:space="preserve"> </w:t>
      </w:r>
      <w:proofErr w:type="spellStart"/>
      <w:r w:rsidRPr="00653741">
        <w:rPr>
          <w:lang w:val="en-US"/>
        </w:rPr>
        <w:t>normların</w:t>
      </w:r>
      <w:proofErr w:type="spellEnd"/>
      <w:r w:rsidRPr="00653741">
        <w:rPr>
          <w:lang w:val="en-US"/>
        </w:rPr>
        <w:t xml:space="preserve"> </w:t>
      </w:r>
      <w:proofErr w:type="spellStart"/>
      <w:r w:rsidRPr="00653741">
        <w:rPr>
          <w:lang w:val="en-US"/>
        </w:rPr>
        <w:t>mevcut</w:t>
      </w:r>
      <w:proofErr w:type="spellEnd"/>
      <w:r w:rsidRPr="00653741">
        <w:rPr>
          <w:lang w:val="en-US"/>
        </w:rPr>
        <w:t xml:space="preserve"> </w:t>
      </w:r>
      <w:proofErr w:type="spellStart"/>
      <w:r w:rsidRPr="00653741">
        <w:rPr>
          <w:lang w:val="en-US"/>
        </w:rPr>
        <w:t>anayasal</w:t>
      </w:r>
      <w:proofErr w:type="spellEnd"/>
      <w:r w:rsidRPr="00653741">
        <w:rPr>
          <w:lang w:val="en-US"/>
        </w:rPr>
        <w:t xml:space="preserve"> </w:t>
      </w:r>
      <w:proofErr w:type="spellStart"/>
      <w:r w:rsidRPr="00653741">
        <w:rPr>
          <w:lang w:val="en-US"/>
        </w:rPr>
        <w:t>pratiğimizdeki</w:t>
      </w:r>
      <w:proofErr w:type="spellEnd"/>
      <w:r w:rsidRPr="00653741">
        <w:rPr>
          <w:lang w:val="en-US"/>
        </w:rPr>
        <w:t xml:space="preserve"> </w:t>
      </w:r>
      <w:proofErr w:type="spellStart"/>
      <w:r w:rsidRPr="00653741">
        <w:rPr>
          <w:lang w:val="en-US"/>
        </w:rPr>
        <w:t>merkezi</w:t>
      </w:r>
      <w:proofErr w:type="spellEnd"/>
      <w:r w:rsidRPr="00653741">
        <w:rPr>
          <w:lang w:val="en-US"/>
        </w:rPr>
        <w:t xml:space="preserve"> </w:t>
      </w:r>
      <w:proofErr w:type="spellStart"/>
      <w:r w:rsidRPr="00653741">
        <w:rPr>
          <w:lang w:val="en-US"/>
        </w:rPr>
        <w:t>önemini</w:t>
      </w:r>
      <w:proofErr w:type="spellEnd"/>
      <w:r w:rsidRPr="00653741">
        <w:rPr>
          <w:lang w:val="en-US"/>
        </w:rPr>
        <w:t xml:space="preserve"> </w:t>
      </w:r>
      <w:proofErr w:type="spellStart"/>
      <w:r w:rsidRPr="00653741">
        <w:rPr>
          <w:lang w:val="en-US"/>
        </w:rPr>
        <w:t>abartma</w:t>
      </w:r>
      <w:proofErr w:type="spellEnd"/>
      <w:r w:rsidRPr="00653741">
        <w:rPr>
          <w:lang w:val="en-US"/>
        </w:rPr>
        <w:t xml:space="preserve"> </w:t>
      </w:r>
      <w:proofErr w:type="spellStart"/>
      <w:r w:rsidRPr="00653741">
        <w:rPr>
          <w:lang w:val="en-US"/>
        </w:rPr>
        <w:t>ve</w:t>
      </w:r>
      <w:proofErr w:type="spellEnd"/>
      <w:r w:rsidRPr="00653741">
        <w:rPr>
          <w:lang w:val="en-US"/>
        </w:rPr>
        <w:t xml:space="preserve"> </w:t>
      </w:r>
      <w:proofErr w:type="spellStart"/>
      <w:r w:rsidRPr="00653741">
        <w:rPr>
          <w:lang w:val="en-US"/>
        </w:rPr>
        <w:t>bunları</w:t>
      </w:r>
      <w:proofErr w:type="spellEnd"/>
      <w:r w:rsidRPr="00653741">
        <w:rPr>
          <w:lang w:val="en-US"/>
        </w:rPr>
        <w:t xml:space="preserve"> </w:t>
      </w:r>
      <w:proofErr w:type="spellStart"/>
      <w:r w:rsidRPr="00653741">
        <w:rPr>
          <w:lang w:val="en-US"/>
        </w:rPr>
        <w:t>anayasal</w:t>
      </w:r>
      <w:proofErr w:type="spellEnd"/>
      <w:r w:rsidRPr="00653741">
        <w:rPr>
          <w:lang w:val="en-US"/>
        </w:rPr>
        <w:t xml:space="preserve"> </w:t>
      </w:r>
      <w:proofErr w:type="spellStart"/>
      <w:r w:rsidRPr="00653741">
        <w:rPr>
          <w:lang w:val="en-US"/>
        </w:rPr>
        <w:t>tasarımımızın</w:t>
      </w:r>
      <w:proofErr w:type="spellEnd"/>
      <w:r w:rsidRPr="00653741">
        <w:rPr>
          <w:lang w:val="en-US"/>
        </w:rPr>
        <w:t xml:space="preserve"> (constitutional design) </w:t>
      </w:r>
      <w:proofErr w:type="spellStart"/>
      <w:r w:rsidRPr="00653741">
        <w:rPr>
          <w:lang w:val="en-US"/>
        </w:rPr>
        <w:t>içkin</w:t>
      </w:r>
      <w:proofErr w:type="spellEnd"/>
      <w:r w:rsidRPr="00653741">
        <w:rPr>
          <w:lang w:val="en-US"/>
        </w:rPr>
        <w:t xml:space="preserve"> </w:t>
      </w:r>
      <w:proofErr w:type="spellStart"/>
      <w:r w:rsidRPr="00653741">
        <w:rPr>
          <w:lang w:val="en-US"/>
        </w:rPr>
        <w:t>unsurları</w:t>
      </w:r>
      <w:proofErr w:type="spellEnd"/>
      <w:r w:rsidRPr="00653741">
        <w:rPr>
          <w:lang w:val="en-US"/>
        </w:rPr>
        <w:t xml:space="preserve"> </w:t>
      </w:r>
      <w:proofErr w:type="spellStart"/>
      <w:r w:rsidRPr="00653741">
        <w:rPr>
          <w:lang w:val="en-US"/>
        </w:rPr>
        <w:t>olarak</w:t>
      </w:r>
      <w:proofErr w:type="spellEnd"/>
      <w:r w:rsidRPr="00653741">
        <w:rPr>
          <w:lang w:val="en-US"/>
        </w:rPr>
        <w:t xml:space="preserve"> </w:t>
      </w:r>
      <w:proofErr w:type="spellStart"/>
      <w:r w:rsidRPr="00653741">
        <w:rPr>
          <w:lang w:val="en-US"/>
        </w:rPr>
        <w:t>ele</w:t>
      </w:r>
      <w:proofErr w:type="spellEnd"/>
      <w:r w:rsidRPr="00653741">
        <w:rPr>
          <w:lang w:val="en-US"/>
        </w:rPr>
        <w:t xml:space="preserve"> alma </w:t>
      </w:r>
      <w:proofErr w:type="spellStart"/>
      <w:r w:rsidRPr="00653741">
        <w:rPr>
          <w:lang w:val="en-US"/>
        </w:rPr>
        <w:t>eğilimindedir</w:t>
      </w:r>
      <w:proofErr w:type="spellEnd"/>
      <w:r w:rsidRPr="00653741">
        <w:rPr>
          <w:lang w:val="en-US"/>
        </w:rPr>
        <w:t>.</w:t>
      </w:r>
    </w:p>
    <w:p w14:paraId="1F24C064" w14:textId="6737CB2B" w:rsidR="00653741" w:rsidRDefault="006C0620" w:rsidP="006C0620">
      <w:pPr>
        <w:rPr>
          <w:lang w:val="en-US"/>
        </w:rPr>
      </w:pPr>
      <w:r w:rsidRPr="006C0620">
        <w:rPr>
          <w:lang w:val="en-US"/>
        </w:rPr>
        <w:t xml:space="preserve">Bir </w:t>
      </w:r>
      <w:proofErr w:type="spellStart"/>
      <w:r w:rsidRPr="006C0620">
        <w:rPr>
          <w:lang w:val="en-US"/>
        </w:rPr>
        <w:t>kez</w:t>
      </w:r>
      <w:proofErr w:type="spellEnd"/>
      <w:r w:rsidRPr="006C0620">
        <w:rPr>
          <w:lang w:val="en-US"/>
        </w:rPr>
        <w:t xml:space="preserve"> </w:t>
      </w:r>
      <w:proofErr w:type="spellStart"/>
      <w:r w:rsidRPr="006C0620">
        <w:rPr>
          <w:lang w:val="en-US"/>
        </w:rPr>
        <w:t>daha</w:t>
      </w:r>
      <w:proofErr w:type="spellEnd"/>
      <w:r w:rsidRPr="006C0620">
        <w:rPr>
          <w:lang w:val="en-US"/>
        </w:rPr>
        <w:t xml:space="preserve">, </w:t>
      </w:r>
      <w:proofErr w:type="spellStart"/>
      <w:r w:rsidRPr="006C0620">
        <w:rPr>
          <w:lang w:val="en-US"/>
        </w:rPr>
        <w:t>tarih</w:t>
      </w:r>
      <w:proofErr w:type="spellEnd"/>
      <w:r w:rsidRPr="006C0620">
        <w:rPr>
          <w:lang w:val="en-US"/>
        </w:rPr>
        <w:t xml:space="preserve"> </w:t>
      </w:r>
      <w:proofErr w:type="spellStart"/>
      <w:r w:rsidRPr="006C0620">
        <w:rPr>
          <w:lang w:val="en-US"/>
        </w:rPr>
        <w:t>bu</w:t>
      </w:r>
      <w:proofErr w:type="spellEnd"/>
      <w:r w:rsidRPr="006C0620">
        <w:rPr>
          <w:lang w:val="en-US"/>
        </w:rPr>
        <w:t xml:space="preserve"> </w:t>
      </w:r>
      <w:proofErr w:type="spellStart"/>
      <w:r w:rsidRPr="006C0620">
        <w:rPr>
          <w:lang w:val="en-US"/>
        </w:rPr>
        <w:t>iddiaları</w:t>
      </w:r>
      <w:proofErr w:type="spellEnd"/>
      <w:r w:rsidRPr="006C0620">
        <w:rPr>
          <w:lang w:val="en-US"/>
        </w:rPr>
        <w:t xml:space="preserve"> </w:t>
      </w:r>
      <w:proofErr w:type="spellStart"/>
      <w:r w:rsidRPr="006C0620">
        <w:rPr>
          <w:lang w:val="en-US"/>
        </w:rPr>
        <w:t>çürütmektedir</w:t>
      </w:r>
      <w:proofErr w:type="spellEnd"/>
      <w:r w:rsidRPr="006C0620">
        <w:rPr>
          <w:lang w:val="en-US"/>
        </w:rPr>
        <w:t xml:space="preserve">. </w:t>
      </w:r>
      <w:proofErr w:type="spellStart"/>
      <w:r w:rsidRPr="006C0620">
        <w:rPr>
          <w:lang w:val="en-US"/>
        </w:rPr>
        <w:t>Aksine</w:t>
      </w:r>
      <w:proofErr w:type="spellEnd"/>
      <w:r w:rsidRPr="006C0620">
        <w:rPr>
          <w:lang w:val="en-US"/>
        </w:rPr>
        <w:t xml:space="preserve">, </w:t>
      </w:r>
      <w:proofErr w:type="spellStart"/>
      <w:r w:rsidRPr="006C0620">
        <w:rPr>
          <w:lang w:val="en-US"/>
        </w:rPr>
        <w:t>gerekçeli</w:t>
      </w:r>
      <w:proofErr w:type="spellEnd"/>
      <w:r w:rsidRPr="006C0620">
        <w:rPr>
          <w:lang w:val="en-US"/>
        </w:rPr>
        <w:t xml:space="preserve"> </w:t>
      </w:r>
      <w:proofErr w:type="spellStart"/>
      <w:r w:rsidRPr="006C0620">
        <w:rPr>
          <w:lang w:val="en-US"/>
        </w:rPr>
        <w:t>karar</w:t>
      </w:r>
      <w:proofErr w:type="spellEnd"/>
      <w:r w:rsidRPr="006C0620">
        <w:rPr>
          <w:lang w:val="en-US"/>
        </w:rPr>
        <w:t xml:space="preserve"> </w:t>
      </w:r>
      <w:proofErr w:type="spellStart"/>
      <w:r w:rsidRPr="006C0620">
        <w:rPr>
          <w:lang w:val="en-US"/>
        </w:rPr>
        <w:t>yazma</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dolaşıma</w:t>
      </w:r>
      <w:proofErr w:type="spellEnd"/>
      <w:r w:rsidRPr="006C0620">
        <w:rPr>
          <w:lang w:val="en-US"/>
        </w:rPr>
        <w:t xml:space="preserve"> </w:t>
      </w:r>
      <w:proofErr w:type="spellStart"/>
      <w:r w:rsidRPr="006C0620">
        <w:rPr>
          <w:lang w:val="en-US"/>
        </w:rPr>
        <w:t>sokma</w:t>
      </w:r>
      <w:proofErr w:type="spellEnd"/>
      <w:r w:rsidRPr="006C0620">
        <w:rPr>
          <w:lang w:val="en-US"/>
        </w:rPr>
        <w:t xml:space="preserve"> </w:t>
      </w:r>
      <w:proofErr w:type="spellStart"/>
      <w:r w:rsidRPr="006C0620">
        <w:rPr>
          <w:lang w:val="en-US"/>
        </w:rPr>
        <w:t>uygulamaları</w:t>
      </w:r>
      <w:proofErr w:type="spellEnd"/>
      <w:r w:rsidRPr="006C0620">
        <w:rPr>
          <w:lang w:val="en-US"/>
        </w:rPr>
        <w:t xml:space="preserve"> </w:t>
      </w:r>
      <w:proofErr w:type="spellStart"/>
      <w:r w:rsidRPr="006C0620">
        <w:rPr>
          <w:lang w:val="en-US"/>
        </w:rPr>
        <w:t>ile</w:t>
      </w:r>
      <w:proofErr w:type="spellEnd"/>
      <w:r w:rsidRPr="006C0620">
        <w:rPr>
          <w:lang w:val="en-US"/>
        </w:rPr>
        <w:t xml:space="preserve"> Yüksek </w:t>
      </w:r>
      <w:proofErr w:type="spellStart"/>
      <w:r w:rsidRPr="006C0620">
        <w:rPr>
          <w:lang w:val="en-US"/>
        </w:rPr>
        <w:t>Mahkeme</w:t>
      </w:r>
      <w:proofErr w:type="spellEnd"/>
      <w:r w:rsidRPr="006C0620">
        <w:rPr>
          <w:lang w:val="en-US"/>
        </w:rPr>
        <w:t xml:space="preserve"> </w:t>
      </w:r>
      <w:proofErr w:type="spellStart"/>
      <w:r w:rsidRPr="006C0620">
        <w:rPr>
          <w:lang w:val="en-US"/>
        </w:rPr>
        <w:t>yargıçları</w:t>
      </w:r>
      <w:proofErr w:type="spellEnd"/>
      <w:r w:rsidRPr="006C0620">
        <w:rPr>
          <w:lang w:val="en-US"/>
        </w:rPr>
        <w:t xml:space="preserve"> (Justices) </w:t>
      </w:r>
      <w:proofErr w:type="spellStart"/>
      <w:r w:rsidRPr="006C0620">
        <w:rPr>
          <w:lang w:val="en-US"/>
        </w:rPr>
        <w:t>arasındaki</w:t>
      </w:r>
      <w:proofErr w:type="spellEnd"/>
      <w:r w:rsidRPr="006C0620">
        <w:rPr>
          <w:lang w:val="en-US"/>
        </w:rPr>
        <w:t xml:space="preserve"> </w:t>
      </w:r>
      <w:proofErr w:type="spellStart"/>
      <w:r w:rsidRPr="006C0620">
        <w:rPr>
          <w:lang w:val="en-US"/>
        </w:rPr>
        <w:t>ilişkilerin</w:t>
      </w:r>
      <w:proofErr w:type="spellEnd"/>
      <w:r w:rsidRPr="006C0620">
        <w:rPr>
          <w:lang w:val="en-US"/>
        </w:rPr>
        <w:t xml:space="preserve"> </w:t>
      </w:r>
      <w:proofErr w:type="spellStart"/>
      <w:r w:rsidRPr="006C0620">
        <w:rPr>
          <w:lang w:val="en-US"/>
        </w:rPr>
        <w:t>kendine</w:t>
      </w:r>
      <w:proofErr w:type="spellEnd"/>
      <w:r w:rsidRPr="006C0620">
        <w:rPr>
          <w:lang w:val="en-US"/>
        </w:rPr>
        <w:t xml:space="preserve"> </w:t>
      </w:r>
      <w:proofErr w:type="spellStart"/>
      <w:r w:rsidRPr="006C0620">
        <w:rPr>
          <w:lang w:val="en-US"/>
        </w:rPr>
        <w:t>özgü</w:t>
      </w:r>
      <w:proofErr w:type="spellEnd"/>
      <w:r w:rsidRPr="006C0620">
        <w:rPr>
          <w:lang w:val="en-US"/>
        </w:rPr>
        <w:t xml:space="preserve"> </w:t>
      </w:r>
      <w:proofErr w:type="spellStart"/>
      <w:r w:rsidRPr="006C0620">
        <w:rPr>
          <w:lang w:val="en-US"/>
        </w:rPr>
        <w:t>karmaşık</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geçmişi</w:t>
      </w:r>
      <w:proofErr w:type="spellEnd"/>
      <w:r w:rsidRPr="006C0620">
        <w:rPr>
          <w:lang w:val="en-US"/>
        </w:rPr>
        <w:t xml:space="preserve"> </w:t>
      </w:r>
      <w:proofErr w:type="spellStart"/>
      <w:r w:rsidRPr="006C0620">
        <w:rPr>
          <w:lang w:val="en-US"/>
        </w:rPr>
        <w:t>vardır</w:t>
      </w:r>
      <w:proofErr w:type="spellEnd"/>
      <w:r w:rsidRPr="006C0620">
        <w:rPr>
          <w:lang w:val="en-US"/>
        </w:rPr>
        <w:t xml:space="preserve">. En </w:t>
      </w:r>
      <w:proofErr w:type="spellStart"/>
      <w:r w:rsidRPr="006C0620">
        <w:rPr>
          <w:lang w:val="en-US"/>
        </w:rPr>
        <w:t>bariz</w:t>
      </w:r>
      <w:proofErr w:type="spellEnd"/>
      <w:r w:rsidRPr="006C0620">
        <w:rPr>
          <w:lang w:val="en-US"/>
        </w:rPr>
        <w:t xml:space="preserve"> </w:t>
      </w:r>
      <w:proofErr w:type="spellStart"/>
      <w:r w:rsidRPr="006C0620">
        <w:rPr>
          <w:lang w:val="en-US"/>
        </w:rPr>
        <w:t>noktadan</w:t>
      </w:r>
      <w:proofErr w:type="spellEnd"/>
      <w:r w:rsidRPr="006C0620">
        <w:rPr>
          <w:lang w:val="en-US"/>
        </w:rPr>
        <w:t xml:space="preserve"> </w:t>
      </w:r>
      <w:proofErr w:type="spellStart"/>
      <w:r w:rsidRPr="006C0620">
        <w:rPr>
          <w:lang w:val="en-US"/>
        </w:rPr>
        <w:t>başlamak</w:t>
      </w:r>
      <w:proofErr w:type="spellEnd"/>
      <w:r w:rsidRPr="006C0620">
        <w:rPr>
          <w:lang w:val="en-US"/>
        </w:rPr>
        <w:t xml:space="preserve"> </w:t>
      </w:r>
      <w:proofErr w:type="spellStart"/>
      <w:r w:rsidRPr="006C0620">
        <w:rPr>
          <w:lang w:val="en-US"/>
        </w:rPr>
        <w:t>gerekirse</w:t>
      </w:r>
      <w:proofErr w:type="spellEnd"/>
      <w:r w:rsidRPr="006C0620">
        <w:rPr>
          <w:lang w:val="en-US"/>
        </w:rPr>
        <w:t xml:space="preserve">, </w:t>
      </w:r>
      <w:proofErr w:type="spellStart"/>
      <w:r w:rsidRPr="006C0620">
        <w:rPr>
          <w:lang w:val="en-US"/>
        </w:rPr>
        <w:t>kurucuların</w:t>
      </w:r>
      <w:proofErr w:type="spellEnd"/>
      <w:r w:rsidRPr="006C0620">
        <w:rPr>
          <w:lang w:val="en-US"/>
        </w:rPr>
        <w:t xml:space="preserve"> (Framers) </w:t>
      </w:r>
      <w:proofErr w:type="spellStart"/>
      <w:r w:rsidRPr="006C0620">
        <w:rPr>
          <w:lang w:val="en-US"/>
        </w:rPr>
        <w:t>yargısal</w:t>
      </w:r>
      <w:proofErr w:type="spellEnd"/>
      <w:r w:rsidRPr="006C0620">
        <w:rPr>
          <w:lang w:val="en-US"/>
        </w:rPr>
        <w:t xml:space="preserve"> </w:t>
      </w:r>
      <w:proofErr w:type="spellStart"/>
      <w:r w:rsidRPr="006C0620">
        <w:rPr>
          <w:lang w:val="en-US"/>
        </w:rPr>
        <w:t>kötüye</w:t>
      </w:r>
      <w:proofErr w:type="spellEnd"/>
      <w:r w:rsidRPr="006C0620">
        <w:rPr>
          <w:lang w:val="en-US"/>
        </w:rPr>
        <w:t xml:space="preserve"> </w:t>
      </w:r>
      <w:proofErr w:type="spellStart"/>
      <w:r w:rsidRPr="006C0620">
        <w:rPr>
          <w:lang w:val="en-US"/>
        </w:rPr>
        <w:t>kullanım</w:t>
      </w:r>
      <w:proofErr w:type="spellEnd"/>
      <w:r w:rsidRPr="006C0620">
        <w:rPr>
          <w:lang w:val="en-US"/>
        </w:rPr>
        <w:t xml:space="preserve"> </w:t>
      </w:r>
      <w:proofErr w:type="spellStart"/>
      <w:r w:rsidRPr="006C0620">
        <w:rPr>
          <w:lang w:val="en-US"/>
        </w:rPr>
        <w:t>potansiyelini</w:t>
      </w:r>
      <w:proofErr w:type="spellEnd"/>
      <w:r w:rsidRPr="006C0620">
        <w:rPr>
          <w:lang w:val="en-US"/>
        </w:rPr>
        <w:t xml:space="preserve"> </w:t>
      </w:r>
      <w:proofErr w:type="spellStart"/>
      <w:r w:rsidRPr="006C0620">
        <w:rPr>
          <w:lang w:val="en-US"/>
        </w:rPr>
        <w:t>sınırlamak</w:t>
      </w:r>
      <w:proofErr w:type="spellEnd"/>
      <w:r w:rsidRPr="006C0620">
        <w:rPr>
          <w:lang w:val="en-US"/>
        </w:rPr>
        <w:t xml:space="preserve"> </w:t>
      </w:r>
      <w:proofErr w:type="spellStart"/>
      <w:r w:rsidRPr="006C0620">
        <w:rPr>
          <w:lang w:val="en-US"/>
        </w:rPr>
        <w:t>amacıyla</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kararlarının</w:t>
      </w:r>
      <w:proofErr w:type="spellEnd"/>
      <w:r w:rsidRPr="006C0620">
        <w:rPr>
          <w:lang w:val="en-US"/>
        </w:rPr>
        <w:t xml:space="preserve"> </w:t>
      </w:r>
      <w:proofErr w:type="spellStart"/>
      <w:r w:rsidRPr="006C0620">
        <w:rPr>
          <w:lang w:val="en-US"/>
        </w:rPr>
        <w:t>dili</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gerekçesi</w:t>
      </w:r>
      <w:proofErr w:type="spellEnd"/>
      <w:r w:rsidRPr="006C0620">
        <w:rPr>
          <w:lang w:val="en-US"/>
        </w:rPr>
        <w:t xml:space="preserve"> </w:t>
      </w:r>
      <w:proofErr w:type="spellStart"/>
      <w:r w:rsidRPr="006C0620">
        <w:rPr>
          <w:lang w:val="en-US"/>
        </w:rPr>
        <w:t>üzerinde</w:t>
      </w:r>
      <w:proofErr w:type="spellEnd"/>
      <w:r w:rsidRPr="006C0620">
        <w:rPr>
          <w:lang w:val="en-US"/>
        </w:rPr>
        <w:t xml:space="preserve"> </w:t>
      </w:r>
      <w:proofErr w:type="spellStart"/>
      <w:r w:rsidRPr="006C0620">
        <w:rPr>
          <w:lang w:val="en-US"/>
        </w:rPr>
        <w:t>uzlaşmalarını</w:t>
      </w:r>
      <w:proofErr w:type="spellEnd"/>
      <w:r w:rsidRPr="006C0620">
        <w:rPr>
          <w:lang w:val="en-US"/>
        </w:rPr>
        <w:t xml:space="preserve"> </w:t>
      </w:r>
      <w:proofErr w:type="spellStart"/>
      <w:r w:rsidRPr="006C0620">
        <w:rPr>
          <w:lang w:val="en-US"/>
        </w:rPr>
        <w:t>şart</w:t>
      </w:r>
      <w:proofErr w:type="spellEnd"/>
      <w:r w:rsidRPr="006C0620">
        <w:rPr>
          <w:lang w:val="en-US"/>
        </w:rPr>
        <w:t xml:space="preserve"> </w:t>
      </w:r>
      <w:proofErr w:type="spellStart"/>
      <w:r w:rsidRPr="006C0620">
        <w:rPr>
          <w:lang w:val="en-US"/>
        </w:rPr>
        <w:t>koştuğu</w:t>
      </w:r>
      <w:proofErr w:type="spellEnd"/>
      <w:r w:rsidRPr="006C0620">
        <w:rPr>
          <w:lang w:val="en-US"/>
        </w:rPr>
        <w:t xml:space="preserve"> </w:t>
      </w:r>
      <w:proofErr w:type="spellStart"/>
      <w:r w:rsidRPr="006C0620">
        <w:rPr>
          <w:lang w:val="en-US"/>
        </w:rPr>
        <w:t>iddiası</w:t>
      </w:r>
      <w:proofErr w:type="spellEnd"/>
      <w:r w:rsidRPr="006C0620">
        <w:rPr>
          <w:lang w:val="en-US"/>
        </w:rPr>
        <w:t xml:space="preserve">, John </w:t>
      </w:r>
      <w:proofErr w:type="spellStart"/>
      <w:r w:rsidRPr="006C0620">
        <w:rPr>
          <w:lang w:val="en-US"/>
        </w:rPr>
        <w:t>Marshall’ın</w:t>
      </w:r>
      <w:proofErr w:type="spellEnd"/>
      <w:r w:rsidRPr="006C0620">
        <w:rPr>
          <w:lang w:val="en-US"/>
        </w:rPr>
        <w:t xml:space="preserve"> </w:t>
      </w:r>
      <w:proofErr w:type="spellStart"/>
      <w:r w:rsidRPr="006C0620">
        <w:rPr>
          <w:lang w:val="en-US"/>
        </w:rPr>
        <w:t>başyargıçlığı</w:t>
      </w:r>
      <w:proofErr w:type="spellEnd"/>
      <w:r w:rsidRPr="006C0620">
        <w:rPr>
          <w:lang w:val="en-US"/>
        </w:rPr>
        <w:t xml:space="preserve"> </w:t>
      </w:r>
      <w:proofErr w:type="spellStart"/>
      <w:r w:rsidRPr="006C0620">
        <w:rPr>
          <w:lang w:val="en-US"/>
        </w:rPr>
        <w:t>döneminin</w:t>
      </w:r>
      <w:proofErr w:type="spellEnd"/>
      <w:r w:rsidRPr="006C0620">
        <w:rPr>
          <w:lang w:val="en-US"/>
        </w:rPr>
        <w:t xml:space="preserve"> ilk </w:t>
      </w:r>
      <w:proofErr w:type="spellStart"/>
      <w:r w:rsidRPr="006C0620">
        <w:rPr>
          <w:lang w:val="en-US"/>
        </w:rPr>
        <w:t>birkaç</w:t>
      </w:r>
      <w:proofErr w:type="spellEnd"/>
      <w:r w:rsidRPr="006C0620">
        <w:rPr>
          <w:lang w:val="en-US"/>
        </w:rPr>
        <w:t xml:space="preserve"> </w:t>
      </w:r>
      <w:proofErr w:type="spellStart"/>
      <w:r w:rsidRPr="006C0620">
        <w:rPr>
          <w:lang w:val="en-US"/>
        </w:rPr>
        <w:t>yılına</w:t>
      </w:r>
      <w:proofErr w:type="spellEnd"/>
      <w:r w:rsidRPr="006C0620">
        <w:rPr>
          <w:lang w:val="en-US"/>
        </w:rPr>
        <w:t xml:space="preserve"> </w:t>
      </w:r>
      <w:proofErr w:type="spellStart"/>
      <w:r w:rsidRPr="006C0620">
        <w:rPr>
          <w:lang w:val="en-US"/>
        </w:rPr>
        <w:t>kadar</w:t>
      </w:r>
      <w:proofErr w:type="spellEnd"/>
      <w:r w:rsidRPr="006C0620">
        <w:rPr>
          <w:lang w:val="en-US"/>
        </w:rPr>
        <w:t xml:space="preserve"> Yüksek </w:t>
      </w:r>
      <w:proofErr w:type="spellStart"/>
      <w:r w:rsidRPr="006C0620">
        <w:rPr>
          <w:lang w:val="en-US"/>
        </w:rPr>
        <w:t>Mahkeme</w:t>
      </w:r>
      <w:proofErr w:type="spellEnd"/>
      <w:r w:rsidRPr="006C0620">
        <w:rPr>
          <w:lang w:val="en-US"/>
        </w:rPr>
        <w:t xml:space="preserve"> </w:t>
      </w:r>
      <w:proofErr w:type="spellStart"/>
      <w:r w:rsidRPr="006C0620">
        <w:rPr>
          <w:lang w:val="en-US"/>
        </w:rPr>
        <w:t>yargıçlarının</w:t>
      </w:r>
      <w:proofErr w:type="spellEnd"/>
      <w:r w:rsidRPr="006C0620">
        <w:rPr>
          <w:lang w:val="en-US"/>
        </w:rPr>
        <w:t xml:space="preserve"> </w:t>
      </w:r>
      <w:proofErr w:type="spellStart"/>
      <w:r w:rsidRPr="006C0620">
        <w:rPr>
          <w:lang w:val="en-US"/>
        </w:rPr>
        <w:t>tek</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görüşe</w:t>
      </w:r>
      <w:proofErr w:type="spellEnd"/>
      <w:r w:rsidRPr="006C0620">
        <w:rPr>
          <w:lang w:val="en-US"/>
        </w:rPr>
        <w:t xml:space="preserve"> </w:t>
      </w:r>
      <w:proofErr w:type="spellStart"/>
      <w:r w:rsidRPr="006C0620">
        <w:rPr>
          <w:lang w:val="en-US"/>
        </w:rPr>
        <w:t>imza</w:t>
      </w:r>
      <w:proofErr w:type="spellEnd"/>
      <w:r w:rsidRPr="006C0620">
        <w:rPr>
          <w:lang w:val="en-US"/>
        </w:rPr>
        <w:t xml:space="preserve"> </w:t>
      </w:r>
      <w:proofErr w:type="spellStart"/>
      <w:r w:rsidRPr="006C0620">
        <w:rPr>
          <w:lang w:val="en-US"/>
        </w:rPr>
        <w:t>atmayıp</w:t>
      </w:r>
      <w:proofErr w:type="spellEnd"/>
      <w:r w:rsidRPr="006C0620">
        <w:rPr>
          <w:lang w:val="en-US"/>
        </w:rPr>
        <w:t xml:space="preserve">, </w:t>
      </w:r>
      <w:proofErr w:type="spellStart"/>
      <w:r w:rsidRPr="006C0620">
        <w:rPr>
          <w:lang w:val="en-US"/>
        </w:rPr>
        <w:t>bunun</w:t>
      </w:r>
      <w:proofErr w:type="spellEnd"/>
      <w:r w:rsidRPr="006C0620">
        <w:rPr>
          <w:lang w:val="en-US"/>
        </w:rPr>
        <w:t xml:space="preserve"> </w:t>
      </w:r>
      <w:proofErr w:type="spellStart"/>
      <w:r w:rsidRPr="006C0620">
        <w:rPr>
          <w:lang w:val="en-US"/>
        </w:rPr>
        <w:t>yerine</w:t>
      </w:r>
      <w:proofErr w:type="spellEnd"/>
      <w:r w:rsidRPr="006C0620">
        <w:rPr>
          <w:lang w:val="en-US"/>
        </w:rPr>
        <w:t xml:space="preserve"> </w:t>
      </w:r>
      <w:proofErr w:type="spellStart"/>
      <w:r w:rsidRPr="006C0620">
        <w:rPr>
          <w:lang w:val="en-US"/>
        </w:rPr>
        <w:t>uzun</w:t>
      </w:r>
      <w:proofErr w:type="spellEnd"/>
      <w:r w:rsidRPr="006C0620">
        <w:rPr>
          <w:lang w:val="en-US"/>
        </w:rPr>
        <w:t xml:space="preserve"> </w:t>
      </w:r>
      <w:proofErr w:type="spellStart"/>
      <w:r w:rsidRPr="006C0620">
        <w:rPr>
          <w:lang w:val="en-US"/>
        </w:rPr>
        <w:t>süredir</w:t>
      </w:r>
      <w:proofErr w:type="spellEnd"/>
      <w:r w:rsidRPr="006C0620">
        <w:rPr>
          <w:lang w:val="en-US"/>
        </w:rPr>
        <w:t xml:space="preserve"> </w:t>
      </w:r>
      <w:proofErr w:type="spellStart"/>
      <w:r w:rsidRPr="006C0620">
        <w:rPr>
          <w:lang w:val="en-US"/>
        </w:rPr>
        <w:t>devam</w:t>
      </w:r>
      <w:proofErr w:type="spellEnd"/>
      <w:r w:rsidRPr="006C0620">
        <w:rPr>
          <w:lang w:val="en-US"/>
        </w:rPr>
        <w:t xml:space="preserve"> </w:t>
      </w:r>
      <w:proofErr w:type="spellStart"/>
      <w:r w:rsidRPr="006C0620">
        <w:rPr>
          <w:lang w:val="en-US"/>
        </w:rPr>
        <w:t>eden</w:t>
      </w:r>
      <w:proofErr w:type="spellEnd"/>
      <w:r w:rsidRPr="006C0620">
        <w:rPr>
          <w:lang w:val="en-US"/>
        </w:rPr>
        <w:t xml:space="preserve"> Anglo-Amerikan </w:t>
      </w:r>
      <w:proofErr w:type="spellStart"/>
      <w:r w:rsidRPr="006C0620">
        <w:rPr>
          <w:lang w:val="en-US"/>
        </w:rPr>
        <w:t>geleneğine</w:t>
      </w:r>
      <w:proofErr w:type="spellEnd"/>
      <w:r w:rsidRPr="006C0620">
        <w:rPr>
          <w:lang w:val="en-US"/>
        </w:rPr>
        <w:t xml:space="preserve"> </w:t>
      </w:r>
      <w:proofErr w:type="spellStart"/>
      <w:r w:rsidRPr="006C0620">
        <w:rPr>
          <w:lang w:val="en-US"/>
        </w:rPr>
        <w:t>uygun</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proofErr w:type="spellStart"/>
      <w:r w:rsidRPr="006C0620">
        <w:rPr>
          <w:lang w:val="en-US"/>
        </w:rPr>
        <w:t>ayrı</w:t>
      </w:r>
      <w:proofErr w:type="spellEnd"/>
      <w:r w:rsidRPr="006C0620">
        <w:rPr>
          <w:lang w:val="en-US"/>
        </w:rPr>
        <w:t xml:space="preserve"> </w:t>
      </w:r>
      <w:proofErr w:type="spellStart"/>
      <w:r w:rsidRPr="006C0620">
        <w:rPr>
          <w:lang w:val="en-US"/>
        </w:rPr>
        <w:t>ayrı</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bildirmeleri</w:t>
      </w:r>
      <w:proofErr w:type="spellEnd"/>
      <w:r w:rsidRPr="006C0620">
        <w:rPr>
          <w:lang w:val="en-US"/>
        </w:rPr>
        <w:t xml:space="preserve"> (seriatim opinions) </w:t>
      </w:r>
      <w:proofErr w:type="spellStart"/>
      <w:r w:rsidRPr="006C0620">
        <w:rPr>
          <w:lang w:val="en-US"/>
        </w:rPr>
        <w:t>gerçeğiyle</w:t>
      </w:r>
      <w:proofErr w:type="spellEnd"/>
      <w:r w:rsidRPr="006C0620">
        <w:rPr>
          <w:lang w:val="en-US"/>
        </w:rPr>
        <w:t xml:space="preserve"> </w:t>
      </w:r>
      <w:proofErr w:type="spellStart"/>
      <w:r w:rsidRPr="006C0620">
        <w:rPr>
          <w:lang w:val="en-US"/>
        </w:rPr>
        <w:t>ciddi</w:t>
      </w:r>
      <w:proofErr w:type="spellEnd"/>
      <w:r w:rsidRPr="006C0620">
        <w:rPr>
          <w:lang w:val="en-US"/>
        </w:rPr>
        <w:t xml:space="preserve"> </w:t>
      </w:r>
      <w:proofErr w:type="spellStart"/>
      <w:r w:rsidRPr="006C0620">
        <w:rPr>
          <w:lang w:val="en-US"/>
        </w:rPr>
        <w:t>şekilde</w:t>
      </w:r>
      <w:proofErr w:type="spellEnd"/>
      <w:r w:rsidRPr="006C0620">
        <w:rPr>
          <w:lang w:val="en-US"/>
        </w:rPr>
        <w:t xml:space="preserve"> </w:t>
      </w:r>
      <w:proofErr w:type="spellStart"/>
      <w:r w:rsidRPr="006C0620">
        <w:rPr>
          <w:lang w:val="en-US"/>
        </w:rPr>
        <w:t>zayıflatılmaktadır</w:t>
      </w:r>
      <w:proofErr w:type="spellEnd"/>
      <w:r w:rsidRPr="006C0620">
        <w:rPr>
          <w:lang w:val="en-US"/>
        </w:rPr>
        <w:t>.⁴⁰</w:t>
      </w:r>
      <w:r>
        <w:rPr>
          <w:lang w:val="en-US"/>
        </w:rPr>
        <w:t xml:space="preserve"> </w:t>
      </w:r>
      <w:r>
        <w:rPr>
          <w:rStyle w:val="FootnoteReference"/>
          <w:lang w:val="en-US"/>
        </w:rPr>
        <w:footnoteReference w:id="40"/>
      </w:r>
      <w:proofErr w:type="spellStart"/>
      <w:r w:rsidRPr="006C0620">
        <w:rPr>
          <w:lang w:val="en-US"/>
        </w:rPr>
        <w:t>Dahası</w:t>
      </w:r>
      <w:proofErr w:type="spellEnd"/>
      <w:r w:rsidRPr="006C0620">
        <w:rPr>
          <w:lang w:val="en-US"/>
        </w:rPr>
        <w:t xml:space="preserve">, </w:t>
      </w:r>
      <w:proofErr w:type="spellStart"/>
      <w:r w:rsidRPr="006C0620">
        <w:rPr>
          <w:lang w:val="en-US"/>
        </w:rPr>
        <w:t>çoğu</w:t>
      </w:r>
      <w:proofErr w:type="spellEnd"/>
      <w:r w:rsidRPr="006C0620">
        <w:rPr>
          <w:lang w:val="en-US"/>
        </w:rPr>
        <w:t xml:space="preserve"> </w:t>
      </w:r>
      <w:proofErr w:type="spellStart"/>
      <w:r w:rsidRPr="006C0620">
        <w:rPr>
          <w:lang w:val="en-US"/>
        </w:rPr>
        <w:t>akademisyen</w:t>
      </w:r>
      <w:proofErr w:type="spellEnd"/>
      <w:r w:rsidRPr="006C0620">
        <w:rPr>
          <w:lang w:val="en-US"/>
        </w:rPr>
        <w:t xml:space="preserve">, Yüksek </w:t>
      </w:r>
      <w:proofErr w:type="spellStart"/>
      <w:r w:rsidRPr="006C0620">
        <w:rPr>
          <w:lang w:val="en-US"/>
        </w:rPr>
        <w:t>Mahkeme’nin</w:t>
      </w:r>
      <w:proofErr w:type="spellEnd"/>
      <w:r w:rsidRPr="006C0620">
        <w:rPr>
          <w:lang w:val="en-US"/>
        </w:rPr>
        <w:t xml:space="preserve"> </w:t>
      </w:r>
      <w:proofErr w:type="spellStart"/>
      <w:r w:rsidRPr="006C0620">
        <w:rPr>
          <w:lang w:val="en-US"/>
        </w:rPr>
        <w:t>bireysel</w:t>
      </w:r>
      <w:proofErr w:type="spellEnd"/>
      <w:r w:rsidRPr="006C0620">
        <w:rPr>
          <w:lang w:val="en-US"/>
        </w:rPr>
        <w:t xml:space="preserve"> </w:t>
      </w:r>
      <w:proofErr w:type="spellStart"/>
      <w:r w:rsidRPr="006C0620">
        <w:rPr>
          <w:lang w:val="en-US"/>
        </w:rPr>
        <w:t>görüşler</w:t>
      </w:r>
      <w:proofErr w:type="spellEnd"/>
      <w:r w:rsidRPr="006C0620">
        <w:rPr>
          <w:lang w:val="en-US"/>
        </w:rPr>
        <w:t xml:space="preserve"> </w:t>
      </w:r>
      <w:proofErr w:type="spellStart"/>
      <w:r w:rsidRPr="006C0620">
        <w:rPr>
          <w:lang w:val="en-US"/>
        </w:rPr>
        <w:t>yerine</w:t>
      </w:r>
      <w:proofErr w:type="spellEnd"/>
      <w:r w:rsidRPr="006C0620">
        <w:rPr>
          <w:lang w:val="en-US"/>
        </w:rPr>
        <w:t xml:space="preserve"> </w:t>
      </w:r>
      <w:proofErr w:type="spellStart"/>
      <w:r w:rsidRPr="006C0620">
        <w:rPr>
          <w:lang w:val="en-US"/>
        </w:rPr>
        <w:t>Mahkeme</w:t>
      </w:r>
      <w:proofErr w:type="spellEnd"/>
      <w:r w:rsidRPr="006C0620">
        <w:rPr>
          <w:lang w:val="en-US"/>
        </w:rPr>
        <w:t xml:space="preserve"> </w:t>
      </w:r>
      <w:proofErr w:type="spellStart"/>
      <w:r w:rsidRPr="006C0620">
        <w:rPr>
          <w:lang w:val="en-US"/>
        </w:rPr>
        <w:t>adına</w:t>
      </w:r>
      <w:proofErr w:type="spellEnd"/>
      <w:r w:rsidRPr="006C0620">
        <w:rPr>
          <w:lang w:val="en-US"/>
        </w:rPr>
        <w:t xml:space="preserve"> </w:t>
      </w:r>
      <w:proofErr w:type="spellStart"/>
      <w:r w:rsidRPr="006C0620">
        <w:rPr>
          <w:lang w:val="en-US"/>
        </w:rPr>
        <w:t>tek</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bildirme</w:t>
      </w:r>
      <w:proofErr w:type="spellEnd"/>
      <w:r w:rsidRPr="006C0620">
        <w:rPr>
          <w:lang w:val="en-US"/>
        </w:rPr>
        <w:t xml:space="preserve"> (opinions for the Court) </w:t>
      </w:r>
      <w:proofErr w:type="spellStart"/>
      <w:r w:rsidRPr="006C0620">
        <w:rPr>
          <w:lang w:val="en-US"/>
        </w:rPr>
        <w:t>uygulamasına</w:t>
      </w:r>
      <w:proofErr w:type="spellEnd"/>
      <w:r w:rsidRPr="006C0620">
        <w:rPr>
          <w:lang w:val="en-US"/>
        </w:rPr>
        <w:t xml:space="preserve"> </w:t>
      </w:r>
      <w:proofErr w:type="spellStart"/>
      <w:r w:rsidRPr="006C0620">
        <w:rPr>
          <w:lang w:val="en-US"/>
        </w:rPr>
        <w:t>geçişinin</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tek</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sesle</w:t>
      </w:r>
      <w:proofErr w:type="spellEnd"/>
      <w:r w:rsidRPr="006C0620">
        <w:rPr>
          <w:lang w:val="en-US"/>
        </w:rPr>
        <w:t xml:space="preserve"> </w:t>
      </w:r>
      <w:proofErr w:type="spellStart"/>
      <w:r w:rsidRPr="006C0620">
        <w:rPr>
          <w:lang w:val="en-US"/>
        </w:rPr>
        <w:t>konuşmasına</w:t>
      </w:r>
      <w:proofErr w:type="spellEnd"/>
      <w:r w:rsidRPr="006C0620">
        <w:rPr>
          <w:lang w:val="en-US"/>
        </w:rPr>
        <w:t xml:space="preserve"> </w:t>
      </w:r>
      <w:proofErr w:type="spellStart"/>
      <w:r w:rsidRPr="006C0620">
        <w:rPr>
          <w:lang w:val="en-US"/>
        </w:rPr>
        <w:t>olanak</w:t>
      </w:r>
      <w:proofErr w:type="spellEnd"/>
      <w:r w:rsidRPr="006C0620">
        <w:rPr>
          <w:lang w:val="en-US"/>
        </w:rPr>
        <w:t xml:space="preserve"> </w:t>
      </w:r>
      <w:proofErr w:type="spellStart"/>
      <w:r w:rsidRPr="006C0620">
        <w:rPr>
          <w:lang w:val="en-US"/>
        </w:rPr>
        <w:t>tanıyarak</w:t>
      </w:r>
      <w:proofErr w:type="spellEnd"/>
      <w:r w:rsidRPr="006C0620">
        <w:rPr>
          <w:lang w:val="en-US"/>
        </w:rPr>
        <w:t xml:space="preserve"> </w:t>
      </w:r>
      <w:proofErr w:type="spellStart"/>
      <w:r w:rsidRPr="006C0620">
        <w:rPr>
          <w:lang w:val="en-US"/>
        </w:rPr>
        <w:t>yargının</w:t>
      </w:r>
      <w:proofErr w:type="spellEnd"/>
      <w:r w:rsidRPr="006C0620">
        <w:rPr>
          <w:lang w:val="en-US"/>
        </w:rPr>
        <w:t xml:space="preserve"> </w:t>
      </w:r>
      <w:proofErr w:type="spellStart"/>
      <w:r w:rsidRPr="006C0620">
        <w:rPr>
          <w:lang w:val="en-US"/>
        </w:rPr>
        <w:t>gücünü</w:t>
      </w:r>
      <w:proofErr w:type="spellEnd"/>
      <w:r w:rsidRPr="006C0620">
        <w:rPr>
          <w:lang w:val="en-US"/>
        </w:rPr>
        <w:t xml:space="preserve"> </w:t>
      </w:r>
      <w:proofErr w:type="spellStart"/>
      <w:r w:rsidRPr="006C0620">
        <w:rPr>
          <w:lang w:val="en-US"/>
        </w:rPr>
        <w:t>pekiştirmek</w:t>
      </w:r>
      <w:proofErr w:type="spellEnd"/>
      <w:r w:rsidRPr="006C0620">
        <w:rPr>
          <w:lang w:val="en-US"/>
        </w:rPr>
        <w:t xml:space="preserve"> </w:t>
      </w:r>
      <w:proofErr w:type="spellStart"/>
      <w:r w:rsidRPr="006C0620">
        <w:rPr>
          <w:lang w:val="en-US"/>
        </w:rPr>
        <w:t>amacıyla</w:t>
      </w:r>
      <w:proofErr w:type="spellEnd"/>
      <w:r w:rsidRPr="006C0620">
        <w:rPr>
          <w:lang w:val="en-US"/>
        </w:rPr>
        <w:t xml:space="preserve"> </w:t>
      </w:r>
      <w:proofErr w:type="spellStart"/>
      <w:r w:rsidRPr="006C0620">
        <w:rPr>
          <w:lang w:val="en-US"/>
        </w:rPr>
        <w:t>yapıldığını</w:t>
      </w:r>
      <w:proofErr w:type="spellEnd"/>
      <w:r w:rsidRPr="006C0620">
        <w:rPr>
          <w:lang w:val="en-US"/>
        </w:rPr>
        <w:t xml:space="preserve">, </w:t>
      </w:r>
      <w:proofErr w:type="spellStart"/>
      <w:r w:rsidRPr="006C0620">
        <w:rPr>
          <w:lang w:val="en-US"/>
        </w:rPr>
        <w:t>bu</w:t>
      </w:r>
      <w:proofErr w:type="spellEnd"/>
      <w:r w:rsidRPr="006C0620">
        <w:rPr>
          <w:lang w:val="en-US"/>
        </w:rPr>
        <w:t xml:space="preserve"> </w:t>
      </w:r>
      <w:proofErr w:type="spellStart"/>
      <w:r w:rsidRPr="006C0620">
        <w:rPr>
          <w:lang w:val="en-US"/>
        </w:rPr>
        <w:t>gücü</w:t>
      </w:r>
      <w:proofErr w:type="spellEnd"/>
      <w:r w:rsidRPr="006C0620">
        <w:rPr>
          <w:lang w:val="en-US"/>
        </w:rPr>
        <w:t xml:space="preserve"> </w:t>
      </w:r>
      <w:proofErr w:type="spellStart"/>
      <w:r w:rsidRPr="006C0620">
        <w:rPr>
          <w:lang w:val="en-US"/>
        </w:rPr>
        <w:t>sınırlamak</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olmadığını</w:t>
      </w:r>
      <w:proofErr w:type="spellEnd"/>
      <w:r w:rsidRPr="006C0620">
        <w:rPr>
          <w:lang w:val="en-US"/>
        </w:rPr>
        <w:t xml:space="preserve"> </w:t>
      </w:r>
      <w:proofErr w:type="spellStart"/>
      <w:r w:rsidRPr="006C0620">
        <w:rPr>
          <w:lang w:val="en-US"/>
        </w:rPr>
        <w:t>öne</w:t>
      </w:r>
      <w:proofErr w:type="spellEnd"/>
      <w:r w:rsidRPr="006C0620">
        <w:rPr>
          <w:lang w:val="en-US"/>
        </w:rPr>
        <w:t xml:space="preserve"> sürmektedir.⁴¹</w:t>
      </w:r>
      <w:r>
        <w:rPr>
          <w:lang w:val="en-US"/>
        </w:rPr>
        <w:t xml:space="preserve"> </w:t>
      </w:r>
      <w:r>
        <w:rPr>
          <w:rStyle w:val="FootnoteReference"/>
          <w:lang w:val="en-US"/>
        </w:rPr>
        <w:footnoteReference w:id="41"/>
      </w:r>
      <w:r>
        <w:rPr>
          <w:lang w:val="en-US"/>
        </w:rPr>
        <w:t xml:space="preserve"> [13-14]</w:t>
      </w:r>
    </w:p>
    <w:p w14:paraId="003DC176" w14:textId="43869F87" w:rsidR="006C0620" w:rsidRDefault="006C0620" w:rsidP="006C0620">
      <w:pPr>
        <w:rPr>
          <w:lang w:val="en-US"/>
        </w:rPr>
      </w:pPr>
      <w:proofErr w:type="spellStart"/>
      <w:r w:rsidRPr="006C0620">
        <w:rPr>
          <w:lang w:val="en-US"/>
        </w:rPr>
        <w:t>Geçen</w:t>
      </w:r>
      <w:proofErr w:type="spellEnd"/>
      <w:r w:rsidRPr="006C0620">
        <w:rPr>
          <w:lang w:val="en-US"/>
        </w:rPr>
        <w:t xml:space="preserve"> on </w:t>
      </w:r>
      <w:proofErr w:type="spellStart"/>
      <w:r w:rsidRPr="006C0620">
        <w:rPr>
          <w:lang w:val="en-US"/>
        </w:rPr>
        <w:t>yıllar</w:t>
      </w:r>
      <w:proofErr w:type="spellEnd"/>
      <w:r w:rsidRPr="006C0620">
        <w:rPr>
          <w:lang w:val="en-US"/>
        </w:rPr>
        <w:t xml:space="preserve"> </w:t>
      </w:r>
      <w:proofErr w:type="spellStart"/>
      <w:r w:rsidRPr="006C0620">
        <w:rPr>
          <w:lang w:val="en-US"/>
        </w:rPr>
        <w:t>boyunca</w:t>
      </w:r>
      <w:proofErr w:type="spellEnd"/>
      <w:r w:rsidRPr="006C0620">
        <w:rPr>
          <w:lang w:val="en-US"/>
        </w:rPr>
        <w:t xml:space="preserve">, </w:t>
      </w:r>
      <w:proofErr w:type="spellStart"/>
      <w:r w:rsidRPr="006C0620">
        <w:rPr>
          <w:lang w:val="en-US"/>
        </w:rPr>
        <w:t>bir</w:t>
      </w:r>
      <w:proofErr w:type="spellEnd"/>
      <w:r w:rsidRPr="006C0620">
        <w:rPr>
          <w:lang w:val="en-US"/>
        </w:rPr>
        <w:t xml:space="preserve"> Yüksek </w:t>
      </w:r>
      <w:proofErr w:type="spellStart"/>
      <w:r w:rsidRPr="006C0620">
        <w:rPr>
          <w:lang w:val="en-US"/>
        </w:rPr>
        <w:t>Mahkeme</w:t>
      </w:r>
      <w:proofErr w:type="spellEnd"/>
      <w:r w:rsidRPr="006C0620">
        <w:rPr>
          <w:lang w:val="en-US"/>
        </w:rPr>
        <w:t xml:space="preserve"> </w:t>
      </w:r>
      <w:proofErr w:type="spellStart"/>
      <w:r w:rsidRPr="006C0620">
        <w:rPr>
          <w:lang w:val="en-US"/>
        </w:rPr>
        <w:t>yargıcının</w:t>
      </w:r>
      <w:proofErr w:type="spellEnd"/>
      <w:r w:rsidRPr="006C0620">
        <w:rPr>
          <w:lang w:val="en-US"/>
        </w:rPr>
        <w:t xml:space="preserve"> (Justice) ne zaman </w:t>
      </w:r>
      <w:proofErr w:type="spellStart"/>
      <w:r w:rsidRPr="006C0620">
        <w:rPr>
          <w:lang w:val="en-US"/>
        </w:rPr>
        <w:t>ayrı</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yazabileceği</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kimi</w:t>
      </w:r>
      <w:proofErr w:type="spellEnd"/>
      <w:r w:rsidRPr="006C0620">
        <w:rPr>
          <w:lang w:val="en-US"/>
        </w:rPr>
        <w:t xml:space="preserve"> </w:t>
      </w:r>
      <w:proofErr w:type="spellStart"/>
      <w:r w:rsidRPr="006C0620">
        <w:rPr>
          <w:lang w:val="en-US"/>
        </w:rPr>
        <w:t>temsil</w:t>
      </w:r>
      <w:proofErr w:type="spellEnd"/>
      <w:r w:rsidRPr="006C0620">
        <w:rPr>
          <w:lang w:val="en-US"/>
        </w:rPr>
        <w:t xml:space="preserve"> </w:t>
      </w:r>
      <w:proofErr w:type="spellStart"/>
      <w:r w:rsidRPr="006C0620">
        <w:rPr>
          <w:lang w:val="en-US"/>
        </w:rPr>
        <w:t>edebileceğine</w:t>
      </w:r>
      <w:proofErr w:type="spellEnd"/>
      <w:r w:rsidRPr="006C0620">
        <w:rPr>
          <w:lang w:val="en-US"/>
        </w:rPr>
        <w:t xml:space="preserve"> </w:t>
      </w:r>
      <w:proofErr w:type="spellStart"/>
      <w:r w:rsidRPr="006C0620">
        <w:rPr>
          <w:lang w:val="en-US"/>
        </w:rPr>
        <w:t>dair</w:t>
      </w:r>
      <w:proofErr w:type="spellEnd"/>
      <w:r w:rsidRPr="006C0620">
        <w:rPr>
          <w:lang w:val="en-US"/>
        </w:rPr>
        <w:t xml:space="preserve"> </w:t>
      </w:r>
      <w:proofErr w:type="spellStart"/>
      <w:r w:rsidRPr="006C0620">
        <w:rPr>
          <w:lang w:val="en-US"/>
        </w:rPr>
        <w:t>kurallar</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normlar</w:t>
      </w:r>
      <w:proofErr w:type="spellEnd"/>
      <w:r w:rsidRPr="006C0620">
        <w:rPr>
          <w:lang w:val="en-US"/>
        </w:rPr>
        <w:t xml:space="preserve"> </w:t>
      </w:r>
      <w:proofErr w:type="spellStart"/>
      <w:r w:rsidRPr="006C0620">
        <w:rPr>
          <w:lang w:val="en-US"/>
        </w:rPr>
        <w:t>sürekli</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proofErr w:type="spellStart"/>
      <w:r w:rsidRPr="006C0620">
        <w:rPr>
          <w:lang w:val="en-US"/>
        </w:rPr>
        <w:t>evrim</w:t>
      </w:r>
      <w:proofErr w:type="spellEnd"/>
      <w:r w:rsidRPr="006C0620">
        <w:rPr>
          <w:lang w:val="en-US"/>
        </w:rPr>
        <w:t xml:space="preserve"> </w:t>
      </w:r>
      <w:proofErr w:type="spellStart"/>
      <w:r w:rsidRPr="006C0620">
        <w:rPr>
          <w:lang w:val="en-US"/>
        </w:rPr>
        <w:t>geçirmiştir</w:t>
      </w:r>
      <w:proofErr w:type="spellEnd"/>
      <w:r w:rsidRPr="006C0620">
        <w:rPr>
          <w:lang w:val="en-US"/>
        </w:rPr>
        <w:t xml:space="preserve">. Yüksek </w:t>
      </w:r>
      <w:proofErr w:type="spellStart"/>
      <w:r w:rsidRPr="006C0620">
        <w:rPr>
          <w:lang w:val="en-US"/>
        </w:rPr>
        <w:t>Mahkeme’nin</w:t>
      </w:r>
      <w:proofErr w:type="spellEnd"/>
      <w:r w:rsidRPr="006C0620">
        <w:rPr>
          <w:lang w:val="en-US"/>
        </w:rPr>
        <w:t xml:space="preserve"> (Supreme Court) </w:t>
      </w:r>
      <w:proofErr w:type="spellStart"/>
      <w:r w:rsidRPr="006C0620">
        <w:rPr>
          <w:lang w:val="en-US"/>
        </w:rPr>
        <w:t>iç</w:t>
      </w:r>
      <w:proofErr w:type="spellEnd"/>
      <w:r w:rsidRPr="006C0620">
        <w:rPr>
          <w:lang w:val="en-US"/>
        </w:rPr>
        <w:t xml:space="preserve"> </w:t>
      </w:r>
      <w:proofErr w:type="spellStart"/>
      <w:r w:rsidRPr="006C0620">
        <w:rPr>
          <w:lang w:val="en-US"/>
        </w:rPr>
        <w:t>kuralları</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uygulamaları</w:t>
      </w:r>
      <w:proofErr w:type="spellEnd"/>
      <w:r w:rsidRPr="006C0620">
        <w:rPr>
          <w:lang w:val="en-US"/>
        </w:rPr>
        <w:t xml:space="preserve">, her </w:t>
      </w:r>
      <w:proofErr w:type="spellStart"/>
      <w:r w:rsidRPr="006C0620">
        <w:rPr>
          <w:lang w:val="en-US"/>
        </w:rPr>
        <w:t>davada</w:t>
      </w:r>
      <w:proofErr w:type="spellEnd"/>
      <w:r w:rsidRPr="006C0620">
        <w:rPr>
          <w:lang w:val="en-US"/>
        </w:rPr>
        <w:t xml:space="preserve"> </w:t>
      </w:r>
      <w:proofErr w:type="spellStart"/>
      <w:r w:rsidRPr="006C0620">
        <w:rPr>
          <w:lang w:val="en-US"/>
        </w:rPr>
        <w:t>çoğunluk</w:t>
      </w:r>
      <w:proofErr w:type="spellEnd"/>
      <w:r w:rsidRPr="006C0620">
        <w:rPr>
          <w:lang w:val="en-US"/>
        </w:rPr>
        <w:t xml:space="preserve"> </w:t>
      </w:r>
      <w:proofErr w:type="spellStart"/>
      <w:r w:rsidRPr="006C0620">
        <w:rPr>
          <w:lang w:val="en-US"/>
        </w:rPr>
        <w:t>görüşünü</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olası</w:t>
      </w:r>
      <w:proofErr w:type="spellEnd"/>
      <w:r w:rsidRPr="006C0620">
        <w:rPr>
          <w:lang w:val="en-US"/>
        </w:rPr>
        <w:t xml:space="preserve"> </w:t>
      </w:r>
      <w:proofErr w:type="spellStart"/>
      <w:r w:rsidRPr="006C0620">
        <w:rPr>
          <w:lang w:val="en-US"/>
        </w:rPr>
        <w:t>karşı</w:t>
      </w:r>
      <w:proofErr w:type="spellEnd"/>
      <w:r w:rsidRPr="006C0620">
        <w:rPr>
          <w:lang w:val="en-US"/>
        </w:rPr>
        <w:t xml:space="preserve"> </w:t>
      </w:r>
      <w:proofErr w:type="spellStart"/>
      <w:r w:rsidRPr="006C0620">
        <w:rPr>
          <w:lang w:val="en-US"/>
        </w:rPr>
        <w:t>görüşü</w:t>
      </w:r>
      <w:proofErr w:type="spellEnd"/>
      <w:r w:rsidRPr="006C0620">
        <w:rPr>
          <w:lang w:val="en-US"/>
        </w:rPr>
        <w:t xml:space="preserve"> (dissent) ilk </w:t>
      </w:r>
      <w:proofErr w:type="spellStart"/>
      <w:r w:rsidRPr="006C0620">
        <w:rPr>
          <w:lang w:val="en-US"/>
        </w:rPr>
        <w:t>olarak</w:t>
      </w:r>
      <w:proofErr w:type="spellEnd"/>
      <w:r w:rsidRPr="006C0620">
        <w:rPr>
          <w:lang w:val="en-US"/>
        </w:rPr>
        <w:t xml:space="preserve"> </w:t>
      </w:r>
      <w:proofErr w:type="spellStart"/>
      <w:r w:rsidRPr="006C0620">
        <w:rPr>
          <w:lang w:val="en-US"/>
        </w:rPr>
        <w:t>kimin</w:t>
      </w:r>
      <w:proofErr w:type="spellEnd"/>
      <w:r w:rsidRPr="006C0620">
        <w:rPr>
          <w:lang w:val="en-US"/>
        </w:rPr>
        <w:t xml:space="preserve"> </w:t>
      </w:r>
      <w:proofErr w:type="spellStart"/>
      <w:r w:rsidRPr="006C0620">
        <w:rPr>
          <w:lang w:val="en-US"/>
        </w:rPr>
        <w:t>kaleme</w:t>
      </w:r>
      <w:proofErr w:type="spellEnd"/>
      <w:r w:rsidRPr="006C0620">
        <w:rPr>
          <w:lang w:val="en-US"/>
        </w:rPr>
        <w:t xml:space="preserve"> </w:t>
      </w:r>
      <w:proofErr w:type="spellStart"/>
      <w:r w:rsidRPr="006C0620">
        <w:rPr>
          <w:lang w:val="en-US"/>
        </w:rPr>
        <w:t>alacağı</w:t>
      </w:r>
      <w:proofErr w:type="spellEnd"/>
      <w:r w:rsidRPr="006C0620">
        <w:rPr>
          <w:lang w:val="en-US"/>
        </w:rPr>
        <w:t xml:space="preserve">, </w:t>
      </w:r>
      <w:proofErr w:type="spellStart"/>
      <w:r w:rsidRPr="006C0620">
        <w:rPr>
          <w:lang w:val="en-US"/>
        </w:rPr>
        <w:t>bu</w:t>
      </w:r>
      <w:proofErr w:type="spellEnd"/>
      <w:r w:rsidRPr="006C0620">
        <w:rPr>
          <w:lang w:val="en-US"/>
        </w:rPr>
        <w:t xml:space="preserve"> </w:t>
      </w:r>
      <w:proofErr w:type="spellStart"/>
      <w:r w:rsidRPr="006C0620">
        <w:rPr>
          <w:lang w:val="en-US"/>
        </w:rPr>
        <w:t>taslakların</w:t>
      </w:r>
      <w:proofErr w:type="spellEnd"/>
      <w:r w:rsidRPr="006C0620">
        <w:rPr>
          <w:lang w:val="en-US"/>
        </w:rPr>
        <w:t xml:space="preserve"> </w:t>
      </w:r>
      <w:proofErr w:type="spellStart"/>
      <w:r w:rsidRPr="006C0620">
        <w:rPr>
          <w:lang w:val="en-US"/>
        </w:rPr>
        <w:t>diğer</w:t>
      </w:r>
      <w:proofErr w:type="spellEnd"/>
      <w:r w:rsidRPr="006C0620">
        <w:rPr>
          <w:lang w:val="en-US"/>
        </w:rPr>
        <w:t xml:space="preserve"> </w:t>
      </w:r>
      <w:proofErr w:type="spellStart"/>
      <w:r w:rsidRPr="006C0620">
        <w:rPr>
          <w:lang w:val="en-US"/>
        </w:rPr>
        <w:t>yargıçlara</w:t>
      </w:r>
      <w:proofErr w:type="spellEnd"/>
      <w:r w:rsidRPr="006C0620">
        <w:rPr>
          <w:lang w:val="en-US"/>
        </w:rPr>
        <w:t xml:space="preserve"> ne </w:t>
      </w:r>
      <w:r w:rsidRPr="006C0620">
        <w:rPr>
          <w:lang w:val="en-US"/>
        </w:rPr>
        <w:lastRenderedPageBreak/>
        <w:t xml:space="preserve">zaman </w:t>
      </w:r>
      <w:proofErr w:type="spellStart"/>
      <w:r w:rsidRPr="006C0620">
        <w:rPr>
          <w:lang w:val="en-US"/>
        </w:rPr>
        <w:t>ve</w:t>
      </w:r>
      <w:proofErr w:type="spellEnd"/>
      <w:r w:rsidRPr="006C0620">
        <w:rPr>
          <w:lang w:val="en-US"/>
        </w:rPr>
        <w:t xml:space="preserve"> </w:t>
      </w:r>
      <w:proofErr w:type="spellStart"/>
      <w:r w:rsidRPr="006C0620">
        <w:rPr>
          <w:lang w:val="en-US"/>
        </w:rPr>
        <w:t>nasıl</w:t>
      </w:r>
      <w:proofErr w:type="spellEnd"/>
      <w:r w:rsidRPr="006C0620">
        <w:rPr>
          <w:lang w:val="en-US"/>
        </w:rPr>
        <w:t xml:space="preserve"> </w:t>
      </w:r>
      <w:proofErr w:type="spellStart"/>
      <w:r w:rsidRPr="006C0620">
        <w:rPr>
          <w:lang w:val="en-US"/>
        </w:rPr>
        <w:t>dağıtılacağı</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bu</w:t>
      </w:r>
      <w:proofErr w:type="spellEnd"/>
      <w:r w:rsidRPr="006C0620">
        <w:rPr>
          <w:lang w:val="en-US"/>
        </w:rPr>
        <w:t xml:space="preserve"> </w:t>
      </w:r>
      <w:proofErr w:type="spellStart"/>
      <w:r w:rsidRPr="006C0620">
        <w:rPr>
          <w:lang w:val="en-US"/>
        </w:rPr>
        <w:t>taslaklara</w:t>
      </w:r>
      <w:proofErr w:type="spellEnd"/>
      <w:r w:rsidRPr="006C0620">
        <w:rPr>
          <w:lang w:val="en-US"/>
        </w:rPr>
        <w:t xml:space="preserve"> </w:t>
      </w:r>
      <w:proofErr w:type="spellStart"/>
      <w:r w:rsidRPr="006C0620">
        <w:rPr>
          <w:lang w:val="en-US"/>
        </w:rPr>
        <w:t>nasıl</w:t>
      </w:r>
      <w:proofErr w:type="spellEnd"/>
      <w:r w:rsidRPr="006C0620">
        <w:rPr>
          <w:lang w:val="en-US"/>
        </w:rPr>
        <w:t xml:space="preserve"> </w:t>
      </w:r>
      <w:proofErr w:type="spellStart"/>
      <w:r w:rsidRPr="006C0620">
        <w:rPr>
          <w:lang w:val="en-US"/>
        </w:rPr>
        <w:t>ve</w:t>
      </w:r>
      <w:proofErr w:type="spellEnd"/>
      <w:r w:rsidRPr="006C0620">
        <w:rPr>
          <w:lang w:val="en-US"/>
        </w:rPr>
        <w:t xml:space="preserve"> ne zaman </w:t>
      </w:r>
      <w:proofErr w:type="spellStart"/>
      <w:r w:rsidRPr="006C0620">
        <w:rPr>
          <w:lang w:val="en-US"/>
        </w:rPr>
        <w:t>yanıt</w:t>
      </w:r>
      <w:proofErr w:type="spellEnd"/>
      <w:r w:rsidRPr="006C0620">
        <w:rPr>
          <w:lang w:val="en-US"/>
        </w:rPr>
        <w:t xml:space="preserve"> </w:t>
      </w:r>
      <w:proofErr w:type="spellStart"/>
      <w:r w:rsidRPr="006C0620">
        <w:rPr>
          <w:lang w:val="en-US"/>
        </w:rPr>
        <w:t>vereceği</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Mahkeme’nin</w:t>
      </w:r>
      <w:proofErr w:type="spellEnd"/>
      <w:r w:rsidRPr="006C0620">
        <w:rPr>
          <w:lang w:val="en-US"/>
        </w:rPr>
        <w:t xml:space="preserve"> </w:t>
      </w:r>
      <w:proofErr w:type="spellStart"/>
      <w:r w:rsidRPr="006C0620">
        <w:rPr>
          <w:lang w:val="en-US"/>
        </w:rPr>
        <w:t>davayı</w:t>
      </w:r>
      <w:proofErr w:type="spellEnd"/>
      <w:r w:rsidRPr="006C0620">
        <w:rPr>
          <w:lang w:val="en-US"/>
        </w:rPr>
        <w:t xml:space="preserve"> </w:t>
      </w:r>
      <w:proofErr w:type="spellStart"/>
      <w:r w:rsidRPr="006C0620">
        <w:rPr>
          <w:lang w:val="en-US"/>
        </w:rPr>
        <w:t>nasıl</w:t>
      </w:r>
      <w:proofErr w:type="spellEnd"/>
      <w:r w:rsidRPr="006C0620">
        <w:rPr>
          <w:lang w:val="en-US"/>
        </w:rPr>
        <w:t xml:space="preserve"> </w:t>
      </w:r>
      <w:proofErr w:type="spellStart"/>
      <w:r w:rsidRPr="006C0620">
        <w:rPr>
          <w:lang w:val="en-US"/>
        </w:rPr>
        <w:t>sonuçlandıracağına</w:t>
      </w:r>
      <w:proofErr w:type="spellEnd"/>
      <w:r w:rsidRPr="006C0620">
        <w:rPr>
          <w:lang w:val="en-US"/>
        </w:rPr>
        <w:t xml:space="preserve"> </w:t>
      </w:r>
      <w:proofErr w:type="spellStart"/>
      <w:r w:rsidRPr="006C0620">
        <w:rPr>
          <w:lang w:val="en-US"/>
        </w:rPr>
        <w:t>ilişkin</w:t>
      </w:r>
      <w:proofErr w:type="spellEnd"/>
      <w:r w:rsidRPr="006C0620">
        <w:rPr>
          <w:lang w:val="en-US"/>
        </w:rPr>
        <w:t xml:space="preserve"> </w:t>
      </w:r>
      <w:proofErr w:type="spellStart"/>
      <w:r w:rsidRPr="006C0620">
        <w:rPr>
          <w:lang w:val="en-US"/>
        </w:rPr>
        <w:t>karmaşık</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protokol</w:t>
      </w:r>
      <w:proofErr w:type="spellEnd"/>
      <w:r w:rsidRPr="006C0620">
        <w:rPr>
          <w:lang w:val="en-US"/>
        </w:rPr>
        <w:t xml:space="preserve"> </w:t>
      </w:r>
      <w:proofErr w:type="spellStart"/>
      <w:r w:rsidRPr="006C0620">
        <w:rPr>
          <w:lang w:val="en-US"/>
        </w:rPr>
        <w:t>dizisi</w:t>
      </w:r>
      <w:proofErr w:type="spellEnd"/>
      <w:r w:rsidRPr="006C0620">
        <w:rPr>
          <w:lang w:val="en-US"/>
        </w:rPr>
        <w:t xml:space="preserve"> </w:t>
      </w:r>
      <w:proofErr w:type="spellStart"/>
      <w:r w:rsidRPr="006C0620">
        <w:rPr>
          <w:lang w:val="en-US"/>
        </w:rPr>
        <w:t>oluşturmuştur</w:t>
      </w:r>
      <w:proofErr w:type="spellEnd"/>
      <w:r w:rsidRPr="006C0620">
        <w:rPr>
          <w:lang w:val="en-US"/>
        </w:rPr>
        <w:t>.</w:t>
      </w:r>
      <w:r>
        <w:rPr>
          <w:lang w:val="en-US"/>
        </w:rPr>
        <w:t xml:space="preserve"> </w:t>
      </w:r>
      <w:r w:rsidRPr="006C0620">
        <w:rPr>
          <w:lang w:val="en-US"/>
        </w:rPr>
        <w:t xml:space="preserve">Bu </w:t>
      </w:r>
      <w:proofErr w:type="spellStart"/>
      <w:r w:rsidRPr="006C0620">
        <w:rPr>
          <w:lang w:val="en-US"/>
        </w:rPr>
        <w:t>kurallar</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protokoller</w:t>
      </w:r>
      <w:proofErr w:type="spellEnd"/>
      <w:r w:rsidRPr="006C0620">
        <w:rPr>
          <w:lang w:val="en-US"/>
        </w:rPr>
        <w:t xml:space="preserve">, </w:t>
      </w:r>
      <w:proofErr w:type="spellStart"/>
      <w:r w:rsidRPr="006C0620">
        <w:rPr>
          <w:lang w:val="en-US"/>
        </w:rPr>
        <w:t>deneme-yanılma</w:t>
      </w:r>
      <w:proofErr w:type="spellEnd"/>
      <w:r w:rsidRPr="006C0620">
        <w:rPr>
          <w:lang w:val="en-US"/>
        </w:rPr>
        <w:t xml:space="preserve"> </w:t>
      </w:r>
      <w:proofErr w:type="spellStart"/>
      <w:r w:rsidRPr="006C0620">
        <w:rPr>
          <w:lang w:val="en-US"/>
        </w:rPr>
        <w:t>sürecinin</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birikerek</w:t>
      </w:r>
      <w:proofErr w:type="spellEnd"/>
      <w:r w:rsidRPr="006C0620">
        <w:rPr>
          <w:lang w:val="en-US"/>
        </w:rPr>
        <w:t xml:space="preserve"> </w:t>
      </w:r>
      <w:proofErr w:type="spellStart"/>
      <w:r w:rsidRPr="006C0620">
        <w:rPr>
          <w:lang w:val="en-US"/>
        </w:rPr>
        <w:t>gelişen</w:t>
      </w:r>
      <w:proofErr w:type="spellEnd"/>
      <w:r w:rsidRPr="006C0620">
        <w:rPr>
          <w:lang w:val="en-US"/>
        </w:rPr>
        <w:t xml:space="preserve"> </w:t>
      </w:r>
      <w:proofErr w:type="spellStart"/>
      <w:r w:rsidRPr="006C0620">
        <w:rPr>
          <w:lang w:val="en-US"/>
        </w:rPr>
        <w:t>geleneklerin</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ürünü</w:t>
      </w:r>
      <w:proofErr w:type="spellEnd"/>
      <w:r w:rsidRPr="006C0620">
        <w:rPr>
          <w:lang w:val="en-US"/>
        </w:rPr>
        <w:t xml:space="preserve"> </w:t>
      </w:r>
      <w:proofErr w:type="spellStart"/>
      <w:r w:rsidRPr="006C0620">
        <w:rPr>
          <w:lang w:val="en-US"/>
        </w:rPr>
        <w:t>olup</w:t>
      </w:r>
      <w:proofErr w:type="spellEnd"/>
      <w:r w:rsidRPr="006C0620">
        <w:rPr>
          <w:lang w:val="en-US"/>
        </w:rPr>
        <w:t xml:space="preserve">, </w:t>
      </w:r>
      <w:proofErr w:type="spellStart"/>
      <w:r w:rsidRPr="006C0620">
        <w:rPr>
          <w:lang w:val="en-US"/>
        </w:rPr>
        <w:t>ayrıca</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diğer</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görüşlerinde</w:t>
      </w:r>
      <w:proofErr w:type="spellEnd"/>
      <w:r w:rsidRPr="006C0620">
        <w:rPr>
          <w:lang w:val="en-US"/>
        </w:rPr>
        <w:t xml:space="preserve"> </w:t>
      </w:r>
      <w:proofErr w:type="spellStart"/>
      <w:r w:rsidRPr="006C0620">
        <w:rPr>
          <w:lang w:val="en-US"/>
        </w:rPr>
        <w:t>değişiklik</w:t>
      </w:r>
      <w:proofErr w:type="spellEnd"/>
      <w:r w:rsidRPr="006C0620">
        <w:rPr>
          <w:lang w:val="en-US"/>
        </w:rPr>
        <w:t xml:space="preserve"> </w:t>
      </w:r>
      <w:proofErr w:type="spellStart"/>
      <w:r w:rsidRPr="006C0620">
        <w:rPr>
          <w:lang w:val="en-US"/>
        </w:rPr>
        <w:t>talep</w:t>
      </w:r>
      <w:proofErr w:type="spellEnd"/>
      <w:r w:rsidRPr="006C0620">
        <w:rPr>
          <w:lang w:val="en-US"/>
        </w:rPr>
        <w:t xml:space="preserve"> </w:t>
      </w:r>
      <w:proofErr w:type="spellStart"/>
      <w:r w:rsidRPr="006C0620">
        <w:rPr>
          <w:lang w:val="en-US"/>
        </w:rPr>
        <w:t>edip</w:t>
      </w:r>
      <w:proofErr w:type="spellEnd"/>
      <w:r w:rsidRPr="006C0620">
        <w:rPr>
          <w:lang w:val="en-US"/>
        </w:rPr>
        <w:t xml:space="preserve"> </w:t>
      </w:r>
      <w:proofErr w:type="spellStart"/>
      <w:r w:rsidRPr="006C0620">
        <w:rPr>
          <w:lang w:val="en-US"/>
        </w:rPr>
        <w:t>etmeme</w:t>
      </w:r>
      <w:proofErr w:type="spellEnd"/>
      <w:r w:rsidRPr="006C0620">
        <w:rPr>
          <w:lang w:val="en-US"/>
        </w:rPr>
        <w:t xml:space="preserve">, </w:t>
      </w:r>
      <w:proofErr w:type="spellStart"/>
      <w:r w:rsidRPr="006C0620">
        <w:rPr>
          <w:lang w:val="en-US"/>
        </w:rPr>
        <w:t>kendi</w:t>
      </w:r>
      <w:proofErr w:type="spellEnd"/>
      <w:r w:rsidRPr="006C0620">
        <w:rPr>
          <w:lang w:val="en-US"/>
        </w:rPr>
        <w:t xml:space="preserve"> </w:t>
      </w:r>
      <w:proofErr w:type="spellStart"/>
      <w:r w:rsidRPr="006C0620">
        <w:rPr>
          <w:lang w:val="en-US"/>
        </w:rPr>
        <w:t>görüşlerini</w:t>
      </w:r>
      <w:proofErr w:type="spellEnd"/>
      <w:r w:rsidRPr="006C0620">
        <w:rPr>
          <w:lang w:val="en-US"/>
        </w:rPr>
        <w:t xml:space="preserve"> </w:t>
      </w:r>
      <w:proofErr w:type="spellStart"/>
      <w:r w:rsidRPr="006C0620">
        <w:rPr>
          <w:lang w:val="en-US"/>
        </w:rPr>
        <w:t>netleştirmek</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ayrı</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yazıp</w:t>
      </w:r>
      <w:proofErr w:type="spellEnd"/>
      <w:r w:rsidRPr="006C0620">
        <w:rPr>
          <w:lang w:val="en-US"/>
        </w:rPr>
        <w:t xml:space="preserve"> </w:t>
      </w:r>
      <w:proofErr w:type="spellStart"/>
      <w:r w:rsidRPr="006C0620">
        <w:rPr>
          <w:lang w:val="en-US"/>
        </w:rPr>
        <w:t>yazmama</w:t>
      </w:r>
      <w:proofErr w:type="spellEnd"/>
      <w:r w:rsidRPr="006C0620">
        <w:rPr>
          <w:lang w:val="en-US"/>
        </w:rPr>
        <w:t xml:space="preserve"> </w:t>
      </w:r>
      <w:proofErr w:type="spellStart"/>
      <w:r w:rsidRPr="006C0620">
        <w:rPr>
          <w:lang w:val="en-US"/>
        </w:rPr>
        <w:t>veya</w:t>
      </w:r>
      <w:proofErr w:type="spellEnd"/>
      <w:r w:rsidRPr="006C0620">
        <w:rPr>
          <w:lang w:val="en-US"/>
        </w:rPr>
        <w:t xml:space="preserve"> </w:t>
      </w:r>
      <w:proofErr w:type="spellStart"/>
      <w:r w:rsidRPr="006C0620">
        <w:rPr>
          <w:lang w:val="en-US"/>
        </w:rPr>
        <w:t>ağır</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çoğunluk</w:t>
      </w:r>
      <w:proofErr w:type="spellEnd"/>
      <w:r w:rsidRPr="006C0620">
        <w:rPr>
          <w:lang w:val="en-US"/>
        </w:rPr>
        <w:t xml:space="preserve"> </w:t>
      </w:r>
      <w:proofErr w:type="spellStart"/>
      <w:r w:rsidRPr="006C0620">
        <w:rPr>
          <w:lang w:val="en-US"/>
        </w:rPr>
        <w:t>karşısında</w:t>
      </w:r>
      <w:proofErr w:type="spellEnd"/>
      <w:r w:rsidRPr="006C0620">
        <w:rPr>
          <w:lang w:val="en-US"/>
        </w:rPr>
        <w:t xml:space="preserve"> </w:t>
      </w:r>
      <w:proofErr w:type="spellStart"/>
      <w:r w:rsidRPr="006C0620">
        <w:rPr>
          <w:lang w:val="en-US"/>
        </w:rPr>
        <w:t>muhalefet</w:t>
      </w:r>
      <w:proofErr w:type="spellEnd"/>
      <w:r w:rsidRPr="006C0620">
        <w:rPr>
          <w:lang w:val="en-US"/>
        </w:rPr>
        <w:t xml:space="preserve"> (dissent) </w:t>
      </w:r>
      <w:proofErr w:type="spellStart"/>
      <w:r w:rsidRPr="006C0620">
        <w:rPr>
          <w:lang w:val="en-US"/>
        </w:rPr>
        <w:t>kaydedip</w:t>
      </w:r>
      <w:proofErr w:type="spellEnd"/>
      <w:r w:rsidRPr="006C0620">
        <w:rPr>
          <w:lang w:val="en-US"/>
        </w:rPr>
        <w:t xml:space="preserve"> </w:t>
      </w:r>
      <w:proofErr w:type="spellStart"/>
      <w:r w:rsidRPr="006C0620">
        <w:rPr>
          <w:lang w:val="en-US"/>
        </w:rPr>
        <w:t>kaydetmeme</w:t>
      </w:r>
      <w:proofErr w:type="spellEnd"/>
      <w:r w:rsidRPr="006C0620">
        <w:rPr>
          <w:lang w:val="en-US"/>
        </w:rPr>
        <w:t xml:space="preserve"> </w:t>
      </w:r>
      <w:proofErr w:type="spellStart"/>
      <w:r w:rsidRPr="006C0620">
        <w:rPr>
          <w:lang w:val="en-US"/>
        </w:rPr>
        <w:t>kararlarını</w:t>
      </w:r>
      <w:proofErr w:type="spellEnd"/>
      <w:r w:rsidRPr="006C0620">
        <w:rPr>
          <w:lang w:val="en-US"/>
        </w:rPr>
        <w:t xml:space="preserve"> </w:t>
      </w:r>
      <w:proofErr w:type="spellStart"/>
      <w:r w:rsidRPr="006C0620">
        <w:rPr>
          <w:lang w:val="en-US"/>
        </w:rPr>
        <w:t>şekillendiren</w:t>
      </w:r>
      <w:proofErr w:type="spellEnd"/>
      <w:r w:rsidRPr="006C0620">
        <w:rPr>
          <w:lang w:val="en-US"/>
        </w:rPr>
        <w:t xml:space="preserve"> </w:t>
      </w:r>
      <w:proofErr w:type="spellStart"/>
      <w:r w:rsidRPr="006C0620">
        <w:rPr>
          <w:lang w:val="en-US"/>
        </w:rPr>
        <w:t>bir</w:t>
      </w:r>
      <w:proofErr w:type="spellEnd"/>
      <w:r w:rsidRPr="006C0620">
        <w:rPr>
          <w:lang w:val="en-US"/>
        </w:rPr>
        <w:t xml:space="preserve"> dizi </w:t>
      </w:r>
      <w:proofErr w:type="spellStart"/>
      <w:r w:rsidRPr="006C0620">
        <w:rPr>
          <w:lang w:val="en-US"/>
        </w:rPr>
        <w:t>varsayım</w:t>
      </w:r>
      <w:proofErr w:type="spellEnd"/>
      <w:r w:rsidRPr="006C0620">
        <w:rPr>
          <w:lang w:val="en-US"/>
        </w:rPr>
        <w:t xml:space="preserve">, </w:t>
      </w:r>
      <w:proofErr w:type="spellStart"/>
      <w:r w:rsidRPr="006C0620">
        <w:rPr>
          <w:lang w:val="en-US"/>
        </w:rPr>
        <w:t>değerlendirme</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düşünce</w:t>
      </w:r>
      <w:proofErr w:type="spellEnd"/>
      <w:r w:rsidRPr="006C0620">
        <w:rPr>
          <w:lang w:val="en-US"/>
        </w:rPr>
        <w:t xml:space="preserve"> </w:t>
      </w:r>
      <w:proofErr w:type="spellStart"/>
      <w:r w:rsidRPr="006C0620">
        <w:rPr>
          <w:lang w:val="en-US"/>
        </w:rPr>
        <w:t>alışkanlığı</w:t>
      </w:r>
      <w:proofErr w:type="spellEnd"/>
      <w:r w:rsidRPr="006C0620">
        <w:rPr>
          <w:lang w:val="en-US"/>
        </w:rPr>
        <w:t xml:space="preserve"> </w:t>
      </w:r>
      <w:proofErr w:type="spellStart"/>
      <w:r w:rsidRPr="006C0620">
        <w:rPr>
          <w:lang w:val="en-US"/>
        </w:rPr>
        <w:t>ile</w:t>
      </w:r>
      <w:proofErr w:type="spellEnd"/>
      <w:r w:rsidRPr="006C0620">
        <w:rPr>
          <w:lang w:val="en-US"/>
        </w:rPr>
        <w:t xml:space="preserve"> desteklenmektedir.⁴²</w:t>
      </w:r>
      <w:r>
        <w:rPr>
          <w:lang w:val="en-US"/>
        </w:rPr>
        <w:t xml:space="preserve"> </w:t>
      </w:r>
      <w:r>
        <w:rPr>
          <w:rStyle w:val="FootnoteReference"/>
          <w:lang w:val="en-US"/>
        </w:rPr>
        <w:footnoteReference w:id="42"/>
      </w:r>
    </w:p>
    <w:p w14:paraId="445A6939" w14:textId="039EBD3B" w:rsidR="00CA6E33" w:rsidRDefault="00CA6E33" w:rsidP="00CA6E33">
      <w:pPr>
        <w:rPr>
          <w:lang w:val="en-US"/>
        </w:rPr>
      </w:pPr>
      <w:r w:rsidRPr="00CA6E33">
        <w:rPr>
          <w:lang w:val="en-US"/>
        </w:rPr>
        <w:t xml:space="preserve">Yüksek </w:t>
      </w:r>
      <w:proofErr w:type="spellStart"/>
      <w:r w:rsidRPr="00CA6E33">
        <w:rPr>
          <w:lang w:val="en-US"/>
        </w:rPr>
        <w:t>Mahkeme</w:t>
      </w:r>
      <w:proofErr w:type="spellEnd"/>
      <w:r w:rsidRPr="00CA6E33">
        <w:rPr>
          <w:lang w:val="en-US"/>
        </w:rPr>
        <w:t xml:space="preserve"> </w:t>
      </w:r>
      <w:proofErr w:type="spellStart"/>
      <w:r w:rsidRPr="00CA6E33">
        <w:rPr>
          <w:lang w:val="en-US"/>
        </w:rPr>
        <w:t>yargıçları</w:t>
      </w:r>
      <w:proofErr w:type="spellEnd"/>
      <w:r w:rsidRPr="00CA6E33">
        <w:rPr>
          <w:lang w:val="en-US"/>
        </w:rPr>
        <w:t xml:space="preserve"> (Justices) </w:t>
      </w:r>
      <w:proofErr w:type="spellStart"/>
      <w:r w:rsidRPr="00CA6E33">
        <w:rPr>
          <w:lang w:val="en-US"/>
        </w:rPr>
        <w:t>arasındaki</w:t>
      </w:r>
      <w:proofErr w:type="spellEnd"/>
      <w:r w:rsidRPr="00CA6E33">
        <w:rPr>
          <w:lang w:val="en-US"/>
        </w:rPr>
        <w:t xml:space="preserve"> </w:t>
      </w:r>
      <w:proofErr w:type="spellStart"/>
      <w:r w:rsidRPr="00CA6E33">
        <w:rPr>
          <w:lang w:val="en-US"/>
        </w:rPr>
        <w:t>ilişkiler</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görüşlerin</w:t>
      </w:r>
      <w:proofErr w:type="spellEnd"/>
      <w:r w:rsidRPr="00CA6E33">
        <w:rPr>
          <w:lang w:val="en-US"/>
        </w:rPr>
        <w:t xml:space="preserve"> </w:t>
      </w:r>
      <w:proofErr w:type="spellStart"/>
      <w:r w:rsidRPr="00CA6E33">
        <w:rPr>
          <w:lang w:val="en-US"/>
        </w:rPr>
        <w:t>içeriği</w:t>
      </w:r>
      <w:proofErr w:type="spellEnd"/>
      <w:r w:rsidRPr="00CA6E33">
        <w:rPr>
          <w:lang w:val="en-US"/>
        </w:rPr>
        <w:t xml:space="preserve"> </w:t>
      </w:r>
      <w:proofErr w:type="spellStart"/>
      <w:r w:rsidRPr="00CA6E33">
        <w:rPr>
          <w:lang w:val="en-US"/>
        </w:rPr>
        <w:t>üzerine</w:t>
      </w:r>
      <w:proofErr w:type="spellEnd"/>
      <w:r w:rsidRPr="00CA6E33">
        <w:rPr>
          <w:lang w:val="en-US"/>
        </w:rPr>
        <w:t xml:space="preserve"> </w:t>
      </w:r>
      <w:proofErr w:type="spellStart"/>
      <w:r w:rsidRPr="00CA6E33">
        <w:rPr>
          <w:lang w:val="en-US"/>
        </w:rPr>
        <w:t>yapılan</w:t>
      </w:r>
      <w:proofErr w:type="spellEnd"/>
      <w:r w:rsidRPr="00CA6E33">
        <w:rPr>
          <w:lang w:val="en-US"/>
        </w:rPr>
        <w:t xml:space="preserve"> </w:t>
      </w:r>
      <w:proofErr w:type="spellStart"/>
      <w:r w:rsidRPr="00CA6E33">
        <w:rPr>
          <w:lang w:val="en-US"/>
        </w:rPr>
        <w:t>tartışma</w:t>
      </w:r>
      <w:proofErr w:type="spellEnd"/>
      <w:r w:rsidRPr="00CA6E33">
        <w:rPr>
          <w:lang w:val="en-US"/>
        </w:rPr>
        <w:t xml:space="preserve">, </w:t>
      </w:r>
      <w:proofErr w:type="spellStart"/>
      <w:r w:rsidRPr="00CA6E33">
        <w:rPr>
          <w:lang w:val="en-US"/>
        </w:rPr>
        <w:t>müzakere</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düzenlemelerin</w:t>
      </w:r>
      <w:proofErr w:type="spellEnd"/>
      <w:r w:rsidRPr="00CA6E33">
        <w:rPr>
          <w:lang w:val="en-US"/>
        </w:rPr>
        <w:t xml:space="preserve"> </w:t>
      </w:r>
      <w:proofErr w:type="spellStart"/>
      <w:r w:rsidRPr="00CA6E33">
        <w:rPr>
          <w:lang w:val="en-US"/>
        </w:rPr>
        <w:t>derecesi</w:t>
      </w:r>
      <w:proofErr w:type="spellEnd"/>
      <w:r w:rsidRPr="00CA6E33">
        <w:rPr>
          <w:lang w:val="en-US"/>
        </w:rPr>
        <w:t xml:space="preserve"> de zaman </w:t>
      </w:r>
      <w:proofErr w:type="spellStart"/>
      <w:r w:rsidRPr="00CA6E33">
        <w:rPr>
          <w:lang w:val="en-US"/>
        </w:rPr>
        <w:t>içinde</w:t>
      </w:r>
      <w:proofErr w:type="spellEnd"/>
      <w:r w:rsidRPr="00CA6E33">
        <w:rPr>
          <w:lang w:val="en-US"/>
        </w:rPr>
        <w:t xml:space="preserve"> </w:t>
      </w:r>
      <w:proofErr w:type="spellStart"/>
      <w:r w:rsidRPr="00CA6E33">
        <w:rPr>
          <w:lang w:val="en-US"/>
        </w:rPr>
        <w:t>farklılık</w:t>
      </w:r>
      <w:proofErr w:type="spellEnd"/>
      <w:r w:rsidRPr="00CA6E33">
        <w:rPr>
          <w:lang w:val="en-US"/>
        </w:rPr>
        <w:t xml:space="preserve"> </w:t>
      </w:r>
      <w:proofErr w:type="spellStart"/>
      <w:r w:rsidRPr="00CA6E33">
        <w:rPr>
          <w:lang w:val="en-US"/>
        </w:rPr>
        <w:t>göstermiştir</w:t>
      </w:r>
      <w:proofErr w:type="spellEnd"/>
      <w:r w:rsidRPr="00CA6E33">
        <w:rPr>
          <w:lang w:val="en-US"/>
        </w:rPr>
        <w:t xml:space="preserve">. </w:t>
      </w:r>
      <w:proofErr w:type="spellStart"/>
      <w:r w:rsidRPr="00CA6E33">
        <w:rPr>
          <w:lang w:val="en-US"/>
        </w:rPr>
        <w:t>Anı</w:t>
      </w:r>
      <w:proofErr w:type="spellEnd"/>
      <w:r w:rsidRPr="00CA6E33">
        <w:rPr>
          <w:lang w:val="en-US"/>
        </w:rPr>
        <w:t xml:space="preserve"> </w:t>
      </w:r>
      <w:proofErr w:type="spellStart"/>
      <w:r w:rsidRPr="00CA6E33">
        <w:rPr>
          <w:lang w:val="en-US"/>
        </w:rPr>
        <w:t>yazıları</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tarihsel</w:t>
      </w:r>
      <w:proofErr w:type="spellEnd"/>
      <w:r w:rsidRPr="00CA6E33">
        <w:rPr>
          <w:lang w:val="en-US"/>
        </w:rPr>
        <w:t xml:space="preserve"> </w:t>
      </w:r>
      <w:proofErr w:type="spellStart"/>
      <w:r w:rsidRPr="00CA6E33">
        <w:rPr>
          <w:lang w:val="en-US"/>
        </w:rPr>
        <w:t>anlatımlar</w:t>
      </w:r>
      <w:proofErr w:type="spellEnd"/>
      <w:r w:rsidRPr="00CA6E33">
        <w:rPr>
          <w:lang w:val="en-US"/>
        </w:rPr>
        <w:t xml:space="preserve">, 1935 </w:t>
      </w:r>
      <w:proofErr w:type="spellStart"/>
      <w:r w:rsidRPr="00CA6E33">
        <w:rPr>
          <w:lang w:val="en-US"/>
        </w:rPr>
        <w:t>yılında</w:t>
      </w:r>
      <w:proofErr w:type="spellEnd"/>
      <w:r w:rsidRPr="00CA6E33">
        <w:rPr>
          <w:lang w:val="en-US"/>
        </w:rPr>
        <w:t xml:space="preserve"> </w:t>
      </w:r>
      <w:proofErr w:type="spellStart"/>
      <w:r w:rsidRPr="00CA6E33">
        <w:rPr>
          <w:lang w:val="en-US"/>
        </w:rPr>
        <w:t>Mahkeme</w:t>
      </w:r>
      <w:proofErr w:type="spellEnd"/>
      <w:r w:rsidRPr="00CA6E33">
        <w:rPr>
          <w:lang w:val="en-US"/>
        </w:rPr>
        <w:t xml:space="preserve"> </w:t>
      </w:r>
      <w:proofErr w:type="spellStart"/>
      <w:r w:rsidRPr="00CA6E33">
        <w:rPr>
          <w:lang w:val="en-US"/>
        </w:rPr>
        <w:t>binasının</w:t>
      </w:r>
      <w:proofErr w:type="spellEnd"/>
      <w:r w:rsidRPr="00CA6E33">
        <w:rPr>
          <w:lang w:val="en-US"/>
        </w:rPr>
        <w:t xml:space="preserve"> </w:t>
      </w:r>
      <w:proofErr w:type="spellStart"/>
      <w:r w:rsidRPr="00CA6E33">
        <w:rPr>
          <w:lang w:val="en-US"/>
        </w:rPr>
        <w:t>açılmasına</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belki</w:t>
      </w:r>
      <w:proofErr w:type="spellEnd"/>
      <w:r w:rsidRPr="00CA6E33">
        <w:rPr>
          <w:lang w:val="en-US"/>
        </w:rPr>
        <w:t xml:space="preserve"> de </w:t>
      </w:r>
      <w:proofErr w:type="spellStart"/>
      <w:r w:rsidRPr="00CA6E33">
        <w:rPr>
          <w:lang w:val="en-US"/>
        </w:rPr>
        <w:t>birkaç</w:t>
      </w:r>
      <w:proofErr w:type="spellEnd"/>
      <w:r w:rsidRPr="00CA6E33">
        <w:rPr>
          <w:lang w:val="en-US"/>
        </w:rPr>
        <w:t xml:space="preserve"> </w:t>
      </w:r>
      <w:proofErr w:type="spellStart"/>
      <w:r w:rsidRPr="00CA6E33">
        <w:rPr>
          <w:lang w:val="en-US"/>
        </w:rPr>
        <w:t>yıl</w:t>
      </w:r>
      <w:proofErr w:type="spellEnd"/>
      <w:r w:rsidRPr="00CA6E33">
        <w:rPr>
          <w:lang w:val="en-US"/>
        </w:rPr>
        <w:t xml:space="preserve"> </w:t>
      </w:r>
      <w:proofErr w:type="spellStart"/>
      <w:r w:rsidRPr="00CA6E33">
        <w:rPr>
          <w:lang w:val="en-US"/>
        </w:rPr>
        <w:t>sonrasına</w:t>
      </w:r>
      <w:proofErr w:type="spellEnd"/>
      <w:r w:rsidRPr="00CA6E33">
        <w:rPr>
          <w:lang w:val="en-US"/>
        </w:rPr>
        <w:t xml:space="preserve"> </w:t>
      </w:r>
      <w:proofErr w:type="spellStart"/>
      <w:r w:rsidRPr="00CA6E33">
        <w:rPr>
          <w:lang w:val="en-US"/>
        </w:rPr>
        <w:t>kadar</w:t>
      </w:r>
      <w:proofErr w:type="spellEnd"/>
      <w:r w:rsidRPr="00CA6E33">
        <w:rPr>
          <w:lang w:val="en-US"/>
        </w:rPr>
        <w:t xml:space="preserve">, </w:t>
      </w:r>
      <w:proofErr w:type="spellStart"/>
      <w:r w:rsidRPr="00CA6E33">
        <w:rPr>
          <w:lang w:val="en-US"/>
        </w:rPr>
        <w:t>yargıçların</w:t>
      </w:r>
      <w:proofErr w:type="spellEnd"/>
      <w:r w:rsidRPr="00CA6E33">
        <w:rPr>
          <w:lang w:val="en-US"/>
        </w:rPr>
        <w:t xml:space="preserve"> </w:t>
      </w:r>
      <w:proofErr w:type="spellStart"/>
      <w:r w:rsidRPr="00CA6E33">
        <w:rPr>
          <w:lang w:val="en-US"/>
        </w:rPr>
        <w:t>birbirleriyle</w:t>
      </w:r>
      <w:proofErr w:type="spellEnd"/>
      <w:r w:rsidRPr="00CA6E33">
        <w:rPr>
          <w:lang w:val="en-US"/>
        </w:rPr>
        <w:t xml:space="preserve"> </w:t>
      </w:r>
      <w:proofErr w:type="spellStart"/>
      <w:r w:rsidRPr="00CA6E33">
        <w:rPr>
          <w:lang w:val="en-US"/>
        </w:rPr>
        <w:t>nispeten</w:t>
      </w:r>
      <w:proofErr w:type="spellEnd"/>
      <w:r w:rsidRPr="00CA6E33">
        <w:rPr>
          <w:lang w:val="en-US"/>
        </w:rPr>
        <w:t xml:space="preserve"> </w:t>
      </w:r>
      <w:proofErr w:type="spellStart"/>
      <w:r w:rsidRPr="00CA6E33">
        <w:rPr>
          <w:lang w:val="en-US"/>
        </w:rPr>
        <w:t>sınırlı</w:t>
      </w:r>
      <w:proofErr w:type="spellEnd"/>
      <w:r w:rsidRPr="00CA6E33">
        <w:rPr>
          <w:lang w:val="en-US"/>
        </w:rPr>
        <w:t xml:space="preserve"> </w:t>
      </w:r>
      <w:proofErr w:type="spellStart"/>
      <w:r w:rsidRPr="00CA6E33">
        <w:rPr>
          <w:lang w:val="en-US"/>
        </w:rPr>
        <w:t>temas</w:t>
      </w:r>
      <w:proofErr w:type="spellEnd"/>
      <w:r w:rsidRPr="00CA6E33">
        <w:rPr>
          <w:lang w:val="en-US"/>
        </w:rPr>
        <w:t xml:space="preserve"> </w:t>
      </w:r>
      <w:proofErr w:type="spellStart"/>
      <w:r w:rsidRPr="00CA6E33">
        <w:rPr>
          <w:lang w:val="en-US"/>
        </w:rPr>
        <w:t>kurduklarını</w:t>
      </w:r>
      <w:proofErr w:type="spellEnd"/>
      <w:r w:rsidRPr="00CA6E33">
        <w:rPr>
          <w:lang w:val="en-US"/>
        </w:rPr>
        <w:t xml:space="preserve"> </w:t>
      </w:r>
      <w:proofErr w:type="spellStart"/>
      <w:r w:rsidRPr="00CA6E33">
        <w:rPr>
          <w:lang w:val="en-US"/>
        </w:rPr>
        <w:t>göstermektedir</w:t>
      </w:r>
      <w:proofErr w:type="spellEnd"/>
      <w:r w:rsidRPr="00CA6E33">
        <w:rPr>
          <w:lang w:val="en-US"/>
        </w:rPr>
        <w:t xml:space="preserve">; </w:t>
      </w:r>
      <w:proofErr w:type="spellStart"/>
      <w:r w:rsidRPr="00CA6E33">
        <w:rPr>
          <w:lang w:val="en-US"/>
        </w:rPr>
        <w:t>çünkü</w:t>
      </w:r>
      <w:proofErr w:type="spellEnd"/>
      <w:r w:rsidRPr="00CA6E33">
        <w:rPr>
          <w:lang w:val="en-US"/>
        </w:rPr>
        <w:t xml:space="preserve"> </w:t>
      </w:r>
      <w:proofErr w:type="spellStart"/>
      <w:r w:rsidRPr="00CA6E33">
        <w:rPr>
          <w:lang w:val="en-US"/>
        </w:rPr>
        <w:t>bu</w:t>
      </w:r>
      <w:proofErr w:type="spellEnd"/>
      <w:r w:rsidRPr="00CA6E33">
        <w:rPr>
          <w:lang w:val="en-US"/>
        </w:rPr>
        <w:t xml:space="preserve"> </w:t>
      </w:r>
      <w:proofErr w:type="spellStart"/>
      <w:r w:rsidRPr="00CA6E33">
        <w:rPr>
          <w:lang w:val="en-US"/>
        </w:rPr>
        <w:t>dönemde</w:t>
      </w:r>
      <w:proofErr w:type="spellEnd"/>
      <w:r w:rsidRPr="00CA6E33">
        <w:rPr>
          <w:lang w:val="en-US"/>
        </w:rPr>
        <w:t xml:space="preserve"> </w:t>
      </w:r>
      <w:proofErr w:type="spellStart"/>
      <w:r w:rsidRPr="00CA6E33">
        <w:rPr>
          <w:lang w:val="en-US"/>
        </w:rPr>
        <w:t>yargıçlar</w:t>
      </w:r>
      <w:proofErr w:type="spellEnd"/>
      <w:r w:rsidRPr="00CA6E33">
        <w:rPr>
          <w:lang w:val="en-US"/>
        </w:rPr>
        <w:t xml:space="preserve"> </w:t>
      </w:r>
      <w:proofErr w:type="spellStart"/>
      <w:r w:rsidRPr="00CA6E33">
        <w:rPr>
          <w:lang w:val="en-US"/>
        </w:rPr>
        <w:t>genellikle</w:t>
      </w:r>
      <w:proofErr w:type="spellEnd"/>
      <w:r w:rsidRPr="00CA6E33">
        <w:rPr>
          <w:lang w:val="en-US"/>
        </w:rPr>
        <w:t xml:space="preserve"> </w:t>
      </w:r>
      <w:proofErr w:type="spellStart"/>
      <w:r w:rsidRPr="00CA6E33">
        <w:rPr>
          <w:lang w:val="en-US"/>
        </w:rPr>
        <w:t>evlerinden</w:t>
      </w:r>
      <w:proofErr w:type="spellEnd"/>
      <w:r w:rsidRPr="00CA6E33">
        <w:rPr>
          <w:lang w:val="en-US"/>
        </w:rPr>
        <w:t xml:space="preserve"> </w:t>
      </w:r>
      <w:proofErr w:type="spellStart"/>
      <w:r w:rsidRPr="00CA6E33">
        <w:rPr>
          <w:lang w:val="en-US"/>
        </w:rPr>
        <w:t>çalışıyor</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yalnızca</w:t>
      </w:r>
      <w:proofErr w:type="spellEnd"/>
      <w:r w:rsidRPr="00CA6E33">
        <w:rPr>
          <w:lang w:val="en-US"/>
        </w:rPr>
        <w:t xml:space="preserve"> </w:t>
      </w:r>
      <w:proofErr w:type="spellStart"/>
      <w:r w:rsidRPr="00CA6E33">
        <w:rPr>
          <w:lang w:val="en-US"/>
        </w:rPr>
        <w:t>hukuk</w:t>
      </w:r>
      <w:proofErr w:type="spellEnd"/>
      <w:r w:rsidRPr="00CA6E33">
        <w:rPr>
          <w:lang w:val="en-US"/>
        </w:rPr>
        <w:t xml:space="preserve"> </w:t>
      </w:r>
      <w:proofErr w:type="spellStart"/>
      <w:r w:rsidRPr="00CA6E33">
        <w:rPr>
          <w:lang w:val="en-US"/>
        </w:rPr>
        <w:t>katipleri</w:t>
      </w:r>
      <w:proofErr w:type="spellEnd"/>
      <w:r w:rsidRPr="00CA6E33">
        <w:rPr>
          <w:lang w:val="en-US"/>
        </w:rPr>
        <w:t xml:space="preserve"> (law clerks) </w:t>
      </w:r>
      <w:proofErr w:type="spellStart"/>
      <w:r w:rsidRPr="00CA6E33">
        <w:rPr>
          <w:lang w:val="en-US"/>
        </w:rPr>
        <w:t>veya</w:t>
      </w:r>
      <w:proofErr w:type="spellEnd"/>
      <w:r w:rsidRPr="00CA6E33">
        <w:rPr>
          <w:lang w:val="en-US"/>
        </w:rPr>
        <w:t xml:space="preserve"> </w:t>
      </w:r>
      <w:proofErr w:type="spellStart"/>
      <w:r w:rsidRPr="00CA6E33">
        <w:rPr>
          <w:lang w:val="en-US"/>
        </w:rPr>
        <w:t>sekreterleri</w:t>
      </w:r>
      <w:proofErr w:type="spellEnd"/>
      <w:r w:rsidRPr="00CA6E33">
        <w:rPr>
          <w:lang w:val="en-US"/>
        </w:rPr>
        <w:t xml:space="preserve"> </w:t>
      </w:r>
      <w:proofErr w:type="spellStart"/>
      <w:r w:rsidRPr="00CA6E33">
        <w:rPr>
          <w:lang w:val="en-US"/>
        </w:rPr>
        <w:t>ile</w:t>
      </w:r>
      <w:proofErr w:type="spellEnd"/>
      <w:r w:rsidRPr="00CA6E33">
        <w:rPr>
          <w:lang w:val="en-US"/>
        </w:rPr>
        <w:t xml:space="preserve"> </w:t>
      </w:r>
      <w:proofErr w:type="spellStart"/>
      <w:r w:rsidRPr="00CA6E33">
        <w:rPr>
          <w:lang w:val="en-US"/>
        </w:rPr>
        <w:t>istişare</w:t>
      </w:r>
      <w:proofErr w:type="spellEnd"/>
      <w:r w:rsidRPr="00CA6E33">
        <w:rPr>
          <w:lang w:val="en-US"/>
        </w:rPr>
        <w:t xml:space="preserve"> ediyordu.⁴³</w:t>
      </w:r>
      <w:r>
        <w:rPr>
          <w:lang w:val="en-US"/>
        </w:rPr>
        <w:t xml:space="preserve"> </w:t>
      </w:r>
      <w:r>
        <w:rPr>
          <w:rStyle w:val="FootnoteReference"/>
          <w:lang w:val="en-US"/>
        </w:rPr>
        <w:footnoteReference w:id="43"/>
      </w:r>
      <w:r>
        <w:rPr>
          <w:lang w:val="en-US"/>
        </w:rPr>
        <w:t xml:space="preserve"> </w:t>
      </w:r>
      <w:proofErr w:type="spellStart"/>
      <w:r w:rsidRPr="00CA6E33">
        <w:rPr>
          <w:lang w:val="en-US"/>
        </w:rPr>
        <w:t>Mahkeme</w:t>
      </w:r>
      <w:proofErr w:type="spellEnd"/>
      <w:r w:rsidRPr="00CA6E33">
        <w:rPr>
          <w:lang w:val="en-US"/>
        </w:rPr>
        <w:t xml:space="preserve"> </w:t>
      </w:r>
      <w:proofErr w:type="spellStart"/>
      <w:r w:rsidRPr="00CA6E33">
        <w:rPr>
          <w:lang w:val="en-US"/>
        </w:rPr>
        <w:t>kendi</w:t>
      </w:r>
      <w:proofErr w:type="spellEnd"/>
      <w:r w:rsidRPr="00CA6E33">
        <w:rPr>
          <w:lang w:val="en-US"/>
        </w:rPr>
        <w:t xml:space="preserve"> </w:t>
      </w:r>
      <w:proofErr w:type="spellStart"/>
      <w:r w:rsidRPr="00CA6E33">
        <w:rPr>
          <w:lang w:val="en-US"/>
        </w:rPr>
        <w:t>binasına</w:t>
      </w:r>
      <w:proofErr w:type="spellEnd"/>
      <w:r w:rsidRPr="00CA6E33">
        <w:rPr>
          <w:lang w:val="en-US"/>
        </w:rPr>
        <w:t xml:space="preserve"> </w:t>
      </w:r>
      <w:proofErr w:type="spellStart"/>
      <w:r w:rsidRPr="00CA6E33">
        <w:rPr>
          <w:lang w:val="en-US"/>
        </w:rPr>
        <w:t>taşındığında</w:t>
      </w:r>
      <w:proofErr w:type="spellEnd"/>
      <w:r w:rsidRPr="00CA6E33">
        <w:rPr>
          <w:lang w:val="en-US"/>
        </w:rPr>
        <w:t xml:space="preserve">, </w:t>
      </w:r>
      <w:proofErr w:type="spellStart"/>
      <w:r w:rsidRPr="00CA6E33">
        <w:rPr>
          <w:lang w:val="en-US"/>
        </w:rPr>
        <w:t>günlük</w:t>
      </w:r>
      <w:proofErr w:type="spellEnd"/>
      <w:r w:rsidRPr="00CA6E33">
        <w:rPr>
          <w:lang w:val="en-US"/>
        </w:rPr>
        <w:t xml:space="preserve"> </w:t>
      </w:r>
      <w:proofErr w:type="spellStart"/>
      <w:r w:rsidRPr="00CA6E33">
        <w:rPr>
          <w:lang w:val="en-US"/>
        </w:rPr>
        <w:t>etkileşim</w:t>
      </w:r>
      <w:proofErr w:type="spellEnd"/>
      <w:r w:rsidRPr="00CA6E33">
        <w:rPr>
          <w:lang w:val="en-US"/>
        </w:rPr>
        <w:t xml:space="preserve"> </w:t>
      </w:r>
      <w:proofErr w:type="spellStart"/>
      <w:r w:rsidRPr="00CA6E33">
        <w:rPr>
          <w:lang w:val="en-US"/>
        </w:rPr>
        <w:t>miktarı</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ölçüde</w:t>
      </w:r>
      <w:proofErr w:type="spellEnd"/>
      <w:r w:rsidRPr="00CA6E33">
        <w:rPr>
          <w:lang w:val="en-US"/>
        </w:rPr>
        <w:t xml:space="preserve"> </w:t>
      </w:r>
      <w:proofErr w:type="spellStart"/>
      <w:r w:rsidRPr="00CA6E33">
        <w:rPr>
          <w:lang w:val="en-US"/>
        </w:rPr>
        <w:t>artsa</w:t>
      </w:r>
      <w:proofErr w:type="spellEnd"/>
      <w:r w:rsidRPr="00CA6E33">
        <w:rPr>
          <w:lang w:val="en-US"/>
        </w:rPr>
        <w:t xml:space="preserve"> da, </w:t>
      </w:r>
      <w:proofErr w:type="spellStart"/>
      <w:r w:rsidRPr="00CA6E33">
        <w:rPr>
          <w:lang w:val="en-US"/>
        </w:rPr>
        <w:t>yargıçlar</w:t>
      </w:r>
      <w:proofErr w:type="spellEnd"/>
      <w:r w:rsidRPr="00CA6E33">
        <w:rPr>
          <w:lang w:val="en-US"/>
        </w:rPr>
        <w:t xml:space="preserve"> </w:t>
      </w:r>
      <w:proofErr w:type="spellStart"/>
      <w:r w:rsidRPr="00CA6E33">
        <w:rPr>
          <w:lang w:val="en-US"/>
        </w:rPr>
        <w:t>yine</w:t>
      </w:r>
      <w:proofErr w:type="spellEnd"/>
      <w:r w:rsidRPr="00CA6E33">
        <w:rPr>
          <w:lang w:val="en-US"/>
        </w:rPr>
        <w:t xml:space="preserve"> de </w:t>
      </w:r>
      <w:proofErr w:type="spellStart"/>
      <w:r w:rsidRPr="00CA6E33">
        <w:rPr>
          <w:lang w:val="en-US"/>
        </w:rPr>
        <w:t>işlerinin</w:t>
      </w:r>
      <w:proofErr w:type="spellEnd"/>
      <w:r w:rsidRPr="00CA6E33">
        <w:rPr>
          <w:lang w:val="en-US"/>
        </w:rPr>
        <w:t xml:space="preserve"> </w:t>
      </w:r>
      <w:proofErr w:type="spellStart"/>
      <w:r w:rsidRPr="00CA6E33">
        <w:rPr>
          <w:lang w:val="en-US"/>
        </w:rPr>
        <w:t>büyük</w:t>
      </w:r>
      <w:proofErr w:type="spellEnd"/>
      <w:r w:rsidRPr="00CA6E33">
        <w:rPr>
          <w:lang w:val="en-US"/>
        </w:rPr>
        <w:t xml:space="preserve"> </w:t>
      </w:r>
      <w:proofErr w:type="spellStart"/>
      <w:r w:rsidRPr="00CA6E33">
        <w:rPr>
          <w:lang w:val="en-US"/>
        </w:rPr>
        <w:t>kısmını</w:t>
      </w:r>
      <w:proofErr w:type="spellEnd"/>
      <w:r w:rsidRPr="00CA6E33">
        <w:rPr>
          <w:lang w:val="en-US"/>
        </w:rPr>
        <w:t xml:space="preserve"> </w:t>
      </w:r>
      <w:proofErr w:type="spellStart"/>
      <w:r w:rsidRPr="00CA6E33">
        <w:rPr>
          <w:lang w:val="en-US"/>
        </w:rPr>
        <w:t>bireysel</w:t>
      </w:r>
      <w:proofErr w:type="spellEnd"/>
      <w:r w:rsidRPr="00CA6E33">
        <w:rPr>
          <w:lang w:val="en-US"/>
        </w:rPr>
        <w:t xml:space="preserve"> </w:t>
      </w:r>
      <w:proofErr w:type="spellStart"/>
      <w:r w:rsidRPr="00CA6E33">
        <w:rPr>
          <w:lang w:val="en-US"/>
        </w:rPr>
        <w:t>olarak</w:t>
      </w:r>
      <w:proofErr w:type="spellEnd"/>
      <w:r w:rsidRPr="00CA6E33">
        <w:rPr>
          <w:lang w:val="en-US"/>
        </w:rPr>
        <w:t xml:space="preserve"> </w:t>
      </w:r>
      <w:proofErr w:type="spellStart"/>
      <w:r w:rsidRPr="00CA6E33">
        <w:rPr>
          <w:lang w:val="en-US"/>
        </w:rPr>
        <w:t>ofislerinde</w:t>
      </w:r>
      <w:proofErr w:type="spellEnd"/>
      <w:r w:rsidRPr="00CA6E33">
        <w:rPr>
          <w:lang w:val="en-US"/>
        </w:rPr>
        <w:t xml:space="preserve"> </w:t>
      </w:r>
      <w:proofErr w:type="spellStart"/>
      <w:r w:rsidRPr="00CA6E33">
        <w:rPr>
          <w:lang w:val="en-US"/>
        </w:rPr>
        <w:t>yürütmeye</w:t>
      </w:r>
      <w:proofErr w:type="spellEnd"/>
      <w:r w:rsidRPr="00CA6E33">
        <w:rPr>
          <w:lang w:val="en-US"/>
        </w:rPr>
        <w:t xml:space="preserve"> </w:t>
      </w:r>
      <w:proofErr w:type="spellStart"/>
      <w:r w:rsidRPr="00CA6E33">
        <w:rPr>
          <w:lang w:val="en-US"/>
        </w:rPr>
        <w:t>devam</w:t>
      </w:r>
      <w:proofErr w:type="spellEnd"/>
      <w:r w:rsidRPr="00CA6E33">
        <w:rPr>
          <w:lang w:val="en-US"/>
        </w:rPr>
        <w:t xml:space="preserve"> </w:t>
      </w:r>
      <w:proofErr w:type="spellStart"/>
      <w:r w:rsidRPr="00CA6E33">
        <w:rPr>
          <w:lang w:val="en-US"/>
        </w:rPr>
        <w:t>etti</w:t>
      </w:r>
      <w:proofErr w:type="spellEnd"/>
      <w:r w:rsidRPr="00CA6E33">
        <w:rPr>
          <w:lang w:val="en-US"/>
        </w:rPr>
        <w:t xml:space="preserve">. </w:t>
      </w:r>
      <w:proofErr w:type="spellStart"/>
      <w:r w:rsidRPr="00CA6E33">
        <w:rPr>
          <w:lang w:val="en-US"/>
        </w:rPr>
        <w:t>Bazı</w:t>
      </w:r>
      <w:proofErr w:type="spellEnd"/>
      <w:r w:rsidRPr="00CA6E33">
        <w:rPr>
          <w:lang w:val="en-US"/>
        </w:rPr>
        <w:t xml:space="preserve"> </w:t>
      </w:r>
      <w:proofErr w:type="spellStart"/>
      <w:r w:rsidRPr="00CA6E33">
        <w:rPr>
          <w:lang w:val="en-US"/>
        </w:rPr>
        <w:t>yargıç</w:t>
      </w:r>
      <w:proofErr w:type="spellEnd"/>
      <w:r w:rsidRPr="00CA6E33">
        <w:rPr>
          <w:lang w:val="en-US"/>
        </w:rPr>
        <w:t xml:space="preserve"> </w:t>
      </w:r>
      <w:proofErr w:type="spellStart"/>
      <w:r w:rsidRPr="00CA6E33">
        <w:rPr>
          <w:lang w:val="en-US"/>
        </w:rPr>
        <w:t>çiftleri</w:t>
      </w:r>
      <w:proofErr w:type="spellEnd"/>
      <w:r w:rsidRPr="00CA6E33">
        <w:rPr>
          <w:lang w:val="en-US"/>
        </w:rPr>
        <w:t xml:space="preserve"> </w:t>
      </w:r>
      <w:proofErr w:type="spellStart"/>
      <w:r w:rsidRPr="00CA6E33">
        <w:rPr>
          <w:lang w:val="en-US"/>
        </w:rPr>
        <w:t>arasında</w:t>
      </w:r>
      <w:proofErr w:type="spellEnd"/>
      <w:r w:rsidRPr="00CA6E33">
        <w:rPr>
          <w:lang w:val="en-US"/>
        </w:rPr>
        <w:t xml:space="preserve"> </w:t>
      </w:r>
      <w:proofErr w:type="spellStart"/>
      <w:r w:rsidRPr="00CA6E33">
        <w:rPr>
          <w:lang w:val="en-US"/>
        </w:rPr>
        <w:t>sık</w:t>
      </w:r>
      <w:proofErr w:type="spellEnd"/>
      <w:r w:rsidRPr="00CA6E33">
        <w:rPr>
          <w:lang w:val="en-US"/>
        </w:rPr>
        <w:t xml:space="preserve"> </w:t>
      </w:r>
      <w:proofErr w:type="spellStart"/>
      <w:r w:rsidRPr="00CA6E33">
        <w:rPr>
          <w:lang w:val="en-US"/>
        </w:rPr>
        <w:t>sık</w:t>
      </w:r>
      <w:proofErr w:type="spellEnd"/>
      <w:r w:rsidRPr="00CA6E33">
        <w:rPr>
          <w:lang w:val="en-US"/>
        </w:rPr>
        <w:t xml:space="preserve"> </w:t>
      </w:r>
      <w:proofErr w:type="spellStart"/>
      <w:r w:rsidRPr="00CA6E33">
        <w:rPr>
          <w:lang w:val="en-US"/>
        </w:rPr>
        <w:t>etkileşimi</w:t>
      </w:r>
      <w:proofErr w:type="spellEnd"/>
      <w:r w:rsidRPr="00CA6E33">
        <w:rPr>
          <w:lang w:val="en-US"/>
        </w:rPr>
        <w:t xml:space="preserve"> </w:t>
      </w:r>
      <w:proofErr w:type="spellStart"/>
      <w:r w:rsidRPr="00CA6E33">
        <w:rPr>
          <w:lang w:val="en-US"/>
        </w:rPr>
        <w:t>içeren</w:t>
      </w:r>
      <w:proofErr w:type="spellEnd"/>
      <w:r w:rsidRPr="00CA6E33">
        <w:rPr>
          <w:lang w:val="en-US"/>
        </w:rPr>
        <w:t xml:space="preserve"> </w:t>
      </w:r>
      <w:proofErr w:type="spellStart"/>
      <w:r w:rsidRPr="00CA6E33">
        <w:rPr>
          <w:lang w:val="en-US"/>
        </w:rPr>
        <w:t>samimi</w:t>
      </w:r>
      <w:proofErr w:type="spellEnd"/>
      <w:r w:rsidRPr="00CA6E33">
        <w:rPr>
          <w:lang w:val="en-US"/>
        </w:rPr>
        <w:t xml:space="preserve"> </w:t>
      </w:r>
      <w:proofErr w:type="spellStart"/>
      <w:r w:rsidRPr="00CA6E33">
        <w:rPr>
          <w:lang w:val="en-US"/>
        </w:rPr>
        <w:t>kişisel</w:t>
      </w:r>
      <w:proofErr w:type="spellEnd"/>
      <w:r w:rsidRPr="00CA6E33">
        <w:rPr>
          <w:lang w:val="en-US"/>
        </w:rPr>
        <w:t xml:space="preserve"> </w:t>
      </w:r>
      <w:proofErr w:type="spellStart"/>
      <w:r w:rsidRPr="00CA6E33">
        <w:rPr>
          <w:lang w:val="en-US"/>
        </w:rPr>
        <w:t>ilişkiler</w:t>
      </w:r>
      <w:proofErr w:type="spellEnd"/>
      <w:r w:rsidRPr="00CA6E33">
        <w:rPr>
          <w:lang w:val="en-US"/>
        </w:rPr>
        <w:t xml:space="preserve"> </w:t>
      </w:r>
      <w:proofErr w:type="spellStart"/>
      <w:r w:rsidRPr="00CA6E33">
        <w:rPr>
          <w:lang w:val="en-US"/>
        </w:rPr>
        <w:t>gelişmiş</w:t>
      </w:r>
      <w:proofErr w:type="spellEnd"/>
      <w:r w:rsidRPr="00CA6E33">
        <w:rPr>
          <w:lang w:val="en-US"/>
        </w:rPr>
        <w:t xml:space="preserve"> </w:t>
      </w:r>
      <w:proofErr w:type="spellStart"/>
      <w:r w:rsidRPr="00CA6E33">
        <w:rPr>
          <w:lang w:val="en-US"/>
        </w:rPr>
        <w:t>olabilir</w:t>
      </w:r>
      <w:proofErr w:type="spellEnd"/>
      <w:r w:rsidRPr="00CA6E33">
        <w:rPr>
          <w:lang w:val="en-US"/>
        </w:rPr>
        <w:t xml:space="preserve">, </w:t>
      </w:r>
      <w:proofErr w:type="spellStart"/>
      <w:r w:rsidRPr="00CA6E33">
        <w:rPr>
          <w:lang w:val="en-US"/>
        </w:rPr>
        <w:t>ancak</w:t>
      </w:r>
      <w:proofErr w:type="spellEnd"/>
      <w:r w:rsidRPr="00CA6E33">
        <w:rPr>
          <w:lang w:val="en-US"/>
        </w:rPr>
        <w:t xml:space="preserve"> </w:t>
      </w:r>
      <w:proofErr w:type="spellStart"/>
      <w:r w:rsidRPr="00CA6E33">
        <w:rPr>
          <w:lang w:val="en-US"/>
        </w:rPr>
        <w:t>birçok</w:t>
      </w:r>
      <w:proofErr w:type="spellEnd"/>
      <w:r w:rsidRPr="00CA6E33">
        <w:rPr>
          <w:lang w:val="en-US"/>
        </w:rPr>
        <w:t xml:space="preserve"> </w:t>
      </w:r>
      <w:proofErr w:type="spellStart"/>
      <w:r w:rsidRPr="00CA6E33">
        <w:rPr>
          <w:lang w:val="en-US"/>
        </w:rPr>
        <w:t>diğer</w:t>
      </w:r>
      <w:proofErr w:type="spellEnd"/>
      <w:r w:rsidRPr="00CA6E33">
        <w:rPr>
          <w:lang w:val="en-US"/>
        </w:rPr>
        <w:t xml:space="preserve"> </w:t>
      </w:r>
      <w:proofErr w:type="spellStart"/>
      <w:r w:rsidRPr="00CA6E33">
        <w:rPr>
          <w:lang w:val="en-US"/>
        </w:rPr>
        <w:t>yargıç</w:t>
      </w:r>
      <w:proofErr w:type="spellEnd"/>
      <w:r w:rsidRPr="00CA6E33">
        <w:rPr>
          <w:lang w:val="en-US"/>
        </w:rPr>
        <w:t xml:space="preserve"> </w:t>
      </w:r>
      <w:proofErr w:type="spellStart"/>
      <w:r w:rsidRPr="00CA6E33">
        <w:rPr>
          <w:lang w:val="en-US"/>
        </w:rPr>
        <w:t>çifti</w:t>
      </w:r>
      <w:proofErr w:type="spellEnd"/>
      <w:r w:rsidRPr="00CA6E33">
        <w:rPr>
          <w:lang w:val="en-US"/>
        </w:rPr>
        <w:t xml:space="preserve"> </w:t>
      </w:r>
      <w:proofErr w:type="spellStart"/>
      <w:r w:rsidRPr="00CA6E33">
        <w:rPr>
          <w:lang w:val="en-US"/>
        </w:rPr>
        <w:t>neredeyse</w:t>
      </w:r>
      <w:proofErr w:type="spellEnd"/>
      <w:r w:rsidRPr="00CA6E33">
        <w:rPr>
          <w:lang w:val="en-US"/>
        </w:rPr>
        <w:t xml:space="preserve"> </w:t>
      </w:r>
      <w:proofErr w:type="spellStart"/>
      <w:r w:rsidRPr="00CA6E33">
        <w:rPr>
          <w:lang w:val="en-US"/>
        </w:rPr>
        <w:t>yalnızca</w:t>
      </w:r>
      <w:proofErr w:type="spellEnd"/>
      <w:r w:rsidRPr="00CA6E33">
        <w:rPr>
          <w:lang w:val="en-US"/>
        </w:rPr>
        <w:t xml:space="preserve"> </w:t>
      </w:r>
      <w:proofErr w:type="spellStart"/>
      <w:r w:rsidRPr="00CA6E33">
        <w:rPr>
          <w:lang w:val="en-US"/>
        </w:rPr>
        <w:t>Mahkeme’nin</w:t>
      </w:r>
      <w:proofErr w:type="spellEnd"/>
      <w:r w:rsidRPr="00CA6E33">
        <w:rPr>
          <w:lang w:val="en-US"/>
        </w:rPr>
        <w:t xml:space="preserve"> </w:t>
      </w:r>
      <w:proofErr w:type="spellStart"/>
      <w:r w:rsidRPr="00CA6E33">
        <w:rPr>
          <w:lang w:val="en-US"/>
        </w:rPr>
        <w:t>haftalık</w:t>
      </w:r>
      <w:proofErr w:type="spellEnd"/>
      <w:r w:rsidRPr="00CA6E33">
        <w:rPr>
          <w:lang w:val="en-US"/>
        </w:rPr>
        <w:t xml:space="preserve"> </w:t>
      </w:r>
      <w:proofErr w:type="spellStart"/>
      <w:r w:rsidRPr="00CA6E33">
        <w:rPr>
          <w:lang w:val="en-US"/>
        </w:rPr>
        <w:t>toplantılarında</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araya</w:t>
      </w:r>
      <w:proofErr w:type="spellEnd"/>
      <w:r w:rsidRPr="00CA6E33">
        <w:rPr>
          <w:lang w:val="en-US"/>
        </w:rPr>
        <w:t xml:space="preserve"> </w:t>
      </w:r>
      <w:proofErr w:type="spellStart"/>
      <w:r w:rsidRPr="00CA6E33">
        <w:rPr>
          <w:lang w:val="en-US"/>
        </w:rPr>
        <w:t>gelmekteydi</w:t>
      </w:r>
      <w:proofErr w:type="spellEnd"/>
      <w:r w:rsidRPr="00CA6E33">
        <w:rPr>
          <w:lang w:val="en-US"/>
        </w:rPr>
        <w:t>.</w:t>
      </w:r>
    </w:p>
    <w:p w14:paraId="471E48CA" w14:textId="0B10CF0B" w:rsidR="00CA6E33" w:rsidRDefault="00CA6E33" w:rsidP="00CA6E33">
      <w:pPr>
        <w:rPr>
          <w:lang w:val="en-US"/>
        </w:rPr>
      </w:pPr>
      <w:r w:rsidRPr="00CA6E33">
        <w:rPr>
          <w:lang w:val="en-US"/>
        </w:rPr>
        <w:t xml:space="preserve">Bu </w:t>
      </w:r>
      <w:proofErr w:type="spellStart"/>
      <w:r w:rsidRPr="00CA6E33">
        <w:rPr>
          <w:lang w:val="en-US"/>
        </w:rPr>
        <w:t>konferanslar</w:t>
      </w:r>
      <w:proofErr w:type="spellEnd"/>
      <w:r w:rsidRPr="00CA6E33">
        <w:rPr>
          <w:lang w:val="en-US"/>
        </w:rPr>
        <w:t xml:space="preserve"> (conferences) da zaman </w:t>
      </w:r>
      <w:proofErr w:type="spellStart"/>
      <w:r w:rsidRPr="00CA6E33">
        <w:rPr>
          <w:lang w:val="en-US"/>
        </w:rPr>
        <w:t>içinde</w:t>
      </w:r>
      <w:proofErr w:type="spellEnd"/>
      <w:r w:rsidRPr="00CA6E33">
        <w:rPr>
          <w:lang w:val="en-US"/>
        </w:rPr>
        <w:t xml:space="preserve"> </w:t>
      </w:r>
      <w:proofErr w:type="spellStart"/>
      <w:r w:rsidRPr="00CA6E33">
        <w:rPr>
          <w:lang w:val="en-US"/>
        </w:rPr>
        <w:t>evrim</w:t>
      </w:r>
      <w:proofErr w:type="spellEnd"/>
      <w:r w:rsidRPr="00CA6E33">
        <w:rPr>
          <w:lang w:val="en-US"/>
        </w:rPr>
        <w:t xml:space="preserve"> </w:t>
      </w:r>
      <w:proofErr w:type="spellStart"/>
      <w:r w:rsidRPr="00CA6E33">
        <w:rPr>
          <w:lang w:val="en-US"/>
        </w:rPr>
        <w:t>geçirmiştir</w:t>
      </w:r>
      <w:proofErr w:type="spellEnd"/>
      <w:r w:rsidRPr="00CA6E33">
        <w:rPr>
          <w:lang w:val="en-US"/>
        </w:rPr>
        <w:t xml:space="preserve">; 1950’lerde </w:t>
      </w:r>
      <w:proofErr w:type="spellStart"/>
      <w:r w:rsidRPr="00CA6E33">
        <w:rPr>
          <w:lang w:val="en-US"/>
        </w:rPr>
        <w:t>davaların</w:t>
      </w:r>
      <w:proofErr w:type="spellEnd"/>
      <w:r w:rsidRPr="00CA6E33">
        <w:rPr>
          <w:lang w:val="en-US"/>
        </w:rPr>
        <w:t xml:space="preserve"> </w:t>
      </w:r>
      <w:proofErr w:type="spellStart"/>
      <w:r w:rsidRPr="00CA6E33">
        <w:rPr>
          <w:lang w:val="en-US"/>
        </w:rPr>
        <w:t>nasıl</w:t>
      </w:r>
      <w:proofErr w:type="spellEnd"/>
      <w:r w:rsidRPr="00CA6E33">
        <w:rPr>
          <w:lang w:val="en-US"/>
        </w:rPr>
        <w:t xml:space="preserve"> </w:t>
      </w:r>
      <w:proofErr w:type="spellStart"/>
      <w:r w:rsidRPr="00CA6E33">
        <w:rPr>
          <w:lang w:val="en-US"/>
        </w:rPr>
        <w:t>çözüleceğine</w:t>
      </w:r>
      <w:proofErr w:type="spellEnd"/>
      <w:r w:rsidRPr="00CA6E33">
        <w:rPr>
          <w:lang w:val="en-US"/>
        </w:rPr>
        <w:t xml:space="preserve"> </w:t>
      </w:r>
      <w:proofErr w:type="spellStart"/>
      <w:r w:rsidRPr="00CA6E33">
        <w:rPr>
          <w:lang w:val="en-US"/>
        </w:rPr>
        <w:t>dair</w:t>
      </w:r>
      <w:proofErr w:type="spellEnd"/>
      <w:r w:rsidRPr="00CA6E33">
        <w:rPr>
          <w:lang w:val="en-US"/>
        </w:rPr>
        <w:t xml:space="preserve"> </w:t>
      </w:r>
      <w:proofErr w:type="spellStart"/>
      <w:r w:rsidRPr="00CA6E33">
        <w:rPr>
          <w:lang w:val="en-US"/>
        </w:rPr>
        <w:t>uzun</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çoğu</w:t>
      </w:r>
      <w:proofErr w:type="spellEnd"/>
      <w:r w:rsidRPr="00CA6E33">
        <w:rPr>
          <w:lang w:val="en-US"/>
        </w:rPr>
        <w:t xml:space="preserve"> zaman </w:t>
      </w:r>
      <w:proofErr w:type="spellStart"/>
      <w:r w:rsidRPr="00CA6E33">
        <w:rPr>
          <w:lang w:val="en-US"/>
        </w:rPr>
        <w:t>verimsiz</w:t>
      </w:r>
      <w:proofErr w:type="spellEnd"/>
      <w:r w:rsidRPr="00CA6E33">
        <w:rPr>
          <w:lang w:val="en-US"/>
        </w:rPr>
        <w:t xml:space="preserve">) </w:t>
      </w:r>
      <w:proofErr w:type="spellStart"/>
      <w:r w:rsidRPr="00CA6E33">
        <w:rPr>
          <w:lang w:val="en-US"/>
        </w:rPr>
        <w:t>tartışmalardan</w:t>
      </w:r>
      <w:proofErr w:type="spellEnd"/>
      <w:r w:rsidRPr="00CA6E33">
        <w:rPr>
          <w:lang w:val="en-US"/>
        </w:rPr>
        <w:t xml:space="preserve">, </w:t>
      </w:r>
      <w:proofErr w:type="spellStart"/>
      <w:r w:rsidRPr="00CA6E33">
        <w:rPr>
          <w:lang w:val="en-US"/>
        </w:rPr>
        <w:t>günümüzde</w:t>
      </w:r>
      <w:proofErr w:type="spellEnd"/>
      <w:r w:rsidRPr="00CA6E33">
        <w:rPr>
          <w:lang w:val="en-US"/>
        </w:rPr>
        <w:t xml:space="preserve"> her </w:t>
      </w:r>
      <w:proofErr w:type="spellStart"/>
      <w:r w:rsidRPr="00CA6E33">
        <w:rPr>
          <w:lang w:val="en-US"/>
        </w:rPr>
        <w:t>Yargıcın</w:t>
      </w:r>
      <w:proofErr w:type="spellEnd"/>
      <w:r w:rsidRPr="00CA6E33">
        <w:rPr>
          <w:lang w:val="en-US"/>
        </w:rPr>
        <w:t xml:space="preserve"> (Justice) her </w:t>
      </w:r>
      <w:proofErr w:type="spellStart"/>
      <w:r w:rsidRPr="00CA6E33">
        <w:rPr>
          <w:lang w:val="en-US"/>
        </w:rPr>
        <w:t>mesele</w:t>
      </w:r>
      <w:proofErr w:type="spellEnd"/>
      <w:r w:rsidRPr="00CA6E33">
        <w:rPr>
          <w:lang w:val="en-US"/>
        </w:rPr>
        <w:t xml:space="preserve"> </w:t>
      </w:r>
      <w:proofErr w:type="spellStart"/>
      <w:r w:rsidRPr="00CA6E33">
        <w:rPr>
          <w:lang w:val="en-US"/>
        </w:rPr>
        <w:t>hakkındaki</w:t>
      </w:r>
      <w:proofErr w:type="spellEnd"/>
      <w:r w:rsidRPr="00CA6E33">
        <w:rPr>
          <w:lang w:val="en-US"/>
        </w:rPr>
        <w:t xml:space="preserve"> </w:t>
      </w:r>
      <w:proofErr w:type="spellStart"/>
      <w:r w:rsidRPr="00CA6E33">
        <w:rPr>
          <w:lang w:val="en-US"/>
        </w:rPr>
        <w:t>görüşünü</w:t>
      </w:r>
      <w:proofErr w:type="spellEnd"/>
      <w:r w:rsidRPr="00CA6E33">
        <w:rPr>
          <w:lang w:val="en-US"/>
        </w:rPr>
        <w:t xml:space="preserve"> </w:t>
      </w:r>
      <w:proofErr w:type="spellStart"/>
      <w:r w:rsidRPr="00CA6E33">
        <w:rPr>
          <w:lang w:val="en-US"/>
        </w:rPr>
        <w:t>iki</w:t>
      </w:r>
      <w:proofErr w:type="spellEnd"/>
      <w:r w:rsidRPr="00CA6E33">
        <w:rPr>
          <w:lang w:val="en-US"/>
        </w:rPr>
        <w:t xml:space="preserve"> </w:t>
      </w:r>
      <w:proofErr w:type="spellStart"/>
      <w:r w:rsidRPr="00CA6E33">
        <w:rPr>
          <w:lang w:val="en-US"/>
        </w:rPr>
        <w:t>veya</w:t>
      </w:r>
      <w:proofErr w:type="spellEnd"/>
      <w:r w:rsidRPr="00CA6E33">
        <w:rPr>
          <w:lang w:val="en-US"/>
        </w:rPr>
        <w:t xml:space="preserve"> </w:t>
      </w:r>
      <w:proofErr w:type="spellStart"/>
      <w:r w:rsidRPr="00CA6E33">
        <w:rPr>
          <w:lang w:val="en-US"/>
        </w:rPr>
        <w:t>üç</w:t>
      </w:r>
      <w:proofErr w:type="spellEnd"/>
      <w:r w:rsidRPr="00CA6E33">
        <w:rPr>
          <w:lang w:val="en-US"/>
        </w:rPr>
        <w:t xml:space="preserve"> </w:t>
      </w:r>
      <w:proofErr w:type="spellStart"/>
      <w:r w:rsidRPr="00CA6E33">
        <w:rPr>
          <w:lang w:val="en-US"/>
        </w:rPr>
        <w:t>cümleyle</w:t>
      </w:r>
      <w:proofErr w:type="spellEnd"/>
      <w:r w:rsidRPr="00CA6E33">
        <w:rPr>
          <w:lang w:val="en-US"/>
        </w:rPr>
        <w:t xml:space="preserve"> </w:t>
      </w:r>
      <w:proofErr w:type="spellStart"/>
      <w:r w:rsidRPr="00CA6E33">
        <w:rPr>
          <w:lang w:val="en-US"/>
        </w:rPr>
        <w:t>özetlediği</w:t>
      </w:r>
      <w:proofErr w:type="spellEnd"/>
      <w:r w:rsidRPr="00CA6E33">
        <w:rPr>
          <w:lang w:val="en-US"/>
        </w:rPr>
        <w:t xml:space="preserve"> </w:t>
      </w:r>
      <w:proofErr w:type="spellStart"/>
      <w:r w:rsidRPr="00CA6E33">
        <w:rPr>
          <w:lang w:val="en-US"/>
        </w:rPr>
        <w:t>nispeten</w:t>
      </w:r>
      <w:proofErr w:type="spellEnd"/>
      <w:r w:rsidRPr="00CA6E33">
        <w:rPr>
          <w:lang w:val="en-US"/>
        </w:rPr>
        <w:t xml:space="preserve"> </w:t>
      </w:r>
      <w:proofErr w:type="spellStart"/>
      <w:r w:rsidRPr="00CA6E33">
        <w:rPr>
          <w:lang w:val="en-US"/>
        </w:rPr>
        <w:t>kısa</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düzenli</w:t>
      </w:r>
      <w:proofErr w:type="spellEnd"/>
      <w:r w:rsidRPr="00CA6E33">
        <w:rPr>
          <w:lang w:val="en-US"/>
        </w:rPr>
        <w:t xml:space="preserve"> </w:t>
      </w:r>
      <w:proofErr w:type="spellStart"/>
      <w:r w:rsidRPr="00CA6E33">
        <w:rPr>
          <w:lang w:val="en-US"/>
        </w:rPr>
        <w:t>idari</w:t>
      </w:r>
      <w:proofErr w:type="spellEnd"/>
      <w:r w:rsidRPr="00CA6E33">
        <w:rPr>
          <w:lang w:val="en-US"/>
        </w:rPr>
        <w:t xml:space="preserve"> </w:t>
      </w:r>
      <w:proofErr w:type="spellStart"/>
      <w:r w:rsidRPr="00CA6E33">
        <w:rPr>
          <w:lang w:val="en-US"/>
        </w:rPr>
        <w:t>işlemlere</w:t>
      </w:r>
      <w:proofErr w:type="spellEnd"/>
      <w:r w:rsidRPr="00CA6E33">
        <w:rPr>
          <w:lang w:val="en-US"/>
        </w:rPr>
        <w:t xml:space="preserve"> </w:t>
      </w:r>
      <w:proofErr w:type="spellStart"/>
      <w:r w:rsidRPr="00CA6E33">
        <w:rPr>
          <w:lang w:val="en-US"/>
        </w:rPr>
        <w:t>dönüşmüştür</w:t>
      </w:r>
      <w:proofErr w:type="spellEnd"/>
      <w:r w:rsidRPr="00CA6E33">
        <w:rPr>
          <w:lang w:val="en-US"/>
        </w:rPr>
        <w:t>.⁴⁴</w:t>
      </w:r>
      <w:r>
        <w:rPr>
          <w:lang w:val="en-US"/>
        </w:rPr>
        <w:t xml:space="preserve"> </w:t>
      </w:r>
      <w:r>
        <w:rPr>
          <w:rStyle w:val="FootnoteReference"/>
          <w:lang w:val="en-US"/>
        </w:rPr>
        <w:footnoteReference w:id="44"/>
      </w:r>
      <w:r>
        <w:rPr>
          <w:lang w:val="en-US"/>
        </w:rPr>
        <w:t xml:space="preserve"> </w:t>
      </w:r>
      <w:r w:rsidRPr="00CA6E33">
        <w:rPr>
          <w:lang w:val="en-US"/>
        </w:rPr>
        <w:t xml:space="preserve">Bu </w:t>
      </w:r>
      <w:proofErr w:type="spellStart"/>
      <w:r w:rsidRPr="00CA6E33">
        <w:rPr>
          <w:lang w:val="en-US"/>
        </w:rPr>
        <w:t>pozisyon</w:t>
      </w:r>
      <w:proofErr w:type="spellEnd"/>
      <w:r w:rsidRPr="00CA6E33">
        <w:rPr>
          <w:lang w:val="en-US"/>
        </w:rPr>
        <w:t xml:space="preserve"> </w:t>
      </w:r>
      <w:proofErr w:type="spellStart"/>
      <w:r w:rsidRPr="00CA6E33">
        <w:rPr>
          <w:lang w:val="en-US"/>
        </w:rPr>
        <w:t>beyanlarının</w:t>
      </w:r>
      <w:proofErr w:type="spellEnd"/>
      <w:r w:rsidRPr="00CA6E33">
        <w:rPr>
          <w:lang w:val="en-US"/>
        </w:rPr>
        <w:t xml:space="preserve"> </w:t>
      </w:r>
      <w:proofErr w:type="spellStart"/>
      <w:r w:rsidRPr="00CA6E33">
        <w:rPr>
          <w:lang w:val="en-US"/>
        </w:rPr>
        <w:t>hızlı</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maddi</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stratejik</w:t>
      </w:r>
      <w:proofErr w:type="spellEnd"/>
      <w:r w:rsidRPr="00CA6E33">
        <w:rPr>
          <w:lang w:val="en-US"/>
        </w:rPr>
        <w:t xml:space="preserve"> </w:t>
      </w:r>
      <w:proofErr w:type="spellStart"/>
      <w:r w:rsidRPr="00CA6E33">
        <w:rPr>
          <w:lang w:val="en-US"/>
        </w:rPr>
        <w:t>değerlendirmesine</w:t>
      </w:r>
      <w:proofErr w:type="spellEnd"/>
      <w:r w:rsidRPr="00CA6E33">
        <w:rPr>
          <w:lang w:val="en-US"/>
        </w:rPr>
        <w:t xml:space="preserve"> </w:t>
      </w:r>
      <w:proofErr w:type="spellStart"/>
      <w:r w:rsidRPr="00CA6E33">
        <w:rPr>
          <w:lang w:val="en-US"/>
        </w:rPr>
        <w:t>dayanarak</w:t>
      </w:r>
      <w:proofErr w:type="spellEnd"/>
      <w:r w:rsidRPr="00CA6E33">
        <w:rPr>
          <w:lang w:val="en-US"/>
        </w:rPr>
        <w:t xml:space="preserve">, Baş </w:t>
      </w:r>
      <w:proofErr w:type="spellStart"/>
      <w:r w:rsidRPr="00CA6E33">
        <w:rPr>
          <w:lang w:val="en-US"/>
        </w:rPr>
        <w:t>Yargıç</w:t>
      </w:r>
      <w:proofErr w:type="spellEnd"/>
      <w:r w:rsidRPr="00CA6E33">
        <w:rPr>
          <w:lang w:val="en-US"/>
        </w:rPr>
        <w:t xml:space="preserve"> (Chief Justice) </w:t>
      </w:r>
      <w:proofErr w:type="spellStart"/>
      <w:r w:rsidRPr="00CA6E33">
        <w:rPr>
          <w:lang w:val="en-US"/>
        </w:rPr>
        <w:t>veya</w:t>
      </w:r>
      <w:proofErr w:type="spellEnd"/>
      <w:r w:rsidRPr="00CA6E33">
        <w:rPr>
          <w:lang w:val="en-US"/>
        </w:rPr>
        <w:t xml:space="preserve"> </w:t>
      </w:r>
      <w:proofErr w:type="spellStart"/>
      <w:r w:rsidRPr="00CA6E33">
        <w:rPr>
          <w:lang w:val="en-US"/>
        </w:rPr>
        <w:t>çoğunluktaki</w:t>
      </w:r>
      <w:proofErr w:type="spellEnd"/>
      <w:r w:rsidRPr="00CA6E33">
        <w:rPr>
          <w:lang w:val="en-US"/>
        </w:rPr>
        <w:t xml:space="preserve"> </w:t>
      </w:r>
      <w:proofErr w:type="spellStart"/>
      <w:r w:rsidRPr="00CA6E33">
        <w:rPr>
          <w:lang w:val="en-US"/>
        </w:rPr>
        <w:t>en</w:t>
      </w:r>
      <w:proofErr w:type="spellEnd"/>
      <w:r w:rsidRPr="00CA6E33">
        <w:rPr>
          <w:lang w:val="en-US"/>
        </w:rPr>
        <w:t xml:space="preserve"> </w:t>
      </w:r>
      <w:proofErr w:type="spellStart"/>
      <w:r w:rsidRPr="00CA6E33">
        <w:rPr>
          <w:lang w:val="en-US"/>
        </w:rPr>
        <w:t>kıdemli</w:t>
      </w:r>
      <w:proofErr w:type="spellEnd"/>
      <w:r w:rsidRPr="00CA6E33">
        <w:rPr>
          <w:lang w:val="en-US"/>
        </w:rPr>
        <w:t xml:space="preserve"> </w:t>
      </w:r>
      <w:proofErr w:type="spellStart"/>
      <w:r w:rsidRPr="00CA6E33">
        <w:rPr>
          <w:lang w:val="en-US"/>
        </w:rPr>
        <w:t>Yargıç</w:t>
      </w:r>
      <w:proofErr w:type="spellEnd"/>
      <w:r w:rsidRPr="00CA6E33">
        <w:rPr>
          <w:lang w:val="en-US"/>
        </w:rPr>
        <w:t xml:space="preserve">, </w:t>
      </w:r>
      <w:proofErr w:type="spellStart"/>
      <w:r w:rsidRPr="00CA6E33">
        <w:rPr>
          <w:lang w:val="en-US"/>
        </w:rPr>
        <w:t>görüş</w:t>
      </w:r>
      <w:proofErr w:type="spellEnd"/>
      <w:r w:rsidRPr="00CA6E33">
        <w:rPr>
          <w:lang w:val="en-US"/>
        </w:rPr>
        <w:t xml:space="preserve"> </w:t>
      </w:r>
      <w:proofErr w:type="spellStart"/>
      <w:r w:rsidRPr="00CA6E33">
        <w:rPr>
          <w:lang w:val="en-US"/>
        </w:rPr>
        <w:t>yazım</w:t>
      </w:r>
      <w:proofErr w:type="spellEnd"/>
      <w:r w:rsidRPr="00CA6E33">
        <w:rPr>
          <w:lang w:val="en-US"/>
        </w:rPr>
        <w:t xml:space="preserve"> </w:t>
      </w:r>
      <w:proofErr w:type="spellStart"/>
      <w:r w:rsidRPr="00CA6E33">
        <w:rPr>
          <w:lang w:val="en-US"/>
        </w:rPr>
        <w:t>görevini</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Yargıca</w:t>
      </w:r>
      <w:proofErr w:type="spellEnd"/>
      <w:r w:rsidRPr="00CA6E33">
        <w:rPr>
          <w:lang w:val="en-US"/>
        </w:rPr>
        <w:t xml:space="preserve"> </w:t>
      </w:r>
      <w:proofErr w:type="spellStart"/>
      <w:r w:rsidRPr="00CA6E33">
        <w:rPr>
          <w:lang w:val="en-US"/>
        </w:rPr>
        <w:t>atar</w:t>
      </w:r>
      <w:proofErr w:type="spellEnd"/>
      <w:r w:rsidRPr="00CA6E33">
        <w:rPr>
          <w:lang w:val="en-US"/>
        </w:rPr>
        <w:t xml:space="preserve">. Bu </w:t>
      </w:r>
      <w:proofErr w:type="spellStart"/>
      <w:r w:rsidRPr="00CA6E33">
        <w:rPr>
          <w:lang w:val="en-US"/>
        </w:rPr>
        <w:t>atama</w:t>
      </w:r>
      <w:proofErr w:type="spellEnd"/>
      <w:r w:rsidRPr="00CA6E33">
        <w:rPr>
          <w:lang w:val="en-US"/>
        </w:rPr>
        <w:t xml:space="preserve">, </w:t>
      </w:r>
      <w:proofErr w:type="spellStart"/>
      <w:r w:rsidRPr="00CA6E33">
        <w:rPr>
          <w:lang w:val="en-US"/>
        </w:rPr>
        <w:t>Mahkeme’nin</w:t>
      </w:r>
      <w:proofErr w:type="spellEnd"/>
      <w:r w:rsidRPr="00CA6E33">
        <w:rPr>
          <w:lang w:val="en-US"/>
        </w:rPr>
        <w:t xml:space="preserve"> </w:t>
      </w:r>
      <w:proofErr w:type="spellStart"/>
      <w:r w:rsidRPr="00CA6E33">
        <w:rPr>
          <w:lang w:val="en-US"/>
        </w:rPr>
        <w:t>kararını</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retoriğini</w:t>
      </w:r>
      <w:proofErr w:type="spellEnd"/>
      <w:r w:rsidRPr="00CA6E33">
        <w:rPr>
          <w:lang w:val="en-US"/>
        </w:rPr>
        <w:t xml:space="preserve">, </w:t>
      </w:r>
      <w:proofErr w:type="spellStart"/>
      <w:r w:rsidRPr="00CA6E33">
        <w:rPr>
          <w:lang w:val="en-US"/>
        </w:rPr>
        <w:t>Konferans’ta</w:t>
      </w:r>
      <w:proofErr w:type="spellEnd"/>
      <w:r w:rsidRPr="00CA6E33">
        <w:rPr>
          <w:lang w:val="en-US"/>
        </w:rPr>
        <w:t xml:space="preserve"> </w:t>
      </w:r>
      <w:proofErr w:type="spellStart"/>
      <w:r w:rsidRPr="00CA6E33">
        <w:rPr>
          <w:lang w:val="en-US"/>
        </w:rPr>
        <w:t>hiç</w:t>
      </w:r>
      <w:proofErr w:type="spellEnd"/>
      <w:r w:rsidRPr="00CA6E33">
        <w:rPr>
          <w:lang w:val="en-US"/>
        </w:rPr>
        <w:t xml:space="preserve"> </w:t>
      </w:r>
      <w:proofErr w:type="spellStart"/>
      <w:r w:rsidRPr="00CA6E33">
        <w:rPr>
          <w:lang w:val="en-US"/>
        </w:rPr>
        <w:t>tartışılmamış</w:t>
      </w:r>
      <w:proofErr w:type="spellEnd"/>
      <w:r w:rsidRPr="00CA6E33">
        <w:rPr>
          <w:lang w:val="en-US"/>
        </w:rPr>
        <w:t xml:space="preserve"> </w:t>
      </w:r>
      <w:proofErr w:type="spellStart"/>
      <w:r w:rsidRPr="00CA6E33">
        <w:rPr>
          <w:lang w:val="en-US"/>
        </w:rPr>
        <w:t>düzinelerce</w:t>
      </w:r>
      <w:proofErr w:type="spellEnd"/>
      <w:r w:rsidRPr="00CA6E33">
        <w:rPr>
          <w:lang w:val="en-US"/>
        </w:rPr>
        <w:t xml:space="preserve"> </w:t>
      </w:r>
      <w:proofErr w:type="spellStart"/>
      <w:r w:rsidRPr="00CA6E33">
        <w:rPr>
          <w:lang w:val="en-US"/>
        </w:rPr>
        <w:t>eksen</w:t>
      </w:r>
      <w:proofErr w:type="spellEnd"/>
      <w:r w:rsidRPr="00CA6E33">
        <w:rPr>
          <w:lang w:val="en-US"/>
        </w:rPr>
        <w:t xml:space="preserve"> </w:t>
      </w:r>
      <w:proofErr w:type="spellStart"/>
      <w:r w:rsidRPr="00CA6E33">
        <w:rPr>
          <w:lang w:val="en-US"/>
        </w:rPr>
        <w:t>üzerinde</w:t>
      </w:r>
      <w:proofErr w:type="spellEnd"/>
      <w:r w:rsidRPr="00CA6E33">
        <w:rPr>
          <w:lang w:val="en-US"/>
        </w:rPr>
        <w:t xml:space="preserve"> </w:t>
      </w:r>
      <w:proofErr w:type="spellStart"/>
      <w:r w:rsidRPr="00CA6E33">
        <w:rPr>
          <w:lang w:val="en-US"/>
        </w:rPr>
        <w:t>şekillendirme</w:t>
      </w:r>
      <w:proofErr w:type="spellEnd"/>
      <w:r w:rsidRPr="00CA6E33">
        <w:rPr>
          <w:lang w:val="en-US"/>
        </w:rPr>
        <w:t xml:space="preserve"> </w:t>
      </w:r>
      <w:proofErr w:type="spellStart"/>
      <w:r w:rsidRPr="00CA6E33">
        <w:rPr>
          <w:lang w:val="en-US"/>
        </w:rPr>
        <w:t>yetkisini</w:t>
      </w:r>
      <w:proofErr w:type="spellEnd"/>
      <w:r w:rsidRPr="00CA6E33">
        <w:rPr>
          <w:lang w:val="en-US"/>
        </w:rPr>
        <w:t xml:space="preserve"> de </w:t>
      </w:r>
      <w:proofErr w:type="spellStart"/>
      <w:r w:rsidRPr="00CA6E33">
        <w:rPr>
          <w:lang w:val="en-US"/>
        </w:rPr>
        <w:t>beraberinde</w:t>
      </w:r>
      <w:proofErr w:type="spellEnd"/>
      <w:r w:rsidRPr="00CA6E33">
        <w:rPr>
          <w:lang w:val="en-US"/>
        </w:rPr>
        <w:t xml:space="preserve"> </w:t>
      </w:r>
      <w:proofErr w:type="spellStart"/>
      <w:r w:rsidRPr="00CA6E33">
        <w:rPr>
          <w:lang w:val="en-US"/>
        </w:rPr>
        <w:t>getirir</w:t>
      </w:r>
      <w:proofErr w:type="spellEnd"/>
      <w:r w:rsidRPr="00CA6E33">
        <w:rPr>
          <w:lang w:val="en-US"/>
        </w:rPr>
        <w:t xml:space="preserve">. İlk </w:t>
      </w:r>
      <w:proofErr w:type="spellStart"/>
      <w:r w:rsidRPr="00CA6E33">
        <w:rPr>
          <w:lang w:val="en-US"/>
        </w:rPr>
        <w:t>taslağı</w:t>
      </w:r>
      <w:proofErr w:type="spellEnd"/>
      <w:r w:rsidRPr="00CA6E33">
        <w:rPr>
          <w:lang w:val="en-US"/>
        </w:rPr>
        <w:t xml:space="preserve"> </w:t>
      </w:r>
      <w:proofErr w:type="spellStart"/>
      <w:r w:rsidRPr="00CA6E33">
        <w:rPr>
          <w:lang w:val="en-US"/>
        </w:rPr>
        <w:t>nasıl</w:t>
      </w:r>
      <w:proofErr w:type="spellEnd"/>
      <w:r w:rsidRPr="00CA6E33">
        <w:rPr>
          <w:lang w:val="en-US"/>
        </w:rPr>
        <w:t xml:space="preserve"> </w:t>
      </w:r>
      <w:proofErr w:type="spellStart"/>
      <w:r w:rsidRPr="00CA6E33">
        <w:rPr>
          <w:lang w:val="en-US"/>
        </w:rPr>
        <w:t>şekillendireceğine</w:t>
      </w:r>
      <w:proofErr w:type="spellEnd"/>
      <w:r w:rsidRPr="00CA6E33">
        <w:rPr>
          <w:lang w:val="en-US"/>
        </w:rPr>
        <w:t xml:space="preserve"> </w:t>
      </w:r>
      <w:proofErr w:type="spellStart"/>
      <w:r w:rsidRPr="00CA6E33">
        <w:rPr>
          <w:lang w:val="en-US"/>
        </w:rPr>
        <w:t>karar</w:t>
      </w:r>
      <w:proofErr w:type="spellEnd"/>
      <w:r w:rsidRPr="00CA6E33">
        <w:rPr>
          <w:lang w:val="en-US"/>
        </w:rPr>
        <w:t xml:space="preserve"> </w:t>
      </w:r>
      <w:proofErr w:type="spellStart"/>
      <w:r w:rsidRPr="00CA6E33">
        <w:rPr>
          <w:lang w:val="en-US"/>
        </w:rPr>
        <w:t>verirken</w:t>
      </w:r>
      <w:proofErr w:type="spellEnd"/>
      <w:r w:rsidRPr="00CA6E33">
        <w:rPr>
          <w:lang w:val="en-US"/>
        </w:rPr>
        <w:t xml:space="preserve">, </w:t>
      </w:r>
      <w:proofErr w:type="spellStart"/>
      <w:r w:rsidRPr="00CA6E33">
        <w:rPr>
          <w:lang w:val="en-US"/>
        </w:rPr>
        <w:t>Yargıç</w:t>
      </w:r>
      <w:proofErr w:type="spellEnd"/>
      <w:r w:rsidRPr="00CA6E33">
        <w:rPr>
          <w:lang w:val="en-US"/>
        </w:rPr>
        <w:t xml:space="preserve"> </w:t>
      </w:r>
      <w:proofErr w:type="spellStart"/>
      <w:r w:rsidRPr="00CA6E33">
        <w:rPr>
          <w:lang w:val="en-US"/>
        </w:rPr>
        <w:t>ideolojik</w:t>
      </w:r>
      <w:proofErr w:type="spellEnd"/>
      <w:r w:rsidRPr="00CA6E33">
        <w:rPr>
          <w:lang w:val="en-US"/>
        </w:rPr>
        <w:t xml:space="preserve"> </w:t>
      </w:r>
      <w:proofErr w:type="spellStart"/>
      <w:r w:rsidRPr="00CA6E33">
        <w:rPr>
          <w:lang w:val="en-US"/>
        </w:rPr>
        <w:t>olarak</w:t>
      </w:r>
      <w:proofErr w:type="spellEnd"/>
      <w:r w:rsidRPr="00CA6E33">
        <w:rPr>
          <w:lang w:val="en-US"/>
        </w:rPr>
        <w:t xml:space="preserve"> </w:t>
      </w:r>
      <w:proofErr w:type="spellStart"/>
      <w:r w:rsidRPr="00CA6E33">
        <w:rPr>
          <w:lang w:val="en-US"/>
        </w:rPr>
        <w:t>farklı</w:t>
      </w:r>
      <w:proofErr w:type="spellEnd"/>
      <w:r w:rsidRPr="00CA6E33">
        <w:rPr>
          <w:lang w:val="en-US"/>
        </w:rPr>
        <w:t xml:space="preserve"> </w:t>
      </w:r>
      <w:proofErr w:type="spellStart"/>
      <w:r w:rsidRPr="00CA6E33">
        <w:rPr>
          <w:lang w:val="en-US"/>
        </w:rPr>
        <w:t>görüşlere</w:t>
      </w:r>
      <w:proofErr w:type="spellEnd"/>
      <w:r w:rsidRPr="00CA6E33">
        <w:rPr>
          <w:lang w:val="en-US"/>
        </w:rPr>
        <w:t xml:space="preserve"> </w:t>
      </w:r>
      <w:proofErr w:type="spellStart"/>
      <w:r w:rsidRPr="00CA6E33">
        <w:rPr>
          <w:lang w:val="en-US"/>
        </w:rPr>
        <w:t>sahip</w:t>
      </w:r>
      <w:proofErr w:type="spellEnd"/>
      <w:r w:rsidRPr="00CA6E33">
        <w:rPr>
          <w:lang w:val="en-US"/>
        </w:rPr>
        <w:t xml:space="preserve"> </w:t>
      </w:r>
      <w:proofErr w:type="spellStart"/>
      <w:r w:rsidRPr="00CA6E33">
        <w:rPr>
          <w:lang w:val="en-US"/>
        </w:rPr>
        <w:t>meslektaşlarıyla</w:t>
      </w:r>
      <w:proofErr w:type="spellEnd"/>
      <w:r w:rsidRPr="00CA6E33">
        <w:rPr>
          <w:lang w:val="en-US"/>
        </w:rPr>
        <w:t xml:space="preserve"> </w:t>
      </w:r>
      <w:proofErr w:type="spellStart"/>
      <w:r w:rsidRPr="00CA6E33">
        <w:rPr>
          <w:lang w:val="en-US"/>
        </w:rPr>
        <w:t>değil</w:t>
      </w:r>
      <w:proofErr w:type="spellEnd"/>
      <w:r w:rsidRPr="00CA6E33">
        <w:rPr>
          <w:lang w:val="en-US"/>
        </w:rPr>
        <w:t xml:space="preserve">, </w:t>
      </w:r>
      <w:proofErr w:type="spellStart"/>
      <w:r w:rsidRPr="00CA6E33">
        <w:rPr>
          <w:lang w:val="en-US"/>
        </w:rPr>
        <w:t>kendisine</w:t>
      </w:r>
      <w:proofErr w:type="spellEnd"/>
      <w:r w:rsidRPr="00CA6E33">
        <w:rPr>
          <w:lang w:val="en-US"/>
        </w:rPr>
        <w:t xml:space="preserve"> </w:t>
      </w:r>
      <w:proofErr w:type="spellStart"/>
      <w:r w:rsidRPr="00CA6E33">
        <w:rPr>
          <w:lang w:val="en-US"/>
        </w:rPr>
        <w:t>hiyerarşik</w:t>
      </w:r>
      <w:proofErr w:type="spellEnd"/>
      <w:r w:rsidRPr="00CA6E33">
        <w:rPr>
          <w:lang w:val="en-US"/>
        </w:rPr>
        <w:t xml:space="preserve"> </w:t>
      </w:r>
      <w:proofErr w:type="spellStart"/>
      <w:r w:rsidRPr="00CA6E33">
        <w:rPr>
          <w:lang w:val="en-US"/>
        </w:rPr>
        <w:t>olarak</w:t>
      </w:r>
      <w:proofErr w:type="spellEnd"/>
      <w:r w:rsidRPr="00CA6E33">
        <w:rPr>
          <w:lang w:val="en-US"/>
        </w:rPr>
        <w:t xml:space="preserve"> tabi </w:t>
      </w:r>
      <w:proofErr w:type="spellStart"/>
      <w:r w:rsidRPr="00CA6E33">
        <w:rPr>
          <w:lang w:val="en-US"/>
        </w:rPr>
        <w:t>olan</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en</w:t>
      </w:r>
      <w:proofErr w:type="spellEnd"/>
      <w:r w:rsidRPr="00CA6E33">
        <w:rPr>
          <w:lang w:val="en-US"/>
        </w:rPr>
        <w:t xml:space="preserve"> </w:t>
      </w:r>
      <w:proofErr w:type="spellStart"/>
      <w:r w:rsidRPr="00CA6E33">
        <w:rPr>
          <w:lang w:val="en-US"/>
        </w:rPr>
        <w:t>azından</w:t>
      </w:r>
      <w:proofErr w:type="spellEnd"/>
      <w:r w:rsidRPr="00CA6E33">
        <w:rPr>
          <w:lang w:val="en-US"/>
        </w:rPr>
        <w:t xml:space="preserve"> </w:t>
      </w:r>
      <w:proofErr w:type="spellStart"/>
      <w:r w:rsidRPr="00CA6E33">
        <w:rPr>
          <w:lang w:val="en-US"/>
        </w:rPr>
        <w:t>kısmen</w:t>
      </w:r>
      <w:proofErr w:type="spellEnd"/>
      <w:r w:rsidRPr="00CA6E33">
        <w:rPr>
          <w:lang w:val="en-US"/>
        </w:rPr>
        <w:t xml:space="preserve"> </w:t>
      </w:r>
      <w:proofErr w:type="spellStart"/>
      <w:r w:rsidRPr="00CA6E33">
        <w:rPr>
          <w:lang w:val="en-US"/>
        </w:rPr>
        <w:t>kendi</w:t>
      </w:r>
      <w:proofErr w:type="spellEnd"/>
      <w:r w:rsidRPr="00CA6E33">
        <w:rPr>
          <w:lang w:val="en-US"/>
        </w:rPr>
        <w:t xml:space="preserve"> </w:t>
      </w:r>
      <w:proofErr w:type="spellStart"/>
      <w:r w:rsidRPr="00CA6E33">
        <w:rPr>
          <w:lang w:val="en-US"/>
        </w:rPr>
        <w:t>ideolojik</w:t>
      </w:r>
      <w:proofErr w:type="spellEnd"/>
      <w:r w:rsidRPr="00CA6E33">
        <w:rPr>
          <w:lang w:val="en-US"/>
        </w:rPr>
        <w:t xml:space="preserve"> </w:t>
      </w:r>
      <w:proofErr w:type="spellStart"/>
      <w:r w:rsidRPr="00CA6E33">
        <w:rPr>
          <w:lang w:val="en-US"/>
        </w:rPr>
        <w:t>eğilimlerine</w:t>
      </w:r>
      <w:proofErr w:type="spellEnd"/>
      <w:r w:rsidRPr="00CA6E33">
        <w:rPr>
          <w:lang w:val="en-US"/>
        </w:rPr>
        <w:t xml:space="preserve"> </w:t>
      </w:r>
      <w:proofErr w:type="spellStart"/>
      <w:r w:rsidRPr="00CA6E33">
        <w:rPr>
          <w:lang w:val="en-US"/>
        </w:rPr>
        <w:t>uygunluklarına</w:t>
      </w:r>
      <w:proofErr w:type="spellEnd"/>
      <w:r w:rsidRPr="00CA6E33">
        <w:rPr>
          <w:lang w:val="en-US"/>
        </w:rPr>
        <w:t xml:space="preserve"> </w:t>
      </w:r>
      <w:proofErr w:type="spellStart"/>
      <w:r w:rsidRPr="00CA6E33">
        <w:rPr>
          <w:lang w:val="en-US"/>
        </w:rPr>
        <w:t>göre</w:t>
      </w:r>
      <w:proofErr w:type="spellEnd"/>
      <w:r w:rsidRPr="00CA6E33">
        <w:rPr>
          <w:lang w:val="en-US"/>
        </w:rPr>
        <w:t xml:space="preserve"> </w:t>
      </w:r>
      <w:proofErr w:type="spellStart"/>
      <w:r w:rsidRPr="00CA6E33">
        <w:rPr>
          <w:lang w:val="en-US"/>
        </w:rPr>
        <w:t>seçilmiş</w:t>
      </w:r>
      <w:proofErr w:type="spellEnd"/>
      <w:r w:rsidRPr="00CA6E33">
        <w:rPr>
          <w:lang w:val="en-US"/>
        </w:rPr>
        <w:t xml:space="preserve"> </w:t>
      </w:r>
      <w:proofErr w:type="spellStart"/>
      <w:r w:rsidRPr="00CA6E33">
        <w:rPr>
          <w:lang w:val="en-US"/>
        </w:rPr>
        <w:t>genç</w:t>
      </w:r>
      <w:proofErr w:type="spellEnd"/>
      <w:r w:rsidRPr="00CA6E33">
        <w:rPr>
          <w:lang w:val="en-US"/>
        </w:rPr>
        <w:t xml:space="preserve"> </w:t>
      </w:r>
      <w:proofErr w:type="spellStart"/>
      <w:r w:rsidRPr="00CA6E33">
        <w:rPr>
          <w:lang w:val="en-US"/>
        </w:rPr>
        <w:t>avukatlardan</w:t>
      </w:r>
      <w:proofErr w:type="spellEnd"/>
      <w:r w:rsidRPr="00CA6E33">
        <w:rPr>
          <w:lang w:val="en-US"/>
        </w:rPr>
        <w:t xml:space="preserve"> </w:t>
      </w:r>
      <w:proofErr w:type="spellStart"/>
      <w:r w:rsidRPr="00CA6E33">
        <w:rPr>
          <w:lang w:val="en-US"/>
        </w:rPr>
        <w:t>oluşan</w:t>
      </w:r>
      <w:proofErr w:type="spellEnd"/>
      <w:r w:rsidRPr="00CA6E33">
        <w:rPr>
          <w:lang w:val="en-US"/>
        </w:rPr>
        <w:t xml:space="preserve"> </w:t>
      </w:r>
      <w:proofErr w:type="spellStart"/>
      <w:r w:rsidRPr="00CA6E33">
        <w:rPr>
          <w:lang w:val="en-US"/>
        </w:rPr>
        <w:t>katipleriyle</w:t>
      </w:r>
      <w:proofErr w:type="spellEnd"/>
      <w:r w:rsidRPr="00CA6E33">
        <w:rPr>
          <w:lang w:val="en-US"/>
        </w:rPr>
        <w:t xml:space="preserve"> (clerks) </w:t>
      </w:r>
      <w:proofErr w:type="spellStart"/>
      <w:r w:rsidRPr="00CA6E33">
        <w:rPr>
          <w:lang w:val="en-US"/>
        </w:rPr>
        <w:t>birlikte</w:t>
      </w:r>
      <w:proofErr w:type="spellEnd"/>
      <w:r w:rsidRPr="00CA6E33">
        <w:rPr>
          <w:lang w:val="en-US"/>
        </w:rPr>
        <w:t xml:space="preserve"> </w:t>
      </w:r>
      <w:proofErr w:type="spellStart"/>
      <w:r w:rsidRPr="00CA6E33">
        <w:rPr>
          <w:lang w:val="en-US"/>
        </w:rPr>
        <w:t>çalışır</w:t>
      </w:r>
      <w:proofErr w:type="spellEnd"/>
      <w:r w:rsidRPr="00CA6E33">
        <w:rPr>
          <w:lang w:val="en-US"/>
        </w:rPr>
        <w:t>.</w:t>
      </w:r>
    </w:p>
    <w:p w14:paraId="515F2DCE" w14:textId="156500FA" w:rsidR="00CA6E33" w:rsidRDefault="00CA6E33" w:rsidP="00CA6E33">
      <w:pPr>
        <w:rPr>
          <w:lang w:val="en-US"/>
        </w:rPr>
      </w:pPr>
      <w:r w:rsidRPr="00CA6E33">
        <w:rPr>
          <w:lang w:val="en-US"/>
        </w:rPr>
        <w:t xml:space="preserve">Her </w:t>
      </w:r>
      <w:proofErr w:type="spellStart"/>
      <w:r w:rsidRPr="00CA6E33">
        <w:rPr>
          <w:lang w:val="en-US"/>
        </w:rPr>
        <w:t>Yargıcın</w:t>
      </w:r>
      <w:proofErr w:type="spellEnd"/>
      <w:r w:rsidRPr="00CA6E33">
        <w:rPr>
          <w:lang w:val="en-US"/>
        </w:rPr>
        <w:t xml:space="preserve"> (Justice), </w:t>
      </w:r>
      <w:proofErr w:type="spellStart"/>
      <w:r w:rsidRPr="00CA6E33">
        <w:rPr>
          <w:lang w:val="en-US"/>
        </w:rPr>
        <w:t>çoğunluk</w:t>
      </w:r>
      <w:proofErr w:type="spellEnd"/>
      <w:r w:rsidRPr="00CA6E33">
        <w:rPr>
          <w:lang w:val="en-US"/>
        </w:rPr>
        <w:t xml:space="preserve"> </w:t>
      </w:r>
      <w:proofErr w:type="spellStart"/>
      <w:r w:rsidRPr="00CA6E33">
        <w:rPr>
          <w:lang w:val="en-US"/>
        </w:rPr>
        <w:t>görüşünün</w:t>
      </w:r>
      <w:proofErr w:type="spellEnd"/>
      <w:r w:rsidRPr="00CA6E33">
        <w:rPr>
          <w:lang w:val="en-US"/>
        </w:rPr>
        <w:t xml:space="preserve"> (majority opinion) </w:t>
      </w:r>
      <w:proofErr w:type="spellStart"/>
      <w:r w:rsidRPr="00CA6E33">
        <w:rPr>
          <w:lang w:val="en-US"/>
        </w:rPr>
        <w:t>yazarına</w:t>
      </w:r>
      <w:proofErr w:type="spellEnd"/>
      <w:r w:rsidRPr="00CA6E33">
        <w:rPr>
          <w:lang w:val="en-US"/>
        </w:rPr>
        <w:t xml:space="preserve"> </w:t>
      </w:r>
      <w:proofErr w:type="spellStart"/>
      <w:r w:rsidRPr="00CA6E33">
        <w:rPr>
          <w:lang w:val="en-US"/>
        </w:rPr>
        <w:t>kararın</w:t>
      </w:r>
      <w:proofErr w:type="spellEnd"/>
      <w:r w:rsidRPr="00CA6E33">
        <w:rPr>
          <w:lang w:val="en-US"/>
        </w:rPr>
        <w:t xml:space="preserve"> </w:t>
      </w:r>
      <w:proofErr w:type="spellStart"/>
      <w:r w:rsidRPr="00CA6E33">
        <w:rPr>
          <w:lang w:val="en-US"/>
        </w:rPr>
        <w:t>içeriğini</w:t>
      </w:r>
      <w:proofErr w:type="spellEnd"/>
      <w:r w:rsidRPr="00CA6E33">
        <w:rPr>
          <w:lang w:val="en-US"/>
        </w:rPr>
        <w:t xml:space="preserve"> </w:t>
      </w:r>
      <w:proofErr w:type="spellStart"/>
      <w:r w:rsidRPr="00CA6E33">
        <w:rPr>
          <w:lang w:val="en-US"/>
        </w:rPr>
        <w:t>şekillendirme</w:t>
      </w:r>
      <w:proofErr w:type="spellEnd"/>
      <w:r w:rsidRPr="00CA6E33">
        <w:rPr>
          <w:lang w:val="en-US"/>
        </w:rPr>
        <w:t xml:space="preserve"> </w:t>
      </w:r>
      <w:proofErr w:type="spellStart"/>
      <w:r w:rsidRPr="00CA6E33">
        <w:rPr>
          <w:lang w:val="en-US"/>
        </w:rPr>
        <w:t>konusunda</w:t>
      </w:r>
      <w:proofErr w:type="spellEnd"/>
      <w:r w:rsidRPr="00CA6E33">
        <w:rPr>
          <w:lang w:val="en-US"/>
        </w:rPr>
        <w:t xml:space="preserve"> ne </w:t>
      </w:r>
      <w:proofErr w:type="spellStart"/>
      <w:r w:rsidRPr="00CA6E33">
        <w:rPr>
          <w:lang w:val="en-US"/>
        </w:rPr>
        <w:t>ölçüde</w:t>
      </w:r>
      <w:proofErr w:type="spellEnd"/>
      <w:r w:rsidRPr="00CA6E33">
        <w:rPr>
          <w:lang w:val="en-US"/>
        </w:rPr>
        <w:t xml:space="preserve"> </w:t>
      </w:r>
      <w:proofErr w:type="spellStart"/>
      <w:r w:rsidRPr="00CA6E33">
        <w:rPr>
          <w:lang w:val="en-US"/>
        </w:rPr>
        <w:t>bağlılık</w:t>
      </w:r>
      <w:proofErr w:type="spellEnd"/>
      <w:r w:rsidRPr="00CA6E33">
        <w:rPr>
          <w:lang w:val="en-US"/>
        </w:rPr>
        <w:t xml:space="preserve"> </w:t>
      </w:r>
      <w:proofErr w:type="spellStart"/>
      <w:r w:rsidRPr="00CA6E33">
        <w:rPr>
          <w:lang w:val="en-US"/>
        </w:rPr>
        <w:t>gösterdiğini</w:t>
      </w:r>
      <w:proofErr w:type="spellEnd"/>
      <w:r w:rsidRPr="00CA6E33">
        <w:rPr>
          <w:lang w:val="en-US"/>
        </w:rPr>
        <w:t xml:space="preserve"> </w:t>
      </w:r>
      <w:proofErr w:type="spellStart"/>
      <w:r w:rsidRPr="00CA6E33">
        <w:rPr>
          <w:lang w:val="en-US"/>
        </w:rPr>
        <w:t>niceliksel</w:t>
      </w:r>
      <w:proofErr w:type="spellEnd"/>
      <w:r w:rsidRPr="00CA6E33">
        <w:rPr>
          <w:lang w:val="en-US"/>
        </w:rPr>
        <w:t xml:space="preserve"> </w:t>
      </w:r>
      <w:proofErr w:type="spellStart"/>
      <w:r w:rsidRPr="00CA6E33">
        <w:rPr>
          <w:lang w:val="en-US"/>
        </w:rPr>
        <w:t>olarak</w:t>
      </w:r>
      <w:proofErr w:type="spellEnd"/>
      <w:r w:rsidRPr="00CA6E33">
        <w:rPr>
          <w:lang w:val="en-US"/>
        </w:rPr>
        <w:t xml:space="preserve"> </w:t>
      </w:r>
      <w:proofErr w:type="spellStart"/>
      <w:r w:rsidRPr="00CA6E33">
        <w:rPr>
          <w:lang w:val="en-US"/>
        </w:rPr>
        <w:t>belirlemek</w:t>
      </w:r>
      <w:proofErr w:type="spellEnd"/>
      <w:r w:rsidRPr="00CA6E33">
        <w:rPr>
          <w:lang w:val="en-US"/>
        </w:rPr>
        <w:t xml:space="preserve"> </w:t>
      </w:r>
      <w:proofErr w:type="spellStart"/>
      <w:r w:rsidRPr="00CA6E33">
        <w:rPr>
          <w:lang w:val="en-US"/>
        </w:rPr>
        <w:t>zordur</w:t>
      </w:r>
      <w:proofErr w:type="spellEnd"/>
      <w:r w:rsidRPr="00CA6E33">
        <w:rPr>
          <w:lang w:val="en-US"/>
        </w:rPr>
        <w:t xml:space="preserve">. </w:t>
      </w:r>
      <w:proofErr w:type="spellStart"/>
      <w:r w:rsidRPr="00CA6E33">
        <w:rPr>
          <w:lang w:val="en-US"/>
        </w:rPr>
        <w:t>Ancak</w:t>
      </w:r>
      <w:proofErr w:type="spellEnd"/>
      <w:r w:rsidRPr="00CA6E33">
        <w:rPr>
          <w:lang w:val="en-US"/>
        </w:rPr>
        <w:t xml:space="preserve">, </w:t>
      </w:r>
      <w:proofErr w:type="spellStart"/>
      <w:r w:rsidRPr="00CA6E33">
        <w:rPr>
          <w:lang w:val="en-US"/>
        </w:rPr>
        <w:t>arşiv</w:t>
      </w:r>
      <w:proofErr w:type="spellEnd"/>
      <w:r w:rsidRPr="00CA6E33">
        <w:rPr>
          <w:lang w:val="en-US"/>
        </w:rPr>
        <w:t xml:space="preserve"> </w:t>
      </w:r>
      <w:proofErr w:type="spellStart"/>
      <w:r w:rsidRPr="00CA6E33">
        <w:rPr>
          <w:lang w:val="en-US"/>
        </w:rPr>
        <w:t>kayıtlarına</w:t>
      </w:r>
      <w:proofErr w:type="spellEnd"/>
      <w:r w:rsidRPr="00CA6E33">
        <w:rPr>
          <w:lang w:val="en-US"/>
        </w:rPr>
        <w:t xml:space="preserve"> </w:t>
      </w:r>
      <w:proofErr w:type="spellStart"/>
      <w:r w:rsidRPr="00CA6E33">
        <w:rPr>
          <w:lang w:val="en-US"/>
        </w:rPr>
        <w:t>yüzeysel</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bakış</w:t>
      </w:r>
      <w:proofErr w:type="spellEnd"/>
      <w:r w:rsidRPr="00CA6E33">
        <w:rPr>
          <w:lang w:val="en-US"/>
        </w:rPr>
        <w:t xml:space="preserve"> bile, </w:t>
      </w:r>
      <w:proofErr w:type="spellStart"/>
      <w:r w:rsidRPr="00CA6E33">
        <w:rPr>
          <w:lang w:val="en-US"/>
        </w:rPr>
        <w:t>Yargıçların</w:t>
      </w:r>
      <w:proofErr w:type="spellEnd"/>
      <w:r w:rsidRPr="00CA6E33">
        <w:rPr>
          <w:lang w:val="en-US"/>
        </w:rPr>
        <w:t xml:space="preserve"> </w:t>
      </w:r>
      <w:proofErr w:type="spellStart"/>
      <w:r w:rsidRPr="00CA6E33">
        <w:rPr>
          <w:lang w:val="en-US"/>
        </w:rPr>
        <w:t>çoğu</w:t>
      </w:r>
      <w:proofErr w:type="spellEnd"/>
      <w:r w:rsidRPr="00CA6E33">
        <w:rPr>
          <w:lang w:val="en-US"/>
        </w:rPr>
        <w:t xml:space="preserve"> zaman </w:t>
      </w:r>
      <w:proofErr w:type="spellStart"/>
      <w:r w:rsidRPr="00CA6E33">
        <w:rPr>
          <w:lang w:val="en-US"/>
        </w:rPr>
        <w:t>tüm</w:t>
      </w:r>
      <w:proofErr w:type="spellEnd"/>
      <w:r w:rsidRPr="00CA6E33">
        <w:rPr>
          <w:lang w:val="en-US"/>
        </w:rPr>
        <w:t xml:space="preserve"> </w:t>
      </w:r>
      <w:proofErr w:type="spellStart"/>
      <w:r w:rsidRPr="00CA6E33">
        <w:rPr>
          <w:lang w:val="en-US"/>
        </w:rPr>
        <w:t>ayrıntılarda</w:t>
      </w:r>
      <w:proofErr w:type="spellEnd"/>
      <w:r w:rsidRPr="00CA6E33">
        <w:rPr>
          <w:lang w:val="en-US"/>
        </w:rPr>
        <w:t xml:space="preserve"> </w:t>
      </w:r>
      <w:proofErr w:type="spellStart"/>
      <w:r w:rsidRPr="00CA6E33">
        <w:rPr>
          <w:lang w:val="en-US"/>
        </w:rPr>
        <w:t>yazarla</w:t>
      </w:r>
      <w:proofErr w:type="spellEnd"/>
      <w:r w:rsidRPr="00CA6E33">
        <w:rPr>
          <w:lang w:val="en-US"/>
        </w:rPr>
        <w:t xml:space="preserve"> </w:t>
      </w:r>
      <w:proofErr w:type="spellStart"/>
      <w:r w:rsidRPr="00CA6E33">
        <w:rPr>
          <w:lang w:val="en-US"/>
        </w:rPr>
        <w:t>aynı</w:t>
      </w:r>
      <w:proofErr w:type="spellEnd"/>
      <w:r w:rsidRPr="00CA6E33">
        <w:rPr>
          <w:lang w:val="en-US"/>
        </w:rPr>
        <w:t xml:space="preserve"> </w:t>
      </w:r>
      <w:proofErr w:type="spellStart"/>
      <w:r w:rsidRPr="00CA6E33">
        <w:rPr>
          <w:lang w:val="en-US"/>
        </w:rPr>
        <w:t>fikirde</w:t>
      </w:r>
      <w:proofErr w:type="spellEnd"/>
      <w:r w:rsidRPr="00CA6E33">
        <w:rPr>
          <w:lang w:val="en-US"/>
        </w:rPr>
        <w:t xml:space="preserve"> </w:t>
      </w:r>
      <w:proofErr w:type="spellStart"/>
      <w:r w:rsidRPr="00CA6E33">
        <w:rPr>
          <w:lang w:val="en-US"/>
        </w:rPr>
        <w:t>olmamalarına</w:t>
      </w:r>
      <w:proofErr w:type="spellEnd"/>
      <w:r w:rsidRPr="00CA6E33">
        <w:rPr>
          <w:lang w:val="en-US"/>
        </w:rPr>
        <w:t xml:space="preserve"> </w:t>
      </w:r>
      <w:proofErr w:type="spellStart"/>
      <w:r w:rsidRPr="00CA6E33">
        <w:rPr>
          <w:lang w:val="en-US"/>
        </w:rPr>
        <w:t>rağmen</w:t>
      </w:r>
      <w:proofErr w:type="spellEnd"/>
      <w:r w:rsidRPr="00CA6E33">
        <w:rPr>
          <w:lang w:val="en-US"/>
        </w:rPr>
        <w:t xml:space="preserve"> </w:t>
      </w:r>
      <w:proofErr w:type="spellStart"/>
      <w:r w:rsidRPr="00CA6E33">
        <w:rPr>
          <w:lang w:val="en-US"/>
        </w:rPr>
        <w:t>görüşlere</w:t>
      </w:r>
      <w:proofErr w:type="spellEnd"/>
      <w:r w:rsidRPr="00CA6E33">
        <w:rPr>
          <w:lang w:val="en-US"/>
        </w:rPr>
        <w:t xml:space="preserve"> </w:t>
      </w:r>
      <w:proofErr w:type="spellStart"/>
      <w:r w:rsidRPr="00CA6E33">
        <w:rPr>
          <w:lang w:val="en-US"/>
        </w:rPr>
        <w:t>imza</w:t>
      </w:r>
      <w:proofErr w:type="spellEnd"/>
      <w:r w:rsidRPr="00CA6E33">
        <w:rPr>
          <w:lang w:val="en-US"/>
        </w:rPr>
        <w:t xml:space="preserve"> </w:t>
      </w:r>
      <w:proofErr w:type="spellStart"/>
      <w:r w:rsidRPr="00CA6E33">
        <w:rPr>
          <w:lang w:val="en-US"/>
        </w:rPr>
        <w:t>attıklarını</w:t>
      </w:r>
      <w:proofErr w:type="spellEnd"/>
      <w:r w:rsidRPr="00CA6E33">
        <w:rPr>
          <w:lang w:val="en-US"/>
        </w:rPr>
        <w:t xml:space="preserve"> </w:t>
      </w:r>
      <w:proofErr w:type="spellStart"/>
      <w:r w:rsidRPr="00CA6E33">
        <w:rPr>
          <w:lang w:val="en-US"/>
        </w:rPr>
        <w:t>ortaya</w:t>
      </w:r>
      <w:proofErr w:type="spellEnd"/>
      <w:r w:rsidRPr="00CA6E33">
        <w:rPr>
          <w:lang w:val="en-US"/>
        </w:rPr>
        <w:t xml:space="preserve"> </w:t>
      </w:r>
      <w:proofErr w:type="spellStart"/>
      <w:r w:rsidRPr="00CA6E33">
        <w:rPr>
          <w:lang w:val="en-US"/>
        </w:rPr>
        <w:t>koymaktadır</w:t>
      </w:r>
      <w:proofErr w:type="spellEnd"/>
      <w:r w:rsidRPr="00CA6E33">
        <w:rPr>
          <w:lang w:val="en-US"/>
        </w:rPr>
        <w:t>.</w:t>
      </w:r>
      <w:r>
        <w:rPr>
          <w:lang w:val="en-US"/>
        </w:rPr>
        <w:t xml:space="preserve"> </w:t>
      </w:r>
      <w:r w:rsidRPr="00CA6E33">
        <w:rPr>
          <w:lang w:val="en-US"/>
        </w:rPr>
        <w:t xml:space="preserve">Bu </w:t>
      </w:r>
      <w:proofErr w:type="spellStart"/>
      <w:r w:rsidRPr="00CA6E33">
        <w:rPr>
          <w:lang w:val="en-US"/>
        </w:rPr>
        <w:t>tür</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düzenin</w:t>
      </w:r>
      <w:proofErr w:type="spellEnd"/>
      <w:r w:rsidRPr="00CA6E33">
        <w:rPr>
          <w:lang w:val="en-US"/>
        </w:rPr>
        <w:t xml:space="preserve"> </w:t>
      </w:r>
      <w:proofErr w:type="spellStart"/>
      <w:r w:rsidRPr="00CA6E33">
        <w:rPr>
          <w:lang w:val="en-US"/>
        </w:rPr>
        <w:t>belirli</w:t>
      </w:r>
      <w:proofErr w:type="spellEnd"/>
      <w:r w:rsidRPr="00CA6E33">
        <w:rPr>
          <w:lang w:val="en-US"/>
        </w:rPr>
        <w:t xml:space="preserve"> </w:t>
      </w:r>
      <w:proofErr w:type="spellStart"/>
      <w:r w:rsidRPr="00CA6E33">
        <w:rPr>
          <w:lang w:val="en-US"/>
        </w:rPr>
        <w:t>ölçüde</w:t>
      </w:r>
      <w:proofErr w:type="spellEnd"/>
      <w:r w:rsidRPr="00CA6E33">
        <w:rPr>
          <w:lang w:val="en-US"/>
        </w:rPr>
        <w:t xml:space="preserve"> </w:t>
      </w:r>
      <w:proofErr w:type="spellStart"/>
      <w:r w:rsidRPr="00CA6E33">
        <w:rPr>
          <w:lang w:val="en-US"/>
        </w:rPr>
        <w:t>kaçınılmaz</w:t>
      </w:r>
      <w:proofErr w:type="spellEnd"/>
      <w:r w:rsidRPr="00CA6E33">
        <w:rPr>
          <w:lang w:val="en-US"/>
        </w:rPr>
        <w:t xml:space="preserve"> </w:t>
      </w:r>
      <w:proofErr w:type="spellStart"/>
      <w:r w:rsidRPr="00CA6E33">
        <w:rPr>
          <w:lang w:val="en-US"/>
        </w:rPr>
        <w:t>olduğu</w:t>
      </w:r>
      <w:proofErr w:type="spellEnd"/>
      <w:r w:rsidRPr="00CA6E33">
        <w:rPr>
          <w:lang w:val="en-US"/>
        </w:rPr>
        <w:t xml:space="preserve"> da </w:t>
      </w:r>
      <w:proofErr w:type="spellStart"/>
      <w:r w:rsidRPr="00CA6E33">
        <w:rPr>
          <w:lang w:val="en-US"/>
        </w:rPr>
        <w:t>açıktır</w:t>
      </w:r>
      <w:proofErr w:type="spellEnd"/>
      <w:r w:rsidRPr="00CA6E33">
        <w:rPr>
          <w:lang w:val="en-US"/>
        </w:rPr>
        <w:t xml:space="preserve">; </w:t>
      </w:r>
      <w:proofErr w:type="spellStart"/>
      <w:r w:rsidRPr="00CA6E33">
        <w:rPr>
          <w:lang w:val="en-US"/>
        </w:rPr>
        <w:t>eğer</w:t>
      </w:r>
      <w:proofErr w:type="spellEnd"/>
      <w:r w:rsidRPr="00CA6E33">
        <w:rPr>
          <w:lang w:val="en-US"/>
        </w:rPr>
        <w:t xml:space="preserve"> </w:t>
      </w:r>
      <w:proofErr w:type="spellStart"/>
      <w:r w:rsidRPr="00CA6E33">
        <w:rPr>
          <w:lang w:val="en-US"/>
        </w:rPr>
        <w:t>dokuz</w:t>
      </w:r>
      <w:proofErr w:type="spellEnd"/>
      <w:r w:rsidRPr="00CA6E33">
        <w:rPr>
          <w:lang w:val="en-US"/>
        </w:rPr>
        <w:t xml:space="preserve"> (</w:t>
      </w:r>
      <w:proofErr w:type="spellStart"/>
      <w:r w:rsidRPr="00CA6E33">
        <w:rPr>
          <w:lang w:val="en-US"/>
        </w:rPr>
        <w:t>veya</w:t>
      </w:r>
      <w:proofErr w:type="spellEnd"/>
      <w:r w:rsidRPr="00CA6E33">
        <w:rPr>
          <w:lang w:val="en-US"/>
        </w:rPr>
        <w:t xml:space="preserve"> </w:t>
      </w:r>
      <w:proofErr w:type="spellStart"/>
      <w:r w:rsidRPr="00CA6E33">
        <w:rPr>
          <w:lang w:val="en-US"/>
        </w:rPr>
        <w:t>en</w:t>
      </w:r>
      <w:proofErr w:type="spellEnd"/>
      <w:r w:rsidRPr="00CA6E33">
        <w:rPr>
          <w:lang w:val="en-US"/>
        </w:rPr>
        <w:t xml:space="preserve"> </w:t>
      </w:r>
      <w:proofErr w:type="spellStart"/>
      <w:r w:rsidRPr="00CA6E33">
        <w:rPr>
          <w:lang w:val="en-US"/>
        </w:rPr>
        <w:t>az</w:t>
      </w:r>
      <w:proofErr w:type="spellEnd"/>
      <w:r w:rsidRPr="00CA6E33">
        <w:rPr>
          <w:lang w:val="en-US"/>
        </w:rPr>
        <w:t xml:space="preserve"> </w:t>
      </w:r>
      <w:proofErr w:type="spellStart"/>
      <w:r w:rsidRPr="00CA6E33">
        <w:rPr>
          <w:lang w:val="en-US"/>
        </w:rPr>
        <w:t>beş</w:t>
      </w:r>
      <w:proofErr w:type="spellEnd"/>
      <w:r w:rsidRPr="00CA6E33">
        <w:rPr>
          <w:lang w:val="en-US"/>
        </w:rPr>
        <w:t xml:space="preserve">) </w:t>
      </w:r>
      <w:proofErr w:type="spellStart"/>
      <w:r w:rsidRPr="00CA6E33">
        <w:rPr>
          <w:lang w:val="en-US"/>
        </w:rPr>
        <w:t>farklı</w:t>
      </w:r>
      <w:proofErr w:type="spellEnd"/>
      <w:r w:rsidRPr="00CA6E33">
        <w:rPr>
          <w:lang w:val="en-US"/>
        </w:rPr>
        <w:t xml:space="preserve"> </w:t>
      </w:r>
      <w:proofErr w:type="spellStart"/>
      <w:r w:rsidRPr="00CA6E33">
        <w:rPr>
          <w:lang w:val="en-US"/>
        </w:rPr>
        <w:t>görüşe</w:t>
      </w:r>
      <w:proofErr w:type="spellEnd"/>
      <w:r w:rsidRPr="00CA6E33">
        <w:rPr>
          <w:lang w:val="en-US"/>
        </w:rPr>
        <w:t xml:space="preserve"> </w:t>
      </w:r>
      <w:proofErr w:type="spellStart"/>
      <w:r w:rsidRPr="00CA6E33">
        <w:rPr>
          <w:lang w:val="en-US"/>
        </w:rPr>
        <w:t>sahip</w:t>
      </w:r>
      <w:proofErr w:type="spellEnd"/>
      <w:r w:rsidRPr="00CA6E33">
        <w:rPr>
          <w:lang w:val="en-US"/>
        </w:rPr>
        <w:t xml:space="preserve">, </w:t>
      </w:r>
      <w:proofErr w:type="spellStart"/>
      <w:r w:rsidRPr="00CA6E33">
        <w:rPr>
          <w:lang w:val="en-US"/>
        </w:rPr>
        <w:t>bağımsız</w:t>
      </w:r>
      <w:proofErr w:type="spellEnd"/>
      <w:r w:rsidRPr="00CA6E33">
        <w:rPr>
          <w:lang w:val="en-US"/>
        </w:rPr>
        <w:t xml:space="preserve"> </w:t>
      </w:r>
      <w:proofErr w:type="spellStart"/>
      <w:r w:rsidRPr="00CA6E33">
        <w:rPr>
          <w:lang w:val="en-US"/>
        </w:rPr>
        <w:t>düşünceli</w:t>
      </w:r>
      <w:proofErr w:type="spellEnd"/>
      <w:r w:rsidRPr="00CA6E33">
        <w:rPr>
          <w:lang w:val="en-US"/>
        </w:rPr>
        <w:t xml:space="preserve"> </w:t>
      </w:r>
      <w:proofErr w:type="spellStart"/>
      <w:r w:rsidRPr="00CA6E33">
        <w:rPr>
          <w:lang w:val="en-US"/>
        </w:rPr>
        <w:t>yetkilinin</w:t>
      </w:r>
      <w:proofErr w:type="spellEnd"/>
      <w:r w:rsidRPr="00CA6E33">
        <w:rPr>
          <w:lang w:val="en-US"/>
        </w:rPr>
        <w:t xml:space="preserve"> her </w:t>
      </w:r>
      <w:proofErr w:type="spellStart"/>
      <w:r w:rsidRPr="00CA6E33">
        <w:rPr>
          <w:lang w:val="en-US"/>
        </w:rPr>
        <w:t>ifade</w:t>
      </w:r>
      <w:proofErr w:type="spellEnd"/>
      <w:r w:rsidRPr="00CA6E33">
        <w:rPr>
          <w:lang w:val="en-US"/>
        </w:rPr>
        <w:t xml:space="preserve">, </w:t>
      </w:r>
      <w:proofErr w:type="spellStart"/>
      <w:r w:rsidRPr="00CA6E33">
        <w:rPr>
          <w:lang w:val="en-US"/>
        </w:rPr>
        <w:t>emsal</w:t>
      </w:r>
      <w:proofErr w:type="spellEnd"/>
      <w:r w:rsidRPr="00CA6E33">
        <w:rPr>
          <w:lang w:val="en-US"/>
        </w:rPr>
        <w:t xml:space="preserve"> (precedent) </w:t>
      </w:r>
      <w:proofErr w:type="spellStart"/>
      <w:r w:rsidRPr="00CA6E33">
        <w:rPr>
          <w:lang w:val="en-US"/>
        </w:rPr>
        <w:t>ve</w:t>
      </w:r>
      <w:proofErr w:type="spellEnd"/>
      <w:r w:rsidRPr="00CA6E33">
        <w:rPr>
          <w:lang w:val="en-US"/>
        </w:rPr>
        <w:t xml:space="preserve"> </w:t>
      </w:r>
      <w:proofErr w:type="spellStart"/>
      <w:r w:rsidRPr="00CA6E33">
        <w:rPr>
          <w:lang w:val="en-US"/>
        </w:rPr>
        <w:t>argüman</w:t>
      </w:r>
      <w:proofErr w:type="spellEnd"/>
      <w:r w:rsidRPr="00CA6E33">
        <w:rPr>
          <w:lang w:val="en-US"/>
        </w:rPr>
        <w:t xml:space="preserve"> </w:t>
      </w:r>
      <w:proofErr w:type="spellStart"/>
      <w:r w:rsidRPr="00CA6E33">
        <w:rPr>
          <w:lang w:val="en-US"/>
        </w:rPr>
        <w:t>üzerinde</w:t>
      </w:r>
      <w:proofErr w:type="spellEnd"/>
      <w:r w:rsidRPr="00CA6E33">
        <w:rPr>
          <w:lang w:val="en-US"/>
        </w:rPr>
        <w:t xml:space="preserve"> tam </w:t>
      </w:r>
      <w:proofErr w:type="spellStart"/>
      <w:r w:rsidRPr="00CA6E33">
        <w:rPr>
          <w:lang w:val="en-US"/>
        </w:rPr>
        <w:t>bir</w:t>
      </w:r>
      <w:proofErr w:type="spellEnd"/>
      <w:r w:rsidRPr="00CA6E33">
        <w:rPr>
          <w:lang w:val="en-US"/>
        </w:rPr>
        <w:t xml:space="preserve"> </w:t>
      </w:r>
      <w:proofErr w:type="spellStart"/>
      <w:r w:rsidRPr="00CA6E33">
        <w:rPr>
          <w:lang w:val="en-US"/>
        </w:rPr>
        <w:t>uzlaşmaya</w:t>
      </w:r>
      <w:proofErr w:type="spellEnd"/>
      <w:r w:rsidRPr="00CA6E33">
        <w:rPr>
          <w:lang w:val="en-US"/>
        </w:rPr>
        <w:t xml:space="preserve"> </w:t>
      </w:r>
      <w:proofErr w:type="spellStart"/>
      <w:r w:rsidRPr="00CA6E33">
        <w:rPr>
          <w:lang w:val="en-US"/>
        </w:rPr>
        <w:t>varması</w:t>
      </w:r>
      <w:proofErr w:type="spellEnd"/>
      <w:r w:rsidRPr="00CA6E33">
        <w:rPr>
          <w:lang w:val="en-US"/>
        </w:rPr>
        <w:t xml:space="preserve"> </w:t>
      </w:r>
      <w:proofErr w:type="spellStart"/>
      <w:r w:rsidRPr="00CA6E33">
        <w:rPr>
          <w:lang w:val="en-US"/>
        </w:rPr>
        <w:t>zorunlu</w:t>
      </w:r>
      <w:proofErr w:type="spellEnd"/>
      <w:r w:rsidRPr="00CA6E33">
        <w:rPr>
          <w:lang w:val="en-US"/>
        </w:rPr>
        <w:t xml:space="preserve"> </w:t>
      </w:r>
      <w:proofErr w:type="spellStart"/>
      <w:r w:rsidRPr="00CA6E33">
        <w:rPr>
          <w:lang w:val="en-US"/>
        </w:rPr>
        <w:t>olsaydı</w:t>
      </w:r>
      <w:proofErr w:type="spellEnd"/>
      <w:r w:rsidRPr="00CA6E33">
        <w:rPr>
          <w:lang w:val="en-US"/>
        </w:rPr>
        <w:t xml:space="preserve">, </w:t>
      </w:r>
      <w:proofErr w:type="spellStart"/>
      <w:r w:rsidRPr="00CA6E33">
        <w:rPr>
          <w:lang w:val="en-US"/>
        </w:rPr>
        <w:t>Mahkeme’nin</w:t>
      </w:r>
      <w:proofErr w:type="spellEnd"/>
      <w:r w:rsidRPr="00CA6E33">
        <w:rPr>
          <w:lang w:val="en-US"/>
        </w:rPr>
        <w:t xml:space="preserve"> </w:t>
      </w:r>
      <w:proofErr w:type="spellStart"/>
      <w:r w:rsidRPr="00CA6E33">
        <w:rPr>
          <w:lang w:val="en-US"/>
        </w:rPr>
        <w:t>işleyişi</w:t>
      </w:r>
      <w:proofErr w:type="spellEnd"/>
      <w:r w:rsidRPr="00CA6E33">
        <w:rPr>
          <w:lang w:val="en-US"/>
        </w:rPr>
        <w:t xml:space="preserve"> </w:t>
      </w:r>
      <w:proofErr w:type="spellStart"/>
      <w:r w:rsidRPr="00CA6E33">
        <w:rPr>
          <w:lang w:val="en-US"/>
        </w:rPr>
        <w:t>tamamen</w:t>
      </w:r>
      <w:proofErr w:type="spellEnd"/>
      <w:r w:rsidRPr="00CA6E33">
        <w:rPr>
          <w:lang w:val="en-US"/>
        </w:rPr>
        <w:t xml:space="preserve"> </w:t>
      </w:r>
      <w:proofErr w:type="spellStart"/>
      <w:r w:rsidRPr="00CA6E33">
        <w:rPr>
          <w:lang w:val="en-US"/>
        </w:rPr>
        <w:t>durma</w:t>
      </w:r>
      <w:proofErr w:type="spellEnd"/>
      <w:r w:rsidRPr="00CA6E33">
        <w:rPr>
          <w:lang w:val="en-US"/>
        </w:rPr>
        <w:t xml:space="preserve"> </w:t>
      </w:r>
      <w:proofErr w:type="spellStart"/>
      <w:r w:rsidRPr="00CA6E33">
        <w:rPr>
          <w:lang w:val="en-US"/>
        </w:rPr>
        <w:t>noktasına</w:t>
      </w:r>
      <w:proofErr w:type="spellEnd"/>
      <w:r w:rsidRPr="00CA6E33">
        <w:rPr>
          <w:lang w:val="en-US"/>
        </w:rPr>
        <w:t xml:space="preserve"> </w:t>
      </w:r>
      <w:proofErr w:type="spellStart"/>
      <w:r w:rsidRPr="00CA6E33">
        <w:rPr>
          <w:lang w:val="en-US"/>
        </w:rPr>
        <w:t>gelebilirdi</w:t>
      </w:r>
      <w:proofErr w:type="spellEnd"/>
      <w:r w:rsidRPr="00CA6E33">
        <w:rPr>
          <w:lang w:val="en-US"/>
        </w:rPr>
        <w:t>.</w:t>
      </w:r>
      <w:r>
        <w:rPr>
          <w:lang w:val="en-US"/>
        </w:rPr>
        <w:t xml:space="preserve"> </w:t>
      </w:r>
      <w:proofErr w:type="spellStart"/>
      <w:r w:rsidRPr="00CA6E33">
        <w:rPr>
          <w:lang w:val="en-US"/>
        </w:rPr>
        <w:t>Aşağıda</w:t>
      </w:r>
      <w:proofErr w:type="spellEnd"/>
      <w:r w:rsidRPr="00CA6E33">
        <w:rPr>
          <w:lang w:val="en-US"/>
        </w:rPr>
        <w:t xml:space="preserve"> </w:t>
      </w:r>
      <w:proofErr w:type="spellStart"/>
      <w:r w:rsidRPr="00CA6E33">
        <w:rPr>
          <w:lang w:val="en-US"/>
        </w:rPr>
        <w:t>Bölüm</w:t>
      </w:r>
      <w:proofErr w:type="spellEnd"/>
      <w:r w:rsidRPr="00CA6E33">
        <w:rPr>
          <w:lang w:val="en-US"/>
        </w:rPr>
        <w:t xml:space="preserve"> </w:t>
      </w:r>
      <w:proofErr w:type="spellStart"/>
      <w:r w:rsidRPr="00CA6E33">
        <w:rPr>
          <w:lang w:val="en-US"/>
        </w:rPr>
        <w:t>II’de</w:t>
      </w:r>
      <w:proofErr w:type="spellEnd"/>
      <w:r w:rsidRPr="00CA6E33">
        <w:rPr>
          <w:lang w:val="en-US"/>
        </w:rPr>
        <w:t xml:space="preserve"> </w:t>
      </w:r>
      <w:proofErr w:type="spellStart"/>
      <w:r w:rsidRPr="00CA6E33">
        <w:rPr>
          <w:lang w:val="en-US"/>
        </w:rPr>
        <w:t>açıklayacağım</w:t>
      </w:r>
      <w:proofErr w:type="spellEnd"/>
      <w:r w:rsidRPr="00CA6E33">
        <w:rPr>
          <w:lang w:val="en-US"/>
        </w:rPr>
        <w:t xml:space="preserve"> </w:t>
      </w:r>
      <w:proofErr w:type="spellStart"/>
      <w:r w:rsidRPr="00CA6E33">
        <w:rPr>
          <w:lang w:val="en-US"/>
        </w:rPr>
        <w:t>üzere</w:t>
      </w:r>
      <w:proofErr w:type="spellEnd"/>
      <w:r w:rsidRPr="00CA6E33">
        <w:rPr>
          <w:lang w:val="en-US"/>
        </w:rPr>
        <w:t xml:space="preserve">,⁴⁵ </w:t>
      </w:r>
      <w:r>
        <w:rPr>
          <w:rStyle w:val="FootnoteReference"/>
          <w:lang w:val="en-US"/>
        </w:rPr>
        <w:footnoteReference w:id="45"/>
      </w:r>
      <w:r>
        <w:rPr>
          <w:lang w:val="en-US"/>
        </w:rPr>
        <w:t xml:space="preserve"> </w:t>
      </w:r>
      <w:proofErr w:type="spellStart"/>
      <w:r w:rsidRPr="00CA6E33">
        <w:rPr>
          <w:lang w:val="en-US"/>
        </w:rPr>
        <w:t>Mahkeme’de</w:t>
      </w:r>
      <w:proofErr w:type="spellEnd"/>
      <w:r w:rsidRPr="00CA6E33">
        <w:rPr>
          <w:lang w:val="en-US"/>
        </w:rPr>
        <w:t xml:space="preserve"> </w:t>
      </w:r>
      <w:proofErr w:type="spellStart"/>
      <w:r w:rsidRPr="00CA6E33">
        <w:rPr>
          <w:lang w:val="en-US"/>
        </w:rPr>
        <w:t>görüş</w:t>
      </w:r>
      <w:proofErr w:type="spellEnd"/>
      <w:r w:rsidRPr="00CA6E33">
        <w:rPr>
          <w:lang w:val="en-US"/>
        </w:rPr>
        <w:t xml:space="preserve"> </w:t>
      </w:r>
      <w:proofErr w:type="spellStart"/>
      <w:r w:rsidRPr="00CA6E33">
        <w:rPr>
          <w:lang w:val="en-US"/>
        </w:rPr>
        <w:t>yazarı</w:t>
      </w:r>
      <w:proofErr w:type="spellEnd"/>
      <w:r w:rsidRPr="00CA6E33">
        <w:rPr>
          <w:lang w:val="en-US"/>
        </w:rPr>
        <w:t xml:space="preserve"> </w:t>
      </w:r>
      <w:proofErr w:type="spellStart"/>
      <w:r w:rsidRPr="00CA6E33">
        <w:rPr>
          <w:lang w:val="en-US"/>
        </w:rPr>
        <w:t>Yargıçlara</w:t>
      </w:r>
      <w:proofErr w:type="spellEnd"/>
      <w:r w:rsidRPr="00CA6E33">
        <w:rPr>
          <w:lang w:val="en-US"/>
        </w:rPr>
        <w:t xml:space="preserve"> </w:t>
      </w:r>
      <w:proofErr w:type="spellStart"/>
      <w:r w:rsidRPr="00CA6E33">
        <w:rPr>
          <w:lang w:val="en-US"/>
        </w:rPr>
        <w:t>gösterilen</w:t>
      </w:r>
      <w:proofErr w:type="spellEnd"/>
      <w:r w:rsidRPr="00CA6E33">
        <w:rPr>
          <w:lang w:val="en-US"/>
        </w:rPr>
        <w:t xml:space="preserve"> </w:t>
      </w:r>
      <w:proofErr w:type="spellStart"/>
      <w:r w:rsidRPr="00CA6E33">
        <w:rPr>
          <w:lang w:val="en-US"/>
        </w:rPr>
        <w:t>bağlılığın</w:t>
      </w:r>
      <w:proofErr w:type="spellEnd"/>
      <w:r w:rsidRPr="00CA6E33">
        <w:rPr>
          <w:lang w:val="en-US"/>
        </w:rPr>
        <w:t xml:space="preserve"> </w:t>
      </w:r>
      <w:proofErr w:type="spellStart"/>
      <w:r w:rsidRPr="00CA6E33">
        <w:rPr>
          <w:lang w:val="en-US"/>
        </w:rPr>
        <w:t>önemli</w:t>
      </w:r>
      <w:proofErr w:type="spellEnd"/>
      <w:r w:rsidRPr="00CA6E33">
        <w:rPr>
          <w:lang w:val="en-US"/>
        </w:rPr>
        <w:t xml:space="preserve"> </w:t>
      </w:r>
      <w:proofErr w:type="spellStart"/>
      <w:r w:rsidRPr="00CA6E33">
        <w:rPr>
          <w:lang w:val="en-US"/>
        </w:rPr>
        <w:t>ölçüde</w:t>
      </w:r>
      <w:proofErr w:type="spellEnd"/>
      <w:r w:rsidRPr="00CA6E33">
        <w:rPr>
          <w:lang w:val="en-US"/>
        </w:rPr>
        <w:t xml:space="preserve"> </w:t>
      </w:r>
      <w:proofErr w:type="spellStart"/>
      <w:r w:rsidRPr="00CA6E33">
        <w:rPr>
          <w:lang w:val="en-US"/>
        </w:rPr>
        <w:t>arttığı</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günümüzde</w:t>
      </w:r>
      <w:proofErr w:type="spellEnd"/>
      <w:r w:rsidRPr="00CA6E33">
        <w:rPr>
          <w:lang w:val="en-US"/>
        </w:rPr>
        <w:t xml:space="preserve"> </w:t>
      </w:r>
      <w:proofErr w:type="spellStart"/>
      <w:r w:rsidRPr="00CA6E33">
        <w:rPr>
          <w:lang w:val="en-US"/>
        </w:rPr>
        <w:t>birçok</w:t>
      </w:r>
      <w:proofErr w:type="spellEnd"/>
      <w:r w:rsidRPr="00CA6E33">
        <w:rPr>
          <w:lang w:val="en-US"/>
        </w:rPr>
        <w:t xml:space="preserve"> </w:t>
      </w:r>
      <w:proofErr w:type="spellStart"/>
      <w:r w:rsidRPr="00CA6E33">
        <w:rPr>
          <w:lang w:val="en-US"/>
        </w:rPr>
        <w:t>kararın</w:t>
      </w:r>
      <w:proofErr w:type="spellEnd"/>
      <w:r w:rsidRPr="00CA6E33">
        <w:rPr>
          <w:lang w:val="en-US"/>
        </w:rPr>
        <w:t xml:space="preserve">, </w:t>
      </w:r>
      <w:proofErr w:type="spellStart"/>
      <w:r w:rsidRPr="00CA6E33">
        <w:rPr>
          <w:lang w:val="en-US"/>
        </w:rPr>
        <w:t>çok</w:t>
      </w:r>
      <w:proofErr w:type="spellEnd"/>
      <w:r w:rsidRPr="00CA6E33">
        <w:rPr>
          <w:lang w:val="en-US"/>
        </w:rPr>
        <w:t xml:space="preserve"> </w:t>
      </w:r>
      <w:proofErr w:type="spellStart"/>
      <w:r w:rsidRPr="00CA6E33">
        <w:rPr>
          <w:lang w:val="en-US"/>
        </w:rPr>
        <w:t>üyeli</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mahkemede</w:t>
      </w:r>
      <w:proofErr w:type="spellEnd"/>
      <w:r w:rsidRPr="00CA6E33">
        <w:rPr>
          <w:lang w:val="en-US"/>
        </w:rPr>
        <w:t xml:space="preserve"> </w:t>
      </w:r>
      <w:proofErr w:type="spellStart"/>
      <w:r w:rsidRPr="00CA6E33">
        <w:rPr>
          <w:lang w:val="en-US"/>
        </w:rPr>
        <w:t>ayrıntılı</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müzakerenin</w:t>
      </w:r>
      <w:proofErr w:type="spellEnd"/>
      <w:r w:rsidRPr="00CA6E33">
        <w:rPr>
          <w:lang w:val="en-US"/>
        </w:rPr>
        <w:t xml:space="preserve"> </w:t>
      </w:r>
      <w:proofErr w:type="spellStart"/>
      <w:r w:rsidRPr="00CA6E33">
        <w:rPr>
          <w:lang w:val="en-US"/>
        </w:rPr>
        <w:t>ürünü</w:t>
      </w:r>
      <w:proofErr w:type="spellEnd"/>
      <w:r w:rsidRPr="00CA6E33">
        <w:rPr>
          <w:lang w:val="en-US"/>
        </w:rPr>
        <w:t xml:space="preserve"> </w:t>
      </w:r>
      <w:proofErr w:type="spellStart"/>
      <w:r w:rsidRPr="00CA6E33">
        <w:rPr>
          <w:lang w:val="en-US"/>
        </w:rPr>
        <w:lastRenderedPageBreak/>
        <w:t>olmaktan</w:t>
      </w:r>
      <w:proofErr w:type="spellEnd"/>
      <w:r w:rsidRPr="00CA6E33">
        <w:rPr>
          <w:lang w:val="en-US"/>
        </w:rPr>
        <w:t xml:space="preserve"> </w:t>
      </w:r>
      <w:proofErr w:type="spellStart"/>
      <w:r w:rsidRPr="00CA6E33">
        <w:rPr>
          <w:lang w:val="en-US"/>
        </w:rPr>
        <w:t>ziyade</w:t>
      </w:r>
      <w:proofErr w:type="spellEnd"/>
      <w:r w:rsidRPr="00CA6E33">
        <w:rPr>
          <w:lang w:val="en-US"/>
        </w:rPr>
        <w:t xml:space="preserve">, </w:t>
      </w:r>
      <w:proofErr w:type="spellStart"/>
      <w:r w:rsidRPr="00CA6E33">
        <w:rPr>
          <w:lang w:val="en-US"/>
        </w:rPr>
        <w:t>birbirine</w:t>
      </w:r>
      <w:proofErr w:type="spellEnd"/>
      <w:r w:rsidRPr="00CA6E33">
        <w:rPr>
          <w:lang w:val="en-US"/>
        </w:rPr>
        <w:t xml:space="preserve"> </w:t>
      </w:r>
      <w:proofErr w:type="spellStart"/>
      <w:r w:rsidRPr="00CA6E33">
        <w:rPr>
          <w:lang w:val="en-US"/>
        </w:rPr>
        <w:t>benzer</w:t>
      </w:r>
      <w:proofErr w:type="spellEnd"/>
      <w:r w:rsidRPr="00CA6E33">
        <w:rPr>
          <w:lang w:val="en-US"/>
        </w:rPr>
        <w:t xml:space="preserve"> </w:t>
      </w:r>
      <w:proofErr w:type="spellStart"/>
      <w:r w:rsidRPr="00CA6E33">
        <w:rPr>
          <w:lang w:val="en-US"/>
        </w:rPr>
        <w:t>küçük</w:t>
      </w:r>
      <w:proofErr w:type="spellEnd"/>
      <w:r w:rsidRPr="00CA6E33">
        <w:rPr>
          <w:lang w:val="en-US"/>
        </w:rPr>
        <w:t xml:space="preserve"> </w:t>
      </w:r>
      <w:proofErr w:type="spellStart"/>
      <w:r w:rsidRPr="00CA6E33">
        <w:rPr>
          <w:lang w:val="en-US"/>
        </w:rPr>
        <w:t>hukuk</w:t>
      </w:r>
      <w:proofErr w:type="spellEnd"/>
      <w:r w:rsidRPr="00CA6E33">
        <w:rPr>
          <w:lang w:val="en-US"/>
        </w:rPr>
        <w:t xml:space="preserve"> </w:t>
      </w:r>
      <w:proofErr w:type="spellStart"/>
      <w:r w:rsidRPr="00CA6E33">
        <w:rPr>
          <w:lang w:val="en-US"/>
        </w:rPr>
        <w:t>bürolarının</w:t>
      </w:r>
      <w:proofErr w:type="spellEnd"/>
      <w:r w:rsidRPr="00CA6E33">
        <w:rPr>
          <w:lang w:val="en-US"/>
        </w:rPr>
        <w:t xml:space="preserve"> (mini-law firms) </w:t>
      </w:r>
      <w:proofErr w:type="spellStart"/>
      <w:r w:rsidRPr="00CA6E33">
        <w:rPr>
          <w:lang w:val="en-US"/>
        </w:rPr>
        <w:t>ortak</w:t>
      </w:r>
      <w:proofErr w:type="spellEnd"/>
      <w:r w:rsidRPr="00CA6E33">
        <w:rPr>
          <w:lang w:val="en-US"/>
        </w:rPr>
        <w:t xml:space="preserve"> </w:t>
      </w:r>
      <w:proofErr w:type="spellStart"/>
      <w:r w:rsidRPr="00CA6E33">
        <w:rPr>
          <w:lang w:val="en-US"/>
        </w:rPr>
        <w:t>rızasıyla</w:t>
      </w:r>
      <w:proofErr w:type="spellEnd"/>
      <w:r w:rsidRPr="00CA6E33">
        <w:rPr>
          <w:lang w:val="en-US"/>
        </w:rPr>
        <w:t xml:space="preserve"> </w:t>
      </w:r>
      <w:proofErr w:type="spellStart"/>
      <w:r w:rsidRPr="00CA6E33">
        <w:rPr>
          <w:lang w:val="en-US"/>
        </w:rPr>
        <w:t>ortaya</w:t>
      </w:r>
      <w:proofErr w:type="spellEnd"/>
      <w:r w:rsidRPr="00CA6E33">
        <w:rPr>
          <w:lang w:val="en-US"/>
        </w:rPr>
        <w:t xml:space="preserve"> </w:t>
      </w:r>
      <w:proofErr w:type="spellStart"/>
      <w:r w:rsidRPr="00CA6E33">
        <w:rPr>
          <w:lang w:val="en-US"/>
        </w:rPr>
        <w:t>çıkan</w:t>
      </w:r>
      <w:proofErr w:type="spellEnd"/>
      <w:r w:rsidRPr="00CA6E33">
        <w:rPr>
          <w:lang w:val="en-US"/>
        </w:rPr>
        <w:t xml:space="preserve"> </w:t>
      </w:r>
      <w:proofErr w:type="spellStart"/>
      <w:r w:rsidRPr="00CA6E33">
        <w:rPr>
          <w:lang w:val="en-US"/>
        </w:rPr>
        <w:t>birer</w:t>
      </w:r>
      <w:proofErr w:type="spellEnd"/>
      <w:r w:rsidRPr="00CA6E33">
        <w:rPr>
          <w:lang w:val="en-US"/>
        </w:rPr>
        <w:t xml:space="preserve"> </w:t>
      </w:r>
      <w:proofErr w:type="spellStart"/>
      <w:r w:rsidRPr="00CA6E33">
        <w:rPr>
          <w:lang w:val="en-US"/>
        </w:rPr>
        <w:t>çalışma</w:t>
      </w:r>
      <w:proofErr w:type="spellEnd"/>
      <w:r w:rsidRPr="00CA6E33">
        <w:rPr>
          <w:lang w:val="en-US"/>
        </w:rPr>
        <w:t xml:space="preserve"> </w:t>
      </w:r>
      <w:proofErr w:type="spellStart"/>
      <w:r w:rsidRPr="00CA6E33">
        <w:rPr>
          <w:lang w:val="en-US"/>
        </w:rPr>
        <w:t>olarak</w:t>
      </w:r>
      <w:proofErr w:type="spellEnd"/>
      <w:r w:rsidRPr="00CA6E33">
        <w:rPr>
          <w:lang w:val="en-US"/>
        </w:rPr>
        <w:t xml:space="preserve"> </w:t>
      </w:r>
      <w:proofErr w:type="spellStart"/>
      <w:r w:rsidRPr="00CA6E33">
        <w:rPr>
          <w:lang w:val="en-US"/>
        </w:rPr>
        <w:t>nitelendirilebileceği</w:t>
      </w:r>
      <w:proofErr w:type="spellEnd"/>
      <w:r w:rsidRPr="00CA6E33">
        <w:rPr>
          <w:lang w:val="en-US"/>
        </w:rPr>
        <w:t xml:space="preserve"> </w:t>
      </w:r>
      <w:proofErr w:type="spellStart"/>
      <w:r w:rsidRPr="00CA6E33">
        <w:rPr>
          <w:lang w:val="en-US"/>
        </w:rPr>
        <w:t>yönünde</w:t>
      </w:r>
      <w:proofErr w:type="spellEnd"/>
      <w:r w:rsidRPr="00CA6E33">
        <w:rPr>
          <w:lang w:val="en-US"/>
        </w:rPr>
        <w:t xml:space="preserve"> </w:t>
      </w:r>
      <w:proofErr w:type="spellStart"/>
      <w:r w:rsidRPr="00CA6E33">
        <w:rPr>
          <w:lang w:val="en-US"/>
        </w:rPr>
        <w:t>güçlü</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argüman</w:t>
      </w:r>
      <w:proofErr w:type="spellEnd"/>
      <w:r w:rsidRPr="00CA6E33">
        <w:rPr>
          <w:lang w:val="en-US"/>
        </w:rPr>
        <w:t xml:space="preserve"> </w:t>
      </w:r>
      <w:proofErr w:type="spellStart"/>
      <w:r w:rsidRPr="00CA6E33">
        <w:rPr>
          <w:lang w:val="en-US"/>
        </w:rPr>
        <w:t>ileri</w:t>
      </w:r>
      <w:proofErr w:type="spellEnd"/>
      <w:r w:rsidRPr="00CA6E33">
        <w:rPr>
          <w:lang w:val="en-US"/>
        </w:rPr>
        <w:t xml:space="preserve"> </w:t>
      </w:r>
      <w:proofErr w:type="spellStart"/>
      <w:r w:rsidRPr="00CA6E33">
        <w:rPr>
          <w:lang w:val="en-US"/>
        </w:rPr>
        <w:t>sürülebilir</w:t>
      </w:r>
      <w:proofErr w:type="spellEnd"/>
      <w:r w:rsidRPr="00CA6E33">
        <w:rPr>
          <w:lang w:val="en-US"/>
        </w:rPr>
        <w:t>.</w:t>
      </w:r>
      <w:r>
        <w:rPr>
          <w:lang w:val="en-US"/>
        </w:rPr>
        <w:t xml:space="preserve"> </w:t>
      </w:r>
      <w:proofErr w:type="spellStart"/>
      <w:r w:rsidRPr="00CA6E33">
        <w:rPr>
          <w:lang w:val="en-US"/>
        </w:rPr>
        <w:t>Ancak</w:t>
      </w:r>
      <w:proofErr w:type="spellEnd"/>
      <w:r w:rsidRPr="00CA6E33">
        <w:rPr>
          <w:lang w:val="en-US"/>
        </w:rPr>
        <w:t xml:space="preserve">, </w:t>
      </w:r>
      <w:proofErr w:type="spellStart"/>
      <w:r w:rsidRPr="00CA6E33">
        <w:rPr>
          <w:lang w:val="en-US"/>
        </w:rPr>
        <w:t>bu</w:t>
      </w:r>
      <w:proofErr w:type="spellEnd"/>
      <w:r w:rsidRPr="00CA6E33">
        <w:rPr>
          <w:lang w:val="en-US"/>
        </w:rPr>
        <w:t xml:space="preserve"> </w:t>
      </w:r>
      <w:proofErr w:type="spellStart"/>
      <w:r w:rsidRPr="00CA6E33">
        <w:rPr>
          <w:lang w:val="en-US"/>
        </w:rPr>
        <w:t>nitelendirmeyi</w:t>
      </w:r>
      <w:proofErr w:type="spellEnd"/>
      <w:r w:rsidRPr="00CA6E33">
        <w:rPr>
          <w:lang w:val="en-US"/>
        </w:rPr>
        <w:t xml:space="preserve"> </w:t>
      </w:r>
      <w:proofErr w:type="spellStart"/>
      <w:r w:rsidRPr="00CA6E33">
        <w:rPr>
          <w:lang w:val="en-US"/>
        </w:rPr>
        <w:t>kabul</w:t>
      </w:r>
      <w:proofErr w:type="spellEnd"/>
      <w:r w:rsidRPr="00CA6E33">
        <w:rPr>
          <w:lang w:val="en-US"/>
        </w:rPr>
        <w:t xml:space="preserve"> </w:t>
      </w:r>
      <w:proofErr w:type="spellStart"/>
      <w:r w:rsidRPr="00CA6E33">
        <w:rPr>
          <w:lang w:val="en-US"/>
        </w:rPr>
        <w:t>etmeye</w:t>
      </w:r>
      <w:proofErr w:type="spellEnd"/>
      <w:r w:rsidRPr="00CA6E33">
        <w:rPr>
          <w:lang w:val="en-US"/>
        </w:rPr>
        <w:t xml:space="preserve"> </w:t>
      </w:r>
      <w:proofErr w:type="spellStart"/>
      <w:r w:rsidRPr="00CA6E33">
        <w:rPr>
          <w:lang w:val="en-US"/>
        </w:rPr>
        <w:t>gerek</w:t>
      </w:r>
      <w:proofErr w:type="spellEnd"/>
      <w:r w:rsidRPr="00CA6E33">
        <w:rPr>
          <w:lang w:val="en-US"/>
        </w:rPr>
        <w:t xml:space="preserve"> </w:t>
      </w:r>
      <w:proofErr w:type="spellStart"/>
      <w:r w:rsidRPr="00CA6E33">
        <w:rPr>
          <w:lang w:val="en-US"/>
        </w:rPr>
        <w:t>kalmadan</w:t>
      </w:r>
      <w:proofErr w:type="spellEnd"/>
      <w:r w:rsidRPr="00CA6E33">
        <w:rPr>
          <w:lang w:val="en-US"/>
        </w:rPr>
        <w:t xml:space="preserve"> </w:t>
      </w:r>
      <w:proofErr w:type="spellStart"/>
      <w:r w:rsidRPr="00CA6E33">
        <w:rPr>
          <w:lang w:val="en-US"/>
        </w:rPr>
        <w:t>dahi</w:t>
      </w:r>
      <w:proofErr w:type="spellEnd"/>
      <w:r w:rsidRPr="00CA6E33">
        <w:rPr>
          <w:lang w:val="en-US"/>
        </w:rPr>
        <w:t xml:space="preserve">, </w:t>
      </w:r>
      <w:proofErr w:type="spellStart"/>
      <w:r w:rsidRPr="00CA6E33">
        <w:rPr>
          <w:lang w:val="en-US"/>
        </w:rPr>
        <w:t>bu</w:t>
      </w:r>
      <w:proofErr w:type="spellEnd"/>
      <w:r w:rsidRPr="00CA6E33">
        <w:rPr>
          <w:lang w:val="en-US"/>
        </w:rPr>
        <w:t xml:space="preserve"> </w:t>
      </w:r>
      <w:proofErr w:type="spellStart"/>
      <w:r w:rsidRPr="00CA6E33">
        <w:rPr>
          <w:lang w:val="en-US"/>
        </w:rPr>
        <w:t>bölümde</w:t>
      </w:r>
      <w:proofErr w:type="spellEnd"/>
      <w:r w:rsidRPr="00CA6E33">
        <w:rPr>
          <w:lang w:val="en-US"/>
        </w:rPr>
        <w:t xml:space="preserve"> </w:t>
      </w:r>
      <w:proofErr w:type="spellStart"/>
      <w:r w:rsidRPr="00CA6E33">
        <w:rPr>
          <w:lang w:val="en-US"/>
        </w:rPr>
        <w:t>ortaya</w:t>
      </w:r>
      <w:proofErr w:type="spellEnd"/>
      <w:r w:rsidRPr="00CA6E33">
        <w:rPr>
          <w:lang w:val="en-US"/>
        </w:rPr>
        <w:t xml:space="preserve"> </w:t>
      </w:r>
      <w:proofErr w:type="spellStart"/>
      <w:r w:rsidRPr="00CA6E33">
        <w:rPr>
          <w:lang w:val="en-US"/>
        </w:rPr>
        <w:t>konan</w:t>
      </w:r>
      <w:proofErr w:type="spellEnd"/>
      <w:r w:rsidRPr="00CA6E33">
        <w:rPr>
          <w:lang w:val="en-US"/>
        </w:rPr>
        <w:t xml:space="preserve"> </w:t>
      </w:r>
      <w:proofErr w:type="spellStart"/>
      <w:r w:rsidRPr="00CA6E33">
        <w:rPr>
          <w:lang w:val="en-US"/>
        </w:rPr>
        <w:t>temel</w:t>
      </w:r>
      <w:proofErr w:type="spellEnd"/>
      <w:r w:rsidRPr="00CA6E33">
        <w:rPr>
          <w:lang w:val="en-US"/>
        </w:rPr>
        <w:t xml:space="preserve"> </w:t>
      </w:r>
      <w:proofErr w:type="spellStart"/>
      <w:r w:rsidRPr="00CA6E33">
        <w:rPr>
          <w:lang w:val="en-US"/>
        </w:rPr>
        <w:t>noktayı</w:t>
      </w:r>
      <w:proofErr w:type="spellEnd"/>
      <w:r w:rsidRPr="00CA6E33">
        <w:rPr>
          <w:lang w:val="en-US"/>
        </w:rPr>
        <w:t xml:space="preserve"> </w:t>
      </w:r>
      <w:proofErr w:type="spellStart"/>
      <w:r w:rsidRPr="00CA6E33">
        <w:rPr>
          <w:lang w:val="en-US"/>
        </w:rPr>
        <w:t>kavramak</w:t>
      </w:r>
      <w:proofErr w:type="spellEnd"/>
      <w:r w:rsidRPr="00CA6E33">
        <w:rPr>
          <w:lang w:val="en-US"/>
        </w:rPr>
        <w:t xml:space="preserve"> </w:t>
      </w:r>
      <w:proofErr w:type="spellStart"/>
      <w:r w:rsidRPr="00CA6E33">
        <w:rPr>
          <w:lang w:val="en-US"/>
        </w:rPr>
        <w:t>mümkündür</w:t>
      </w:r>
      <w:proofErr w:type="spellEnd"/>
      <w:r w:rsidRPr="00CA6E33">
        <w:rPr>
          <w:lang w:val="en-US"/>
        </w:rPr>
        <w:t xml:space="preserve">: </w:t>
      </w:r>
      <w:proofErr w:type="spellStart"/>
      <w:r w:rsidRPr="00CA6E33">
        <w:rPr>
          <w:lang w:val="en-US"/>
        </w:rPr>
        <w:t>Yargıçlar</w:t>
      </w:r>
      <w:proofErr w:type="spellEnd"/>
      <w:r w:rsidRPr="00CA6E33">
        <w:rPr>
          <w:lang w:val="en-US"/>
        </w:rPr>
        <w:t xml:space="preserve"> </w:t>
      </w:r>
      <w:proofErr w:type="spellStart"/>
      <w:r w:rsidRPr="00CA6E33">
        <w:rPr>
          <w:lang w:val="en-US"/>
        </w:rPr>
        <w:t>arasındaki</w:t>
      </w:r>
      <w:proofErr w:type="spellEnd"/>
      <w:r w:rsidRPr="00CA6E33">
        <w:rPr>
          <w:lang w:val="en-US"/>
        </w:rPr>
        <w:t xml:space="preserve"> </w:t>
      </w:r>
      <w:proofErr w:type="spellStart"/>
      <w:r w:rsidRPr="00CA6E33">
        <w:rPr>
          <w:lang w:val="en-US"/>
        </w:rPr>
        <w:t>ilişkiler</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görüş</w:t>
      </w:r>
      <w:proofErr w:type="spellEnd"/>
      <w:r w:rsidRPr="00CA6E33">
        <w:rPr>
          <w:lang w:val="en-US"/>
        </w:rPr>
        <w:t xml:space="preserve"> </w:t>
      </w:r>
      <w:proofErr w:type="spellStart"/>
      <w:r w:rsidRPr="00CA6E33">
        <w:rPr>
          <w:lang w:val="en-US"/>
        </w:rPr>
        <w:t>yazımı</w:t>
      </w:r>
      <w:proofErr w:type="spellEnd"/>
      <w:r w:rsidRPr="00CA6E33">
        <w:rPr>
          <w:lang w:val="en-US"/>
        </w:rPr>
        <w:t xml:space="preserve"> </w:t>
      </w:r>
      <w:proofErr w:type="spellStart"/>
      <w:r w:rsidRPr="00CA6E33">
        <w:rPr>
          <w:lang w:val="en-US"/>
        </w:rPr>
        <w:t>normları</w:t>
      </w:r>
      <w:proofErr w:type="spellEnd"/>
      <w:r w:rsidRPr="00CA6E33">
        <w:rPr>
          <w:lang w:val="en-US"/>
        </w:rPr>
        <w:t xml:space="preserve">, </w:t>
      </w:r>
      <w:proofErr w:type="spellStart"/>
      <w:r w:rsidRPr="00CA6E33">
        <w:rPr>
          <w:lang w:val="en-US"/>
        </w:rPr>
        <w:t>değişmez</w:t>
      </w:r>
      <w:proofErr w:type="spellEnd"/>
      <w:r w:rsidRPr="00CA6E33">
        <w:rPr>
          <w:lang w:val="en-US"/>
        </w:rPr>
        <w:t xml:space="preserve"> </w:t>
      </w:r>
      <w:proofErr w:type="spellStart"/>
      <w:r w:rsidRPr="00CA6E33">
        <w:rPr>
          <w:lang w:val="en-US"/>
        </w:rPr>
        <w:t>bir</w:t>
      </w:r>
      <w:proofErr w:type="spellEnd"/>
      <w:r w:rsidRPr="00CA6E33">
        <w:rPr>
          <w:lang w:val="en-US"/>
        </w:rPr>
        <w:t xml:space="preserve"> </w:t>
      </w:r>
      <w:proofErr w:type="spellStart"/>
      <w:r w:rsidRPr="00CA6E33">
        <w:rPr>
          <w:lang w:val="en-US"/>
        </w:rPr>
        <w:t>anayasal</w:t>
      </w:r>
      <w:proofErr w:type="spellEnd"/>
      <w:r w:rsidRPr="00CA6E33">
        <w:rPr>
          <w:lang w:val="en-US"/>
        </w:rPr>
        <w:t xml:space="preserve"> </w:t>
      </w:r>
      <w:proofErr w:type="spellStart"/>
      <w:r w:rsidRPr="00CA6E33">
        <w:rPr>
          <w:lang w:val="en-US"/>
        </w:rPr>
        <w:t>yapının</w:t>
      </w:r>
      <w:proofErr w:type="spellEnd"/>
      <w:r w:rsidRPr="00CA6E33">
        <w:rPr>
          <w:lang w:val="en-US"/>
        </w:rPr>
        <w:t xml:space="preserve"> (constitutional structure) </w:t>
      </w:r>
      <w:proofErr w:type="spellStart"/>
      <w:r w:rsidRPr="00CA6E33">
        <w:rPr>
          <w:lang w:val="en-US"/>
        </w:rPr>
        <w:t>içkin</w:t>
      </w:r>
      <w:proofErr w:type="spellEnd"/>
      <w:r w:rsidRPr="00CA6E33">
        <w:rPr>
          <w:lang w:val="en-US"/>
        </w:rPr>
        <w:t xml:space="preserve"> </w:t>
      </w:r>
      <w:proofErr w:type="spellStart"/>
      <w:r w:rsidRPr="00CA6E33">
        <w:rPr>
          <w:lang w:val="en-US"/>
        </w:rPr>
        <w:t>unsurları</w:t>
      </w:r>
      <w:proofErr w:type="spellEnd"/>
      <w:r w:rsidRPr="00CA6E33">
        <w:rPr>
          <w:lang w:val="en-US"/>
        </w:rPr>
        <w:t xml:space="preserve"> </w:t>
      </w:r>
      <w:proofErr w:type="spellStart"/>
      <w:r w:rsidRPr="00CA6E33">
        <w:rPr>
          <w:lang w:val="en-US"/>
        </w:rPr>
        <w:t>değildir</w:t>
      </w:r>
      <w:proofErr w:type="spellEnd"/>
      <w:r w:rsidRPr="00CA6E33">
        <w:rPr>
          <w:lang w:val="en-US"/>
        </w:rPr>
        <w:t xml:space="preserve">; </w:t>
      </w:r>
      <w:proofErr w:type="spellStart"/>
      <w:r w:rsidRPr="00CA6E33">
        <w:rPr>
          <w:lang w:val="en-US"/>
        </w:rPr>
        <w:t>aksine</w:t>
      </w:r>
      <w:proofErr w:type="spellEnd"/>
      <w:r w:rsidRPr="00CA6E33">
        <w:rPr>
          <w:lang w:val="en-US"/>
        </w:rPr>
        <w:t xml:space="preserve"> </w:t>
      </w:r>
      <w:proofErr w:type="spellStart"/>
      <w:r w:rsidRPr="00CA6E33">
        <w:rPr>
          <w:lang w:val="en-US"/>
        </w:rPr>
        <w:t>dinamik</w:t>
      </w:r>
      <w:proofErr w:type="spellEnd"/>
      <w:r w:rsidRPr="00CA6E33">
        <w:rPr>
          <w:lang w:val="en-US"/>
        </w:rPr>
        <w:t xml:space="preserve">, </w:t>
      </w:r>
      <w:proofErr w:type="spellStart"/>
      <w:r w:rsidRPr="00CA6E33">
        <w:rPr>
          <w:lang w:val="en-US"/>
        </w:rPr>
        <w:t>tarihsel</w:t>
      </w:r>
      <w:proofErr w:type="spellEnd"/>
      <w:r w:rsidRPr="00CA6E33">
        <w:rPr>
          <w:lang w:val="en-US"/>
        </w:rPr>
        <w:t xml:space="preserve"> </w:t>
      </w:r>
      <w:proofErr w:type="spellStart"/>
      <w:r w:rsidRPr="00CA6E33">
        <w:rPr>
          <w:lang w:val="en-US"/>
        </w:rPr>
        <w:t>olarak</w:t>
      </w:r>
      <w:proofErr w:type="spellEnd"/>
      <w:r w:rsidRPr="00CA6E33">
        <w:rPr>
          <w:lang w:val="en-US"/>
        </w:rPr>
        <w:t xml:space="preserve"> </w:t>
      </w:r>
      <w:proofErr w:type="spellStart"/>
      <w:r w:rsidRPr="00CA6E33">
        <w:rPr>
          <w:lang w:val="en-US"/>
        </w:rPr>
        <w:t>olumsal</w:t>
      </w:r>
      <w:proofErr w:type="spellEnd"/>
      <w:r w:rsidRPr="00CA6E33">
        <w:rPr>
          <w:lang w:val="en-US"/>
        </w:rPr>
        <w:t xml:space="preserve"> (contingent) </w:t>
      </w:r>
      <w:proofErr w:type="spellStart"/>
      <w:r w:rsidRPr="00CA6E33">
        <w:rPr>
          <w:lang w:val="en-US"/>
        </w:rPr>
        <w:t>ve</w:t>
      </w:r>
      <w:proofErr w:type="spellEnd"/>
      <w:r w:rsidRPr="00CA6E33">
        <w:rPr>
          <w:lang w:val="en-US"/>
        </w:rPr>
        <w:t xml:space="preserve"> </w:t>
      </w:r>
      <w:proofErr w:type="spellStart"/>
      <w:r w:rsidRPr="00CA6E33">
        <w:rPr>
          <w:lang w:val="en-US"/>
        </w:rPr>
        <w:t>sürekli</w:t>
      </w:r>
      <w:proofErr w:type="spellEnd"/>
      <w:r w:rsidRPr="00CA6E33">
        <w:rPr>
          <w:lang w:val="en-US"/>
        </w:rPr>
        <w:t xml:space="preserve"> </w:t>
      </w:r>
      <w:proofErr w:type="spellStart"/>
      <w:r w:rsidRPr="00CA6E33">
        <w:rPr>
          <w:lang w:val="en-US"/>
        </w:rPr>
        <w:t>evrim</w:t>
      </w:r>
      <w:proofErr w:type="spellEnd"/>
      <w:r w:rsidRPr="00CA6E33">
        <w:rPr>
          <w:lang w:val="en-US"/>
        </w:rPr>
        <w:t xml:space="preserve"> </w:t>
      </w:r>
      <w:proofErr w:type="spellStart"/>
      <w:r w:rsidRPr="00CA6E33">
        <w:rPr>
          <w:lang w:val="en-US"/>
        </w:rPr>
        <w:t>geçiren</w:t>
      </w:r>
      <w:proofErr w:type="spellEnd"/>
      <w:r w:rsidRPr="00CA6E33">
        <w:rPr>
          <w:lang w:val="en-US"/>
        </w:rPr>
        <w:t xml:space="preserve"> </w:t>
      </w:r>
      <w:proofErr w:type="spellStart"/>
      <w:r w:rsidRPr="00CA6E33">
        <w:rPr>
          <w:lang w:val="en-US"/>
        </w:rPr>
        <w:t>unsurlardır</w:t>
      </w:r>
      <w:proofErr w:type="spellEnd"/>
      <w:r w:rsidRPr="00CA6E33">
        <w:rPr>
          <w:lang w:val="en-US"/>
        </w:rPr>
        <w:t>.</w:t>
      </w:r>
      <w:r>
        <w:rPr>
          <w:lang w:val="en-US"/>
        </w:rPr>
        <w:t xml:space="preserve"> [15-16]</w:t>
      </w:r>
    </w:p>
    <w:p w14:paraId="2DA4A149" w14:textId="77777777" w:rsidR="00CA6E33" w:rsidRDefault="00CA6E33" w:rsidP="00CA6E33">
      <w:pPr>
        <w:pStyle w:val="Heading4"/>
        <w:rPr>
          <w:lang w:val="en-US"/>
        </w:rPr>
      </w:pPr>
      <w:proofErr w:type="spellStart"/>
      <w:r w:rsidRPr="00CA6E33">
        <w:rPr>
          <w:lang w:val="en-US"/>
        </w:rPr>
        <w:t>Mesleki</w:t>
      </w:r>
      <w:proofErr w:type="spellEnd"/>
      <w:r w:rsidRPr="00CA6E33">
        <w:rPr>
          <w:lang w:val="en-US"/>
        </w:rPr>
        <w:t xml:space="preserve"> </w:t>
      </w:r>
      <w:proofErr w:type="spellStart"/>
      <w:r w:rsidRPr="00CA6E33">
        <w:rPr>
          <w:lang w:val="en-US"/>
        </w:rPr>
        <w:t>Normlar</w:t>
      </w:r>
      <w:proofErr w:type="spellEnd"/>
      <w:r w:rsidRPr="00CA6E33">
        <w:rPr>
          <w:lang w:val="en-US"/>
        </w:rPr>
        <w:t xml:space="preserve"> </w:t>
      </w:r>
      <w:proofErr w:type="spellStart"/>
      <w:r w:rsidRPr="00CA6E33">
        <w:rPr>
          <w:lang w:val="en-US"/>
        </w:rPr>
        <w:t>ve</w:t>
      </w:r>
      <w:proofErr w:type="spellEnd"/>
      <w:r w:rsidRPr="00CA6E33">
        <w:rPr>
          <w:lang w:val="en-US"/>
        </w:rPr>
        <w:t xml:space="preserve"> </w:t>
      </w:r>
      <w:proofErr w:type="spellStart"/>
      <w:r w:rsidRPr="00CA6E33">
        <w:rPr>
          <w:lang w:val="en-US"/>
        </w:rPr>
        <w:t>Meşru</w:t>
      </w:r>
      <w:proofErr w:type="spellEnd"/>
      <w:r w:rsidRPr="00CA6E33">
        <w:rPr>
          <w:lang w:val="en-US"/>
        </w:rPr>
        <w:t xml:space="preserve"> </w:t>
      </w:r>
      <w:proofErr w:type="spellStart"/>
      <w:r w:rsidRPr="00CA6E33">
        <w:rPr>
          <w:lang w:val="en-US"/>
        </w:rPr>
        <w:t>Anayasal</w:t>
      </w:r>
      <w:proofErr w:type="spellEnd"/>
      <w:r w:rsidRPr="00CA6E33">
        <w:rPr>
          <w:lang w:val="en-US"/>
        </w:rPr>
        <w:t xml:space="preserve"> </w:t>
      </w:r>
      <w:proofErr w:type="spellStart"/>
      <w:r w:rsidRPr="00CA6E33">
        <w:rPr>
          <w:lang w:val="en-US"/>
        </w:rPr>
        <w:t>Argümanların</w:t>
      </w:r>
      <w:proofErr w:type="spellEnd"/>
      <w:r w:rsidRPr="00CA6E33">
        <w:rPr>
          <w:lang w:val="en-US"/>
        </w:rPr>
        <w:t xml:space="preserve"> </w:t>
      </w:r>
      <w:proofErr w:type="spellStart"/>
      <w:r w:rsidRPr="00CA6E33">
        <w:rPr>
          <w:lang w:val="en-US"/>
        </w:rPr>
        <w:t>Sınırları</w:t>
      </w:r>
      <w:proofErr w:type="spellEnd"/>
    </w:p>
    <w:p w14:paraId="52EEAD1E" w14:textId="13CC7E33" w:rsidR="00CA6E33" w:rsidRDefault="00575B92" w:rsidP="00575B92">
      <w:pPr>
        <w:rPr>
          <w:lang w:val="en-US"/>
        </w:rPr>
      </w:pPr>
      <w:proofErr w:type="spellStart"/>
      <w:r w:rsidRPr="00575B92">
        <w:rPr>
          <w:lang w:val="en-US"/>
        </w:rPr>
        <w:t>Anayasa</w:t>
      </w:r>
      <w:proofErr w:type="spellEnd"/>
      <w:r w:rsidRPr="00575B92">
        <w:rPr>
          <w:lang w:val="en-US"/>
        </w:rPr>
        <w:t xml:space="preserve"> </w:t>
      </w:r>
      <w:proofErr w:type="spellStart"/>
      <w:r w:rsidRPr="00575B92">
        <w:rPr>
          <w:lang w:val="en-US"/>
        </w:rPr>
        <w:t>teorisyenleri</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hukukçular</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yapımızın</w:t>
      </w:r>
      <w:proofErr w:type="spellEnd"/>
      <w:r w:rsidRPr="00575B92">
        <w:rPr>
          <w:lang w:val="en-US"/>
        </w:rPr>
        <w:t xml:space="preserve"> (constitutional structure) </w:t>
      </w:r>
      <w:proofErr w:type="spellStart"/>
      <w:r w:rsidRPr="00575B92">
        <w:rPr>
          <w:lang w:val="en-US"/>
        </w:rPr>
        <w:t>yargıçları</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mesleki</w:t>
      </w:r>
      <w:proofErr w:type="spellEnd"/>
      <w:r w:rsidRPr="00575B92">
        <w:rPr>
          <w:lang w:val="en-US"/>
        </w:rPr>
        <w:t xml:space="preserve"> </w:t>
      </w:r>
      <w:proofErr w:type="spellStart"/>
      <w:r w:rsidRPr="00575B92">
        <w:rPr>
          <w:lang w:val="en-US"/>
        </w:rPr>
        <w:t>normlar</w:t>
      </w:r>
      <w:proofErr w:type="spellEnd"/>
      <w:r w:rsidRPr="00575B92">
        <w:rPr>
          <w:lang w:val="en-US"/>
        </w:rPr>
        <w:t xml:space="preserve"> </w:t>
      </w:r>
      <w:proofErr w:type="spellStart"/>
      <w:r w:rsidRPr="00575B92">
        <w:rPr>
          <w:lang w:val="en-US"/>
        </w:rPr>
        <w:t>dizisine</w:t>
      </w:r>
      <w:proofErr w:type="spellEnd"/>
      <w:r w:rsidRPr="00575B92">
        <w:rPr>
          <w:lang w:val="en-US"/>
        </w:rPr>
        <w:t xml:space="preserve"> tabi </w:t>
      </w:r>
      <w:proofErr w:type="spellStart"/>
      <w:r w:rsidRPr="00575B92">
        <w:rPr>
          <w:lang w:val="en-US"/>
        </w:rPr>
        <w:t>tutarak</w:t>
      </w:r>
      <w:proofErr w:type="spellEnd"/>
      <w:r w:rsidRPr="00575B92">
        <w:rPr>
          <w:lang w:val="en-US"/>
        </w:rPr>
        <w:t xml:space="preserve"> </w:t>
      </w:r>
      <w:proofErr w:type="spellStart"/>
      <w:r w:rsidRPr="00575B92">
        <w:rPr>
          <w:lang w:val="en-US"/>
        </w:rPr>
        <w:t>sınırlandırdığı</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böylece</w:t>
      </w:r>
      <w:proofErr w:type="spellEnd"/>
      <w:r w:rsidRPr="00575B92">
        <w:rPr>
          <w:lang w:val="en-US"/>
        </w:rPr>
        <w:t xml:space="preserve"> </w:t>
      </w:r>
      <w:proofErr w:type="spellStart"/>
      <w:r w:rsidRPr="00575B92">
        <w:rPr>
          <w:lang w:val="en-US"/>
        </w:rPr>
        <w:t>onları</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türde</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argümanlarla</w:t>
      </w:r>
      <w:proofErr w:type="spellEnd"/>
      <w:r w:rsidRPr="00575B92">
        <w:rPr>
          <w:lang w:val="en-US"/>
        </w:rPr>
        <w:t xml:space="preserve"> </w:t>
      </w:r>
      <w:proofErr w:type="spellStart"/>
      <w:r w:rsidRPr="00575B92">
        <w:rPr>
          <w:lang w:val="en-US"/>
        </w:rPr>
        <w:t>sınırladığı</w:t>
      </w:r>
      <w:proofErr w:type="spellEnd"/>
      <w:r w:rsidRPr="00575B92">
        <w:rPr>
          <w:lang w:val="en-US"/>
        </w:rPr>
        <w:t xml:space="preserve">, </w:t>
      </w:r>
      <w:proofErr w:type="spellStart"/>
      <w:r w:rsidRPr="00575B92">
        <w:rPr>
          <w:lang w:val="en-US"/>
        </w:rPr>
        <w:t>ayrıca</w:t>
      </w:r>
      <w:proofErr w:type="spellEnd"/>
      <w:r w:rsidRPr="00575B92">
        <w:rPr>
          <w:lang w:val="en-US"/>
        </w:rPr>
        <w:t xml:space="preserve"> </w:t>
      </w:r>
      <w:proofErr w:type="spellStart"/>
      <w:r w:rsidRPr="00575B92">
        <w:rPr>
          <w:lang w:val="en-US"/>
        </w:rPr>
        <w:t>kararlarını</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şekillerde</w:t>
      </w:r>
      <w:proofErr w:type="spellEnd"/>
      <w:r w:rsidRPr="00575B92">
        <w:rPr>
          <w:lang w:val="en-US"/>
        </w:rPr>
        <w:t xml:space="preserve"> </w:t>
      </w:r>
      <w:proofErr w:type="spellStart"/>
      <w:r w:rsidRPr="00575B92">
        <w:rPr>
          <w:lang w:val="en-US"/>
        </w:rPr>
        <w:t>kaleme</w:t>
      </w:r>
      <w:proofErr w:type="spellEnd"/>
      <w:r w:rsidRPr="00575B92">
        <w:rPr>
          <w:lang w:val="en-US"/>
        </w:rPr>
        <w:t xml:space="preserve"> </w:t>
      </w:r>
      <w:proofErr w:type="spellStart"/>
      <w:r w:rsidRPr="00575B92">
        <w:rPr>
          <w:lang w:val="en-US"/>
        </w:rPr>
        <w:t>almaya</w:t>
      </w:r>
      <w:proofErr w:type="spellEnd"/>
      <w:r w:rsidRPr="00575B92">
        <w:rPr>
          <w:lang w:val="en-US"/>
        </w:rPr>
        <w:t xml:space="preserve"> </w:t>
      </w:r>
      <w:proofErr w:type="spellStart"/>
      <w:r w:rsidRPr="00575B92">
        <w:rPr>
          <w:lang w:val="en-US"/>
        </w:rPr>
        <w:t>zorladığı</w:t>
      </w:r>
      <w:proofErr w:type="spellEnd"/>
      <w:r w:rsidRPr="00575B92">
        <w:rPr>
          <w:lang w:val="en-US"/>
        </w:rPr>
        <w:t xml:space="preserve"> </w:t>
      </w:r>
      <w:proofErr w:type="spellStart"/>
      <w:r w:rsidRPr="00575B92">
        <w:rPr>
          <w:lang w:val="en-US"/>
        </w:rPr>
        <w:t>yönünde</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argümanı</w:t>
      </w:r>
      <w:proofErr w:type="spellEnd"/>
      <w:r w:rsidRPr="00575B92">
        <w:rPr>
          <w:lang w:val="en-US"/>
        </w:rPr>
        <w:t xml:space="preserve"> </w:t>
      </w:r>
      <w:proofErr w:type="spellStart"/>
      <w:r w:rsidRPr="00575B92">
        <w:rPr>
          <w:lang w:val="en-US"/>
        </w:rPr>
        <w:t>sıkça</w:t>
      </w:r>
      <w:proofErr w:type="spellEnd"/>
      <w:r w:rsidRPr="00575B92">
        <w:rPr>
          <w:lang w:val="en-US"/>
        </w:rPr>
        <w:t xml:space="preserve"> </w:t>
      </w:r>
      <w:proofErr w:type="spellStart"/>
      <w:r w:rsidRPr="00575B92">
        <w:rPr>
          <w:lang w:val="en-US"/>
        </w:rPr>
        <w:t>öne</w:t>
      </w:r>
      <w:proofErr w:type="spellEnd"/>
      <w:r w:rsidRPr="00575B92">
        <w:rPr>
          <w:lang w:val="en-US"/>
        </w:rPr>
        <w:t xml:space="preserve"> </w:t>
      </w:r>
      <w:proofErr w:type="spellStart"/>
      <w:r w:rsidRPr="00575B92">
        <w:rPr>
          <w:lang w:val="en-US"/>
        </w:rPr>
        <w:t>sürmektedir</w:t>
      </w:r>
      <w:proofErr w:type="spellEnd"/>
      <w:r w:rsidRPr="00575B92">
        <w:rPr>
          <w:lang w:val="en-US"/>
        </w:rPr>
        <w:t>.⁴⁶</w:t>
      </w:r>
      <w:r>
        <w:rPr>
          <w:lang w:val="en-US"/>
        </w:rPr>
        <w:t xml:space="preserve"> </w:t>
      </w:r>
      <w:r>
        <w:rPr>
          <w:rStyle w:val="FootnoteReference"/>
          <w:rFonts w:eastAsia="Times New Roman" w:cs="Times New Roman"/>
          <w:szCs w:val="24"/>
          <w:lang w:val="en-US"/>
        </w:rPr>
        <w:footnoteReference w:id="46"/>
      </w:r>
      <w:r w:rsidRPr="00575B92">
        <w:rPr>
          <w:lang w:val="en-US"/>
        </w:rPr>
        <w:t xml:space="preserve"> Bu </w:t>
      </w:r>
      <w:proofErr w:type="spellStart"/>
      <w:r w:rsidRPr="00575B92">
        <w:rPr>
          <w:lang w:val="en-US"/>
        </w:rPr>
        <w:t>argüman</w:t>
      </w:r>
      <w:proofErr w:type="spellEnd"/>
      <w:r w:rsidRPr="00575B92">
        <w:rPr>
          <w:lang w:val="en-US"/>
        </w:rPr>
        <w:t xml:space="preserve">, </w:t>
      </w:r>
      <w:proofErr w:type="spellStart"/>
      <w:r w:rsidRPr="00575B92">
        <w:rPr>
          <w:lang w:val="en-US"/>
        </w:rPr>
        <w:t>bazıları</w:t>
      </w:r>
      <w:proofErr w:type="spellEnd"/>
      <w:r w:rsidRPr="00575B92">
        <w:rPr>
          <w:lang w:val="en-US"/>
        </w:rPr>
        <w:t xml:space="preserve"> </w:t>
      </w:r>
      <w:proofErr w:type="spellStart"/>
      <w:r w:rsidRPr="00575B92">
        <w:rPr>
          <w:lang w:val="en-US"/>
        </w:rPr>
        <w:t>daha</w:t>
      </w:r>
      <w:proofErr w:type="spellEnd"/>
      <w:r w:rsidRPr="00575B92">
        <w:rPr>
          <w:lang w:val="en-US"/>
        </w:rPr>
        <w:t xml:space="preserve"> </w:t>
      </w:r>
      <w:proofErr w:type="spellStart"/>
      <w:r w:rsidRPr="00575B92">
        <w:rPr>
          <w:lang w:val="en-US"/>
        </w:rPr>
        <w:t>katı</w:t>
      </w:r>
      <w:proofErr w:type="spellEnd"/>
      <w:r w:rsidRPr="00575B92">
        <w:rPr>
          <w:lang w:val="en-US"/>
        </w:rPr>
        <w:t xml:space="preserve">, </w:t>
      </w:r>
      <w:proofErr w:type="spellStart"/>
      <w:r w:rsidRPr="00575B92">
        <w:rPr>
          <w:lang w:val="en-US"/>
        </w:rPr>
        <w:t>bazıları</w:t>
      </w:r>
      <w:proofErr w:type="spellEnd"/>
      <w:r w:rsidRPr="00575B92">
        <w:rPr>
          <w:lang w:val="en-US"/>
        </w:rPr>
        <w:t xml:space="preserve"> </w:t>
      </w:r>
      <w:proofErr w:type="spellStart"/>
      <w:r w:rsidRPr="00575B92">
        <w:rPr>
          <w:lang w:val="en-US"/>
        </w:rPr>
        <w:t>daha</w:t>
      </w:r>
      <w:proofErr w:type="spellEnd"/>
      <w:r w:rsidRPr="00575B92">
        <w:rPr>
          <w:lang w:val="en-US"/>
        </w:rPr>
        <w:t xml:space="preserve"> </w:t>
      </w:r>
      <w:proofErr w:type="spellStart"/>
      <w:r w:rsidRPr="00575B92">
        <w:rPr>
          <w:lang w:val="en-US"/>
        </w:rPr>
        <w:t>esnek</w:t>
      </w:r>
      <w:proofErr w:type="spellEnd"/>
      <w:r w:rsidRPr="00575B92">
        <w:rPr>
          <w:lang w:val="en-US"/>
        </w:rPr>
        <w:t xml:space="preserve"> </w:t>
      </w:r>
      <w:proofErr w:type="spellStart"/>
      <w:r w:rsidRPr="00575B92">
        <w:rPr>
          <w:lang w:val="en-US"/>
        </w:rPr>
        <w:t>olmak</w:t>
      </w:r>
      <w:proofErr w:type="spellEnd"/>
      <w:r w:rsidRPr="00575B92">
        <w:rPr>
          <w:lang w:val="en-US"/>
        </w:rPr>
        <w:t xml:space="preserve"> </w:t>
      </w:r>
      <w:proofErr w:type="spellStart"/>
      <w:r w:rsidRPr="00575B92">
        <w:rPr>
          <w:lang w:val="en-US"/>
        </w:rPr>
        <w:t>üzere</w:t>
      </w:r>
      <w:proofErr w:type="spellEnd"/>
      <w:r w:rsidRPr="00575B92">
        <w:rPr>
          <w:lang w:val="en-US"/>
        </w:rPr>
        <w:t xml:space="preserve"> </w:t>
      </w:r>
      <w:proofErr w:type="spellStart"/>
      <w:r w:rsidRPr="00575B92">
        <w:rPr>
          <w:lang w:val="en-US"/>
        </w:rPr>
        <w:t>farklı</w:t>
      </w:r>
      <w:proofErr w:type="spellEnd"/>
      <w:r w:rsidRPr="00575B92">
        <w:rPr>
          <w:lang w:val="en-US"/>
        </w:rPr>
        <w:t xml:space="preserve"> </w:t>
      </w:r>
      <w:proofErr w:type="spellStart"/>
      <w:r w:rsidRPr="00575B92">
        <w:rPr>
          <w:lang w:val="en-US"/>
        </w:rPr>
        <w:t>biçimlerde</w:t>
      </w:r>
      <w:proofErr w:type="spellEnd"/>
      <w:r w:rsidRPr="00575B92">
        <w:rPr>
          <w:lang w:val="en-US"/>
        </w:rPr>
        <w:t xml:space="preserve"> </w:t>
      </w:r>
      <w:proofErr w:type="spellStart"/>
      <w:r w:rsidRPr="00575B92">
        <w:rPr>
          <w:lang w:val="en-US"/>
        </w:rPr>
        <w:t>dile</w:t>
      </w:r>
      <w:proofErr w:type="spellEnd"/>
      <w:r w:rsidRPr="00575B92">
        <w:rPr>
          <w:lang w:val="en-US"/>
        </w:rPr>
        <w:t xml:space="preserve"> </w:t>
      </w:r>
      <w:proofErr w:type="spellStart"/>
      <w:r w:rsidRPr="00575B92">
        <w:rPr>
          <w:lang w:val="en-US"/>
        </w:rPr>
        <w:t>getirilmektedir</w:t>
      </w:r>
      <w:proofErr w:type="spellEnd"/>
      <w:r w:rsidRPr="00575B92">
        <w:rPr>
          <w:lang w:val="en-US"/>
        </w:rPr>
        <w:t>.</w:t>
      </w:r>
      <w:r>
        <w:rPr>
          <w:lang w:val="en-US"/>
        </w:rPr>
        <w:t xml:space="preserve"> </w:t>
      </w:r>
      <w:proofErr w:type="spellStart"/>
      <w:r w:rsidRPr="00575B92">
        <w:rPr>
          <w:lang w:val="en-US"/>
        </w:rPr>
        <w:t>Argümanın</w:t>
      </w:r>
      <w:proofErr w:type="spellEnd"/>
      <w:r w:rsidRPr="00575B92">
        <w:rPr>
          <w:lang w:val="en-US"/>
        </w:rPr>
        <w:t xml:space="preserve"> </w:t>
      </w:r>
      <w:proofErr w:type="spellStart"/>
      <w:r w:rsidRPr="00575B92">
        <w:rPr>
          <w:lang w:val="en-US"/>
        </w:rPr>
        <w:t>daha</w:t>
      </w:r>
      <w:proofErr w:type="spellEnd"/>
      <w:r w:rsidRPr="00575B92">
        <w:rPr>
          <w:lang w:val="en-US"/>
        </w:rPr>
        <w:t xml:space="preserve"> katı </w:t>
      </w:r>
      <w:proofErr w:type="spellStart"/>
      <w:r w:rsidRPr="00575B92">
        <w:rPr>
          <w:lang w:val="en-US"/>
        </w:rPr>
        <w:t>versiyonunda</w:t>
      </w:r>
      <w:proofErr w:type="spellEnd"/>
      <w:r w:rsidRPr="00575B92">
        <w:rPr>
          <w:lang w:val="en-US"/>
        </w:rPr>
        <w:t xml:space="preserve">, </w:t>
      </w:r>
      <w:proofErr w:type="spellStart"/>
      <w:r w:rsidRPr="00575B92">
        <w:rPr>
          <w:lang w:val="en-US"/>
        </w:rPr>
        <w:t>yargıçların</w:t>
      </w:r>
      <w:proofErr w:type="spellEnd"/>
      <w:r w:rsidRPr="00575B92">
        <w:rPr>
          <w:lang w:val="en-US"/>
        </w:rPr>
        <w:t xml:space="preserve"> </w:t>
      </w:r>
      <w:proofErr w:type="spellStart"/>
      <w:r w:rsidRPr="00575B92">
        <w:rPr>
          <w:lang w:val="en-US"/>
        </w:rPr>
        <w:t>ulaşabileceği</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sonuçların</w:t>
      </w:r>
      <w:proofErr w:type="spellEnd"/>
      <w:r w:rsidRPr="00575B92">
        <w:rPr>
          <w:lang w:val="en-US"/>
        </w:rPr>
        <w:t xml:space="preserve"> </w:t>
      </w:r>
      <w:proofErr w:type="spellStart"/>
      <w:r w:rsidRPr="00575B92">
        <w:rPr>
          <w:lang w:val="en-US"/>
        </w:rPr>
        <w:t>kapsamının</w:t>
      </w:r>
      <w:proofErr w:type="spellEnd"/>
      <w:r w:rsidRPr="00575B92">
        <w:rPr>
          <w:lang w:val="en-US"/>
        </w:rPr>
        <w:t xml:space="preserve">, </w:t>
      </w:r>
      <w:proofErr w:type="spellStart"/>
      <w:r w:rsidRPr="00575B92">
        <w:rPr>
          <w:lang w:val="en-US"/>
        </w:rPr>
        <w:t>onları</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üslupta</w:t>
      </w:r>
      <w:proofErr w:type="spellEnd"/>
      <w:r w:rsidRPr="00575B92">
        <w:rPr>
          <w:lang w:val="en-US"/>
        </w:rPr>
        <w:t xml:space="preserve"> </w:t>
      </w:r>
      <w:proofErr w:type="spellStart"/>
      <w:r w:rsidRPr="00575B92">
        <w:rPr>
          <w:lang w:val="en-US"/>
        </w:rPr>
        <w:t>makul</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gerekçelendirme</w:t>
      </w:r>
      <w:proofErr w:type="spellEnd"/>
      <w:r w:rsidRPr="00575B92">
        <w:rPr>
          <w:lang w:val="en-US"/>
        </w:rPr>
        <w:t xml:space="preserve"> </w:t>
      </w:r>
      <w:proofErr w:type="spellStart"/>
      <w:r w:rsidRPr="00575B92">
        <w:rPr>
          <w:lang w:val="en-US"/>
        </w:rPr>
        <w:t>yapmaya</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nispeten</w:t>
      </w:r>
      <w:proofErr w:type="spellEnd"/>
      <w:r w:rsidRPr="00575B92">
        <w:rPr>
          <w:lang w:val="en-US"/>
        </w:rPr>
        <w:t xml:space="preserve"> </w:t>
      </w:r>
      <w:proofErr w:type="spellStart"/>
      <w:r w:rsidRPr="00575B92">
        <w:rPr>
          <w:lang w:val="en-US"/>
        </w:rPr>
        <w:t>dar</w:t>
      </w:r>
      <w:proofErr w:type="spellEnd"/>
      <w:r w:rsidRPr="00575B92">
        <w:rPr>
          <w:lang w:val="en-US"/>
        </w:rPr>
        <w:t xml:space="preserve"> </w:t>
      </w:r>
      <w:proofErr w:type="spellStart"/>
      <w:r w:rsidRPr="00575B92">
        <w:rPr>
          <w:lang w:val="en-US"/>
        </w:rPr>
        <w:t>bir</w:t>
      </w:r>
      <w:proofErr w:type="spellEnd"/>
      <w:r w:rsidRPr="00575B92">
        <w:rPr>
          <w:lang w:val="en-US"/>
        </w:rPr>
        <w:t xml:space="preserve"> dizi </w:t>
      </w:r>
      <w:proofErr w:type="spellStart"/>
      <w:r w:rsidRPr="00575B92">
        <w:rPr>
          <w:lang w:val="en-US"/>
        </w:rPr>
        <w:t>unsura</w:t>
      </w:r>
      <w:proofErr w:type="spellEnd"/>
      <w:r w:rsidRPr="00575B92">
        <w:rPr>
          <w:lang w:val="en-US"/>
        </w:rPr>
        <w:t xml:space="preserve"> </w:t>
      </w:r>
      <w:proofErr w:type="spellStart"/>
      <w:r w:rsidRPr="00575B92">
        <w:rPr>
          <w:lang w:val="en-US"/>
        </w:rPr>
        <w:t>dayanarak</w:t>
      </w:r>
      <w:proofErr w:type="spellEnd"/>
      <w:r w:rsidRPr="00575B92">
        <w:rPr>
          <w:lang w:val="en-US"/>
        </w:rPr>
        <w:t xml:space="preserve"> </w:t>
      </w:r>
      <w:proofErr w:type="spellStart"/>
      <w:r w:rsidRPr="00575B92">
        <w:rPr>
          <w:lang w:val="en-US"/>
        </w:rPr>
        <w:t>karar</w:t>
      </w:r>
      <w:proofErr w:type="spellEnd"/>
      <w:r w:rsidRPr="00575B92">
        <w:rPr>
          <w:lang w:val="en-US"/>
        </w:rPr>
        <w:t xml:space="preserve"> </w:t>
      </w:r>
      <w:proofErr w:type="spellStart"/>
      <w:r w:rsidRPr="00575B92">
        <w:rPr>
          <w:lang w:val="en-US"/>
        </w:rPr>
        <w:t>vermeye</w:t>
      </w:r>
      <w:proofErr w:type="spellEnd"/>
      <w:r w:rsidRPr="00575B92">
        <w:rPr>
          <w:lang w:val="en-US"/>
        </w:rPr>
        <w:t xml:space="preserve"> </w:t>
      </w:r>
      <w:proofErr w:type="spellStart"/>
      <w:r w:rsidRPr="00575B92">
        <w:rPr>
          <w:lang w:val="en-US"/>
        </w:rPr>
        <w:t>zorlayan</w:t>
      </w:r>
      <w:proofErr w:type="spellEnd"/>
      <w:r w:rsidRPr="00575B92">
        <w:rPr>
          <w:lang w:val="en-US"/>
        </w:rPr>
        <w:t xml:space="preserve"> </w:t>
      </w:r>
      <w:proofErr w:type="spellStart"/>
      <w:r w:rsidRPr="00575B92">
        <w:rPr>
          <w:lang w:val="en-US"/>
        </w:rPr>
        <w:t>kurallar</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normlar</w:t>
      </w:r>
      <w:proofErr w:type="spellEnd"/>
      <w:r w:rsidRPr="00575B92">
        <w:rPr>
          <w:lang w:val="en-US"/>
        </w:rPr>
        <w:t xml:space="preserve"> </w:t>
      </w:r>
      <w:proofErr w:type="spellStart"/>
      <w:r w:rsidRPr="00575B92">
        <w:rPr>
          <w:lang w:val="en-US"/>
        </w:rPr>
        <w:t>tarafından</w:t>
      </w:r>
      <w:proofErr w:type="spellEnd"/>
      <w:r w:rsidRPr="00575B92">
        <w:rPr>
          <w:lang w:val="en-US"/>
        </w:rPr>
        <w:t xml:space="preserve"> </w:t>
      </w:r>
      <w:proofErr w:type="spellStart"/>
      <w:r w:rsidRPr="00575B92">
        <w:rPr>
          <w:lang w:val="en-US"/>
        </w:rPr>
        <w:t>büyük</w:t>
      </w:r>
      <w:proofErr w:type="spellEnd"/>
      <w:r w:rsidRPr="00575B92">
        <w:rPr>
          <w:lang w:val="en-US"/>
        </w:rPr>
        <w:t xml:space="preserve"> </w:t>
      </w:r>
      <w:proofErr w:type="spellStart"/>
      <w:r w:rsidRPr="00575B92">
        <w:rPr>
          <w:lang w:val="en-US"/>
        </w:rPr>
        <w:t>ölçüde</w:t>
      </w:r>
      <w:proofErr w:type="spellEnd"/>
      <w:r w:rsidRPr="00575B92">
        <w:rPr>
          <w:lang w:val="en-US"/>
        </w:rPr>
        <w:t xml:space="preserve"> </w:t>
      </w:r>
      <w:proofErr w:type="spellStart"/>
      <w:r w:rsidRPr="00575B92">
        <w:rPr>
          <w:lang w:val="en-US"/>
        </w:rPr>
        <w:t>daraltıldığı</w:t>
      </w:r>
      <w:proofErr w:type="spellEnd"/>
      <w:r w:rsidRPr="00575B92">
        <w:rPr>
          <w:lang w:val="en-US"/>
        </w:rPr>
        <w:t xml:space="preserve"> </w:t>
      </w:r>
      <w:proofErr w:type="spellStart"/>
      <w:r w:rsidRPr="00575B92">
        <w:rPr>
          <w:lang w:val="en-US"/>
        </w:rPr>
        <w:t>savunulmaktadır</w:t>
      </w:r>
      <w:proofErr w:type="spellEnd"/>
      <w:r w:rsidRPr="00575B92">
        <w:rPr>
          <w:lang w:val="en-US"/>
        </w:rPr>
        <w:t xml:space="preserve">; </w:t>
      </w:r>
      <w:proofErr w:type="spellStart"/>
      <w:r w:rsidRPr="00575B92">
        <w:rPr>
          <w:lang w:val="en-US"/>
        </w:rPr>
        <w:t>birçok</w:t>
      </w:r>
      <w:proofErr w:type="spellEnd"/>
      <w:r w:rsidRPr="00575B92">
        <w:rPr>
          <w:lang w:val="en-US"/>
        </w:rPr>
        <w:t xml:space="preserve"> </w:t>
      </w:r>
      <w:proofErr w:type="spellStart"/>
      <w:r w:rsidRPr="00575B92">
        <w:rPr>
          <w:lang w:val="en-US"/>
        </w:rPr>
        <w:t>temyiz</w:t>
      </w:r>
      <w:proofErr w:type="spellEnd"/>
      <w:r w:rsidRPr="00575B92">
        <w:rPr>
          <w:lang w:val="en-US"/>
        </w:rPr>
        <w:t xml:space="preserve"> </w:t>
      </w:r>
      <w:proofErr w:type="spellStart"/>
      <w:r w:rsidRPr="00575B92">
        <w:rPr>
          <w:lang w:val="en-US"/>
        </w:rPr>
        <w:t>yargıcının</w:t>
      </w:r>
      <w:proofErr w:type="spellEnd"/>
      <w:r w:rsidRPr="00575B92">
        <w:rPr>
          <w:lang w:val="en-US"/>
        </w:rPr>
        <w:t xml:space="preserve"> (appellate judge) </w:t>
      </w:r>
      <w:proofErr w:type="spellStart"/>
      <w:r w:rsidRPr="00575B92">
        <w:rPr>
          <w:lang w:val="en-US"/>
        </w:rPr>
        <w:t>kullandığı</w:t>
      </w:r>
      <w:proofErr w:type="spellEnd"/>
      <w:r w:rsidRPr="00575B92">
        <w:rPr>
          <w:lang w:val="en-US"/>
        </w:rPr>
        <w:t xml:space="preserve"> </w:t>
      </w:r>
      <w:proofErr w:type="spellStart"/>
      <w:r w:rsidRPr="00575B92">
        <w:rPr>
          <w:lang w:val="en-US"/>
        </w:rPr>
        <w:t>dile</w:t>
      </w:r>
      <w:proofErr w:type="spellEnd"/>
      <w:r w:rsidRPr="00575B92">
        <w:rPr>
          <w:lang w:val="en-US"/>
        </w:rPr>
        <w:t xml:space="preserve"> </w:t>
      </w:r>
      <w:proofErr w:type="spellStart"/>
      <w:r w:rsidRPr="00575B92">
        <w:rPr>
          <w:lang w:val="en-US"/>
        </w:rPr>
        <w:t>tercüme</w:t>
      </w:r>
      <w:proofErr w:type="spellEnd"/>
      <w:r w:rsidRPr="00575B92">
        <w:rPr>
          <w:lang w:val="en-US"/>
        </w:rPr>
        <w:t xml:space="preserve"> </w:t>
      </w:r>
      <w:proofErr w:type="spellStart"/>
      <w:r w:rsidRPr="00575B92">
        <w:rPr>
          <w:lang w:val="en-US"/>
        </w:rPr>
        <w:t>edildiğinde</w:t>
      </w:r>
      <w:proofErr w:type="spellEnd"/>
      <w:r w:rsidRPr="00575B92">
        <w:rPr>
          <w:lang w:val="en-US"/>
        </w:rPr>
        <w:t xml:space="preserve">, </w:t>
      </w:r>
      <w:proofErr w:type="spellStart"/>
      <w:r w:rsidRPr="00575B92">
        <w:rPr>
          <w:lang w:val="en-US"/>
        </w:rPr>
        <w:t>bazen</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kararın</w:t>
      </w:r>
      <w:proofErr w:type="spellEnd"/>
      <w:r w:rsidRPr="00575B92">
        <w:rPr>
          <w:lang w:val="en-US"/>
        </w:rPr>
        <w:t xml:space="preserve"> </w:t>
      </w:r>
      <w:r w:rsidRPr="00575B92">
        <w:rPr>
          <w:i/>
          <w:iCs/>
          <w:lang w:val="en-US"/>
        </w:rPr>
        <w:t>"</w:t>
      </w:r>
      <w:proofErr w:type="spellStart"/>
      <w:r w:rsidRPr="00575B92">
        <w:rPr>
          <w:i/>
          <w:iCs/>
          <w:lang w:val="en-US"/>
        </w:rPr>
        <w:t>yazılamaz</w:t>
      </w:r>
      <w:proofErr w:type="spellEnd"/>
      <w:r w:rsidRPr="00575B92">
        <w:rPr>
          <w:i/>
          <w:iCs/>
          <w:lang w:val="en-US"/>
        </w:rPr>
        <w:t xml:space="preserve"> </w:t>
      </w:r>
      <w:proofErr w:type="spellStart"/>
      <w:r w:rsidRPr="00575B92">
        <w:rPr>
          <w:i/>
          <w:iCs/>
          <w:lang w:val="en-US"/>
        </w:rPr>
        <w:t>olması</w:t>
      </w:r>
      <w:proofErr w:type="spellEnd"/>
      <w:r w:rsidRPr="00575B92">
        <w:rPr>
          <w:i/>
          <w:iCs/>
          <w:lang w:val="en-US"/>
        </w:rPr>
        <w:t>"</w:t>
      </w:r>
      <w:r w:rsidRPr="00575B92">
        <w:rPr>
          <w:lang w:val="en-US"/>
        </w:rPr>
        <w:t xml:space="preserve"> </w:t>
      </w:r>
      <w:proofErr w:type="spellStart"/>
      <w:r w:rsidRPr="00575B92">
        <w:rPr>
          <w:lang w:val="en-US"/>
        </w:rPr>
        <w:t>durumu</w:t>
      </w:r>
      <w:proofErr w:type="spellEnd"/>
      <w:r w:rsidRPr="00575B92">
        <w:rPr>
          <w:lang w:val="en-US"/>
        </w:rPr>
        <w:t xml:space="preserve"> </w:t>
      </w:r>
      <w:proofErr w:type="spellStart"/>
      <w:r w:rsidRPr="00575B92">
        <w:rPr>
          <w:lang w:val="en-US"/>
        </w:rPr>
        <w:t>ortaya</w:t>
      </w:r>
      <w:proofErr w:type="spellEnd"/>
      <w:r w:rsidRPr="00575B92">
        <w:rPr>
          <w:lang w:val="en-US"/>
        </w:rPr>
        <w:t xml:space="preserve"> </w:t>
      </w:r>
      <w:proofErr w:type="spellStart"/>
      <w:r w:rsidRPr="00575B92">
        <w:rPr>
          <w:lang w:val="en-US"/>
        </w:rPr>
        <w:t>çıkmaktadır</w:t>
      </w:r>
      <w:proofErr w:type="spellEnd"/>
      <w:r w:rsidRPr="00575B92">
        <w:rPr>
          <w:lang w:val="en-US"/>
        </w:rPr>
        <w:t>.⁴⁷</w:t>
      </w:r>
      <w:r>
        <w:rPr>
          <w:lang w:val="en-US"/>
        </w:rPr>
        <w:t xml:space="preserve"> </w:t>
      </w:r>
      <w:r>
        <w:rPr>
          <w:rStyle w:val="FootnoteReference"/>
          <w:rFonts w:eastAsia="Times New Roman" w:cs="Times New Roman"/>
          <w:szCs w:val="24"/>
          <w:lang w:val="en-US"/>
        </w:rPr>
        <w:footnoteReference w:id="47"/>
      </w:r>
      <w:r>
        <w:rPr>
          <w:lang w:val="en-US"/>
        </w:rPr>
        <w:t xml:space="preserve"> </w:t>
      </w:r>
      <w:proofErr w:type="spellStart"/>
      <w:r w:rsidRPr="00575B92">
        <w:rPr>
          <w:lang w:val="en-US"/>
        </w:rPr>
        <w:t>Argümanın</w:t>
      </w:r>
      <w:proofErr w:type="spellEnd"/>
      <w:r w:rsidRPr="00575B92">
        <w:rPr>
          <w:lang w:val="en-US"/>
        </w:rPr>
        <w:t xml:space="preserve"> </w:t>
      </w:r>
      <w:proofErr w:type="spellStart"/>
      <w:r w:rsidRPr="00575B92">
        <w:rPr>
          <w:lang w:val="en-US"/>
        </w:rPr>
        <w:t>daha</w:t>
      </w:r>
      <w:proofErr w:type="spellEnd"/>
      <w:r w:rsidRPr="00575B92">
        <w:rPr>
          <w:lang w:val="en-US"/>
        </w:rPr>
        <w:t xml:space="preserve"> </w:t>
      </w:r>
      <w:proofErr w:type="spellStart"/>
      <w:r w:rsidRPr="00575B92">
        <w:rPr>
          <w:lang w:val="en-US"/>
        </w:rPr>
        <w:t>esnek</w:t>
      </w:r>
      <w:proofErr w:type="spellEnd"/>
      <w:r w:rsidRPr="00575B92">
        <w:rPr>
          <w:lang w:val="en-US"/>
        </w:rPr>
        <w:t xml:space="preserve"> </w:t>
      </w:r>
      <w:proofErr w:type="spellStart"/>
      <w:r w:rsidRPr="00575B92">
        <w:rPr>
          <w:lang w:val="en-US"/>
        </w:rPr>
        <w:t>versiyonunda</w:t>
      </w:r>
      <w:proofErr w:type="spellEnd"/>
      <w:r w:rsidRPr="00575B92">
        <w:rPr>
          <w:lang w:val="en-US"/>
        </w:rPr>
        <w:t xml:space="preserve"> </w:t>
      </w:r>
      <w:proofErr w:type="spellStart"/>
      <w:r w:rsidRPr="00575B92">
        <w:rPr>
          <w:lang w:val="en-US"/>
        </w:rPr>
        <w:t>ise</w:t>
      </w:r>
      <w:proofErr w:type="spellEnd"/>
      <w:r w:rsidRPr="00575B92">
        <w:rPr>
          <w:lang w:val="en-US"/>
        </w:rPr>
        <w:t xml:space="preserve">, </w:t>
      </w:r>
      <w:proofErr w:type="spellStart"/>
      <w:r w:rsidRPr="00575B92">
        <w:rPr>
          <w:lang w:val="en-US"/>
        </w:rPr>
        <w:t>bu</w:t>
      </w:r>
      <w:proofErr w:type="spellEnd"/>
      <w:r w:rsidRPr="00575B92">
        <w:rPr>
          <w:lang w:val="en-US"/>
        </w:rPr>
        <w:t xml:space="preserve"> </w:t>
      </w:r>
      <w:proofErr w:type="spellStart"/>
      <w:r w:rsidRPr="00575B92">
        <w:rPr>
          <w:lang w:val="en-US"/>
        </w:rPr>
        <w:t>yorum</w:t>
      </w:r>
      <w:proofErr w:type="spellEnd"/>
      <w:r w:rsidRPr="00575B92">
        <w:rPr>
          <w:lang w:val="en-US"/>
        </w:rPr>
        <w:t xml:space="preserve"> </w:t>
      </w:r>
      <w:proofErr w:type="spellStart"/>
      <w:r w:rsidRPr="00575B92">
        <w:rPr>
          <w:lang w:val="en-US"/>
        </w:rPr>
        <w:t>normlarının</w:t>
      </w:r>
      <w:proofErr w:type="spellEnd"/>
      <w:r w:rsidRPr="00575B92">
        <w:rPr>
          <w:lang w:val="en-US"/>
        </w:rPr>
        <w:t xml:space="preserve"> </w:t>
      </w:r>
      <w:proofErr w:type="spellStart"/>
      <w:r w:rsidRPr="00575B92">
        <w:rPr>
          <w:lang w:val="en-US"/>
        </w:rPr>
        <w:t>varlığının</w:t>
      </w:r>
      <w:proofErr w:type="spellEnd"/>
      <w:r w:rsidRPr="00575B92">
        <w:rPr>
          <w:lang w:val="en-US"/>
        </w:rPr>
        <w:t xml:space="preserve"> </w:t>
      </w:r>
      <w:proofErr w:type="spellStart"/>
      <w:r w:rsidRPr="00575B92">
        <w:rPr>
          <w:lang w:val="en-US"/>
        </w:rPr>
        <w:t>yargıçları</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sonuçlara</w:t>
      </w:r>
      <w:proofErr w:type="spellEnd"/>
      <w:r w:rsidRPr="00575B92">
        <w:rPr>
          <w:lang w:val="en-US"/>
        </w:rPr>
        <w:t xml:space="preserve"> </w:t>
      </w:r>
      <w:proofErr w:type="spellStart"/>
      <w:r w:rsidRPr="00575B92">
        <w:rPr>
          <w:lang w:val="en-US"/>
        </w:rPr>
        <w:t>ulaşmaktan</w:t>
      </w:r>
      <w:proofErr w:type="spellEnd"/>
      <w:r w:rsidRPr="00575B92">
        <w:rPr>
          <w:lang w:val="en-US"/>
        </w:rPr>
        <w:t xml:space="preserve"> </w:t>
      </w:r>
      <w:proofErr w:type="spellStart"/>
      <w:r w:rsidRPr="00575B92">
        <w:rPr>
          <w:lang w:val="en-US"/>
        </w:rPr>
        <w:t>kelimenin</w:t>
      </w:r>
      <w:proofErr w:type="spellEnd"/>
      <w:r w:rsidRPr="00575B92">
        <w:rPr>
          <w:lang w:val="en-US"/>
        </w:rPr>
        <w:t xml:space="preserve"> tam </w:t>
      </w:r>
      <w:proofErr w:type="spellStart"/>
      <w:r w:rsidRPr="00575B92">
        <w:rPr>
          <w:lang w:val="en-US"/>
        </w:rPr>
        <w:t>anlamıyla</w:t>
      </w:r>
      <w:proofErr w:type="spellEnd"/>
      <w:r w:rsidRPr="00575B92">
        <w:rPr>
          <w:lang w:val="en-US"/>
        </w:rPr>
        <w:t xml:space="preserve"> </w:t>
      </w:r>
      <w:proofErr w:type="spellStart"/>
      <w:r w:rsidRPr="00575B92">
        <w:rPr>
          <w:lang w:val="en-US"/>
        </w:rPr>
        <w:t>alıkoymadığı</w:t>
      </w:r>
      <w:proofErr w:type="spellEnd"/>
      <w:r w:rsidRPr="00575B92">
        <w:rPr>
          <w:lang w:val="en-US"/>
        </w:rPr>
        <w:t xml:space="preserve"> </w:t>
      </w:r>
      <w:proofErr w:type="spellStart"/>
      <w:r w:rsidRPr="00575B92">
        <w:rPr>
          <w:lang w:val="en-US"/>
        </w:rPr>
        <w:t>kabul</w:t>
      </w:r>
      <w:proofErr w:type="spellEnd"/>
      <w:r w:rsidRPr="00575B92">
        <w:rPr>
          <w:lang w:val="en-US"/>
        </w:rPr>
        <w:t xml:space="preserve"> </w:t>
      </w:r>
      <w:proofErr w:type="spellStart"/>
      <w:r w:rsidRPr="00575B92">
        <w:rPr>
          <w:lang w:val="en-US"/>
        </w:rPr>
        <w:t>edilse</w:t>
      </w:r>
      <w:proofErr w:type="spellEnd"/>
      <w:r w:rsidRPr="00575B92">
        <w:rPr>
          <w:lang w:val="en-US"/>
        </w:rPr>
        <w:t xml:space="preserve"> de, </w:t>
      </w:r>
      <w:proofErr w:type="spellStart"/>
      <w:r w:rsidRPr="00575B92">
        <w:rPr>
          <w:lang w:val="en-US"/>
        </w:rPr>
        <w:t>bu</w:t>
      </w:r>
      <w:proofErr w:type="spellEnd"/>
      <w:r w:rsidRPr="00575B92">
        <w:rPr>
          <w:lang w:val="en-US"/>
        </w:rPr>
        <w:t xml:space="preserve"> </w:t>
      </w:r>
      <w:proofErr w:type="spellStart"/>
      <w:r w:rsidRPr="00575B92">
        <w:rPr>
          <w:lang w:val="en-US"/>
        </w:rPr>
        <w:t>normların</w:t>
      </w:r>
      <w:proofErr w:type="spellEnd"/>
      <w:r w:rsidRPr="00575B92">
        <w:rPr>
          <w:lang w:val="en-US"/>
        </w:rPr>
        <w:t xml:space="preserve"> </w:t>
      </w:r>
      <w:proofErr w:type="spellStart"/>
      <w:r w:rsidRPr="00575B92">
        <w:rPr>
          <w:lang w:val="en-US"/>
        </w:rPr>
        <w:t>ya</w:t>
      </w:r>
      <w:proofErr w:type="spellEnd"/>
      <w:r w:rsidRPr="00575B92">
        <w:rPr>
          <w:lang w:val="en-US"/>
        </w:rPr>
        <w:t xml:space="preserve"> </w:t>
      </w:r>
      <w:proofErr w:type="spellStart"/>
      <w:r w:rsidRPr="00575B92">
        <w:rPr>
          <w:lang w:val="en-US"/>
        </w:rPr>
        <w:t>yargıçları</w:t>
      </w:r>
      <w:proofErr w:type="spellEnd"/>
      <w:r w:rsidRPr="00575B92">
        <w:rPr>
          <w:lang w:val="en-US"/>
        </w:rPr>
        <w:t xml:space="preserve"> </w:t>
      </w:r>
      <w:proofErr w:type="spellStart"/>
      <w:r w:rsidRPr="00575B92">
        <w:rPr>
          <w:lang w:val="en-US"/>
        </w:rPr>
        <w:t>bilinçli</w:t>
      </w:r>
      <w:proofErr w:type="spellEnd"/>
      <w:r w:rsidRPr="00575B92">
        <w:rPr>
          <w:lang w:val="en-US"/>
        </w:rPr>
        <w:t xml:space="preserve"> </w:t>
      </w:r>
      <w:proofErr w:type="spellStart"/>
      <w:r w:rsidRPr="00575B92">
        <w:rPr>
          <w:lang w:val="en-US"/>
        </w:rPr>
        <w:t>olarak</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görüşleri</w:t>
      </w:r>
      <w:proofErr w:type="spellEnd"/>
      <w:r w:rsidRPr="00575B92">
        <w:rPr>
          <w:lang w:val="en-US"/>
        </w:rPr>
        <w:t xml:space="preserve"> </w:t>
      </w:r>
      <w:proofErr w:type="spellStart"/>
      <w:r w:rsidRPr="00575B92">
        <w:rPr>
          <w:lang w:val="en-US"/>
        </w:rPr>
        <w:t>benimsemekten</w:t>
      </w:r>
      <w:proofErr w:type="spellEnd"/>
      <w:r w:rsidRPr="00575B92">
        <w:rPr>
          <w:lang w:val="en-US"/>
        </w:rPr>
        <w:t xml:space="preserve"> </w:t>
      </w:r>
      <w:proofErr w:type="spellStart"/>
      <w:r w:rsidRPr="00575B92">
        <w:rPr>
          <w:lang w:val="en-US"/>
        </w:rPr>
        <w:t>caydırdığı</w:t>
      </w:r>
      <w:proofErr w:type="spellEnd"/>
      <w:r w:rsidRPr="00575B92">
        <w:rPr>
          <w:lang w:val="en-US"/>
        </w:rPr>
        <w:t xml:space="preserve"> </w:t>
      </w:r>
      <w:proofErr w:type="spellStart"/>
      <w:r w:rsidRPr="00575B92">
        <w:rPr>
          <w:lang w:val="en-US"/>
        </w:rPr>
        <w:t>ya</w:t>
      </w:r>
      <w:proofErr w:type="spellEnd"/>
      <w:r w:rsidRPr="00575B92">
        <w:rPr>
          <w:lang w:val="en-US"/>
        </w:rPr>
        <w:t xml:space="preserve"> da </w:t>
      </w:r>
      <w:proofErr w:type="spellStart"/>
      <w:r w:rsidRPr="00575B92">
        <w:rPr>
          <w:lang w:val="en-US"/>
        </w:rPr>
        <w:t>geleneksel</w:t>
      </w:r>
      <w:proofErr w:type="spellEnd"/>
      <w:r w:rsidRPr="00575B92">
        <w:rPr>
          <w:lang w:val="en-US"/>
        </w:rPr>
        <w:t xml:space="preserve"> </w:t>
      </w:r>
      <w:proofErr w:type="spellStart"/>
      <w:r w:rsidRPr="00575B92">
        <w:rPr>
          <w:lang w:val="en-US"/>
        </w:rPr>
        <w:t>hukuki</w:t>
      </w:r>
      <w:proofErr w:type="spellEnd"/>
      <w:r w:rsidRPr="00575B92">
        <w:rPr>
          <w:lang w:val="en-US"/>
        </w:rPr>
        <w:t xml:space="preserve"> </w:t>
      </w:r>
      <w:proofErr w:type="spellStart"/>
      <w:r w:rsidRPr="00575B92">
        <w:rPr>
          <w:lang w:val="en-US"/>
        </w:rPr>
        <w:t>kaynakların</w:t>
      </w:r>
      <w:proofErr w:type="spellEnd"/>
      <w:r w:rsidRPr="00575B92">
        <w:rPr>
          <w:lang w:val="en-US"/>
        </w:rPr>
        <w:t xml:space="preserve"> </w:t>
      </w:r>
      <w:proofErr w:type="spellStart"/>
      <w:r w:rsidRPr="00575B92">
        <w:rPr>
          <w:lang w:val="en-US"/>
        </w:rPr>
        <w:t>aksi</w:t>
      </w:r>
      <w:proofErr w:type="spellEnd"/>
      <w:r w:rsidRPr="00575B92">
        <w:rPr>
          <w:lang w:val="en-US"/>
        </w:rPr>
        <w:t xml:space="preserve"> </w:t>
      </w:r>
      <w:proofErr w:type="spellStart"/>
      <w:r w:rsidRPr="00575B92">
        <w:rPr>
          <w:lang w:val="en-US"/>
        </w:rPr>
        <w:t>yönde</w:t>
      </w:r>
      <w:proofErr w:type="spellEnd"/>
      <w:r w:rsidRPr="00575B92">
        <w:rPr>
          <w:lang w:val="en-US"/>
        </w:rPr>
        <w:t xml:space="preserve"> </w:t>
      </w:r>
      <w:proofErr w:type="spellStart"/>
      <w:r w:rsidRPr="00575B92">
        <w:rPr>
          <w:lang w:val="en-US"/>
        </w:rPr>
        <w:t>işaret</w:t>
      </w:r>
      <w:proofErr w:type="spellEnd"/>
      <w:r w:rsidRPr="00575B92">
        <w:rPr>
          <w:lang w:val="en-US"/>
        </w:rPr>
        <w:t xml:space="preserve"> </w:t>
      </w:r>
      <w:proofErr w:type="spellStart"/>
      <w:r w:rsidRPr="00575B92">
        <w:rPr>
          <w:lang w:val="en-US"/>
        </w:rPr>
        <w:t>ettiği</w:t>
      </w:r>
      <w:proofErr w:type="spellEnd"/>
      <w:r w:rsidRPr="00575B92">
        <w:rPr>
          <w:lang w:val="en-US"/>
        </w:rPr>
        <w:t xml:space="preserve"> </w:t>
      </w:r>
      <w:proofErr w:type="spellStart"/>
      <w:r w:rsidRPr="00575B92">
        <w:rPr>
          <w:lang w:val="en-US"/>
        </w:rPr>
        <w:t>durumlarda</w:t>
      </w:r>
      <w:proofErr w:type="spellEnd"/>
      <w:r w:rsidRPr="00575B92">
        <w:rPr>
          <w:lang w:val="en-US"/>
        </w:rPr>
        <w:t xml:space="preserve"> </w:t>
      </w:r>
      <w:proofErr w:type="spellStart"/>
      <w:r w:rsidRPr="00575B92">
        <w:rPr>
          <w:lang w:val="en-US"/>
        </w:rPr>
        <w:t>bu</w:t>
      </w:r>
      <w:proofErr w:type="spellEnd"/>
      <w:r w:rsidRPr="00575B92">
        <w:rPr>
          <w:lang w:val="en-US"/>
        </w:rPr>
        <w:t xml:space="preserve"> </w:t>
      </w:r>
      <w:proofErr w:type="spellStart"/>
      <w:r w:rsidRPr="00575B92">
        <w:rPr>
          <w:lang w:val="en-US"/>
        </w:rPr>
        <w:t>tür</w:t>
      </w:r>
      <w:proofErr w:type="spellEnd"/>
      <w:r w:rsidRPr="00575B92">
        <w:rPr>
          <w:lang w:val="en-US"/>
        </w:rPr>
        <w:t xml:space="preserve"> </w:t>
      </w:r>
      <w:proofErr w:type="spellStart"/>
      <w:r w:rsidRPr="00575B92">
        <w:rPr>
          <w:lang w:val="en-US"/>
        </w:rPr>
        <w:t>görüşleri</w:t>
      </w:r>
      <w:proofErr w:type="spellEnd"/>
      <w:r w:rsidRPr="00575B92">
        <w:rPr>
          <w:lang w:val="en-US"/>
        </w:rPr>
        <w:t xml:space="preserve"> </w:t>
      </w:r>
      <w:proofErr w:type="spellStart"/>
      <w:r w:rsidRPr="00575B92">
        <w:rPr>
          <w:lang w:val="en-US"/>
        </w:rPr>
        <w:t>bilinçsizce</w:t>
      </w:r>
      <w:proofErr w:type="spellEnd"/>
      <w:r w:rsidRPr="00575B92">
        <w:rPr>
          <w:lang w:val="en-US"/>
        </w:rPr>
        <w:t xml:space="preserve"> </w:t>
      </w:r>
      <w:proofErr w:type="spellStart"/>
      <w:r w:rsidRPr="00575B92">
        <w:rPr>
          <w:lang w:val="en-US"/>
        </w:rPr>
        <w:t>erken</w:t>
      </w:r>
      <w:proofErr w:type="spellEnd"/>
      <w:r w:rsidRPr="00575B92">
        <w:rPr>
          <w:lang w:val="en-US"/>
        </w:rPr>
        <w:t xml:space="preserve"> </w:t>
      </w:r>
      <w:proofErr w:type="spellStart"/>
      <w:r w:rsidRPr="00575B92">
        <w:rPr>
          <w:lang w:val="en-US"/>
        </w:rPr>
        <w:t>aşamalarda</w:t>
      </w:r>
      <w:proofErr w:type="spellEnd"/>
      <w:r w:rsidRPr="00575B92">
        <w:rPr>
          <w:lang w:val="en-US"/>
        </w:rPr>
        <w:t xml:space="preserve"> </w:t>
      </w:r>
      <w:proofErr w:type="spellStart"/>
      <w:r w:rsidRPr="00575B92">
        <w:rPr>
          <w:lang w:val="en-US"/>
        </w:rPr>
        <w:t>olanaksız</w:t>
      </w:r>
      <w:proofErr w:type="spellEnd"/>
      <w:r w:rsidRPr="00575B92">
        <w:rPr>
          <w:lang w:val="en-US"/>
        </w:rPr>
        <w:t xml:space="preserve"> </w:t>
      </w:r>
      <w:proofErr w:type="spellStart"/>
      <w:r w:rsidRPr="00575B92">
        <w:rPr>
          <w:lang w:val="en-US"/>
        </w:rPr>
        <w:t>olarak</w:t>
      </w:r>
      <w:proofErr w:type="spellEnd"/>
      <w:r w:rsidRPr="00575B92">
        <w:rPr>
          <w:lang w:val="en-US"/>
        </w:rPr>
        <w:t xml:space="preserve"> </w:t>
      </w:r>
      <w:proofErr w:type="spellStart"/>
      <w:r w:rsidRPr="00575B92">
        <w:rPr>
          <w:lang w:val="en-US"/>
        </w:rPr>
        <w:t>görmelerine</w:t>
      </w:r>
      <w:proofErr w:type="spellEnd"/>
      <w:r w:rsidRPr="00575B92">
        <w:rPr>
          <w:lang w:val="en-US"/>
        </w:rPr>
        <w:t xml:space="preserve"> </w:t>
      </w:r>
      <w:proofErr w:type="spellStart"/>
      <w:r w:rsidRPr="00575B92">
        <w:rPr>
          <w:lang w:val="en-US"/>
        </w:rPr>
        <w:t>neden</w:t>
      </w:r>
      <w:proofErr w:type="spellEnd"/>
      <w:r w:rsidRPr="00575B92">
        <w:rPr>
          <w:lang w:val="en-US"/>
        </w:rPr>
        <w:t xml:space="preserve"> </w:t>
      </w:r>
      <w:proofErr w:type="spellStart"/>
      <w:r w:rsidRPr="00575B92">
        <w:rPr>
          <w:lang w:val="en-US"/>
        </w:rPr>
        <w:t>olduğu</w:t>
      </w:r>
      <w:proofErr w:type="spellEnd"/>
      <w:r w:rsidRPr="00575B92">
        <w:rPr>
          <w:lang w:val="en-US"/>
        </w:rPr>
        <w:t xml:space="preserve"> </w:t>
      </w:r>
      <w:proofErr w:type="spellStart"/>
      <w:r w:rsidRPr="00575B92">
        <w:rPr>
          <w:lang w:val="en-US"/>
        </w:rPr>
        <w:t>öne</w:t>
      </w:r>
      <w:proofErr w:type="spellEnd"/>
      <w:r w:rsidRPr="00575B92">
        <w:rPr>
          <w:lang w:val="en-US"/>
        </w:rPr>
        <w:t xml:space="preserve"> </w:t>
      </w:r>
      <w:proofErr w:type="spellStart"/>
      <w:r w:rsidRPr="00575B92">
        <w:rPr>
          <w:lang w:val="en-US"/>
        </w:rPr>
        <w:t>sürülmektedir</w:t>
      </w:r>
      <w:proofErr w:type="spellEnd"/>
      <w:r w:rsidRPr="00575B92">
        <w:rPr>
          <w:lang w:val="en-US"/>
        </w:rPr>
        <w:t>.⁴⁸</w:t>
      </w:r>
      <w:r>
        <w:rPr>
          <w:lang w:val="en-US"/>
        </w:rPr>
        <w:t xml:space="preserve"> </w:t>
      </w:r>
      <w:r>
        <w:rPr>
          <w:rStyle w:val="FootnoteReference"/>
          <w:rFonts w:eastAsia="Times New Roman" w:cs="Times New Roman"/>
          <w:szCs w:val="24"/>
          <w:lang w:val="en-US"/>
        </w:rPr>
        <w:footnoteReference w:id="48"/>
      </w:r>
      <w:r>
        <w:rPr>
          <w:lang w:val="en-US"/>
        </w:rPr>
        <w:t xml:space="preserve"> </w:t>
      </w:r>
      <w:r w:rsidR="00CA6E33">
        <w:rPr>
          <w:lang w:val="en-US"/>
        </w:rPr>
        <w:t>[</w:t>
      </w:r>
      <w:r>
        <w:rPr>
          <w:lang w:val="en-US"/>
        </w:rPr>
        <w:t>1082-1083</w:t>
      </w:r>
      <w:r w:rsidR="00CA6E33">
        <w:rPr>
          <w:lang w:val="en-US"/>
        </w:rPr>
        <w:t>]</w:t>
      </w:r>
    </w:p>
    <w:p w14:paraId="5AE8716C" w14:textId="2254109B" w:rsidR="00575B92" w:rsidRDefault="00575B92" w:rsidP="00575B92">
      <w:pPr>
        <w:rPr>
          <w:lang w:val="en-US"/>
        </w:rPr>
      </w:pPr>
      <w:proofErr w:type="spellStart"/>
      <w:r w:rsidRPr="00575B92">
        <w:rPr>
          <w:lang w:val="en-US"/>
        </w:rPr>
        <w:t>Hâkimlerin</w:t>
      </w:r>
      <w:proofErr w:type="spellEnd"/>
      <w:r w:rsidRPr="00575B92">
        <w:rPr>
          <w:lang w:val="en-US"/>
        </w:rPr>
        <w:t xml:space="preserve">, </w:t>
      </w:r>
      <w:proofErr w:type="spellStart"/>
      <w:r w:rsidRPr="00575B92">
        <w:rPr>
          <w:lang w:val="en-US"/>
        </w:rPr>
        <w:t>alay</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küçümsemeye</w:t>
      </w:r>
      <w:proofErr w:type="spellEnd"/>
      <w:r w:rsidRPr="00575B92">
        <w:rPr>
          <w:lang w:val="en-US"/>
        </w:rPr>
        <w:t xml:space="preserve"> </w:t>
      </w:r>
      <w:proofErr w:type="spellStart"/>
      <w:r w:rsidRPr="00575B92">
        <w:rPr>
          <w:lang w:val="en-US"/>
        </w:rPr>
        <w:t>maruz</w:t>
      </w:r>
      <w:proofErr w:type="spellEnd"/>
      <w:r w:rsidRPr="00575B92">
        <w:rPr>
          <w:lang w:val="en-US"/>
        </w:rPr>
        <w:t xml:space="preserve"> </w:t>
      </w:r>
      <w:proofErr w:type="spellStart"/>
      <w:r w:rsidRPr="00575B92">
        <w:rPr>
          <w:lang w:val="en-US"/>
        </w:rPr>
        <w:t>kalmadan</w:t>
      </w:r>
      <w:proofErr w:type="spellEnd"/>
      <w:r w:rsidRPr="00575B92">
        <w:rPr>
          <w:lang w:val="en-US"/>
        </w:rPr>
        <w:t xml:space="preserve"> </w:t>
      </w:r>
      <w:proofErr w:type="spellStart"/>
      <w:r w:rsidRPr="00575B92">
        <w:rPr>
          <w:lang w:val="en-US"/>
        </w:rPr>
        <w:t>uygun</w:t>
      </w:r>
      <w:proofErr w:type="spellEnd"/>
      <w:r w:rsidRPr="00575B92">
        <w:rPr>
          <w:lang w:val="en-US"/>
        </w:rPr>
        <w:t xml:space="preserve"> </w:t>
      </w:r>
      <w:proofErr w:type="spellStart"/>
      <w:r w:rsidRPr="00575B92">
        <w:rPr>
          <w:lang w:val="en-US"/>
        </w:rPr>
        <w:t>şekilde</w:t>
      </w:r>
      <w:proofErr w:type="spellEnd"/>
      <w:r w:rsidRPr="00575B92">
        <w:rPr>
          <w:lang w:val="en-US"/>
        </w:rPr>
        <w:t xml:space="preserve"> </w:t>
      </w:r>
      <w:proofErr w:type="spellStart"/>
      <w:r w:rsidRPr="00575B92">
        <w:rPr>
          <w:lang w:val="en-US"/>
        </w:rPr>
        <w:t>kullanabilecekleri</w:t>
      </w:r>
      <w:proofErr w:type="spellEnd"/>
      <w:r w:rsidRPr="00575B92">
        <w:rPr>
          <w:lang w:val="en-US"/>
        </w:rPr>
        <w:t xml:space="preserve"> </w:t>
      </w:r>
      <w:proofErr w:type="spellStart"/>
      <w:r w:rsidRPr="00575B92">
        <w:rPr>
          <w:lang w:val="en-US"/>
        </w:rPr>
        <w:t>sınırlı</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argümanlardan</w:t>
      </w:r>
      <w:proofErr w:type="spellEnd"/>
      <w:r w:rsidRPr="00575B92">
        <w:rPr>
          <w:lang w:val="en-US"/>
        </w:rPr>
        <w:t xml:space="preserve"> </w:t>
      </w:r>
      <w:proofErr w:type="spellStart"/>
      <w:r w:rsidRPr="00575B92">
        <w:rPr>
          <w:lang w:val="en-US"/>
        </w:rPr>
        <w:t>bahsedildiğinde</w:t>
      </w:r>
      <w:proofErr w:type="spellEnd"/>
      <w:r w:rsidRPr="00575B92">
        <w:rPr>
          <w:lang w:val="en-US"/>
        </w:rPr>
        <w:t xml:space="preserve">, </w:t>
      </w:r>
      <w:proofErr w:type="spellStart"/>
      <w:r w:rsidRPr="00575B92">
        <w:rPr>
          <w:lang w:val="en-US"/>
        </w:rPr>
        <w:t>genellikle</w:t>
      </w:r>
      <w:proofErr w:type="spellEnd"/>
      <w:r w:rsidRPr="00575B92">
        <w:rPr>
          <w:lang w:val="en-US"/>
        </w:rPr>
        <w:t xml:space="preserve"> </w:t>
      </w:r>
      <w:proofErr w:type="spellStart"/>
      <w:r w:rsidRPr="00575B92">
        <w:rPr>
          <w:lang w:val="en-US"/>
        </w:rPr>
        <w:t>metin</w:t>
      </w:r>
      <w:proofErr w:type="spellEnd"/>
      <w:r w:rsidRPr="00575B92">
        <w:rPr>
          <w:lang w:val="en-US"/>
        </w:rPr>
        <w:t xml:space="preserve">, </w:t>
      </w:r>
      <w:proofErr w:type="spellStart"/>
      <w:r w:rsidRPr="00575B92">
        <w:rPr>
          <w:lang w:val="en-US"/>
        </w:rPr>
        <w:t>tarih</w:t>
      </w:r>
      <w:proofErr w:type="spellEnd"/>
      <w:r w:rsidRPr="00575B92">
        <w:rPr>
          <w:lang w:val="en-US"/>
        </w:rPr>
        <w:t xml:space="preserve">, </w:t>
      </w:r>
      <w:proofErr w:type="spellStart"/>
      <w:r w:rsidRPr="00575B92">
        <w:rPr>
          <w:lang w:val="en-US"/>
        </w:rPr>
        <w:t>içtihat</w:t>
      </w:r>
      <w:proofErr w:type="spellEnd"/>
      <w:r w:rsidRPr="00575B92">
        <w:rPr>
          <w:lang w:val="en-US"/>
        </w:rPr>
        <w:t xml:space="preserve"> (precedent) </w:t>
      </w:r>
      <w:proofErr w:type="spellStart"/>
      <w:r w:rsidRPr="00575B92">
        <w:rPr>
          <w:lang w:val="en-US"/>
        </w:rPr>
        <w:t>ve</w:t>
      </w:r>
      <w:proofErr w:type="spellEnd"/>
      <w:r w:rsidRPr="00575B92">
        <w:rPr>
          <w:lang w:val="en-US"/>
        </w:rPr>
        <w:t xml:space="preserve"> </w:t>
      </w:r>
      <w:proofErr w:type="spellStart"/>
      <w:r w:rsidRPr="00575B92">
        <w:rPr>
          <w:lang w:val="en-US"/>
        </w:rPr>
        <w:t>en</w:t>
      </w:r>
      <w:proofErr w:type="spellEnd"/>
      <w:r w:rsidRPr="00575B92">
        <w:rPr>
          <w:lang w:val="en-US"/>
        </w:rPr>
        <w:t xml:space="preserve"> </w:t>
      </w:r>
      <w:proofErr w:type="spellStart"/>
      <w:r w:rsidRPr="00575B92">
        <w:rPr>
          <w:lang w:val="en-US"/>
        </w:rPr>
        <w:t>azından</w:t>
      </w:r>
      <w:proofErr w:type="spellEnd"/>
      <w:r w:rsidRPr="00575B92">
        <w:rPr>
          <w:lang w:val="en-US"/>
        </w:rPr>
        <w:t xml:space="preserve"> belli </w:t>
      </w:r>
      <w:proofErr w:type="spellStart"/>
      <w:r w:rsidRPr="00575B92">
        <w:rPr>
          <w:lang w:val="en-US"/>
        </w:rPr>
        <w:t>sınırlar</w:t>
      </w:r>
      <w:proofErr w:type="spellEnd"/>
      <w:r w:rsidRPr="00575B92">
        <w:rPr>
          <w:lang w:val="en-US"/>
        </w:rPr>
        <w:t xml:space="preserve"> </w:t>
      </w:r>
      <w:proofErr w:type="spellStart"/>
      <w:r w:rsidRPr="00575B92">
        <w:rPr>
          <w:lang w:val="en-US"/>
        </w:rPr>
        <w:t>içinde</w:t>
      </w:r>
      <w:proofErr w:type="spellEnd"/>
      <w:r w:rsidRPr="00575B92">
        <w:rPr>
          <w:lang w:val="en-US"/>
        </w:rPr>
        <w:t xml:space="preserve"> </w:t>
      </w:r>
      <w:proofErr w:type="spellStart"/>
      <w:r w:rsidRPr="00575B92">
        <w:rPr>
          <w:lang w:val="en-US"/>
        </w:rPr>
        <w:t>sonuçlara</w:t>
      </w:r>
      <w:proofErr w:type="spellEnd"/>
      <w:r w:rsidRPr="00575B92">
        <w:rPr>
          <w:lang w:val="en-US"/>
        </w:rPr>
        <w:t xml:space="preserve"> </w:t>
      </w:r>
      <w:proofErr w:type="spellStart"/>
      <w:r w:rsidRPr="00575B92">
        <w:rPr>
          <w:lang w:val="en-US"/>
        </w:rPr>
        <w:t>ilişkin</w:t>
      </w:r>
      <w:proofErr w:type="spellEnd"/>
      <w:r w:rsidRPr="00575B92">
        <w:rPr>
          <w:lang w:val="en-US"/>
        </w:rPr>
        <w:t xml:space="preserve"> </w:t>
      </w:r>
      <w:proofErr w:type="spellStart"/>
      <w:r w:rsidRPr="00575B92">
        <w:rPr>
          <w:lang w:val="en-US"/>
        </w:rPr>
        <w:t>nispeten</w:t>
      </w:r>
      <w:proofErr w:type="spellEnd"/>
      <w:r w:rsidRPr="00575B92">
        <w:rPr>
          <w:lang w:val="en-US"/>
        </w:rPr>
        <w:t xml:space="preserve"> </w:t>
      </w:r>
      <w:proofErr w:type="spellStart"/>
      <w:r w:rsidRPr="00575B92">
        <w:rPr>
          <w:lang w:val="en-US"/>
        </w:rPr>
        <w:t>istikrarlı</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iddia</w:t>
      </w:r>
      <w:proofErr w:type="spellEnd"/>
      <w:r w:rsidRPr="00575B92">
        <w:rPr>
          <w:lang w:val="en-US"/>
        </w:rPr>
        <w:t xml:space="preserve"> </w:t>
      </w:r>
      <w:proofErr w:type="spellStart"/>
      <w:r w:rsidRPr="00575B92">
        <w:rPr>
          <w:lang w:val="en-US"/>
        </w:rPr>
        <w:t>seti</w:t>
      </w:r>
      <w:proofErr w:type="spellEnd"/>
      <w:r w:rsidRPr="00575B92">
        <w:rPr>
          <w:lang w:val="en-US"/>
        </w:rPr>
        <w:t xml:space="preserve"> </w:t>
      </w:r>
      <w:proofErr w:type="spellStart"/>
      <w:r w:rsidRPr="00575B92">
        <w:rPr>
          <w:lang w:val="en-US"/>
        </w:rPr>
        <w:t>kastedilmektedir</w:t>
      </w:r>
      <w:proofErr w:type="spellEnd"/>
      <w:r w:rsidRPr="00575B92">
        <w:rPr>
          <w:lang w:val="en-US"/>
        </w:rPr>
        <w:t xml:space="preserve">. 1982 </w:t>
      </w:r>
      <w:proofErr w:type="spellStart"/>
      <w:r w:rsidRPr="00575B92">
        <w:rPr>
          <w:lang w:val="en-US"/>
        </w:rPr>
        <w:t>ve</w:t>
      </w:r>
      <w:proofErr w:type="spellEnd"/>
      <w:r w:rsidRPr="00575B92">
        <w:rPr>
          <w:lang w:val="en-US"/>
        </w:rPr>
        <w:t xml:space="preserve"> 1991 </w:t>
      </w:r>
      <w:proofErr w:type="spellStart"/>
      <w:r w:rsidRPr="00575B92">
        <w:rPr>
          <w:lang w:val="en-US"/>
        </w:rPr>
        <w:t>yıllarında</w:t>
      </w:r>
      <w:proofErr w:type="spellEnd"/>
      <w:r w:rsidRPr="00575B92">
        <w:rPr>
          <w:lang w:val="en-US"/>
        </w:rPr>
        <w:t xml:space="preserve"> </w:t>
      </w:r>
      <w:proofErr w:type="spellStart"/>
      <w:r w:rsidRPr="00575B92">
        <w:rPr>
          <w:lang w:val="en-US"/>
        </w:rPr>
        <w:t>yayımlanan</w:t>
      </w:r>
      <w:proofErr w:type="spellEnd"/>
      <w:r w:rsidRPr="00575B92">
        <w:rPr>
          <w:lang w:val="en-US"/>
        </w:rPr>
        <w:t xml:space="preserve"> </w:t>
      </w:r>
      <w:proofErr w:type="spellStart"/>
      <w:r w:rsidRPr="00575B92">
        <w:rPr>
          <w:lang w:val="en-US"/>
        </w:rPr>
        <w:t>iki</w:t>
      </w:r>
      <w:proofErr w:type="spellEnd"/>
      <w:r w:rsidRPr="00575B92">
        <w:rPr>
          <w:lang w:val="en-US"/>
        </w:rPr>
        <w:t xml:space="preserve"> </w:t>
      </w:r>
      <w:proofErr w:type="spellStart"/>
      <w:r w:rsidRPr="00575B92">
        <w:rPr>
          <w:lang w:val="en-US"/>
        </w:rPr>
        <w:t>etkili</w:t>
      </w:r>
      <w:proofErr w:type="spellEnd"/>
      <w:r w:rsidRPr="00575B92">
        <w:rPr>
          <w:lang w:val="en-US"/>
        </w:rPr>
        <w:t xml:space="preserve"> </w:t>
      </w:r>
      <w:proofErr w:type="spellStart"/>
      <w:r w:rsidRPr="00575B92">
        <w:rPr>
          <w:lang w:val="en-US"/>
        </w:rPr>
        <w:t>çalışmasında</w:t>
      </w:r>
      <w:proofErr w:type="spellEnd"/>
      <w:r w:rsidRPr="00575B92">
        <w:rPr>
          <w:lang w:val="en-US"/>
        </w:rPr>
        <w:t xml:space="preserve"> </w:t>
      </w:r>
      <w:proofErr w:type="spellStart"/>
      <w:r w:rsidRPr="00575B92">
        <w:rPr>
          <w:lang w:val="en-US"/>
        </w:rPr>
        <w:t>Profesör</w:t>
      </w:r>
      <w:proofErr w:type="spellEnd"/>
      <w:r w:rsidRPr="00575B92">
        <w:rPr>
          <w:lang w:val="en-US"/>
        </w:rPr>
        <w:t xml:space="preserve"> Philip Bobbitt, </w:t>
      </w:r>
      <w:proofErr w:type="spellStart"/>
      <w:r w:rsidRPr="00575B92">
        <w:rPr>
          <w:lang w:val="en-US"/>
        </w:rPr>
        <w:t>meşru</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argümanların</w:t>
      </w:r>
      <w:proofErr w:type="spellEnd"/>
      <w:r w:rsidRPr="00575B92">
        <w:rPr>
          <w:lang w:val="en-US"/>
        </w:rPr>
        <w:t xml:space="preserve"> </w:t>
      </w:r>
      <w:proofErr w:type="spellStart"/>
      <w:r w:rsidRPr="00575B92">
        <w:rPr>
          <w:lang w:val="en-US"/>
        </w:rPr>
        <w:t>en</w:t>
      </w:r>
      <w:proofErr w:type="spellEnd"/>
      <w:r w:rsidRPr="00575B92">
        <w:rPr>
          <w:lang w:val="en-US"/>
        </w:rPr>
        <w:t xml:space="preserve"> </w:t>
      </w:r>
      <w:proofErr w:type="spellStart"/>
      <w:r w:rsidRPr="00575B92">
        <w:rPr>
          <w:lang w:val="en-US"/>
        </w:rPr>
        <w:t>ünlü</w:t>
      </w:r>
      <w:proofErr w:type="spellEnd"/>
      <w:r w:rsidRPr="00575B92">
        <w:rPr>
          <w:lang w:val="en-US"/>
        </w:rPr>
        <w:t xml:space="preserve"> </w:t>
      </w:r>
      <w:proofErr w:type="spellStart"/>
      <w:r w:rsidRPr="00575B92">
        <w:rPr>
          <w:lang w:val="en-US"/>
        </w:rPr>
        <w:t>tasnifini</w:t>
      </w:r>
      <w:proofErr w:type="spellEnd"/>
      <w:r w:rsidRPr="00575B92">
        <w:rPr>
          <w:lang w:val="en-US"/>
        </w:rPr>
        <w:t xml:space="preserve"> </w:t>
      </w:r>
      <w:proofErr w:type="spellStart"/>
      <w:r w:rsidRPr="00575B92">
        <w:rPr>
          <w:lang w:val="en-US"/>
        </w:rPr>
        <w:t>sunmuş</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altı</w:t>
      </w:r>
      <w:proofErr w:type="spellEnd"/>
      <w:r w:rsidRPr="00575B92">
        <w:rPr>
          <w:lang w:val="en-US"/>
        </w:rPr>
        <w:t xml:space="preserve"> </w:t>
      </w:r>
      <w:proofErr w:type="spellStart"/>
      <w:r w:rsidRPr="00575B92">
        <w:rPr>
          <w:lang w:val="en-US"/>
        </w:rPr>
        <w:t>meşru</w:t>
      </w:r>
      <w:proofErr w:type="spellEnd"/>
      <w:r w:rsidRPr="00575B92">
        <w:rPr>
          <w:lang w:val="en-US"/>
        </w:rPr>
        <w:t xml:space="preserve"> "</w:t>
      </w:r>
      <w:proofErr w:type="spellStart"/>
      <w:r w:rsidRPr="00575B92">
        <w:rPr>
          <w:lang w:val="en-US"/>
        </w:rPr>
        <w:t>modalite</w:t>
      </w:r>
      <w:proofErr w:type="spellEnd"/>
      <w:r w:rsidRPr="00575B92">
        <w:rPr>
          <w:lang w:val="en-US"/>
        </w:rPr>
        <w:t xml:space="preserve">" (modality) </w:t>
      </w:r>
      <w:proofErr w:type="spellStart"/>
      <w:r w:rsidRPr="00575B92">
        <w:rPr>
          <w:lang w:val="en-US"/>
        </w:rPr>
        <w:t>olduğunu</w:t>
      </w:r>
      <w:proofErr w:type="spellEnd"/>
      <w:r w:rsidRPr="00575B92">
        <w:rPr>
          <w:lang w:val="en-US"/>
        </w:rPr>
        <w:t xml:space="preserve"> </w:t>
      </w:r>
      <w:proofErr w:type="spellStart"/>
      <w:r w:rsidRPr="00575B92">
        <w:rPr>
          <w:lang w:val="en-US"/>
        </w:rPr>
        <w:t>savunmuştur</w:t>
      </w:r>
      <w:proofErr w:type="spellEnd"/>
      <w:r w:rsidRPr="00575B92">
        <w:rPr>
          <w:lang w:val="en-US"/>
        </w:rPr>
        <w:t xml:space="preserve">: </w:t>
      </w:r>
      <w:proofErr w:type="spellStart"/>
      <w:r w:rsidRPr="00575B92">
        <w:rPr>
          <w:lang w:val="en-US"/>
        </w:rPr>
        <w:t>tarihsel</w:t>
      </w:r>
      <w:proofErr w:type="spellEnd"/>
      <w:r w:rsidRPr="00575B92">
        <w:rPr>
          <w:lang w:val="en-US"/>
        </w:rPr>
        <w:t xml:space="preserve"> (historical), </w:t>
      </w:r>
      <w:proofErr w:type="spellStart"/>
      <w:r w:rsidRPr="00575B92">
        <w:rPr>
          <w:lang w:val="en-US"/>
        </w:rPr>
        <w:t>metinsel</w:t>
      </w:r>
      <w:proofErr w:type="spellEnd"/>
      <w:r w:rsidRPr="00575B92">
        <w:rPr>
          <w:lang w:val="en-US"/>
        </w:rPr>
        <w:t xml:space="preserve"> (textual), </w:t>
      </w:r>
      <w:proofErr w:type="spellStart"/>
      <w:r w:rsidRPr="00575B92">
        <w:rPr>
          <w:lang w:val="en-US"/>
        </w:rPr>
        <w:t>yapısal</w:t>
      </w:r>
      <w:proofErr w:type="spellEnd"/>
      <w:r w:rsidRPr="00575B92">
        <w:rPr>
          <w:lang w:val="en-US"/>
        </w:rPr>
        <w:t xml:space="preserve"> (structural), </w:t>
      </w:r>
      <w:proofErr w:type="spellStart"/>
      <w:r w:rsidRPr="00575B92">
        <w:rPr>
          <w:lang w:val="en-US"/>
        </w:rPr>
        <w:t>doktrinsel</w:t>
      </w:r>
      <w:proofErr w:type="spellEnd"/>
      <w:r w:rsidRPr="00575B92">
        <w:rPr>
          <w:lang w:val="en-US"/>
        </w:rPr>
        <w:t xml:space="preserve"> (doctrinal), </w:t>
      </w:r>
      <w:proofErr w:type="spellStart"/>
      <w:r w:rsidRPr="00575B92">
        <w:rPr>
          <w:lang w:val="en-US"/>
        </w:rPr>
        <w:t>etik</w:t>
      </w:r>
      <w:proofErr w:type="spellEnd"/>
      <w:r w:rsidRPr="00575B92">
        <w:rPr>
          <w:lang w:val="en-US"/>
        </w:rPr>
        <w:t xml:space="preserve"> (ethical) </w:t>
      </w:r>
      <w:proofErr w:type="spellStart"/>
      <w:r w:rsidRPr="00575B92">
        <w:rPr>
          <w:lang w:val="en-US"/>
        </w:rPr>
        <w:t>ve</w:t>
      </w:r>
      <w:proofErr w:type="spellEnd"/>
      <w:r w:rsidRPr="00575B92">
        <w:rPr>
          <w:lang w:val="en-US"/>
        </w:rPr>
        <w:t xml:space="preserve"> </w:t>
      </w:r>
      <w:proofErr w:type="spellStart"/>
      <w:r w:rsidRPr="00575B92">
        <w:rPr>
          <w:lang w:val="en-US"/>
        </w:rPr>
        <w:t>pragmatik</w:t>
      </w:r>
      <w:proofErr w:type="spellEnd"/>
      <w:r w:rsidRPr="00575B92">
        <w:rPr>
          <w:lang w:val="en-US"/>
        </w:rPr>
        <w:t xml:space="preserve"> (pragmatic).49</w:t>
      </w:r>
      <w:r>
        <w:rPr>
          <w:lang w:val="en-US"/>
        </w:rPr>
        <w:t xml:space="preserve"> </w:t>
      </w:r>
      <w:r>
        <w:rPr>
          <w:rStyle w:val="FootnoteReference"/>
          <w:lang w:val="en-US"/>
        </w:rPr>
        <w:footnoteReference w:id="49"/>
      </w:r>
      <w:r w:rsidRPr="00575B92">
        <w:rPr>
          <w:lang w:val="en-US"/>
        </w:rPr>
        <w:t xml:space="preserve"> Ünlü </w:t>
      </w:r>
      <w:proofErr w:type="spellStart"/>
      <w:r w:rsidRPr="00575B92">
        <w:rPr>
          <w:lang w:val="en-US"/>
        </w:rPr>
        <w:t>açıklamasında</w:t>
      </w:r>
      <w:proofErr w:type="spellEnd"/>
      <w:r w:rsidRPr="00575B92">
        <w:rPr>
          <w:lang w:val="en-US"/>
        </w:rPr>
        <w:t xml:space="preserve"> </w:t>
      </w:r>
      <w:proofErr w:type="spellStart"/>
      <w:r w:rsidRPr="00575B92">
        <w:rPr>
          <w:lang w:val="en-US"/>
        </w:rPr>
        <w:t>belirttiği</w:t>
      </w:r>
      <w:proofErr w:type="spellEnd"/>
      <w:r w:rsidRPr="00575B92">
        <w:rPr>
          <w:lang w:val="en-US"/>
        </w:rPr>
        <w:t xml:space="preserve"> </w:t>
      </w:r>
      <w:proofErr w:type="spellStart"/>
      <w:r w:rsidRPr="00575B92">
        <w:rPr>
          <w:lang w:val="en-US"/>
        </w:rPr>
        <w:t>gibi</w:t>
      </w:r>
      <w:proofErr w:type="spellEnd"/>
      <w:r w:rsidRPr="00575B92">
        <w:rPr>
          <w:lang w:val="en-US"/>
        </w:rPr>
        <w:t xml:space="preserve">, "Bu </w:t>
      </w:r>
      <w:proofErr w:type="spellStart"/>
      <w:r w:rsidRPr="00575B92">
        <w:rPr>
          <w:lang w:val="en-US"/>
        </w:rPr>
        <w:t>modalitelerin</w:t>
      </w:r>
      <w:proofErr w:type="spellEnd"/>
      <w:r w:rsidRPr="00575B92">
        <w:rPr>
          <w:lang w:val="en-US"/>
        </w:rPr>
        <w:t xml:space="preserve"> </w:t>
      </w:r>
      <w:proofErr w:type="spellStart"/>
      <w:r w:rsidRPr="00575B92">
        <w:rPr>
          <w:lang w:val="en-US"/>
        </w:rPr>
        <w:t>dışında</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hukuki</w:t>
      </w:r>
      <w:proofErr w:type="spellEnd"/>
      <w:r w:rsidRPr="00575B92">
        <w:rPr>
          <w:lang w:val="en-US"/>
        </w:rPr>
        <w:t xml:space="preserve"> </w:t>
      </w:r>
      <w:proofErr w:type="spellStart"/>
      <w:r w:rsidRPr="00575B92">
        <w:rPr>
          <w:lang w:val="en-US"/>
        </w:rPr>
        <w:t>argüman</w:t>
      </w:r>
      <w:proofErr w:type="spellEnd"/>
      <w:r w:rsidRPr="00575B92">
        <w:rPr>
          <w:lang w:val="en-US"/>
        </w:rPr>
        <w:t xml:space="preserve"> </w:t>
      </w:r>
      <w:proofErr w:type="spellStart"/>
      <w:r w:rsidRPr="00575B92">
        <w:rPr>
          <w:lang w:val="en-US"/>
        </w:rPr>
        <w:t>yoktur</w:t>
      </w:r>
      <w:proofErr w:type="spellEnd"/>
      <w:r w:rsidRPr="00575B92">
        <w:rPr>
          <w:lang w:val="en-US"/>
        </w:rPr>
        <w:t xml:space="preserve">. Bu </w:t>
      </w:r>
      <w:proofErr w:type="spellStart"/>
      <w:r w:rsidRPr="00575B92">
        <w:rPr>
          <w:lang w:val="en-US"/>
        </w:rPr>
        <w:t>biçimlerin</w:t>
      </w:r>
      <w:proofErr w:type="spellEnd"/>
      <w:r w:rsidRPr="00575B92">
        <w:rPr>
          <w:lang w:val="en-US"/>
        </w:rPr>
        <w:t xml:space="preserve"> </w:t>
      </w:r>
      <w:proofErr w:type="spellStart"/>
      <w:r w:rsidRPr="00575B92">
        <w:rPr>
          <w:lang w:val="en-US"/>
        </w:rPr>
        <w:t>dışında</w:t>
      </w:r>
      <w:proofErr w:type="spellEnd"/>
      <w:r w:rsidRPr="00575B92">
        <w:rPr>
          <w:lang w:val="en-US"/>
        </w:rPr>
        <w:t xml:space="preserve">, ABD </w:t>
      </w:r>
      <w:proofErr w:type="spellStart"/>
      <w:r w:rsidRPr="00575B92">
        <w:rPr>
          <w:lang w:val="en-US"/>
        </w:rPr>
        <w:t>Anayasası</w:t>
      </w:r>
      <w:proofErr w:type="spellEnd"/>
      <w:r w:rsidRPr="00575B92">
        <w:rPr>
          <w:lang w:val="en-US"/>
        </w:rPr>
        <w:t xml:space="preserve"> </w:t>
      </w:r>
      <w:proofErr w:type="spellStart"/>
      <w:r w:rsidRPr="00575B92">
        <w:rPr>
          <w:lang w:val="en-US"/>
        </w:rPr>
        <w:t>hakkında</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önerme</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olgu</w:t>
      </w:r>
      <w:proofErr w:type="spellEnd"/>
      <w:r w:rsidRPr="00575B92">
        <w:rPr>
          <w:lang w:val="en-US"/>
        </w:rPr>
        <w:t xml:space="preserve"> </w:t>
      </w:r>
      <w:proofErr w:type="spellStart"/>
      <w:r w:rsidRPr="00575B92">
        <w:rPr>
          <w:lang w:val="en-US"/>
        </w:rPr>
        <w:t>olabilir</w:t>
      </w:r>
      <w:proofErr w:type="spellEnd"/>
      <w:r w:rsidRPr="00575B92">
        <w:rPr>
          <w:lang w:val="en-US"/>
        </w:rPr>
        <w:t xml:space="preserve">, </w:t>
      </w:r>
      <w:proofErr w:type="spellStart"/>
      <w:r w:rsidRPr="00575B92">
        <w:rPr>
          <w:lang w:val="en-US"/>
        </w:rPr>
        <w:t>zarif</w:t>
      </w:r>
      <w:proofErr w:type="spellEnd"/>
      <w:r w:rsidRPr="00575B92">
        <w:rPr>
          <w:lang w:val="en-US"/>
        </w:rPr>
        <w:t xml:space="preserve"> </w:t>
      </w:r>
      <w:proofErr w:type="spellStart"/>
      <w:r w:rsidRPr="00575B92">
        <w:rPr>
          <w:lang w:val="en-US"/>
        </w:rPr>
        <w:t>olabilir</w:t>
      </w:r>
      <w:proofErr w:type="spellEnd"/>
      <w:r w:rsidRPr="00575B92">
        <w:rPr>
          <w:lang w:val="en-US"/>
        </w:rPr>
        <w:t xml:space="preserve">, </w:t>
      </w:r>
      <w:proofErr w:type="spellStart"/>
      <w:r w:rsidRPr="00575B92">
        <w:rPr>
          <w:lang w:val="en-US"/>
        </w:rPr>
        <w:t>eğlenceli</w:t>
      </w:r>
      <w:proofErr w:type="spellEnd"/>
      <w:r w:rsidRPr="00575B92">
        <w:rPr>
          <w:lang w:val="en-US"/>
        </w:rPr>
        <w:t xml:space="preserve"> </w:t>
      </w:r>
      <w:proofErr w:type="spellStart"/>
      <w:r w:rsidRPr="00575B92">
        <w:rPr>
          <w:lang w:val="en-US"/>
        </w:rPr>
        <w:t>veya</w:t>
      </w:r>
      <w:proofErr w:type="spellEnd"/>
      <w:r w:rsidRPr="00575B92">
        <w:rPr>
          <w:lang w:val="en-US"/>
        </w:rPr>
        <w:t xml:space="preserve"> </w:t>
      </w:r>
      <w:proofErr w:type="spellStart"/>
      <w:r w:rsidRPr="00575B92">
        <w:rPr>
          <w:lang w:val="en-US"/>
        </w:rPr>
        <w:t>hatta</w:t>
      </w:r>
      <w:proofErr w:type="spellEnd"/>
      <w:r w:rsidRPr="00575B92">
        <w:rPr>
          <w:lang w:val="en-US"/>
        </w:rPr>
        <w:t xml:space="preserve"> </w:t>
      </w:r>
      <w:proofErr w:type="spellStart"/>
      <w:r w:rsidRPr="00575B92">
        <w:rPr>
          <w:lang w:val="en-US"/>
        </w:rPr>
        <w:t>şiirsel</w:t>
      </w:r>
      <w:proofErr w:type="spellEnd"/>
      <w:r w:rsidRPr="00575B92">
        <w:rPr>
          <w:lang w:val="en-US"/>
        </w:rPr>
        <w:t xml:space="preserve"> </w:t>
      </w:r>
      <w:proofErr w:type="spellStart"/>
      <w:r w:rsidRPr="00575B92">
        <w:rPr>
          <w:lang w:val="en-US"/>
        </w:rPr>
        <w:t>olabilir</w:t>
      </w:r>
      <w:proofErr w:type="spellEnd"/>
      <w:r w:rsidRPr="00575B92">
        <w:rPr>
          <w:lang w:val="en-US"/>
        </w:rPr>
        <w:t xml:space="preserve">," </w:t>
      </w:r>
      <w:proofErr w:type="spellStart"/>
      <w:r w:rsidRPr="00575B92">
        <w:rPr>
          <w:lang w:val="en-US"/>
        </w:rPr>
        <w:t>ancak</w:t>
      </w:r>
      <w:proofErr w:type="spellEnd"/>
      <w:r w:rsidRPr="00575B92">
        <w:rPr>
          <w:lang w:val="en-US"/>
        </w:rPr>
        <w:t xml:space="preserve"> </w:t>
      </w:r>
      <w:proofErr w:type="spellStart"/>
      <w:r w:rsidRPr="00575B92">
        <w:rPr>
          <w:lang w:val="en-US"/>
        </w:rPr>
        <w:t>bu</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argüman</w:t>
      </w:r>
      <w:proofErr w:type="spellEnd"/>
      <w:r w:rsidRPr="00575B92">
        <w:rPr>
          <w:lang w:val="en-US"/>
        </w:rPr>
        <w:t xml:space="preserve"> </w:t>
      </w:r>
      <w:proofErr w:type="spellStart"/>
      <w:r w:rsidRPr="00575B92">
        <w:rPr>
          <w:lang w:val="en-US"/>
        </w:rPr>
        <w:t>olarak</w:t>
      </w:r>
      <w:proofErr w:type="spellEnd"/>
      <w:r w:rsidRPr="00575B92">
        <w:rPr>
          <w:lang w:val="en-US"/>
        </w:rPr>
        <w:t xml:space="preserve"> </w:t>
      </w:r>
      <w:proofErr w:type="spellStart"/>
      <w:r w:rsidRPr="00575B92">
        <w:rPr>
          <w:lang w:val="en-US"/>
        </w:rPr>
        <w:t>ilgili</w:t>
      </w:r>
      <w:proofErr w:type="spellEnd"/>
      <w:r w:rsidRPr="00575B92">
        <w:rPr>
          <w:lang w:val="en-US"/>
        </w:rPr>
        <w:t xml:space="preserve"> değildir.50</w:t>
      </w:r>
      <w:r>
        <w:rPr>
          <w:lang w:val="en-US"/>
        </w:rPr>
        <w:t xml:space="preserve"> </w:t>
      </w:r>
      <w:r>
        <w:rPr>
          <w:rStyle w:val="FootnoteReference"/>
          <w:lang w:val="en-US"/>
        </w:rPr>
        <w:footnoteReference w:id="50"/>
      </w:r>
    </w:p>
    <w:p w14:paraId="5083AA74" w14:textId="77777777" w:rsidR="0006440D" w:rsidRDefault="0006440D" w:rsidP="0006440D">
      <w:pPr>
        <w:rPr>
          <w:lang w:val="en-US"/>
        </w:rPr>
      </w:pPr>
      <w:proofErr w:type="spellStart"/>
      <w:r w:rsidRPr="0006440D">
        <w:rPr>
          <w:lang w:val="en-US"/>
        </w:rPr>
        <w:t>Profesör</w:t>
      </w:r>
      <w:proofErr w:type="spellEnd"/>
      <w:r w:rsidRPr="0006440D">
        <w:rPr>
          <w:lang w:val="en-US"/>
        </w:rPr>
        <w:t xml:space="preserve"> </w:t>
      </w:r>
      <w:proofErr w:type="spellStart"/>
      <w:r w:rsidRPr="0006440D">
        <w:rPr>
          <w:lang w:val="en-US"/>
        </w:rPr>
        <w:t>Bobbitt'in</w:t>
      </w:r>
      <w:proofErr w:type="spellEnd"/>
      <w:r w:rsidRPr="0006440D">
        <w:rPr>
          <w:lang w:val="en-US"/>
        </w:rPr>
        <w:t xml:space="preserve"> </w:t>
      </w:r>
      <w:proofErr w:type="spellStart"/>
      <w:r w:rsidRPr="0006440D">
        <w:rPr>
          <w:lang w:val="en-US"/>
        </w:rPr>
        <w:t>analizi</w:t>
      </w:r>
      <w:proofErr w:type="spellEnd"/>
      <w:r w:rsidRPr="0006440D">
        <w:rPr>
          <w:lang w:val="en-US"/>
        </w:rPr>
        <w:t xml:space="preserve"> </w:t>
      </w:r>
      <w:proofErr w:type="spellStart"/>
      <w:r w:rsidRPr="0006440D">
        <w:rPr>
          <w:lang w:val="en-US"/>
        </w:rPr>
        <w:t>geniş</w:t>
      </w:r>
      <w:proofErr w:type="spellEnd"/>
      <w:r w:rsidRPr="0006440D">
        <w:rPr>
          <w:lang w:val="en-US"/>
        </w:rPr>
        <w:t xml:space="preserve"> </w:t>
      </w:r>
      <w:proofErr w:type="spellStart"/>
      <w:r w:rsidRPr="0006440D">
        <w:rPr>
          <w:lang w:val="en-US"/>
        </w:rPr>
        <w:t>çapta</w:t>
      </w:r>
      <w:proofErr w:type="spellEnd"/>
      <w:r w:rsidRPr="0006440D">
        <w:rPr>
          <w:lang w:val="en-US"/>
        </w:rPr>
        <w:t xml:space="preserve"> </w:t>
      </w:r>
      <w:proofErr w:type="spellStart"/>
      <w:r w:rsidRPr="0006440D">
        <w:rPr>
          <w:lang w:val="en-US"/>
        </w:rPr>
        <w:t>etkili</w:t>
      </w:r>
      <w:proofErr w:type="spellEnd"/>
      <w:r w:rsidRPr="0006440D">
        <w:rPr>
          <w:lang w:val="en-US"/>
        </w:rPr>
        <w:t xml:space="preserve"> </w:t>
      </w:r>
      <w:proofErr w:type="spellStart"/>
      <w:r w:rsidRPr="0006440D">
        <w:rPr>
          <w:lang w:val="en-US"/>
        </w:rPr>
        <w:t>olmuş</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onun</w:t>
      </w:r>
      <w:proofErr w:type="spellEnd"/>
      <w:r w:rsidRPr="0006440D">
        <w:rPr>
          <w:lang w:val="en-US"/>
        </w:rPr>
        <w:t xml:space="preserve"> </w:t>
      </w:r>
      <w:proofErr w:type="spellStart"/>
      <w:r w:rsidRPr="0006440D">
        <w:rPr>
          <w:lang w:val="en-US"/>
        </w:rPr>
        <w:t>tasnifi</w:t>
      </w:r>
      <w:proofErr w:type="spellEnd"/>
      <w:r w:rsidRPr="0006440D">
        <w:rPr>
          <w:lang w:val="en-US"/>
        </w:rPr>
        <w:t xml:space="preserve">, </w:t>
      </w:r>
      <w:proofErr w:type="spellStart"/>
      <w:r w:rsidRPr="0006440D">
        <w:rPr>
          <w:lang w:val="en-US"/>
        </w:rPr>
        <w:t>çağdaş</w:t>
      </w:r>
      <w:proofErr w:type="spellEnd"/>
      <w:r w:rsidRPr="0006440D">
        <w:rPr>
          <w:lang w:val="en-US"/>
        </w:rPr>
        <w:t xml:space="preserve"> </w:t>
      </w:r>
      <w:proofErr w:type="spellStart"/>
      <w:r w:rsidRPr="0006440D">
        <w:rPr>
          <w:lang w:val="en-US"/>
        </w:rPr>
        <w:t>anayasa</w:t>
      </w:r>
      <w:proofErr w:type="spellEnd"/>
      <w:r w:rsidRPr="0006440D">
        <w:rPr>
          <w:lang w:val="en-US"/>
        </w:rPr>
        <w:t xml:space="preserve"> </w:t>
      </w:r>
      <w:proofErr w:type="spellStart"/>
      <w:r w:rsidRPr="0006440D">
        <w:rPr>
          <w:lang w:val="en-US"/>
        </w:rPr>
        <w:t>hukuku</w:t>
      </w:r>
      <w:proofErr w:type="spellEnd"/>
      <w:r w:rsidRPr="0006440D">
        <w:rPr>
          <w:lang w:val="en-US"/>
        </w:rPr>
        <w:t xml:space="preserve"> </w:t>
      </w:r>
      <w:proofErr w:type="spellStart"/>
      <w:r w:rsidRPr="0006440D">
        <w:rPr>
          <w:lang w:val="en-US"/>
        </w:rPr>
        <w:t>derslerinde</w:t>
      </w:r>
      <w:proofErr w:type="spellEnd"/>
      <w:r w:rsidRPr="0006440D">
        <w:rPr>
          <w:lang w:val="en-US"/>
        </w:rPr>
        <w:t xml:space="preserve"> </w:t>
      </w:r>
      <w:proofErr w:type="spellStart"/>
      <w:r w:rsidRPr="0006440D">
        <w:rPr>
          <w:lang w:val="en-US"/>
        </w:rPr>
        <w:t>yaygın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yapıtaşı</w:t>
      </w:r>
      <w:proofErr w:type="spellEnd"/>
      <w:r w:rsidRPr="0006440D">
        <w:rPr>
          <w:lang w:val="en-US"/>
        </w:rPr>
        <w:t xml:space="preserve"> </w:t>
      </w:r>
      <w:proofErr w:type="spellStart"/>
      <w:r w:rsidRPr="0006440D">
        <w:rPr>
          <w:lang w:val="en-US"/>
        </w:rPr>
        <w:t>haline</w:t>
      </w:r>
      <w:proofErr w:type="spellEnd"/>
      <w:r w:rsidRPr="0006440D">
        <w:rPr>
          <w:lang w:val="en-US"/>
        </w:rPr>
        <w:t xml:space="preserve"> </w:t>
      </w:r>
      <w:proofErr w:type="spellStart"/>
      <w:r w:rsidRPr="0006440D">
        <w:rPr>
          <w:lang w:val="en-US"/>
        </w:rPr>
        <w:t>gelmiştir</w:t>
      </w:r>
      <w:proofErr w:type="spellEnd"/>
      <w:r w:rsidRPr="0006440D">
        <w:rPr>
          <w:lang w:val="en-US"/>
        </w:rPr>
        <w:t xml:space="preserve">. Bu </w:t>
      </w:r>
      <w:proofErr w:type="spellStart"/>
      <w:r w:rsidRPr="0006440D">
        <w:rPr>
          <w:lang w:val="en-US"/>
        </w:rPr>
        <w:t>modaliteler</w:t>
      </w:r>
      <w:proofErr w:type="spellEnd"/>
      <w:r w:rsidRPr="0006440D">
        <w:rPr>
          <w:lang w:val="en-US"/>
        </w:rPr>
        <w:t xml:space="preserve">, son </w:t>
      </w:r>
      <w:proofErr w:type="spellStart"/>
      <w:r w:rsidRPr="0006440D">
        <w:rPr>
          <w:lang w:val="en-US"/>
        </w:rPr>
        <w:t>derece</w:t>
      </w:r>
      <w:proofErr w:type="spellEnd"/>
      <w:r w:rsidRPr="0006440D">
        <w:rPr>
          <w:lang w:val="en-US"/>
        </w:rPr>
        <w:t xml:space="preserve"> </w:t>
      </w:r>
      <w:proofErr w:type="spellStart"/>
      <w:r w:rsidRPr="0006440D">
        <w:rPr>
          <w:lang w:val="en-US"/>
        </w:rPr>
        <w:t>değerli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öğretim</w:t>
      </w:r>
      <w:proofErr w:type="spellEnd"/>
      <w:r w:rsidRPr="0006440D">
        <w:rPr>
          <w:lang w:val="en-US"/>
        </w:rPr>
        <w:t xml:space="preserve"> </w:t>
      </w:r>
      <w:proofErr w:type="spellStart"/>
      <w:r w:rsidRPr="0006440D">
        <w:rPr>
          <w:lang w:val="en-US"/>
        </w:rPr>
        <w:t>aracı</w:t>
      </w:r>
      <w:proofErr w:type="spellEnd"/>
      <w:r w:rsidRPr="0006440D">
        <w:rPr>
          <w:lang w:val="en-US"/>
        </w:rPr>
        <w:t xml:space="preserve"> </w:t>
      </w:r>
      <w:proofErr w:type="spellStart"/>
      <w:r w:rsidRPr="0006440D">
        <w:rPr>
          <w:lang w:val="en-US"/>
        </w:rPr>
        <w:t>olarak</w:t>
      </w:r>
      <w:proofErr w:type="spellEnd"/>
      <w:r w:rsidRPr="0006440D">
        <w:rPr>
          <w:lang w:val="en-US"/>
        </w:rPr>
        <w:t xml:space="preserve"> </w:t>
      </w:r>
      <w:proofErr w:type="spellStart"/>
      <w:r w:rsidRPr="0006440D">
        <w:rPr>
          <w:lang w:val="en-US"/>
        </w:rPr>
        <w:t>kabul</w:t>
      </w:r>
      <w:proofErr w:type="spellEnd"/>
      <w:r w:rsidRPr="0006440D">
        <w:rPr>
          <w:lang w:val="en-US"/>
        </w:rPr>
        <w:t xml:space="preserve"> </w:t>
      </w:r>
      <w:proofErr w:type="spellStart"/>
      <w:r w:rsidRPr="0006440D">
        <w:rPr>
          <w:lang w:val="en-US"/>
        </w:rPr>
        <w:t>edilse</w:t>
      </w:r>
      <w:proofErr w:type="spellEnd"/>
      <w:r w:rsidRPr="0006440D">
        <w:rPr>
          <w:lang w:val="en-US"/>
        </w:rPr>
        <w:t xml:space="preserve"> de, </w:t>
      </w:r>
      <w:proofErr w:type="spellStart"/>
      <w:r w:rsidRPr="0006440D">
        <w:rPr>
          <w:lang w:val="en-US"/>
        </w:rPr>
        <w:t>yaygınlıkları</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öğrencilerin</w:t>
      </w:r>
      <w:proofErr w:type="spellEnd"/>
      <w:r w:rsidRPr="0006440D">
        <w:rPr>
          <w:lang w:val="en-US"/>
        </w:rPr>
        <w:t xml:space="preserve"> </w:t>
      </w:r>
      <w:proofErr w:type="spellStart"/>
      <w:r w:rsidRPr="0006440D">
        <w:rPr>
          <w:lang w:val="en-US"/>
        </w:rPr>
        <w:t>öğrendiklerini</w:t>
      </w:r>
      <w:proofErr w:type="spellEnd"/>
      <w:r w:rsidRPr="0006440D">
        <w:rPr>
          <w:lang w:val="en-US"/>
        </w:rPr>
        <w:t xml:space="preserve"> </w:t>
      </w:r>
      <w:proofErr w:type="spellStart"/>
      <w:r w:rsidRPr="0006440D">
        <w:rPr>
          <w:lang w:val="en-US"/>
        </w:rPr>
        <w:t>basitleştirme</w:t>
      </w:r>
      <w:proofErr w:type="spellEnd"/>
      <w:r w:rsidRPr="0006440D">
        <w:rPr>
          <w:lang w:val="en-US"/>
        </w:rPr>
        <w:t xml:space="preserve"> </w:t>
      </w:r>
      <w:proofErr w:type="spellStart"/>
      <w:r w:rsidRPr="0006440D">
        <w:rPr>
          <w:lang w:val="en-US"/>
        </w:rPr>
        <w:t>eğilimleri</w:t>
      </w:r>
      <w:proofErr w:type="spellEnd"/>
      <w:r w:rsidRPr="0006440D">
        <w:rPr>
          <w:lang w:val="en-US"/>
        </w:rPr>
        <w:t xml:space="preserve">, </w:t>
      </w:r>
      <w:proofErr w:type="spellStart"/>
      <w:r w:rsidRPr="0006440D">
        <w:rPr>
          <w:lang w:val="en-US"/>
        </w:rPr>
        <w:t>Profesör</w:t>
      </w:r>
      <w:proofErr w:type="spellEnd"/>
      <w:r w:rsidRPr="0006440D">
        <w:rPr>
          <w:lang w:val="en-US"/>
        </w:rPr>
        <w:t xml:space="preserve"> </w:t>
      </w:r>
      <w:proofErr w:type="spellStart"/>
      <w:r w:rsidRPr="0006440D">
        <w:rPr>
          <w:lang w:val="en-US"/>
        </w:rPr>
        <w:lastRenderedPageBreak/>
        <w:t>Bobbitt'in</w:t>
      </w:r>
      <w:proofErr w:type="spellEnd"/>
      <w:r w:rsidRPr="0006440D">
        <w:rPr>
          <w:lang w:val="en-US"/>
        </w:rPr>
        <w:t xml:space="preserve"> </w:t>
      </w:r>
      <w:proofErr w:type="spellStart"/>
      <w:r w:rsidRPr="0006440D">
        <w:rPr>
          <w:lang w:val="en-US"/>
        </w:rPr>
        <w:t>meşru</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meşru</w:t>
      </w:r>
      <w:proofErr w:type="spellEnd"/>
      <w:r w:rsidRPr="0006440D">
        <w:rPr>
          <w:lang w:val="en-US"/>
        </w:rPr>
        <w:t xml:space="preserve"> </w:t>
      </w:r>
      <w:proofErr w:type="spellStart"/>
      <w:r w:rsidRPr="0006440D">
        <w:rPr>
          <w:lang w:val="en-US"/>
        </w:rPr>
        <w:t>olmayan</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argümanlar</w:t>
      </w:r>
      <w:proofErr w:type="spellEnd"/>
      <w:r w:rsidRPr="0006440D">
        <w:rPr>
          <w:lang w:val="en-US"/>
        </w:rPr>
        <w:t xml:space="preserve"> </w:t>
      </w:r>
      <w:proofErr w:type="spellStart"/>
      <w:r w:rsidRPr="0006440D">
        <w:rPr>
          <w:lang w:val="en-US"/>
        </w:rPr>
        <w:t>arasında</w:t>
      </w:r>
      <w:proofErr w:type="spellEnd"/>
      <w:r w:rsidRPr="0006440D">
        <w:rPr>
          <w:lang w:val="en-US"/>
        </w:rPr>
        <w:t xml:space="preserve"> </w:t>
      </w:r>
      <w:proofErr w:type="spellStart"/>
      <w:r w:rsidRPr="0006440D">
        <w:rPr>
          <w:lang w:val="en-US"/>
        </w:rPr>
        <w:t>çizdiği</w:t>
      </w:r>
      <w:proofErr w:type="spellEnd"/>
      <w:r w:rsidRPr="0006440D">
        <w:rPr>
          <w:lang w:val="en-US"/>
        </w:rPr>
        <w:t xml:space="preserve"> </w:t>
      </w:r>
      <w:proofErr w:type="spellStart"/>
      <w:r w:rsidRPr="0006440D">
        <w:rPr>
          <w:lang w:val="en-US"/>
        </w:rPr>
        <w:t>sınırın</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yapımızın</w:t>
      </w:r>
      <w:proofErr w:type="spellEnd"/>
      <w:r w:rsidRPr="0006440D">
        <w:rPr>
          <w:lang w:val="en-US"/>
        </w:rPr>
        <w:t xml:space="preserve"> </w:t>
      </w:r>
      <w:proofErr w:type="spellStart"/>
      <w:r w:rsidRPr="0006440D">
        <w:rPr>
          <w:lang w:val="en-US"/>
        </w:rPr>
        <w:t>veya</w:t>
      </w:r>
      <w:proofErr w:type="spellEnd"/>
      <w:r w:rsidRPr="0006440D">
        <w:rPr>
          <w:lang w:val="en-US"/>
        </w:rPr>
        <w:t xml:space="preserve"> </w:t>
      </w:r>
      <w:proofErr w:type="spellStart"/>
      <w:r w:rsidRPr="0006440D">
        <w:rPr>
          <w:lang w:val="en-US"/>
        </w:rPr>
        <w:t>tasarımımızın</w:t>
      </w:r>
      <w:proofErr w:type="spellEnd"/>
      <w:r w:rsidRPr="0006440D">
        <w:rPr>
          <w:lang w:val="en-US"/>
        </w:rPr>
        <w:t xml:space="preserve"> </w:t>
      </w:r>
      <w:proofErr w:type="spellStart"/>
      <w:r w:rsidRPr="0006440D">
        <w:rPr>
          <w:lang w:val="en-US"/>
        </w:rPr>
        <w:t>doğal</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parçası</w:t>
      </w:r>
      <w:proofErr w:type="spellEnd"/>
      <w:r w:rsidRPr="0006440D">
        <w:rPr>
          <w:lang w:val="en-US"/>
        </w:rPr>
        <w:t xml:space="preserve"> </w:t>
      </w:r>
      <w:proofErr w:type="spellStart"/>
      <w:r w:rsidRPr="0006440D">
        <w:rPr>
          <w:lang w:val="en-US"/>
        </w:rPr>
        <w:t>olduğu</w:t>
      </w:r>
      <w:proofErr w:type="spellEnd"/>
      <w:r w:rsidRPr="0006440D">
        <w:rPr>
          <w:lang w:val="en-US"/>
        </w:rPr>
        <w:t xml:space="preserve"> </w:t>
      </w:r>
      <w:proofErr w:type="spellStart"/>
      <w:r w:rsidRPr="0006440D">
        <w:rPr>
          <w:lang w:val="en-US"/>
        </w:rPr>
        <w:t>inancına</w:t>
      </w:r>
      <w:proofErr w:type="spellEnd"/>
      <w:r w:rsidRPr="0006440D">
        <w:rPr>
          <w:lang w:val="en-US"/>
        </w:rPr>
        <w:t xml:space="preserve"> </w:t>
      </w:r>
      <w:proofErr w:type="spellStart"/>
      <w:r w:rsidRPr="0006440D">
        <w:rPr>
          <w:lang w:val="en-US"/>
        </w:rPr>
        <w:t>yol</w:t>
      </w:r>
      <w:proofErr w:type="spellEnd"/>
      <w:r w:rsidRPr="0006440D">
        <w:rPr>
          <w:lang w:val="en-US"/>
        </w:rPr>
        <w:t xml:space="preserve"> </w:t>
      </w:r>
      <w:proofErr w:type="spellStart"/>
      <w:r w:rsidRPr="0006440D">
        <w:rPr>
          <w:lang w:val="en-US"/>
        </w:rPr>
        <w:t>açmıştır</w:t>
      </w:r>
      <w:proofErr w:type="spellEnd"/>
      <w:r w:rsidRPr="0006440D">
        <w:rPr>
          <w:lang w:val="en-US"/>
        </w:rPr>
        <w:t xml:space="preserve">. </w:t>
      </w:r>
      <w:proofErr w:type="spellStart"/>
      <w:r w:rsidRPr="0006440D">
        <w:rPr>
          <w:lang w:val="en-US"/>
        </w:rPr>
        <w:t>Ancak</w:t>
      </w:r>
      <w:proofErr w:type="spellEnd"/>
      <w:r w:rsidRPr="0006440D">
        <w:rPr>
          <w:lang w:val="en-US"/>
        </w:rPr>
        <w:t xml:space="preserve"> </w:t>
      </w:r>
      <w:proofErr w:type="spellStart"/>
      <w:r w:rsidRPr="0006440D">
        <w:rPr>
          <w:lang w:val="en-US"/>
        </w:rPr>
        <w:t>böyle</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sonuç</w:t>
      </w:r>
      <w:proofErr w:type="spellEnd"/>
      <w:r w:rsidRPr="0006440D">
        <w:rPr>
          <w:lang w:val="en-US"/>
        </w:rPr>
        <w:t xml:space="preserve"> </w:t>
      </w:r>
      <w:proofErr w:type="spellStart"/>
      <w:r w:rsidRPr="0006440D">
        <w:rPr>
          <w:lang w:val="en-US"/>
        </w:rPr>
        <w:t>iki</w:t>
      </w:r>
      <w:proofErr w:type="spellEnd"/>
      <w:r w:rsidRPr="0006440D">
        <w:rPr>
          <w:lang w:val="en-US"/>
        </w:rPr>
        <w:t xml:space="preserve"> </w:t>
      </w:r>
      <w:proofErr w:type="spellStart"/>
      <w:r w:rsidRPr="0006440D">
        <w:rPr>
          <w:lang w:val="en-US"/>
        </w:rPr>
        <w:t>nedenle</w:t>
      </w:r>
      <w:proofErr w:type="spellEnd"/>
      <w:r w:rsidRPr="0006440D">
        <w:rPr>
          <w:lang w:val="en-US"/>
        </w:rPr>
        <w:t xml:space="preserve"> </w:t>
      </w:r>
      <w:proofErr w:type="spellStart"/>
      <w:r w:rsidRPr="0006440D">
        <w:rPr>
          <w:lang w:val="en-US"/>
        </w:rPr>
        <w:t>ciddi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sorun</w:t>
      </w:r>
      <w:proofErr w:type="spellEnd"/>
      <w:r w:rsidRPr="0006440D">
        <w:rPr>
          <w:lang w:val="en-US"/>
        </w:rPr>
        <w:t xml:space="preserve"> </w:t>
      </w:r>
      <w:proofErr w:type="spellStart"/>
      <w:r w:rsidRPr="0006440D">
        <w:rPr>
          <w:lang w:val="en-US"/>
        </w:rPr>
        <w:t>teşkil</w:t>
      </w:r>
      <w:proofErr w:type="spellEnd"/>
      <w:r w:rsidRPr="0006440D">
        <w:rPr>
          <w:lang w:val="en-US"/>
        </w:rPr>
        <w:t xml:space="preserve"> </w:t>
      </w:r>
      <w:proofErr w:type="spellStart"/>
      <w:r w:rsidRPr="0006440D">
        <w:rPr>
          <w:lang w:val="en-US"/>
        </w:rPr>
        <w:t>etmektedir</w:t>
      </w:r>
      <w:proofErr w:type="spellEnd"/>
      <w:r w:rsidRPr="0006440D">
        <w:rPr>
          <w:lang w:val="en-US"/>
        </w:rPr>
        <w:t xml:space="preserve">: </w:t>
      </w:r>
      <w:proofErr w:type="spellStart"/>
      <w:r w:rsidRPr="0006440D">
        <w:rPr>
          <w:lang w:val="en-US"/>
        </w:rPr>
        <w:t>Bunlardan</w:t>
      </w:r>
      <w:proofErr w:type="spellEnd"/>
      <w:r w:rsidRPr="0006440D">
        <w:rPr>
          <w:lang w:val="en-US"/>
        </w:rPr>
        <w:t xml:space="preserve"> </w:t>
      </w:r>
      <w:proofErr w:type="spellStart"/>
      <w:r w:rsidRPr="0006440D">
        <w:rPr>
          <w:lang w:val="en-US"/>
        </w:rPr>
        <w:t>biri</w:t>
      </w:r>
      <w:proofErr w:type="spellEnd"/>
      <w:r w:rsidRPr="0006440D">
        <w:rPr>
          <w:lang w:val="en-US"/>
        </w:rPr>
        <w:t xml:space="preserve">, </w:t>
      </w:r>
      <w:proofErr w:type="spellStart"/>
      <w:r w:rsidRPr="0006440D">
        <w:rPr>
          <w:lang w:val="en-US"/>
        </w:rPr>
        <w:t>Bobbitt'in</w:t>
      </w:r>
      <w:proofErr w:type="spellEnd"/>
      <w:r w:rsidRPr="0006440D">
        <w:rPr>
          <w:lang w:val="en-US"/>
        </w:rPr>
        <w:t xml:space="preserve"> </w:t>
      </w:r>
      <w:proofErr w:type="spellStart"/>
      <w:r w:rsidRPr="0006440D">
        <w:rPr>
          <w:lang w:val="en-US"/>
        </w:rPr>
        <w:t>kendi</w:t>
      </w:r>
      <w:proofErr w:type="spellEnd"/>
      <w:r w:rsidRPr="0006440D">
        <w:rPr>
          <w:lang w:val="en-US"/>
        </w:rPr>
        <w:t xml:space="preserve"> </w:t>
      </w:r>
      <w:proofErr w:type="spellStart"/>
      <w:r w:rsidRPr="0006440D">
        <w:rPr>
          <w:lang w:val="en-US"/>
        </w:rPr>
        <w:t>analizinin</w:t>
      </w:r>
      <w:proofErr w:type="spellEnd"/>
      <w:r w:rsidRPr="0006440D">
        <w:rPr>
          <w:lang w:val="en-US"/>
        </w:rPr>
        <w:t xml:space="preserve"> </w:t>
      </w:r>
      <w:proofErr w:type="spellStart"/>
      <w:r w:rsidRPr="0006440D">
        <w:rPr>
          <w:lang w:val="en-US"/>
        </w:rPr>
        <w:t>merkezinde</w:t>
      </w:r>
      <w:proofErr w:type="spellEnd"/>
      <w:r w:rsidRPr="0006440D">
        <w:rPr>
          <w:lang w:val="en-US"/>
        </w:rPr>
        <w:t xml:space="preserve"> </w:t>
      </w:r>
      <w:proofErr w:type="spellStart"/>
      <w:r w:rsidRPr="0006440D">
        <w:rPr>
          <w:lang w:val="en-US"/>
        </w:rPr>
        <w:t>yer</w:t>
      </w:r>
      <w:proofErr w:type="spellEnd"/>
      <w:r w:rsidRPr="0006440D">
        <w:rPr>
          <w:lang w:val="en-US"/>
        </w:rPr>
        <w:t xml:space="preserve"> </w:t>
      </w:r>
      <w:proofErr w:type="spellStart"/>
      <w:r w:rsidRPr="0006440D">
        <w:rPr>
          <w:lang w:val="en-US"/>
        </w:rPr>
        <w:t>almakla</w:t>
      </w:r>
      <w:proofErr w:type="spellEnd"/>
      <w:r w:rsidRPr="0006440D">
        <w:rPr>
          <w:lang w:val="en-US"/>
        </w:rPr>
        <w:t xml:space="preserve"> </w:t>
      </w:r>
      <w:proofErr w:type="spellStart"/>
      <w:r w:rsidRPr="0006440D">
        <w:rPr>
          <w:lang w:val="en-US"/>
        </w:rPr>
        <w:t>birlikte</w:t>
      </w:r>
      <w:proofErr w:type="spellEnd"/>
      <w:r w:rsidRPr="0006440D">
        <w:rPr>
          <w:lang w:val="en-US"/>
        </w:rPr>
        <w:t xml:space="preserve"> </w:t>
      </w:r>
      <w:proofErr w:type="spellStart"/>
      <w:r w:rsidRPr="0006440D">
        <w:rPr>
          <w:lang w:val="en-US"/>
        </w:rPr>
        <w:t>büyük</w:t>
      </w:r>
      <w:proofErr w:type="spellEnd"/>
      <w:r w:rsidRPr="0006440D">
        <w:rPr>
          <w:lang w:val="en-US"/>
        </w:rPr>
        <w:t xml:space="preserve"> </w:t>
      </w:r>
      <w:proofErr w:type="spellStart"/>
      <w:r w:rsidRPr="0006440D">
        <w:rPr>
          <w:lang w:val="en-US"/>
        </w:rPr>
        <w:t>ölçüde</w:t>
      </w:r>
      <w:proofErr w:type="spellEnd"/>
      <w:r w:rsidRPr="0006440D">
        <w:rPr>
          <w:lang w:val="en-US"/>
        </w:rPr>
        <w:t xml:space="preserve"> </w:t>
      </w:r>
      <w:proofErr w:type="spellStart"/>
      <w:r w:rsidRPr="0006440D">
        <w:rPr>
          <w:lang w:val="en-US"/>
        </w:rPr>
        <w:t>unutulmuş</w:t>
      </w:r>
      <w:proofErr w:type="spellEnd"/>
      <w:r w:rsidRPr="0006440D">
        <w:rPr>
          <w:lang w:val="en-US"/>
        </w:rPr>
        <w:t xml:space="preserve"> </w:t>
      </w:r>
      <w:proofErr w:type="spellStart"/>
      <w:r w:rsidRPr="0006440D">
        <w:rPr>
          <w:lang w:val="en-US"/>
        </w:rPr>
        <w:t>olan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husustur</w:t>
      </w:r>
      <w:proofErr w:type="spellEnd"/>
      <w:r w:rsidRPr="0006440D">
        <w:rPr>
          <w:lang w:val="en-US"/>
        </w:rPr>
        <w:t xml:space="preserve">; </w:t>
      </w:r>
      <w:proofErr w:type="spellStart"/>
      <w:r w:rsidRPr="0006440D">
        <w:rPr>
          <w:lang w:val="en-US"/>
        </w:rPr>
        <w:t>diğeri</w:t>
      </w:r>
      <w:proofErr w:type="spellEnd"/>
      <w:r w:rsidRPr="0006440D">
        <w:rPr>
          <w:lang w:val="en-US"/>
        </w:rPr>
        <w:t xml:space="preserve"> </w:t>
      </w:r>
      <w:proofErr w:type="spellStart"/>
      <w:r w:rsidRPr="0006440D">
        <w:rPr>
          <w:lang w:val="en-US"/>
        </w:rPr>
        <w:t>ise</w:t>
      </w:r>
      <w:proofErr w:type="spellEnd"/>
      <w:r w:rsidRPr="0006440D">
        <w:rPr>
          <w:lang w:val="en-US"/>
        </w:rPr>
        <w:t xml:space="preserve"> </w:t>
      </w:r>
      <w:proofErr w:type="spellStart"/>
      <w:r w:rsidRPr="0006440D">
        <w:rPr>
          <w:lang w:val="en-US"/>
        </w:rPr>
        <w:t>onun</w:t>
      </w:r>
      <w:proofErr w:type="spellEnd"/>
      <w:r w:rsidRPr="0006440D">
        <w:rPr>
          <w:lang w:val="en-US"/>
        </w:rPr>
        <w:t xml:space="preserve"> </w:t>
      </w:r>
      <w:proofErr w:type="spellStart"/>
      <w:r w:rsidRPr="0006440D">
        <w:rPr>
          <w:lang w:val="en-US"/>
        </w:rPr>
        <w:t>yaklaşımına</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meydan</w:t>
      </w:r>
      <w:proofErr w:type="spellEnd"/>
      <w:r w:rsidRPr="0006440D">
        <w:rPr>
          <w:lang w:val="en-US"/>
        </w:rPr>
        <w:t xml:space="preserve"> </w:t>
      </w:r>
      <w:proofErr w:type="spellStart"/>
      <w:r w:rsidRPr="0006440D">
        <w:rPr>
          <w:lang w:val="en-US"/>
        </w:rPr>
        <w:t>okuma</w:t>
      </w:r>
      <w:proofErr w:type="spellEnd"/>
      <w:r w:rsidRPr="0006440D">
        <w:rPr>
          <w:lang w:val="en-US"/>
        </w:rPr>
        <w:t xml:space="preserve"> </w:t>
      </w:r>
      <w:proofErr w:type="spellStart"/>
      <w:r w:rsidRPr="0006440D">
        <w:rPr>
          <w:lang w:val="en-US"/>
        </w:rPr>
        <w:t>oluşturmaktadır</w:t>
      </w:r>
      <w:proofErr w:type="spellEnd"/>
      <w:r w:rsidRPr="0006440D">
        <w:rPr>
          <w:lang w:val="en-US"/>
        </w:rPr>
        <w:t>.</w:t>
      </w:r>
    </w:p>
    <w:p w14:paraId="62070E39" w14:textId="5B69BADF" w:rsidR="0006440D" w:rsidRDefault="0006440D" w:rsidP="0006440D">
      <w:pPr>
        <w:rPr>
          <w:lang w:val="en-US"/>
        </w:rPr>
      </w:pPr>
      <w:r w:rsidRPr="0006440D">
        <w:rPr>
          <w:lang w:val="en-US"/>
        </w:rPr>
        <w:t xml:space="preserve">İlk </w:t>
      </w:r>
      <w:proofErr w:type="spellStart"/>
      <w:r w:rsidRPr="0006440D">
        <w:rPr>
          <w:lang w:val="en-US"/>
        </w:rPr>
        <w:t>olarak</w:t>
      </w:r>
      <w:proofErr w:type="spellEnd"/>
      <w:r w:rsidRPr="0006440D">
        <w:rPr>
          <w:lang w:val="en-US"/>
        </w:rPr>
        <w:t xml:space="preserve">, </w:t>
      </w:r>
      <w:proofErr w:type="spellStart"/>
      <w:r w:rsidRPr="0006440D">
        <w:rPr>
          <w:lang w:val="en-US"/>
        </w:rPr>
        <w:t>Profesör</w:t>
      </w:r>
      <w:proofErr w:type="spellEnd"/>
      <w:r w:rsidRPr="0006440D">
        <w:rPr>
          <w:lang w:val="en-US"/>
        </w:rPr>
        <w:t xml:space="preserve"> </w:t>
      </w:r>
      <w:proofErr w:type="spellStart"/>
      <w:r w:rsidRPr="0006440D">
        <w:rPr>
          <w:lang w:val="en-US"/>
        </w:rPr>
        <w:t>Bobbitt'in</w:t>
      </w:r>
      <w:proofErr w:type="spellEnd"/>
      <w:r w:rsidRPr="0006440D">
        <w:rPr>
          <w:lang w:val="en-US"/>
        </w:rPr>
        <w:t xml:space="preserve"> </w:t>
      </w:r>
      <w:proofErr w:type="spellStart"/>
      <w:r w:rsidRPr="0006440D">
        <w:rPr>
          <w:lang w:val="en-US"/>
        </w:rPr>
        <w:t>kendisinin</w:t>
      </w:r>
      <w:proofErr w:type="spellEnd"/>
      <w:r w:rsidRPr="0006440D">
        <w:rPr>
          <w:lang w:val="en-US"/>
        </w:rPr>
        <w:t xml:space="preserve"> de </w:t>
      </w:r>
      <w:proofErr w:type="spellStart"/>
      <w:r w:rsidRPr="0006440D">
        <w:rPr>
          <w:lang w:val="en-US"/>
        </w:rPr>
        <w:t>vurguladığı</w:t>
      </w:r>
      <w:proofErr w:type="spellEnd"/>
      <w:r w:rsidRPr="0006440D">
        <w:rPr>
          <w:lang w:val="en-US"/>
        </w:rPr>
        <w:t xml:space="preserve"> </w:t>
      </w:r>
      <w:proofErr w:type="spellStart"/>
      <w:r w:rsidRPr="0006440D">
        <w:rPr>
          <w:lang w:val="en-US"/>
        </w:rPr>
        <w:t>gibi</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kültürümüzde</w:t>
      </w:r>
      <w:proofErr w:type="spellEnd"/>
      <w:r w:rsidRPr="0006440D">
        <w:rPr>
          <w:lang w:val="en-US"/>
        </w:rPr>
        <w:t xml:space="preserve"> </w:t>
      </w:r>
      <w:proofErr w:type="spellStart"/>
      <w:r w:rsidRPr="0006440D">
        <w:rPr>
          <w:lang w:val="en-US"/>
        </w:rPr>
        <w:t>yankı</w:t>
      </w:r>
      <w:proofErr w:type="spellEnd"/>
      <w:r w:rsidRPr="0006440D">
        <w:rPr>
          <w:lang w:val="en-US"/>
        </w:rPr>
        <w:t xml:space="preserve"> </w:t>
      </w:r>
      <w:proofErr w:type="spellStart"/>
      <w:r w:rsidRPr="0006440D">
        <w:rPr>
          <w:lang w:val="en-US"/>
        </w:rPr>
        <w:t>bulan</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iddialar</w:t>
      </w:r>
      <w:proofErr w:type="spellEnd"/>
      <w:r w:rsidRPr="0006440D">
        <w:rPr>
          <w:lang w:val="en-US"/>
        </w:rPr>
        <w:t xml:space="preserve">, </w:t>
      </w:r>
      <w:proofErr w:type="spellStart"/>
      <w:r w:rsidRPr="0006440D">
        <w:rPr>
          <w:lang w:val="en-US"/>
        </w:rPr>
        <w:t>tarihsel</w:t>
      </w:r>
      <w:proofErr w:type="spellEnd"/>
      <w:r w:rsidRPr="0006440D">
        <w:rPr>
          <w:lang w:val="en-US"/>
        </w:rPr>
        <w:t xml:space="preserve"> </w:t>
      </w:r>
      <w:proofErr w:type="spellStart"/>
      <w:r w:rsidRPr="0006440D">
        <w:rPr>
          <w:lang w:val="en-US"/>
        </w:rPr>
        <w:t>evrimin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ürünü</w:t>
      </w:r>
      <w:proofErr w:type="spellEnd"/>
      <w:r w:rsidRPr="0006440D">
        <w:rPr>
          <w:lang w:val="en-US"/>
        </w:rPr>
        <w:t xml:space="preserve"> </w:t>
      </w:r>
      <w:proofErr w:type="spellStart"/>
      <w:r w:rsidRPr="0006440D">
        <w:rPr>
          <w:lang w:val="en-US"/>
        </w:rPr>
        <w:t>olup</w:t>
      </w:r>
      <w:proofErr w:type="spellEnd"/>
      <w:r w:rsidRPr="0006440D">
        <w:rPr>
          <w:lang w:val="en-US"/>
        </w:rPr>
        <w:t xml:space="preserve">, Amerikan </w:t>
      </w:r>
      <w:proofErr w:type="spellStart"/>
      <w:r w:rsidRPr="0006440D">
        <w:rPr>
          <w:lang w:val="en-US"/>
        </w:rPr>
        <w:t>anayasal</w:t>
      </w:r>
      <w:proofErr w:type="spellEnd"/>
      <w:r w:rsidRPr="0006440D">
        <w:rPr>
          <w:lang w:val="en-US"/>
        </w:rPr>
        <w:t xml:space="preserve"> </w:t>
      </w:r>
      <w:proofErr w:type="spellStart"/>
      <w:r w:rsidRPr="0006440D">
        <w:rPr>
          <w:lang w:val="en-US"/>
        </w:rPr>
        <w:t>söylemine</w:t>
      </w:r>
      <w:proofErr w:type="spellEnd"/>
      <w:r w:rsidRPr="0006440D">
        <w:rPr>
          <w:lang w:val="en-US"/>
        </w:rPr>
        <w:t xml:space="preserve"> </w:t>
      </w:r>
      <w:proofErr w:type="spellStart"/>
      <w:r w:rsidRPr="0006440D">
        <w:rPr>
          <w:lang w:val="en-US"/>
        </w:rPr>
        <w:t>egemen</w:t>
      </w:r>
      <w:proofErr w:type="spellEnd"/>
      <w:r w:rsidRPr="0006440D">
        <w:rPr>
          <w:lang w:val="en-US"/>
        </w:rPr>
        <w:t xml:space="preserve"> </w:t>
      </w:r>
      <w:proofErr w:type="spellStart"/>
      <w:r w:rsidRPr="0006440D">
        <w:rPr>
          <w:lang w:val="en-US"/>
        </w:rPr>
        <w:t>olan</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dinleyici</w:t>
      </w:r>
      <w:proofErr w:type="spellEnd"/>
      <w:r w:rsidRPr="0006440D">
        <w:rPr>
          <w:lang w:val="en-US"/>
        </w:rPr>
        <w:t xml:space="preserve"> </w:t>
      </w:r>
      <w:proofErr w:type="spellStart"/>
      <w:r w:rsidRPr="0006440D">
        <w:rPr>
          <w:lang w:val="en-US"/>
        </w:rPr>
        <w:t>toplulukları</w:t>
      </w:r>
      <w:proofErr w:type="spellEnd"/>
      <w:r w:rsidRPr="0006440D">
        <w:rPr>
          <w:lang w:val="en-US"/>
        </w:rPr>
        <w:t xml:space="preserve"> </w:t>
      </w:r>
      <w:proofErr w:type="spellStart"/>
      <w:r w:rsidRPr="0006440D">
        <w:rPr>
          <w:lang w:val="en-US"/>
        </w:rPr>
        <w:t>arasındaki</w:t>
      </w:r>
      <w:proofErr w:type="spellEnd"/>
      <w:r w:rsidRPr="0006440D">
        <w:rPr>
          <w:lang w:val="en-US"/>
        </w:rPr>
        <w:t xml:space="preserve"> </w:t>
      </w:r>
      <w:proofErr w:type="spellStart"/>
      <w:r w:rsidRPr="0006440D">
        <w:rPr>
          <w:lang w:val="en-US"/>
        </w:rPr>
        <w:t>retorik</w:t>
      </w:r>
      <w:proofErr w:type="spellEnd"/>
      <w:r w:rsidRPr="0006440D">
        <w:rPr>
          <w:lang w:val="en-US"/>
        </w:rPr>
        <w:t xml:space="preserve"> </w:t>
      </w:r>
      <w:proofErr w:type="spellStart"/>
      <w:r w:rsidRPr="0006440D">
        <w:rPr>
          <w:lang w:val="en-US"/>
        </w:rPr>
        <w:t>deneme-yanılma</w:t>
      </w:r>
      <w:proofErr w:type="spellEnd"/>
      <w:r w:rsidRPr="0006440D">
        <w:rPr>
          <w:lang w:val="en-US"/>
        </w:rPr>
        <w:t xml:space="preserve"> </w:t>
      </w:r>
      <w:proofErr w:type="spellStart"/>
      <w:r w:rsidRPr="0006440D">
        <w:rPr>
          <w:lang w:val="en-US"/>
        </w:rPr>
        <w:t>sürecinin</w:t>
      </w:r>
      <w:proofErr w:type="spellEnd"/>
      <w:r w:rsidRPr="0006440D">
        <w:rPr>
          <w:lang w:val="en-US"/>
        </w:rPr>
        <w:t xml:space="preserve"> sonucudur.51 </w:t>
      </w:r>
      <w:r>
        <w:rPr>
          <w:rStyle w:val="FootnoteReference"/>
          <w:lang w:val="en-US"/>
        </w:rPr>
        <w:footnoteReference w:id="51"/>
      </w:r>
      <w:r>
        <w:rPr>
          <w:lang w:val="en-US"/>
        </w:rPr>
        <w:t xml:space="preserve"> </w:t>
      </w:r>
      <w:r w:rsidRPr="0006440D">
        <w:rPr>
          <w:lang w:val="en-US"/>
        </w:rPr>
        <w:t xml:space="preserve">Bu </w:t>
      </w:r>
      <w:proofErr w:type="spellStart"/>
      <w:r w:rsidRPr="0006440D">
        <w:rPr>
          <w:lang w:val="en-US"/>
        </w:rPr>
        <w:t>iddialar</w:t>
      </w:r>
      <w:proofErr w:type="spellEnd"/>
      <w:r w:rsidRPr="0006440D">
        <w:rPr>
          <w:lang w:val="en-US"/>
        </w:rPr>
        <w:t xml:space="preserve">, </w:t>
      </w:r>
      <w:proofErr w:type="spellStart"/>
      <w:r w:rsidRPr="0006440D">
        <w:rPr>
          <w:lang w:val="en-US"/>
        </w:rPr>
        <w:t>yankı</w:t>
      </w:r>
      <w:proofErr w:type="spellEnd"/>
      <w:r w:rsidRPr="0006440D">
        <w:rPr>
          <w:lang w:val="en-US"/>
        </w:rPr>
        <w:t xml:space="preserve"> </w:t>
      </w:r>
      <w:proofErr w:type="spellStart"/>
      <w:r w:rsidRPr="0006440D">
        <w:rPr>
          <w:lang w:val="en-US"/>
        </w:rPr>
        <w:t>uyandırdıkları</w:t>
      </w:r>
      <w:proofErr w:type="spellEnd"/>
      <w:r w:rsidRPr="0006440D">
        <w:rPr>
          <w:lang w:val="en-US"/>
        </w:rPr>
        <w:t xml:space="preserve"> </w:t>
      </w:r>
      <w:proofErr w:type="spellStart"/>
      <w:r w:rsidRPr="0006440D">
        <w:rPr>
          <w:lang w:val="en-US"/>
        </w:rPr>
        <w:t>için</w:t>
      </w:r>
      <w:proofErr w:type="spellEnd"/>
      <w:r w:rsidRPr="0006440D">
        <w:rPr>
          <w:lang w:val="en-US"/>
        </w:rPr>
        <w:t xml:space="preserve"> </w:t>
      </w:r>
      <w:proofErr w:type="spellStart"/>
      <w:r w:rsidRPr="0006440D">
        <w:rPr>
          <w:lang w:val="en-US"/>
        </w:rPr>
        <w:t>başarılı</w:t>
      </w:r>
      <w:proofErr w:type="spellEnd"/>
      <w:r w:rsidRPr="0006440D">
        <w:rPr>
          <w:lang w:val="en-US"/>
        </w:rPr>
        <w:t xml:space="preserve"> </w:t>
      </w:r>
      <w:proofErr w:type="spellStart"/>
      <w:r w:rsidRPr="0006440D">
        <w:rPr>
          <w:lang w:val="en-US"/>
        </w:rPr>
        <w:t>olmakta</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meşruiyetlerini</w:t>
      </w:r>
      <w:proofErr w:type="spellEnd"/>
      <w:r w:rsidRPr="0006440D">
        <w:rPr>
          <w:lang w:val="en-US"/>
        </w:rPr>
        <w:t xml:space="preserve"> </w:t>
      </w:r>
      <w:proofErr w:type="spellStart"/>
      <w:r w:rsidRPr="0006440D">
        <w:rPr>
          <w:lang w:val="en-US"/>
        </w:rPr>
        <w:t>etkili</w:t>
      </w:r>
      <w:proofErr w:type="spellEnd"/>
      <w:r w:rsidRPr="0006440D">
        <w:rPr>
          <w:lang w:val="en-US"/>
        </w:rPr>
        <w:t xml:space="preserve"> </w:t>
      </w:r>
      <w:proofErr w:type="spellStart"/>
      <w:r w:rsidRPr="0006440D">
        <w:rPr>
          <w:lang w:val="en-US"/>
        </w:rPr>
        <w:t>olmalarından</w:t>
      </w:r>
      <w:proofErr w:type="spellEnd"/>
      <w:r w:rsidRPr="0006440D">
        <w:rPr>
          <w:lang w:val="en-US"/>
        </w:rPr>
        <w:t xml:space="preserve"> </w:t>
      </w:r>
      <w:proofErr w:type="spellStart"/>
      <w:r w:rsidRPr="0006440D">
        <w:rPr>
          <w:lang w:val="en-US"/>
        </w:rPr>
        <w:t>almaktadır</w:t>
      </w:r>
      <w:proofErr w:type="spellEnd"/>
      <w:r w:rsidRPr="0006440D">
        <w:rPr>
          <w:lang w:val="en-US"/>
        </w:rPr>
        <w:t xml:space="preserve">. </w:t>
      </w:r>
      <w:proofErr w:type="spellStart"/>
      <w:r w:rsidRPr="0006440D">
        <w:rPr>
          <w:lang w:val="en-US"/>
        </w:rPr>
        <w:t>Başka</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sistemlerde</w:t>
      </w:r>
      <w:proofErr w:type="spellEnd"/>
      <w:r w:rsidRPr="0006440D">
        <w:rPr>
          <w:lang w:val="en-US"/>
        </w:rPr>
        <w:t xml:space="preserve">, </w:t>
      </w:r>
      <w:proofErr w:type="spellStart"/>
      <w:r w:rsidRPr="0006440D">
        <w:rPr>
          <w:lang w:val="en-US"/>
        </w:rPr>
        <w:t>farklı</w:t>
      </w:r>
      <w:proofErr w:type="spellEnd"/>
      <w:r w:rsidRPr="0006440D">
        <w:rPr>
          <w:lang w:val="en-US"/>
        </w:rPr>
        <w:t xml:space="preserve"> </w:t>
      </w:r>
      <w:proofErr w:type="spellStart"/>
      <w:r w:rsidRPr="0006440D">
        <w:rPr>
          <w:lang w:val="en-US"/>
        </w:rPr>
        <w:t>argüman</w:t>
      </w:r>
      <w:proofErr w:type="spellEnd"/>
      <w:r w:rsidRPr="0006440D">
        <w:rPr>
          <w:lang w:val="en-US"/>
        </w:rPr>
        <w:t xml:space="preserve"> </w:t>
      </w:r>
      <w:proofErr w:type="spellStart"/>
      <w:r w:rsidRPr="0006440D">
        <w:rPr>
          <w:lang w:val="en-US"/>
        </w:rPr>
        <w:t>türlerinin</w:t>
      </w:r>
      <w:proofErr w:type="spellEnd"/>
      <w:r w:rsidRPr="0006440D">
        <w:rPr>
          <w:lang w:val="en-US"/>
        </w:rPr>
        <w:t xml:space="preserve"> </w:t>
      </w:r>
      <w:proofErr w:type="spellStart"/>
      <w:r w:rsidRPr="0006440D">
        <w:rPr>
          <w:lang w:val="en-US"/>
        </w:rPr>
        <w:t>meşru</w:t>
      </w:r>
      <w:proofErr w:type="spellEnd"/>
      <w:r w:rsidRPr="0006440D">
        <w:rPr>
          <w:lang w:val="en-US"/>
        </w:rPr>
        <w:t xml:space="preserve"> </w:t>
      </w:r>
      <w:proofErr w:type="spellStart"/>
      <w:r w:rsidRPr="0006440D">
        <w:rPr>
          <w:lang w:val="en-US"/>
        </w:rPr>
        <w:t>veya</w:t>
      </w:r>
      <w:proofErr w:type="spellEnd"/>
      <w:r w:rsidRPr="0006440D">
        <w:rPr>
          <w:lang w:val="en-US"/>
        </w:rPr>
        <w:t xml:space="preserve"> </w:t>
      </w:r>
      <w:proofErr w:type="spellStart"/>
      <w:r w:rsidRPr="0006440D">
        <w:rPr>
          <w:lang w:val="en-US"/>
        </w:rPr>
        <w:t>belirleyici</w:t>
      </w:r>
      <w:proofErr w:type="spellEnd"/>
      <w:r w:rsidRPr="0006440D">
        <w:rPr>
          <w:lang w:val="en-US"/>
        </w:rPr>
        <w:t xml:space="preserve"> </w:t>
      </w:r>
      <w:proofErr w:type="spellStart"/>
      <w:r w:rsidRPr="0006440D">
        <w:rPr>
          <w:lang w:val="en-US"/>
        </w:rPr>
        <w:t>kabul</w:t>
      </w:r>
      <w:proofErr w:type="spellEnd"/>
      <w:r w:rsidRPr="0006440D">
        <w:rPr>
          <w:lang w:val="en-US"/>
        </w:rPr>
        <w:t xml:space="preserve"> </w:t>
      </w:r>
      <w:proofErr w:type="spellStart"/>
      <w:r w:rsidRPr="0006440D">
        <w:rPr>
          <w:lang w:val="en-US"/>
        </w:rPr>
        <w:t>edildiği</w:t>
      </w:r>
      <w:proofErr w:type="spellEnd"/>
      <w:r w:rsidRPr="0006440D">
        <w:rPr>
          <w:lang w:val="en-US"/>
        </w:rPr>
        <w:t xml:space="preserve"> </w:t>
      </w:r>
      <w:proofErr w:type="spellStart"/>
      <w:r w:rsidRPr="0006440D">
        <w:rPr>
          <w:lang w:val="en-US"/>
        </w:rPr>
        <w:t>düşünülebilir</w:t>
      </w:r>
      <w:proofErr w:type="spellEnd"/>
      <w:r w:rsidRPr="0006440D">
        <w:rPr>
          <w:lang w:val="en-US"/>
        </w:rPr>
        <w:t xml:space="preserve"> (</w:t>
      </w:r>
      <w:proofErr w:type="spellStart"/>
      <w:r w:rsidRPr="0006440D">
        <w:rPr>
          <w:lang w:val="en-US"/>
        </w:rPr>
        <w:t>nitekim</w:t>
      </w:r>
      <w:proofErr w:type="spellEnd"/>
      <w:r w:rsidRPr="0006440D">
        <w:rPr>
          <w:lang w:val="en-US"/>
        </w:rPr>
        <w:t xml:space="preserve"> </w:t>
      </w:r>
      <w:proofErr w:type="spellStart"/>
      <w:r w:rsidRPr="0006440D">
        <w:rPr>
          <w:lang w:val="en-US"/>
        </w:rPr>
        <w:t>böyle</w:t>
      </w:r>
      <w:proofErr w:type="spellEnd"/>
      <w:r w:rsidRPr="0006440D">
        <w:rPr>
          <w:lang w:val="en-US"/>
        </w:rPr>
        <w:t xml:space="preserve"> </w:t>
      </w:r>
      <w:proofErr w:type="spellStart"/>
      <w:r w:rsidRPr="0006440D">
        <w:rPr>
          <w:lang w:val="en-US"/>
        </w:rPr>
        <w:t>sistemler</w:t>
      </w:r>
      <w:proofErr w:type="spellEnd"/>
      <w:r w:rsidRPr="0006440D">
        <w:rPr>
          <w:lang w:val="en-US"/>
        </w:rPr>
        <w:t xml:space="preserve"> </w:t>
      </w:r>
      <w:proofErr w:type="spellStart"/>
      <w:r w:rsidRPr="0006440D">
        <w:rPr>
          <w:lang w:val="en-US"/>
        </w:rPr>
        <w:t>geçmişte</w:t>
      </w:r>
      <w:proofErr w:type="spellEnd"/>
      <w:r w:rsidRPr="0006440D">
        <w:rPr>
          <w:lang w:val="en-US"/>
        </w:rPr>
        <w:t xml:space="preserve"> var </w:t>
      </w:r>
      <w:proofErr w:type="spellStart"/>
      <w:r w:rsidRPr="0006440D">
        <w:rPr>
          <w:lang w:val="en-US"/>
        </w:rPr>
        <w:t>olmuş</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hâlen</w:t>
      </w:r>
      <w:proofErr w:type="spellEnd"/>
      <w:r w:rsidRPr="0006440D">
        <w:rPr>
          <w:lang w:val="en-US"/>
        </w:rPr>
        <w:t xml:space="preserve"> de </w:t>
      </w:r>
      <w:proofErr w:type="spellStart"/>
      <w:r w:rsidRPr="0006440D">
        <w:rPr>
          <w:lang w:val="en-US"/>
        </w:rPr>
        <w:t>mevcuttur</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bu</w:t>
      </w:r>
      <w:proofErr w:type="spellEnd"/>
      <w:r w:rsidRPr="0006440D">
        <w:rPr>
          <w:lang w:val="en-US"/>
        </w:rPr>
        <w:t xml:space="preserve"> </w:t>
      </w:r>
      <w:proofErr w:type="spellStart"/>
      <w:r w:rsidRPr="0006440D">
        <w:rPr>
          <w:lang w:val="en-US"/>
        </w:rPr>
        <w:t>ulusun</w:t>
      </w:r>
      <w:proofErr w:type="spellEnd"/>
      <w:r w:rsidRPr="0006440D">
        <w:rPr>
          <w:lang w:val="en-US"/>
        </w:rPr>
        <w:t xml:space="preserve"> </w:t>
      </w:r>
      <w:proofErr w:type="spellStart"/>
      <w:r w:rsidRPr="0006440D">
        <w:rPr>
          <w:lang w:val="en-US"/>
        </w:rPr>
        <w:t>farklı</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kelime</w:t>
      </w:r>
      <w:proofErr w:type="spellEnd"/>
      <w:r w:rsidRPr="0006440D">
        <w:rPr>
          <w:lang w:val="en-US"/>
        </w:rPr>
        <w:t xml:space="preserve"> </w:t>
      </w:r>
      <w:proofErr w:type="spellStart"/>
      <w:r w:rsidRPr="0006440D">
        <w:rPr>
          <w:lang w:val="en-US"/>
        </w:rPr>
        <w:t>dağarcığı</w:t>
      </w:r>
      <w:proofErr w:type="spellEnd"/>
      <w:r w:rsidRPr="0006440D">
        <w:rPr>
          <w:lang w:val="en-US"/>
        </w:rPr>
        <w:t xml:space="preserve"> </w:t>
      </w:r>
      <w:proofErr w:type="spellStart"/>
      <w:r w:rsidRPr="0006440D">
        <w:rPr>
          <w:lang w:val="en-US"/>
        </w:rPr>
        <w:t>oluşturacak</w:t>
      </w:r>
      <w:proofErr w:type="spellEnd"/>
      <w:r w:rsidRPr="0006440D">
        <w:rPr>
          <w:lang w:val="en-US"/>
        </w:rPr>
        <w:t xml:space="preserve"> </w:t>
      </w:r>
      <w:proofErr w:type="spellStart"/>
      <w:r w:rsidRPr="0006440D">
        <w:rPr>
          <w:lang w:val="en-US"/>
        </w:rPr>
        <w:t>yolları</w:t>
      </w:r>
      <w:proofErr w:type="spellEnd"/>
      <w:r w:rsidRPr="0006440D">
        <w:rPr>
          <w:lang w:val="en-US"/>
        </w:rPr>
        <w:t xml:space="preserve"> </w:t>
      </w:r>
      <w:proofErr w:type="spellStart"/>
      <w:r w:rsidRPr="0006440D">
        <w:rPr>
          <w:lang w:val="en-US"/>
        </w:rPr>
        <w:t>izlemiş</w:t>
      </w:r>
      <w:proofErr w:type="spellEnd"/>
      <w:r w:rsidRPr="0006440D">
        <w:rPr>
          <w:lang w:val="en-US"/>
        </w:rPr>
        <w:t xml:space="preserve"> </w:t>
      </w:r>
      <w:proofErr w:type="spellStart"/>
      <w:r w:rsidRPr="0006440D">
        <w:rPr>
          <w:lang w:val="en-US"/>
        </w:rPr>
        <w:t>olabileceği</w:t>
      </w:r>
      <w:proofErr w:type="spellEnd"/>
      <w:r w:rsidRPr="0006440D">
        <w:rPr>
          <w:lang w:val="en-US"/>
        </w:rPr>
        <w:t xml:space="preserve"> de </w:t>
      </w:r>
      <w:proofErr w:type="spellStart"/>
      <w:r w:rsidRPr="0006440D">
        <w:rPr>
          <w:lang w:val="en-US"/>
        </w:rPr>
        <w:t>hayal</w:t>
      </w:r>
      <w:proofErr w:type="spellEnd"/>
      <w:r w:rsidRPr="0006440D">
        <w:rPr>
          <w:lang w:val="en-US"/>
        </w:rPr>
        <w:t xml:space="preserve"> </w:t>
      </w:r>
      <w:proofErr w:type="spellStart"/>
      <w:r w:rsidRPr="0006440D">
        <w:rPr>
          <w:lang w:val="en-US"/>
        </w:rPr>
        <w:t>edilebilir</w:t>
      </w:r>
      <w:proofErr w:type="spellEnd"/>
      <w:r w:rsidRPr="0006440D">
        <w:rPr>
          <w:lang w:val="en-US"/>
        </w:rPr>
        <w:t xml:space="preserve">. Bu </w:t>
      </w:r>
      <w:proofErr w:type="spellStart"/>
      <w:r w:rsidRPr="0006440D">
        <w:rPr>
          <w:lang w:val="en-US"/>
        </w:rPr>
        <w:t>modalitelerin</w:t>
      </w:r>
      <w:proofErr w:type="spellEnd"/>
      <w:r w:rsidRPr="0006440D">
        <w:rPr>
          <w:lang w:val="en-US"/>
        </w:rPr>
        <w:t xml:space="preserve"> </w:t>
      </w:r>
      <w:proofErr w:type="spellStart"/>
      <w:r w:rsidRPr="0006440D">
        <w:rPr>
          <w:lang w:val="en-US"/>
        </w:rPr>
        <w:t>şu</w:t>
      </w:r>
      <w:proofErr w:type="spellEnd"/>
      <w:r w:rsidRPr="0006440D">
        <w:rPr>
          <w:lang w:val="en-US"/>
        </w:rPr>
        <w:t xml:space="preserve"> </w:t>
      </w:r>
      <w:proofErr w:type="spellStart"/>
      <w:r w:rsidRPr="0006440D">
        <w:rPr>
          <w:lang w:val="en-US"/>
        </w:rPr>
        <w:t>anda</w:t>
      </w:r>
      <w:proofErr w:type="spellEnd"/>
      <w:r w:rsidRPr="0006440D">
        <w:rPr>
          <w:lang w:val="en-US"/>
        </w:rPr>
        <w:t xml:space="preserve"> </w:t>
      </w:r>
      <w:proofErr w:type="spellStart"/>
      <w:r w:rsidRPr="0006440D">
        <w:rPr>
          <w:lang w:val="en-US"/>
        </w:rPr>
        <w:t>geçerli</w:t>
      </w:r>
      <w:proofErr w:type="spellEnd"/>
      <w:r w:rsidRPr="0006440D">
        <w:rPr>
          <w:lang w:val="en-US"/>
        </w:rPr>
        <w:t xml:space="preserve"> </w:t>
      </w:r>
      <w:proofErr w:type="spellStart"/>
      <w:r w:rsidRPr="0006440D">
        <w:rPr>
          <w:lang w:val="en-US"/>
        </w:rPr>
        <w:t>olması</w:t>
      </w:r>
      <w:proofErr w:type="spellEnd"/>
      <w:r w:rsidRPr="0006440D">
        <w:rPr>
          <w:lang w:val="en-US"/>
        </w:rPr>
        <w:t xml:space="preserve">, </w:t>
      </w:r>
      <w:proofErr w:type="spellStart"/>
      <w:r w:rsidRPr="0006440D">
        <w:rPr>
          <w:lang w:val="en-US"/>
        </w:rPr>
        <w:t>yarattığımız</w:t>
      </w:r>
      <w:proofErr w:type="spellEnd"/>
      <w:r w:rsidRPr="0006440D">
        <w:rPr>
          <w:lang w:val="en-US"/>
        </w:rPr>
        <w:t xml:space="preserve"> </w:t>
      </w:r>
      <w:proofErr w:type="spellStart"/>
      <w:r w:rsidRPr="0006440D">
        <w:rPr>
          <w:lang w:val="en-US"/>
        </w:rPr>
        <w:t>dünyanın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tanımıdır</w:t>
      </w:r>
      <w:proofErr w:type="spellEnd"/>
      <w:r w:rsidRPr="0006440D">
        <w:rPr>
          <w:lang w:val="en-US"/>
        </w:rPr>
        <w:t xml:space="preserve">; </w:t>
      </w:r>
      <w:proofErr w:type="spellStart"/>
      <w:r w:rsidRPr="0006440D">
        <w:rPr>
          <w:lang w:val="en-US"/>
        </w:rPr>
        <w:t>onların</w:t>
      </w:r>
      <w:proofErr w:type="spellEnd"/>
      <w:r w:rsidRPr="0006440D">
        <w:rPr>
          <w:lang w:val="en-US"/>
        </w:rPr>
        <w:t xml:space="preserve"> "</w:t>
      </w:r>
      <w:proofErr w:type="spellStart"/>
      <w:r w:rsidRPr="0006440D">
        <w:rPr>
          <w:lang w:val="en-US"/>
        </w:rPr>
        <w:t>en</w:t>
      </w:r>
      <w:proofErr w:type="spellEnd"/>
      <w:r w:rsidRPr="0006440D">
        <w:rPr>
          <w:lang w:val="en-US"/>
        </w:rPr>
        <w:t xml:space="preserve"> iyi" </w:t>
      </w:r>
      <w:proofErr w:type="spellStart"/>
      <w:r w:rsidRPr="0006440D">
        <w:rPr>
          <w:lang w:val="en-US"/>
        </w:rPr>
        <w:t>veya</w:t>
      </w:r>
      <w:proofErr w:type="spellEnd"/>
      <w:r w:rsidRPr="0006440D">
        <w:rPr>
          <w:lang w:val="en-US"/>
        </w:rPr>
        <w:t xml:space="preserve"> "</w:t>
      </w:r>
      <w:proofErr w:type="spellStart"/>
      <w:r w:rsidRPr="0006440D">
        <w:rPr>
          <w:lang w:val="en-US"/>
        </w:rPr>
        <w:t>doğru</w:t>
      </w:r>
      <w:proofErr w:type="spellEnd"/>
      <w:r w:rsidRPr="0006440D">
        <w:rPr>
          <w:lang w:val="en-US"/>
        </w:rPr>
        <w:t xml:space="preserve">" </w:t>
      </w:r>
      <w:proofErr w:type="spellStart"/>
      <w:r w:rsidRPr="0006440D">
        <w:rPr>
          <w:lang w:val="en-US"/>
        </w:rPr>
        <w:t>argüman</w:t>
      </w:r>
      <w:proofErr w:type="spellEnd"/>
      <w:r w:rsidRPr="0006440D">
        <w:rPr>
          <w:lang w:val="en-US"/>
        </w:rPr>
        <w:t xml:space="preserve"> </w:t>
      </w:r>
      <w:proofErr w:type="spellStart"/>
      <w:r w:rsidRPr="0006440D">
        <w:rPr>
          <w:lang w:val="en-US"/>
        </w:rPr>
        <w:t>türleri</w:t>
      </w:r>
      <w:proofErr w:type="spellEnd"/>
      <w:r w:rsidRPr="0006440D">
        <w:rPr>
          <w:lang w:val="en-US"/>
        </w:rPr>
        <w:t xml:space="preserve"> </w:t>
      </w:r>
      <w:proofErr w:type="spellStart"/>
      <w:r w:rsidRPr="0006440D">
        <w:rPr>
          <w:lang w:val="en-US"/>
        </w:rPr>
        <w:t>olduğuna</w:t>
      </w:r>
      <w:proofErr w:type="spellEnd"/>
      <w:r w:rsidRPr="0006440D">
        <w:rPr>
          <w:lang w:val="en-US"/>
        </w:rPr>
        <w:t xml:space="preserve"> </w:t>
      </w:r>
      <w:proofErr w:type="spellStart"/>
      <w:r w:rsidRPr="0006440D">
        <w:rPr>
          <w:lang w:val="en-US"/>
        </w:rPr>
        <w:t>dair</w:t>
      </w:r>
      <w:proofErr w:type="spellEnd"/>
      <w:r w:rsidRPr="0006440D">
        <w:rPr>
          <w:lang w:val="en-US"/>
        </w:rPr>
        <w:t xml:space="preserve"> </w:t>
      </w:r>
      <w:proofErr w:type="spellStart"/>
      <w:r w:rsidRPr="0006440D">
        <w:rPr>
          <w:lang w:val="en-US"/>
        </w:rPr>
        <w:t>normatif</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ifade</w:t>
      </w:r>
      <w:proofErr w:type="spellEnd"/>
      <w:r w:rsidRPr="0006440D">
        <w:rPr>
          <w:lang w:val="en-US"/>
        </w:rPr>
        <w:t xml:space="preserve"> </w:t>
      </w:r>
      <w:proofErr w:type="spellStart"/>
      <w:r w:rsidRPr="0006440D">
        <w:rPr>
          <w:lang w:val="en-US"/>
        </w:rPr>
        <w:t>ya</w:t>
      </w:r>
      <w:proofErr w:type="spellEnd"/>
      <w:r w:rsidRPr="0006440D">
        <w:rPr>
          <w:lang w:val="en-US"/>
        </w:rPr>
        <w:t xml:space="preserve"> da </w:t>
      </w:r>
      <w:proofErr w:type="spellStart"/>
      <w:r w:rsidRPr="0006440D">
        <w:rPr>
          <w:lang w:val="en-US"/>
        </w:rPr>
        <w:t>anayasal</w:t>
      </w:r>
      <w:proofErr w:type="spellEnd"/>
      <w:r w:rsidRPr="0006440D">
        <w:rPr>
          <w:lang w:val="en-US"/>
        </w:rPr>
        <w:t xml:space="preserve"> </w:t>
      </w:r>
      <w:proofErr w:type="spellStart"/>
      <w:r w:rsidRPr="0006440D">
        <w:rPr>
          <w:lang w:val="en-US"/>
        </w:rPr>
        <w:t>yapımızın</w:t>
      </w:r>
      <w:proofErr w:type="spellEnd"/>
      <w:r w:rsidRPr="0006440D">
        <w:rPr>
          <w:lang w:val="en-US"/>
        </w:rPr>
        <w:t xml:space="preserve"> </w:t>
      </w:r>
      <w:proofErr w:type="spellStart"/>
      <w:r w:rsidRPr="0006440D">
        <w:rPr>
          <w:lang w:val="en-US"/>
        </w:rPr>
        <w:t>doğal</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parçası</w:t>
      </w:r>
      <w:proofErr w:type="spellEnd"/>
      <w:r w:rsidRPr="0006440D">
        <w:rPr>
          <w:lang w:val="en-US"/>
        </w:rPr>
        <w:t xml:space="preserve"> </w:t>
      </w:r>
      <w:proofErr w:type="spellStart"/>
      <w:r w:rsidRPr="0006440D">
        <w:rPr>
          <w:lang w:val="en-US"/>
        </w:rPr>
        <w:t>olduklarına</w:t>
      </w:r>
      <w:proofErr w:type="spellEnd"/>
      <w:r w:rsidRPr="0006440D">
        <w:rPr>
          <w:lang w:val="en-US"/>
        </w:rPr>
        <w:t xml:space="preserve"> </w:t>
      </w:r>
      <w:proofErr w:type="spellStart"/>
      <w:r w:rsidRPr="0006440D">
        <w:rPr>
          <w:lang w:val="en-US"/>
        </w:rPr>
        <w:t>ilişkin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iddia</w:t>
      </w:r>
      <w:proofErr w:type="spellEnd"/>
      <w:r w:rsidRPr="0006440D">
        <w:rPr>
          <w:lang w:val="en-US"/>
        </w:rPr>
        <w:t xml:space="preserve"> </w:t>
      </w:r>
      <w:proofErr w:type="spellStart"/>
      <w:r w:rsidRPr="0006440D">
        <w:rPr>
          <w:lang w:val="en-US"/>
        </w:rPr>
        <w:t>değildir</w:t>
      </w:r>
      <w:proofErr w:type="spellEnd"/>
      <w:r w:rsidRPr="0006440D">
        <w:rPr>
          <w:lang w:val="en-US"/>
        </w:rPr>
        <w:t>.</w:t>
      </w:r>
      <w:r>
        <w:rPr>
          <w:lang w:val="en-US"/>
        </w:rPr>
        <w:t xml:space="preserve"> [1083 - 1084]</w:t>
      </w:r>
    </w:p>
    <w:p w14:paraId="2572412B" w14:textId="77777777" w:rsidR="0006440D" w:rsidRDefault="0006440D" w:rsidP="0006440D">
      <w:pPr>
        <w:rPr>
          <w:lang w:val="en-US"/>
        </w:rPr>
      </w:pPr>
      <w:proofErr w:type="spellStart"/>
      <w:r w:rsidRPr="0006440D">
        <w:rPr>
          <w:lang w:val="en-US"/>
        </w:rPr>
        <w:t>İkinci</w:t>
      </w:r>
      <w:proofErr w:type="spellEnd"/>
      <w:r w:rsidRPr="0006440D">
        <w:rPr>
          <w:lang w:val="en-US"/>
        </w:rPr>
        <w:t xml:space="preserve"> </w:t>
      </w:r>
      <w:proofErr w:type="spellStart"/>
      <w:r w:rsidRPr="0006440D">
        <w:rPr>
          <w:lang w:val="en-US"/>
        </w:rPr>
        <w:t>olarak</w:t>
      </w:r>
      <w:proofErr w:type="spellEnd"/>
      <w:r w:rsidRPr="0006440D">
        <w:rPr>
          <w:lang w:val="en-US"/>
        </w:rPr>
        <w:t xml:space="preserve">, </w:t>
      </w:r>
      <w:proofErr w:type="spellStart"/>
      <w:r w:rsidRPr="0006440D">
        <w:rPr>
          <w:lang w:val="en-US"/>
        </w:rPr>
        <w:t>meşru</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meşru</w:t>
      </w:r>
      <w:proofErr w:type="spellEnd"/>
      <w:r w:rsidRPr="0006440D">
        <w:rPr>
          <w:lang w:val="en-US"/>
        </w:rPr>
        <w:t xml:space="preserve"> </w:t>
      </w:r>
      <w:proofErr w:type="spellStart"/>
      <w:r w:rsidRPr="0006440D">
        <w:rPr>
          <w:lang w:val="en-US"/>
        </w:rPr>
        <w:t>olmayan</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argümanlar</w:t>
      </w:r>
      <w:proofErr w:type="spellEnd"/>
      <w:r w:rsidRPr="0006440D">
        <w:rPr>
          <w:lang w:val="en-US"/>
        </w:rPr>
        <w:t xml:space="preserve"> </w:t>
      </w:r>
      <w:proofErr w:type="spellStart"/>
      <w:r w:rsidRPr="0006440D">
        <w:rPr>
          <w:lang w:val="en-US"/>
        </w:rPr>
        <w:t>arasındaki</w:t>
      </w:r>
      <w:proofErr w:type="spellEnd"/>
      <w:r w:rsidRPr="0006440D">
        <w:rPr>
          <w:lang w:val="en-US"/>
        </w:rPr>
        <w:t xml:space="preserve"> </w:t>
      </w:r>
      <w:proofErr w:type="spellStart"/>
      <w:r w:rsidRPr="0006440D">
        <w:rPr>
          <w:lang w:val="en-US"/>
        </w:rPr>
        <w:t>sınırlar</w:t>
      </w:r>
      <w:proofErr w:type="spellEnd"/>
      <w:r w:rsidRPr="0006440D">
        <w:rPr>
          <w:lang w:val="en-US"/>
        </w:rPr>
        <w:t xml:space="preserve">, </w:t>
      </w:r>
      <w:proofErr w:type="spellStart"/>
      <w:r w:rsidRPr="0006440D">
        <w:rPr>
          <w:lang w:val="en-US"/>
        </w:rPr>
        <w:t>Profesör</w:t>
      </w:r>
      <w:proofErr w:type="spellEnd"/>
      <w:r w:rsidRPr="0006440D">
        <w:rPr>
          <w:lang w:val="en-US"/>
        </w:rPr>
        <w:t xml:space="preserve"> </w:t>
      </w:r>
      <w:proofErr w:type="spellStart"/>
      <w:r w:rsidRPr="0006440D">
        <w:rPr>
          <w:lang w:val="en-US"/>
        </w:rPr>
        <w:t>Bobbitt'in</w:t>
      </w:r>
      <w:proofErr w:type="spellEnd"/>
      <w:r w:rsidRPr="0006440D">
        <w:rPr>
          <w:lang w:val="en-US"/>
        </w:rPr>
        <w:t xml:space="preserve"> </w:t>
      </w:r>
      <w:proofErr w:type="spellStart"/>
      <w:r w:rsidRPr="0006440D">
        <w:rPr>
          <w:lang w:val="en-US"/>
        </w:rPr>
        <w:t>öne</w:t>
      </w:r>
      <w:proofErr w:type="spellEnd"/>
      <w:r w:rsidRPr="0006440D">
        <w:rPr>
          <w:lang w:val="en-US"/>
        </w:rPr>
        <w:t xml:space="preserve"> </w:t>
      </w:r>
      <w:proofErr w:type="spellStart"/>
      <w:r w:rsidRPr="0006440D">
        <w:rPr>
          <w:lang w:val="en-US"/>
        </w:rPr>
        <w:t>sürdüğü</w:t>
      </w:r>
      <w:proofErr w:type="spellEnd"/>
      <w:r w:rsidRPr="0006440D">
        <w:rPr>
          <w:lang w:val="en-US"/>
        </w:rPr>
        <w:t xml:space="preserve"> </w:t>
      </w:r>
      <w:proofErr w:type="spellStart"/>
      <w:r w:rsidRPr="0006440D">
        <w:rPr>
          <w:lang w:val="en-US"/>
        </w:rPr>
        <w:t>kadar</w:t>
      </w:r>
      <w:proofErr w:type="spellEnd"/>
      <w:r w:rsidRPr="0006440D">
        <w:rPr>
          <w:lang w:val="en-US"/>
        </w:rPr>
        <w:t xml:space="preserve"> </w:t>
      </w:r>
      <w:proofErr w:type="spellStart"/>
      <w:r w:rsidRPr="0006440D">
        <w:rPr>
          <w:lang w:val="en-US"/>
        </w:rPr>
        <w:t>kesin</w:t>
      </w:r>
      <w:proofErr w:type="spellEnd"/>
      <w:r w:rsidRPr="0006440D">
        <w:rPr>
          <w:lang w:val="en-US"/>
        </w:rPr>
        <w:t xml:space="preserve"> </w:t>
      </w:r>
      <w:proofErr w:type="spellStart"/>
      <w:r w:rsidRPr="0006440D">
        <w:rPr>
          <w:lang w:val="en-US"/>
        </w:rPr>
        <w:t>değildir</w:t>
      </w:r>
      <w:proofErr w:type="spellEnd"/>
      <w:r w:rsidRPr="0006440D">
        <w:rPr>
          <w:lang w:val="en-US"/>
        </w:rPr>
        <w:t xml:space="preserve">. </w:t>
      </w:r>
      <w:proofErr w:type="spellStart"/>
      <w:r w:rsidRPr="0006440D">
        <w:rPr>
          <w:lang w:val="en-US"/>
        </w:rPr>
        <w:t>Onun</w:t>
      </w:r>
      <w:proofErr w:type="spellEnd"/>
      <w:r w:rsidRPr="0006440D">
        <w:rPr>
          <w:lang w:val="en-US"/>
        </w:rPr>
        <w:t xml:space="preserve"> </w:t>
      </w:r>
      <w:proofErr w:type="spellStart"/>
      <w:r w:rsidRPr="0006440D">
        <w:rPr>
          <w:lang w:val="en-US"/>
        </w:rPr>
        <w:t>sunduğu</w:t>
      </w:r>
      <w:proofErr w:type="spellEnd"/>
      <w:r w:rsidRPr="0006440D">
        <w:rPr>
          <w:lang w:val="en-US"/>
        </w:rPr>
        <w:t xml:space="preserve"> </w:t>
      </w:r>
      <w:proofErr w:type="spellStart"/>
      <w:r w:rsidRPr="0006440D">
        <w:rPr>
          <w:lang w:val="en-US"/>
        </w:rPr>
        <w:t>şey</w:t>
      </w:r>
      <w:proofErr w:type="spellEnd"/>
      <w:r w:rsidRPr="0006440D">
        <w:rPr>
          <w:lang w:val="en-US"/>
        </w:rPr>
        <w:t xml:space="preserve">, </w:t>
      </w:r>
      <w:proofErr w:type="spellStart"/>
      <w:r w:rsidRPr="0006440D">
        <w:rPr>
          <w:lang w:val="en-US"/>
        </w:rPr>
        <w:t>en</w:t>
      </w:r>
      <w:proofErr w:type="spellEnd"/>
      <w:r w:rsidRPr="0006440D">
        <w:rPr>
          <w:lang w:val="en-US"/>
        </w:rPr>
        <w:t xml:space="preserve"> iyi </w:t>
      </w:r>
      <w:proofErr w:type="spellStart"/>
      <w:r w:rsidRPr="0006440D">
        <w:rPr>
          <w:lang w:val="en-US"/>
        </w:rPr>
        <w:t>ihtimalle</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kültürümüzün</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bir</w:t>
      </w:r>
      <w:proofErr w:type="spellEnd"/>
      <w:r w:rsidRPr="0006440D">
        <w:rPr>
          <w:lang w:val="en-US"/>
        </w:rPr>
        <w:t xml:space="preserve"> zaman </w:t>
      </w:r>
      <w:proofErr w:type="spellStart"/>
      <w:r w:rsidRPr="0006440D">
        <w:rPr>
          <w:lang w:val="en-US"/>
        </w:rPr>
        <w:t>dilimindeki</w:t>
      </w:r>
      <w:proofErr w:type="spellEnd"/>
      <w:r w:rsidRPr="0006440D">
        <w:rPr>
          <w:lang w:val="en-US"/>
        </w:rPr>
        <w:t xml:space="preserve"> </w:t>
      </w:r>
      <w:proofErr w:type="spellStart"/>
      <w:r w:rsidRPr="0006440D">
        <w:rPr>
          <w:lang w:val="en-US"/>
        </w:rPr>
        <w:t>anlık</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görüntüsüdür</w:t>
      </w:r>
      <w:proofErr w:type="spellEnd"/>
      <w:r w:rsidRPr="0006440D">
        <w:rPr>
          <w:lang w:val="en-US"/>
        </w:rPr>
        <w:t xml:space="preserve">; </w:t>
      </w:r>
      <w:proofErr w:type="spellStart"/>
      <w:r w:rsidRPr="0006440D">
        <w:rPr>
          <w:lang w:val="en-US"/>
        </w:rPr>
        <w:t>hatta</w:t>
      </w:r>
      <w:proofErr w:type="spellEnd"/>
      <w:r w:rsidRPr="0006440D">
        <w:rPr>
          <w:lang w:val="en-US"/>
        </w:rPr>
        <w:t xml:space="preserve"> </w:t>
      </w:r>
      <w:proofErr w:type="spellStart"/>
      <w:r w:rsidRPr="0006440D">
        <w:rPr>
          <w:lang w:val="en-US"/>
        </w:rPr>
        <w:t>bu</w:t>
      </w:r>
      <w:proofErr w:type="spellEnd"/>
      <w:r w:rsidRPr="0006440D">
        <w:rPr>
          <w:lang w:val="en-US"/>
        </w:rPr>
        <w:t xml:space="preserve"> bile </w:t>
      </w:r>
      <w:proofErr w:type="spellStart"/>
      <w:r w:rsidRPr="0006440D">
        <w:rPr>
          <w:lang w:val="en-US"/>
        </w:rPr>
        <w:t>tartışmalı</w:t>
      </w:r>
      <w:proofErr w:type="spellEnd"/>
      <w:r w:rsidRPr="0006440D">
        <w:rPr>
          <w:lang w:val="en-US"/>
        </w:rPr>
        <w:t xml:space="preserve"> </w:t>
      </w:r>
      <w:proofErr w:type="spellStart"/>
      <w:r w:rsidRPr="0006440D">
        <w:rPr>
          <w:lang w:val="en-US"/>
        </w:rPr>
        <w:t>şekilde</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aşırı</w:t>
      </w:r>
      <w:proofErr w:type="spellEnd"/>
      <w:r w:rsidRPr="0006440D">
        <w:rPr>
          <w:lang w:val="en-US"/>
        </w:rPr>
        <w:t xml:space="preserve"> </w:t>
      </w:r>
      <w:proofErr w:type="spellStart"/>
      <w:r w:rsidRPr="0006440D">
        <w:rPr>
          <w:lang w:val="en-US"/>
        </w:rPr>
        <w:t>basitleştirme</w:t>
      </w:r>
      <w:proofErr w:type="spellEnd"/>
      <w:r w:rsidRPr="0006440D">
        <w:rPr>
          <w:lang w:val="en-US"/>
        </w:rPr>
        <w:t xml:space="preserve"> </w:t>
      </w:r>
      <w:proofErr w:type="spellStart"/>
      <w:r w:rsidRPr="0006440D">
        <w:rPr>
          <w:lang w:val="en-US"/>
        </w:rPr>
        <w:t>olarak</w:t>
      </w:r>
      <w:proofErr w:type="spellEnd"/>
      <w:r w:rsidRPr="0006440D">
        <w:rPr>
          <w:lang w:val="en-US"/>
        </w:rPr>
        <w:t xml:space="preserve"> </w:t>
      </w:r>
      <w:proofErr w:type="spellStart"/>
      <w:r w:rsidRPr="0006440D">
        <w:rPr>
          <w:lang w:val="en-US"/>
        </w:rPr>
        <w:t>değerlendirilebilir</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tarihimiz</w:t>
      </w:r>
      <w:proofErr w:type="spellEnd"/>
      <w:r w:rsidRPr="0006440D">
        <w:rPr>
          <w:lang w:val="en-US"/>
        </w:rPr>
        <w:t xml:space="preserve">, </w:t>
      </w:r>
      <w:proofErr w:type="spellStart"/>
      <w:r w:rsidRPr="0006440D">
        <w:rPr>
          <w:lang w:val="en-US"/>
        </w:rPr>
        <w:t>birbirleriyle</w:t>
      </w:r>
      <w:proofErr w:type="spellEnd"/>
      <w:r w:rsidRPr="0006440D">
        <w:rPr>
          <w:lang w:val="en-US"/>
        </w:rPr>
        <w:t xml:space="preserve"> </w:t>
      </w:r>
      <w:proofErr w:type="spellStart"/>
      <w:r w:rsidRPr="0006440D">
        <w:rPr>
          <w:lang w:val="en-US"/>
        </w:rPr>
        <w:t>rekabet</w:t>
      </w:r>
      <w:proofErr w:type="spellEnd"/>
      <w:r w:rsidRPr="0006440D">
        <w:rPr>
          <w:lang w:val="en-US"/>
        </w:rPr>
        <w:t xml:space="preserve"> </w:t>
      </w:r>
      <w:proofErr w:type="spellStart"/>
      <w:r w:rsidRPr="0006440D">
        <w:rPr>
          <w:lang w:val="en-US"/>
        </w:rPr>
        <w:t>eden</w:t>
      </w:r>
      <w:proofErr w:type="spellEnd"/>
      <w:r w:rsidRPr="0006440D">
        <w:rPr>
          <w:lang w:val="en-US"/>
        </w:rPr>
        <w:t xml:space="preserve"> </w:t>
      </w:r>
      <w:proofErr w:type="spellStart"/>
      <w:r w:rsidRPr="0006440D">
        <w:rPr>
          <w:lang w:val="en-US"/>
        </w:rPr>
        <w:t>yorumlayıcı</w:t>
      </w:r>
      <w:proofErr w:type="spellEnd"/>
      <w:r w:rsidRPr="0006440D">
        <w:rPr>
          <w:lang w:val="en-US"/>
        </w:rPr>
        <w:t xml:space="preserve"> </w:t>
      </w:r>
      <w:proofErr w:type="spellStart"/>
      <w:r w:rsidRPr="0006440D">
        <w:rPr>
          <w:lang w:val="en-US"/>
        </w:rPr>
        <w:t>vizyonlar</w:t>
      </w:r>
      <w:proofErr w:type="spellEnd"/>
      <w:r w:rsidRPr="0006440D">
        <w:rPr>
          <w:lang w:val="en-US"/>
        </w:rPr>
        <w:t xml:space="preserve"> </w:t>
      </w:r>
      <w:proofErr w:type="spellStart"/>
      <w:r w:rsidRPr="0006440D">
        <w:rPr>
          <w:lang w:val="en-US"/>
        </w:rPr>
        <w:t>arasındaki</w:t>
      </w:r>
      <w:proofErr w:type="spellEnd"/>
      <w:r w:rsidRPr="0006440D">
        <w:rPr>
          <w:lang w:val="en-US"/>
        </w:rPr>
        <w:t xml:space="preserve"> </w:t>
      </w:r>
      <w:proofErr w:type="spellStart"/>
      <w:r w:rsidRPr="0006440D">
        <w:rPr>
          <w:lang w:val="en-US"/>
        </w:rPr>
        <w:t>mücadelelerin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hikâyesidir</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bunların</w:t>
      </w:r>
      <w:proofErr w:type="spellEnd"/>
      <w:r w:rsidRPr="0006440D">
        <w:rPr>
          <w:lang w:val="en-US"/>
        </w:rPr>
        <w:t xml:space="preserve"> </w:t>
      </w:r>
      <w:proofErr w:type="spellStart"/>
      <w:r w:rsidRPr="0006440D">
        <w:rPr>
          <w:lang w:val="en-US"/>
        </w:rPr>
        <w:t>birçoğu</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yorum</w:t>
      </w:r>
      <w:proofErr w:type="spellEnd"/>
      <w:r w:rsidRPr="0006440D">
        <w:rPr>
          <w:lang w:val="en-US"/>
        </w:rPr>
        <w:t xml:space="preserve"> </w:t>
      </w:r>
      <w:proofErr w:type="spellStart"/>
      <w:r w:rsidRPr="0006440D">
        <w:rPr>
          <w:lang w:val="en-US"/>
        </w:rPr>
        <w:t>modalitelerinin</w:t>
      </w:r>
      <w:proofErr w:type="spellEnd"/>
      <w:r w:rsidRPr="0006440D">
        <w:rPr>
          <w:lang w:val="en-US"/>
        </w:rPr>
        <w:t xml:space="preserve"> </w:t>
      </w:r>
      <w:proofErr w:type="spellStart"/>
      <w:r w:rsidRPr="0006440D">
        <w:rPr>
          <w:lang w:val="en-US"/>
        </w:rPr>
        <w:t>meşruiyetine</w:t>
      </w:r>
      <w:proofErr w:type="spellEnd"/>
      <w:r w:rsidRPr="0006440D">
        <w:rPr>
          <w:lang w:val="en-US"/>
        </w:rPr>
        <w:t xml:space="preserve"> </w:t>
      </w:r>
      <w:proofErr w:type="spellStart"/>
      <w:r w:rsidRPr="0006440D">
        <w:rPr>
          <w:lang w:val="en-US"/>
        </w:rPr>
        <w:t>doğrudan</w:t>
      </w:r>
      <w:proofErr w:type="spellEnd"/>
      <w:r w:rsidRPr="0006440D">
        <w:rPr>
          <w:lang w:val="en-US"/>
        </w:rPr>
        <w:t xml:space="preserve"> </w:t>
      </w:r>
      <w:proofErr w:type="spellStart"/>
      <w:r w:rsidRPr="0006440D">
        <w:rPr>
          <w:lang w:val="en-US"/>
        </w:rPr>
        <w:t>meydan</w:t>
      </w:r>
      <w:proofErr w:type="spellEnd"/>
      <w:r w:rsidRPr="0006440D">
        <w:rPr>
          <w:lang w:val="en-US"/>
        </w:rPr>
        <w:t xml:space="preserve"> </w:t>
      </w:r>
      <w:proofErr w:type="spellStart"/>
      <w:r w:rsidRPr="0006440D">
        <w:rPr>
          <w:lang w:val="en-US"/>
        </w:rPr>
        <w:t>okumuş</w:t>
      </w:r>
      <w:proofErr w:type="spellEnd"/>
      <w:r w:rsidRPr="0006440D">
        <w:rPr>
          <w:lang w:val="en-US"/>
        </w:rPr>
        <w:t xml:space="preserve"> </w:t>
      </w:r>
      <w:proofErr w:type="spellStart"/>
      <w:r w:rsidRPr="0006440D">
        <w:rPr>
          <w:lang w:val="en-US"/>
        </w:rPr>
        <w:t>veya</w:t>
      </w:r>
      <w:proofErr w:type="spellEnd"/>
      <w:r w:rsidRPr="0006440D">
        <w:rPr>
          <w:lang w:val="en-US"/>
        </w:rPr>
        <w:t xml:space="preserve"> </w:t>
      </w:r>
      <w:proofErr w:type="spellStart"/>
      <w:r w:rsidRPr="0006440D">
        <w:rPr>
          <w:lang w:val="en-US"/>
        </w:rPr>
        <w:t>bunların</w:t>
      </w:r>
      <w:proofErr w:type="spellEnd"/>
      <w:r w:rsidRPr="0006440D">
        <w:rPr>
          <w:lang w:val="en-US"/>
        </w:rPr>
        <w:t xml:space="preserve"> </w:t>
      </w:r>
      <w:proofErr w:type="spellStart"/>
      <w:r w:rsidRPr="0006440D">
        <w:rPr>
          <w:lang w:val="en-US"/>
        </w:rPr>
        <w:t>önceliğini</w:t>
      </w:r>
      <w:proofErr w:type="spellEnd"/>
      <w:r w:rsidRPr="0006440D">
        <w:rPr>
          <w:lang w:val="en-US"/>
        </w:rPr>
        <w:t xml:space="preserve"> </w:t>
      </w:r>
      <w:proofErr w:type="spellStart"/>
      <w:r w:rsidRPr="0006440D">
        <w:rPr>
          <w:lang w:val="en-US"/>
        </w:rPr>
        <w:t>savunmuştur</w:t>
      </w:r>
      <w:proofErr w:type="spellEnd"/>
      <w:r w:rsidRPr="0006440D">
        <w:rPr>
          <w:lang w:val="en-US"/>
        </w:rPr>
        <w:t>.</w:t>
      </w:r>
    </w:p>
    <w:p w14:paraId="6E659874" w14:textId="0051115F" w:rsidR="0006440D" w:rsidRDefault="0006440D" w:rsidP="0006440D">
      <w:pPr>
        <w:rPr>
          <w:lang w:val="en-US"/>
        </w:rPr>
      </w:pPr>
      <w:proofErr w:type="spellStart"/>
      <w:r w:rsidRPr="0006440D">
        <w:rPr>
          <w:lang w:val="en-US"/>
        </w:rPr>
        <w:t>İkisi</w:t>
      </w:r>
      <w:proofErr w:type="spellEnd"/>
      <w:r w:rsidRPr="0006440D">
        <w:rPr>
          <w:lang w:val="en-US"/>
        </w:rPr>
        <w:t xml:space="preserve"> de </w:t>
      </w:r>
      <w:proofErr w:type="spellStart"/>
      <w:r w:rsidRPr="0006440D">
        <w:rPr>
          <w:lang w:val="en-US"/>
        </w:rPr>
        <w:t>yorumlamaya</w:t>
      </w:r>
      <w:proofErr w:type="spellEnd"/>
      <w:r w:rsidRPr="0006440D">
        <w:rPr>
          <w:lang w:val="en-US"/>
        </w:rPr>
        <w:t xml:space="preserve"> </w:t>
      </w:r>
      <w:proofErr w:type="spellStart"/>
      <w:r w:rsidRPr="0006440D">
        <w:rPr>
          <w:lang w:val="en-US"/>
        </w:rPr>
        <w:t>ilişkin</w:t>
      </w:r>
      <w:proofErr w:type="spellEnd"/>
      <w:r w:rsidRPr="0006440D">
        <w:rPr>
          <w:lang w:val="en-US"/>
        </w:rPr>
        <w:t xml:space="preserve"> </w:t>
      </w:r>
      <w:proofErr w:type="spellStart"/>
      <w:r w:rsidRPr="0006440D">
        <w:rPr>
          <w:lang w:val="en-US"/>
        </w:rPr>
        <w:t>bu</w:t>
      </w:r>
      <w:proofErr w:type="spellEnd"/>
      <w:r w:rsidRPr="0006440D">
        <w:rPr>
          <w:lang w:val="en-US"/>
        </w:rPr>
        <w:t xml:space="preserve"> </w:t>
      </w:r>
      <w:proofErr w:type="spellStart"/>
      <w:r w:rsidRPr="0006440D">
        <w:rPr>
          <w:lang w:val="en-US"/>
        </w:rPr>
        <w:t>süregelen</w:t>
      </w:r>
      <w:proofErr w:type="spellEnd"/>
      <w:r w:rsidRPr="0006440D">
        <w:rPr>
          <w:lang w:val="en-US"/>
        </w:rPr>
        <w:t xml:space="preserve"> </w:t>
      </w:r>
      <w:proofErr w:type="spellStart"/>
      <w:r w:rsidRPr="0006440D">
        <w:rPr>
          <w:lang w:val="en-US"/>
        </w:rPr>
        <w:t>mücadelenin</w:t>
      </w:r>
      <w:proofErr w:type="spellEnd"/>
      <w:r w:rsidRPr="0006440D">
        <w:rPr>
          <w:lang w:val="en-US"/>
        </w:rPr>
        <w:t xml:space="preserve"> </w:t>
      </w:r>
      <w:proofErr w:type="spellStart"/>
      <w:r w:rsidRPr="0006440D">
        <w:rPr>
          <w:lang w:val="en-US"/>
        </w:rPr>
        <w:t>kasıtlı</w:t>
      </w:r>
      <w:proofErr w:type="spellEnd"/>
      <w:r w:rsidRPr="0006440D">
        <w:rPr>
          <w:lang w:val="en-US"/>
        </w:rPr>
        <w:t xml:space="preserve"> </w:t>
      </w:r>
      <w:proofErr w:type="spellStart"/>
      <w:r w:rsidRPr="0006440D">
        <w:rPr>
          <w:lang w:val="en-US"/>
        </w:rPr>
        <w:t>niteliğini</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devamlılığını</w:t>
      </w:r>
      <w:proofErr w:type="spellEnd"/>
      <w:r w:rsidRPr="0006440D">
        <w:rPr>
          <w:lang w:val="en-US"/>
        </w:rPr>
        <w:t xml:space="preserve"> </w:t>
      </w:r>
      <w:proofErr w:type="spellStart"/>
      <w:r w:rsidRPr="0006440D">
        <w:rPr>
          <w:lang w:val="en-US"/>
        </w:rPr>
        <w:t>vurgulayan</w:t>
      </w:r>
      <w:proofErr w:type="spellEnd"/>
      <w:r w:rsidRPr="0006440D">
        <w:rPr>
          <w:lang w:val="en-US"/>
        </w:rPr>
        <w:t xml:space="preserve">, </w:t>
      </w:r>
      <w:proofErr w:type="spellStart"/>
      <w:r w:rsidRPr="0006440D">
        <w:rPr>
          <w:lang w:val="en-US"/>
        </w:rPr>
        <w:t>biri</w:t>
      </w:r>
      <w:proofErr w:type="spellEnd"/>
      <w:r w:rsidRPr="0006440D">
        <w:rPr>
          <w:lang w:val="en-US"/>
        </w:rPr>
        <w:t xml:space="preserve"> </w:t>
      </w:r>
      <w:proofErr w:type="spellStart"/>
      <w:r w:rsidRPr="0006440D">
        <w:rPr>
          <w:lang w:val="en-US"/>
        </w:rPr>
        <w:t>makro</w:t>
      </w:r>
      <w:proofErr w:type="spellEnd"/>
      <w:r w:rsidRPr="0006440D">
        <w:rPr>
          <w:lang w:val="en-US"/>
        </w:rPr>
        <w:t xml:space="preserve"> </w:t>
      </w:r>
      <w:proofErr w:type="spellStart"/>
      <w:r w:rsidRPr="0006440D">
        <w:rPr>
          <w:lang w:val="en-US"/>
        </w:rPr>
        <w:t>diğeri</w:t>
      </w:r>
      <w:proofErr w:type="spellEnd"/>
      <w:r w:rsidRPr="0006440D">
        <w:rPr>
          <w:lang w:val="en-US"/>
        </w:rPr>
        <w:t xml:space="preserve"> </w:t>
      </w:r>
      <w:proofErr w:type="spellStart"/>
      <w:r w:rsidRPr="0006440D">
        <w:rPr>
          <w:lang w:val="en-US"/>
        </w:rPr>
        <w:t>mikro</w:t>
      </w:r>
      <w:proofErr w:type="spellEnd"/>
      <w:r w:rsidRPr="0006440D">
        <w:rPr>
          <w:lang w:val="en-US"/>
        </w:rPr>
        <w:t xml:space="preserve"> </w:t>
      </w:r>
      <w:proofErr w:type="spellStart"/>
      <w:r w:rsidRPr="0006440D">
        <w:rPr>
          <w:lang w:val="en-US"/>
        </w:rPr>
        <w:t>düzeyde</w:t>
      </w:r>
      <w:proofErr w:type="spellEnd"/>
      <w:r w:rsidRPr="0006440D">
        <w:rPr>
          <w:lang w:val="en-US"/>
        </w:rPr>
        <w:t xml:space="preserve"> </w:t>
      </w:r>
      <w:proofErr w:type="spellStart"/>
      <w:r w:rsidRPr="0006440D">
        <w:rPr>
          <w:lang w:val="en-US"/>
        </w:rPr>
        <w:t>iki</w:t>
      </w:r>
      <w:proofErr w:type="spellEnd"/>
      <w:r w:rsidRPr="0006440D">
        <w:rPr>
          <w:lang w:val="en-US"/>
        </w:rPr>
        <w:t xml:space="preserve"> </w:t>
      </w:r>
      <w:proofErr w:type="spellStart"/>
      <w:r w:rsidRPr="0006440D">
        <w:rPr>
          <w:lang w:val="en-US"/>
        </w:rPr>
        <w:t>yakın</w:t>
      </w:r>
      <w:proofErr w:type="spellEnd"/>
      <w:r w:rsidRPr="0006440D">
        <w:rPr>
          <w:lang w:val="en-US"/>
        </w:rPr>
        <w:t xml:space="preserve"> </w:t>
      </w:r>
      <w:proofErr w:type="spellStart"/>
      <w:r w:rsidRPr="0006440D">
        <w:rPr>
          <w:lang w:val="en-US"/>
        </w:rPr>
        <w:t>tarihli</w:t>
      </w:r>
      <w:proofErr w:type="spellEnd"/>
      <w:r w:rsidRPr="0006440D">
        <w:rPr>
          <w:lang w:val="en-US"/>
        </w:rPr>
        <w:t xml:space="preserve"> </w:t>
      </w:r>
      <w:proofErr w:type="spellStart"/>
      <w:r w:rsidRPr="0006440D">
        <w:rPr>
          <w:lang w:val="en-US"/>
        </w:rPr>
        <w:t>örnek</w:t>
      </w:r>
      <w:proofErr w:type="spellEnd"/>
      <w:r w:rsidRPr="0006440D">
        <w:rPr>
          <w:lang w:val="en-US"/>
        </w:rPr>
        <w:t xml:space="preserve"> </w:t>
      </w:r>
      <w:proofErr w:type="spellStart"/>
      <w:r w:rsidRPr="0006440D">
        <w:rPr>
          <w:lang w:val="en-US"/>
        </w:rPr>
        <w:t>bulunmaktadır</w:t>
      </w:r>
      <w:proofErr w:type="spellEnd"/>
      <w:r w:rsidRPr="0006440D">
        <w:rPr>
          <w:lang w:val="en-US"/>
        </w:rPr>
        <w:t xml:space="preserve">. 1970'lerin </w:t>
      </w:r>
      <w:proofErr w:type="spellStart"/>
      <w:r w:rsidRPr="0006440D">
        <w:rPr>
          <w:lang w:val="en-US"/>
        </w:rPr>
        <w:t>sonlarından</w:t>
      </w:r>
      <w:proofErr w:type="spellEnd"/>
      <w:r w:rsidRPr="0006440D">
        <w:rPr>
          <w:lang w:val="en-US"/>
        </w:rPr>
        <w:t xml:space="preserve"> </w:t>
      </w:r>
      <w:proofErr w:type="spellStart"/>
      <w:r w:rsidRPr="0006440D">
        <w:rPr>
          <w:lang w:val="en-US"/>
        </w:rPr>
        <w:t>veya</w:t>
      </w:r>
      <w:proofErr w:type="spellEnd"/>
      <w:r w:rsidRPr="0006440D">
        <w:rPr>
          <w:lang w:val="en-US"/>
        </w:rPr>
        <w:t xml:space="preserve"> 1980'lerin </w:t>
      </w:r>
      <w:proofErr w:type="spellStart"/>
      <w:r w:rsidRPr="0006440D">
        <w:rPr>
          <w:lang w:val="en-US"/>
        </w:rPr>
        <w:t>başlarından</w:t>
      </w:r>
      <w:proofErr w:type="spellEnd"/>
      <w:r w:rsidRPr="0006440D">
        <w:rPr>
          <w:lang w:val="en-US"/>
        </w:rPr>
        <w:t xml:space="preserve"> </w:t>
      </w:r>
      <w:proofErr w:type="spellStart"/>
      <w:r w:rsidRPr="0006440D">
        <w:rPr>
          <w:lang w:val="en-US"/>
        </w:rPr>
        <w:t>itibaren</w:t>
      </w:r>
      <w:proofErr w:type="spellEnd"/>
      <w:r w:rsidRPr="0006440D">
        <w:rPr>
          <w:lang w:val="en-US"/>
        </w:rPr>
        <w:t xml:space="preserve">, </w:t>
      </w:r>
      <w:proofErr w:type="spellStart"/>
      <w:r w:rsidRPr="0006440D">
        <w:rPr>
          <w:lang w:val="en-US"/>
        </w:rPr>
        <w:t>orijinalist</w:t>
      </w:r>
      <w:proofErr w:type="spellEnd"/>
      <w:r w:rsidRPr="0006440D">
        <w:rPr>
          <w:lang w:val="en-US"/>
        </w:rPr>
        <w:t xml:space="preserve"> </w:t>
      </w:r>
      <w:proofErr w:type="spellStart"/>
      <w:r w:rsidRPr="0006440D">
        <w:rPr>
          <w:lang w:val="en-US"/>
        </w:rPr>
        <w:t>argümanların</w:t>
      </w:r>
      <w:proofErr w:type="spellEnd"/>
      <w:r w:rsidRPr="0006440D">
        <w:rPr>
          <w:lang w:val="en-US"/>
        </w:rPr>
        <w:t xml:space="preserve"> (</w:t>
      </w:r>
      <w:proofErr w:type="spellStart"/>
      <w:r w:rsidRPr="0006440D">
        <w:rPr>
          <w:lang w:val="en-US"/>
        </w:rPr>
        <w:t>Bobbitt'in</w:t>
      </w:r>
      <w:proofErr w:type="spellEnd"/>
      <w:r w:rsidRPr="0006440D">
        <w:rPr>
          <w:lang w:val="en-US"/>
        </w:rPr>
        <w:t xml:space="preserve"> "</w:t>
      </w:r>
      <w:proofErr w:type="spellStart"/>
      <w:r w:rsidRPr="0006440D">
        <w:rPr>
          <w:lang w:val="en-US"/>
        </w:rPr>
        <w:t>tarihsel</w:t>
      </w:r>
      <w:proofErr w:type="spellEnd"/>
      <w:r w:rsidRPr="0006440D">
        <w:rPr>
          <w:lang w:val="en-US"/>
        </w:rPr>
        <w:t xml:space="preserve"> </w:t>
      </w:r>
      <w:proofErr w:type="spellStart"/>
      <w:r w:rsidRPr="0006440D">
        <w:rPr>
          <w:lang w:val="en-US"/>
        </w:rPr>
        <w:t>modalite</w:t>
      </w:r>
      <w:proofErr w:type="spellEnd"/>
      <w:r w:rsidRPr="0006440D">
        <w:rPr>
          <w:lang w:val="en-US"/>
        </w:rPr>
        <w:t xml:space="preserve">" [historical modality] </w:t>
      </w:r>
      <w:proofErr w:type="spellStart"/>
      <w:r w:rsidRPr="0006440D">
        <w:rPr>
          <w:lang w:val="en-US"/>
        </w:rPr>
        <w:t>olarak</w:t>
      </w:r>
      <w:proofErr w:type="spellEnd"/>
      <w:r w:rsidRPr="0006440D">
        <w:rPr>
          <w:lang w:val="en-US"/>
        </w:rPr>
        <w:t xml:space="preserve"> </w:t>
      </w:r>
      <w:proofErr w:type="spellStart"/>
      <w:r w:rsidRPr="0006440D">
        <w:rPr>
          <w:lang w:val="en-US"/>
        </w:rPr>
        <w:t>adlandırdığı</w:t>
      </w:r>
      <w:proofErr w:type="spellEnd"/>
      <w:r w:rsidRPr="0006440D">
        <w:rPr>
          <w:lang w:val="en-US"/>
        </w:rPr>
        <w:t xml:space="preserve"> </w:t>
      </w:r>
      <w:proofErr w:type="spellStart"/>
      <w:r w:rsidRPr="0006440D">
        <w:rPr>
          <w:lang w:val="en-US"/>
        </w:rPr>
        <w:t>yaklaşım</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argümanların</w:t>
      </w:r>
      <w:proofErr w:type="spellEnd"/>
      <w:r w:rsidRPr="0006440D">
        <w:rPr>
          <w:lang w:val="en-US"/>
        </w:rPr>
        <w:t xml:space="preserve"> </w:t>
      </w:r>
      <w:proofErr w:type="spellStart"/>
      <w:r w:rsidRPr="0006440D">
        <w:rPr>
          <w:lang w:val="en-US"/>
        </w:rPr>
        <w:t>diğer</w:t>
      </w:r>
      <w:proofErr w:type="spellEnd"/>
      <w:r w:rsidRPr="0006440D">
        <w:rPr>
          <w:lang w:val="en-US"/>
        </w:rPr>
        <w:t xml:space="preserve"> </w:t>
      </w:r>
      <w:proofErr w:type="spellStart"/>
      <w:r w:rsidRPr="0006440D">
        <w:rPr>
          <w:lang w:val="en-US"/>
        </w:rPr>
        <w:t>tüm</w:t>
      </w:r>
      <w:proofErr w:type="spellEnd"/>
      <w:r w:rsidRPr="0006440D">
        <w:rPr>
          <w:lang w:val="en-US"/>
        </w:rPr>
        <w:t xml:space="preserve"> </w:t>
      </w:r>
      <w:proofErr w:type="spellStart"/>
      <w:r w:rsidRPr="0006440D">
        <w:rPr>
          <w:lang w:val="en-US"/>
        </w:rPr>
        <w:t>modalitelerine</w:t>
      </w:r>
      <w:proofErr w:type="spellEnd"/>
      <w:r w:rsidRPr="0006440D">
        <w:rPr>
          <w:lang w:val="en-US"/>
        </w:rPr>
        <w:t xml:space="preserve"> </w:t>
      </w:r>
      <w:proofErr w:type="spellStart"/>
      <w:r w:rsidRPr="0006440D">
        <w:rPr>
          <w:lang w:val="en-US"/>
        </w:rPr>
        <w:t>üstün</w:t>
      </w:r>
      <w:proofErr w:type="spellEnd"/>
      <w:r w:rsidRPr="0006440D">
        <w:rPr>
          <w:lang w:val="en-US"/>
        </w:rPr>
        <w:t xml:space="preserve"> </w:t>
      </w:r>
      <w:proofErr w:type="spellStart"/>
      <w:r w:rsidRPr="0006440D">
        <w:rPr>
          <w:lang w:val="en-US"/>
        </w:rPr>
        <w:t>gelmesi</w:t>
      </w:r>
      <w:proofErr w:type="spellEnd"/>
      <w:r w:rsidRPr="0006440D">
        <w:rPr>
          <w:lang w:val="en-US"/>
        </w:rPr>
        <w:t xml:space="preserve"> </w:t>
      </w:r>
      <w:proofErr w:type="spellStart"/>
      <w:r w:rsidRPr="0006440D">
        <w:rPr>
          <w:lang w:val="en-US"/>
        </w:rPr>
        <w:t>gerektiğini</w:t>
      </w:r>
      <w:proofErr w:type="spellEnd"/>
      <w:r w:rsidRPr="0006440D">
        <w:rPr>
          <w:lang w:val="en-US"/>
        </w:rPr>
        <w:t xml:space="preserve"> </w:t>
      </w:r>
      <w:proofErr w:type="spellStart"/>
      <w:r w:rsidRPr="0006440D">
        <w:rPr>
          <w:lang w:val="en-US"/>
        </w:rPr>
        <w:t>savunanlar</w:t>
      </w:r>
      <w:proofErr w:type="spellEnd"/>
      <w:r w:rsidRPr="0006440D">
        <w:rPr>
          <w:lang w:val="en-US"/>
        </w:rPr>
        <w:t xml:space="preserve"> </w:t>
      </w:r>
      <w:proofErr w:type="spellStart"/>
      <w:r w:rsidRPr="0006440D">
        <w:rPr>
          <w:lang w:val="en-US"/>
        </w:rPr>
        <w:t>saldırgan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tutum</w:t>
      </w:r>
      <w:proofErr w:type="spellEnd"/>
      <w:r w:rsidRPr="0006440D">
        <w:rPr>
          <w:lang w:val="en-US"/>
        </w:rPr>
        <w:t xml:space="preserve"> benimsemiştir.52</w:t>
      </w:r>
      <w:r>
        <w:rPr>
          <w:lang w:val="en-US"/>
        </w:rPr>
        <w:t xml:space="preserve"> </w:t>
      </w:r>
      <w:r>
        <w:rPr>
          <w:rStyle w:val="FootnoteReference"/>
          <w:lang w:val="en-US"/>
        </w:rPr>
        <w:footnoteReference w:id="52"/>
      </w:r>
      <w:r>
        <w:rPr>
          <w:lang w:val="en-US"/>
        </w:rPr>
        <w:t xml:space="preserve"> </w:t>
      </w:r>
      <w:r w:rsidRPr="0006440D">
        <w:rPr>
          <w:lang w:val="en-US"/>
        </w:rPr>
        <w:t>Jamal Greene g</w:t>
      </w:r>
      <w:proofErr w:type="spellStart"/>
      <w:r w:rsidRPr="0006440D">
        <w:rPr>
          <w:lang w:val="en-US"/>
        </w:rPr>
        <w:t>ibi</w:t>
      </w:r>
      <w:proofErr w:type="spellEnd"/>
      <w:r w:rsidRPr="0006440D">
        <w:rPr>
          <w:lang w:val="en-US"/>
        </w:rPr>
        <w:t xml:space="preserve"> </w:t>
      </w:r>
      <w:proofErr w:type="spellStart"/>
      <w:r w:rsidRPr="0006440D">
        <w:rPr>
          <w:lang w:val="en-US"/>
        </w:rPr>
        <w:t>akademisyenlerin</w:t>
      </w:r>
      <w:proofErr w:type="spellEnd"/>
      <w:r w:rsidRPr="0006440D">
        <w:rPr>
          <w:lang w:val="en-US"/>
        </w:rPr>
        <w:t xml:space="preserve"> </w:t>
      </w:r>
      <w:proofErr w:type="spellStart"/>
      <w:r w:rsidRPr="0006440D">
        <w:rPr>
          <w:lang w:val="en-US"/>
        </w:rPr>
        <w:t>gösterdiği</w:t>
      </w:r>
      <w:proofErr w:type="spellEnd"/>
      <w:r w:rsidRPr="0006440D">
        <w:rPr>
          <w:lang w:val="en-US"/>
        </w:rPr>
        <w:t xml:space="preserve"> üzere,53 </w:t>
      </w:r>
      <w:r>
        <w:rPr>
          <w:rStyle w:val="FootnoteReference"/>
          <w:lang w:val="en-US"/>
        </w:rPr>
        <w:footnoteReference w:id="53"/>
      </w:r>
      <w:r>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yorumlamada</w:t>
      </w:r>
      <w:proofErr w:type="spellEnd"/>
      <w:r w:rsidRPr="0006440D">
        <w:rPr>
          <w:lang w:val="en-US"/>
        </w:rPr>
        <w:t xml:space="preserve"> </w:t>
      </w:r>
      <w:proofErr w:type="spellStart"/>
      <w:r w:rsidRPr="0006440D">
        <w:rPr>
          <w:lang w:val="en-US"/>
        </w:rPr>
        <w:t>orijinalist</w:t>
      </w:r>
      <w:proofErr w:type="spellEnd"/>
      <w:r w:rsidRPr="0006440D">
        <w:rPr>
          <w:lang w:val="en-US"/>
        </w:rPr>
        <w:t xml:space="preserve"> </w:t>
      </w:r>
      <w:proofErr w:type="spellStart"/>
      <w:r w:rsidRPr="0006440D">
        <w:rPr>
          <w:lang w:val="en-US"/>
        </w:rPr>
        <w:t>argümana</w:t>
      </w:r>
      <w:proofErr w:type="spellEnd"/>
      <w:r w:rsidRPr="0006440D">
        <w:rPr>
          <w:lang w:val="en-US"/>
        </w:rPr>
        <w:t xml:space="preserve"> </w:t>
      </w:r>
      <w:proofErr w:type="spellStart"/>
      <w:r w:rsidRPr="0006440D">
        <w:rPr>
          <w:lang w:val="en-US"/>
        </w:rPr>
        <w:t>öncelik</w:t>
      </w:r>
      <w:proofErr w:type="spellEnd"/>
      <w:r w:rsidRPr="0006440D">
        <w:rPr>
          <w:lang w:val="en-US"/>
        </w:rPr>
        <w:t xml:space="preserve"> </w:t>
      </w:r>
      <w:proofErr w:type="spellStart"/>
      <w:r w:rsidRPr="0006440D">
        <w:rPr>
          <w:lang w:val="en-US"/>
        </w:rPr>
        <w:t>tanıyan</w:t>
      </w:r>
      <w:proofErr w:type="spellEnd"/>
      <w:r w:rsidRPr="0006440D">
        <w:rPr>
          <w:lang w:val="en-US"/>
        </w:rPr>
        <w:t xml:space="preserve"> </w:t>
      </w:r>
      <w:proofErr w:type="spellStart"/>
      <w:r w:rsidRPr="0006440D">
        <w:rPr>
          <w:lang w:val="en-US"/>
        </w:rPr>
        <w:t>hiyerarşik</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yöntemin</w:t>
      </w:r>
      <w:proofErr w:type="spellEnd"/>
      <w:r w:rsidRPr="0006440D">
        <w:rPr>
          <w:lang w:val="en-US"/>
        </w:rPr>
        <w:t xml:space="preserve"> </w:t>
      </w:r>
      <w:proofErr w:type="spellStart"/>
      <w:r w:rsidRPr="0006440D">
        <w:rPr>
          <w:lang w:val="en-US"/>
        </w:rPr>
        <w:t>benimsenmesi</w:t>
      </w:r>
      <w:proofErr w:type="spellEnd"/>
      <w:r w:rsidRPr="0006440D">
        <w:rPr>
          <w:lang w:val="en-US"/>
        </w:rPr>
        <w:t xml:space="preserve"> </w:t>
      </w:r>
      <w:proofErr w:type="spellStart"/>
      <w:r w:rsidRPr="0006440D">
        <w:rPr>
          <w:lang w:val="en-US"/>
        </w:rPr>
        <w:t>kendiliğinden</w:t>
      </w:r>
      <w:proofErr w:type="spellEnd"/>
      <w:r w:rsidRPr="0006440D">
        <w:rPr>
          <w:lang w:val="en-US"/>
        </w:rPr>
        <w:t xml:space="preserve"> </w:t>
      </w:r>
      <w:proofErr w:type="spellStart"/>
      <w:r w:rsidRPr="0006440D">
        <w:rPr>
          <w:lang w:val="en-US"/>
        </w:rPr>
        <w:t>gelişen</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süreç</w:t>
      </w:r>
      <w:proofErr w:type="spellEnd"/>
      <w:r w:rsidRPr="0006440D">
        <w:rPr>
          <w:lang w:val="en-US"/>
        </w:rPr>
        <w:t xml:space="preserve"> </w:t>
      </w:r>
      <w:proofErr w:type="spellStart"/>
      <w:r w:rsidRPr="0006440D">
        <w:rPr>
          <w:lang w:val="en-US"/>
        </w:rPr>
        <w:t>değil</w:t>
      </w:r>
      <w:proofErr w:type="spellEnd"/>
      <w:r w:rsidRPr="0006440D">
        <w:rPr>
          <w:lang w:val="en-US"/>
        </w:rPr>
        <w:t xml:space="preserve">, </w:t>
      </w:r>
      <w:proofErr w:type="spellStart"/>
      <w:r w:rsidRPr="0006440D">
        <w:rPr>
          <w:lang w:val="en-US"/>
        </w:rPr>
        <w:t>aksine</w:t>
      </w:r>
      <w:proofErr w:type="spellEnd"/>
      <w:r w:rsidRPr="0006440D">
        <w:rPr>
          <w:lang w:val="en-US"/>
        </w:rPr>
        <w:t xml:space="preserve"> </w:t>
      </w:r>
      <w:proofErr w:type="spellStart"/>
      <w:r w:rsidRPr="0006440D">
        <w:rPr>
          <w:lang w:val="en-US"/>
        </w:rPr>
        <w:t>yargı</w:t>
      </w:r>
      <w:proofErr w:type="spellEnd"/>
      <w:r w:rsidRPr="0006440D">
        <w:rPr>
          <w:lang w:val="en-US"/>
        </w:rPr>
        <w:t xml:space="preserve"> </w:t>
      </w:r>
      <w:proofErr w:type="spellStart"/>
      <w:r w:rsidRPr="0006440D">
        <w:rPr>
          <w:lang w:val="en-US"/>
        </w:rPr>
        <w:t>kültürümüzü</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şekillerde</w:t>
      </w:r>
      <w:proofErr w:type="spellEnd"/>
      <w:r w:rsidRPr="0006440D">
        <w:rPr>
          <w:lang w:val="en-US"/>
        </w:rPr>
        <w:t xml:space="preserve"> </w:t>
      </w:r>
      <w:proofErr w:type="spellStart"/>
      <w:r w:rsidRPr="0006440D">
        <w:rPr>
          <w:lang w:val="en-US"/>
        </w:rPr>
        <w:t>dönüştürmek</w:t>
      </w:r>
      <w:proofErr w:type="spellEnd"/>
      <w:r w:rsidRPr="0006440D">
        <w:rPr>
          <w:lang w:val="en-US"/>
        </w:rPr>
        <w:t xml:space="preserve"> </w:t>
      </w:r>
      <w:proofErr w:type="spellStart"/>
      <w:r w:rsidRPr="0006440D">
        <w:rPr>
          <w:lang w:val="en-US"/>
        </w:rPr>
        <w:t>amacıyla</w:t>
      </w:r>
      <w:proofErr w:type="spellEnd"/>
      <w:r w:rsidRPr="0006440D">
        <w:rPr>
          <w:lang w:val="en-US"/>
        </w:rPr>
        <w:t xml:space="preserve"> </w:t>
      </w:r>
      <w:proofErr w:type="spellStart"/>
      <w:r w:rsidRPr="0006440D">
        <w:rPr>
          <w:lang w:val="en-US"/>
        </w:rPr>
        <w:t>tasarlanmış</w:t>
      </w:r>
      <w:proofErr w:type="spellEnd"/>
      <w:r w:rsidRPr="0006440D">
        <w:rPr>
          <w:lang w:val="en-US"/>
        </w:rPr>
        <w:t xml:space="preserve"> </w:t>
      </w:r>
      <w:proofErr w:type="spellStart"/>
      <w:r w:rsidRPr="0006440D">
        <w:rPr>
          <w:lang w:val="en-US"/>
        </w:rPr>
        <w:t>bilinçli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siyasi</w:t>
      </w:r>
      <w:proofErr w:type="spellEnd"/>
      <w:r w:rsidRPr="0006440D">
        <w:rPr>
          <w:lang w:val="en-US"/>
        </w:rPr>
        <w:t xml:space="preserve"> </w:t>
      </w:r>
      <w:proofErr w:type="spellStart"/>
      <w:r w:rsidRPr="0006440D">
        <w:rPr>
          <w:lang w:val="en-US"/>
        </w:rPr>
        <w:t>projenin</w:t>
      </w:r>
      <w:proofErr w:type="spellEnd"/>
      <w:r w:rsidRPr="0006440D">
        <w:rPr>
          <w:lang w:val="en-US"/>
        </w:rPr>
        <w:t xml:space="preserve"> </w:t>
      </w:r>
      <w:proofErr w:type="spellStart"/>
      <w:r w:rsidRPr="0006440D">
        <w:rPr>
          <w:lang w:val="en-US"/>
        </w:rPr>
        <w:t>sonucudur</w:t>
      </w:r>
      <w:proofErr w:type="spellEnd"/>
      <w:r w:rsidRPr="0006440D">
        <w:rPr>
          <w:lang w:val="en-US"/>
        </w:rPr>
        <w:t xml:space="preserve">. Bu </w:t>
      </w:r>
      <w:proofErr w:type="spellStart"/>
      <w:r w:rsidRPr="0006440D">
        <w:rPr>
          <w:lang w:val="en-US"/>
        </w:rPr>
        <w:t>proje</w:t>
      </w:r>
      <w:proofErr w:type="spellEnd"/>
      <w:r w:rsidRPr="0006440D">
        <w:rPr>
          <w:lang w:val="en-US"/>
        </w:rPr>
        <w:t xml:space="preserve"> tam </w:t>
      </w:r>
      <w:proofErr w:type="spellStart"/>
      <w:r w:rsidRPr="0006440D">
        <w:rPr>
          <w:lang w:val="en-US"/>
        </w:rPr>
        <w:t>anlamıyla</w:t>
      </w:r>
      <w:proofErr w:type="spellEnd"/>
      <w:r w:rsidRPr="0006440D">
        <w:rPr>
          <w:lang w:val="en-US"/>
        </w:rPr>
        <w:t xml:space="preserve"> </w:t>
      </w:r>
      <w:proofErr w:type="spellStart"/>
      <w:r w:rsidRPr="0006440D">
        <w:rPr>
          <w:lang w:val="en-US"/>
        </w:rPr>
        <w:t>başarılı</w:t>
      </w:r>
      <w:proofErr w:type="spellEnd"/>
      <w:r w:rsidRPr="0006440D">
        <w:rPr>
          <w:lang w:val="en-US"/>
        </w:rPr>
        <w:t xml:space="preserve"> </w:t>
      </w:r>
      <w:proofErr w:type="spellStart"/>
      <w:r w:rsidRPr="0006440D">
        <w:rPr>
          <w:lang w:val="en-US"/>
        </w:rPr>
        <w:t>olmasa</w:t>
      </w:r>
      <w:proofErr w:type="spellEnd"/>
      <w:r w:rsidRPr="0006440D">
        <w:rPr>
          <w:lang w:val="en-US"/>
        </w:rPr>
        <w:t xml:space="preserve"> da, Yüksek </w:t>
      </w:r>
      <w:proofErr w:type="spellStart"/>
      <w:r w:rsidRPr="0006440D">
        <w:rPr>
          <w:lang w:val="en-US"/>
        </w:rPr>
        <w:t>Mahkeme</w:t>
      </w:r>
      <w:proofErr w:type="spellEnd"/>
      <w:r w:rsidRPr="0006440D">
        <w:rPr>
          <w:lang w:val="en-US"/>
        </w:rPr>
        <w:t xml:space="preserve"> </w:t>
      </w:r>
      <w:proofErr w:type="spellStart"/>
      <w:r w:rsidRPr="0006440D">
        <w:rPr>
          <w:lang w:val="en-US"/>
        </w:rPr>
        <w:t>yargıçlarının</w:t>
      </w:r>
      <w:proofErr w:type="spellEnd"/>
      <w:r w:rsidRPr="0006440D">
        <w:rPr>
          <w:lang w:val="en-US"/>
        </w:rPr>
        <w:t xml:space="preserve"> </w:t>
      </w:r>
      <w:proofErr w:type="spellStart"/>
      <w:r w:rsidRPr="0006440D">
        <w:rPr>
          <w:lang w:val="en-US"/>
        </w:rPr>
        <w:t>farklı</w:t>
      </w:r>
      <w:proofErr w:type="spellEnd"/>
      <w:r w:rsidRPr="0006440D">
        <w:rPr>
          <w:lang w:val="en-US"/>
        </w:rPr>
        <w:t xml:space="preserve"> </w:t>
      </w:r>
      <w:proofErr w:type="spellStart"/>
      <w:r w:rsidRPr="0006440D">
        <w:rPr>
          <w:lang w:val="en-US"/>
        </w:rPr>
        <w:t>argüman</w:t>
      </w:r>
      <w:proofErr w:type="spellEnd"/>
      <w:r w:rsidRPr="0006440D">
        <w:rPr>
          <w:lang w:val="en-US"/>
        </w:rPr>
        <w:t xml:space="preserve"> </w:t>
      </w:r>
      <w:proofErr w:type="spellStart"/>
      <w:r w:rsidRPr="0006440D">
        <w:rPr>
          <w:lang w:val="en-US"/>
        </w:rPr>
        <w:t>türlerine</w:t>
      </w:r>
      <w:proofErr w:type="spellEnd"/>
      <w:r w:rsidRPr="0006440D">
        <w:rPr>
          <w:lang w:val="en-US"/>
        </w:rPr>
        <w:t xml:space="preserve"> ne </w:t>
      </w:r>
      <w:proofErr w:type="spellStart"/>
      <w:r w:rsidRPr="0006440D">
        <w:rPr>
          <w:lang w:val="en-US"/>
        </w:rPr>
        <w:t>sıklıkla</w:t>
      </w:r>
      <w:proofErr w:type="spellEnd"/>
      <w:r w:rsidRPr="0006440D">
        <w:rPr>
          <w:lang w:val="en-US"/>
        </w:rPr>
        <w:t xml:space="preserve"> </w:t>
      </w:r>
      <w:proofErr w:type="spellStart"/>
      <w:r w:rsidRPr="0006440D">
        <w:rPr>
          <w:lang w:val="en-US"/>
        </w:rPr>
        <w:t>başvurduğunu</w:t>
      </w:r>
      <w:proofErr w:type="spellEnd"/>
      <w:r w:rsidRPr="0006440D">
        <w:rPr>
          <w:lang w:val="en-US"/>
        </w:rPr>
        <w:t xml:space="preserve">, </w:t>
      </w:r>
      <w:proofErr w:type="spellStart"/>
      <w:r w:rsidRPr="0006440D">
        <w:rPr>
          <w:lang w:val="en-US"/>
        </w:rPr>
        <w:t>bunlara</w:t>
      </w:r>
      <w:proofErr w:type="spellEnd"/>
      <w:r w:rsidRPr="0006440D">
        <w:rPr>
          <w:lang w:val="en-US"/>
        </w:rPr>
        <w:t xml:space="preserve"> </w:t>
      </w:r>
      <w:proofErr w:type="spellStart"/>
      <w:r w:rsidRPr="0006440D">
        <w:rPr>
          <w:lang w:val="en-US"/>
        </w:rPr>
        <w:t>verdikleri</w:t>
      </w:r>
      <w:proofErr w:type="spellEnd"/>
      <w:r w:rsidRPr="0006440D">
        <w:rPr>
          <w:lang w:val="en-US"/>
        </w:rPr>
        <w:t xml:space="preserve"> </w:t>
      </w:r>
      <w:proofErr w:type="spellStart"/>
      <w:r w:rsidRPr="0006440D">
        <w:rPr>
          <w:lang w:val="en-US"/>
        </w:rPr>
        <w:t>ağırlığı</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görüşlerinin</w:t>
      </w:r>
      <w:proofErr w:type="spellEnd"/>
      <w:r w:rsidRPr="0006440D">
        <w:rPr>
          <w:lang w:val="en-US"/>
        </w:rPr>
        <w:t xml:space="preserve"> </w:t>
      </w:r>
      <w:proofErr w:type="spellStart"/>
      <w:r w:rsidRPr="0006440D">
        <w:rPr>
          <w:lang w:val="en-US"/>
        </w:rPr>
        <w:t>Mahkeme</w:t>
      </w:r>
      <w:proofErr w:type="spellEnd"/>
      <w:r w:rsidRPr="0006440D">
        <w:rPr>
          <w:lang w:val="en-US"/>
        </w:rPr>
        <w:t xml:space="preserve"> </w:t>
      </w:r>
      <w:proofErr w:type="spellStart"/>
      <w:r w:rsidRPr="0006440D">
        <w:rPr>
          <w:lang w:val="en-US"/>
        </w:rPr>
        <w:t>dışındaki</w:t>
      </w:r>
      <w:proofErr w:type="spellEnd"/>
      <w:r w:rsidRPr="0006440D">
        <w:rPr>
          <w:lang w:val="en-US"/>
        </w:rPr>
        <w:t xml:space="preserve"> </w:t>
      </w:r>
      <w:proofErr w:type="spellStart"/>
      <w:r w:rsidRPr="0006440D">
        <w:rPr>
          <w:lang w:val="en-US"/>
        </w:rPr>
        <w:t>çeşitli</w:t>
      </w:r>
      <w:proofErr w:type="spellEnd"/>
      <w:r w:rsidRPr="0006440D">
        <w:rPr>
          <w:lang w:val="en-US"/>
        </w:rPr>
        <w:t xml:space="preserve"> </w:t>
      </w:r>
      <w:proofErr w:type="spellStart"/>
      <w:r w:rsidRPr="0006440D">
        <w:rPr>
          <w:lang w:val="en-US"/>
        </w:rPr>
        <w:t>topluluklar</w:t>
      </w:r>
      <w:proofErr w:type="spellEnd"/>
      <w:r w:rsidRPr="0006440D">
        <w:rPr>
          <w:lang w:val="en-US"/>
        </w:rPr>
        <w:t xml:space="preserve"> </w:t>
      </w:r>
      <w:proofErr w:type="spellStart"/>
      <w:r w:rsidRPr="0006440D">
        <w:rPr>
          <w:lang w:val="en-US"/>
        </w:rPr>
        <w:t>tarafından</w:t>
      </w:r>
      <w:proofErr w:type="spellEnd"/>
      <w:r w:rsidRPr="0006440D">
        <w:rPr>
          <w:lang w:val="en-US"/>
        </w:rPr>
        <w:t xml:space="preserve"> </w:t>
      </w:r>
      <w:proofErr w:type="spellStart"/>
      <w:r w:rsidRPr="0006440D">
        <w:rPr>
          <w:lang w:val="en-US"/>
        </w:rPr>
        <w:t>nasıl</w:t>
      </w:r>
      <w:proofErr w:type="spellEnd"/>
      <w:r w:rsidRPr="0006440D">
        <w:rPr>
          <w:lang w:val="en-US"/>
        </w:rPr>
        <w:t xml:space="preserve"> </w:t>
      </w:r>
      <w:proofErr w:type="spellStart"/>
      <w:r w:rsidRPr="0006440D">
        <w:rPr>
          <w:lang w:val="en-US"/>
        </w:rPr>
        <w:t>karşılandığını</w:t>
      </w:r>
      <w:proofErr w:type="spellEnd"/>
      <w:r w:rsidRPr="0006440D">
        <w:rPr>
          <w:lang w:val="en-US"/>
        </w:rPr>
        <w:t xml:space="preserve"> </w:t>
      </w:r>
      <w:proofErr w:type="spellStart"/>
      <w:r w:rsidRPr="0006440D">
        <w:rPr>
          <w:lang w:val="en-US"/>
        </w:rPr>
        <w:t>önemli</w:t>
      </w:r>
      <w:proofErr w:type="spellEnd"/>
      <w:r w:rsidRPr="0006440D">
        <w:rPr>
          <w:lang w:val="en-US"/>
        </w:rPr>
        <w:t xml:space="preserve"> </w:t>
      </w:r>
      <w:proofErr w:type="spellStart"/>
      <w:r w:rsidRPr="0006440D">
        <w:rPr>
          <w:lang w:val="en-US"/>
        </w:rPr>
        <w:t>ölçüde</w:t>
      </w:r>
      <w:proofErr w:type="spellEnd"/>
      <w:r w:rsidRPr="0006440D">
        <w:rPr>
          <w:lang w:val="en-US"/>
        </w:rPr>
        <w:t xml:space="preserve"> </w:t>
      </w:r>
      <w:proofErr w:type="spellStart"/>
      <w:r w:rsidRPr="0006440D">
        <w:rPr>
          <w:lang w:val="en-US"/>
        </w:rPr>
        <w:t>etkilemiştir</w:t>
      </w:r>
      <w:proofErr w:type="spellEnd"/>
      <w:r w:rsidRPr="0006440D">
        <w:rPr>
          <w:lang w:val="en-US"/>
        </w:rPr>
        <w:t>.</w:t>
      </w:r>
      <w:r>
        <w:rPr>
          <w:lang w:val="en-US"/>
        </w:rPr>
        <w:t xml:space="preserve"> [1084 - 1085]</w:t>
      </w:r>
    </w:p>
    <w:p w14:paraId="6FEB7024" w14:textId="619DBB0A" w:rsidR="0006440D" w:rsidRDefault="0006440D" w:rsidP="0006440D">
      <w:pPr>
        <w:rPr>
          <w:lang w:val="en-US"/>
        </w:rPr>
      </w:pPr>
      <w:r w:rsidRPr="0006440D">
        <w:rPr>
          <w:lang w:val="en-US"/>
        </w:rPr>
        <w:lastRenderedPageBreak/>
        <w:t xml:space="preserve">Daha </w:t>
      </w:r>
      <w:proofErr w:type="spellStart"/>
      <w:r w:rsidRPr="0006440D">
        <w:rPr>
          <w:lang w:val="en-US"/>
        </w:rPr>
        <w:t>küçük</w:t>
      </w:r>
      <w:proofErr w:type="spellEnd"/>
      <w:r w:rsidRPr="0006440D">
        <w:rPr>
          <w:lang w:val="en-US"/>
        </w:rPr>
        <w:t xml:space="preserve"> </w:t>
      </w:r>
      <w:proofErr w:type="spellStart"/>
      <w:r w:rsidRPr="0006440D">
        <w:rPr>
          <w:lang w:val="en-US"/>
        </w:rPr>
        <w:t>ölçekte</w:t>
      </w:r>
      <w:proofErr w:type="spellEnd"/>
      <w:r w:rsidRPr="0006440D">
        <w:rPr>
          <w:lang w:val="en-US"/>
        </w:rPr>
        <w:t xml:space="preserve">, son </w:t>
      </w:r>
      <w:proofErr w:type="spellStart"/>
      <w:r w:rsidRPr="0006440D">
        <w:rPr>
          <w:lang w:val="en-US"/>
        </w:rPr>
        <w:t>yirmi</w:t>
      </w:r>
      <w:proofErr w:type="spellEnd"/>
      <w:r w:rsidRPr="0006440D">
        <w:rPr>
          <w:lang w:val="en-US"/>
        </w:rPr>
        <w:t xml:space="preserve"> </w:t>
      </w:r>
      <w:proofErr w:type="spellStart"/>
      <w:r w:rsidRPr="0006440D">
        <w:rPr>
          <w:lang w:val="en-US"/>
        </w:rPr>
        <w:t>yılda</w:t>
      </w:r>
      <w:proofErr w:type="spellEnd"/>
      <w:r w:rsidRPr="0006440D">
        <w:rPr>
          <w:lang w:val="en-US"/>
        </w:rPr>
        <w:t xml:space="preserve"> Amerikan </w:t>
      </w:r>
      <w:proofErr w:type="spellStart"/>
      <w:r w:rsidRPr="0006440D">
        <w:rPr>
          <w:lang w:val="en-US"/>
        </w:rPr>
        <w:t>mahkemelerinin</w:t>
      </w:r>
      <w:proofErr w:type="spellEnd"/>
      <w:r w:rsidRPr="0006440D">
        <w:rPr>
          <w:lang w:val="en-US"/>
        </w:rPr>
        <w:t xml:space="preserve"> </w:t>
      </w:r>
      <w:proofErr w:type="spellStart"/>
      <w:r w:rsidRPr="0006440D">
        <w:rPr>
          <w:lang w:val="en-US"/>
        </w:rPr>
        <w:t>yabancı</w:t>
      </w:r>
      <w:proofErr w:type="spellEnd"/>
      <w:r w:rsidRPr="0006440D">
        <w:rPr>
          <w:lang w:val="en-US"/>
        </w:rPr>
        <w:t xml:space="preserve"> </w:t>
      </w:r>
      <w:proofErr w:type="spellStart"/>
      <w:r w:rsidRPr="0006440D">
        <w:rPr>
          <w:lang w:val="en-US"/>
        </w:rPr>
        <w:t>mahkemelerin</w:t>
      </w:r>
      <w:proofErr w:type="spellEnd"/>
      <w:r w:rsidRPr="0006440D">
        <w:rPr>
          <w:lang w:val="en-US"/>
        </w:rPr>
        <w:t xml:space="preserve"> </w:t>
      </w:r>
      <w:proofErr w:type="spellStart"/>
      <w:r w:rsidRPr="0006440D">
        <w:rPr>
          <w:lang w:val="en-US"/>
        </w:rPr>
        <w:t>kararlarına</w:t>
      </w:r>
      <w:proofErr w:type="spellEnd"/>
      <w:r w:rsidRPr="0006440D">
        <w:rPr>
          <w:lang w:val="en-US"/>
        </w:rPr>
        <w:t xml:space="preserve"> </w:t>
      </w:r>
      <w:proofErr w:type="spellStart"/>
      <w:r w:rsidRPr="0006440D">
        <w:rPr>
          <w:lang w:val="en-US"/>
        </w:rPr>
        <w:t>atıfta</w:t>
      </w:r>
      <w:proofErr w:type="spellEnd"/>
      <w:r w:rsidRPr="0006440D">
        <w:rPr>
          <w:lang w:val="en-US"/>
        </w:rPr>
        <w:t xml:space="preserve"> </w:t>
      </w:r>
      <w:proofErr w:type="spellStart"/>
      <w:r w:rsidRPr="0006440D">
        <w:rPr>
          <w:lang w:val="en-US"/>
        </w:rPr>
        <w:t>bulunmasının</w:t>
      </w:r>
      <w:proofErr w:type="spellEnd"/>
      <w:r w:rsidRPr="0006440D">
        <w:rPr>
          <w:lang w:val="en-US"/>
        </w:rPr>
        <w:t xml:space="preserve"> ne zaman </w:t>
      </w:r>
      <w:proofErr w:type="spellStart"/>
      <w:r w:rsidRPr="0006440D">
        <w:rPr>
          <w:lang w:val="en-US"/>
        </w:rPr>
        <w:t>ve</w:t>
      </w:r>
      <w:proofErr w:type="spellEnd"/>
      <w:r w:rsidRPr="0006440D">
        <w:rPr>
          <w:lang w:val="en-US"/>
        </w:rPr>
        <w:t xml:space="preserve"> ne </w:t>
      </w:r>
      <w:proofErr w:type="spellStart"/>
      <w:r w:rsidRPr="0006440D">
        <w:rPr>
          <w:lang w:val="en-US"/>
        </w:rPr>
        <w:t>ölçüde</w:t>
      </w:r>
      <w:proofErr w:type="spellEnd"/>
      <w:r w:rsidRPr="0006440D">
        <w:rPr>
          <w:lang w:val="en-US"/>
        </w:rPr>
        <w:t xml:space="preserve"> </w:t>
      </w:r>
      <w:proofErr w:type="spellStart"/>
      <w:r w:rsidRPr="0006440D">
        <w:rPr>
          <w:lang w:val="en-US"/>
        </w:rPr>
        <w:t>uygun</w:t>
      </w:r>
      <w:proofErr w:type="spellEnd"/>
      <w:r w:rsidRPr="0006440D">
        <w:rPr>
          <w:lang w:val="en-US"/>
        </w:rPr>
        <w:t xml:space="preserve"> </w:t>
      </w:r>
      <w:proofErr w:type="spellStart"/>
      <w:r w:rsidRPr="0006440D">
        <w:rPr>
          <w:lang w:val="en-US"/>
        </w:rPr>
        <w:t>olduğuna</w:t>
      </w:r>
      <w:proofErr w:type="spellEnd"/>
      <w:r w:rsidRPr="0006440D">
        <w:rPr>
          <w:lang w:val="en-US"/>
        </w:rPr>
        <w:t xml:space="preserve"> </w:t>
      </w:r>
      <w:proofErr w:type="spellStart"/>
      <w:r w:rsidRPr="0006440D">
        <w:rPr>
          <w:lang w:val="en-US"/>
        </w:rPr>
        <w:t>dair</w:t>
      </w:r>
      <w:proofErr w:type="spellEnd"/>
      <w:r w:rsidRPr="0006440D">
        <w:rPr>
          <w:lang w:val="en-US"/>
        </w:rPr>
        <w:t xml:space="preserve"> zaman </w:t>
      </w:r>
      <w:proofErr w:type="spellStart"/>
      <w:r w:rsidRPr="0006440D">
        <w:rPr>
          <w:lang w:val="en-US"/>
        </w:rPr>
        <w:t>zaman</w:t>
      </w:r>
      <w:proofErr w:type="spellEnd"/>
      <w:r w:rsidRPr="0006440D">
        <w:rPr>
          <w:lang w:val="en-US"/>
        </w:rPr>
        <w:t xml:space="preserve"> </w:t>
      </w:r>
      <w:proofErr w:type="spellStart"/>
      <w:r w:rsidRPr="0006440D">
        <w:rPr>
          <w:lang w:val="en-US"/>
        </w:rPr>
        <w:t>sert</w:t>
      </w:r>
      <w:proofErr w:type="spellEnd"/>
      <w:r w:rsidRPr="0006440D">
        <w:rPr>
          <w:lang w:val="en-US"/>
        </w:rPr>
        <w:t xml:space="preserve"> </w:t>
      </w:r>
      <w:proofErr w:type="spellStart"/>
      <w:r w:rsidRPr="0006440D">
        <w:rPr>
          <w:lang w:val="en-US"/>
        </w:rPr>
        <w:t>tartışmalar</w:t>
      </w:r>
      <w:proofErr w:type="spellEnd"/>
      <w:r w:rsidRPr="0006440D">
        <w:rPr>
          <w:lang w:val="en-US"/>
        </w:rPr>
        <w:t xml:space="preserve"> yaşanmıştır.54</w:t>
      </w:r>
      <w:r w:rsidR="00D301C5">
        <w:rPr>
          <w:lang w:val="en-US"/>
        </w:rPr>
        <w:t xml:space="preserve"> </w:t>
      </w:r>
      <w:r>
        <w:rPr>
          <w:rStyle w:val="FootnoteReference"/>
          <w:lang w:val="en-US"/>
        </w:rPr>
        <w:footnoteReference w:id="54"/>
      </w:r>
      <w:r w:rsidRPr="0006440D">
        <w:rPr>
          <w:lang w:val="en-US"/>
        </w:rPr>
        <w:t xml:space="preserve"> Bu </w:t>
      </w:r>
      <w:proofErr w:type="spellStart"/>
      <w:r w:rsidRPr="0006440D">
        <w:rPr>
          <w:lang w:val="en-US"/>
        </w:rPr>
        <w:t>tartışmalar</w:t>
      </w:r>
      <w:proofErr w:type="spellEnd"/>
      <w:r w:rsidRPr="0006440D">
        <w:rPr>
          <w:lang w:val="en-US"/>
        </w:rPr>
        <w:t xml:space="preserve"> </w:t>
      </w:r>
      <w:proofErr w:type="spellStart"/>
      <w:r w:rsidRPr="0006440D">
        <w:rPr>
          <w:lang w:val="en-US"/>
        </w:rPr>
        <w:t>çeşitli</w:t>
      </w:r>
      <w:proofErr w:type="spellEnd"/>
      <w:r w:rsidRPr="0006440D">
        <w:rPr>
          <w:lang w:val="en-US"/>
        </w:rPr>
        <w:t xml:space="preserve"> </w:t>
      </w:r>
      <w:proofErr w:type="spellStart"/>
      <w:r w:rsidRPr="0006440D">
        <w:rPr>
          <w:lang w:val="en-US"/>
        </w:rPr>
        <w:t>retorik</w:t>
      </w:r>
      <w:proofErr w:type="spellEnd"/>
      <w:r w:rsidRPr="0006440D">
        <w:rPr>
          <w:lang w:val="en-US"/>
        </w:rPr>
        <w:t xml:space="preserve"> </w:t>
      </w:r>
      <w:proofErr w:type="spellStart"/>
      <w:r w:rsidRPr="0006440D">
        <w:rPr>
          <w:lang w:val="en-US"/>
        </w:rPr>
        <w:t>biçimlerle</w:t>
      </w:r>
      <w:proofErr w:type="spellEnd"/>
      <w:r w:rsidRPr="0006440D">
        <w:rPr>
          <w:lang w:val="en-US"/>
        </w:rPr>
        <w:t xml:space="preserve"> </w:t>
      </w:r>
      <w:proofErr w:type="spellStart"/>
      <w:r w:rsidRPr="0006440D">
        <w:rPr>
          <w:lang w:val="en-US"/>
        </w:rPr>
        <w:t>süslenmiş</w:t>
      </w:r>
      <w:proofErr w:type="spellEnd"/>
      <w:r w:rsidRPr="0006440D">
        <w:rPr>
          <w:lang w:val="en-US"/>
        </w:rPr>
        <w:t xml:space="preserve"> </w:t>
      </w:r>
      <w:proofErr w:type="spellStart"/>
      <w:r w:rsidRPr="0006440D">
        <w:rPr>
          <w:lang w:val="en-US"/>
        </w:rPr>
        <w:t>olsa</w:t>
      </w:r>
      <w:proofErr w:type="spellEnd"/>
      <w:r w:rsidRPr="0006440D">
        <w:rPr>
          <w:lang w:val="en-US"/>
        </w:rPr>
        <w:t xml:space="preserve"> da, </w:t>
      </w:r>
      <w:proofErr w:type="spellStart"/>
      <w:r w:rsidRPr="0006440D">
        <w:rPr>
          <w:lang w:val="en-US"/>
        </w:rPr>
        <w:t>nihayetinde</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argümanların</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türü</w:t>
      </w:r>
      <w:proofErr w:type="spellEnd"/>
      <w:r w:rsidRPr="0006440D">
        <w:rPr>
          <w:lang w:val="en-US"/>
        </w:rPr>
        <w:t xml:space="preserve"> </w:t>
      </w:r>
      <w:proofErr w:type="spellStart"/>
      <w:r w:rsidRPr="0006440D">
        <w:rPr>
          <w:lang w:val="en-US"/>
        </w:rPr>
        <w:t>olan</w:t>
      </w:r>
      <w:proofErr w:type="spellEnd"/>
      <w:r w:rsidRPr="0006440D">
        <w:rPr>
          <w:lang w:val="en-US"/>
        </w:rPr>
        <w:t xml:space="preserve"> </w:t>
      </w:r>
      <w:proofErr w:type="spellStart"/>
      <w:r w:rsidRPr="0006440D">
        <w:rPr>
          <w:lang w:val="en-US"/>
        </w:rPr>
        <w:t>yabancı</w:t>
      </w:r>
      <w:proofErr w:type="spellEnd"/>
      <w:r w:rsidRPr="0006440D">
        <w:rPr>
          <w:lang w:val="en-US"/>
        </w:rPr>
        <w:t xml:space="preserve"> </w:t>
      </w:r>
      <w:proofErr w:type="spellStart"/>
      <w:r w:rsidRPr="0006440D">
        <w:rPr>
          <w:lang w:val="en-US"/>
        </w:rPr>
        <w:t>içtihatlardan</w:t>
      </w:r>
      <w:proofErr w:type="spellEnd"/>
      <w:r w:rsidRPr="0006440D">
        <w:rPr>
          <w:lang w:val="en-US"/>
        </w:rPr>
        <w:t xml:space="preserve"> </w:t>
      </w:r>
      <w:proofErr w:type="spellStart"/>
      <w:r w:rsidRPr="0006440D">
        <w:rPr>
          <w:lang w:val="en-US"/>
        </w:rPr>
        <w:t>türetilen</w:t>
      </w:r>
      <w:proofErr w:type="spellEnd"/>
      <w:r w:rsidRPr="0006440D">
        <w:rPr>
          <w:lang w:val="en-US"/>
        </w:rPr>
        <w:t xml:space="preserve"> </w:t>
      </w:r>
      <w:proofErr w:type="spellStart"/>
      <w:r w:rsidRPr="0006440D">
        <w:rPr>
          <w:lang w:val="en-US"/>
        </w:rPr>
        <w:t>argümanların</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kelime</w:t>
      </w:r>
      <w:proofErr w:type="spellEnd"/>
      <w:r w:rsidRPr="0006440D">
        <w:rPr>
          <w:lang w:val="en-US"/>
        </w:rPr>
        <w:t xml:space="preserve"> </w:t>
      </w:r>
      <w:proofErr w:type="spellStart"/>
      <w:r w:rsidRPr="0006440D">
        <w:rPr>
          <w:lang w:val="en-US"/>
        </w:rPr>
        <w:t>dağarcığımıza</w:t>
      </w:r>
      <w:proofErr w:type="spellEnd"/>
      <w:r w:rsidRPr="0006440D">
        <w:rPr>
          <w:lang w:val="en-US"/>
        </w:rPr>
        <w:t xml:space="preserve"> </w:t>
      </w:r>
      <w:proofErr w:type="spellStart"/>
      <w:r w:rsidRPr="0006440D">
        <w:rPr>
          <w:lang w:val="en-US"/>
        </w:rPr>
        <w:t>girip</w:t>
      </w:r>
      <w:proofErr w:type="spellEnd"/>
      <w:r w:rsidRPr="0006440D">
        <w:rPr>
          <w:lang w:val="en-US"/>
        </w:rPr>
        <w:t xml:space="preserve"> </w:t>
      </w:r>
      <w:proofErr w:type="spellStart"/>
      <w:r w:rsidRPr="0006440D">
        <w:rPr>
          <w:lang w:val="en-US"/>
        </w:rPr>
        <w:t>girmeyeceği</w:t>
      </w:r>
      <w:proofErr w:type="spellEnd"/>
      <w:r w:rsidRPr="0006440D">
        <w:rPr>
          <w:lang w:val="en-US"/>
        </w:rPr>
        <w:t xml:space="preserve"> </w:t>
      </w:r>
      <w:proofErr w:type="spellStart"/>
      <w:r w:rsidRPr="0006440D">
        <w:rPr>
          <w:lang w:val="en-US"/>
        </w:rPr>
        <w:t>ya</w:t>
      </w:r>
      <w:proofErr w:type="spellEnd"/>
      <w:r w:rsidRPr="0006440D">
        <w:rPr>
          <w:lang w:val="en-US"/>
        </w:rPr>
        <w:t xml:space="preserve"> da </w:t>
      </w:r>
      <w:proofErr w:type="spellStart"/>
      <w:r w:rsidRPr="0006440D">
        <w:rPr>
          <w:lang w:val="en-US"/>
        </w:rPr>
        <w:t>orada</w:t>
      </w:r>
      <w:proofErr w:type="spellEnd"/>
      <w:r w:rsidRPr="0006440D">
        <w:rPr>
          <w:lang w:val="en-US"/>
        </w:rPr>
        <w:t xml:space="preserve"> </w:t>
      </w:r>
      <w:proofErr w:type="spellStart"/>
      <w:r w:rsidRPr="0006440D">
        <w:rPr>
          <w:lang w:val="en-US"/>
        </w:rPr>
        <w:t>kalıp</w:t>
      </w:r>
      <w:proofErr w:type="spellEnd"/>
      <w:r w:rsidRPr="0006440D">
        <w:rPr>
          <w:lang w:val="en-US"/>
        </w:rPr>
        <w:t xml:space="preserve"> </w:t>
      </w:r>
      <w:proofErr w:type="spellStart"/>
      <w:r w:rsidRPr="0006440D">
        <w:rPr>
          <w:lang w:val="en-US"/>
        </w:rPr>
        <w:t>kalmayacağı</w:t>
      </w:r>
      <w:proofErr w:type="spellEnd"/>
      <w:r w:rsidRPr="0006440D">
        <w:rPr>
          <w:lang w:val="en-US"/>
        </w:rPr>
        <w:t xml:space="preserve"> </w:t>
      </w:r>
      <w:proofErr w:type="spellStart"/>
      <w:r w:rsidRPr="0006440D">
        <w:rPr>
          <w:lang w:val="en-US"/>
        </w:rPr>
        <w:t>konusunda</w:t>
      </w:r>
      <w:proofErr w:type="spellEnd"/>
      <w:r w:rsidRPr="0006440D">
        <w:rPr>
          <w:lang w:val="en-US"/>
        </w:rPr>
        <w:t xml:space="preserve"> </w:t>
      </w:r>
      <w:proofErr w:type="spellStart"/>
      <w:r w:rsidRPr="0006440D">
        <w:rPr>
          <w:lang w:val="en-US"/>
        </w:rPr>
        <w:t>açık</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mücadeleden</w:t>
      </w:r>
      <w:proofErr w:type="spellEnd"/>
      <w:r w:rsidRPr="0006440D">
        <w:rPr>
          <w:lang w:val="en-US"/>
        </w:rPr>
        <w:t xml:space="preserve"> </w:t>
      </w:r>
      <w:proofErr w:type="spellStart"/>
      <w:r w:rsidRPr="0006440D">
        <w:rPr>
          <w:lang w:val="en-US"/>
        </w:rPr>
        <w:t>ibarettir</w:t>
      </w:r>
      <w:proofErr w:type="spellEnd"/>
      <w:r w:rsidRPr="0006440D">
        <w:rPr>
          <w:lang w:val="en-US"/>
        </w:rPr>
        <w:t>.</w:t>
      </w:r>
      <w:r>
        <w:rPr>
          <w:lang w:val="en-US"/>
        </w:rPr>
        <w:t xml:space="preserve"> </w:t>
      </w:r>
      <w:r w:rsidRPr="0006440D">
        <w:rPr>
          <w:lang w:val="en-US"/>
        </w:rPr>
        <w:t xml:space="preserve">Amerikan </w:t>
      </w:r>
      <w:proofErr w:type="spellStart"/>
      <w:r w:rsidRPr="0006440D">
        <w:rPr>
          <w:lang w:val="en-US"/>
        </w:rPr>
        <w:t>mahkemelerinin</w:t>
      </w:r>
      <w:proofErr w:type="spellEnd"/>
      <w:r w:rsidRPr="0006440D">
        <w:rPr>
          <w:lang w:val="en-US"/>
        </w:rPr>
        <w:t xml:space="preserve"> </w:t>
      </w:r>
      <w:proofErr w:type="spellStart"/>
      <w:r w:rsidRPr="0006440D">
        <w:rPr>
          <w:lang w:val="en-US"/>
        </w:rPr>
        <w:t>bireysel</w:t>
      </w:r>
      <w:proofErr w:type="spellEnd"/>
      <w:r w:rsidRPr="0006440D">
        <w:rPr>
          <w:lang w:val="en-US"/>
        </w:rPr>
        <w:t xml:space="preserve"> </w:t>
      </w:r>
      <w:proofErr w:type="spellStart"/>
      <w:r w:rsidRPr="0006440D">
        <w:rPr>
          <w:lang w:val="en-US"/>
        </w:rPr>
        <w:t>haklar</w:t>
      </w:r>
      <w:proofErr w:type="spellEnd"/>
      <w:r w:rsidRPr="0006440D">
        <w:rPr>
          <w:lang w:val="en-US"/>
        </w:rPr>
        <w:t xml:space="preserve"> </w:t>
      </w:r>
      <w:proofErr w:type="spellStart"/>
      <w:r w:rsidRPr="0006440D">
        <w:rPr>
          <w:lang w:val="en-US"/>
        </w:rPr>
        <w:t>gibi</w:t>
      </w:r>
      <w:proofErr w:type="spellEnd"/>
      <w:r w:rsidRPr="0006440D">
        <w:rPr>
          <w:lang w:val="en-US"/>
        </w:rPr>
        <w:t xml:space="preserve"> </w:t>
      </w:r>
      <w:proofErr w:type="spellStart"/>
      <w:r w:rsidRPr="0006440D">
        <w:rPr>
          <w:lang w:val="en-US"/>
        </w:rPr>
        <w:t>geleneksel</w:t>
      </w:r>
      <w:proofErr w:type="spellEnd"/>
      <w:r w:rsidRPr="0006440D">
        <w:rPr>
          <w:lang w:val="en-US"/>
        </w:rPr>
        <w:t xml:space="preserve"> </w:t>
      </w:r>
      <w:proofErr w:type="spellStart"/>
      <w:r w:rsidRPr="0006440D">
        <w:rPr>
          <w:lang w:val="en-US"/>
        </w:rPr>
        <w:t>olarak</w:t>
      </w:r>
      <w:proofErr w:type="spellEnd"/>
      <w:r w:rsidRPr="0006440D">
        <w:rPr>
          <w:lang w:val="en-US"/>
        </w:rPr>
        <w:t xml:space="preserve"> </w:t>
      </w:r>
      <w:proofErr w:type="spellStart"/>
      <w:r w:rsidRPr="0006440D">
        <w:rPr>
          <w:lang w:val="en-US"/>
        </w:rPr>
        <w:t>dünya</w:t>
      </w:r>
      <w:proofErr w:type="spellEnd"/>
      <w:r w:rsidRPr="0006440D">
        <w:rPr>
          <w:lang w:val="en-US"/>
        </w:rPr>
        <w:t xml:space="preserve"> </w:t>
      </w:r>
      <w:proofErr w:type="spellStart"/>
      <w:r w:rsidRPr="0006440D">
        <w:rPr>
          <w:lang w:val="en-US"/>
        </w:rPr>
        <w:t>lideri</w:t>
      </w:r>
      <w:proofErr w:type="spellEnd"/>
      <w:r w:rsidRPr="0006440D">
        <w:rPr>
          <w:lang w:val="en-US"/>
        </w:rPr>
        <w:t xml:space="preserve"> </w:t>
      </w:r>
      <w:proofErr w:type="spellStart"/>
      <w:r w:rsidRPr="0006440D">
        <w:rPr>
          <w:lang w:val="en-US"/>
        </w:rPr>
        <w:t>olarak</w:t>
      </w:r>
      <w:proofErr w:type="spellEnd"/>
      <w:r w:rsidRPr="0006440D">
        <w:rPr>
          <w:lang w:val="en-US"/>
        </w:rPr>
        <w:t xml:space="preserve"> </w:t>
      </w:r>
      <w:proofErr w:type="spellStart"/>
      <w:r w:rsidRPr="0006440D">
        <w:rPr>
          <w:lang w:val="en-US"/>
        </w:rPr>
        <w:t>görüldüğü</w:t>
      </w:r>
      <w:proofErr w:type="spellEnd"/>
      <w:r w:rsidRPr="0006440D">
        <w:rPr>
          <w:lang w:val="en-US"/>
        </w:rPr>
        <w:t xml:space="preserve"> </w:t>
      </w:r>
      <w:proofErr w:type="spellStart"/>
      <w:r w:rsidRPr="0006440D">
        <w:rPr>
          <w:lang w:val="en-US"/>
        </w:rPr>
        <w:t>alanlarda</w:t>
      </w:r>
      <w:proofErr w:type="spellEnd"/>
      <w:r w:rsidRPr="0006440D">
        <w:rPr>
          <w:lang w:val="en-US"/>
        </w:rPr>
        <w:t xml:space="preserve"> </w:t>
      </w:r>
      <w:proofErr w:type="spellStart"/>
      <w:r w:rsidRPr="0006440D">
        <w:rPr>
          <w:lang w:val="en-US"/>
        </w:rPr>
        <w:t>yabancı</w:t>
      </w:r>
      <w:proofErr w:type="spellEnd"/>
      <w:r w:rsidRPr="0006440D">
        <w:rPr>
          <w:lang w:val="en-US"/>
        </w:rPr>
        <w:t xml:space="preserve"> </w:t>
      </w:r>
      <w:proofErr w:type="spellStart"/>
      <w:r w:rsidRPr="0006440D">
        <w:rPr>
          <w:lang w:val="en-US"/>
        </w:rPr>
        <w:t>mahkemeler</w:t>
      </w:r>
      <w:proofErr w:type="spellEnd"/>
      <w:r w:rsidRPr="0006440D">
        <w:rPr>
          <w:lang w:val="en-US"/>
        </w:rPr>
        <w:t xml:space="preserve"> </w:t>
      </w:r>
      <w:proofErr w:type="spellStart"/>
      <w:r w:rsidRPr="0006440D">
        <w:rPr>
          <w:lang w:val="en-US"/>
        </w:rPr>
        <w:t>giderek</w:t>
      </w:r>
      <w:proofErr w:type="spellEnd"/>
      <w:r w:rsidRPr="0006440D">
        <w:rPr>
          <w:lang w:val="en-US"/>
        </w:rPr>
        <w:t xml:space="preserve"> </w:t>
      </w:r>
      <w:proofErr w:type="spellStart"/>
      <w:r w:rsidRPr="0006440D">
        <w:rPr>
          <w:lang w:val="en-US"/>
        </w:rPr>
        <w:t>daha</w:t>
      </w:r>
      <w:proofErr w:type="spellEnd"/>
      <w:r w:rsidRPr="0006440D">
        <w:rPr>
          <w:lang w:val="en-US"/>
        </w:rPr>
        <w:t xml:space="preserve"> </w:t>
      </w:r>
      <w:proofErr w:type="spellStart"/>
      <w:r w:rsidRPr="0006440D">
        <w:rPr>
          <w:lang w:val="en-US"/>
        </w:rPr>
        <w:t>fazla</w:t>
      </w:r>
      <w:proofErr w:type="spellEnd"/>
      <w:r w:rsidRPr="0006440D">
        <w:rPr>
          <w:lang w:val="en-US"/>
        </w:rPr>
        <w:t xml:space="preserve"> </w:t>
      </w:r>
      <w:proofErr w:type="spellStart"/>
      <w:r w:rsidRPr="0006440D">
        <w:rPr>
          <w:lang w:val="en-US"/>
        </w:rPr>
        <w:t>önem</w:t>
      </w:r>
      <w:proofErr w:type="spellEnd"/>
      <w:r w:rsidRPr="0006440D">
        <w:rPr>
          <w:lang w:val="en-US"/>
        </w:rPr>
        <w:t xml:space="preserve"> </w:t>
      </w:r>
      <w:proofErr w:type="spellStart"/>
      <w:r w:rsidRPr="0006440D">
        <w:rPr>
          <w:lang w:val="en-US"/>
        </w:rPr>
        <w:t>kazandıkça</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küreselleşme</w:t>
      </w:r>
      <w:proofErr w:type="spellEnd"/>
      <w:r w:rsidRPr="0006440D">
        <w:rPr>
          <w:lang w:val="en-US"/>
        </w:rPr>
        <w:t xml:space="preserve"> </w:t>
      </w:r>
      <w:proofErr w:type="spellStart"/>
      <w:r w:rsidRPr="0006440D">
        <w:rPr>
          <w:lang w:val="en-US"/>
        </w:rPr>
        <w:t>dünyayı</w:t>
      </w:r>
      <w:proofErr w:type="spellEnd"/>
      <w:r w:rsidRPr="0006440D">
        <w:rPr>
          <w:lang w:val="en-US"/>
        </w:rPr>
        <w:t xml:space="preserve"> </w:t>
      </w:r>
      <w:proofErr w:type="spellStart"/>
      <w:r w:rsidRPr="0006440D">
        <w:rPr>
          <w:lang w:val="en-US"/>
        </w:rPr>
        <w:t>küçültüp</w:t>
      </w:r>
      <w:proofErr w:type="spellEnd"/>
      <w:r w:rsidRPr="0006440D">
        <w:rPr>
          <w:lang w:val="en-US"/>
        </w:rPr>
        <w:t xml:space="preserve"> </w:t>
      </w:r>
      <w:proofErr w:type="spellStart"/>
      <w:r w:rsidRPr="0006440D">
        <w:rPr>
          <w:lang w:val="en-US"/>
        </w:rPr>
        <w:t>birçok</w:t>
      </w:r>
      <w:proofErr w:type="spellEnd"/>
      <w:r w:rsidRPr="0006440D">
        <w:rPr>
          <w:lang w:val="en-US"/>
        </w:rPr>
        <w:t xml:space="preserve"> </w:t>
      </w:r>
      <w:proofErr w:type="spellStart"/>
      <w:r w:rsidRPr="0006440D">
        <w:rPr>
          <w:lang w:val="en-US"/>
        </w:rPr>
        <w:t>ekonomik</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kültürel</w:t>
      </w:r>
      <w:proofErr w:type="spellEnd"/>
      <w:r w:rsidRPr="0006440D">
        <w:rPr>
          <w:lang w:val="en-US"/>
        </w:rPr>
        <w:t xml:space="preserve"> </w:t>
      </w:r>
      <w:proofErr w:type="spellStart"/>
      <w:r w:rsidRPr="0006440D">
        <w:rPr>
          <w:lang w:val="en-US"/>
        </w:rPr>
        <w:t>faaliyet</w:t>
      </w:r>
      <w:proofErr w:type="spellEnd"/>
      <w:r w:rsidRPr="0006440D">
        <w:rPr>
          <w:lang w:val="en-US"/>
        </w:rPr>
        <w:t xml:space="preserve"> </w:t>
      </w:r>
      <w:proofErr w:type="spellStart"/>
      <w:r w:rsidRPr="0006440D">
        <w:rPr>
          <w:lang w:val="en-US"/>
        </w:rPr>
        <w:t>için</w:t>
      </w:r>
      <w:proofErr w:type="spellEnd"/>
      <w:r w:rsidRPr="0006440D">
        <w:rPr>
          <w:lang w:val="en-US"/>
        </w:rPr>
        <w:t xml:space="preserve"> </w:t>
      </w:r>
      <w:proofErr w:type="spellStart"/>
      <w:r w:rsidRPr="0006440D">
        <w:rPr>
          <w:lang w:val="en-US"/>
        </w:rPr>
        <w:t>uluslararası</w:t>
      </w:r>
      <w:proofErr w:type="spellEnd"/>
      <w:r w:rsidRPr="0006440D">
        <w:rPr>
          <w:lang w:val="en-US"/>
        </w:rPr>
        <w:t xml:space="preserve"> </w:t>
      </w:r>
      <w:proofErr w:type="spellStart"/>
      <w:r w:rsidRPr="0006440D">
        <w:rPr>
          <w:lang w:val="en-US"/>
        </w:rPr>
        <w:t>sınırların</w:t>
      </w:r>
      <w:proofErr w:type="spellEnd"/>
      <w:r w:rsidRPr="0006440D">
        <w:rPr>
          <w:lang w:val="en-US"/>
        </w:rPr>
        <w:t xml:space="preserve"> </w:t>
      </w:r>
      <w:proofErr w:type="spellStart"/>
      <w:r w:rsidRPr="0006440D">
        <w:rPr>
          <w:lang w:val="en-US"/>
        </w:rPr>
        <w:t>önemini</w:t>
      </w:r>
      <w:proofErr w:type="spellEnd"/>
      <w:r w:rsidRPr="0006440D">
        <w:rPr>
          <w:lang w:val="en-US"/>
        </w:rPr>
        <w:t xml:space="preserve"> </w:t>
      </w:r>
      <w:proofErr w:type="spellStart"/>
      <w:r w:rsidRPr="0006440D">
        <w:rPr>
          <w:lang w:val="en-US"/>
        </w:rPr>
        <w:t>azalttıkça</w:t>
      </w:r>
      <w:proofErr w:type="spellEnd"/>
      <w:r w:rsidRPr="0006440D">
        <w:rPr>
          <w:lang w:val="en-US"/>
        </w:rPr>
        <w:t xml:space="preserve">, </w:t>
      </w:r>
      <w:proofErr w:type="spellStart"/>
      <w:r w:rsidRPr="0006440D">
        <w:rPr>
          <w:lang w:val="en-US"/>
        </w:rPr>
        <w:t>Amerikalılar</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kültürlerinin</w:t>
      </w:r>
      <w:proofErr w:type="spellEnd"/>
      <w:r w:rsidRPr="0006440D">
        <w:rPr>
          <w:lang w:val="en-US"/>
        </w:rPr>
        <w:t xml:space="preserve"> “</w:t>
      </w:r>
      <w:proofErr w:type="spellStart"/>
      <w:r w:rsidRPr="0006440D">
        <w:rPr>
          <w:lang w:val="en-US"/>
        </w:rPr>
        <w:t>davacı</w:t>
      </w:r>
      <w:proofErr w:type="spellEnd"/>
      <w:r w:rsidRPr="0006440D">
        <w:rPr>
          <w:lang w:val="en-US"/>
        </w:rPr>
        <w:t xml:space="preserve"> </w:t>
      </w:r>
      <w:proofErr w:type="spellStart"/>
      <w:r w:rsidRPr="0006440D">
        <w:rPr>
          <w:lang w:val="en-US"/>
        </w:rPr>
        <w:t>davayı</w:t>
      </w:r>
      <w:proofErr w:type="spellEnd"/>
      <w:r w:rsidRPr="0006440D">
        <w:rPr>
          <w:lang w:val="en-US"/>
        </w:rPr>
        <w:t xml:space="preserve"> </w:t>
      </w:r>
      <w:proofErr w:type="spellStart"/>
      <w:r w:rsidRPr="0006440D">
        <w:rPr>
          <w:lang w:val="en-US"/>
        </w:rPr>
        <w:t>kazanmalıdır</w:t>
      </w:r>
      <w:proofErr w:type="spellEnd"/>
      <w:r w:rsidRPr="0006440D">
        <w:rPr>
          <w:lang w:val="en-US"/>
        </w:rPr>
        <w:t xml:space="preserve">, </w:t>
      </w:r>
      <w:proofErr w:type="spellStart"/>
      <w:r w:rsidRPr="0006440D">
        <w:rPr>
          <w:lang w:val="en-US"/>
        </w:rPr>
        <w:t>çünkü</w:t>
      </w:r>
      <w:proofErr w:type="spellEnd"/>
      <w:r w:rsidRPr="0006440D">
        <w:rPr>
          <w:lang w:val="en-US"/>
        </w:rPr>
        <w:t xml:space="preserve"> </w:t>
      </w:r>
      <w:proofErr w:type="spellStart"/>
      <w:r w:rsidRPr="0006440D">
        <w:rPr>
          <w:lang w:val="en-US"/>
        </w:rPr>
        <w:t>Avrupa</w:t>
      </w:r>
      <w:proofErr w:type="spellEnd"/>
      <w:r w:rsidRPr="0006440D">
        <w:rPr>
          <w:lang w:val="en-US"/>
        </w:rPr>
        <w:t xml:space="preserve"> </w:t>
      </w:r>
      <w:proofErr w:type="spellStart"/>
      <w:r w:rsidRPr="0006440D">
        <w:rPr>
          <w:lang w:val="en-US"/>
        </w:rPr>
        <w:t>İnsan</w:t>
      </w:r>
      <w:proofErr w:type="spellEnd"/>
      <w:r w:rsidRPr="0006440D">
        <w:rPr>
          <w:lang w:val="en-US"/>
        </w:rPr>
        <w:t xml:space="preserve"> </w:t>
      </w:r>
      <w:proofErr w:type="spellStart"/>
      <w:r w:rsidRPr="0006440D">
        <w:rPr>
          <w:lang w:val="en-US"/>
        </w:rPr>
        <w:t>Hakları</w:t>
      </w:r>
      <w:proofErr w:type="spellEnd"/>
      <w:r w:rsidRPr="0006440D">
        <w:rPr>
          <w:lang w:val="en-US"/>
        </w:rPr>
        <w:t xml:space="preserve"> </w:t>
      </w:r>
      <w:proofErr w:type="spellStart"/>
      <w:r w:rsidRPr="0006440D">
        <w:rPr>
          <w:lang w:val="en-US"/>
        </w:rPr>
        <w:t>Mahkemesi</w:t>
      </w:r>
      <w:proofErr w:type="spellEnd"/>
      <w:r w:rsidRPr="0006440D">
        <w:rPr>
          <w:lang w:val="en-US"/>
        </w:rPr>
        <w:t xml:space="preserve"> </w:t>
      </w:r>
      <w:proofErr w:type="spellStart"/>
      <w:r w:rsidRPr="0006440D">
        <w:rPr>
          <w:lang w:val="en-US"/>
        </w:rPr>
        <w:t>benzer</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davada</w:t>
      </w:r>
      <w:proofErr w:type="spellEnd"/>
      <w:r w:rsidRPr="0006440D">
        <w:rPr>
          <w:lang w:val="en-US"/>
        </w:rPr>
        <w:t xml:space="preserve"> </w:t>
      </w:r>
      <w:proofErr w:type="spellStart"/>
      <w:r w:rsidRPr="0006440D">
        <w:rPr>
          <w:lang w:val="en-US"/>
        </w:rPr>
        <w:t>bu</w:t>
      </w:r>
      <w:proofErr w:type="spellEnd"/>
      <w:r w:rsidRPr="0006440D">
        <w:rPr>
          <w:lang w:val="en-US"/>
        </w:rPr>
        <w:t xml:space="preserve"> </w:t>
      </w:r>
      <w:proofErr w:type="spellStart"/>
      <w:r w:rsidRPr="0006440D">
        <w:rPr>
          <w:lang w:val="en-US"/>
        </w:rPr>
        <w:t>şekilde</w:t>
      </w:r>
      <w:proofErr w:type="spellEnd"/>
      <w:r w:rsidRPr="0006440D">
        <w:rPr>
          <w:lang w:val="en-US"/>
        </w:rPr>
        <w:t xml:space="preserve"> </w:t>
      </w:r>
      <w:proofErr w:type="spellStart"/>
      <w:r w:rsidRPr="0006440D">
        <w:rPr>
          <w:lang w:val="en-US"/>
        </w:rPr>
        <w:t>karar</w:t>
      </w:r>
      <w:proofErr w:type="spellEnd"/>
      <w:r w:rsidRPr="0006440D">
        <w:rPr>
          <w:lang w:val="en-US"/>
        </w:rPr>
        <w:t xml:space="preserve"> </w:t>
      </w:r>
      <w:proofErr w:type="spellStart"/>
      <w:r w:rsidRPr="0006440D">
        <w:rPr>
          <w:lang w:val="en-US"/>
        </w:rPr>
        <w:t>verdi</w:t>
      </w:r>
      <w:proofErr w:type="spellEnd"/>
      <w:r w:rsidRPr="0006440D">
        <w:rPr>
          <w:lang w:val="en-US"/>
        </w:rPr>
        <w:t xml:space="preserve">” </w:t>
      </w:r>
      <w:proofErr w:type="spellStart"/>
      <w:r w:rsidRPr="0006440D">
        <w:rPr>
          <w:lang w:val="en-US"/>
        </w:rPr>
        <w:t>şeklindeki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argümanı</w:t>
      </w:r>
      <w:proofErr w:type="spellEnd"/>
      <w:r w:rsidRPr="0006440D">
        <w:rPr>
          <w:lang w:val="en-US"/>
        </w:rPr>
        <w:t xml:space="preserve"> </w:t>
      </w:r>
      <w:proofErr w:type="spellStart"/>
      <w:r w:rsidRPr="0006440D">
        <w:rPr>
          <w:lang w:val="en-US"/>
        </w:rPr>
        <w:t>anayasal</w:t>
      </w:r>
      <w:proofErr w:type="spellEnd"/>
      <w:r w:rsidRPr="0006440D">
        <w:rPr>
          <w:lang w:val="en-US"/>
        </w:rPr>
        <w:t xml:space="preserve"> </w:t>
      </w:r>
      <w:proofErr w:type="spellStart"/>
      <w:r w:rsidRPr="0006440D">
        <w:rPr>
          <w:lang w:val="en-US"/>
        </w:rPr>
        <w:t>olarak</w:t>
      </w:r>
      <w:proofErr w:type="spellEnd"/>
      <w:r w:rsidRPr="0006440D">
        <w:rPr>
          <w:lang w:val="en-US"/>
        </w:rPr>
        <w:t xml:space="preserve"> </w:t>
      </w:r>
      <w:proofErr w:type="spellStart"/>
      <w:r w:rsidRPr="0006440D">
        <w:rPr>
          <w:lang w:val="en-US"/>
        </w:rPr>
        <w:t>ilgili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unsur</w:t>
      </w:r>
      <w:proofErr w:type="spellEnd"/>
      <w:r w:rsidRPr="0006440D">
        <w:rPr>
          <w:lang w:val="en-US"/>
        </w:rPr>
        <w:t xml:space="preserve"> mu </w:t>
      </w:r>
      <w:proofErr w:type="spellStart"/>
      <w:r w:rsidRPr="0006440D">
        <w:rPr>
          <w:lang w:val="en-US"/>
        </w:rPr>
        <w:t>yoksa</w:t>
      </w:r>
      <w:proofErr w:type="spellEnd"/>
      <w:r w:rsidRPr="0006440D">
        <w:rPr>
          <w:lang w:val="en-US"/>
        </w:rPr>
        <w:t xml:space="preserve"> </w:t>
      </w:r>
      <w:proofErr w:type="spellStart"/>
      <w:r w:rsidRPr="0006440D">
        <w:rPr>
          <w:lang w:val="en-US"/>
        </w:rPr>
        <w:t>yalnızca</w:t>
      </w:r>
      <w:proofErr w:type="spellEnd"/>
      <w:r w:rsidRPr="0006440D">
        <w:rPr>
          <w:lang w:val="en-US"/>
        </w:rPr>
        <w:t xml:space="preserve"> “</w:t>
      </w:r>
      <w:proofErr w:type="spellStart"/>
      <w:r w:rsidRPr="0006440D">
        <w:rPr>
          <w:lang w:val="en-US"/>
        </w:rPr>
        <w:t>şiirsel</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mantıksızlık</w:t>
      </w:r>
      <w:proofErr w:type="spellEnd"/>
      <w:r w:rsidRPr="0006440D">
        <w:rPr>
          <w:lang w:val="en-US"/>
        </w:rPr>
        <w:t xml:space="preserve"> (non sequitur) </w:t>
      </w:r>
      <w:proofErr w:type="spellStart"/>
      <w:r w:rsidRPr="0006440D">
        <w:rPr>
          <w:lang w:val="en-US"/>
        </w:rPr>
        <w:t>mı</w:t>
      </w:r>
      <w:proofErr w:type="spellEnd"/>
      <w:r w:rsidRPr="0006440D">
        <w:rPr>
          <w:lang w:val="en-US"/>
        </w:rPr>
        <w:t xml:space="preserve"> </w:t>
      </w:r>
      <w:proofErr w:type="spellStart"/>
      <w:r w:rsidRPr="0006440D">
        <w:rPr>
          <w:lang w:val="en-US"/>
        </w:rPr>
        <w:t>kabul</w:t>
      </w:r>
      <w:proofErr w:type="spellEnd"/>
      <w:r w:rsidRPr="0006440D">
        <w:rPr>
          <w:lang w:val="en-US"/>
        </w:rPr>
        <w:t xml:space="preserve"> </w:t>
      </w:r>
      <w:proofErr w:type="spellStart"/>
      <w:r w:rsidRPr="0006440D">
        <w:rPr>
          <w:lang w:val="en-US"/>
        </w:rPr>
        <w:t>edeceği</w:t>
      </w:r>
      <w:proofErr w:type="spellEnd"/>
      <w:r w:rsidRPr="0006440D">
        <w:rPr>
          <w:lang w:val="en-US"/>
        </w:rPr>
        <w:t xml:space="preserve"> </w:t>
      </w:r>
      <w:proofErr w:type="spellStart"/>
      <w:r w:rsidRPr="0006440D">
        <w:rPr>
          <w:lang w:val="en-US"/>
        </w:rPr>
        <w:t>sorusuyla</w:t>
      </w:r>
      <w:proofErr w:type="spellEnd"/>
      <w:r w:rsidRPr="0006440D">
        <w:rPr>
          <w:lang w:val="en-US"/>
        </w:rPr>
        <w:t xml:space="preserve"> yüzleşmiştir.55</w:t>
      </w:r>
      <w:r w:rsidR="00D301C5">
        <w:rPr>
          <w:lang w:val="en-US"/>
        </w:rPr>
        <w:t xml:space="preserve"> </w:t>
      </w:r>
      <w:r w:rsidR="00D301C5">
        <w:rPr>
          <w:rStyle w:val="FootnoteReference"/>
          <w:lang w:val="en-US"/>
        </w:rPr>
        <w:footnoteReference w:id="55"/>
      </w:r>
      <w:r w:rsidRPr="0006440D">
        <w:rPr>
          <w:lang w:val="en-US"/>
        </w:rPr>
        <w:t xml:space="preserve"> </w:t>
      </w:r>
      <w:proofErr w:type="spellStart"/>
      <w:r w:rsidRPr="0006440D">
        <w:rPr>
          <w:lang w:val="en-US"/>
        </w:rPr>
        <w:t>Anayasamızda</w:t>
      </w:r>
      <w:proofErr w:type="spellEnd"/>
      <w:r w:rsidRPr="0006440D">
        <w:rPr>
          <w:lang w:val="en-US"/>
        </w:rPr>
        <w:t xml:space="preserve">, </w:t>
      </w:r>
      <w:proofErr w:type="spellStart"/>
      <w:r w:rsidRPr="0006440D">
        <w:rPr>
          <w:lang w:val="en-US"/>
        </w:rPr>
        <w:t>tarihimizde</w:t>
      </w:r>
      <w:proofErr w:type="spellEnd"/>
      <w:r w:rsidRPr="0006440D">
        <w:rPr>
          <w:lang w:val="en-US"/>
        </w:rPr>
        <w:t xml:space="preserve"> </w:t>
      </w:r>
      <w:proofErr w:type="spellStart"/>
      <w:r w:rsidRPr="0006440D">
        <w:rPr>
          <w:lang w:val="en-US"/>
        </w:rPr>
        <w:t>ya</w:t>
      </w:r>
      <w:proofErr w:type="spellEnd"/>
      <w:r w:rsidRPr="0006440D">
        <w:rPr>
          <w:lang w:val="en-US"/>
        </w:rPr>
        <w:t xml:space="preserve"> da Phil </w:t>
      </w:r>
      <w:proofErr w:type="spellStart"/>
      <w:r w:rsidRPr="0006440D">
        <w:rPr>
          <w:lang w:val="en-US"/>
        </w:rPr>
        <w:t>Bobbitt’in</w:t>
      </w:r>
      <w:proofErr w:type="spellEnd"/>
      <w:r w:rsidRPr="0006440D">
        <w:rPr>
          <w:lang w:val="en-US"/>
        </w:rPr>
        <w:t xml:space="preserve"> </w:t>
      </w:r>
      <w:proofErr w:type="spellStart"/>
      <w:r w:rsidRPr="0006440D">
        <w:rPr>
          <w:lang w:val="en-US"/>
        </w:rPr>
        <w:t>yazılarında</w:t>
      </w:r>
      <w:proofErr w:type="spellEnd"/>
      <w:r w:rsidRPr="0006440D">
        <w:rPr>
          <w:lang w:val="en-US"/>
        </w:rPr>
        <w:t xml:space="preserve"> </w:t>
      </w:r>
      <w:proofErr w:type="spellStart"/>
      <w:r w:rsidRPr="0006440D">
        <w:rPr>
          <w:lang w:val="en-US"/>
        </w:rPr>
        <w:t>bu</w:t>
      </w:r>
      <w:proofErr w:type="spellEnd"/>
      <w:r w:rsidRPr="0006440D">
        <w:rPr>
          <w:lang w:val="en-US"/>
        </w:rPr>
        <w:t xml:space="preserve"> </w:t>
      </w:r>
      <w:proofErr w:type="spellStart"/>
      <w:r w:rsidRPr="0006440D">
        <w:rPr>
          <w:lang w:val="en-US"/>
        </w:rPr>
        <w:t>soruya</w:t>
      </w:r>
      <w:proofErr w:type="spellEnd"/>
      <w:r w:rsidRPr="0006440D">
        <w:rPr>
          <w:lang w:val="en-US"/>
        </w:rPr>
        <w:t xml:space="preserve"> </w:t>
      </w:r>
      <w:proofErr w:type="spellStart"/>
      <w:r w:rsidRPr="0006440D">
        <w:rPr>
          <w:lang w:val="en-US"/>
        </w:rPr>
        <w:t>belirli</w:t>
      </w:r>
      <w:proofErr w:type="spellEnd"/>
      <w:r w:rsidRPr="0006440D">
        <w:rPr>
          <w:lang w:val="en-US"/>
        </w:rPr>
        <w:t xml:space="preserve"> </w:t>
      </w:r>
      <w:proofErr w:type="spellStart"/>
      <w:r w:rsidRPr="0006440D">
        <w:rPr>
          <w:lang w:val="en-US"/>
        </w:rPr>
        <w:t>bir</w:t>
      </w:r>
      <w:proofErr w:type="spellEnd"/>
      <w:r w:rsidRPr="0006440D">
        <w:rPr>
          <w:lang w:val="en-US"/>
        </w:rPr>
        <w:t xml:space="preserve"> </w:t>
      </w:r>
      <w:proofErr w:type="spellStart"/>
      <w:r w:rsidRPr="0006440D">
        <w:rPr>
          <w:lang w:val="en-US"/>
        </w:rPr>
        <w:t>yanıt</w:t>
      </w:r>
      <w:proofErr w:type="spellEnd"/>
      <w:r w:rsidRPr="0006440D">
        <w:rPr>
          <w:lang w:val="en-US"/>
        </w:rPr>
        <w:t xml:space="preserve"> </w:t>
      </w:r>
      <w:proofErr w:type="spellStart"/>
      <w:r w:rsidRPr="0006440D">
        <w:rPr>
          <w:lang w:val="en-US"/>
        </w:rPr>
        <w:t>verilmesini</w:t>
      </w:r>
      <w:proofErr w:type="spellEnd"/>
      <w:r w:rsidRPr="0006440D">
        <w:rPr>
          <w:lang w:val="en-US"/>
        </w:rPr>
        <w:t xml:space="preserve"> </w:t>
      </w:r>
      <w:proofErr w:type="spellStart"/>
      <w:r w:rsidRPr="0006440D">
        <w:rPr>
          <w:lang w:val="en-US"/>
        </w:rPr>
        <w:t>zorunlu</w:t>
      </w:r>
      <w:proofErr w:type="spellEnd"/>
      <w:r w:rsidRPr="0006440D">
        <w:rPr>
          <w:lang w:val="en-US"/>
        </w:rPr>
        <w:t xml:space="preserve"> </w:t>
      </w:r>
      <w:proofErr w:type="spellStart"/>
      <w:r w:rsidRPr="0006440D">
        <w:rPr>
          <w:lang w:val="en-US"/>
        </w:rPr>
        <w:t>kılan</w:t>
      </w:r>
      <w:proofErr w:type="spellEnd"/>
      <w:r w:rsidRPr="0006440D">
        <w:rPr>
          <w:lang w:val="en-US"/>
        </w:rPr>
        <w:t xml:space="preserve"> </w:t>
      </w:r>
      <w:proofErr w:type="spellStart"/>
      <w:r w:rsidRPr="0006440D">
        <w:rPr>
          <w:lang w:val="en-US"/>
        </w:rPr>
        <w:t>hiçbir</w:t>
      </w:r>
      <w:proofErr w:type="spellEnd"/>
      <w:r w:rsidRPr="0006440D">
        <w:rPr>
          <w:lang w:val="en-US"/>
        </w:rPr>
        <w:t xml:space="preserve"> </w:t>
      </w:r>
      <w:proofErr w:type="spellStart"/>
      <w:r w:rsidRPr="0006440D">
        <w:rPr>
          <w:lang w:val="en-US"/>
        </w:rPr>
        <w:t>şey</w:t>
      </w:r>
      <w:proofErr w:type="spellEnd"/>
      <w:r w:rsidRPr="0006440D">
        <w:rPr>
          <w:lang w:val="en-US"/>
        </w:rPr>
        <w:t xml:space="preserve"> </w:t>
      </w:r>
      <w:proofErr w:type="spellStart"/>
      <w:r w:rsidRPr="0006440D">
        <w:rPr>
          <w:lang w:val="en-US"/>
        </w:rPr>
        <w:t>yoktur</w:t>
      </w:r>
      <w:proofErr w:type="spellEnd"/>
      <w:r w:rsidRPr="0006440D">
        <w:rPr>
          <w:lang w:val="en-US"/>
        </w:rPr>
        <w:t>.</w:t>
      </w:r>
    </w:p>
    <w:p w14:paraId="780A48DC" w14:textId="77777777" w:rsidR="00D301C5" w:rsidRDefault="00D301C5" w:rsidP="00D301C5">
      <w:pPr>
        <w:pStyle w:val="Heading4"/>
        <w:rPr>
          <w:lang w:val="en-US"/>
        </w:rPr>
      </w:pPr>
      <w:proofErr w:type="spellStart"/>
      <w:r w:rsidRPr="00D301C5">
        <w:rPr>
          <w:lang w:val="en-US"/>
        </w:rPr>
        <w:t>Yargımızın</w:t>
      </w:r>
      <w:proofErr w:type="spellEnd"/>
      <w:r w:rsidRPr="00D301C5">
        <w:rPr>
          <w:lang w:val="en-US"/>
        </w:rPr>
        <w:t xml:space="preserve"> </w:t>
      </w:r>
      <w:proofErr w:type="spellStart"/>
      <w:r w:rsidRPr="00D301C5">
        <w:rPr>
          <w:lang w:val="en-US"/>
        </w:rPr>
        <w:t>Yapısal</w:t>
      </w:r>
      <w:proofErr w:type="spellEnd"/>
      <w:r w:rsidRPr="00D301C5">
        <w:rPr>
          <w:lang w:val="en-US"/>
        </w:rPr>
        <w:t xml:space="preserve"> </w:t>
      </w:r>
      <w:proofErr w:type="spellStart"/>
      <w:r w:rsidRPr="00D301C5">
        <w:rPr>
          <w:lang w:val="en-US"/>
        </w:rPr>
        <w:t>Siyasal</w:t>
      </w:r>
      <w:proofErr w:type="spellEnd"/>
      <w:r w:rsidRPr="00D301C5">
        <w:rPr>
          <w:lang w:val="en-US"/>
        </w:rPr>
        <w:t xml:space="preserve"> </w:t>
      </w:r>
      <w:proofErr w:type="spellStart"/>
      <w:r w:rsidRPr="00D301C5">
        <w:rPr>
          <w:lang w:val="en-US"/>
        </w:rPr>
        <w:t>Bağımsızlığı</w:t>
      </w:r>
      <w:proofErr w:type="spellEnd"/>
      <w:r w:rsidRPr="00D301C5">
        <w:rPr>
          <w:lang w:val="en-US"/>
        </w:rPr>
        <w:t xml:space="preserve"> (Structural Political Independence)</w:t>
      </w:r>
    </w:p>
    <w:p w14:paraId="5BD04BC0" w14:textId="1ACEA1C2" w:rsidR="00D301C5" w:rsidRDefault="00D301C5" w:rsidP="00D301C5">
      <w:pPr>
        <w:rPr>
          <w:lang w:val="en-US"/>
        </w:rPr>
      </w:pPr>
      <w:proofErr w:type="spellStart"/>
      <w:r w:rsidRPr="00D301C5">
        <w:rPr>
          <w:lang w:val="en-US"/>
        </w:rPr>
        <w:t>Anayasal</w:t>
      </w:r>
      <w:proofErr w:type="spellEnd"/>
      <w:r w:rsidRPr="00D301C5">
        <w:rPr>
          <w:lang w:val="en-US"/>
        </w:rPr>
        <w:t xml:space="preserve"> </w:t>
      </w:r>
      <w:proofErr w:type="spellStart"/>
      <w:r w:rsidRPr="00D301C5">
        <w:rPr>
          <w:lang w:val="en-US"/>
        </w:rPr>
        <w:t>yapı</w:t>
      </w:r>
      <w:proofErr w:type="spellEnd"/>
      <w:r w:rsidRPr="00D301C5">
        <w:rPr>
          <w:lang w:val="en-US"/>
        </w:rPr>
        <w:t xml:space="preserve"> </w:t>
      </w:r>
      <w:proofErr w:type="spellStart"/>
      <w:r w:rsidRPr="00D301C5">
        <w:rPr>
          <w:lang w:val="en-US"/>
        </w:rPr>
        <w:t>bağlamında</w:t>
      </w:r>
      <w:proofErr w:type="spellEnd"/>
      <w:r w:rsidRPr="00D301C5">
        <w:rPr>
          <w:lang w:val="en-US"/>
        </w:rPr>
        <w:t xml:space="preserve"> </w:t>
      </w:r>
      <w:proofErr w:type="spellStart"/>
      <w:r w:rsidRPr="00D301C5">
        <w:rPr>
          <w:lang w:val="en-US"/>
        </w:rPr>
        <w:t>konuşanlar</w:t>
      </w:r>
      <w:proofErr w:type="spellEnd"/>
      <w:r w:rsidRPr="00D301C5">
        <w:rPr>
          <w:lang w:val="en-US"/>
        </w:rPr>
        <w:t xml:space="preserve"> </w:t>
      </w:r>
      <w:proofErr w:type="spellStart"/>
      <w:r w:rsidRPr="00D301C5">
        <w:rPr>
          <w:lang w:val="en-US"/>
        </w:rPr>
        <w:t>sıklıkla</w:t>
      </w:r>
      <w:proofErr w:type="spellEnd"/>
      <w:r w:rsidRPr="00D301C5">
        <w:rPr>
          <w:lang w:val="en-US"/>
        </w:rPr>
        <w:t xml:space="preserve"> </w:t>
      </w:r>
      <w:proofErr w:type="spellStart"/>
      <w:r w:rsidRPr="00D301C5">
        <w:rPr>
          <w:lang w:val="en-US"/>
        </w:rPr>
        <w:t>mahkemelerimizin</w:t>
      </w:r>
      <w:proofErr w:type="spellEnd"/>
      <w:r w:rsidRPr="00D301C5">
        <w:rPr>
          <w:lang w:val="en-US"/>
        </w:rPr>
        <w:t xml:space="preserve"> </w:t>
      </w:r>
      <w:proofErr w:type="spellStart"/>
      <w:r w:rsidRPr="00D301C5">
        <w:rPr>
          <w:lang w:val="en-US"/>
        </w:rPr>
        <w:t>siyasal</w:t>
      </w:r>
      <w:proofErr w:type="spellEnd"/>
      <w:r w:rsidRPr="00D301C5">
        <w:rPr>
          <w:lang w:val="en-US"/>
        </w:rPr>
        <w:t xml:space="preserve"> </w:t>
      </w:r>
      <w:proofErr w:type="spellStart"/>
      <w:r w:rsidRPr="00D301C5">
        <w:rPr>
          <w:lang w:val="en-US"/>
        </w:rPr>
        <w:t>süreçten</w:t>
      </w:r>
      <w:proofErr w:type="spellEnd"/>
      <w:r w:rsidRPr="00D301C5">
        <w:rPr>
          <w:lang w:val="en-US"/>
        </w:rPr>
        <w:t xml:space="preserve"> ne </w:t>
      </w:r>
      <w:proofErr w:type="spellStart"/>
      <w:r w:rsidRPr="00D301C5">
        <w:rPr>
          <w:lang w:val="en-US"/>
        </w:rPr>
        <w:t>ölçüde</w:t>
      </w:r>
      <w:proofErr w:type="spellEnd"/>
      <w:r w:rsidRPr="00D301C5">
        <w:rPr>
          <w:lang w:val="en-US"/>
        </w:rPr>
        <w:t xml:space="preserve"> </w:t>
      </w:r>
      <w:proofErr w:type="spellStart"/>
      <w:r w:rsidRPr="00D301C5">
        <w:rPr>
          <w:lang w:val="en-US"/>
        </w:rPr>
        <w:t>bağımsız</w:t>
      </w:r>
      <w:proofErr w:type="spellEnd"/>
      <w:r w:rsidRPr="00D301C5">
        <w:rPr>
          <w:lang w:val="en-US"/>
        </w:rPr>
        <w:t xml:space="preserve"> </w:t>
      </w:r>
      <w:proofErr w:type="spellStart"/>
      <w:r w:rsidRPr="00D301C5">
        <w:rPr>
          <w:lang w:val="en-US"/>
        </w:rPr>
        <w:t>olduğuna</w:t>
      </w:r>
      <w:proofErr w:type="spellEnd"/>
      <w:r w:rsidRPr="00D301C5">
        <w:rPr>
          <w:lang w:val="en-US"/>
        </w:rPr>
        <w:t xml:space="preserve"> </w:t>
      </w:r>
      <w:proofErr w:type="spellStart"/>
      <w:r w:rsidRPr="00D301C5">
        <w:rPr>
          <w:lang w:val="en-US"/>
        </w:rPr>
        <w:t>büyük</w:t>
      </w:r>
      <w:proofErr w:type="spellEnd"/>
      <w:r w:rsidRPr="00D301C5">
        <w:rPr>
          <w:lang w:val="en-US"/>
        </w:rPr>
        <w:t xml:space="preserve"> </w:t>
      </w:r>
      <w:proofErr w:type="spellStart"/>
      <w:r w:rsidRPr="00D301C5">
        <w:rPr>
          <w:lang w:val="en-US"/>
        </w:rPr>
        <w:t>önem</w:t>
      </w:r>
      <w:proofErr w:type="spellEnd"/>
      <w:r w:rsidRPr="00D301C5">
        <w:rPr>
          <w:lang w:val="en-US"/>
        </w:rPr>
        <w:t xml:space="preserve"> </w:t>
      </w:r>
      <w:proofErr w:type="spellStart"/>
      <w:r w:rsidRPr="00D301C5">
        <w:rPr>
          <w:lang w:val="en-US"/>
        </w:rPr>
        <w:t>atfetmektedir</w:t>
      </w:r>
      <w:proofErr w:type="spellEnd"/>
      <w:r w:rsidRPr="00D301C5">
        <w:rPr>
          <w:lang w:val="en-US"/>
        </w:rPr>
        <w:t xml:space="preserve">. Bu </w:t>
      </w:r>
      <w:proofErr w:type="spellStart"/>
      <w:r w:rsidRPr="00D301C5">
        <w:rPr>
          <w:lang w:val="en-US"/>
        </w:rPr>
        <w:t>bağlamda</w:t>
      </w:r>
      <w:proofErr w:type="spellEnd"/>
      <w:r w:rsidRPr="00D301C5">
        <w:rPr>
          <w:lang w:val="en-US"/>
        </w:rPr>
        <w:t xml:space="preserve">, </w:t>
      </w:r>
      <w:proofErr w:type="spellStart"/>
      <w:r w:rsidRPr="00D301C5">
        <w:rPr>
          <w:lang w:val="en-US"/>
        </w:rPr>
        <w:t>hâkimlerin</w:t>
      </w:r>
      <w:proofErr w:type="spellEnd"/>
      <w:r w:rsidRPr="00D301C5">
        <w:rPr>
          <w:lang w:val="en-US"/>
        </w:rPr>
        <w:t xml:space="preserve"> </w:t>
      </w:r>
      <w:proofErr w:type="spellStart"/>
      <w:r w:rsidRPr="00D301C5">
        <w:rPr>
          <w:lang w:val="en-US"/>
        </w:rPr>
        <w:t>ömür</w:t>
      </w:r>
      <w:proofErr w:type="spellEnd"/>
      <w:r w:rsidRPr="00D301C5">
        <w:rPr>
          <w:lang w:val="en-US"/>
        </w:rPr>
        <w:t xml:space="preserve"> </w:t>
      </w:r>
      <w:proofErr w:type="spellStart"/>
      <w:r w:rsidRPr="00D301C5">
        <w:rPr>
          <w:lang w:val="en-US"/>
        </w:rPr>
        <w:t>boyu</w:t>
      </w:r>
      <w:proofErr w:type="spellEnd"/>
      <w:r w:rsidRPr="00D301C5">
        <w:rPr>
          <w:lang w:val="en-US"/>
        </w:rPr>
        <w:t xml:space="preserve"> </w:t>
      </w:r>
      <w:proofErr w:type="spellStart"/>
      <w:r w:rsidRPr="00D301C5">
        <w:rPr>
          <w:lang w:val="en-US"/>
        </w:rPr>
        <w:t>görevde</w:t>
      </w:r>
      <w:proofErr w:type="spellEnd"/>
      <w:r w:rsidRPr="00D301C5">
        <w:rPr>
          <w:lang w:val="en-US"/>
        </w:rPr>
        <w:t xml:space="preserve"> </w:t>
      </w:r>
      <w:proofErr w:type="spellStart"/>
      <w:r w:rsidRPr="00D301C5">
        <w:rPr>
          <w:lang w:val="en-US"/>
        </w:rPr>
        <w:t>kalmalarının</w:t>
      </w:r>
      <w:proofErr w:type="spellEnd"/>
      <w:r w:rsidRPr="00D301C5">
        <w:rPr>
          <w:lang w:val="en-US"/>
        </w:rPr>
        <w:t xml:space="preserve">, </w:t>
      </w:r>
      <w:proofErr w:type="spellStart"/>
      <w:r w:rsidRPr="00D301C5">
        <w:rPr>
          <w:lang w:val="en-US"/>
        </w:rPr>
        <w:t>açık</w:t>
      </w:r>
      <w:proofErr w:type="spellEnd"/>
      <w:r w:rsidRPr="00D301C5">
        <w:rPr>
          <w:lang w:val="en-US"/>
        </w:rPr>
        <w:t xml:space="preserve"> </w:t>
      </w:r>
      <w:proofErr w:type="spellStart"/>
      <w:r w:rsidRPr="00D301C5">
        <w:rPr>
          <w:lang w:val="en-US"/>
        </w:rPr>
        <w:t>partizanlığı</w:t>
      </w:r>
      <w:proofErr w:type="spellEnd"/>
      <w:r w:rsidRPr="00D301C5">
        <w:rPr>
          <w:lang w:val="en-US"/>
        </w:rPr>
        <w:t xml:space="preserve"> </w:t>
      </w:r>
      <w:proofErr w:type="spellStart"/>
      <w:r w:rsidRPr="00D301C5">
        <w:rPr>
          <w:lang w:val="en-US"/>
        </w:rPr>
        <w:t>elemeye</w:t>
      </w:r>
      <w:proofErr w:type="spellEnd"/>
      <w:r w:rsidRPr="00D301C5">
        <w:rPr>
          <w:lang w:val="en-US"/>
        </w:rPr>
        <w:t xml:space="preserve"> </w:t>
      </w:r>
      <w:proofErr w:type="spellStart"/>
      <w:r w:rsidRPr="00D301C5">
        <w:rPr>
          <w:lang w:val="en-US"/>
        </w:rPr>
        <w:t>yönelik</w:t>
      </w:r>
      <w:proofErr w:type="spellEnd"/>
      <w:r w:rsidRPr="00D301C5">
        <w:rPr>
          <w:lang w:val="en-US"/>
        </w:rPr>
        <w:t xml:space="preserve"> </w:t>
      </w:r>
      <w:proofErr w:type="spellStart"/>
      <w:r w:rsidRPr="00D301C5">
        <w:rPr>
          <w:lang w:val="en-US"/>
        </w:rPr>
        <w:t>bir</w:t>
      </w:r>
      <w:proofErr w:type="spellEnd"/>
      <w:r w:rsidRPr="00D301C5">
        <w:rPr>
          <w:lang w:val="en-US"/>
        </w:rPr>
        <w:t xml:space="preserve"> </w:t>
      </w:r>
      <w:proofErr w:type="spellStart"/>
      <w:r w:rsidRPr="00D301C5">
        <w:rPr>
          <w:lang w:val="en-US"/>
        </w:rPr>
        <w:t>süreçle</w:t>
      </w:r>
      <w:proofErr w:type="spellEnd"/>
      <w:r w:rsidRPr="00D301C5">
        <w:rPr>
          <w:lang w:val="en-US"/>
        </w:rPr>
        <w:t xml:space="preserve"> </w:t>
      </w:r>
      <w:proofErr w:type="spellStart"/>
      <w:r w:rsidRPr="00D301C5">
        <w:rPr>
          <w:lang w:val="en-US"/>
        </w:rPr>
        <w:t>atanmalarının</w:t>
      </w:r>
      <w:proofErr w:type="spellEnd"/>
      <w:r w:rsidRPr="00D301C5">
        <w:rPr>
          <w:lang w:val="en-US"/>
        </w:rPr>
        <w:t xml:space="preserve"> </w:t>
      </w:r>
      <w:proofErr w:type="spellStart"/>
      <w:r w:rsidRPr="00D301C5">
        <w:rPr>
          <w:lang w:val="en-US"/>
        </w:rPr>
        <w:t>ve</w:t>
      </w:r>
      <w:proofErr w:type="spellEnd"/>
      <w:r w:rsidRPr="00D301C5">
        <w:rPr>
          <w:lang w:val="en-US"/>
        </w:rPr>
        <w:t xml:space="preserve"> </w:t>
      </w:r>
      <w:proofErr w:type="spellStart"/>
      <w:r w:rsidRPr="00D301C5">
        <w:rPr>
          <w:lang w:val="en-US"/>
        </w:rPr>
        <w:t>yetki</w:t>
      </w:r>
      <w:proofErr w:type="spellEnd"/>
      <w:r w:rsidRPr="00D301C5">
        <w:rPr>
          <w:lang w:val="en-US"/>
        </w:rPr>
        <w:t xml:space="preserve"> </w:t>
      </w:r>
      <w:proofErr w:type="spellStart"/>
      <w:r w:rsidRPr="00D301C5">
        <w:rPr>
          <w:lang w:val="en-US"/>
        </w:rPr>
        <w:t>daraltma</w:t>
      </w:r>
      <w:proofErr w:type="spellEnd"/>
      <w:r w:rsidRPr="00D301C5">
        <w:rPr>
          <w:lang w:val="en-US"/>
        </w:rPr>
        <w:t xml:space="preserve"> (jurisdiction-stripping), </w:t>
      </w:r>
      <w:proofErr w:type="spellStart"/>
      <w:r w:rsidRPr="00D301C5">
        <w:rPr>
          <w:lang w:val="en-US"/>
        </w:rPr>
        <w:t>mahkeme</w:t>
      </w:r>
      <w:proofErr w:type="spellEnd"/>
      <w:r w:rsidRPr="00D301C5">
        <w:rPr>
          <w:lang w:val="en-US"/>
        </w:rPr>
        <w:t xml:space="preserve"> </w:t>
      </w:r>
      <w:proofErr w:type="spellStart"/>
      <w:r w:rsidRPr="00D301C5">
        <w:rPr>
          <w:lang w:val="en-US"/>
        </w:rPr>
        <w:t>genişletme</w:t>
      </w:r>
      <w:proofErr w:type="spellEnd"/>
      <w:r w:rsidRPr="00D301C5">
        <w:rPr>
          <w:lang w:val="en-US"/>
        </w:rPr>
        <w:t xml:space="preserve"> (court-packing) </w:t>
      </w:r>
      <w:proofErr w:type="spellStart"/>
      <w:r w:rsidRPr="00D301C5">
        <w:rPr>
          <w:lang w:val="en-US"/>
        </w:rPr>
        <w:t>ve</w:t>
      </w:r>
      <w:proofErr w:type="spellEnd"/>
      <w:r w:rsidRPr="00D301C5">
        <w:rPr>
          <w:lang w:val="en-US"/>
        </w:rPr>
        <w:t xml:space="preserve"> </w:t>
      </w:r>
      <w:proofErr w:type="spellStart"/>
      <w:r w:rsidRPr="00D301C5">
        <w:rPr>
          <w:lang w:val="en-US"/>
        </w:rPr>
        <w:t>kolayca</w:t>
      </w:r>
      <w:proofErr w:type="spellEnd"/>
      <w:r w:rsidRPr="00D301C5">
        <w:rPr>
          <w:lang w:val="en-US"/>
        </w:rPr>
        <w:t xml:space="preserve"> </w:t>
      </w:r>
      <w:proofErr w:type="spellStart"/>
      <w:r w:rsidRPr="00D301C5">
        <w:rPr>
          <w:lang w:val="en-US"/>
        </w:rPr>
        <w:t>gerçekleştirilebilen</w:t>
      </w:r>
      <w:proofErr w:type="spellEnd"/>
      <w:r w:rsidRPr="00D301C5">
        <w:rPr>
          <w:lang w:val="en-US"/>
        </w:rPr>
        <w:t xml:space="preserve"> </w:t>
      </w:r>
      <w:proofErr w:type="spellStart"/>
      <w:r w:rsidRPr="00D301C5">
        <w:rPr>
          <w:lang w:val="en-US"/>
        </w:rPr>
        <w:t>azil</w:t>
      </w:r>
      <w:proofErr w:type="spellEnd"/>
      <w:r w:rsidRPr="00D301C5">
        <w:rPr>
          <w:lang w:val="en-US"/>
        </w:rPr>
        <w:t xml:space="preserve"> (hair-trigger impeachment) </w:t>
      </w:r>
      <w:proofErr w:type="spellStart"/>
      <w:r w:rsidRPr="00D301C5">
        <w:rPr>
          <w:lang w:val="en-US"/>
        </w:rPr>
        <w:t>girişimlerine</w:t>
      </w:r>
      <w:proofErr w:type="spellEnd"/>
      <w:r w:rsidRPr="00D301C5">
        <w:rPr>
          <w:lang w:val="en-US"/>
        </w:rPr>
        <w:t xml:space="preserve"> </w:t>
      </w:r>
      <w:proofErr w:type="spellStart"/>
      <w:r w:rsidRPr="00D301C5">
        <w:rPr>
          <w:lang w:val="en-US"/>
        </w:rPr>
        <w:t>karşı</w:t>
      </w:r>
      <w:proofErr w:type="spellEnd"/>
      <w:r w:rsidRPr="00D301C5">
        <w:rPr>
          <w:lang w:val="en-US"/>
        </w:rPr>
        <w:t xml:space="preserve"> </w:t>
      </w:r>
      <w:proofErr w:type="spellStart"/>
      <w:r w:rsidRPr="00D301C5">
        <w:rPr>
          <w:lang w:val="en-US"/>
        </w:rPr>
        <w:t>güçlü</w:t>
      </w:r>
      <w:proofErr w:type="spellEnd"/>
      <w:r w:rsidRPr="00D301C5">
        <w:rPr>
          <w:lang w:val="en-US"/>
        </w:rPr>
        <w:t xml:space="preserve"> </w:t>
      </w:r>
      <w:proofErr w:type="spellStart"/>
      <w:r w:rsidRPr="00D301C5">
        <w:rPr>
          <w:lang w:val="en-US"/>
        </w:rPr>
        <w:t>normlarla</w:t>
      </w:r>
      <w:proofErr w:type="spellEnd"/>
      <w:r w:rsidRPr="00D301C5">
        <w:rPr>
          <w:lang w:val="en-US"/>
        </w:rPr>
        <w:t xml:space="preserve"> </w:t>
      </w:r>
      <w:proofErr w:type="spellStart"/>
      <w:r w:rsidRPr="00D301C5">
        <w:rPr>
          <w:lang w:val="en-US"/>
        </w:rPr>
        <w:t>korunmalarının</w:t>
      </w:r>
      <w:proofErr w:type="spellEnd"/>
      <w:r w:rsidRPr="00D301C5">
        <w:rPr>
          <w:lang w:val="en-US"/>
        </w:rPr>
        <w:t xml:space="preserve"> </w:t>
      </w:r>
      <w:proofErr w:type="spellStart"/>
      <w:r w:rsidRPr="00D301C5">
        <w:rPr>
          <w:lang w:val="en-US"/>
        </w:rPr>
        <w:t>sistemin</w:t>
      </w:r>
      <w:proofErr w:type="spellEnd"/>
      <w:r w:rsidRPr="00D301C5">
        <w:rPr>
          <w:lang w:val="en-US"/>
        </w:rPr>
        <w:t xml:space="preserve"> </w:t>
      </w:r>
      <w:proofErr w:type="spellStart"/>
      <w:r w:rsidRPr="00D301C5">
        <w:rPr>
          <w:lang w:val="en-US"/>
        </w:rPr>
        <w:t>bilgece</w:t>
      </w:r>
      <w:proofErr w:type="spellEnd"/>
      <w:r w:rsidRPr="00D301C5">
        <w:rPr>
          <w:lang w:val="en-US"/>
        </w:rPr>
        <w:t xml:space="preserve"> </w:t>
      </w:r>
      <w:proofErr w:type="spellStart"/>
      <w:r w:rsidRPr="00D301C5">
        <w:rPr>
          <w:lang w:val="en-US"/>
        </w:rPr>
        <w:t>tasarlanmış</w:t>
      </w:r>
      <w:proofErr w:type="spellEnd"/>
      <w:r w:rsidRPr="00D301C5">
        <w:rPr>
          <w:lang w:val="en-US"/>
        </w:rPr>
        <w:t xml:space="preserve"> </w:t>
      </w:r>
      <w:proofErr w:type="spellStart"/>
      <w:r w:rsidRPr="00D301C5">
        <w:rPr>
          <w:lang w:val="en-US"/>
        </w:rPr>
        <w:t>unsurları</w:t>
      </w:r>
      <w:proofErr w:type="spellEnd"/>
      <w:r w:rsidRPr="00D301C5">
        <w:rPr>
          <w:lang w:val="en-US"/>
        </w:rPr>
        <w:t xml:space="preserve"> </w:t>
      </w:r>
      <w:proofErr w:type="spellStart"/>
      <w:r w:rsidRPr="00D301C5">
        <w:rPr>
          <w:lang w:val="en-US"/>
        </w:rPr>
        <w:t>olduğu</w:t>
      </w:r>
      <w:proofErr w:type="spellEnd"/>
      <w:r w:rsidRPr="00D301C5">
        <w:rPr>
          <w:lang w:val="en-US"/>
        </w:rPr>
        <w:t xml:space="preserve"> </w:t>
      </w:r>
      <w:proofErr w:type="spellStart"/>
      <w:r w:rsidRPr="00D301C5">
        <w:rPr>
          <w:lang w:val="en-US"/>
        </w:rPr>
        <w:t>vurgulanmaktadır</w:t>
      </w:r>
      <w:proofErr w:type="spellEnd"/>
      <w:r w:rsidRPr="00D301C5">
        <w:rPr>
          <w:lang w:val="en-US"/>
        </w:rPr>
        <w:t>.⁵⁶</w:t>
      </w:r>
      <w:r w:rsidRPr="00D301C5">
        <w:rPr>
          <w:lang w:val="en-US"/>
        </w:rPr>
        <w:t xml:space="preserve"> </w:t>
      </w:r>
      <w:r w:rsidRPr="00D301C5">
        <w:rPr>
          <w:rStyle w:val="FootnoteReference"/>
          <w:rFonts w:eastAsia="Times New Roman" w:cs="Times New Roman"/>
          <w:szCs w:val="24"/>
          <w:lang w:val="en-US"/>
        </w:rPr>
        <w:footnoteReference w:id="56"/>
      </w:r>
      <w:r w:rsidRPr="00D301C5">
        <w:rPr>
          <w:lang w:val="en-US"/>
        </w:rPr>
        <w:t xml:space="preserve"> </w:t>
      </w:r>
      <w:proofErr w:type="spellStart"/>
      <w:r w:rsidRPr="00D301C5">
        <w:rPr>
          <w:lang w:val="en-US"/>
        </w:rPr>
        <w:t>Elbette</w:t>
      </w:r>
      <w:proofErr w:type="spellEnd"/>
      <w:r w:rsidRPr="00D301C5">
        <w:rPr>
          <w:lang w:val="en-US"/>
        </w:rPr>
        <w:t xml:space="preserve"> </w:t>
      </w:r>
      <w:proofErr w:type="spellStart"/>
      <w:r w:rsidRPr="00D301C5">
        <w:rPr>
          <w:lang w:val="en-US"/>
        </w:rPr>
        <w:t>bu</w:t>
      </w:r>
      <w:proofErr w:type="spellEnd"/>
      <w:r w:rsidRPr="00D301C5">
        <w:rPr>
          <w:lang w:val="en-US"/>
        </w:rPr>
        <w:t xml:space="preserve"> </w:t>
      </w:r>
      <w:proofErr w:type="spellStart"/>
      <w:r w:rsidRPr="00D301C5">
        <w:rPr>
          <w:lang w:val="en-US"/>
        </w:rPr>
        <w:t>tanımlamalar</w:t>
      </w:r>
      <w:proofErr w:type="spellEnd"/>
      <w:r w:rsidRPr="00D301C5">
        <w:rPr>
          <w:lang w:val="en-US"/>
        </w:rPr>
        <w:t xml:space="preserve"> belli </w:t>
      </w:r>
      <w:proofErr w:type="spellStart"/>
      <w:r w:rsidRPr="00D301C5">
        <w:rPr>
          <w:lang w:val="en-US"/>
        </w:rPr>
        <w:t>ölçüde</w:t>
      </w:r>
      <w:proofErr w:type="spellEnd"/>
      <w:r w:rsidRPr="00D301C5">
        <w:rPr>
          <w:lang w:val="en-US"/>
        </w:rPr>
        <w:t xml:space="preserve"> </w:t>
      </w:r>
      <w:proofErr w:type="spellStart"/>
      <w:r w:rsidRPr="00D301C5">
        <w:rPr>
          <w:lang w:val="en-US"/>
        </w:rPr>
        <w:t>gerçeği</w:t>
      </w:r>
      <w:proofErr w:type="spellEnd"/>
      <w:r w:rsidRPr="00D301C5">
        <w:rPr>
          <w:lang w:val="en-US"/>
        </w:rPr>
        <w:t xml:space="preserve"> </w:t>
      </w:r>
      <w:proofErr w:type="spellStart"/>
      <w:r w:rsidRPr="00D301C5">
        <w:rPr>
          <w:lang w:val="en-US"/>
        </w:rPr>
        <w:t>yansıtmaktadır</w:t>
      </w:r>
      <w:proofErr w:type="spellEnd"/>
      <w:r w:rsidRPr="00D301C5">
        <w:rPr>
          <w:lang w:val="en-US"/>
        </w:rPr>
        <w:t xml:space="preserve">. </w:t>
      </w:r>
      <w:proofErr w:type="spellStart"/>
      <w:r w:rsidRPr="00D301C5">
        <w:rPr>
          <w:lang w:val="en-US"/>
        </w:rPr>
        <w:t>Nitekim</w:t>
      </w:r>
      <w:proofErr w:type="spellEnd"/>
      <w:r w:rsidRPr="00D301C5">
        <w:rPr>
          <w:lang w:val="en-US"/>
        </w:rPr>
        <w:t xml:space="preserve">, </w:t>
      </w:r>
      <w:proofErr w:type="spellStart"/>
      <w:r w:rsidRPr="00D301C5">
        <w:rPr>
          <w:lang w:val="en-US"/>
        </w:rPr>
        <w:t>kurucu</w:t>
      </w:r>
      <w:proofErr w:type="spellEnd"/>
      <w:r w:rsidRPr="00D301C5">
        <w:rPr>
          <w:lang w:val="en-US"/>
        </w:rPr>
        <w:t xml:space="preserve"> </w:t>
      </w:r>
      <w:proofErr w:type="spellStart"/>
      <w:r w:rsidRPr="00D301C5">
        <w:rPr>
          <w:lang w:val="en-US"/>
        </w:rPr>
        <w:t>babaların</w:t>
      </w:r>
      <w:proofErr w:type="spellEnd"/>
      <w:r w:rsidRPr="00D301C5">
        <w:rPr>
          <w:lang w:val="en-US"/>
        </w:rPr>
        <w:t xml:space="preserve"> </w:t>
      </w:r>
      <w:proofErr w:type="spellStart"/>
      <w:r w:rsidRPr="00D301C5">
        <w:rPr>
          <w:lang w:val="en-US"/>
        </w:rPr>
        <w:t>yargının</w:t>
      </w:r>
      <w:proofErr w:type="spellEnd"/>
      <w:r w:rsidRPr="00D301C5">
        <w:rPr>
          <w:lang w:val="en-US"/>
        </w:rPr>
        <w:t xml:space="preserve"> </w:t>
      </w:r>
      <w:proofErr w:type="spellStart"/>
      <w:r w:rsidRPr="00D301C5">
        <w:rPr>
          <w:lang w:val="en-US"/>
        </w:rPr>
        <w:t>diğer</w:t>
      </w:r>
      <w:proofErr w:type="spellEnd"/>
      <w:r w:rsidRPr="00D301C5">
        <w:rPr>
          <w:lang w:val="en-US"/>
        </w:rPr>
        <w:t xml:space="preserve"> </w:t>
      </w:r>
      <w:proofErr w:type="spellStart"/>
      <w:r w:rsidRPr="00D301C5">
        <w:rPr>
          <w:lang w:val="en-US"/>
        </w:rPr>
        <w:t>erklerden</w:t>
      </w:r>
      <w:proofErr w:type="spellEnd"/>
      <w:r w:rsidRPr="00D301C5">
        <w:rPr>
          <w:lang w:val="en-US"/>
        </w:rPr>
        <w:t xml:space="preserve"> belli </w:t>
      </w:r>
      <w:proofErr w:type="spellStart"/>
      <w:r w:rsidRPr="00D301C5">
        <w:rPr>
          <w:lang w:val="en-US"/>
        </w:rPr>
        <w:t>ölçüde</w:t>
      </w:r>
      <w:proofErr w:type="spellEnd"/>
      <w:r w:rsidRPr="00D301C5">
        <w:rPr>
          <w:lang w:val="en-US"/>
        </w:rPr>
        <w:t xml:space="preserve"> </w:t>
      </w:r>
      <w:proofErr w:type="spellStart"/>
      <w:r w:rsidRPr="00D301C5">
        <w:rPr>
          <w:lang w:val="en-US"/>
        </w:rPr>
        <w:t>bağımsız</w:t>
      </w:r>
      <w:proofErr w:type="spellEnd"/>
      <w:r w:rsidRPr="00D301C5">
        <w:rPr>
          <w:lang w:val="en-US"/>
        </w:rPr>
        <w:t xml:space="preserve"> </w:t>
      </w:r>
      <w:proofErr w:type="spellStart"/>
      <w:r w:rsidRPr="00D301C5">
        <w:rPr>
          <w:lang w:val="en-US"/>
        </w:rPr>
        <w:t>olmasını</w:t>
      </w:r>
      <w:proofErr w:type="spellEnd"/>
      <w:r w:rsidRPr="00D301C5">
        <w:rPr>
          <w:lang w:val="en-US"/>
        </w:rPr>
        <w:t xml:space="preserve"> </w:t>
      </w:r>
      <w:proofErr w:type="spellStart"/>
      <w:r w:rsidRPr="00D301C5">
        <w:rPr>
          <w:lang w:val="en-US"/>
        </w:rPr>
        <w:t>amaçladıkları</w:t>
      </w:r>
      <w:proofErr w:type="spellEnd"/>
      <w:r w:rsidRPr="00D301C5">
        <w:rPr>
          <w:lang w:val="en-US"/>
        </w:rPr>
        <w:t xml:space="preserve"> </w:t>
      </w:r>
      <w:proofErr w:type="spellStart"/>
      <w:r w:rsidRPr="00D301C5">
        <w:rPr>
          <w:lang w:val="en-US"/>
        </w:rPr>
        <w:t>tartışmasız</w:t>
      </w:r>
      <w:proofErr w:type="spellEnd"/>
      <w:r w:rsidRPr="00D301C5">
        <w:rPr>
          <w:lang w:val="en-US"/>
        </w:rPr>
        <w:t xml:space="preserve"> </w:t>
      </w:r>
      <w:proofErr w:type="spellStart"/>
      <w:r w:rsidRPr="00D301C5">
        <w:rPr>
          <w:lang w:val="en-US"/>
        </w:rPr>
        <w:t>bir</w:t>
      </w:r>
      <w:proofErr w:type="spellEnd"/>
      <w:r w:rsidRPr="00D301C5">
        <w:rPr>
          <w:lang w:val="en-US"/>
        </w:rPr>
        <w:t xml:space="preserve"> </w:t>
      </w:r>
      <w:proofErr w:type="spellStart"/>
      <w:r w:rsidRPr="00D301C5">
        <w:rPr>
          <w:lang w:val="en-US"/>
        </w:rPr>
        <w:t>gerçektir</w:t>
      </w:r>
      <w:proofErr w:type="spellEnd"/>
      <w:r w:rsidRPr="00D301C5">
        <w:rPr>
          <w:lang w:val="en-US"/>
        </w:rPr>
        <w:t xml:space="preserve">. Bu </w:t>
      </w:r>
      <w:proofErr w:type="spellStart"/>
      <w:r w:rsidRPr="00D301C5">
        <w:rPr>
          <w:lang w:val="en-US"/>
        </w:rPr>
        <w:t>doğrultuda</w:t>
      </w:r>
      <w:proofErr w:type="spellEnd"/>
      <w:r w:rsidRPr="00D301C5">
        <w:rPr>
          <w:lang w:val="en-US"/>
        </w:rPr>
        <w:t xml:space="preserve">, </w:t>
      </w:r>
      <w:proofErr w:type="spellStart"/>
      <w:r w:rsidRPr="00D301C5">
        <w:rPr>
          <w:lang w:val="en-US"/>
        </w:rPr>
        <w:t>anayasal</w:t>
      </w:r>
      <w:proofErr w:type="spellEnd"/>
      <w:r w:rsidRPr="00D301C5">
        <w:rPr>
          <w:lang w:val="en-US"/>
        </w:rPr>
        <w:t xml:space="preserve"> </w:t>
      </w:r>
      <w:proofErr w:type="spellStart"/>
      <w:r w:rsidRPr="00D301C5">
        <w:rPr>
          <w:lang w:val="en-US"/>
        </w:rPr>
        <w:t>metnin</w:t>
      </w:r>
      <w:proofErr w:type="spellEnd"/>
      <w:r w:rsidRPr="00D301C5">
        <w:rPr>
          <w:lang w:val="en-US"/>
        </w:rPr>
        <w:t xml:space="preserve"> </w:t>
      </w:r>
      <w:proofErr w:type="spellStart"/>
      <w:r w:rsidRPr="00D301C5">
        <w:rPr>
          <w:lang w:val="en-US"/>
        </w:rPr>
        <w:t>bizzat</w:t>
      </w:r>
      <w:proofErr w:type="spellEnd"/>
      <w:r w:rsidRPr="00D301C5">
        <w:rPr>
          <w:lang w:val="en-US"/>
        </w:rPr>
        <w:t xml:space="preserve"> </w:t>
      </w:r>
      <w:proofErr w:type="spellStart"/>
      <w:r w:rsidRPr="00D301C5">
        <w:rPr>
          <w:lang w:val="en-US"/>
        </w:rPr>
        <w:t>kendisine</w:t>
      </w:r>
      <w:proofErr w:type="spellEnd"/>
      <w:r w:rsidRPr="00D301C5">
        <w:rPr>
          <w:lang w:val="en-US"/>
        </w:rPr>
        <w:t xml:space="preserve">, </w:t>
      </w:r>
      <w:proofErr w:type="spellStart"/>
      <w:r w:rsidRPr="00D301C5">
        <w:rPr>
          <w:lang w:val="en-US"/>
        </w:rPr>
        <w:t>mahkemelerin</w:t>
      </w:r>
      <w:proofErr w:type="spellEnd"/>
      <w:r w:rsidRPr="00D301C5">
        <w:rPr>
          <w:lang w:val="en-US"/>
        </w:rPr>
        <w:t xml:space="preserve"> </w:t>
      </w:r>
      <w:proofErr w:type="spellStart"/>
      <w:r w:rsidRPr="00D301C5">
        <w:rPr>
          <w:lang w:val="en-US"/>
        </w:rPr>
        <w:t>belirli</w:t>
      </w:r>
      <w:proofErr w:type="spellEnd"/>
      <w:r w:rsidRPr="00D301C5">
        <w:rPr>
          <w:lang w:val="en-US"/>
        </w:rPr>
        <w:t xml:space="preserve"> </w:t>
      </w:r>
      <w:proofErr w:type="spellStart"/>
      <w:r w:rsidRPr="00D301C5">
        <w:rPr>
          <w:lang w:val="en-US"/>
        </w:rPr>
        <w:t>bir</w:t>
      </w:r>
      <w:proofErr w:type="spellEnd"/>
      <w:r w:rsidRPr="00D301C5">
        <w:rPr>
          <w:lang w:val="en-US"/>
        </w:rPr>
        <w:t xml:space="preserve"> </w:t>
      </w:r>
      <w:proofErr w:type="spellStart"/>
      <w:r w:rsidRPr="00D301C5">
        <w:rPr>
          <w:lang w:val="en-US"/>
        </w:rPr>
        <w:t>bağımsızlık</w:t>
      </w:r>
      <w:proofErr w:type="spellEnd"/>
      <w:r w:rsidRPr="00D301C5">
        <w:rPr>
          <w:lang w:val="en-US"/>
        </w:rPr>
        <w:t xml:space="preserve"> </w:t>
      </w:r>
      <w:proofErr w:type="spellStart"/>
      <w:r w:rsidRPr="00D301C5">
        <w:rPr>
          <w:lang w:val="en-US"/>
        </w:rPr>
        <w:t>seviyesini</w:t>
      </w:r>
      <w:proofErr w:type="spellEnd"/>
      <w:r w:rsidRPr="00D301C5">
        <w:rPr>
          <w:lang w:val="en-US"/>
        </w:rPr>
        <w:t xml:space="preserve"> </w:t>
      </w:r>
      <w:proofErr w:type="spellStart"/>
      <w:r w:rsidRPr="00D301C5">
        <w:rPr>
          <w:lang w:val="en-US"/>
        </w:rPr>
        <w:t>koruyabilme</w:t>
      </w:r>
      <w:proofErr w:type="spellEnd"/>
      <w:r w:rsidRPr="00D301C5">
        <w:rPr>
          <w:lang w:val="en-US"/>
        </w:rPr>
        <w:t xml:space="preserve"> </w:t>
      </w:r>
      <w:proofErr w:type="spellStart"/>
      <w:r w:rsidRPr="00D301C5">
        <w:rPr>
          <w:lang w:val="en-US"/>
        </w:rPr>
        <w:t>ihtimalini</w:t>
      </w:r>
      <w:proofErr w:type="spellEnd"/>
      <w:r w:rsidRPr="00D301C5">
        <w:rPr>
          <w:lang w:val="en-US"/>
        </w:rPr>
        <w:t xml:space="preserve"> </w:t>
      </w:r>
      <w:proofErr w:type="spellStart"/>
      <w:r w:rsidRPr="00D301C5">
        <w:rPr>
          <w:lang w:val="en-US"/>
        </w:rPr>
        <w:t>artırmak</w:t>
      </w:r>
      <w:proofErr w:type="spellEnd"/>
      <w:r w:rsidRPr="00D301C5">
        <w:rPr>
          <w:lang w:val="en-US"/>
        </w:rPr>
        <w:t xml:space="preserve"> </w:t>
      </w:r>
      <w:proofErr w:type="spellStart"/>
      <w:r w:rsidRPr="00D301C5">
        <w:rPr>
          <w:lang w:val="en-US"/>
        </w:rPr>
        <w:t>amacıyla</w:t>
      </w:r>
      <w:proofErr w:type="spellEnd"/>
      <w:r w:rsidRPr="00D301C5">
        <w:rPr>
          <w:lang w:val="en-US"/>
        </w:rPr>
        <w:t xml:space="preserve"> </w:t>
      </w:r>
      <w:proofErr w:type="spellStart"/>
      <w:r w:rsidRPr="00D301C5">
        <w:rPr>
          <w:lang w:val="en-US"/>
        </w:rPr>
        <w:t>ömür</w:t>
      </w:r>
      <w:proofErr w:type="spellEnd"/>
      <w:r w:rsidRPr="00D301C5">
        <w:rPr>
          <w:lang w:val="en-US"/>
        </w:rPr>
        <w:t xml:space="preserve"> </w:t>
      </w:r>
      <w:proofErr w:type="spellStart"/>
      <w:r w:rsidRPr="00D301C5">
        <w:rPr>
          <w:lang w:val="en-US"/>
        </w:rPr>
        <w:t>boyu</w:t>
      </w:r>
      <w:proofErr w:type="spellEnd"/>
      <w:r w:rsidRPr="00D301C5">
        <w:rPr>
          <w:lang w:val="en-US"/>
        </w:rPr>
        <w:t xml:space="preserve"> </w:t>
      </w:r>
      <w:proofErr w:type="spellStart"/>
      <w:r w:rsidRPr="00D301C5">
        <w:rPr>
          <w:lang w:val="en-US"/>
        </w:rPr>
        <w:t>görev</w:t>
      </w:r>
      <w:proofErr w:type="spellEnd"/>
      <w:r w:rsidRPr="00D301C5">
        <w:rPr>
          <w:lang w:val="en-US"/>
        </w:rPr>
        <w:t xml:space="preserve"> </w:t>
      </w:r>
      <w:proofErr w:type="spellStart"/>
      <w:r w:rsidRPr="00D301C5">
        <w:rPr>
          <w:lang w:val="en-US"/>
        </w:rPr>
        <w:t>güvencesi</w:t>
      </w:r>
      <w:proofErr w:type="spellEnd"/>
      <w:r w:rsidRPr="00D301C5">
        <w:rPr>
          <w:lang w:val="en-US"/>
        </w:rPr>
        <w:t xml:space="preserve"> (life tenure) </w:t>
      </w:r>
      <w:proofErr w:type="spellStart"/>
      <w:r w:rsidRPr="00D301C5">
        <w:rPr>
          <w:lang w:val="en-US"/>
        </w:rPr>
        <w:t>ve</w:t>
      </w:r>
      <w:proofErr w:type="spellEnd"/>
      <w:r w:rsidRPr="00D301C5">
        <w:rPr>
          <w:lang w:val="en-US"/>
        </w:rPr>
        <w:t xml:space="preserve"> </w:t>
      </w:r>
      <w:proofErr w:type="spellStart"/>
      <w:r w:rsidRPr="00D301C5">
        <w:rPr>
          <w:lang w:val="en-US"/>
        </w:rPr>
        <w:t>yargıç</w:t>
      </w:r>
      <w:proofErr w:type="spellEnd"/>
      <w:r w:rsidRPr="00D301C5">
        <w:rPr>
          <w:lang w:val="en-US"/>
        </w:rPr>
        <w:t xml:space="preserve"> </w:t>
      </w:r>
      <w:proofErr w:type="spellStart"/>
      <w:r w:rsidRPr="00D301C5">
        <w:rPr>
          <w:lang w:val="en-US"/>
        </w:rPr>
        <w:t>maaşlarının</w:t>
      </w:r>
      <w:proofErr w:type="spellEnd"/>
      <w:r w:rsidRPr="00D301C5">
        <w:rPr>
          <w:lang w:val="en-US"/>
        </w:rPr>
        <w:t xml:space="preserve"> </w:t>
      </w:r>
      <w:proofErr w:type="spellStart"/>
      <w:r w:rsidRPr="00D301C5">
        <w:rPr>
          <w:lang w:val="en-US"/>
        </w:rPr>
        <w:t>azaltılmasının</w:t>
      </w:r>
      <w:proofErr w:type="spellEnd"/>
      <w:r w:rsidRPr="00D301C5">
        <w:rPr>
          <w:lang w:val="en-US"/>
        </w:rPr>
        <w:t xml:space="preserve"> </w:t>
      </w:r>
      <w:proofErr w:type="spellStart"/>
      <w:r w:rsidRPr="00D301C5">
        <w:rPr>
          <w:lang w:val="en-US"/>
        </w:rPr>
        <w:t>yasaklanması</w:t>
      </w:r>
      <w:proofErr w:type="spellEnd"/>
      <w:r w:rsidRPr="00D301C5">
        <w:rPr>
          <w:lang w:val="en-US"/>
        </w:rPr>
        <w:t xml:space="preserve"> (prohibition on the diminution of judicial salaries) </w:t>
      </w:r>
      <w:proofErr w:type="spellStart"/>
      <w:r w:rsidRPr="00D301C5">
        <w:rPr>
          <w:lang w:val="en-US"/>
        </w:rPr>
        <w:t>gibi</w:t>
      </w:r>
      <w:proofErr w:type="spellEnd"/>
      <w:r w:rsidRPr="00D301C5">
        <w:rPr>
          <w:lang w:val="en-US"/>
        </w:rPr>
        <w:t xml:space="preserve"> </w:t>
      </w:r>
      <w:proofErr w:type="spellStart"/>
      <w:r w:rsidRPr="00D301C5">
        <w:rPr>
          <w:lang w:val="en-US"/>
        </w:rPr>
        <w:t>özel</w:t>
      </w:r>
      <w:proofErr w:type="spellEnd"/>
      <w:r w:rsidRPr="00D301C5">
        <w:rPr>
          <w:lang w:val="en-US"/>
        </w:rPr>
        <w:t xml:space="preserve"> </w:t>
      </w:r>
      <w:proofErr w:type="spellStart"/>
      <w:r w:rsidRPr="00D301C5">
        <w:rPr>
          <w:lang w:val="en-US"/>
        </w:rPr>
        <w:t>korumalar</w:t>
      </w:r>
      <w:proofErr w:type="spellEnd"/>
      <w:r w:rsidRPr="00D301C5">
        <w:rPr>
          <w:lang w:val="en-US"/>
        </w:rPr>
        <w:t xml:space="preserve"> </w:t>
      </w:r>
      <w:proofErr w:type="spellStart"/>
      <w:r w:rsidRPr="00D301C5">
        <w:rPr>
          <w:lang w:val="en-US"/>
        </w:rPr>
        <w:t>eklenmiştir</w:t>
      </w:r>
      <w:proofErr w:type="spellEnd"/>
      <w:r w:rsidRPr="00D301C5">
        <w:rPr>
          <w:lang w:val="en-US"/>
        </w:rPr>
        <w:t>.⁵⁷</w:t>
      </w:r>
      <w:r w:rsidRPr="00D301C5">
        <w:rPr>
          <w:lang w:val="en-US"/>
        </w:rPr>
        <w:t xml:space="preserve"> </w:t>
      </w:r>
      <w:r w:rsidRPr="00D301C5">
        <w:rPr>
          <w:rStyle w:val="FootnoteReference"/>
          <w:rFonts w:eastAsia="Times New Roman" w:cs="Times New Roman"/>
          <w:szCs w:val="24"/>
          <w:lang w:val="en-US"/>
        </w:rPr>
        <w:footnoteReference w:id="57"/>
      </w:r>
      <w:r w:rsidRPr="00D301C5">
        <w:rPr>
          <w:lang w:val="en-US"/>
        </w:rPr>
        <w:t xml:space="preserve"> </w:t>
      </w:r>
      <w:proofErr w:type="spellStart"/>
      <w:r w:rsidRPr="00D301C5">
        <w:rPr>
          <w:lang w:val="en-US"/>
        </w:rPr>
        <w:t>Bununla</w:t>
      </w:r>
      <w:proofErr w:type="spellEnd"/>
      <w:r w:rsidRPr="00D301C5">
        <w:rPr>
          <w:lang w:val="en-US"/>
        </w:rPr>
        <w:t xml:space="preserve"> </w:t>
      </w:r>
      <w:proofErr w:type="spellStart"/>
      <w:r w:rsidRPr="00D301C5">
        <w:rPr>
          <w:lang w:val="en-US"/>
        </w:rPr>
        <w:t>birlikte</w:t>
      </w:r>
      <w:proofErr w:type="spellEnd"/>
      <w:r w:rsidRPr="00D301C5">
        <w:rPr>
          <w:lang w:val="en-US"/>
        </w:rPr>
        <w:t xml:space="preserve">, son </w:t>
      </w:r>
      <w:proofErr w:type="spellStart"/>
      <w:r w:rsidRPr="00D301C5">
        <w:rPr>
          <w:lang w:val="en-US"/>
        </w:rPr>
        <w:t>dönemde</w:t>
      </w:r>
      <w:proofErr w:type="spellEnd"/>
      <w:r w:rsidRPr="00D301C5">
        <w:rPr>
          <w:lang w:val="en-US"/>
        </w:rPr>
        <w:t xml:space="preserve"> </w:t>
      </w:r>
      <w:proofErr w:type="spellStart"/>
      <w:r w:rsidRPr="00D301C5">
        <w:rPr>
          <w:lang w:val="en-US"/>
        </w:rPr>
        <w:t>yapılan</w:t>
      </w:r>
      <w:proofErr w:type="spellEnd"/>
      <w:r w:rsidRPr="00D301C5">
        <w:rPr>
          <w:lang w:val="en-US"/>
        </w:rPr>
        <w:t xml:space="preserve"> </w:t>
      </w:r>
      <w:proofErr w:type="spellStart"/>
      <w:r w:rsidRPr="00D301C5">
        <w:rPr>
          <w:lang w:val="en-US"/>
        </w:rPr>
        <w:t>çalışmaların</w:t>
      </w:r>
      <w:proofErr w:type="spellEnd"/>
      <w:r w:rsidRPr="00D301C5">
        <w:rPr>
          <w:lang w:val="en-US"/>
        </w:rPr>
        <w:t xml:space="preserve"> da </w:t>
      </w:r>
      <w:proofErr w:type="spellStart"/>
      <w:r w:rsidRPr="00D301C5">
        <w:rPr>
          <w:lang w:val="en-US"/>
        </w:rPr>
        <w:t>hatırlattığı</w:t>
      </w:r>
      <w:proofErr w:type="spellEnd"/>
      <w:r w:rsidRPr="00D301C5">
        <w:rPr>
          <w:lang w:val="en-US"/>
        </w:rPr>
        <w:t xml:space="preserve"> </w:t>
      </w:r>
      <w:proofErr w:type="spellStart"/>
      <w:r w:rsidRPr="00D301C5">
        <w:rPr>
          <w:lang w:val="en-US"/>
        </w:rPr>
        <w:t>üzere</w:t>
      </w:r>
      <w:proofErr w:type="spellEnd"/>
      <w:r w:rsidRPr="00D301C5">
        <w:rPr>
          <w:lang w:val="en-US"/>
        </w:rPr>
        <w:t xml:space="preserve">,⁵⁹ </w:t>
      </w:r>
      <w:r w:rsidRPr="00D301C5">
        <w:rPr>
          <w:rStyle w:val="FootnoteReference"/>
          <w:rFonts w:eastAsia="Times New Roman" w:cs="Times New Roman"/>
          <w:szCs w:val="24"/>
          <w:lang w:val="en-US"/>
        </w:rPr>
        <w:footnoteReference w:id="58"/>
      </w:r>
      <w:r w:rsidRPr="00D301C5">
        <w:rPr>
          <w:lang w:val="en-US"/>
        </w:rPr>
        <w:t xml:space="preserve">  </w:t>
      </w:r>
      <w:proofErr w:type="spellStart"/>
      <w:r w:rsidRPr="00D301C5">
        <w:rPr>
          <w:lang w:val="en-US"/>
        </w:rPr>
        <w:t>yargının</w:t>
      </w:r>
      <w:proofErr w:type="spellEnd"/>
      <w:r w:rsidRPr="00D301C5">
        <w:rPr>
          <w:lang w:val="en-US"/>
        </w:rPr>
        <w:t xml:space="preserve"> </w:t>
      </w:r>
      <w:proofErr w:type="spellStart"/>
      <w:r w:rsidRPr="00D301C5">
        <w:rPr>
          <w:lang w:val="en-US"/>
        </w:rPr>
        <w:t>bağımsızlık</w:t>
      </w:r>
      <w:proofErr w:type="spellEnd"/>
      <w:r w:rsidRPr="00D301C5">
        <w:rPr>
          <w:lang w:val="en-US"/>
        </w:rPr>
        <w:t xml:space="preserve"> </w:t>
      </w:r>
      <w:proofErr w:type="spellStart"/>
      <w:r w:rsidRPr="00D301C5">
        <w:rPr>
          <w:lang w:val="en-US"/>
        </w:rPr>
        <w:t>derecesi</w:t>
      </w:r>
      <w:proofErr w:type="spellEnd"/>
      <w:r w:rsidRPr="00D301C5">
        <w:rPr>
          <w:lang w:val="en-US"/>
        </w:rPr>
        <w:t xml:space="preserve"> </w:t>
      </w:r>
      <w:proofErr w:type="spellStart"/>
      <w:r w:rsidRPr="00D301C5">
        <w:rPr>
          <w:lang w:val="en-US"/>
        </w:rPr>
        <w:t>ve</w:t>
      </w:r>
      <w:proofErr w:type="spellEnd"/>
      <w:r w:rsidRPr="00D301C5">
        <w:rPr>
          <w:lang w:val="en-US"/>
        </w:rPr>
        <w:t xml:space="preserve"> </w:t>
      </w:r>
      <w:proofErr w:type="spellStart"/>
      <w:r w:rsidRPr="00D301C5">
        <w:rPr>
          <w:lang w:val="en-US"/>
        </w:rPr>
        <w:t>mahkemelerin</w:t>
      </w:r>
      <w:proofErr w:type="spellEnd"/>
      <w:r w:rsidRPr="00D301C5">
        <w:rPr>
          <w:lang w:val="en-US"/>
        </w:rPr>
        <w:t xml:space="preserve"> hangi </w:t>
      </w:r>
      <w:proofErr w:type="spellStart"/>
      <w:r w:rsidRPr="00D301C5">
        <w:rPr>
          <w:lang w:val="en-US"/>
        </w:rPr>
        <w:t>tür</w:t>
      </w:r>
      <w:proofErr w:type="spellEnd"/>
      <w:r w:rsidRPr="00D301C5">
        <w:rPr>
          <w:lang w:val="en-US"/>
        </w:rPr>
        <w:t xml:space="preserve"> </w:t>
      </w:r>
      <w:proofErr w:type="spellStart"/>
      <w:r w:rsidRPr="00D301C5">
        <w:rPr>
          <w:lang w:val="en-US"/>
        </w:rPr>
        <w:t>etkilere</w:t>
      </w:r>
      <w:proofErr w:type="spellEnd"/>
      <w:r w:rsidRPr="00D301C5">
        <w:rPr>
          <w:lang w:val="en-US"/>
        </w:rPr>
        <w:t xml:space="preserve"> </w:t>
      </w:r>
      <w:proofErr w:type="spellStart"/>
      <w:r w:rsidRPr="00D301C5">
        <w:rPr>
          <w:lang w:val="en-US"/>
        </w:rPr>
        <w:t>karşı</w:t>
      </w:r>
      <w:proofErr w:type="spellEnd"/>
      <w:r w:rsidRPr="00D301C5">
        <w:rPr>
          <w:lang w:val="en-US"/>
        </w:rPr>
        <w:t xml:space="preserve"> </w:t>
      </w:r>
      <w:proofErr w:type="spellStart"/>
      <w:r w:rsidRPr="00D301C5">
        <w:rPr>
          <w:lang w:val="en-US"/>
        </w:rPr>
        <w:t>korunması</w:t>
      </w:r>
      <w:proofErr w:type="spellEnd"/>
      <w:r w:rsidRPr="00D301C5">
        <w:rPr>
          <w:lang w:val="en-US"/>
        </w:rPr>
        <w:t xml:space="preserve"> </w:t>
      </w:r>
      <w:proofErr w:type="spellStart"/>
      <w:r w:rsidRPr="00D301C5">
        <w:rPr>
          <w:lang w:val="en-US"/>
        </w:rPr>
        <w:t>gerektiği</w:t>
      </w:r>
      <w:proofErr w:type="spellEnd"/>
      <w:r w:rsidRPr="00D301C5">
        <w:rPr>
          <w:lang w:val="en-US"/>
        </w:rPr>
        <w:t xml:space="preserve"> </w:t>
      </w:r>
      <w:proofErr w:type="spellStart"/>
      <w:r w:rsidRPr="00D301C5">
        <w:rPr>
          <w:lang w:val="en-US"/>
        </w:rPr>
        <w:t>hususları</w:t>
      </w:r>
      <w:proofErr w:type="spellEnd"/>
      <w:r w:rsidRPr="00D301C5">
        <w:rPr>
          <w:lang w:val="en-US"/>
        </w:rPr>
        <w:t xml:space="preserve"> </w:t>
      </w:r>
      <w:proofErr w:type="spellStart"/>
      <w:r w:rsidRPr="00D301C5">
        <w:rPr>
          <w:lang w:val="en-US"/>
        </w:rPr>
        <w:t>anayasal</w:t>
      </w:r>
      <w:proofErr w:type="spellEnd"/>
      <w:r w:rsidRPr="00D301C5">
        <w:rPr>
          <w:lang w:val="en-US"/>
        </w:rPr>
        <w:t xml:space="preserve"> </w:t>
      </w:r>
      <w:proofErr w:type="spellStart"/>
      <w:r w:rsidRPr="00D301C5">
        <w:rPr>
          <w:lang w:val="en-US"/>
        </w:rPr>
        <w:t>metin</w:t>
      </w:r>
      <w:proofErr w:type="spellEnd"/>
      <w:r w:rsidRPr="00D301C5">
        <w:rPr>
          <w:lang w:val="en-US"/>
        </w:rPr>
        <w:t xml:space="preserve"> </w:t>
      </w:r>
      <w:proofErr w:type="spellStart"/>
      <w:r w:rsidRPr="00D301C5">
        <w:rPr>
          <w:lang w:val="en-US"/>
        </w:rPr>
        <w:t>tarafından</w:t>
      </w:r>
      <w:proofErr w:type="spellEnd"/>
      <w:r w:rsidRPr="00D301C5">
        <w:rPr>
          <w:lang w:val="en-US"/>
        </w:rPr>
        <w:t xml:space="preserve"> </w:t>
      </w:r>
      <w:proofErr w:type="spellStart"/>
      <w:r w:rsidRPr="00D301C5">
        <w:rPr>
          <w:lang w:val="en-US"/>
        </w:rPr>
        <w:t>kesin</w:t>
      </w:r>
      <w:proofErr w:type="spellEnd"/>
      <w:r w:rsidRPr="00D301C5">
        <w:rPr>
          <w:lang w:val="en-US"/>
        </w:rPr>
        <w:t xml:space="preserve"> </w:t>
      </w:r>
      <w:proofErr w:type="spellStart"/>
      <w:r w:rsidRPr="00D301C5">
        <w:rPr>
          <w:lang w:val="en-US"/>
        </w:rPr>
        <w:t>bir</w:t>
      </w:r>
      <w:proofErr w:type="spellEnd"/>
      <w:r w:rsidRPr="00D301C5">
        <w:rPr>
          <w:lang w:val="en-US"/>
        </w:rPr>
        <w:t xml:space="preserve"> </w:t>
      </w:r>
      <w:proofErr w:type="spellStart"/>
      <w:r w:rsidRPr="00D301C5">
        <w:rPr>
          <w:lang w:val="en-US"/>
        </w:rPr>
        <w:t>şekilde</w:t>
      </w:r>
      <w:proofErr w:type="spellEnd"/>
      <w:r w:rsidRPr="00D301C5">
        <w:rPr>
          <w:lang w:val="en-US"/>
        </w:rPr>
        <w:t xml:space="preserve"> </w:t>
      </w:r>
      <w:proofErr w:type="spellStart"/>
      <w:r w:rsidRPr="00D301C5">
        <w:rPr>
          <w:lang w:val="en-US"/>
        </w:rPr>
        <w:t>belirlenmemiş</w:t>
      </w:r>
      <w:proofErr w:type="spellEnd"/>
      <w:r w:rsidRPr="00D301C5">
        <w:rPr>
          <w:lang w:val="en-US"/>
        </w:rPr>
        <w:t xml:space="preserve">, </w:t>
      </w:r>
      <w:proofErr w:type="spellStart"/>
      <w:r w:rsidRPr="00D301C5">
        <w:rPr>
          <w:lang w:val="en-US"/>
        </w:rPr>
        <w:t>aksine</w:t>
      </w:r>
      <w:proofErr w:type="spellEnd"/>
      <w:r w:rsidRPr="00D301C5">
        <w:rPr>
          <w:lang w:val="en-US"/>
        </w:rPr>
        <w:t xml:space="preserve"> </w:t>
      </w:r>
      <w:proofErr w:type="spellStart"/>
      <w:r w:rsidRPr="00D301C5">
        <w:rPr>
          <w:lang w:val="en-US"/>
        </w:rPr>
        <w:t>yoğun</w:t>
      </w:r>
      <w:proofErr w:type="spellEnd"/>
      <w:r w:rsidRPr="00D301C5">
        <w:rPr>
          <w:lang w:val="en-US"/>
        </w:rPr>
        <w:t xml:space="preserve"> </w:t>
      </w:r>
      <w:proofErr w:type="spellStart"/>
      <w:r w:rsidRPr="00D301C5">
        <w:rPr>
          <w:lang w:val="en-US"/>
        </w:rPr>
        <w:t>anayasal</w:t>
      </w:r>
      <w:proofErr w:type="spellEnd"/>
      <w:r w:rsidRPr="00D301C5">
        <w:rPr>
          <w:lang w:val="en-US"/>
        </w:rPr>
        <w:t xml:space="preserve"> </w:t>
      </w:r>
      <w:proofErr w:type="spellStart"/>
      <w:r w:rsidRPr="00D301C5">
        <w:rPr>
          <w:lang w:val="en-US"/>
        </w:rPr>
        <w:t>tartışmalara</w:t>
      </w:r>
      <w:proofErr w:type="spellEnd"/>
      <w:r w:rsidRPr="00D301C5">
        <w:rPr>
          <w:lang w:val="en-US"/>
        </w:rPr>
        <w:t xml:space="preserve"> </w:t>
      </w:r>
      <w:proofErr w:type="spellStart"/>
      <w:r w:rsidRPr="00D301C5">
        <w:rPr>
          <w:lang w:val="en-US"/>
        </w:rPr>
        <w:t>konu</w:t>
      </w:r>
      <w:proofErr w:type="spellEnd"/>
      <w:r w:rsidRPr="00D301C5">
        <w:rPr>
          <w:lang w:val="en-US"/>
        </w:rPr>
        <w:t xml:space="preserve"> </w:t>
      </w:r>
      <w:proofErr w:type="spellStart"/>
      <w:r w:rsidRPr="00D301C5">
        <w:rPr>
          <w:lang w:val="en-US"/>
        </w:rPr>
        <w:t>olmuştur</w:t>
      </w:r>
      <w:proofErr w:type="spellEnd"/>
      <w:r w:rsidRPr="00D301C5">
        <w:rPr>
          <w:lang w:val="en-US"/>
        </w:rPr>
        <w:t>.⁵⁸</w:t>
      </w:r>
      <w:r w:rsidRPr="00D301C5">
        <w:rPr>
          <w:lang w:val="en-US"/>
        </w:rPr>
        <w:t xml:space="preserve"> </w:t>
      </w:r>
      <w:r w:rsidRPr="00D301C5">
        <w:rPr>
          <w:rStyle w:val="FootnoteReference"/>
          <w:rFonts w:eastAsia="Times New Roman" w:cs="Times New Roman"/>
          <w:szCs w:val="24"/>
          <w:lang w:val="en-US"/>
        </w:rPr>
        <w:footnoteReference w:id="59"/>
      </w:r>
      <w:r>
        <w:rPr>
          <w:lang w:val="en-US"/>
        </w:rPr>
        <w:t xml:space="preserve"> [1085 - 1086]</w:t>
      </w:r>
    </w:p>
    <w:p w14:paraId="0F90107D" w14:textId="47D2FCFB" w:rsidR="00517D68" w:rsidRPr="00D301C5" w:rsidRDefault="00517D68" w:rsidP="00517D68">
      <w:pPr>
        <w:rPr>
          <w:lang w:val="en-US"/>
        </w:rPr>
      </w:pPr>
      <w:r w:rsidRPr="00517D68">
        <w:rPr>
          <w:lang w:val="en-US"/>
        </w:rPr>
        <w:lastRenderedPageBreak/>
        <w:t xml:space="preserve">Dekan Larry </w:t>
      </w:r>
      <w:proofErr w:type="spellStart"/>
      <w:r w:rsidRPr="00517D68">
        <w:rPr>
          <w:lang w:val="en-US"/>
        </w:rPr>
        <w:t>Kramer’ın</w:t>
      </w:r>
      <w:proofErr w:type="spellEnd"/>
      <w:r w:rsidRPr="00517D68">
        <w:rPr>
          <w:lang w:val="en-US"/>
        </w:rPr>
        <w:t xml:space="preserve"> da </w:t>
      </w:r>
      <w:proofErr w:type="spellStart"/>
      <w:r w:rsidRPr="00517D68">
        <w:rPr>
          <w:lang w:val="en-US"/>
        </w:rPr>
        <w:t>aralarında</w:t>
      </w:r>
      <w:proofErr w:type="spellEnd"/>
      <w:r w:rsidRPr="00517D68">
        <w:rPr>
          <w:lang w:val="en-US"/>
        </w:rPr>
        <w:t xml:space="preserve"> </w:t>
      </w:r>
      <w:proofErr w:type="spellStart"/>
      <w:r w:rsidRPr="00517D68">
        <w:rPr>
          <w:lang w:val="en-US"/>
        </w:rPr>
        <w:t>bulunduğu</w:t>
      </w:r>
      <w:proofErr w:type="spellEnd"/>
      <w:r w:rsidRPr="00517D68">
        <w:rPr>
          <w:lang w:val="en-US"/>
        </w:rPr>
        <w:t xml:space="preserve"> </w:t>
      </w:r>
      <w:proofErr w:type="spellStart"/>
      <w:r w:rsidRPr="00517D68">
        <w:rPr>
          <w:lang w:val="en-US"/>
        </w:rPr>
        <w:t>bazı</w:t>
      </w:r>
      <w:proofErr w:type="spellEnd"/>
      <w:r w:rsidRPr="00517D68">
        <w:rPr>
          <w:lang w:val="en-US"/>
        </w:rPr>
        <w:t xml:space="preserve"> </w:t>
      </w:r>
      <w:proofErr w:type="spellStart"/>
      <w:r w:rsidRPr="00517D68">
        <w:rPr>
          <w:lang w:val="en-US"/>
        </w:rPr>
        <w:t>yazarların</w:t>
      </w:r>
      <w:proofErr w:type="spellEnd"/>
      <w:r w:rsidRPr="00517D68">
        <w:rPr>
          <w:lang w:val="en-US"/>
        </w:rPr>
        <w:t xml:space="preserve"> </w:t>
      </w:r>
      <w:proofErr w:type="spellStart"/>
      <w:r w:rsidRPr="00517D68">
        <w:rPr>
          <w:lang w:val="en-US"/>
        </w:rPr>
        <w:t>açıkladığı</w:t>
      </w:r>
      <w:proofErr w:type="spellEnd"/>
      <w:r w:rsidRPr="00517D68">
        <w:rPr>
          <w:lang w:val="en-US"/>
        </w:rPr>
        <w:t xml:space="preserve"> </w:t>
      </w:r>
      <w:proofErr w:type="spellStart"/>
      <w:r w:rsidRPr="00517D68">
        <w:rPr>
          <w:lang w:val="en-US"/>
        </w:rPr>
        <w:t>üzere</w:t>
      </w:r>
      <w:proofErr w:type="spellEnd"/>
      <w:r w:rsidRPr="00517D68">
        <w:rPr>
          <w:lang w:val="en-US"/>
        </w:rPr>
        <w:t>,⁶⁰</w:t>
      </w:r>
      <w:r>
        <w:rPr>
          <w:lang w:val="en-US"/>
        </w:rPr>
        <w:t xml:space="preserve"> </w:t>
      </w:r>
      <w:r>
        <w:rPr>
          <w:rStyle w:val="FootnoteReference"/>
          <w:lang w:val="en-US"/>
        </w:rPr>
        <w:footnoteReference w:id="60"/>
      </w:r>
      <w:r w:rsidRPr="00517D68">
        <w:rPr>
          <w:lang w:val="en-US"/>
        </w:rPr>
        <w:t xml:space="preserve"> </w:t>
      </w:r>
      <w:proofErr w:type="spellStart"/>
      <w:r w:rsidRPr="00517D68">
        <w:rPr>
          <w:lang w:val="en-US"/>
        </w:rPr>
        <w:t>klasik</w:t>
      </w:r>
      <w:proofErr w:type="spellEnd"/>
      <w:r w:rsidRPr="00517D68">
        <w:rPr>
          <w:lang w:val="en-US"/>
        </w:rPr>
        <w:t xml:space="preserve"> </w:t>
      </w:r>
      <w:proofErr w:type="spellStart"/>
      <w:r w:rsidRPr="00517D68">
        <w:rPr>
          <w:lang w:val="en-US"/>
        </w:rPr>
        <w:t>cumhuriyetçilik</w:t>
      </w:r>
      <w:proofErr w:type="spellEnd"/>
      <w:r w:rsidRPr="00517D68">
        <w:rPr>
          <w:lang w:val="en-US"/>
        </w:rPr>
        <w:t xml:space="preserve"> </w:t>
      </w:r>
      <w:proofErr w:type="spellStart"/>
      <w:r w:rsidRPr="00517D68">
        <w:rPr>
          <w:lang w:val="en-US"/>
        </w:rPr>
        <w:t>anlayışına</w:t>
      </w:r>
      <w:proofErr w:type="spellEnd"/>
      <w:r w:rsidRPr="00517D68">
        <w:rPr>
          <w:lang w:val="en-US"/>
        </w:rPr>
        <w:t xml:space="preserve"> hakim </w:t>
      </w:r>
      <w:proofErr w:type="spellStart"/>
      <w:r w:rsidRPr="00517D68">
        <w:rPr>
          <w:lang w:val="en-US"/>
        </w:rPr>
        <w:t>ve</w:t>
      </w:r>
      <w:proofErr w:type="spellEnd"/>
      <w:r w:rsidRPr="00517D68">
        <w:rPr>
          <w:lang w:val="en-US"/>
        </w:rPr>
        <w:t xml:space="preserve"> </w:t>
      </w:r>
      <w:proofErr w:type="spellStart"/>
      <w:r w:rsidRPr="00517D68">
        <w:rPr>
          <w:lang w:val="en-US"/>
        </w:rPr>
        <w:t>otoriter</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monarşiyle</w:t>
      </w:r>
      <w:proofErr w:type="spellEnd"/>
      <w:r w:rsidRPr="00517D68">
        <w:rPr>
          <w:lang w:val="en-US"/>
        </w:rPr>
        <w:t xml:space="preserve"> </w:t>
      </w:r>
      <w:proofErr w:type="spellStart"/>
      <w:r w:rsidRPr="00517D68">
        <w:rPr>
          <w:lang w:val="en-US"/>
        </w:rPr>
        <w:t>yaşanan</w:t>
      </w:r>
      <w:proofErr w:type="spellEnd"/>
      <w:r w:rsidRPr="00517D68">
        <w:rPr>
          <w:lang w:val="en-US"/>
        </w:rPr>
        <w:t xml:space="preserve"> </w:t>
      </w:r>
      <w:proofErr w:type="spellStart"/>
      <w:r w:rsidRPr="00517D68">
        <w:rPr>
          <w:lang w:val="en-US"/>
        </w:rPr>
        <w:t>çatışmadan</w:t>
      </w:r>
      <w:proofErr w:type="spellEnd"/>
      <w:r w:rsidRPr="00517D68">
        <w:rPr>
          <w:lang w:val="en-US"/>
        </w:rPr>
        <w:t xml:space="preserve"> </w:t>
      </w:r>
      <w:proofErr w:type="spellStart"/>
      <w:r w:rsidRPr="00517D68">
        <w:rPr>
          <w:lang w:val="en-US"/>
        </w:rPr>
        <w:t>çıkan</w:t>
      </w:r>
      <w:proofErr w:type="spellEnd"/>
      <w:r w:rsidRPr="00517D68">
        <w:rPr>
          <w:lang w:val="en-US"/>
        </w:rPr>
        <w:t xml:space="preserve"> </w:t>
      </w:r>
      <w:proofErr w:type="spellStart"/>
      <w:r w:rsidRPr="00517D68">
        <w:rPr>
          <w:lang w:val="en-US"/>
        </w:rPr>
        <w:t>kurucu</w:t>
      </w:r>
      <w:proofErr w:type="spellEnd"/>
      <w:r w:rsidRPr="00517D68">
        <w:rPr>
          <w:lang w:val="en-US"/>
        </w:rPr>
        <w:t xml:space="preserve"> </w:t>
      </w:r>
      <w:proofErr w:type="spellStart"/>
      <w:r w:rsidRPr="00517D68">
        <w:rPr>
          <w:lang w:val="en-US"/>
        </w:rPr>
        <w:t>nesil</w:t>
      </w:r>
      <w:proofErr w:type="spellEnd"/>
      <w:r w:rsidRPr="00517D68">
        <w:rPr>
          <w:lang w:val="en-US"/>
        </w:rPr>
        <w:t xml:space="preserve">, </w:t>
      </w:r>
      <w:proofErr w:type="spellStart"/>
      <w:r w:rsidRPr="00517D68">
        <w:rPr>
          <w:lang w:val="en-US"/>
        </w:rPr>
        <w:t>yasama</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yürütme</w:t>
      </w:r>
      <w:proofErr w:type="spellEnd"/>
      <w:r w:rsidRPr="00517D68">
        <w:rPr>
          <w:lang w:val="en-US"/>
        </w:rPr>
        <w:t xml:space="preserve"> </w:t>
      </w:r>
      <w:proofErr w:type="spellStart"/>
      <w:r w:rsidRPr="00517D68">
        <w:rPr>
          <w:lang w:val="en-US"/>
        </w:rPr>
        <w:t>eylemlerini</w:t>
      </w:r>
      <w:proofErr w:type="spellEnd"/>
      <w:r w:rsidRPr="00517D68">
        <w:rPr>
          <w:lang w:val="en-US"/>
        </w:rPr>
        <w:t xml:space="preserve"> </w:t>
      </w:r>
      <w:proofErr w:type="spellStart"/>
      <w:r w:rsidRPr="00517D68">
        <w:rPr>
          <w:lang w:val="en-US"/>
        </w:rPr>
        <w:t>değerlendirme</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yorumlama</w:t>
      </w:r>
      <w:proofErr w:type="spellEnd"/>
      <w:r w:rsidRPr="00517D68">
        <w:rPr>
          <w:lang w:val="en-US"/>
        </w:rPr>
        <w:t xml:space="preserve"> </w:t>
      </w:r>
      <w:proofErr w:type="spellStart"/>
      <w:r w:rsidRPr="00517D68">
        <w:rPr>
          <w:lang w:val="en-US"/>
        </w:rPr>
        <w:t>görevi</w:t>
      </w:r>
      <w:proofErr w:type="spellEnd"/>
      <w:r w:rsidRPr="00517D68">
        <w:rPr>
          <w:lang w:val="en-US"/>
        </w:rPr>
        <w:t xml:space="preserve"> </w:t>
      </w:r>
      <w:proofErr w:type="spellStart"/>
      <w:r w:rsidRPr="00517D68">
        <w:rPr>
          <w:lang w:val="en-US"/>
        </w:rPr>
        <w:t>üstlenen</w:t>
      </w:r>
      <w:proofErr w:type="spellEnd"/>
      <w:r w:rsidRPr="00517D68">
        <w:rPr>
          <w:lang w:val="en-US"/>
        </w:rPr>
        <w:t xml:space="preserve"> </w:t>
      </w:r>
      <w:proofErr w:type="spellStart"/>
      <w:r w:rsidRPr="00517D68">
        <w:rPr>
          <w:lang w:val="en-US"/>
        </w:rPr>
        <w:t>hâkimlerin</w:t>
      </w:r>
      <w:proofErr w:type="spellEnd"/>
      <w:r w:rsidRPr="00517D68">
        <w:rPr>
          <w:lang w:val="en-US"/>
        </w:rPr>
        <w:t xml:space="preserve">, </w:t>
      </w:r>
      <w:proofErr w:type="spellStart"/>
      <w:r w:rsidRPr="00517D68">
        <w:rPr>
          <w:lang w:val="en-US"/>
        </w:rPr>
        <w:t>yeniden</w:t>
      </w:r>
      <w:proofErr w:type="spellEnd"/>
      <w:r w:rsidRPr="00517D68">
        <w:rPr>
          <w:lang w:val="en-US"/>
        </w:rPr>
        <w:t xml:space="preserve"> </w:t>
      </w:r>
      <w:proofErr w:type="spellStart"/>
      <w:r w:rsidRPr="00517D68">
        <w:rPr>
          <w:lang w:val="en-US"/>
        </w:rPr>
        <w:t>atanmaları</w:t>
      </w:r>
      <w:proofErr w:type="spellEnd"/>
      <w:r w:rsidRPr="00517D68">
        <w:rPr>
          <w:lang w:val="en-US"/>
        </w:rPr>
        <w:t xml:space="preserve"> </w:t>
      </w:r>
      <w:proofErr w:type="spellStart"/>
      <w:r w:rsidRPr="00517D68">
        <w:rPr>
          <w:lang w:val="en-US"/>
        </w:rPr>
        <w:t>veya</w:t>
      </w:r>
      <w:proofErr w:type="spellEnd"/>
      <w:r w:rsidRPr="00517D68">
        <w:rPr>
          <w:lang w:val="en-US"/>
        </w:rPr>
        <w:t xml:space="preserve"> </w:t>
      </w:r>
      <w:proofErr w:type="spellStart"/>
      <w:r w:rsidRPr="00517D68">
        <w:rPr>
          <w:lang w:val="en-US"/>
        </w:rPr>
        <w:t>maaşları</w:t>
      </w:r>
      <w:proofErr w:type="spellEnd"/>
      <w:r w:rsidRPr="00517D68">
        <w:rPr>
          <w:lang w:val="en-US"/>
        </w:rPr>
        <w:t xml:space="preserve"> </w:t>
      </w:r>
      <w:proofErr w:type="spellStart"/>
      <w:r w:rsidRPr="00517D68">
        <w:rPr>
          <w:lang w:val="en-US"/>
        </w:rPr>
        <w:t>konusunda</w:t>
      </w:r>
      <w:proofErr w:type="spellEnd"/>
      <w:r w:rsidRPr="00517D68">
        <w:rPr>
          <w:lang w:val="en-US"/>
        </w:rPr>
        <w:t xml:space="preserve"> </w:t>
      </w:r>
      <w:proofErr w:type="spellStart"/>
      <w:r w:rsidRPr="00517D68">
        <w:rPr>
          <w:lang w:val="en-US"/>
        </w:rPr>
        <w:t>diğer</w:t>
      </w:r>
      <w:proofErr w:type="spellEnd"/>
      <w:r w:rsidRPr="00517D68">
        <w:rPr>
          <w:lang w:val="en-US"/>
        </w:rPr>
        <w:t xml:space="preserve"> </w:t>
      </w:r>
      <w:proofErr w:type="spellStart"/>
      <w:r w:rsidRPr="00517D68">
        <w:rPr>
          <w:lang w:val="en-US"/>
        </w:rPr>
        <w:t>erklerin</w:t>
      </w:r>
      <w:proofErr w:type="spellEnd"/>
      <w:r w:rsidRPr="00517D68">
        <w:rPr>
          <w:lang w:val="en-US"/>
        </w:rPr>
        <w:t xml:space="preserve"> </w:t>
      </w:r>
      <w:proofErr w:type="spellStart"/>
      <w:r w:rsidRPr="00517D68">
        <w:rPr>
          <w:lang w:val="en-US"/>
        </w:rPr>
        <w:t>kontrolüne</w:t>
      </w:r>
      <w:proofErr w:type="spellEnd"/>
      <w:r w:rsidRPr="00517D68">
        <w:rPr>
          <w:lang w:val="en-US"/>
        </w:rPr>
        <w:t xml:space="preserve"> tabi </w:t>
      </w:r>
      <w:proofErr w:type="spellStart"/>
      <w:r w:rsidRPr="00517D68">
        <w:rPr>
          <w:lang w:val="en-US"/>
        </w:rPr>
        <w:t>olmasının</w:t>
      </w:r>
      <w:proofErr w:type="spellEnd"/>
      <w:r w:rsidRPr="00517D68">
        <w:rPr>
          <w:lang w:val="en-US"/>
        </w:rPr>
        <w:t xml:space="preserve"> </w:t>
      </w:r>
      <w:proofErr w:type="spellStart"/>
      <w:r w:rsidRPr="00517D68">
        <w:rPr>
          <w:lang w:val="en-US"/>
        </w:rPr>
        <w:t>doğasında</w:t>
      </w:r>
      <w:proofErr w:type="spellEnd"/>
      <w:r w:rsidRPr="00517D68">
        <w:rPr>
          <w:lang w:val="en-US"/>
        </w:rPr>
        <w:t xml:space="preserve"> </w:t>
      </w:r>
      <w:proofErr w:type="spellStart"/>
      <w:r w:rsidRPr="00517D68">
        <w:rPr>
          <w:lang w:val="en-US"/>
        </w:rPr>
        <w:t>bulunan</w:t>
      </w:r>
      <w:proofErr w:type="spellEnd"/>
      <w:r w:rsidRPr="00517D68">
        <w:rPr>
          <w:lang w:val="en-US"/>
        </w:rPr>
        <w:t xml:space="preserve"> </w:t>
      </w:r>
      <w:proofErr w:type="spellStart"/>
      <w:r w:rsidRPr="00517D68">
        <w:rPr>
          <w:lang w:val="en-US"/>
        </w:rPr>
        <w:t>yozlaşma</w:t>
      </w:r>
      <w:proofErr w:type="spellEnd"/>
      <w:r w:rsidRPr="00517D68">
        <w:rPr>
          <w:lang w:val="en-US"/>
        </w:rPr>
        <w:t xml:space="preserve"> </w:t>
      </w:r>
      <w:proofErr w:type="spellStart"/>
      <w:r w:rsidRPr="00517D68">
        <w:rPr>
          <w:lang w:val="en-US"/>
        </w:rPr>
        <w:t>potansiyelinden</w:t>
      </w:r>
      <w:proofErr w:type="spellEnd"/>
      <w:r w:rsidRPr="00517D68">
        <w:rPr>
          <w:lang w:val="en-US"/>
        </w:rPr>
        <w:t xml:space="preserve"> </w:t>
      </w:r>
      <w:proofErr w:type="spellStart"/>
      <w:r w:rsidRPr="00517D68">
        <w:rPr>
          <w:lang w:val="en-US"/>
        </w:rPr>
        <w:t>derin</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endişe</w:t>
      </w:r>
      <w:proofErr w:type="spellEnd"/>
      <w:r w:rsidRPr="00517D68">
        <w:rPr>
          <w:lang w:val="en-US"/>
        </w:rPr>
        <w:t xml:space="preserve"> </w:t>
      </w:r>
      <w:proofErr w:type="spellStart"/>
      <w:r w:rsidRPr="00517D68">
        <w:rPr>
          <w:lang w:val="en-US"/>
        </w:rPr>
        <w:t>duymaktaydı</w:t>
      </w:r>
      <w:proofErr w:type="spellEnd"/>
      <w:r w:rsidRPr="00517D68">
        <w:rPr>
          <w:lang w:val="en-US"/>
        </w:rPr>
        <w:t xml:space="preserve">. </w:t>
      </w:r>
      <w:proofErr w:type="spellStart"/>
      <w:r w:rsidRPr="00517D68">
        <w:rPr>
          <w:lang w:val="en-US"/>
        </w:rPr>
        <w:t>Ancak</w:t>
      </w:r>
      <w:proofErr w:type="spellEnd"/>
      <w:r w:rsidRPr="00517D68">
        <w:rPr>
          <w:lang w:val="en-US"/>
        </w:rPr>
        <w:t xml:space="preserve"> </w:t>
      </w:r>
      <w:proofErr w:type="spellStart"/>
      <w:r w:rsidRPr="00517D68">
        <w:rPr>
          <w:lang w:val="en-US"/>
        </w:rPr>
        <w:t>bu</w:t>
      </w:r>
      <w:proofErr w:type="spellEnd"/>
      <w:r w:rsidRPr="00517D68">
        <w:rPr>
          <w:lang w:val="en-US"/>
        </w:rPr>
        <w:t xml:space="preserve"> </w:t>
      </w:r>
      <w:proofErr w:type="spellStart"/>
      <w:r w:rsidRPr="00517D68">
        <w:rPr>
          <w:lang w:val="en-US"/>
        </w:rPr>
        <w:t>endişe</w:t>
      </w:r>
      <w:proofErr w:type="spellEnd"/>
      <w:r w:rsidRPr="00517D68">
        <w:rPr>
          <w:lang w:val="en-US"/>
        </w:rPr>
        <w:t xml:space="preserve"> ne </w:t>
      </w:r>
      <w:proofErr w:type="spellStart"/>
      <w:r w:rsidRPr="00517D68">
        <w:rPr>
          <w:lang w:val="en-US"/>
        </w:rPr>
        <w:t>kadar</w:t>
      </w:r>
      <w:proofErr w:type="spellEnd"/>
      <w:r w:rsidRPr="00517D68">
        <w:rPr>
          <w:lang w:val="en-US"/>
        </w:rPr>
        <w:t xml:space="preserve"> </w:t>
      </w:r>
      <w:proofErr w:type="spellStart"/>
      <w:r w:rsidRPr="00517D68">
        <w:rPr>
          <w:lang w:val="en-US"/>
        </w:rPr>
        <w:t>derin</w:t>
      </w:r>
      <w:proofErr w:type="spellEnd"/>
      <w:r w:rsidRPr="00517D68">
        <w:rPr>
          <w:lang w:val="en-US"/>
        </w:rPr>
        <w:t xml:space="preserve"> </w:t>
      </w:r>
      <w:proofErr w:type="spellStart"/>
      <w:r w:rsidRPr="00517D68">
        <w:rPr>
          <w:lang w:val="en-US"/>
        </w:rPr>
        <w:t>olursa</w:t>
      </w:r>
      <w:proofErr w:type="spellEnd"/>
      <w:r w:rsidRPr="00517D68">
        <w:rPr>
          <w:lang w:val="en-US"/>
        </w:rPr>
        <w:t xml:space="preserve"> </w:t>
      </w:r>
      <w:proofErr w:type="spellStart"/>
      <w:r w:rsidRPr="00517D68">
        <w:rPr>
          <w:lang w:val="en-US"/>
        </w:rPr>
        <w:t>olsun</w:t>
      </w:r>
      <w:proofErr w:type="spellEnd"/>
      <w:r w:rsidRPr="00517D68">
        <w:rPr>
          <w:lang w:val="en-US"/>
        </w:rPr>
        <w:t xml:space="preserve">, </w:t>
      </w:r>
      <w:proofErr w:type="spellStart"/>
      <w:r w:rsidRPr="00517D68">
        <w:rPr>
          <w:lang w:val="en-US"/>
        </w:rPr>
        <w:t>belirli</w:t>
      </w:r>
      <w:proofErr w:type="spellEnd"/>
      <w:r w:rsidRPr="00517D68">
        <w:rPr>
          <w:lang w:val="en-US"/>
        </w:rPr>
        <w:t xml:space="preserve"> </w:t>
      </w:r>
      <w:proofErr w:type="spellStart"/>
      <w:r w:rsidRPr="00517D68">
        <w:rPr>
          <w:lang w:val="en-US"/>
        </w:rPr>
        <w:t>sınırlar</w:t>
      </w:r>
      <w:proofErr w:type="spellEnd"/>
      <w:r w:rsidRPr="00517D68">
        <w:rPr>
          <w:lang w:val="en-US"/>
        </w:rPr>
        <w:t xml:space="preserve"> </w:t>
      </w:r>
      <w:proofErr w:type="spellStart"/>
      <w:r w:rsidRPr="00517D68">
        <w:rPr>
          <w:lang w:val="en-US"/>
        </w:rPr>
        <w:t>içinde</w:t>
      </w:r>
      <w:proofErr w:type="spellEnd"/>
      <w:r w:rsidRPr="00517D68">
        <w:rPr>
          <w:lang w:val="en-US"/>
        </w:rPr>
        <w:t xml:space="preserve"> </w:t>
      </w:r>
      <w:proofErr w:type="spellStart"/>
      <w:r w:rsidRPr="00517D68">
        <w:rPr>
          <w:lang w:val="en-US"/>
        </w:rPr>
        <w:t>kalmıştır</w:t>
      </w:r>
      <w:proofErr w:type="spellEnd"/>
      <w:r w:rsidRPr="00517D68">
        <w:rPr>
          <w:lang w:val="en-US"/>
        </w:rPr>
        <w:t>.</w:t>
      </w:r>
      <w:r>
        <w:rPr>
          <w:lang w:val="en-US"/>
        </w:rPr>
        <w:t xml:space="preserve"> </w:t>
      </w:r>
      <w:proofErr w:type="spellStart"/>
      <w:r w:rsidRPr="00517D68">
        <w:rPr>
          <w:lang w:val="en-US"/>
        </w:rPr>
        <w:t>Yargının</w:t>
      </w:r>
      <w:proofErr w:type="spellEnd"/>
      <w:r w:rsidRPr="00517D68">
        <w:rPr>
          <w:lang w:val="en-US"/>
        </w:rPr>
        <w:t xml:space="preserve"> </w:t>
      </w:r>
      <w:proofErr w:type="spellStart"/>
      <w:r w:rsidRPr="00517D68">
        <w:rPr>
          <w:lang w:val="en-US"/>
        </w:rPr>
        <w:t>kişisel</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mesleki</w:t>
      </w:r>
      <w:proofErr w:type="spellEnd"/>
      <w:r w:rsidRPr="00517D68">
        <w:rPr>
          <w:lang w:val="en-US"/>
        </w:rPr>
        <w:t xml:space="preserve"> </w:t>
      </w:r>
      <w:proofErr w:type="spellStart"/>
      <w:r w:rsidRPr="00517D68">
        <w:rPr>
          <w:lang w:val="en-US"/>
        </w:rPr>
        <w:t>bağımsızlığının</w:t>
      </w:r>
      <w:proofErr w:type="spellEnd"/>
      <w:r w:rsidRPr="00517D68">
        <w:rPr>
          <w:lang w:val="en-US"/>
        </w:rPr>
        <w:t xml:space="preserve"> </w:t>
      </w:r>
      <w:proofErr w:type="spellStart"/>
      <w:r w:rsidRPr="00517D68">
        <w:rPr>
          <w:lang w:val="en-US"/>
        </w:rPr>
        <w:t>titizlikle</w:t>
      </w:r>
      <w:proofErr w:type="spellEnd"/>
      <w:r w:rsidRPr="00517D68">
        <w:rPr>
          <w:lang w:val="en-US"/>
        </w:rPr>
        <w:t xml:space="preserve"> </w:t>
      </w:r>
      <w:proofErr w:type="spellStart"/>
      <w:r w:rsidRPr="00517D68">
        <w:rPr>
          <w:lang w:val="en-US"/>
        </w:rPr>
        <w:t>korunması</w:t>
      </w:r>
      <w:proofErr w:type="spellEnd"/>
      <w:r w:rsidRPr="00517D68">
        <w:rPr>
          <w:lang w:val="en-US"/>
        </w:rPr>
        <w:t xml:space="preserve">, partizan </w:t>
      </w:r>
      <w:proofErr w:type="spellStart"/>
      <w:r w:rsidRPr="00517D68">
        <w:rPr>
          <w:lang w:val="en-US"/>
        </w:rPr>
        <w:t>siyasetten</w:t>
      </w:r>
      <w:proofErr w:type="spellEnd"/>
      <w:r w:rsidRPr="00517D68">
        <w:rPr>
          <w:lang w:val="en-US"/>
        </w:rPr>
        <w:t xml:space="preserve"> </w:t>
      </w:r>
      <w:proofErr w:type="spellStart"/>
      <w:r w:rsidRPr="00517D68">
        <w:rPr>
          <w:lang w:val="en-US"/>
        </w:rPr>
        <w:t>daha</w:t>
      </w:r>
      <w:proofErr w:type="spellEnd"/>
      <w:r w:rsidRPr="00517D68">
        <w:rPr>
          <w:lang w:val="en-US"/>
        </w:rPr>
        <w:t xml:space="preserve"> </w:t>
      </w:r>
      <w:proofErr w:type="spellStart"/>
      <w:r w:rsidRPr="00517D68">
        <w:rPr>
          <w:lang w:val="en-US"/>
        </w:rPr>
        <w:t>geniş</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bağımsızlıkla</w:t>
      </w:r>
      <w:proofErr w:type="spellEnd"/>
      <w:r w:rsidRPr="00517D68">
        <w:rPr>
          <w:lang w:val="en-US"/>
        </w:rPr>
        <w:t xml:space="preserve"> </w:t>
      </w:r>
      <w:proofErr w:type="spellStart"/>
      <w:r w:rsidRPr="00517D68">
        <w:rPr>
          <w:lang w:val="en-US"/>
        </w:rPr>
        <w:t>uyumlu</w:t>
      </w:r>
      <w:proofErr w:type="spellEnd"/>
      <w:r w:rsidRPr="00517D68">
        <w:rPr>
          <w:lang w:val="en-US"/>
        </w:rPr>
        <w:t xml:space="preserve"> </w:t>
      </w:r>
      <w:proofErr w:type="spellStart"/>
      <w:r w:rsidRPr="00517D68">
        <w:rPr>
          <w:lang w:val="en-US"/>
        </w:rPr>
        <w:t>olabilir</w:t>
      </w:r>
      <w:proofErr w:type="spellEnd"/>
      <w:r w:rsidRPr="00517D68">
        <w:rPr>
          <w:lang w:val="en-US"/>
        </w:rPr>
        <w:t xml:space="preserve">; </w:t>
      </w:r>
      <w:proofErr w:type="spellStart"/>
      <w:r w:rsidRPr="00517D68">
        <w:rPr>
          <w:lang w:val="en-US"/>
        </w:rPr>
        <w:t>ancak</w:t>
      </w:r>
      <w:proofErr w:type="spellEnd"/>
      <w:r w:rsidRPr="00517D68">
        <w:rPr>
          <w:lang w:val="en-US"/>
        </w:rPr>
        <w:t xml:space="preserve"> </w:t>
      </w:r>
      <w:proofErr w:type="spellStart"/>
      <w:r w:rsidRPr="00517D68">
        <w:rPr>
          <w:lang w:val="en-US"/>
        </w:rPr>
        <w:t>böyle</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düzenlemeyi</w:t>
      </w:r>
      <w:proofErr w:type="spellEnd"/>
      <w:r w:rsidRPr="00517D68">
        <w:rPr>
          <w:lang w:val="en-US"/>
        </w:rPr>
        <w:t xml:space="preserve"> </w:t>
      </w:r>
      <w:proofErr w:type="spellStart"/>
      <w:r w:rsidRPr="00517D68">
        <w:rPr>
          <w:lang w:val="en-US"/>
        </w:rPr>
        <w:t>zorunlu</w:t>
      </w:r>
      <w:proofErr w:type="spellEnd"/>
      <w:r w:rsidRPr="00517D68">
        <w:rPr>
          <w:lang w:val="en-US"/>
        </w:rPr>
        <w:t xml:space="preserve"> </w:t>
      </w:r>
      <w:proofErr w:type="spellStart"/>
      <w:r w:rsidRPr="00517D68">
        <w:rPr>
          <w:lang w:val="en-US"/>
        </w:rPr>
        <w:t>kılmaz</w:t>
      </w:r>
      <w:proofErr w:type="spellEnd"/>
      <w:r w:rsidRPr="00517D68">
        <w:rPr>
          <w:lang w:val="en-US"/>
        </w:rPr>
        <w:t>.</w:t>
      </w:r>
    </w:p>
    <w:p w14:paraId="21C39A20" w14:textId="0292220A" w:rsidR="00D301C5" w:rsidRDefault="00517D68" w:rsidP="00517D68">
      <w:pPr>
        <w:rPr>
          <w:lang w:val="en-US"/>
        </w:rPr>
      </w:pPr>
      <w:r w:rsidRPr="00517D68">
        <w:rPr>
          <w:lang w:val="en-US"/>
        </w:rPr>
        <w:t xml:space="preserve">Belki de Dekan </w:t>
      </w:r>
      <w:proofErr w:type="spellStart"/>
      <w:r w:rsidRPr="00517D68">
        <w:rPr>
          <w:lang w:val="en-US"/>
        </w:rPr>
        <w:t>Kramer’ın</w:t>
      </w:r>
      <w:proofErr w:type="spellEnd"/>
      <w:r w:rsidRPr="00517D68">
        <w:rPr>
          <w:lang w:val="en-US"/>
        </w:rPr>
        <w:t xml:space="preserve"> </w:t>
      </w:r>
      <w:proofErr w:type="spellStart"/>
      <w:r w:rsidRPr="00517D68">
        <w:rPr>
          <w:lang w:val="en-US"/>
        </w:rPr>
        <w:t>bu</w:t>
      </w:r>
      <w:proofErr w:type="spellEnd"/>
      <w:r w:rsidRPr="00517D68">
        <w:rPr>
          <w:lang w:val="en-US"/>
        </w:rPr>
        <w:t xml:space="preserve"> </w:t>
      </w:r>
      <w:proofErr w:type="spellStart"/>
      <w:r w:rsidRPr="00517D68">
        <w:rPr>
          <w:lang w:val="en-US"/>
        </w:rPr>
        <w:t>alandaki</w:t>
      </w:r>
      <w:proofErr w:type="spellEnd"/>
      <w:r w:rsidRPr="00517D68">
        <w:rPr>
          <w:lang w:val="en-US"/>
        </w:rPr>
        <w:t xml:space="preserve"> </w:t>
      </w:r>
      <w:proofErr w:type="spellStart"/>
      <w:r w:rsidRPr="00517D68">
        <w:rPr>
          <w:lang w:val="en-US"/>
        </w:rPr>
        <w:t>tartışmalı</w:t>
      </w:r>
      <w:proofErr w:type="spellEnd"/>
      <w:r w:rsidRPr="00517D68">
        <w:rPr>
          <w:lang w:val="en-US"/>
        </w:rPr>
        <w:t xml:space="preserve"> </w:t>
      </w:r>
      <w:proofErr w:type="spellStart"/>
      <w:r w:rsidRPr="00517D68">
        <w:rPr>
          <w:lang w:val="en-US"/>
        </w:rPr>
        <w:t>çalışmasının</w:t>
      </w:r>
      <w:proofErr w:type="spellEnd"/>
      <w:r w:rsidRPr="00517D68">
        <w:rPr>
          <w:lang w:val="en-US"/>
        </w:rPr>
        <w:t xml:space="preserve"> </w:t>
      </w:r>
      <w:proofErr w:type="spellStart"/>
      <w:r w:rsidRPr="00517D68">
        <w:rPr>
          <w:lang w:val="en-US"/>
        </w:rPr>
        <w:t>en</w:t>
      </w:r>
      <w:proofErr w:type="spellEnd"/>
      <w:r w:rsidRPr="00517D68">
        <w:rPr>
          <w:lang w:val="en-US"/>
        </w:rPr>
        <w:t xml:space="preserve"> </w:t>
      </w:r>
      <w:proofErr w:type="spellStart"/>
      <w:r w:rsidRPr="00517D68">
        <w:rPr>
          <w:lang w:val="en-US"/>
        </w:rPr>
        <w:t>büyük</w:t>
      </w:r>
      <w:proofErr w:type="spellEnd"/>
      <w:r w:rsidRPr="00517D68">
        <w:rPr>
          <w:lang w:val="en-US"/>
        </w:rPr>
        <w:t xml:space="preserve"> </w:t>
      </w:r>
      <w:proofErr w:type="spellStart"/>
      <w:r w:rsidRPr="00517D68">
        <w:rPr>
          <w:lang w:val="en-US"/>
        </w:rPr>
        <w:t>erdemi</w:t>
      </w:r>
      <w:proofErr w:type="spellEnd"/>
      <w:r w:rsidRPr="00517D68">
        <w:rPr>
          <w:lang w:val="en-US"/>
        </w:rPr>
        <w:t xml:space="preserve">, </w:t>
      </w:r>
      <w:proofErr w:type="spellStart"/>
      <w:r w:rsidRPr="00517D68">
        <w:rPr>
          <w:lang w:val="en-US"/>
        </w:rPr>
        <w:t>yargının</w:t>
      </w:r>
      <w:proofErr w:type="spellEnd"/>
      <w:r w:rsidRPr="00517D68">
        <w:rPr>
          <w:lang w:val="en-US"/>
        </w:rPr>
        <w:t xml:space="preserve"> </w:t>
      </w:r>
      <w:proofErr w:type="spellStart"/>
      <w:r w:rsidRPr="00517D68">
        <w:rPr>
          <w:lang w:val="en-US"/>
        </w:rPr>
        <w:t>siyasal</w:t>
      </w:r>
      <w:proofErr w:type="spellEnd"/>
      <w:r w:rsidRPr="00517D68">
        <w:rPr>
          <w:lang w:val="en-US"/>
        </w:rPr>
        <w:t xml:space="preserve"> </w:t>
      </w:r>
      <w:proofErr w:type="spellStart"/>
      <w:r w:rsidRPr="00517D68">
        <w:rPr>
          <w:lang w:val="en-US"/>
        </w:rPr>
        <w:t>bağımsızlığına</w:t>
      </w:r>
      <w:proofErr w:type="spellEnd"/>
      <w:r w:rsidRPr="00517D68">
        <w:rPr>
          <w:lang w:val="en-US"/>
        </w:rPr>
        <w:t xml:space="preserve"> </w:t>
      </w:r>
      <w:proofErr w:type="spellStart"/>
      <w:r w:rsidRPr="00517D68">
        <w:rPr>
          <w:lang w:val="en-US"/>
        </w:rPr>
        <w:t>ilişkin</w:t>
      </w:r>
      <w:proofErr w:type="spellEnd"/>
      <w:r w:rsidRPr="00517D68">
        <w:rPr>
          <w:lang w:val="en-US"/>
        </w:rPr>
        <w:t xml:space="preserve"> </w:t>
      </w:r>
      <w:proofErr w:type="spellStart"/>
      <w:r w:rsidRPr="00517D68">
        <w:rPr>
          <w:lang w:val="en-US"/>
        </w:rPr>
        <w:t>farklı</w:t>
      </w:r>
      <w:proofErr w:type="spellEnd"/>
      <w:r w:rsidRPr="00517D68">
        <w:rPr>
          <w:lang w:val="en-US"/>
        </w:rPr>
        <w:t xml:space="preserve"> </w:t>
      </w:r>
      <w:proofErr w:type="spellStart"/>
      <w:r w:rsidRPr="00517D68">
        <w:rPr>
          <w:lang w:val="en-US"/>
        </w:rPr>
        <w:t>normların</w:t>
      </w:r>
      <w:proofErr w:type="spellEnd"/>
      <w:r w:rsidRPr="00517D68">
        <w:rPr>
          <w:lang w:val="en-US"/>
        </w:rPr>
        <w:t xml:space="preserve"> ABD </w:t>
      </w:r>
      <w:proofErr w:type="spellStart"/>
      <w:r w:rsidRPr="00517D68">
        <w:rPr>
          <w:lang w:val="en-US"/>
        </w:rPr>
        <w:t>Anayasası’nın</w:t>
      </w:r>
      <w:proofErr w:type="spellEnd"/>
      <w:r w:rsidRPr="00517D68">
        <w:rPr>
          <w:lang w:val="en-US"/>
        </w:rPr>
        <w:t xml:space="preserve"> </w:t>
      </w:r>
      <w:proofErr w:type="spellStart"/>
      <w:r w:rsidRPr="00517D68">
        <w:rPr>
          <w:lang w:val="en-US"/>
        </w:rPr>
        <w:t>metni</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oluşturulma</w:t>
      </w:r>
      <w:proofErr w:type="spellEnd"/>
      <w:r w:rsidRPr="00517D68">
        <w:rPr>
          <w:lang w:val="en-US"/>
        </w:rPr>
        <w:t xml:space="preserve"> </w:t>
      </w:r>
      <w:proofErr w:type="spellStart"/>
      <w:r w:rsidRPr="00517D68">
        <w:rPr>
          <w:lang w:val="en-US"/>
        </w:rPr>
        <w:t>tarihiyle</w:t>
      </w:r>
      <w:proofErr w:type="spellEnd"/>
      <w:r w:rsidRPr="00517D68">
        <w:rPr>
          <w:lang w:val="en-US"/>
        </w:rPr>
        <w:t xml:space="preserve"> </w:t>
      </w:r>
      <w:proofErr w:type="spellStart"/>
      <w:r w:rsidRPr="00517D68">
        <w:rPr>
          <w:lang w:val="en-US"/>
        </w:rPr>
        <w:t>uyumlu</w:t>
      </w:r>
      <w:proofErr w:type="spellEnd"/>
      <w:r w:rsidRPr="00517D68">
        <w:rPr>
          <w:lang w:val="en-US"/>
        </w:rPr>
        <w:t xml:space="preserve"> </w:t>
      </w:r>
      <w:proofErr w:type="spellStart"/>
      <w:r w:rsidRPr="00517D68">
        <w:rPr>
          <w:lang w:val="en-US"/>
        </w:rPr>
        <w:t>olabileceğini</w:t>
      </w:r>
      <w:proofErr w:type="spellEnd"/>
      <w:r w:rsidRPr="00517D68">
        <w:rPr>
          <w:lang w:val="en-US"/>
        </w:rPr>
        <w:t xml:space="preserve"> bize </w:t>
      </w:r>
      <w:proofErr w:type="spellStart"/>
      <w:r w:rsidRPr="00517D68">
        <w:rPr>
          <w:lang w:val="en-US"/>
        </w:rPr>
        <w:t>hatırlatmasıdır</w:t>
      </w:r>
      <w:proofErr w:type="spellEnd"/>
      <w:r w:rsidRPr="00517D68">
        <w:rPr>
          <w:lang w:val="en-US"/>
        </w:rPr>
        <w:t xml:space="preserve">. </w:t>
      </w:r>
      <w:proofErr w:type="spellStart"/>
      <w:r w:rsidRPr="00517D68">
        <w:rPr>
          <w:lang w:val="en-US"/>
        </w:rPr>
        <w:t>Günümüzde</w:t>
      </w:r>
      <w:proofErr w:type="spellEnd"/>
      <w:r w:rsidRPr="00517D68">
        <w:rPr>
          <w:lang w:val="en-US"/>
        </w:rPr>
        <w:t xml:space="preserve"> </w:t>
      </w:r>
      <w:proofErr w:type="spellStart"/>
      <w:r w:rsidRPr="00517D68">
        <w:rPr>
          <w:lang w:val="en-US"/>
        </w:rPr>
        <w:t>hâkim</w:t>
      </w:r>
      <w:proofErr w:type="spellEnd"/>
      <w:r w:rsidRPr="00517D68">
        <w:rPr>
          <w:lang w:val="en-US"/>
        </w:rPr>
        <w:t xml:space="preserve"> </w:t>
      </w:r>
      <w:proofErr w:type="spellStart"/>
      <w:r w:rsidRPr="00517D68">
        <w:rPr>
          <w:lang w:val="en-US"/>
        </w:rPr>
        <w:t>olan</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bazıları</w:t>
      </w:r>
      <w:proofErr w:type="spellEnd"/>
      <w:r w:rsidRPr="00517D68">
        <w:rPr>
          <w:lang w:val="en-US"/>
        </w:rPr>
        <w:t xml:space="preserve"> </w:t>
      </w:r>
      <w:proofErr w:type="spellStart"/>
      <w:r w:rsidRPr="00517D68">
        <w:rPr>
          <w:lang w:val="en-US"/>
        </w:rPr>
        <w:t>diğerlerinden</w:t>
      </w:r>
      <w:proofErr w:type="spellEnd"/>
      <w:r w:rsidRPr="00517D68">
        <w:rPr>
          <w:lang w:val="en-US"/>
        </w:rPr>
        <w:t xml:space="preserve"> </w:t>
      </w:r>
      <w:proofErr w:type="spellStart"/>
      <w:r w:rsidRPr="00517D68">
        <w:rPr>
          <w:lang w:val="en-US"/>
        </w:rPr>
        <w:t>daha</w:t>
      </w:r>
      <w:proofErr w:type="spellEnd"/>
      <w:r w:rsidRPr="00517D68">
        <w:rPr>
          <w:lang w:val="en-US"/>
        </w:rPr>
        <w:t xml:space="preserve"> </w:t>
      </w:r>
      <w:proofErr w:type="spellStart"/>
      <w:r w:rsidRPr="00517D68">
        <w:rPr>
          <w:lang w:val="en-US"/>
        </w:rPr>
        <w:t>köklü</w:t>
      </w:r>
      <w:proofErr w:type="spellEnd"/>
      <w:r w:rsidRPr="00517D68">
        <w:rPr>
          <w:lang w:val="en-US"/>
        </w:rPr>
        <w:t xml:space="preserve"> </w:t>
      </w:r>
      <w:proofErr w:type="spellStart"/>
      <w:r w:rsidRPr="00517D68">
        <w:rPr>
          <w:lang w:val="en-US"/>
        </w:rPr>
        <w:t>olan</w:t>
      </w:r>
      <w:proofErr w:type="spellEnd"/>
      <w:r w:rsidRPr="00517D68">
        <w:rPr>
          <w:lang w:val="en-US"/>
        </w:rPr>
        <w:t xml:space="preserve"> </w:t>
      </w:r>
      <w:proofErr w:type="spellStart"/>
      <w:r w:rsidRPr="00517D68">
        <w:rPr>
          <w:lang w:val="en-US"/>
        </w:rPr>
        <w:t>normlar</w:t>
      </w:r>
      <w:proofErr w:type="spellEnd"/>
      <w:r w:rsidRPr="00517D68">
        <w:rPr>
          <w:lang w:val="en-US"/>
        </w:rPr>
        <w:t xml:space="preserve"> </w:t>
      </w:r>
      <w:proofErr w:type="spellStart"/>
      <w:r w:rsidRPr="00517D68">
        <w:rPr>
          <w:lang w:val="en-US"/>
        </w:rPr>
        <w:t>arasında</w:t>
      </w:r>
      <w:proofErr w:type="spellEnd"/>
      <w:r w:rsidRPr="00517D68">
        <w:rPr>
          <w:lang w:val="en-US"/>
        </w:rPr>
        <w:t xml:space="preserve">, </w:t>
      </w:r>
      <w:proofErr w:type="spellStart"/>
      <w:r w:rsidRPr="00517D68">
        <w:rPr>
          <w:lang w:val="en-US"/>
        </w:rPr>
        <w:t>daha</w:t>
      </w:r>
      <w:proofErr w:type="spellEnd"/>
      <w:r w:rsidRPr="00517D68">
        <w:rPr>
          <w:lang w:val="en-US"/>
        </w:rPr>
        <w:t xml:space="preserve"> </w:t>
      </w:r>
      <w:proofErr w:type="spellStart"/>
      <w:r w:rsidRPr="00517D68">
        <w:rPr>
          <w:lang w:val="en-US"/>
        </w:rPr>
        <w:t>önce</w:t>
      </w:r>
      <w:proofErr w:type="spellEnd"/>
      <w:r w:rsidRPr="00517D68">
        <w:rPr>
          <w:lang w:val="en-US"/>
        </w:rPr>
        <w:t xml:space="preserve"> </w:t>
      </w:r>
      <w:proofErr w:type="spellStart"/>
      <w:r w:rsidRPr="00517D68">
        <w:rPr>
          <w:lang w:val="en-US"/>
        </w:rPr>
        <w:t>belirtilen</w:t>
      </w:r>
      <w:proofErr w:type="spellEnd"/>
      <w:r w:rsidRPr="00517D68">
        <w:rPr>
          <w:lang w:val="en-US"/>
        </w:rPr>
        <w:t xml:space="preserve"> </w:t>
      </w:r>
      <w:proofErr w:type="spellStart"/>
      <w:r w:rsidRPr="00517D68">
        <w:rPr>
          <w:lang w:val="en-US"/>
        </w:rPr>
        <w:t>mahkeme</w:t>
      </w:r>
      <w:proofErr w:type="spellEnd"/>
      <w:r w:rsidRPr="00517D68">
        <w:rPr>
          <w:lang w:val="en-US"/>
        </w:rPr>
        <w:t xml:space="preserve"> </w:t>
      </w:r>
      <w:proofErr w:type="spellStart"/>
      <w:r w:rsidRPr="00517D68">
        <w:rPr>
          <w:lang w:val="en-US"/>
        </w:rPr>
        <w:t>genişletme</w:t>
      </w:r>
      <w:proofErr w:type="spellEnd"/>
      <w:r w:rsidRPr="00517D68">
        <w:rPr>
          <w:lang w:val="en-US"/>
        </w:rPr>
        <w:t xml:space="preserve"> </w:t>
      </w:r>
      <w:proofErr w:type="spellStart"/>
      <w:r w:rsidRPr="00517D68">
        <w:rPr>
          <w:lang w:val="en-US"/>
        </w:rPr>
        <w:t>yasağı</w:t>
      </w:r>
      <w:proofErr w:type="spellEnd"/>
      <w:r w:rsidRPr="00517D68">
        <w:rPr>
          <w:lang w:val="en-US"/>
        </w:rPr>
        <w:t xml:space="preserve"> (court-packing), </w:t>
      </w:r>
      <w:proofErr w:type="spellStart"/>
      <w:r w:rsidRPr="00517D68">
        <w:rPr>
          <w:lang w:val="en-US"/>
        </w:rPr>
        <w:t>yetki</w:t>
      </w:r>
      <w:proofErr w:type="spellEnd"/>
      <w:r w:rsidRPr="00517D68">
        <w:rPr>
          <w:lang w:val="en-US"/>
        </w:rPr>
        <w:t xml:space="preserve"> </w:t>
      </w:r>
      <w:proofErr w:type="spellStart"/>
      <w:r w:rsidRPr="00517D68">
        <w:rPr>
          <w:lang w:val="en-US"/>
        </w:rPr>
        <w:t>daraltma</w:t>
      </w:r>
      <w:proofErr w:type="spellEnd"/>
      <w:r w:rsidRPr="00517D68">
        <w:rPr>
          <w:lang w:val="en-US"/>
        </w:rPr>
        <w:t xml:space="preserve"> </w:t>
      </w:r>
      <w:proofErr w:type="spellStart"/>
      <w:r w:rsidRPr="00517D68">
        <w:rPr>
          <w:lang w:val="en-US"/>
        </w:rPr>
        <w:t>yasağı</w:t>
      </w:r>
      <w:proofErr w:type="spellEnd"/>
      <w:r w:rsidRPr="00517D68">
        <w:rPr>
          <w:lang w:val="en-US"/>
        </w:rPr>
        <w:t xml:space="preserve"> (jurisdiction-stripping) </w:t>
      </w:r>
      <w:proofErr w:type="spellStart"/>
      <w:r w:rsidRPr="00517D68">
        <w:rPr>
          <w:lang w:val="en-US"/>
        </w:rPr>
        <w:t>ve</w:t>
      </w:r>
      <w:proofErr w:type="spellEnd"/>
      <w:r w:rsidRPr="00517D68">
        <w:rPr>
          <w:lang w:val="en-US"/>
        </w:rPr>
        <w:t xml:space="preserve"> partizan </w:t>
      </w:r>
      <w:proofErr w:type="spellStart"/>
      <w:r w:rsidRPr="00517D68">
        <w:rPr>
          <w:lang w:val="en-US"/>
        </w:rPr>
        <w:t>azil</w:t>
      </w:r>
      <w:proofErr w:type="spellEnd"/>
      <w:r w:rsidRPr="00517D68">
        <w:rPr>
          <w:lang w:val="en-US"/>
        </w:rPr>
        <w:t xml:space="preserve"> (partisan impeachment) </w:t>
      </w:r>
      <w:proofErr w:type="spellStart"/>
      <w:r w:rsidRPr="00517D68">
        <w:rPr>
          <w:lang w:val="en-US"/>
        </w:rPr>
        <w:t>yasağı</w:t>
      </w:r>
      <w:proofErr w:type="spellEnd"/>
      <w:r w:rsidRPr="00517D68">
        <w:rPr>
          <w:lang w:val="en-US"/>
        </w:rPr>
        <w:t xml:space="preserve"> </w:t>
      </w:r>
      <w:proofErr w:type="spellStart"/>
      <w:r w:rsidRPr="00517D68">
        <w:rPr>
          <w:lang w:val="en-US"/>
        </w:rPr>
        <w:t>bulunmaktadır</w:t>
      </w:r>
      <w:proofErr w:type="spellEnd"/>
      <w:r w:rsidRPr="00517D68">
        <w:rPr>
          <w:lang w:val="en-US"/>
        </w:rPr>
        <w:t xml:space="preserve">. Bunun </w:t>
      </w:r>
      <w:proofErr w:type="spellStart"/>
      <w:r w:rsidRPr="00517D68">
        <w:rPr>
          <w:lang w:val="en-US"/>
        </w:rPr>
        <w:t>yanı</w:t>
      </w:r>
      <w:proofErr w:type="spellEnd"/>
      <w:r w:rsidRPr="00517D68">
        <w:rPr>
          <w:lang w:val="en-US"/>
        </w:rPr>
        <w:t xml:space="preserve"> </w:t>
      </w:r>
      <w:proofErr w:type="spellStart"/>
      <w:r w:rsidRPr="00517D68">
        <w:rPr>
          <w:lang w:val="en-US"/>
        </w:rPr>
        <w:t>sıra</w:t>
      </w:r>
      <w:proofErr w:type="spellEnd"/>
      <w:r w:rsidRPr="00517D68">
        <w:rPr>
          <w:lang w:val="en-US"/>
        </w:rPr>
        <w:t xml:space="preserve">, </w:t>
      </w:r>
      <w:proofErr w:type="spellStart"/>
      <w:r w:rsidRPr="00517D68">
        <w:rPr>
          <w:lang w:val="en-US"/>
        </w:rPr>
        <w:t>mevcut</w:t>
      </w:r>
      <w:proofErr w:type="spellEnd"/>
      <w:r w:rsidRPr="00517D68">
        <w:rPr>
          <w:lang w:val="en-US"/>
        </w:rPr>
        <w:t xml:space="preserve"> </w:t>
      </w:r>
      <w:proofErr w:type="spellStart"/>
      <w:r w:rsidRPr="00517D68">
        <w:rPr>
          <w:lang w:val="en-US"/>
        </w:rPr>
        <w:t>yargıçların</w:t>
      </w:r>
      <w:proofErr w:type="spellEnd"/>
      <w:r w:rsidRPr="00517D68">
        <w:rPr>
          <w:lang w:val="en-US"/>
        </w:rPr>
        <w:t xml:space="preserve"> partizan </w:t>
      </w:r>
      <w:proofErr w:type="spellStart"/>
      <w:r w:rsidRPr="00517D68">
        <w:rPr>
          <w:lang w:val="en-US"/>
        </w:rPr>
        <w:t>siyasal</w:t>
      </w:r>
      <w:proofErr w:type="spellEnd"/>
      <w:r w:rsidRPr="00517D68">
        <w:rPr>
          <w:lang w:val="en-US"/>
        </w:rPr>
        <w:t xml:space="preserve"> </w:t>
      </w:r>
      <w:proofErr w:type="spellStart"/>
      <w:r w:rsidRPr="00517D68">
        <w:rPr>
          <w:lang w:val="en-US"/>
        </w:rPr>
        <w:t>faaliyetlerde</w:t>
      </w:r>
      <w:proofErr w:type="spellEnd"/>
      <w:r w:rsidRPr="00517D68">
        <w:rPr>
          <w:lang w:val="en-US"/>
        </w:rPr>
        <w:t xml:space="preserve"> </w:t>
      </w:r>
      <w:proofErr w:type="spellStart"/>
      <w:r w:rsidRPr="00517D68">
        <w:rPr>
          <w:lang w:val="en-US"/>
        </w:rPr>
        <w:t>bulunmasına</w:t>
      </w:r>
      <w:proofErr w:type="spellEnd"/>
      <w:r w:rsidRPr="00517D68">
        <w:rPr>
          <w:lang w:val="en-US"/>
        </w:rPr>
        <w:t xml:space="preserve"> </w:t>
      </w:r>
      <w:proofErr w:type="spellStart"/>
      <w:r w:rsidRPr="00517D68">
        <w:rPr>
          <w:lang w:val="en-US"/>
        </w:rPr>
        <w:t>yönelik</w:t>
      </w:r>
      <w:proofErr w:type="spellEnd"/>
      <w:r w:rsidRPr="00517D68">
        <w:rPr>
          <w:lang w:val="en-US"/>
        </w:rPr>
        <w:t xml:space="preserve"> </w:t>
      </w:r>
      <w:proofErr w:type="spellStart"/>
      <w:r w:rsidRPr="00517D68">
        <w:rPr>
          <w:lang w:val="en-US"/>
        </w:rPr>
        <w:t>genel</w:t>
      </w:r>
      <w:proofErr w:type="spellEnd"/>
      <w:r w:rsidRPr="00517D68">
        <w:rPr>
          <w:lang w:val="en-US"/>
        </w:rPr>
        <w:t xml:space="preserve"> </w:t>
      </w:r>
      <w:proofErr w:type="spellStart"/>
      <w:r w:rsidRPr="00517D68">
        <w:rPr>
          <w:lang w:val="en-US"/>
        </w:rPr>
        <w:t>sınırlamalar</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yürütme</w:t>
      </w:r>
      <w:proofErr w:type="spellEnd"/>
      <w:r w:rsidRPr="00517D68">
        <w:rPr>
          <w:lang w:val="en-US"/>
        </w:rPr>
        <w:t xml:space="preserve"> </w:t>
      </w:r>
      <w:proofErr w:type="spellStart"/>
      <w:r w:rsidRPr="00517D68">
        <w:rPr>
          <w:lang w:val="en-US"/>
        </w:rPr>
        <w:t>organının</w:t>
      </w:r>
      <w:proofErr w:type="spellEnd"/>
      <w:r w:rsidRPr="00517D68">
        <w:rPr>
          <w:lang w:val="en-US"/>
        </w:rPr>
        <w:t xml:space="preserve">, </w:t>
      </w:r>
      <w:proofErr w:type="spellStart"/>
      <w:r w:rsidRPr="00517D68">
        <w:rPr>
          <w:lang w:val="en-US"/>
        </w:rPr>
        <w:t>devam</w:t>
      </w:r>
      <w:proofErr w:type="spellEnd"/>
      <w:r w:rsidRPr="00517D68">
        <w:rPr>
          <w:lang w:val="en-US"/>
        </w:rPr>
        <w:t xml:space="preserve"> </w:t>
      </w:r>
      <w:proofErr w:type="spellStart"/>
      <w:r w:rsidRPr="00517D68">
        <w:rPr>
          <w:lang w:val="en-US"/>
        </w:rPr>
        <w:t>eden</w:t>
      </w:r>
      <w:proofErr w:type="spellEnd"/>
      <w:r w:rsidRPr="00517D68">
        <w:rPr>
          <w:lang w:val="en-US"/>
        </w:rPr>
        <w:t xml:space="preserve"> </w:t>
      </w:r>
      <w:proofErr w:type="spellStart"/>
      <w:r w:rsidRPr="00517D68">
        <w:rPr>
          <w:lang w:val="en-US"/>
        </w:rPr>
        <w:t>veya</w:t>
      </w:r>
      <w:proofErr w:type="spellEnd"/>
      <w:r w:rsidRPr="00517D68">
        <w:rPr>
          <w:lang w:val="en-US"/>
        </w:rPr>
        <w:t xml:space="preserve"> </w:t>
      </w:r>
      <w:proofErr w:type="spellStart"/>
      <w:r w:rsidRPr="00517D68">
        <w:rPr>
          <w:lang w:val="en-US"/>
        </w:rPr>
        <w:t>beklenen</w:t>
      </w:r>
      <w:proofErr w:type="spellEnd"/>
      <w:r w:rsidRPr="00517D68">
        <w:rPr>
          <w:lang w:val="en-US"/>
        </w:rPr>
        <w:t xml:space="preserve"> </w:t>
      </w:r>
      <w:proofErr w:type="spellStart"/>
      <w:r w:rsidRPr="00517D68">
        <w:rPr>
          <w:lang w:val="en-US"/>
        </w:rPr>
        <w:t>davalara</w:t>
      </w:r>
      <w:proofErr w:type="spellEnd"/>
      <w:r w:rsidRPr="00517D68">
        <w:rPr>
          <w:lang w:val="en-US"/>
        </w:rPr>
        <w:t xml:space="preserve"> </w:t>
      </w:r>
      <w:proofErr w:type="spellStart"/>
      <w:r w:rsidRPr="00517D68">
        <w:rPr>
          <w:lang w:val="en-US"/>
        </w:rPr>
        <w:t>ilişkin</w:t>
      </w:r>
      <w:proofErr w:type="spellEnd"/>
      <w:r w:rsidRPr="00517D68">
        <w:rPr>
          <w:lang w:val="en-US"/>
        </w:rPr>
        <w:t xml:space="preserve"> </w:t>
      </w:r>
      <w:proofErr w:type="spellStart"/>
      <w:r w:rsidRPr="00517D68">
        <w:rPr>
          <w:lang w:val="en-US"/>
        </w:rPr>
        <w:t>yargı</w:t>
      </w:r>
      <w:proofErr w:type="spellEnd"/>
      <w:r w:rsidRPr="00517D68">
        <w:rPr>
          <w:lang w:val="en-US"/>
        </w:rPr>
        <w:t xml:space="preserve"> </w:t>
      </w:r>
      <w:proofErr w:type="spellStart"/>
      <w:r w:rsidRPr="00517D68">
        <w:rPr>
          <w:lang w:val="en-US"/>
        </w:rPr>
        <w:t>kararlarını</w:t>
      </w:r>
      <w:proofErr w:type="spellEnd"/>
      <w:r w:rsidRPr="00517D68">
        <w:rPr>
          <w:lang w:val="en-US"/>
        </w:rPr>
        <w:t xml:space="preserve"> </w:t>
      </w:r>
      <w:proofErr w:type="spellStart"/>
      <w:r w:rsidRPr="00517D68">
        <w:rPr>
          <w:lang w:val="en-US"/>
        </w:rPr>
        <w:t>etkileme</w:t>
      </w:r>
      <w:proofErr w:type="spellEnd"/>
      <w:r w:rsidRPr="00517D68">
        <w:rPr>
          <w:lang w:val="en-US"/>
        </w:rPr>
        <w:t xml:space="preserve"> </w:t>
      </w:r>
      <w:proofErr w:type="spellStart"/>
      <w:r w:rsidRPr="00517D68">
        <w:rPr>
          <w:lang w:val="en-US"/>
        </w:rPr>
        <w:t>girişimlerine</w:t>
      </w:r>
      <w:proofErr w:type="spellEnd"/>
      <w:r w:rsidRPr="00517D68">
        <w:rPr>
          <w:lang w:val="en-US"/>
        </w:rPr>
        <w:t xml:space="preserve"> </w:t>
      </w:r>
      <w:proofErr w:type="spellStart"/>
      <w:r w:rsidRPr="00517D68">
        <w:rPr>
          <w:lang w:val="en-US"/>
        </w:rPr>
        <w:t>karşı</w:t>
      </w:r>
      <w:proofErr w:type="spellEnd"/>
      <w:r w:rsidRPr="00517D68">
        <w:rPr>
          <w:lang w:val="en-US"/>
        </w:rPr>
        <w:t xml:space="preserve"> </w:t>
      </w:r>
      <w:proofErr w:type="spellStart"/>
      <w:r w:rsidRPr="00517D68">
        <w:rPr>
          <w:lang w:val="en-US"/>
        </w:rPr>
        <w:t>getirilen</w:t>
      </w:r>
      <w:proofErr w:type="spellEnd"/>
      <w:r w:rsidRPr="00517D68">
        <w:rPr>
          <w:lang w:val="en-US"/>
        </w:rPr>
        <w:t xml:space="preserve"> </w:t>
      </w:r>
      <w:proofErr w:type="spellStart"/>
      <w:r w:rsidRPr="00517D68">
        <w:rPr>
          <w:lang w:val="en-US"/>
        </w:rPr>
        <w:t>kısıtlamalar</w:t>
      </w:r>
      <w:proofErr w:type="spellEnd"/>
      <w:r w:rsidRPr="00517D68">
        <w:rPr>
          <w:lang w:val="en-US"/>
        </w:rPr>
        <w:t xml:space="preserve"> da </w:t>
      </w:r>
      <w:proofErr w:type="spellStart"/>
      <w:r w:rsidRPr="00517D68">
        <w:rPr>
          <w:lang w:val="en-US"/>
        </w:rPr>
        <w:t>bu</w:t>
      </w:r>
      <w:proofErr w:type="spellEnd"/>
      <w:r w:rsidRPr="00517D68">
        <w:rPr>
          <w:lang w:val="en-US"/>
        </w:rPr>
        <w:t xml:space="preserve"> </w:t>
      </w:r>
      <w:proofErr w:type="spellStart"/>
      <w:r w:rsidRPr="00517D68">
        <w:rPr>
          <w:lang w:val="en-US"/>
        </w:rPr>
        <w:t>normlar</w:t>
      </w:r>
      <w:proofErr w:type="spellEnd"/>
      <w:r w:rsidRPr="00517D68">
        <w:rPr>
          <w:lang w:val="en-US"/>
        </w:rPr>
        <w:t xml:space="preserve"> </w:t>
      </w:r>
      <w:proofErr w:type="spellStart"/>
      <w:r w:rsidRPr="00517D68">
        <w:rPr>
          <w:lang w:val="en-US"/>
        </w:rPr>
        <w:t>arasındadır</w:t>
      </w:r>
      <w:proofErr w:type="spellEnd"/>
      <w:r w:rsidRPr="00517D68">
        <w:rPr>
          <w:lang w:val="en-US"/>
        </w:rPr>
        <w:t>.</w:t>
      </w:r>
      <w:r w:rsidRPr="00517D68">
        <w:rPr>
          <w:lang w:val="en-US"/>
        </w:rPr>
        <w:t xml:space="preserve"> </w:t>
      </w:r>
      <w:r w:rsidRPr="00517D68">
        <w:rPr>
          <w:lang w:val="en-US"/>
        </w:rPr>
        <w:t xml:space="preserve">Bu </w:t>
      </w:r>
      <w:proofErr w:type="spellStart"/>
      <w:r w:rsidRPr="00517D68">
        <w:rPr>
          <w:lang w:val="en-US"/>
        </w:rPr>
        <w:t>normların</w:t>
      </w:r>
      <w:proofErr w:type="spellEnd"/>
      <w:r w:rsidRPr="00517D68">
        <w:rPr>
          <w:lang w:val="en-US"/>
        </w:rPr>
        <w:t xml:space="preserve"> </w:t>
      </w:r>
      <w:proofErr w:type="spellStart"/>
      <w:r w:rsidRPr="00517D68">
        <w:rPr>
          <w:lang w:val="en-US"/>
        </w:rPr>
        <w:t>benimsenmesi</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eksik</w:t>
      </w:r>
      <w:proofErr w:type="spellEnd"/>
      <w:r w:rsidRPr="00517D68">
        <w:rPr>
          <w:lang w:val="en-US"/>
        </w:rPr>
        <w:t xml:space="preserve"> </w:t>
      </w:r>
      <w:proofErr w:type="spellStart"/>
      <w:r w:rsidRPr="00517D68">
        <w:rPr>
          <w:lang w:val="en-US"/>
        </w:rPr>
        <w:t>şekilde</w:t>
      </w:r>
      <w:proofErr w:type="spellEnd"/>
      <w:r w:rsidRPr="00517D68">
        <w:rPr>
          <w:lang w:val="en-US"/>
        </w:rPr>
        <w:t xml:space="preserve"> </w:t>
      </w:r>
      <w:proofErr w:type="spellStart"/>
      <w:r w:rsidRPr="00517D68">
        <w:rPr>
          <w:lang w:val="en-US"/>
        </w:rPr>
        <w:t>uygulanması</w:t>
      </w:r>
      <w:proofErr w:type="spellEnd"/>
      <w:r w:rsidRPr="00517D68">
        <w:rPr>
          <w:lang w:val="en-US"/>
        </w:rPr>
        <w:t xml:space="preserve">, </w:t>
      </w:r>
      <w:proofErr w:type="spellStart"/>
      <w:r w:rsidRPr="00517D68">
        <w:rPr>
          <w:lang w:val="en-US"/>
        </w:rPr>
        <w:t>belirli</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anayasal</w:t>
      </w:r>
      <w:proofErr w:type="spellEnd"/>
      <w:r w:rsidRPr="00517D68">
        <w:rPr>
          <w:lang w:val="en-US"/>
        </w:rPr>
        <w:t xml:space="preserve"> </w:t>
      </w:r>
      <w:proofErr w:type="spellStart"/>
      <w:r w:rsidRPr="00517D68">
        <w:rPr>
          <w:lang w:val="en-US"/>
        </w:rPr>
        <w:t>kültürün</w:t>
      </w:r>
      <w:proofErr w:type="spellEnd"/>
      <w:r w:rsidRPr="00517D68">
        <w:rPr>
          <w:lang w:val="en-US"/>
        </w:rPr>
        <w:t xml:space="preserve"> </w:t>
      </w:r>
      <w:proofErr w:type="spellStart"/>
      <w:r w:rsidRPr="00517D68">
        <w:rPr>
          <w:lang w:val="en-US"/>
        </w:rPr>
        <w:t>oluşmasına</w:t>
      </w:r>
      <w:proofErr w:type="spellEnd"/>
      <w:r w:rsidRPr="00517D68">
        <w:rPr>
          <w:lang w:val="en-US"/>
        </w:rPr>
        <w:t xml:space="preserve"> </w:t>
      </w:r>
      <w:proofErr w:type="spellStart"/>
      <w:r w:rsidRPr="00517D68">
        <w:rPr>
          <w:lang w:val="en-US"/>
        </w:rPr>
        <w:t>katkıda</w:t>
      </w:r>
      <w:proofErr w:type="spellEnd"/>
      <w:r w:rsidRPr="00517D68">
        <w:rPr>
          <w:lang w:val="en-US"/>
        </w:rPr>
        <w:t xml:space="preserve"> </w:t>
      </w:r>
      <w:proofErr w:type="spellStart"/>
      <w:r w:rsidRPr="00517D68">
        <w:rPr>
          <w:lang w:val="en-US"/>
        </w:rPr>
        <w:t>bulunmuş</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devlet</w:t>
      </w:r>
      <w:proofErr w:type="spellEnd"/>
      <w:r w:rsidRPr="00517D68">
        <w:rPr>
          <w:lang w:val="en-US"/>
        </w:rPr>
        <w:t xml:space="preserve"> </w:t>
      </w:r>
      <w:proofErr w:type="spellStart"/>
      <w:r w:rsidRPr="00517D68">
        <w:rPr>
          <w:lang w:val="en-US"/>
        </w:rPr>
        <w:t>sistemimize</w:t>
      </w:r>
      <w:proofErr w:type="spellEnd"/>
      <w:r w:rsidRPr="00517D68">
        <w:rPr>
          <w:lang w:val="en-US"/>
        </w:rPr>
        <w:t xml:space="preserve"> </w:t>
      </w:r>
      <w:proofErr w:type="spellStart"/>
      <w:r w:rsidRPr="00517D68">
        <w:rPr>
          <w:lang w:val="en-US"/>
        </w:rPr>
        <w:t>dair</w:t>
      </w:r>
      <w:proofErr w:type="spellEnd"/>
      <w:r w:rsidRPr="00517D68">
        <w:rPr>
          <w:lang w:val="en-US"/>
        </w:rPr>
        <w:t xml:space="preserve"> </w:t>
      </w:r>
      <w:proofErr w:type="spellStart"/>
      <w:r w:rsidRPr="00517D68">
        <w:rPr>
          <w:lang w:val="en-US"/>
        </w:rPr>
        <w:t>belirli</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anlatının</w:t>
      </w:r>
      <w:proofErr w:type="spellEnd"/>
      <w:r w:rsidRPr="00517D68">
        <w:rPr>
          <w:lang w:val="en-US"/>
        </w:rPr>
        <w:t xml:space="preserve"> </w:t>
      </w:r>
      <w:proofErr w:type="spellStart"/>
      <w:r w:rsidRPr="00517D68">
        <w:rPr>
          <w:lang w:val="en-US"/>
        </w:rPr>
        <w:t>ortaya</w:t>
      </w:r>
      <w:proofErr w:type="spellEnd"/>
      <w:r w:rsidRPr="00517D68">
        <w:rPr>
          <w:lang w:val="en-US"/>
        </w:rPr>
        <w:t xml:space="preserve"> </w:t>
      </w:r>
      <w:proofErr w:type="spellStart"/>
      <w:r w:rsidRPr="00517D68">
        <w:rPr>
          <w:lang w:val="en-US"/>
        </w:rPr>
        <w:t>çıkmasını</w:t>
      </w:r>
      <w:proofErr w:type="spellEnd"/>
      <w:r w:rsidRPr="00517D68">
        <w:rPr>
          <w:lang w:val="en-US"/>
        </w:rPr>
        <w:t xml:space="preserve"> </w:t>
      </w:r>
      <w:proofErr w:type="spellStart"/>
      <w:r w:rsidRPr="00517D68">
        <w:rPr>
          <w:lang w:val="en-US"/>
        </w:rPr>
        <w:t>sağlamıştır</w:t>
      </w:r>
      <w:proofErr w:type="spellEnd"/>
      <w:r w:rsidRPr="00517D68">
        <w:rPr>
          <w:lang w:val="en-US"/>
        </w:rPr>
        <w:t xml:space="preserve">. </w:t>
      </w:r>
      <w:proofErr w:type="spellStart"/>
      <w:r w:rsidRPr="00517D68">
        <w:rPr>
          <w:lang w:val="en-US"/>
        </w:rPr>
        <w:t>Ancak</w:t>
      </w:r>
      <w:proofErr w:type="spellEnd"/>
      <w:r w:rsidRPr="00517D68">
        <w:rPr>
          <w:lang w:val="en-US"/>
        </w:rPr>
        <w:t xml:space="preserve"> </w:t>
      </w:r>
      <w:proofErr w:type="spellStart"/>
      <w:r w:rsidRPr="00517D68">
        <w:rPr>
          <w:lang w:val="en-US"/>
        </w:rPr>
        <w:t>farklı</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yol</w:t>
      </w:r>
      <w:proofErr w:type="spellEnd"/>
      <w:r w:rsidRPr="00517D68">
        <w:rPr>
          <w:lang w:val="en-US"/>
        </w:rPr>
        <w:t xml:space="preserve"> </w:t>
      </w:r>
      <w:proofErr w:type="spellStart"/>
      <w:r w:rsidRPr="00517D68">
        <w:rPr>
          <w:lang w:val="en-US"/>
        </w:rPr>
        <w:t>izleyebilir</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farklı</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anlatı</w:t>
      </w:r>
      <w:proofErr w:type="spellEnd"/>
      <w:r w:rsidRPr="00517D68">
        <w:rPr>
          <w:lang w:val="en-US"/>
        </w:rPr>
        <w:t xml:space="preserve"> </w:t>
      </w:r>
      <w:proofErr w:type="spellStart"/>
      <w:r w:rsidRPr="00517D68">
        <w:rPr>
          <w:lang w:val="en-US"/>
        </w:rPr>
        <w:t>oluşturabilirdik</w:t>
      </w:r>
      <w:proofErr w:type="spellEnd"/>
      <w:r w:rsidRPr="00517D68">
        <w:rPr>
          <w:lang w:val="en-US"/>
        </w:rPr>
        <w:t xml:space="preserve">. </w:t>
      </w:r>
      <w:proofErr w:type="spellStart"/>
      <w:r w:rsidRPr="00517D68">
        <w:rPr>
          <w:lang w:val="en-US"/>
        </w:rPr>
        <w:t>Örneğin</w:t>
      </w:r>
      <w:proofErr w:type="spellEnd"/>
      <w:r w:rsidRPr="00517D68">
        <w:rPr>
          <w:lang w:val="en-US"/>
        </w:rPr>
        <w:t xml:space="preserve">, Dekan </w:t>
      </w:r>
      <w:proofErr w:type="spellStart"/>
      <w:r w:rsidRPr="00517D68">
        <w:rPr>
          <w:lang w:val="en-US"/>
        </w:rPr>
        <w:t>Kramer’ın</w:t>
      </w:r>
      <w:proofErr w:type="spellEnd"/>
      <w:r w:rsidRPr="00517D68">
        <w:rPr>
          <w:lang w:val="en-US"/>
        </w:rPr>
        <w:t xml:space="preserve"> </w:t>
      </w:r>
      <w:proofErr w:type="spellStart"/>
      <w:r w:rsidRPr="00517D68">
        <w:rPr>
          <w:lang w:val="en-US"/>
        </w:rPr>
        <w:t>belirttiği</w:t>
      </w:r>
      <w:proofErr w:type="spellEnd"/>
      <w:r w:rsidRPr="00517D68">
        <w:rPr>
          <w:lang w:val="en-US"/>
        </w:rPr>
        <w:t xml:space="preserve"> üzere,⁶¹</w:t>
      </w:r>
      <w:r>
        <w:rPr>
          <w:lang w:val="en-US"/>
        </w:rPr>
        <w:t xml:space="preserve"> </w:t>
      </w:r>
      <w:r>
        <w:rPr>
          <w:rStyle w:val="FootnoteReference"/>
          <w:lang w:val="en-US"/>
        </w:rPr>
        <w:footnoteReference w:id="61"/>
      </w:r>
      <w:r w:rsidRPr="00517D68">
        <w:rPr>
          <w:lang w:val="en-US"/>
        </w:rPr>
        <w:t xml:space="preserve"> </w:t>
      </w:r>
      <w:proofErr w:type="spellStart"/>
      <w:r w:rsidRPr="00517D68">
        <w:rPr>
          <w:lang w:val="en-US"/>
        </w:rPr>
        <w:t>anayasal</w:t>
      </w:r>
      <w:proofErr w:type="spellEnd"/>
      <w:r w:rsidRPr="00517D68">
        <w:rPr>
          <w:lang w:val="en-US"/>
        </w:rPr>
        <w:t xml:space="preserve"> </w:t>
      </w:r>
      <w:proofErr w:type="spellStart"/>
      <w:r w:rsidRPr="00517D68">
        <w:rPr>
          <w:lang w:val="en-US"/>
        </w:rPr>
        <w:t>metinle</w:t>
      </w:r>
      <w:proofErr w:type="spellEnd"/>
      <w:r w:rsidRPr="00517D68">
        <w:rPr>
          <w:lang w:val="en-US"/>
        </w:rPr>
        <w:t xml:space="preserve"> </w:t>
      </w:r>
      <w:proofErr w:type="spellStart"/>
      <w:r w:rsidRPr="00517D68">
        <w:rPr>
          <w:lang w:val="en-US"/>
        </w:rPr>
        <w:t>tutarlı</w:t>
      </w:r>
      <w:proofErr w:type="spellEnd"/>
      <w:r w:rsidRPr="00517D68">
        <w:rPr>
          <w:lang w:val="en-US"/>
        </w:rPr>
        <w:t xml:space="preserve"> </w:t>
      </w:r>
      <w:proofErr w:type="spellStart"/>
      <w:r w:rsidRPr="00517D68">
        <w:rPr>
          <w:lang w:val="en-US"/>
        </w:rPr>
        <w:t>olacak</w:t>
      </w:r>
      <w:proofErr w:type="spellEnd"/>
      <w:r w:rsidRPr="00517D68">
        <w:rPr>
          <w:lang w:val="en-US"/>
        </w:rPr>
        <w:t xml:space="preserve"> </w:t>
      </w:r>
      <w:proofErr w:type="spellStart"/>
      <w:r w:rsidRPr="00517D68">
        <w:rPr>
          <w:lang w:val="en-US"/>
        </w:rPr>
        <w:t>şekilde</w:t>
      </w:r>
      <w:proofErr w:type="spellEnd"/>
      <w:r w:rsidRPr="00517D68">
        <w:rPr>
          <w:lang w:val="en-US"/>
        </w:rPr>
        <w:t xml:space="preserve">, </w:t>
      </w:r>
      <w:proofErr w:type="spellStart"/>
      <w:r w:rsidRPr="00517D68">
        <w:rPr>
          <w:lang w:val="en-US"/>
        </w:rPr>
        <w:t>yargısal</w:t>
      </w:r>
      <w:proofErr w:type="spellEnd"/>
      <w:r w:rsidRPr="00517D68">
        <w:rPr>
          <w:lang w:val="en-US"/>
        </w:rPr>
        <w:t xml:space="preserve"> </w:t>
      </w:r>
      <w:proofErr w:type="spellStart"/>
      <w:r w:rsidRPr="00517D68">
        <w:rPr>
          <w:lang w:val="en-US"/>
        </w:rPr>
        <w:t>denetim</w:t>
      </w:r>
      <w:proofErr w:type="spellEnd"/>
      <w:r w:rsidRPr="00517D68">
        <w:rPr>
          <w:lang w:val="en-US"/>
        </w:rPr>
        <w:t xml:space="preserve"> </w:t>
      </w:r>
      <w:proofErr w:type="spellStart"/>
      <w:r w:rsidRPr="00517D68">
        <w:rPr>
          <w:lang w:val="en-US"/>
        </w:rPr>
        <w:t>sistemimize</w:t>
      </w:r>
      <w:proofErr w:type="spellEnd"/>
      <w:r w:rsidRPr="00517D68">
        <w:rPr>
          <w:lang w:val="en-US"/>
        </w:rPr>
        <w:t xml:space="preserve"> </w:t>
      </w:r>
      <w:proofErr w:type="spellStart"/>
      <w:r w:rsidRPr="00517D68">
        <w:rPr>
          <w:lang w:val="en-US"/>
        </w:rPr>
        <w:t>içkin</w:t>
      </w:r>
      <w:proofErr w:type="spellEnd"/>
      <w:r w:rsidRPr="00517D68">
        <w:rPr>
          <w:lang w:val="en-US"/>
        </w:rPr>
        <w:t xml:space="preserve"> </w:t>
      </w:r>
      <w:proofErr w:type="spellStart"/>
      <w:r w:rsidRPr="00517D68">
        <w:rPr>
          <w:lang w:val="en-US"/>
        </w:rPr>
        <w:t>olan</w:t>
      </w:r>
      <w:proofErr w:type="spellEnd"/>
      <w:r w:rsidRPr="00517D68">
        <w:rPr>
          <w:lang w:val="en-US"/>
        </w:rPr>
        <w:t xml:space="preserve"> </w:t>
      </w:r>
      <w:proofErr w:type="spellStart"/>
      <w:r w:rsidRPr="00517D68">
        <w:rPr>
          <w:lang w:val="en-US"/>
        </w:rPr>
        <w:t>güçlü</w:t>
      </w:r>
      <w:proofErr w:type="spellEnd"/>
      <w:r w:rsidRPr="00517D68">
        <w:rPr>
          <w:lang w:val="en-US"/>
        </w:rPr>
        <w:t xml:space="preserve"> </w:t>
      </w:r>
      <w:proofErr w:type="spellStart"/>
      <w:r w:rsidRPr="00517D68">
        <w:rPr>
          <w:lang w:val="en-US"/>
        </w:rPr>
        <w:t>siyasal</w:t>
      </w:r>
      <w:proofErr w:type="spellEnd"/>
      <w:r w:rsidRPr="00517D68">
        <w:rPr>
          <w:lang w:val="en-US"/>
        </w:rPr>
        <w:t xml:space="preserve"> </w:t>
      </w:r>
      <w:proofErr w:type="spellStart"/>
      <w:r w:rsidRPr="00517D68">
        <w:rPr>
          <w:lang w:val="en-US"/>
        </w:rPr>
        <w:t>yetkiyi</w:t>
      </w:r>
      <w:proofErr w:type="spellEnd"/>
      <w:r w:rsidRPr="00517D68">
        <w:rPr>
          <w:lang w:val="en-US"/>
        </w:rPr>
        <w:t xml:space="preserve"> </w:t>
      </w:r>
      <w:proofErr w:type="spellStart"/>
      <w:r w:rsidRPr="00517D68">
        <w:rPr>
          <w:lang w:val="en-US"/>
        </w:rPr>
        <w:t>kabul</w:t>
      </w:r>
      <w:proofErr w:type="spellEnd"/>
      <w:r w:rsidRPr="00517D68">
        <w:rPr>
          <w:lang w:val="en-US"/>
        </w:rPr>
        <w:t xml:space="preserve"> </w:t>
      </w:r>
      <w:proofErr w:type="spellStart"/>
      <w:r w:rsidRPr="00517D68">
        <w:rPr>
          <w:lang w:val="en-US"/>
        </w:rPr>
        <w:t>eden</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Kongre’nin</w:t>
      </w:r>
      <w:proofErr w:type="spellEnd"/>
      <w:r w:rsidRPr="00517D68">
        <w:rPr>
          <w:lang w:val="en-US"/>
        </w:rPr>
        <w:t xml:space="preserve"> </w:t>
      </w:r>
      <w:proofErr w:type="spellStart"/>
      <w:r w:rsidRPr="00517D68">
        <w:rPr>
          <w:lang w:val="en-US"/>
        </w:rPr>
        <w:t>çeşitli</w:t>
      </w:r>
      <w:proofErr w:type="spellEnd"/>
      <w:r w:rsidRPr="00517D68">
        <w:rPr>
          <w:lang w:val="en-US"/>
        </w:rPr>
        <w:t xml:space="preserve"> </w:t>
      </w:r>
      <w:proofErr w:type="spellStart"/>
      <w:r w:rsidRPr="00517D68">
        <w:rPr>
          <w:lang w:val="en-US"/>
        </w:rPr>
        <w:t>yetkilerini</w:t>
      </w:r>
      <w:proofErr w:type="spellEnd"/>
      <w:r w:rsidRPr="00517D68">
        <w:rPr>
          <w:lang w:val="en-US"/>
        </w:rPr>
        <w:t xml:space="preserve">—Yüksek </w:t>
      </w:r>
      <w:proofErr w:type="spellStart"/>
      <w:r w:rsidRPr="00517D68">
        <w:rPr>
          <w:lang w:val="en-US"/>
        </w:rPr>
        <w:t>Mahkeme’nin</w:t>
      </w:r>
      <w:proofErr w:type="spellEnd"/>
      <w:r w:rsidRPr="00517D68">
        <w:rPr>
          <w:lang w:val="en-US"/>
        </w:rPr>
        <w:t xml:space="preserve"> </w:t>
      </w:r>
      <w:proofErr w:type="spellStart"/>
      <w:r w:rsidRPr="00517D68">
        <w:rPr>
          <w:lang w:val="en-US"/>
        </w:rPr>
        <w:t>çalışma</w:t>
      </w:r>
      <w:proofErr w:type="spellEnd"/>
      <w:r w:rsidRPr="00517D68">
        <w:rPr>
          <w:lang w:val="en-US"/>
        </w:rPr>
        <w:t xml:space="preserve"> </w:t>
      </w:r>
      <w:proofErr w:type="spellStart"/>
      <w:r w:rsidRPr="00517D68">
        <w:rPr>
          <w:lang w:val="en-US"/>
        </w:rPr>
        <w:t>sürelerini</w:t>
      </w:r>
      <w:proofErr w:type="spellEnd"/>
      <w:r w:rsidRPr="00517D68">
        <w:rPr>
          <w:lang w:val="en-US"/>
        </w:rPr>
        <w:t xml:space="preserve"> </w:t>
      </w:r>
      <w:proofErr w:type="spellStart"/>
      <w:r w:rsidRPr="00517D68">
        <w:rPr>
          <w:lang w:val="en-US"/>
        </w:rPr>
        <w:t>belirleme</w:t>
      </w:r>
      <w:proofErr w:type="spellEnd"/>
      <w:r w:rsidRPr="00517D68">
        <w:rPr>
          <w:lang w:val="en-US"/>
        </w:rPr>
        <w:t xml:space="preserve"> yetkisi⁶²</w:t>
      </w:r>
      <w:r>
        <w:rPr>
          <w:lang w:val="en-US"/>
        </w:rPr>
        <w:t xml:space="preserve"> </w:t>
      </w:r>
      <w:r>
        <w:rPr>
          <w:rStyle w:val="FootnoteReference"/>
          <w:lang w:val="en-US"/>
        </w:rPr>
        <w:footnoteReference w:id="62"/>
      </w:r>
      <w:r w:rsidRPr="00517D68">
        <w:rPr>
          <w:lang w:val="en-US"/>
        </w:rPr>
        <w:t xml:space="preserve">, alt federal </w:t>
      </w:r>
      <w:proofErr w:type="spellStart"/>
      <w:r w:rsidRPr="00517D68">
        <w:rPr>
          <w:lang w:val="en-US"/>
        </w:rPr>
        <w:t>mahkemelerin</w:t>
      </w:r>
      <w:proofErr w:type="spellEnd"/>
      <w:r w:rsidRPr="00517D68">
        <w:rPr>
          <w:lang w:val="en-US"/>
        </w:rPr>
        <w:t xml:space="preserve"> </w:t>
      </w:r>
      <w:proofErr w:type="spellStart"/>
      <w:r w:rsidRPr="00517D68">
        <w:rPr>
          <w:lang w:val="en-US"/>
        </w:rPr>
        <w:t>yapısını</w:t>
      </w:r>
      <w:proofErr w:type="spellEnd"/>
      <w:r w:rsidRPr="00517D68">
        <w:rPr>
          <w:lang w:val="en-US"/>
        </w:rPr>
        <w:t xml:space="preserve"> </w:t>
      </w:r>
      <w:proofErr w:type="spellStart"/>
      <w:r w:rsidRPr="00517D68">
        <w:rPr>
          <w:lang w:val="en-US"/>
        </w:rPr>
        <w:t>düzenleme</w:t>
      </w:r>
      <w:proofErr w:type="spellEnd"/>
      <w:r w:rsidRPr="00517D68">
        <w:rPr>
          <w:lang w:val="en-US"/>
        </w:rPr>
        <w:t xml:space="preserve"> yetkisi⁶³</w:t>
      </w:r>
      <w:r>
        <w:rPr>
          <w:lang w:val="en-US"/>
        </w:rPr>
        <w:t xml:space="preserve"> </w:t>
      </w:r>
      <w:r>
        <w:rPr>
          <w:rStyle w:val="FootnoteReference"/>
          <w:lang w:val="en-US"/>
        </w:rPr>
        <w:footnoteReference w:id="63"/>
      </w:r>
      <w:r w:rsidRPr="00517D68">
        <w:rPr>
          <w:lang w:val="en-US"/>
        </w:rPr>
        <w:t xml:space="preserve">, </w:t>
      </w:r>
      <w:proofErr w:type="spellStart"/>
      <w:r w:rsidRPr="00517D68">
        <w:rPr>
          <w:lang w:val="en-US"/>
        </w:rPr>
        <w:t>mahkemelerin</w:t>
      </w:r>
      <w:proofErr w:type="spellEnd"/>
      <w:r w:rsidRPr="00517D68">
        <w:rPr>
          <w:lang w:val="en-US"/>
        </w:rPr>
        <w:t xml:space="preserve"> </w:t>
      </w:r>
      <w:proofErr w:type="spellStart"/>
      <w:r w:rsidRPr="00517D68">
        <w:rPr>
          <w:lang w:val="en-US"/>
        </w:rPr>
        <w:t>yetki</w:t>
      </w:r>
      <w:proofErr w:type="spellEnd"/>
      <w:r w:rsidRPr="00517D68">
        <w:rPr>
          <w:lang w:val="en-US"/>
        </w:rPr>
        <w:t xml:space="preserve"> </w:t>
      </w:r>
      <w:proofErr w:type="spellStart"/>
      <w:r w:rsidRPr="00517D68">
        <w:rPr>
          <w:lang w:val="en-US"/>
        </w:rPr>
        <w:t>alanını</w:t>
      </w:r>
      <w:proofErr w:type="spellEnd"/>
      <w:r w:rsidRPr="00517D68">
        <w:rPr>
          <w:lang w:val="en-US"/>
        </w:rPr>
        <w:t xml:space="preserve"> </w:t>
      </w:r>
      <w:proofErr w:type="spellStart"/>
      <w:r w:rsidRPr="00517D68">
        <w:rPr>
          <w:lang w:val="en-US"/>
        </w:rPr>
        <w:t>ayarlama</w:t>
      </w:r>
      <w:proofErr w:type="spellEnd"/>
      <w:r w:rsidRPr="00517D68">
        <w:rPr>
          <w:lang w:val="en-US"/>
        </w:rPr>
        <w:t xml:space="preserve"> </w:t>
      </w:r>
      <w:proofErr w:type="spellStart"/>
      <w:r w:rsidRPr="00517D68">
        <w:rPr>
          <w:lang w:val="en-US"/>
        </w:rPr>
        <w:t>yetkisi</w:t>
      </w:r>
      <w:proofErr w:type="spellEnd"/>
      <w:r w:rsidRPr="00517D68">
        <w:rPr>
          <w:lang w:val="en-US"/>
        </w:rPr>
        <w:t>⁶⁴</w:t>
      </w:r>
      <w:r>
        <w:rPr>
          <w:lang w:val="en-US"/>
        </w:rPr>
        <w:t xml:space="preserve"> </w:t>
      </w:r>
      <w:r>
        <w:rPr>
          <w:rStyle w:val="FootnoteReference"/>
          <w:lang w:val="en-US"/>
        </w:rPr>
        <w:footnoteReference w:id="64"/>
      </w:r>
      <w:r w:rsidRPr="00517D68">
        <w:rPr>
          <w:lang w:val="en-US"/>
        </w:rPr>
        <w:t xml:space="preserve">, </w:t>
      </w:r>
      <w:proofErr w:type="spellStart"/>
      <w:r w:rsidRPr="00517D68">
        <w:rPr>
          <w:lang w:val="en-US"/>
        </w:rPr>
        <w:t>Mahkeme</w:t>
      </w:r>
      <w:proofErr w:type="spellEnd"/>
      <w:r w:rsidRPr="00517D68">
        <w:rPr>
          <w:lang w:val="en-US"/>
        </w:rPr>
        <w:t xml:space="preserve"> </w:t>
      </w:r>
      <w:proofErr w:type="spellStart"/>
      <w:r w:rsidRPr="00517D68">
        <w:rPr>
          <w:lang w:val="en-US"/>
        </w:rPr>
        <w:t>üye</w:t>
      </w:r>
      <w:proofErr w:type="spellEnd"/>
      <w:r w:rsidRPr="00517D68">
        <w:rPr>
          <w:lang w:val="en-US"/>
        </w:rPr>
        <w:t xml:space="preserve"> </w:t>
      </w:r>
      <w:proofErr w:type="spellStart"/>
      <w:r w:rsidRPr="00517D68">
        <w:rPr>
          <w:lang w:val="en-US"/>
        </w:rPr>
        <w:t>sayısını</w:t>
      </w:r>
      <w:proofErr w:type="spellEnd"/>
      <w:r w:rsidRPr="00517D68">
        <w:rPr>
          <w:lang w:val="en-US"/>
        </w:rPr>
        <w:t xml:space="preserve"> </w:t>
      </w:r>
      <w:proofErr w:type="spellStart"/>
      <w:r w:rsidRPr="00517D68">
        <w:rPr>
          <w:lang w:val="en-US"/>
        </w:rPr>
        <w:t>belirleme</w:t>
      </w:r>
      <w:proofErr w:type="spellEnd"/>
      <w:r w:rsidRPr="00517D68">
        <w:rPr>
          <w:lang w:val="en-US"/>
        </w:rPr>
        <w:t xml:space="preserve"> </w:t>
      </w:r>
      <w:proofErr w:type="spellStart"/>
      <w:r w:rsidRPr="00517D68">
        <w:rPr>
          <w:lang w:val="en-US"/>
        </w:rPr>
        <w:t>yetkisi</w:t>
      </w:r>
      <w:proofErr w:type="spellEnd"/>
      <w:r w:rsidRPr="00517D68">
        <w:rPr>
          <w:lang w:val="en-US"/>
        </w:rPr>
        <w:t>⁶⁵</w:t>
      </w:r>
      <w:r>
        <w:rPr>
          <w:lang w:val="en-US"/>
        </w:rPr>
        <w:t xml:space="preserve"> </w:t>
      </w:r>
      <w:r>
        <w:rPr>
          <w:rStyle w:val="FootnoteReference"/>
          <w:lang w:val="en-US"/>
        </w:rPr>
        <w:footnoteReference w:id="65"/>
      </w:r>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hatta</w:t>
      </w:r>
      <w:proofErr w:type="spellEnd"/>
      <w:r w:rsidRPr="00517D68">
        <w:rPr>
          <w:lang w:val="en-US"/>
        </w:rPr>
        <w:t xml:space="preserve"> </w:t>
      </w:r>
      <w:proofErr w:type="spellStart"/>
      <w:r w:rsidRPr="00517D68">
        <w:rPr>
          <w:lang w:val="en-US"/>
        </w:rPr>
        <w:t>yargıçları</w:t>
      </w:r>
      <w:proofErr w:type="spellEnd"/>
      <w:r w:rsidRPr="00517D68">
        <w:rPr>
          <w:lang w:val="en-US"/>
        </w:rPr>
        <w:t xml:space="preserve"> </w:t>
      </w:r>
      <w:proofErr w:type="spellStart"/>
      <w:r w:rsidRPr="00517D68">
        <w:rPr>
          <w:lang w:val="en-US"/>
        </w:rPr>
        <w:t>ve</w:t>
      </w:r>
      <w:proofErr w:type="spellEnd"/>
      <w:r w:rsidRPr="00517D68">
        <w:rPr>
          <w:lang w:val="en-US"/>
        </w:rPr>
        <w:t xml:space="preserve"> Yüksek </w:t>
      </w:r>
      <w:proofErr w:type="spellStart"/>
      <w:r w:rsidRPr="00517D68">
        <w:rPr>
          <w:lang w:val="en-US"/>
        </w:rPr>
        <w:t>Mahkeme</w:t>
      </w:r>
      <w:proofErr w:type="spellEnd"/>
      <w:r w:rsidRPr="00517D68">
        <w:rPr>
          <w:lang w:val="en-US"/>
        </w:rPr>
        <w:t xml:space="preserve"> </w:t>
      </w:r>
      <w:proofErr w:type="spellStart"/>
      <w:r w:rsidRPr="00517D68">
        <w:rPr>
          <w:lang w:val="en-US"/>
        </w:rPr>
        <w:t>üyelerini</w:t>
      </w:r>
      <w:proofErr w:type="spellEnd"/>
      <w:r w:rsidRPr="00517D68">
        <w:rPr>
          <w:lang w:val="en-US"/>
        </w:rPr>
        <w:t xml:space="preserve"> </w:t>
      </w:r>
      <w:proofErr w:type="spellStart"/>
      <w:r w:rsidRPr="00517D68">
        <w:rPr>
          <w:lang w:val="en-US"/>
        </w:rPr>
        <w:t>azletme</w:t>
      </w:r>
      <w:proofErr w:type="spellEnd"/>
      <w:r w:rsidRPr="00517D68">
        <w:rPr>
          <w:lang w:val="en-US"/>
        </w:rPr>
        <w:t xml:space="preserve"> </w:t>
      </w:r>
      <w:proofErr w:type="spellStart"/>
      <w:r w:rsidRPr="00517D68">
        <w:rPr>
          <w:lang w:val="en-US"/>
        </w:rPr>
        <w:t>yetkisi</w:t>
      </w:r>
      <w:proofErr w:type="spellEnd"/>
      <w:r w:rsidRPr="00517D68">
        <w:rPr>
          <w:lang w:val="en-US"/>
        </w:rPr>
        <w:t>⁶⁶</w:t>
      </w:r>
      <w:r>
        <w:rPr>
          <w:lang w:val="en-US"/>
        </w:rPr>
        <w:t xml:space="preserve"> </w:t>
      </w:r>
      <w:r>
        <w:rPr>
          <w:rStyle w:val="FootnoteReference"/>
          <w:lang w:val="en-US"/>
        </w:rPr>
        <w:footnoteReference w:id="66"/>
      </w:r>
      <w:r>
        <w:rPr>
          <w:lang w:val="en-US"/>
        </w:rPr>
        <w:t xml:space="preserve"> </w:t>
      </w:r>
      <w:r w:rsidRPr="00517D68">
        <w:rPr>
          <w:lang w:val="en-US"/>
        </w:rPr>
        <w:t>—</w:t>
      </w:r>
      <w:proofErr w:type="spellStart"/>
      <w:r w:rsidRPr="00517D68">
        <w:rPr>
          <w:lang w:val="en-US"/>
        </w:rPr>
        <w:t>bu</w:t>
      </w:r>
      <w:proofErr w:type="spellEnd"/>
      <w:r w:rsidRPr="00517D68">
        <w:rPr>
          <w:lang w:val="en-US"/>
        </w:rPr>
        <w:t xml:space="preserve"> </w:t>
      </w:r>
      <w:proofErr w:type="spellStart"/>
      <w:r w:rsidRPr="00517D68">
        <w:rPr>
          <w:lang w:val="en-US"/>
        </w:rPr>
        <w:t>gücü</w:t>
      </w:r>
      <w:proofErr w:type="spellEnd"/>
      <w:r w:rsidRPr="00517D68">
        <w:rPr>
          <w:lang w:val="en-US"/>
        </w:rPr>
        <w:t xml:space="preserve"> </w:t>
      </w:r>
      <w:proofErr w:type="spellStart"/>
      <w:r w:rsidRPr="00517D68">
        <w:rPr>
          <w:lang w:val="en-US"/>
        </w:rPr>
        <w:t>dengelemek</w:t>
      </w:r>
      <w:proofErr w:type="spellEnd"/>
      <w:r w:rsidRPr="00517D68">
        <w:rPr>
          <w:lang w:val="en-US"/>
        </w:rPr>
        <w:t xml:space="preserve"> </w:t>
      </w:r>
      <w:proofErr w:type="spellStart"/>
      <w:r w:rsidRPr="00517D68">
        <w:rPr>
          <w:lang w:val="en-US"/>
        </w:rPr>
        <w:t>için</w:t>
      </w:r>
      <w:proofErr w:type="spellEnd"/>
      <w:r w:rsidRPr="00517D68">
        <w:rPr>
          <w:lang w:val="en-US"/>
        </w:rPr>
        <w:t xml:space="preserve"> </w:t>
      </w:r>
      <w:proofErr w:type="spellStart"/>
      <w:r w:rsidRPr="00517D68">
        <w:rPr>
          <w:lang w:val="en-US"/>
        </w:rPr>
        <w:t>tasarlanmış</w:t>
      </w:r>
      <w:proofErr w:type="spellEnd"/>
      <w:r w:rsidRPr="00517D68">
        <w:rPr>
          <w:lang w:val="en-US"/>
        </w:rPr>
        <w:t xml:space="preserve"> </w:t>
      </w:r>
      <w:proofErr w:type="spellStart"/>
      <w:r w:rsidRPr="00517D68">
        <w:rPr>
          <w:lang w:val="en-US"/>
        </w:rPr>
        <w:t>açık</w:t>
      </w:r>
      <w:proofErr w:type="spellEnd"/>
      <w:r w:rsidRPr="00517D68">
        <w:rPr>
          <w:lang w:val="en-US"/>
        </w:rPr>
        <w:t xml:space="preserve"> </w:t>
      </w:r>
      <w:proofErr w:type="spellStart"/>
      <w:r w:rsidRPr="00517D68">
        <w:rPr>
          <w:lang w:val="en-US"/>
        </w:rPr>
        <w:t>araçlar</w:t>
      </w:r>
      <w:proofErr w:type="spellEnd"/>
      <w:r w:rsidRPr="00517D68">
        <w:rPr>
          <w:lang w:val="en-US"/>
        </w:rPr>
        <w:t xml:space="preserve"> </w:t>
      </w:r>
      <w:proofErr w:type="spellStart"/>
      <w:r w:rsidRPr="00517D68">
        <w:rPr>
          <w:lang w:val="en-US"/>
        </w:rPr>
        <w:t>olarak</w:t>
      </w:r>
      <w:proofErr w:type="spellEnd"/>
      <w:r w:rsidRPr="00517D68">
        <w:rPr>
          <w:lang w:val="en-US"/>
        </w:rPr>
        <w:t xml:space="preserve"> </w:t>
      </w:r>
      <w:proofErr w:type="spellStart"/>
      <w:r w:rsidRPr="00517D68">
        <w:rPr>
          <w:lang w:val="en-US"/>
        </w:rPr>
        <w:t>kavramsallaştıran</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normlar</w:t>
      </w:r>
      <w:proofErr w:type="spellEnd"/>
      <w:r w:rsidRPr="00517D68">
        <w:rPr>
          <w:lang w:val="en-US"/>
        </w:rPr>
        <w:t xml:space="preserve"> </w:t>
      </w:r>
      <w:proofErr w:type="spellStart"/>
      <w:r w:rsidRPr="00517D68">
        <w:rPr>
          <w:lang w:val="en-US"/>
        </w:rPr>
        <w:t>dizisini</w:t>
      </w:r>
      <w:proofErr w:type="spellEnd"/>
      <w:r w:rsidRPr="00517D68">
        <w:rPr>
          <w:lang w:val="en-US"/>
        </w:rPr>
        <w:t xml:space="preserve"> </w:t>
      </w:r>
      <w:proofErr w:type="spellStart"/>
      <w:r w:rsidRPr="00517D68">
        <w:rPr>
          <w:lang w:val="en-US"/>
        </w:rPr>
        <w:t>benimseyebilirdik</w:t>
      </w:r>
      <w:proofErr w:type="spellEnd"/>
      <w:r w:rsidRPr="00517D68">
        <w:rPr>
          <w:lang w:val="en-US"/>
        </w:rPr>
        <w:t>.</w:t>
      </w:r>
      <w:r w:rsidRPr="00517D68">
        <w:rPr>
          <w:lang w:val="en-US"/>
        </w:rPr>
        <w:t xml:space="preserve"> [1086 - 1087]</w:t>
      </w:r>
    </w:p>
    <w:p w14:paraId="44526B93" w14:textId="15A505E0" w:rsidR="007571F2" w:rsidRDefault="007571F2" w:rsidP="007571F2">
      <w:pPr>
        <w:rPr>
          <w:lang w:val="en-US"/>
        </w:rPr>
      </w:pPr>
      <w:proofErr w:type="spellStart"/>
      <w:r w:rsidRPr="007571F2">
        <w:rPr>
          <w:lang w:val="en-US"/>
        </w:rPr>
        <w:t>Aslında</w:t>
      </w:r>
      <w:proofErr w:type="spellEnd"/>
      <w:r w:rsidRPr="007571F2">
        <w:rPr>
          <w:lang w:val="en-US"/>
        </w:rPr>
        <w:t xml:space="preserve">, </w:t>
      </w:r>
      <w:proofErr w:type="spellStart"/>
      <w:r w:rsidRPr="007571F2">
        <w:rPr>
          <w:lang w:val="en-US"/>
        </w:rPr>
        <w:t>Mahkeme’nin</w:t>
      </w:r>
      <w:proofErr w:type="spellEnd"/>
      <w:r w:rsidRPr="007571F2">
        <w:rPr>
          <w:lang w:val="en-US"/>
        </w:rPr>
        <w:t xml:space="preserve"> </w:t>
      </w:r>
      <w:proofErr w:type="spellStart"/>
      <w:r w:rsidRPr="007571F2">
        <w:rPr>
          <w:lang w:val="en-US"/>
        </w:rPr>
        <w:t>siyasal</w:t>
      </w:r>
      <w:proofErr w:type="spellEnd"/>
      <w:r w:rsidRPr="007571F2">
        <w:rPr>
          <w:lang w:val="en-US"/>
        </w:rPr>
        <w:t xml:space="preserve"> </w:t>
      </w:r>
      <w:proofErr w:type="spellStart"/>
      <w:r w:rsidRPr="007571F2">
        <w:rPr>
          <w:lang w:val="en-US"/>
        </w:rPr>
        <w:t>süreçlerden</w:t>
      </w:r>
      <w:proofErr w:type="spellEnd"/>
      <w:r w:rsidRPr="007571F2">
        <w:rPr>
          <w:lang w:val="en-US"/>
        </w:rPr>
        <w:t xml:space="preserve"> </w:t>
      </w:r>
      <w:proofErr w:type="spellStart"/>
      <w:r w:rsidRPr="007571F2">
        <w:rPr>
          <w:lang w:val="en-US"/>
        </w:rPr>
        <w:t>yapısal</w:t>
      </w:r>
      <w:proofErr w:type="spellEnd"/>
      <w:r w:rsidRPr="007571F2">
        <w:rPr>
          <w:lang w:val="en-US"/>
        </w:rPr>
        <w:t xml:space="preserve"> </w:t>
      </w:r>
      <w:proofErr w:type="spellStart"/>
      <w:r w:rsidRPr="007571F2">
        <w:rPr>
          <w:lang w:val="en-US"/>
        </w:rPr>
        <w:t>bağımsızlığı</w:t>
      </w:r>
      <w:proofErr w:type="spellEnd"/>
      <w:r w:rsidRPr="007571F2">
        <w:rPr>
          <w:lang w:val="en-US"/>
        </w:rPr>
        <w:t xml:space="preserve"> </w:t>
      </w:r>
      <w:proofErr w:type="spellStart"/>
      <w:r w:rsidRPr="007571F2">
        <w:rPr>
          <w:lang w:val="en-US"/>
        </w:rPr>
        <w:t>konusunda</w:t>
      </w:r>
      <w:proofErr w:type="spellEnd"/>
      <w:r w:rsidRPr="007571F2">
        <w:rPr>
          <w:lang w:val="en-US"/>
        </w:rPr>
        <w:t xml:space="preserve"> </w:t>
      </w:r>
      <w:proofErr w:type="spellStart"/>
      <w:r w:rsidRPr="007571F2">
        <w:rPr>
          <w:lang w:val="en-US"/>
        </w:rPr>
        <w:t>görece</w:t>
      </w:r>
      <w:proofErr w:type="spellEnd"/>
      <w:r w:rsidRPr="007571F2">
        <w:rPr>
          <w:lang w:val="en-US"/>
        </w:rPr>
        <w:t xml:space="preserve"> </w:t>
      </w:r>
      <w:proofErr w:type="spellStart"/>
      <w:r w:rsidRPr="007571F2">
        <w:rPr>
          <w:lang w:val="en-US"/>
        </w:rPr>
        <w:t>geniş</w:t>
      </w:r>
      <w:proofErr w:type="spellEnd"/>
      <w:r w:rsidRPr="007571F2">
        <w:rPr>
          <w:lang w:val="en-US"/>
        </w:rPr>
        <w:t xml:space="preserve"> </w:t>
      </w:r>
      <w:proofErr w:type="spellStart"/>
      <w:r w:rsidRPr="007571F2">
        <w:rPr>
          <w:lang w:val="en-US"/>
        </w:rPr>
        <w:t>bir</w:t>
      </w:r>
      <w:proofErr w:type="spellEnd"/>
      <w:r w:rsidRPr="007571F2">
        <w:rPr>
          <w:lang w:val="en-US"/>
        </w:rPr>
        <w:t xml:space="preserve"> </w:t>
      </w:r>
      <w:proofErr w:type="spellStart"/>
      <w:r w:rsidRPr="007571F2">
        <w:rPr>
          <w:lang w:val="en-US"/>
        </w:rPr>
        <w:t>anlayışa</w:t>
      </w:r>
      <w:proofErr w:type="spellEnd"/>
      <w:r w:rsidRPr="007571F2">
        <w:rPr>
          <w:lang w:val="en-US"/>
        </w:rPr>
        <w:t xml:space="preserve"> </w:t>
      </w:r>
      <w:proofErr w:type="spellStart"/>
      <w:r w:rsidRPr="007571F2">
        <w:rPr>
          <w:lang w:val="en-US"/>
        </w:rPr>
        <w:t>ulaşma</w:t>
      </w:r>
      <w:proofErr w:type="spellEnd"/>
      <w:r w:rsidRPr="007571F2">
        <w:rPr>
          <w:lang w:val="en-US"/>
        </w:rPr>
        <w:t xml:space="preserve"> </w:t>
      </w:r>
      <w:proofErr w:type="spellStart"/>
      <w:r w:rsidRPr="007571F2">
        <w:rPr>
          <w:lang w:val="en-US"/>
        </w:rPr>
        <w:t>süreci</w:t>
      </w:r>
      <w:proofErr w:type="spellEnd"/>
      <w:r w:rsidRPr="007571F2">
        <w:rPr>
          <w:lang w:val="en-US"/>
        </w:rPr>
        <w:t xml:space="preserve"> </w:t>
      </w:r>
      <w:proofErr w:type="spellStart"/>
      <w:r w:rsidRPr="007571F2">
        <w:rPr>
          <w:lang w:val="en-US"/>
        </w:rPr>
        <w:t>hiçbir</w:t>
      </w:r>
      <w:proofErr w:type="spellEnd"/>
      <w:r w:rsidRPr="007571F2">
        <w:rPr>
          <w:lang w:val="en-US"/>
        </w:rPr>
        <w:t xml:space="preserve"> zaman </w:t>
      </w:r>
      <w:proofErr w:type="spellStart"/>
      <w:r w:rsidRPr="007571F2">
        <w:rPr>
          <w:lang w:val="en-US"/>
        </w:rPr>
        <w:t>sorunsuz</w:t>
      </w:r>
      <w:proofErr w:type="spellEnd"/>
      <w:r w:rsidRPr="007571F2">
        <w:rPr>
          <w:lang w:val="en-US"/>
        </w:rPr>
        <w:t xml:space="preserve"> </w:t>
      </w:r>
      <w:proofErr w:type="spellStart"/>
      <w:r w:rsidRPr="007571F2">
        <w:rPr>
          <w:lang w:val="en-US"/>
        </w:rPr>
        <w:t>ilerlememiştir</w:t>
      </w:r>
      <w:proofErr w:type="spellEnd"/>
      <w:r w:rsidRPr="007571F2">
        <w:rPr>
          <w:lang w:val="en-US"/>
        </w:rPr>
        <w:t xml:space="preserve">. </w:t>
      </w:r>
      <w:proofErr w:type="spellStart"/>
      <w:r w:rsidRPr="007571F2">
        <w:rPr>
          <w:lang w:val="en-US"/>
        </w:rPr>
        <w:t>Cumhuriyetin</w:t>
      </w:r>
      <w:proofErr w:type="spellEnd"/>
      <w:r w:rsidRPr="007571F2">
        <w:rPr>
          <w:lang w:val="en-US"/>
        </w:rPr>
        <w:t xml:space="preserve"> ilk </w:t>
      </w:r>
      <w:proofErr w:type="spellStart"/>
      <w:r w:rsidRPr="007571F2">
        <w:rPr>
          <w:lang w:val="en-US"/>
        </w:rPr>
        <w:t>yıllarında</w:t>
      </w:r>
      <w:proofErr w:type="spellEnd"/>
      <w:r w:rsidRPr="007571F2">
        <w:rPr>
          <w:lang w:val="en-US"/>
        </w:rPr>
        <w:t xml:space="preserve">, </w:t>
      </w:r>
      <w:proofErr w:type="spellStart"/>
      <w:r w:rsidRPr="007571F2">
        <w:rPr>
          <w:lang w:val="en-US"/>
        </w:rPr>
        <w:t>Anayasa’nın</w:t>
      </w:r>
      <w:proofErr w:type="spellEnd"/>
      <w:r w:rsidRPr="007571F2">
        <w:rPr>
          <w:lang w:val="en-US"/>
        </w:rPr>
        <w:t xml:space="preserve"> </w:t>
      </w:r>
      <w:proofErr w:type="spellStart"/>
      <w:r w:rsidRPr="007571F2">
        <w:rPr>
          <w:lang w:val="en-US"/>
        </w:rPr>
        <w:t>hazırlanması</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onaylanma</w:t>
      </w:r>
      <w:proofErr w:type="spellEnd"/>
      <w:r w:rsidRPr="007571F2">
        <w:rPr>
          <w:lang w:val="en-US"/>
        </w:rPr>
        <w:t xml:space="preserve"> </w:t>
      </w:r>
      <w:proofErr w:type="spellStart"/>
      <w:r w:rsidRPr="007571F2">
        <w:rPr>
          <w:lang w:val="en-US"/>
        </w:rPr>
        <w:t>sürecinde</w:t>
      </w:r>
      <w:proofErr w:type="spellEnd"/>
      <w:r w:rsidRPr="007571F2">
        <w:rPr>
          <w:lang w:val="en-US"/>
        </w:rPr>
        <w:t xml:space="preserve"> </w:t>
      </w:r>
      <w:proofErr w:type="spellStart"/>
      <w:r w:rsidRPr="007571F2">
        <w:rPr>
          <w:lang w:val="en-US"/>
        </w:rPr>
        <w:t>bizzat</w:t>
      </w:r>
      <w:proofErr w:type="spellEnd"/>
      <w:r w:rsidRPr="007571F2">
        <w:rPr>
          <w:lang w:val="en-US"/>
        </w:rPr>
        <w:t xml:space="preserve"> </w:t>
      </w:r>
      <w:proofErr w:type="spellStart"/>
      <w:r w:rsidRPr="007571F2">
        <w:rPr>
          <w:lang w:val="en-US"/>
        </w:rPr>
        <w:t>yer</w:t>
      </w:r>
      <w:proofErr w:type="spellEnd"/>
      <w:r w:rsidRPr="007571F2">
        <w:rPr>
          <w:lang w:val="en-US"/>
        </w:rPr>
        <w:t xml:space="preserve"> </w:t>
      </w:r>
      <w:proofErr w:type="spellStart"/>
      <w:r w:rsidRPr="007571F2">
        <w:rPr>
          <w:lang w:val="en-US"/>
        </w:rPr>
        <w:t>almış</w:t>
      </w:r>
      <w:proofErr w:type="spellEnd"/>
      <w:r w:rsidRPr="007571F2">
        <w:rPr>
          <w:lang w:val="en-US"/>
        </w:rPr>
        <w:t xml:space="preserve"> </w:t>
      </w:r>
      <w:proofErr w:type="spellStart"/>
      <w:r w:rsidRPr="007571F2">
        <w:rPr>
          <w:lang w:val="en-US"/>
        </w:rPr>
        <w:t>önde</w:t>
      </w:r>
      <w:proofErr w:type="spellEnd"/>
      <w:r w:rsidRPr="007571F2">
        <w:rPr>
          <w:lang w:val="en-US"/>
        </w:rPr>
        <w:t xml:space="preserve"> </w:t>
      </w:r>
      <w:proofErr w:type="spellStart"/>
      <w:r w:rsidRPr="007571F2">
        <w:rPr>
          <w:lang w:val="en-US"/>
        </w:rPr>
        <w:t>gelen</w:t>
      </w:r>
      <w:proofErr w:type="spellEnd"/>
      <w:r w:rsidRPr="007571F2">
        <w:rPr>
          <w:lang w:val="en-US"/>
        </w:rPr>
        <w:t xml:space="preserve"> </w:t>
      </w:r>
      <w:proofErr w:type="spellStart"/>
      <w:r w:rsidRPr="007571F2">
        <w:rPr>
          <w:lang w:val="en-US"/>
        </w:rPr>
        <w:t>siyasi</w:t>
      </w:r>
      <w:proofErr w:type="spellEnd"/>
      <w:r w:rsidRPr="007571F2">
        <w:rPr>
          <w:lang w:val="en-US"/>
        </w:rPr>
        <w:t xml:space="preserve"> </w:t>
      </w:r>
      <w:proofErr w:type="spellStart"/>
      <w:r w:rsidRPr="007571F2">
        <w:rPr>
          <w:lang w:val="en-US"/>
        </w:rPr>
        <w:t>figürler</w:t>
      </w:r>
      <w:proofErr w:type="spellEnd"/>
      <w:r w:rsidRPr="007571F2">
        <w:rPr>
          <w:lang w:val="en-US"/>
        </w:rPr>
        <w:t xml:space="preserve">, partizan </w:t>
      </w:r>
      <w:proofErr w:type="spellStart"/>
      <w:r w:rsidRPr="007571F2">
        <w:rPr>
          <w:lang w:val="en-US"/>
        </w:rPr>
        <w:t>nedenlerle</w:t>
      </w:r>
      <w:proofErr w:type="spellEnd"/>
      <w:r w:rsidRPr="007571F2">
        <w:rPr>
          <w:lang w:val="en-US"/>
        </w:rPr>
        <w:t xml:space="preserve"> </w:t>
      </w:r>
      <w:proofErr w:type="spellStart"/>
      <w:r w:rsidRPr="007571F2">
        <w:rPr>
          <w:lang w:val="en-US"/>
        </w:rPr>
        <w:t>yargıçları</w:t>
      </w:r>
      <w:proofErr w:type="spellEnd"/>
      <w:r w:rsidRPr="007571F2">
        <w:rPr>
          <w:lang w:val="en-US"/>
        </w:rPr>
        <w:t xml:space="preserve"> </w:t>
      </w:r>
      <w:proofErr w:type="spellStart"/>
      <w:r w:rsidRPr="007571F2">
        <w:rPr>
          <w:lang w:val="en-US"/>
        </w:rPr>
        <w:t>azletmiş</w:t>
      </w:r>
      <w:proofErr w:type="spellEnd"/>
      <w:r w:rsidRPr="007571F2">
        <w:rPr>
          <w:lang w:val="en-US"/>
        </w:rPr>
        <w:t xml:space="preserve">,⁶⁷ </w:t>
      </w:r>
      <w:r>
        <w:rPr>
          <w:rStyle w:val="FootnoteReference"/>
          <w:lang w:val="en-US"/>
        </w:rPr>
        <w:footnoteReference w:id="67"/>
      </w:r>
      <w:r>
        <w:rPr>
          <w:lang w:val="en-US"/>
        </w:rPr>
        <w:t xml:space="preserve"> </w:t>
      </w:r>
      <w:r w:rsidRPr="007571F2">
        <w:rPr>
          <w:lang w:val="en-US"/>
        </w:rPr>
        <w:t xml:space="preserve">Yüksek </w:t>
      </w:r>
      <w:proofErr w:type="spellStart"/>
      <w:r w:rsidRPr="007571F2">
        <w:rPr>
          <w:lang w:val="en-US"/>
        </w:rPr>
        <w:t>Mahkeme’nin</w:t>
      </w:r>
      <w:proofErr w:type="spellEnd"/>
      <w:r w:rsidRPr="007571F2">
        <w:rPr>
          <w:lang w:val="en-US"/>
        </w:rPr>
        <w:t xml:space="preserve"> </w:t>
      </w:r>
      <w:proofErr w:type="spellStart"/>
      <w:r w:rsidRPr="007571F2">
        <w:rPr>
          <w:lang w:val="en-US"/>
        </w:rPr>
        <w:t>bir</w:t>
      </w:r>
      <w:proofErr w:type="spellEnd"/>
      <w:r w:rsidRPr="007571F2">
        <w:rPr>
          <w:lang w:val="en-US"/>
        </w:rPr>
        <w:t xml:space="preserve"> </w:t>
      </w:r>
      <w:proofErr w:type="spellStart"/>
      <w:r w:rsidRPr="007571F2">
        <w:rPr>
          <w:lang w:val="en-US"/>
        </w:rPr>
        <w:t>dönemini</w:t>
      </w:r>
      <w:proofErr w:type="spellEnd"/>
      <w:r w:rsidRPr="007571F2">
        <w:rPr>
          <w:lang w:val="en-US"/>
        </w:rPr>
        <w:t xml:space="preserve"> </w:t>
      </w:r>
      <w:proofErr w:type="spellStart"/>
      <w:r w:rsidRPr="007571F2">
        <w:rPr>
          <w:lang w:val="en-US"/>
        </w:rPr>
        <w:t>bir</w:t>
      </w:r>
      <w:proofErr w:type="spellEnd"/>
      <w:r w:rsidRPr="007571F2">
        <w:rPr>
          <w:lang w:val="en-US"/>
        </w:rPr>
        <w:t xml:space="preserve"> </w:t>
      </w:r>
      <w:proofErr w:type="spellStart"/>
      <w:r w:rsidRPr="007571F2">
        <w:rPr>
          <w:lang w:val="en-US"/>
        </w:rPr>
        <w:t>yıldan</w:t>
      </w:r>
      <w:proofErr w:type="spellEnd"/>
      <w:r w:rsidRPr="007571F2">
        <w:rPr>
          <w:lang w:val="en-US"/>
        </w:rPr>
        <w:t xml:space="preserve"> </w:t>
      </w:r>
      <w:proofErr w:type="spellStart"/>
      <w:r w:rsidRPr="007571F2">
        <w:rPr>
          <w:lang w:val="en-US"/>
        </w:rPr>
        <w:t>uzun</w:t>
      </w:r>
      <w:proofErr w:type="spellEnd"/>
      <w:r w:rsidRPr="007571F2">
        <w:rPr>
          <w:lang w:val="en-US"/>
        </w:rPr>
        <w:t xml:space="preserve"> </w:t>
      </w:r>
      <w:proofErr w:type="spellStart"/>
      <w:r w:rsidRPr="007571F2">
        <w:rPr>
          <w:lang w:val="en-US"/>
        </w:rPr>
        <w:t>süre</w:t>
      </w:r>
      <w:proofErr w:type="spellEnd"/>
      <w:r w:rsidRPr="007571F2">
        <w:rPr>
          <w:lang w:val="en-US"/>
        </w:rPr>
        <w:t xml:space="preserve"> </w:t>
      </w:r>
      <w:proofErr w:type="spellStart"/>
      <w:r w:rsidRPr="007571F2">
        <w:rPr>
          <w:lang w:val="en-US"/>
        </w:rPr>
        <w:t>erteleyerek</w:t>
      </w:r>
      <w:proofErr w:type="spellEnd"/>
      <w:r w:rsidRPr="007571F2">
        <w:rPr>
          <w:lang w:val="en-US"/>
        </w:rPr>
        <w:t xml:space="preserve"> </w:t>
      </w:r>
      <w:proofErr w:type="spellStart"/>
      <w:r w:rsidRPr="007571F2">
        <w:rPr>
          <w:lang w:val="en-US"/>
        </w:rPr>
        <w:t>siyasal</w:t>
      </w:r>
      <w:proofErr w:type="spellEnd"/>
      <w:r w:rsidRPr="007571F2">
        <w:rPr>
          <w:lang w:val="en-US"/>
        </w:rPr>
        <w:t xml:space="preserve"> </w:t>
      </w:r>
      <w:proofErr w:type="spellStart"/>
      <w:r w:rsidRPr="007571F2">
        <w:rPr>
          <w:lang w:val="en-US"/>
        </w:rPr>
        <w:t>açıdan</w:t>
      </w:r>
      <w:proofErr w:type="spellEnd"/>
      <w:r w:rsidRPr="007571F2">
        <w:rPr>
          <w:lang w:val="en-US"/>
        </w:rPr>
        <w:t xml:space="preserve"> </w:t>
      </w:r>
      <w:proofErr w:type="spellStart"/>
      <w:r w:rsidRPr="007571F2">
        <w:rPr>
          <w:lang w:val="en-US"/>
        </w:rPr>
        <w:t>hassas</w:t>
      </w:r>
      <w:proofErr w:type="spellEnd"/>
      <w:r w:rsidRPr="007571F2">
        <w:rPr>
          <w:lang w:val="en-US"/>
        </w:rPr>
        <w:t xml:space="preserve"> </w:t>
      </w:r>
      <w:proofErr w:type="spellStart"/>
      <w:r w:rsidRPr="007571F2">
        <w:rPr>
          <w:lang w:val="en-US"/>
        </w:rPr>
        <w:t>iki</w:t>
      </w:r>
      <w:proofErr w:type="spellEnd"/>
      <w:r w:rsidRPr="007571F2">
        <w:rPr>
          <w:lang w:val="en-US"/>
        </w:rPr>
        <w:t xml:space="preserve"> </w:t>
      </w:r>
      <w:proofErr w:type="spellStart"/>
      <w:r w:rsidRPr="007571F2">
        <w:rPr>
          <w:lang w:val="en-US"/>
        </w:rPr>
        <w:t>davanın</w:t>
      </w:r>
      <w:proofErr w:type="spellEnd"/>
      <w:r w:rsidRPr="007571F2">
        <w:rPr>
          <w:lang w:val="en-US"/>
        </w:rPr>
        <w:t xml:space="preserve"> </w:t>
      </w:r>
      <w:proofErr w:type="spellStart"/>
      <w:r w:rsidRPr="007571F2">
        <w:rPr>
          <w:lang w:val="en-US"/>
        </w:rPr>
        <w:t>görülmesini</w:t>
      </w:r>
      <w:proofErr w:type="spellEnd"/>
      <w:r w:rsidRPr="007571F2">
        <w:rPr>
          <w:lang w:val="en-US"/>
        </w:rPr>
        <w:t xml:space="preserve"> </w:t>
      </w:r>
      <w:proofErr w:type="spellStart"/>
      <w:r w:rsidRPr="007571F2">
        <w:rPr>
          <w:lang w:val="en-US"/>
        </w:rPr>
        <w:t>geciktirmiş</w:t>
      </w:r>
      <w:proofErr w:type="spellEnd"/>
      <w:r w:rsidRPr="007571F2">
        <w:rPr>
          <w:lang w:val="en-US"/>
        </w:rPr>
        <w:t>,⁶⁸</w:t>
      </w:r>
      <w:r>
        <w:rPr>
          <w:lang w:val="en-US"/>
        </w:rPr>
        <w:t xml:space="preserve"> </w:t>
      </w:r>
      <w:r>
        <w:rPr>
          <w:rStyle w:val="FootnoteReference"/>
          <w:lang w:val="en-US"/>
        </w:rPr>
        <w:footnoteReference w:id="68"/>
      </w:r>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önceki</w:t>
      </w:r>
      <w:proofErr w:type="spellEnd"/>
      <w:r w:rsidRPr="007571F2">
        <w:rPr>
          <w:lang w:val="en-US"/>
        </w:rPr>
        <w:t xml:space="preserve"> </w:t>
      </w:r>
      <w:proofErr w:type="spellStart"/>
      <w:r w:rsidRPr="007571F2">
        <w:rPr>
          <w:lang w:val="en-US"/>
        </w:rPr>
        <w:t>yönetimin</w:t>
      </w:r>
      <w:proofErr w:type="spellEnd"/>
      <w:r w:rsidRPr="007571F2">
        <w:rPr>
          <w:lang w:val="en-US"/>
        </w:rPr>
        <w:t xml:space="preserve"> </w:t>
      </w:r>
      <w:proofErr w:type="spellStart"/>
      <w:r w:rsidRPr="007571F2">
        <w:rPr>
          <w:lang w:val="en-US"/>
        </w:rPr>
        <w:t>atadığı</w:t>
      </w:r>
      <w:proofErr w:type="spellEnd"/>
      <w:r w:rsidRPr="007571F2">
        <w:rPr>
          <w:lang w:val="en-US"/>
        </w:rPr>
        <w:t xml:space="preserve"> </w:t>
      </w:r>
      <w:proofErr w:type="spellStart"/>
      <w:r w:rsidRPr="007571F2">
        <w:rPr>
          <w:lang w:val="en-US"/>
        </w:rPr>
        <w:t>yargıçların</w:t>
      </w:r>
      <w:proofErr w:type="spellEnd"/>
      <w:r w:rsidRPr="007571F2">
        <w:rPr>
          <w:lang w:val="en-US"/>
        </w:rPr>
        <w:t xml:space="preserve"> </w:t>
      </w:r>
      <w:proofErr w:type="spellStart"/>
      <w:r w:rsidRPr="007571F2">
        <w:rPr>
          <w:lang w:val="en-US"/>
        </w:rPr>
        <w:t>görev</w:t>
      </w:r>
      <w:proofErr w:type="spellEnd"/>
      <w:r w:rsidRPr="007571F2">
        <w:rPr>
          <w:lang w:val="en-US"/>
        </w:rPr>
        <w:t xml:space="preserve"> </w:t>
      </w:r>
      <w:proofErr w:type="spellStart"/>
      <w:r w:rsidRPr="007571F2">
        <w:rPr>
          <w:lang w:val="en-US"/>
        </w:rPr>
        <w:t>yapmasını</w:t>
      </w:r>
      <w:proofErr w:type="spellEnd"/>
      <w:r w:rsidRPr="007571F2">
        <w:rPr>
          <w:lang w:val="en-US"/>
        </w:rPr>
        <w:t xml:space="preserve"> </w:t>
      </w:r>
      <w:proofErr w:type="spellStart"/>
      <w:r w:rsidRPr="007571F2">
        <w:rPr>
          <w:lang w:val="en-US"/>
        </w:rPr>
        <w:t>engellemek</w:t>
      </w:r>
      <w:proofErr w:type="spellEnd"/>
      <w:r w:rsidRPr="007571F2">
        <w:rPr>
          <w:lang w:val="en-US"/>
        </w:rPr>
        <w:t xml:space="preserve"> </w:t>
      </w:r>
      <w:proofErr w:type="spellStart"/>
      <w:r w:rsidRPr="007571F2">
        <w:rPr>
          <w:lang w:val="en-US"/>
        </w:rPr>
        <w:t>için</w:t>
      </w:r>
      <w:proofErr w:type="spellEnd"/>
      <w:r w:rsidRPr="007571F2">
        <w:rPr>
          <w:lang w:val="en-US"/>
        </w:rPr>
        <w:t xml:space="preserve"> ilk </w:t>
      </w:r>
      <w:proofErr w:type="spellStart"/>
      <w:r w:rsidRPr="007571F2">
        <w:rPr>
          <w:lang w:val="en-US"/>
        </w:rPr>
        <w:t>temyiz</w:t>
      </w:r>
      <w:proofErr w:type="spellEnd"/>
      <w:r w:rsidRPr="007571F2">
        <w:rPr>
          <w:lang w:val="en-US"/>
        </w:rPr>
        <w:t xml:space="preserve"> </w:t>
      </w:r>
      <w:proofErr w:type="spellStart"/>
      <w:r w:rsidRPr="007571F2">
        <w:rPr>
          <w:lang w:val="en-US"/>
        </w:rPr>
        <w:t>mahkemesi</w:t>
      </w:r>
      <w:proofErr w:type="spellEnd"/>
      <w:r w:rsidRPr="007571F2">
        <w:rPr>
          <w:lang w:val="en-US"/>
        </w:rPr>
        <w:t xml:space="preserve"> </w:t>
      </w:r>
      <w:proofErr w:type="spellStart"/>
      <w:r w:rsidRPr="007571F2">
        <w:rPr>
          <w:lang w:val="en-US"/>
        </w:rPr>
        <w:t>sistemini</w:t>
      </w:r>
      <w:proofErr w:type="spellEnd"/>
      <w:r w:rsidRPr="007571F2">
        <w:rPr>
          <w:lang w:val="en-US"/>
        </w:rPr>
        <w:t xml:space="preserve"> </w:t>
      </w:r>
      <w:proofErr w:type="spellStart"/>
      <w:r w:rsidRPr="007571F2">
        <w:rPr>
          <w:lang w:val="en-US"/>
        </w:rPr>
        <w:t>tamamen</w:t>
      </w:r>
      <w:proofErr w:type="spellEnd"/>
      <w:r w:rsidRPr="007571F2">
        <w:rPr>
          <w:lang w:val="en-US"/>
        </w:rPr>
        <w:t xml:space="preserve"> </w:t>
      </w:r>
      <w:proofErr w:type="spellStart"/>
      <w:r w:rsidRPr="007571F2">
        <w:rPr>
          <w:lang w:val="en-US"/>
        </w:rPr>
        <w:t>ortadan</w:t>
      </w:r>
      <w:proofErr w:type="spellEnd"/>
      <w:r w:rsidRPr="007571F2">
        <w:rPr>
          <w:lang w:val="en-US"/>
        </w:rPr>
        <w:t xml:space="preserve"> </w:t>
      </w:r>
      <w:proofErr w:type="spellStart"/>
      <w:r w:rsidRPr="007571F2">
        <w:rPr>
          <w:lang w:val="en-US"/>
        </w:rPr>
        <w:t>kaldırmış</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görevden</w:t>
      </w:r>
      <w:proofErr w:type="spellEnd"/>
      <w:r w:rsidRPr="007571F2">
        <w:rPr>
          <w:lang w:val="en-US"/>
        </w:rPr>
        <w:t xml:space="preserve"> </w:t>
      </w:r>
      <w:proofErr w:type="spellStart"/>
      <w:r w:rsidRPr="007571F2">
        <w:rPr>
          <w:lang w:val="en-US"/>
        </w:rPr>
        <w:t>alınan</w:t>
      </w:r>
      <w:proofErr w:type="spellEnd"/>
      <w:r w:rsidRPr="007571F2">
        <w:rPr>
          <w:lang w:val="en-US"/>
        </w:rPr>
        <w:t xml:space="preserve"> </w:t>
      </w:r>
      <w:proofErr w:type="spellStart"/>
      <w:r w:rsidRPr="007571F2">
        <w:rPr>
          <w:lang w:val="en-US"/>
        </w:rPr>
        <w:t>yargıçlara</w:t>
      </w:r>
      <w:proofErr w:type="spellEnd"/>
      <w:r w:rsidRPr="007571F2">
        <w:rPr>
          <w:lang w:val="en-US"/>
        </w:rPr>
        <w:t xml:space="preserve"> </w:t>
      </w:r>
      <w:proofErr w:type="spellStart"/>
      <w:r w:rsidRPr="007571F2">
        <w:rPr>
          <w:lang w:val="en-US"/>
        </w:rPr>
        <w:t>herhangi</w:t>
      </w:r>
      <w:proofErr w:type="spellEnd"/>
      <w:r w:rsidRPr="007571F2">
        <w:rPr>
          <w:lang w:val="en-US"/>
        </w:rPr>
        <w:t xml:space="preserve"> </w:t>
      </w:r>
      <w:proofErr w:type="spellStart"/>
      <w:r w:rsidRPr="007571F2">
        <w:rPr>
          <w:lang w:val="en-US"/>
        </w:rPr>
        <w:t>bir</w:t>
      </w:r>
      <w:proofErr w:type="spellEnd"/>
      <w:r w:rsidRPr="007571F2">
        <w:rPr>
          <w:lang w:val="en-US"/>
        </w:rPr>
        <w:t xml:space="preserve"> </w:t>
      </w:r>
      <w:proofErr w:type="spellStart"/>
      <w:r w:rsidRPr="007571F2">
        <w:rPr>
          <w:lang w:val="en-US"/>
        </w:rPr>
        <w:t>tazminat</w:t>
      </w:r>
      <w:proofErr w:type="spellEnd"/>
      <w:r w:rsidRPr="007571F2">
        <w:rPr>
          <w:lang w:val="en-US"/>
        </w:rPr>
        <w:t xml:space="preserve"> </w:t>
      </w:r>
      <w:proofErr w:type="spellStart"/>
      <w:r w:rsidRPr="007571F2">
        <w:rPr>
          <w:lang w:val="en-US"/>
        </w:rPr>
        <w:t>ödememiştir</w:t>
      </w:r>
      <w:proofErr w:type="spellEnd"/>
      <w:r w:rsidRPr="007571F2">
        <w:rPr>
          <w:lang w:val="en-US"/>
        </w:rPr>
        <w:t>).⁶⁹</w:t>
      </w:r>
      <w:r>
        <w:rPr>
          <w:lang w:val="en-US"/>
        </w:rPr>
        <w:t xml:space="preserve"> </w:t>
      </w:r>
      <w:r>
        <w:rPr>
          <w:rStyle w:val="FootnoteReference"/>
          <w:lang w:val="en-US"/>
        </w:rPr>
        <w:footnoteReference w:id="69"/>
      </w:r>
      <w:r w:rsidRPr="007571F2">
        <w:rPr>
          <w:lang w:val="en-US"/>
        </w:rPr>
        <w:t xml:space="preserve"> </w:t>
      </w:r>
      <w:r w:rsidRPr="007571F2">
        <w:rPr>
          <w:lang w:val="en-US"/>
        </w:rPr>
        <w:t xml:space="preserve">On </w:t>
      </w:r>
      <w:proofErr w:type="spellStart"/>
      <w:r w:rsidRPr="007571F2">
        <w:rPr>
          <w:lang w:val="en-US"/>
        </w:rPr>
        <w:t>dokuzuncu</w:t>
      </w:r>
      <w:proofErr w:type="spellEnd"/>
      <w:r w:rsidRPr="007571F2">
        <w:rPr>
          <w:lang w:val="en-US"/>
        </w:rPr>
        <w:t xml:space="preserve"> </w:t>
      </w:r>
      <w:proofErr w:type="spellStart"/>
      <w:r w:rsidRPr="007571F2">
        <w:rPr>
          <w:lang w:val="en-US"/>
        </w:rPr>
        <w:lastRenderedPageBreak/>
        <w:t>yüzyıl</w:t>
      </w:r>
      <w:proofErr w:type="spellEnd"/>
      <w:r w:rsidRPr="007571F2">
        <w:rPr>
          <w:lang w:val="en-US"/>
        </w:rPr>
        <w:t xml:space="preserve"> </w:t>
      </w:r>
      <w:proofErr w:type="spellStart"/>
      <w:r w:rsidRPr="007571F2">
        <w:rPr>
          <w:lang w:val="en-US"/>
        </w:rPr>
        <w:t>boyunca</w:t>
      </w:r>
      <w:proofErr w:type="spellEnd"/>
      <w:r w:rsidRPr="007571F2">
        <w:rPr>
          <w:lang w:val="en-US"/>
        </w:rPr>
        <w:t xml:space="preserve"> </w:t>
      </w:r>
      <w:proofErr w:type="spellStart"/>
      <w:r w:rsidRPr="007571F2">
        <w:rPr>
          <w:lang w:val="en-US"/>
        </w:rPr>
        <w:t>Kongre</w:t>
      </w:r>
      <w:proofErr w:type="spellEnd"/>
      <w:r w:rsidRPr="007571F2">
        <w:rPr>
          <w:lang w:val="en-US"/>
        </w:rPr>
        <w:t xml:space="preserve">, </w:t>
      </w:r>
      <w:proofErr w:type="spellStart"/>
      <w:r w:rsidRPr="007571F2">
        <w:rPr>
          <w:lang w:val="en-US"/>
        </w:rPr>
        <w:t>genellikle</w:t>
      </w:r>
      <w:proofErr w:type="spellEnd"/>
      <w:r w:rsidRPr="007571F2">
        <w:rPr>
          <w:lang w:val="en-US"/>
        </w:rPr>
        <w:t xml:space="preserve"> </w:t>
      </w:r>
      <w:proofErr w:type="spellStart"/>
      <w:r w:rsidRPr="007571F2">
        <w:rPr>
          <w:lang w:val="en-US"/>
        </w:rPr>
        <w:t>dostane</w:t>
      </w:r>
      <w:proofErr w:type="spellEnd"/>
      <w:r w:rsidRPr="007571F2">
        <w:rPr>
          <w:lang w:val="en-US"/>
        </w:rPr>
        <w:t xml:space="preserve"> </w:t>
      </w:r>
      <w:proofErr w:type="spellStart"/>
      <w:r w:rsidRPr="007571F2">
        <w:rPr>
          <w:lang w:val="en-US"/>
        </w:rPr>
        <w:t>yargıçların</w:t>
      </w:r>
      <w:proofErr w:type="spellEnd"/>
      <w:r w:rsidRPr="007571F2">
        <w:rPr>
          <w:lang w:val="en-US"/>
        </w:rPr>
        <w:t xml:space="preserve"> </w:t>
      </w:r>
      <w:proofErr w:type="spellStart"/>
      <w:r w:rsidRPr="007571F2">
        <w:rPr>
          <w:lang w:val="en-US"/>
        </w:rPr>
        <w:t>atanmasını</w:t>
      </w:r>
      <w:proofErr w:type="spellEnd"/>
      <w:r w:rsidRPr="007571F2">
        <w:rPr>
          <w:lang w:val="en-US"/>
        </w:rPr>
        <w:t xml:space="preserve"> </w:t>
      </w:r>
      <w:proofErr w:type="spellStart"/>
      <w:r w:rsidRPr="007571F2">
        <w:rPr>
          <w:lang w:val="en-US"/>
        </w:rPr>
        <w:t>en</w:t>
      </w:r>
      <w:proofErr w:type="spellEnd"/>
      <w:r w:rsidRPr="007571F2">
        <w:rPr>
          <w:lang w:val="en-US"/>
        </w:rPr>
        <w:t xml:space="preserve"> </w:t>
      </w:r>
      <w:proofErr w:type="spellStart"/>
      <w:r w:rsidRPr="007571F2">
        <w:rPr>
          <w:lang w:val="en-US"/>
        </w:rPr>
        <w:t>üst</w:t>
      </w:r>
      <w:proofErr w:type="spellEnd"/>
      <w:r w:rsidRPr="007571F2">
        <w:rPr>
          <w:lang w:val="en-US"/>
        </w:rPr>
        <w:t xml:space="preserve"> </w:t>
      </w:r>
      <w:proofErr w:type="spellStart"/>
      <w:r w:rsidRPr="007571F2">
        <w:rPr>
          <w:lang w:val="en-US"/>
        </w:rPr>
        <w:t>düzeye</w:t>
      </w:r>
      <w:proofErr w:type="spellEnd"/>
      <w:r w:rsidRPr="007571F2">
        <w:rPr>
          <w:lang w:val="en-US"/>
        </w:rPr>
        <w:t xml:space="preserve"> </w:t>
      </w:r>
      <w:proofErr w:type="spellStart"/>
      <w:r w:rsidRPr="007571F2">
        <w:rPr>
          <w:lang w:val="en-US"/>
        </w:rPr>
        <w:t>çıkarmak</w:t>
      </w:r>
      <w:proofErr w:type="spellEnd"/>
      <w:r w:rsidRPr="007571F2">
        <w:rPr>
          <w:lang w:val="en-US"/>
        </w:rPr>
        <w:t xml:space="preserve"> </w:t>
      </w:r>
      <w:proofErr w:type="spellStart"/>
      <w:r w:rsidRPr="007571F2">
        <w:rPr>
          <w:lang w:val="en-US"/>
        </w:rPr>
        <w:t>veya</w:t>
      </w:r>
      <w:proofErr w:type="spellEnd"/>
      <w:r w:rsidRPr="007571F2">
        <w:rPr>
          <w:lang w:val="en-US"/>
        </w:rPr>
        <w:t xml:space="preserve"> </w:t>
      </w:r>
      <w:proofErr w:type="spellStart"/>
      <w:r w:rsidRPr="007571F2">
        <w:rPr>
          <w:lang w:val="en-US"/>
        </w:rPr>
        <w:t>muhalif</w:t>
      </w:r>
      <w:proofErr w:type="spellEnd"/>
      <w:r w:rsidRPr="007571F2">
        <w:rPr>
          <w:lang w:val="en-US"/>
        </w:rPr>
        <w:t xml:space="preserve"> </w:t>
      </w:r>
      <w:proofErr w:type="spellStart"/>
      <w:r w:rsidRPr="007571F2">
        <w:rPr>
          <w:lang w:val="en-US"/>
        </w:rPr>
        <w:t>yargıç</w:t>
      </w:r>
      <w:proofErr w:type="spellEnd"/>
      <w:r w:rsidRPr="007571F2">
        <w:rPr>
          <w:lang w:val="en-US"/>
        </w:rPr>
        <w:t xml:space="preserve"> </w:t>
      </w:r>
      <w:proofErr w:type="spellStart"/>
      <w:r w:rsidRPr="007571F2">
        <w:rPr>
          <w:lang w:val="en-US"/>
        </w:rPr>
        <w:t>atamalarını</w:t>
      </w:r>
      <w:proofErr w:type="spellEnd"/>
      <w:r w:rsidRPr="007571F2">
        <w:rPr>
          <w:lang w:val="en-US"/>
        </w:rPr>
        <w:t xml:space="preserve"> </w:t>
      </w:r>
      <w:proofErr w:type="spellStart"/>
      <w:r w:rsidRPr="007571F2">
        <w:rPr>
          <w:lang w:val="en-US"/>
        </w:rPr>
        <w:t>en</w:t>
      </w:r>
      <w:proofErr w:type="spellEnd"/>
      <w:r w:rsidRPr="007571F2">
        <w:rPr>
          <w:lang w:val="en-US"/>
        </w:rPr>
        <w:t xml:space="preserve"> </w:t>
      </w:r>
      <w:proofErr w:type="spellStart"/>
      <w:r w:rsidRPr="007571F2">
        <w:rPr>
          <w:lang w:val="en-US"/>
        </w:rPr>
        <w:t>aza</w:t>
      </w:r>
      <w:proofErr w:type="spellEnd"/>
      <w:r w:rsidRPr="007571F2">
        <w:rPr>
          <w:lang w:val="en-US"/>
        </w:rPr>
        <w:t xml:space="preserve"> </w:t>
      </w:r>
      <w:proofErr w:type="spellStart"/>
      <w:r w:rsidRPr="007571F2">
        <w:rPr>
          <w:lang w:val="en-US"/>
        </w:rPr>
        <w:t>indirmek</w:t>
      </w:r>
      <w:proofErr w:type="spellEnd"/>
      <w:r w:rsidRPr="007571F2">
        <w:rPr>
          <w:lang w:val="en-US"/>
        </w:rPr>
        <w:t xml:space="preserve"> </w:t>
      </w:r>
      <w:proofErr w:type="spellStart"/>
      <w:r w:rsidRPr="007571F2">
        <w:rPr>
          <w:lang w:val="en-US"/>
        </w:rPr>
        <w:t>amacıyla</w:t>
      </w:r>
      <w:proofErr w:type="spellEnd"/>
      <w:r w:rsidRPr="007571F2">
        <w:rPr>
          <w:lang w:val="en-US"/>
        </w:rPr>
        <w:t xml:space="preserve"> Yüksek </w:t>
      </w:r>
      <w:proofErr w:type="spellStart"/>
      <w:r w:rsidRPr="007571F2">
        <w:rPr>
          <w:lang w:val="en-US"/>
        </w:rPr>
        <w:t>Mahkeme’nin</w:t>
      </w:r>
      <w:proofErr w:type="spellEnd"/>
      <w:r w:rsidRPr="007571F2">
        <w:rPr>
          <w:lang w:val="en-US"/>
        </w:rPr>
        <w:t xml:space="preserve"> </w:t>
      </w:r>
      <w:proofErr w:type="spellStart"/>
      <w:r w:rsidRPr="007571F2">
        <w:rPr>
          <w:lang w:val="en-US"/>
        </w:rPr>
        <w:t>üye</w:t>
      </w:r>
      <w:proofErr w:type="spellEnd"/>
      <w:r w:rsidRPr="007571F2">
        <w:rPr>
          <w:lang w:val="en-US"/>
        </w:rPr>
        <w:t xml:space="preserve"> </w:t>
      </w:r>
      <w:proofErr w:type="spellStart"/>
      <w:r w:rsidRPr="007571F2">
        <w:rPr>
          <w:lang w:val="en-US"/>
        </w:rPr>
        <w:t>sayısını</w:t>
      </w:r>
      <w:proofErr w:type="spellEnd"/>
      <w:r w:rsidRPr="007571F2">
        <w:rPr>
          <w:lang w:val="en-US"/>
        </w:rPr>
        <w:t xml:space="preserve"> </w:t>
      </w:r>
      <w:proofErr w:type="spellStart"/>
      <w:r w:rsidRPr="007571F2">
        <w:rPr>
          <w:lang w:val="en-US"/>
        </w:rPr>
        <w:t>sık</w:t>
      </w:r>
      <w:proofErr w:type="spellEnd"/>
      <w:r w:rsidRPr="007571F2">
        <w:rPr>
          <w:lang w:val="en-US"/>
        </w:rPr>
        <w:t xml:space="preserve"> </w:t>
      </w:r>
      <w:proofErr w:type="spellStart"/>
      <w:r w:rsidRPr="007571F2">
        <w:rPr>
          <w:lang w:val="en-US"/>
        </w:rPr>
        <w:t>sık</w:t>
      </w:r>
      <w:proofErr w:type="spellEnd"/>
      <w:r w:rsidRPr="007571F2">
        <w:rPr>
          <w:lang w:val="en-US"/>
        </w:rPr>
        <w:t xml:space="preserve"> </w:t>
      </w:r>
      <w:proofErr w:type="spellStart"/>
      <w:r w:rsidRPr="007571F2">
        <w:rPr>
          <w:lang w:val="en-US"/>
        </w:rPr>
        <w:t>değiştirmiştir</w:t>
      </w:r>
      <w:proofErr w:type="spellEnd"/>
      <w:r w:rsidRPr="007571F2">
        <w:rPr>
          <w:lang w:val="en-US"/>
        </w:rPr>
        <w:t>.⁷⁰</w:t>
      </w:r>
      <w:r>
        <w:rPr>
          <w:lang w:val="en-US"/>
        </w:rPr>
        <w:t xml:space="preserve"> </w:t>
      </w:r>
      <w:r>
        <w:rPr>
          <w:rStyle w:val="FootnoteReference"/>
          <w:lang w:val="en-US"/>
        </w:rPr>
        <w:footnoteReference w:id="70"/>
      </w:r>
      <w:r w:rsidRPr="007571F2">
        <w:rPr>
          <w:lang w:val="en-US"/>
        </w:rPr>
        <w:t xml:space="preserve"> </w:t>
      </w:r>
      <w:proofErr w:type="spellStart"/>
      <w:r w:rsidRPr="007571F2">
        <w:rPr>
          <w:lang w:val="en-US"/>
        </w:rPr>
        <w:t>Günümüzde</w:t>
      </w:r>
      <w:proofErr w:type="spellEnd"/>
      <w:r w:rsidRPr="007571F2">
        <w:rPr>
          <w:lang w:val="en-US"/>
        </w:rPr>
        <w:t xml:space="preserve"> bile, </w:t>
      </w:r>
      <w:proofErr w:type="spellStart"/>
      <w:r w:rsidRPr="007571F2">
        <w:rPr>
          <w:lang w:val="en-US"/>
        </w:rPr>
        <w:t>yasama</w:t>
      </w:r>
      <w:proofErr w:type="spellEnd"/>
      <w:r w:rsidRPr="007571F2">
        <w:rPr>
          <w:lang w:val="en-US"/>
        </w:rPr>
        <w:t xml:space="preserve"> </w:t>
      </w:r>
      <w:proofErr w:type="spellStart"/>
      <w:r w:rsidRPr="007571F2">
        <w:rPr>
          <w:lang w:val="en-US"/>
        </w:rPr>
        <w:t>organı</w:t>
      </w:r>
      <w:proofErr w:type="spellEnd"/>
      <w:r w:rsidRPr="007571F2">
        <w:rPr>
          <w:lang w:val="en-US"/>
        </w:rPr>
        <w:t xml:space="preserve"> </w:t>
      </w:r>
      <w:proofErr w:type="spellStart"/>
      <w:r w:rsidRPr="007571F2">
        <w:rPr>
          <w:lang w:val="en-US"/>
        </w:rPr>
        <w:t>düzenli</w:t>
      </w:r>
      <w:proofErr w:type="spellEnd"/>
      <w:r w:rsidRPr="007571F2">
        <w:rPr>
          <w:lang w:val="en-US"/>
        </w:rPr>
        <w:t xml:space="preserve"> </w:t>
      </w:r>
      <w:proofErr w:type="spellStart"/>
      <w:r w:rsidRPr="007571F2">
        <w:rPr>
          <w:lang w:val="en-US"/>
        </w:rPr>
        <w:t>olarak</w:t>
      </w:r>
      <w:proofErr w:type="spellEnd"/>
      <w:r w:rsidRPr="007571F2">
        <w:rPr>
          <w:lang w:val="en-US"/>
        </w:rPr>
        <w:t xml:space="preserve">, federal </w:t>
      </w:r>
      <w:proofErr w:type="spellStart"/>
      <w:r w:rsidRPr="007571F2">
        <w:rPr>
          <w:lang w:val="en-US"/>
        </w:rPr>
        <w:t>mahkemelerin</w:t>
      </w:r>
      <w:proofErr w:type="spellEnd"/>
      <w:r w:rsidRPr="007571F2">
        <w:rPr>
          <w:lang w:val="en-US"/>
        </w:rPr>
        <w:t xml:space="preserve"> </w:t>
      </w:r>
      <w:proofErr w:type="spellStart"/>
      <w:r w:rsidRPr="007571F2">
        <w:rPr>
          <w:lang w:val="en-US"/>
        </w:rPr>
        <w:t>yetkisini</w:t>
      </w:r>
      <w:proofErr w:type="spellEnd"/>
      <w:r w:rsidRPr="007571F2">
        <w:rPr>
          <w:lang w:val="en-US"/>
        </w:rPr>
        <w:t xml:space="preserve"> </w:t>
      </w:r>
      <w:proofErr w:type="spellStart"/>
      <w:r w:rsidRPr="007571F2">
        <w:rPr>
          <w:lang w:val="en-US"/>
        </w:rPr>
        <w:t>siyasi</w:t>
      </w:r>
      <w:proofErr w:type="spellEnd"/>
      <w:r w:rsidRPr="007571F2">
        <w:rPr>
          <w:lang w:val="en-US"/>
        </w:rPr>
        <w:t xml:space="preserve"> </w:t>
      </w:r>
      <w:proofErr w:type="spellStart"/>
      <w:r w:rsidRPr="007571F2">
        <w:rPr>
          <w:lang w:val="en-US"/>
        </w:rPr>
        <w:t>açıdan</w:t>
      </w:r>
      <w:proofErr w:type="spellEnd"/>
      <w:r w:rsidRPr="007571F2">
        <w:rPr>
          <w:lang w:val="en-US"/>
        </w:rPr>
        <w:t xml:space="preserve"> </w:t>
      </w:r>
      <w:proofErr w:type="spellStart"/>
      <w:r w:rsidRPr="007571F2">
        <w:rPr>
          <w:lang w:val="en-US"/>
        </w:rPr>
        <w:t>hassas</w:t>
      </w:r>
      <w:proofErr w:type="spellEnd"/>
      <w:r w:rsidRPr="007571F2">
        <w:rPr>
          <w:lang w:val="en-US"/>
        </w:rPr>
        <w:t xml:space="preserve"> </w:t>
      </w:r>
      <w:proofErr w:type="spellStart"/>
      <w:r w:rsidRPr="007571F2">
        <w:rPr>
          <w:lang w:val="en-US"/>
        </w:rPr>
        <w:t>konulara</w:t>
      </w:r>
      <w:proofErr w:type="spellEnd"/>
      <w:r w:rsidRPr="007571F2">
        <w:rPr>
          <w:lang w:val="en-US"/>
        </w:rPr>
        <w:t xml:space="preserve"> </w:t>
      </w:r>
      <w:proofErr w:type="spellStart"/>
      <w:r w:rsidRPr="007571F2">
        <w:rPr>
          <w:lang w:val="en-US"/>
        </w:rPr>
        <w:t>ilişkin</w:t>
      </w:r>
      <w:proofErr w:type="spellEnd"/>
      <w:r w:rsidRPr="007571F2">
        <w:rPr>
          <w:lang w:val="en-US"/>
        </w:rPr>
        <w:t xml:space="preserve"> </w:t>
      </w:r>
      <w:proofErr w:type="spellStart"/>
      <w:r w:rsidRPr="007571F2">
        <w:rPr>
          <w:lang w:val="en-US"/>
        </w:rPr>
        <w:t>davaları</w:t>
      </w:r>
      <w:proofErr w:type="spellEnd"/>
      <w:r w:rsidRPr="007571F2">
        <w:rPr>
          <w:lang w:val="en-US"/>
        </w:rPr>
        <w:t xml:space="preserve"> </w:t>
      </w:r>
      <w:proofErr w:type="spellStart"/>
      <w:r w:rsidRPr="007571F2">
        <w:rPr>
          <w:lang w:val="en-US"/>
        </w:rPr>
        <w:t>görmesini</w:t>
      </w:r>
      <w:proofErr w:type="spellEnd"/>
      <w:r w:rsidRPr="007571F2">
        <w:rPr>
          <w:lang w:val="en-US"/>
        </w:rPr>
        <w:t xml:space="preserve"> </w:t>
      </w:r>
      <w:proofErr w:type="spellStart"/>
      <w:r w:rsidRPr="007571F2">
        <w:rPr>
          <w:lang w:val="en-US"/>
        </w:rPr>
        <w:t>engelleyecek</w:t>
      </w:r>
      <w:proofErr w:type="spellEnd"/>
      <w:r w:rsidRPr="007571F2">
        <w:rPr>
          <w:lang w:val="en-US"/>
        </w:rPr>
        <w:t xml:space="preserve"> </w:t>
      </w:r>
      <w:proofErr w:type="spellStart"/>
      <w:r w:rsidRPr="007571F2">
        <w:rPr>
          <w:lang w:val="en-US"/>
        </w:rPr>
        <w:t>şekilde</w:t>
      </w:r>
      <w:proofErr w:type="spellEnd"/>
      <w:r w:rsidRPr="007571F2">
        <w:rPr>
          <w:lang w:val="en-US"/>
        </w:rPr>
        <w:t xml:space="preserve"> </w:t>
      </w:r>
      <w:proofErr w:type="spellStart"/>
      <w:r w:rsidRPr="007571F2">
        <w:rPr>
          <w:lang w:val="en-US"/>
        </w:rPr>
        <w:t>kısıtlamaya</w:t>
      </w:r>
      <w:proofErr w:type="spellEnd"/>
      <w:r w:rsidRPr="007571F2">
        <w:rPr>
          <w:lang w:val="en-US"/>
        </w:rPr>
        <w:t xml:space="preserve"> </w:t>
      </w:r>
      <w:proofErr w:type="spellStart"/>
      <w:r w:rsidRPr="007571F2">
        <w:rPr>
          <w:lang w:val="en-US"/>
        </w:rPr>
        <w:t>yönelik</w:t>
      </w:r>
      <w:proofErr w:type="spellEnd"/>
      <w:r w:rsidRPr="007571F2">
        <w:rPr>
          <w:lang w:val="en-US"/>
        </w:rPr>
        <w:t xml:space="preserve"> </w:t>
      </w:r>
      <w:proofErr w:type="spellStart"/>
      <w:r w:rsidRPr="007571F2">
        <w:rPr>
          <w:lang w:val="en-US"/>
        </w:rPr>
        <w:t>yasa</w:t>
      </w:r>
      <w:proofErr w:type="spellEnd"/>
      <w:r w:rsidRPr="007571F2">
        <w:rPr>
          <w:lang w:val="en-US"/>
        </w:rPr>
        <w:t xml:space="preserve"> </w:t>
      </w:r>
      <w:proofErr w:type="spellStart"/>
      <w:r w:rsidRPr="007571F2">
        <w:rPr>
          <w:lang w:val="en-US"/>
        </w:rPr>
        <w:t>tasarıları</w:t>
      </w:r>
      <w:proofErr w:type="spellEnd"/>
      <w:r w:rsidRPr="007571F2">
        <w:rPr>
          <w:lang w:val="en-US"/>
        </w:rPr>
        <w:t xml:space="preserve"> </w:t>
      </w:r>
      <w:proofErr w:type="spellStart"/>
      <w:r w:rsidRPr="007571F2">
        <w:rPr>
          <w:lang w:val="en-US"/>
        </w:rPr>
        <w:t>sunmakta</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bu</w:t>
      </w:r>
      <w:proofErr w:type="spellEnd"/>
      <w:r w:rsidRPr="007571F2">
        <w:rPr>
          <w:lang w:val="en-US"/>
        </w:rPr>
        <w:t xml:space="preserve"> </w:t>
      </w:r>
      <w:proofErr w:type="spellStart"/>
      <w:r w:rsidRPr="007571F2">
        <w:rPr>
          <w:lang w:val="en-US"/>
        </w:rPr>
        <w:t>tür</w:t>
      </w:r>
      <w:proofErr w:type="spellEnd"/>
      <w:r w:rsidRPr="007571F2">
        <w:rPr>
          <w:lang w:val="en-US"/>
        </w:rPr>
        <w:t xml:space="preserve"> </w:t>
      </w:r>
      <w:proofErr w:type="spellStart"/>
      <w:r w:rsidRPr="007571F2">
        <w:rPr>
          <w:lang w:val="en-US"/>
        </w:rPr>
        <w:t>tasarıların</w:t>
      </w:r>
      <w:proofErr w:type="spellEnd"/>
      <w:r w:rsidRPr="007571F2">
        <w:rPr>
          <w:lang w:val="en-US"/>
        </w:rPr>
        <w:t xml:space="preserve"> </w:t>
      </w:r>
      <w:proofErr w:type="spellStart"/>
      <w:r w:rsidRPr="007571F2">
        <w:rPr>
          <w:lang w:val="en-US"/>
        </w:rPr>
        <w:t>anayasaya</w:t>
      </w:r>
      <w:proofErr w:type="spellEnd"/>
      <w:r w:rsidRPr="007571F2">
        <w:rPr>
          <w:lang w:val="en-US"/>
        </w:rPr>
        <w:t xml:space="preserve"> </w:t>
      </w:r>
      <w:proofErr w:type="spellStart"/>
      <w:r w:rsidRPr="007571F2">
        <w:rPr>
          <w:lang w:val="en-US"/>
        </w:rPr>
        <w:t>uygunluğu</w:t>
      </w:r>
      <w:proofErr w:type="spellEnd"/>
      <w:r w:rsidRPr="007571F2">
        <w:rPr>
          <w:lang w:val="en-US"/>
        </w:rPr>
        <w:t xml:space="preserve"> </w:t>
      </w:r>
      <w:proofErr w:type="spellStart"/>
      <w:r w:rsidRPr="007571F2">
        <w:rPr>
          <w:lang w:val="en-US"/>
        </w:rPr>
        <w:t>akademik</w:t>
      </w:r>
      <w:proofErr w:type="spellEnd"/>
      <w:r w:rsidRPr="007571F2">
        <w:rPr>
          <w:lang w:val="en-US"/>
        </w:rPr>
        <w:t xml:space="preserve"> </w:t>
      </w:r>
      <w:proofErr w:type="spellStart"/>
      <w:r w:rsidRPr="007571F2">
        <w:rPr>
          <w:lang w:val="en-US"/>
        </w:rPr>
        <w:t>çevrelerde</w:t>
      </w:r>
      <w:proofErr w:type="spellEnd"/>
      <w:r w:rsidRPr="007571F2">
        <w:rPr>
          <w:lang w:val="en-US"/>
        </w:rPr>
        <w:t xml:space="preserve"> </w:t>
      </w:r>
      <w:proofErr w:type="spellStart"/>
      <w:r w:rsidRPr="007571F2">
        <w:rPr>
          <w:lang w:val="en-US"/>
        </w:rPr>
        <w:t>hâlâ</w:t>
      </w:r>
      <w:proofErr w:type="spellEnd"/>
      <w:r w:rsidRPr="007571F2">
        <w:rPr>
          <w:lang w:val="en-US"/>
        </w:rPr>
        <w:t xml:space="preserve"> tartışılmaktadır.⁷¹</w:t>
      </w:r>
      <w:r>
        <w:rPr>
          <w:lang w:val="en-US"/>
        </w:rPr>
        <w:t xml:space="preserve"> </w:t>
      </w:r>
      <w:r>
        <w:rPr>
          <w:rStyle w:val="FootnoteReference"/>
          <w:lang w:val="en-US"/>
        </w:rPr>
        <w:footnoteReference w:id="71"/>
      </w:r>
      <w:r>
        <w:rPr>
          <w:lang w:val="en-US"/>
        </w:rPr>
        <w:t xml:space="preserve"> </w:t>
      </w:r>
      <w:proofErr w:type="spellStart"/>
      <w:r w:rsidRPr="007571F2">
        <w:rPr>
          <w:lang w:val="en-US"/>
        </w:rPr>
        <w:t>Eğer</w:t>
      </w:r>
      <w:proofErr w:type="spellEnd"/>
      <w:r w:rsidRPr="007571F2">
        <w:rPr>
          <w:lang w:val="en-US"/>
        </w:rPr>
        <w:t xml:space="preserve"> </w:t>
      </w:r>
      <w:proofErr w:type="spellStart"/>
      <w:r w:rsidRPr="007571F2">
        <w:rPr>
          <w:lang w:val="en-US"/>
        </w:rPr>
        <w:t>bugün</w:t>
      </w:r>
      <w:proofErr w:type="spellEnd"/>
      <w:r w:rsidRPr="007571F2">
        <w:rPr>
          <w:lang w:val="en-US"/>
        </w:rPr>
        <w:t xml:space="preserve">, </w:t>
      </w:r>
      <w:proofErr w:type="spellStart"/>
      <w:r w:rsidRPr="007571F2">
        <w:rPr>
          <w:lang w:val="en-US"/>
        </w:rPr>
        <w:t>şüpheli</w:t>
      </w:r>
      <w:proofErr w:type="spellEnd"/>
      <w:r w:rsidRPr="007571F2">
        <w:rPr>
          <w:lang w:val="en-US"/>
        </w:rPr>
        <w:t xml:space="preserve"> </w:t>
      </w:r>
      <w:proofErr w:type="spellStart"/>
      <w:r w:rsidRPr="007571F2">
        <w:rPr>
          <w:lang w:val="en-US"/>
        </w:rPr>
        <w:t>anayasal</w:t>
      </w:r>
      <w:proofErr w:type="spellEnd"/>
      <w:r w:rsidRPr="007571F2">
        <w:rPr>
          <w:lang w:val="en-US"/>
        </w:rPr>
        <w:t xml:space="preserve"> </w:t>
      </w:r>
      <w:proofErr w:type="spellStart"/>
      <w:r w:rsidRPr="007571F2">
        <w:rPr>
          <w:lang w:val="en-US"/>
        </w:rPr>
        <w:t>yorumlama</w:t>
      </w:r>
      <w:proofErr w:type="spellEnd"/>
      <w:r w:rsidRPr="007571F2">
        <w:rPr>
          <w:lang w:val="en-US"/>
        </w:rPr>
        <w:t xml:space="preserve"> </w:t>
      </w:r>
      <w:proofErr w:type="spellStart"/>
      <w:r w:rsidRPr="007571F2">
        <w:rPr>
          <w:lang w:val="en-US"/>
        </w:rPr>
        <w:t>yöntemleri</w:t>
      </w:r>
      <w:proofErr w:type="spellEnd"/>
      <w:r w:rsidRPr="007571F2">
        <w:rPr>
          <w:lang w:val="en-US"/>
        </w:rPr>
        <w:t xml:space="preserve"> </w:t>
      </w:r>
      <w:proofErr w:type="spellStart"/>
      <w:r w:rsidRPr="007571F2">
        <w:rPr>
          <w:lang w:val="en-US"/>
        </w:rPr>
        <w:t>nedeniyle</w:t>
      </w:r>
      <w:proofErr w:type="spellEnd"/>
      <w:r w:rsidRPr="007571F2">
        <w:rPr>
          <w:lang w:val="en-US"/>
        </w:rPr>
        <w:t xml:space="preserve"> </w:t>
      </w:r>
      <w:proofErr w:type="spellStart"/>
      <w:r w:rsidRPr="007571F2">
        <w:rPr>
          <w:lang w:val="en-US"/>
        </w:rPr>
        <w:t>yargıçların</w:t>
      </w:r>
      <w:proofErr w:type="spellEnd"/>
      <w:r w:rsidRPr="007571F2">
        <w:rPr>
          <w:lang w:val="en-US"/>
        </w:rPr>
        <w:t xml:space="preserve"> </w:t>
      </w:r>
      <w:proofErr w:type="spellStart"/>
      <w:r w:rsidRPr="007571F2">
        <w:rPr>
          <w:lang w:val="en-US"/>
        </w:rPr>
        <w:t>azledilmesi</w:t>
      </w:r>
      <w:proofErr w:type="spellEnd"/>
      <w:r w:rsidRPr="007571F2">
        <w:rPr>
          <w:lang w:val="en-US"/>
        </w:rPr>
        <w:t xml:space="preserve"> </w:t>
      </w:r>
      <w:proofErr w:type="spellStart"/>
      <w:r w:rsidRPr="007571F2">
        <w:rPr>
          <w:lang w:val="en-US"/>
        </w:rPr>
        <w:t>veya</w:t>
      </w:r>
      <w:proofErr w:type="spellEnd"/>
      <w:r w:rsidRPr="007571F2">
        <w:rPr>
          <w:lang w:val="en-US"/>
        </w:rPr>
        <w:t xml:space="preserve"> </w:t>
      </w:r>
      <w:proofErr w:type="spellStart"/>
      <w:r w:rsidRPr="007571F2">
        <w:rPr>
          <w:lang w:val="en-US"/>
        </w:rPr>
        <w:t>Mahkeme’nin</w:t>
      </w:r>
      <w:proofErr w:type="spellEnd"/>
      <w:r w:rsidRPr="007571F2">
        <w:rPr>
          <w:lang w:val="en-US"/>
        </w:rPr>
        <w:t xml:space="preserve"> </w:t>
      </w:r>
      <w:proofErr w:type="spellStart"/>
      <w:r w:rsidRPr="007571F2">
        <w:rPr>
          <w:lang w:val="en-US"/>
        </w:rPr>
        <w:t>genişletilerek</w:t>
      </w:r>
      <w:proofErr w:type="spellEnd"/>
      <w:r w:rsidRPr="007571F2">
        <w:rPr>
          <w:lang w:val="en-US"/>
        </w:rPr>
        <w:t xml:space="preserve"> yeni </w:t>
      </w:r>
      <w:proofErr w:type="spellStart"/>
      <w:r w:rsidRPr="007571F2">
        <w:rPr>
          <w:lang w:val="en-US"/>
        </w:rPr>
        <w:t>oluşan</w:t>
      </w:r>
      <w:proofErr w:type="spellEnd"/>
      <w:r w:rsidRPr="007571F2">
        <w:rPr>
          <w:lang w:val="en-US"/>
        </w:rPr>
        <w:t xml:space="preserve"> </w:t>
      </w:r>
      <w:proofErr w:type="spellStart"/>
      <w:r w:rsidRPr="007571F2">
        <w:rPr>
          <w:lang w:val="en-US"/>
        </w:rPr>
        <w:t>süper</w:t>
      </w:r>
      <w:proofErr w:type="spellEnd"/>
      <w:r w:rsidRPr="007571F2">
        <w:rPr>
          <w:lang w:val="en-US"/>
        </w:rPr>
        <w:t xml:space="preserve"> </w:t>
      </w:r>
      <w:proofErr w:type="spellStart"/>
      <w:r w:rsidRPr="007571F2">
        <w:rPr>
          <w:lang w:val="en-US"/>
        </w:rPr>
        <w:t>çoğunluklar</w:t>
      </w:r>
      <w:proofErr w:type="spellEnd"/>
      <w:r w:rsidRPr="007571F2">
        <w:rPr>
          <w:lang w:val="en-US"/>
        </w:rPr>
        <w:t xml:space="preserve"> </w:t>
      </w:r>
      <w:proofErr w:type="spellStart"/>
      <w:r w:rsidRPr="007571F2">
        <w:rPr>
          <w:lang w:val="en-US"/>
        </w:rPr>
        <w:t>için</w:t>
      </w:r>
      <w:proofErr w:type="spellEnd"/>
      <w:r w:rsidRPr="007571F2">
        <w:rPr>
          <w:lang w:val="en-US"/>
        </w:rPr>
        <w:t xml:space="preserve"> </w:t>
      </w:r>
      <w:proofErr w:type="spellStart"/>
      <w:r w:rsidRPr="007571F2">
        <w:rPr>
          <w:lang w:val="en-US"/>
        </w:rPr>
        <w:t>anında</w:t>
      </w:r>
      <w:proofErr w:type="spellEnd"/>
      <w:r w:rsidRPr="007571F2">
        <w:rPr>
          <w:lang w:val="en-US"/>
        </w:rPr>
        <w:t xml:space="preserve"> </w:t>
      </w:r>
      <w:proofErr w:type="spellStart"/>
      <w:r w:rsidRPr="007571F2">
        <w:rPr>
          <w:lang w:val="en-US"/>
        </w:rPr>
        <w:t>temsil</w:t>
      </w:r>
      <w:proofErr w:type="spellEnd"/>
      <w:r w:rsidRPr="007571F2">
        <w:rPr>
          <w:lang w:val="en-US"/>
        </w:rPr>
        <w:t xml:space="preserve"> </w:t>
      </w:r>
      <w:proofErr w:type="spellStart"/>
      <w:r w:rsidRPr="007571F2">
        <w:rPr>
          <w:lang w:val="en-US"/>
        </w:rPr>
        <w:t>sağlanması</w:t>
      </w:r>
      <w:proofErr w:type="spellEnd"/>
      <w:r w:rsidRPr="007571F2">
        <w:rPr>
          <w:lang w:val="en-US"/>
        </w:rPr>
        <w:t xml:space="preserve"> </w:t>
      </w:r>
      <w:proofErr w:type="spellStart"/>
      <w:r w:rsidRPr="007571F2">
        <w:rPr>
          <w:lang w:val="en-US"/>
        </w:rPr>
        <w:t>seçenekleri</w:t>
      </w:r>
      <w:proofErr w:type="spellEnd"/>
      <w:r w:rsidRPr="007571F2">
        <w:rPr>
          <w:lang w:val="en-US"/>
        </w:rPr>
        <w:t xml:space="preserve"> </w:t>
      </w:r>
      <w:proofErr w:type="spellStart"/>
      <w:r w:rsidRPr="007571F2">
        <w:rPr>
          <w:lang w:val="en-US"/>
        </w:rPr>
        <w:t>masadan</w:t>
      </w:r>
      <w:proofErr w:type="spellEnd"/>
      <w:r w:rsidRPr="007571F2">
        <w:rPr>
          <w:lang w:val="en-US"/>
        </w:rPr>
        <w:t xml:space="preserve"> </w:t>
      </w:r>
      <w:proofErr w:type="spellStart"/>
      <w:r w:rsidRPr="007571F2">
        <w:rPr>
          <w:lang w:val="en-US"/>
        </w:rPr>
        <w:t>kalkmış</w:t>
      </w:r>
      <w:proofErr w:type="spellEnd"/>
      <w:r w:rsidRPr="007571F2">
        <w:rPr>
          <w:lang w:val="en-US"/>
        </w:rPr>
        <w:t xml:space="preserve"> </w:t>
      </w:r>
      <w:proofErr w:type="spellStart"/>
      <w:r w:rsidRPr="007571F2">
        <w:rPr>
          <w:lang w:val="en-US"/>
        </w:rPr>
        <w:t>gibi</w:t>
      </w:r>
      <w:proofErr w:type="spellEnd"/>
      <w:r w:rsidRPr="007571F2">
        <w:rPr>
          <w:lang w:val="en-US"/>
        </w:rPr>
        <w:t xml:space="preserve"> </w:t>
      </w:r>
      <w:proofErr w:type="spellStart"/>
      <w:r w:rsidRPr="007571F2">
        <w:rPr>
          <w:lang w:val="en-US"/>
        </w:rPr>
        <w:t>görünüyorsa</w:t>
      </w:r>
      <w:proofErr w:type="spellEnd"/>
      <w:r w:rsidRPr="007571F2">
        <w:rPr>
          <w:lang w:val="en-US"/>
        </w:rPr>
        <w:t xml:space="preserve">, </w:t>
      </w:r>
      <w:proofErr w:type="spellStart"/>
      <w:r w:rsidRPr="007571F2">
        <w:rPr>
          <w:lang w:val="en-US"/>
        </w:rPr>
        <w:t>bu</w:t>
      </w:r>
      <w:proofErr w:type="spellEnd"/>
      <w:r w:rsidRPr="007571F2">
        <w:rPr>
          <w:lang w:val="en-US"/>
        </w:rPr>
        <w:t xml:space="preserve"> </w:t>
      </w:r>
      <w:proofErr w:type="spellStart"/>
      <w:r w:rsidRPr="007571F2">
        <w:rPr>
          <w:lang w:val="en-US"/>
        </w:rPr>
        <w:t>yalnızca</w:t>
      </w:r>
      <w:proofErr w:type="spellEnd"/>
      <w:r w:rsidRPr="007571F2">
        <w:rPr>
          <w:lang w:val="en-US"/>
        </w:rPr>
        <w:t xml:space="preserve"> son 200 </w:t>
      </w:r>
      <w:proofErr w:type="spellStart"/>
      <w:r w:rsidRPr="007571F2">
        <w:rPr>
          <w:lang w:val="en-US"/>
        </w:rPr>
        <w:t>yılı</w:t>
      </w:r>
      <w:proofErr w:type="spellEnd"/>
      <w:r w:rsidRPr="007571F2">
        <w:rPr>
          <w:lang w:val="en-US"/>
        </w:rPr>
        <w:t xml:space="preserve"> </w:t>
      </w:r>
      <w:proofErr w:type="spellStart"/>
      <w:r w:rsidRPr="007571F2">
        <w:rPr>
          <w:lang w:val="en-US"/>
        </w:rPr>
        <w:t>aşkın</w:t>
      </w:r>
      <w:proofErr w:type="spellEnd"/>
      <w:r w:rsidRPr="007571F2">
        <w:rPr>
          <w:lang w:val="en-US"/>
        </w:rPr>
        <w:t xml:space="preserve"> </w:t>
      </w:r>
      <w:proofErr w:type="spellStart"/>
      <w:r w:rsidRPr="007571F2">
        <w:rPr>
          <w:lang w:val="en-US"/>
        </w:rPr>
        <w:t>sürede</w:t>
      </w:r>
      <w:proofErr w:type="spellEnd"/>
      <w:r w:rsidRPr="007571F2">
        <w:rPr>
          <w:lang w:val="en-US"/>
        </w:rPr>
        <w:t xml:space="preserve"> </w:t>
      </w:r>
      <w:proofErr w:type="spellStart"/>
      <w:r w:rsidRPr="007571F2">
        <w:rPr>
          <w:lang w:val="en-US"/>
        </w:rPr>
        <w:t>verilen</w:t>
      </w:r>
      <w:proofErr w:type="spellEnd"/>
      <w:r w:rsidRPr="007571F2">
        <w:rPr>
          <w:lang w:val="en-US"/>
        </w:rPr>
        <w:t xml:space="preserve"> </w:t>
      </w:r>
      <w:proofErr w:type="spellStart"/>
      <w:r w:rsidRPr="007571F2">
        <w:rPr>
          <w:lang w:val="en-US"/>
        </w:rPr>
        <w:t>mücadelelerin</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alınan</w:t>
      </w:r>
      <w:proofErr w:type="spellEnd"/>
      <w:r w:rsidRPr="007571F2">
        <w:rPr>
          <w:lang w:val="en-US"/>
        </w:rPr>
        <w:t xml:space="preserve"> </w:t>
      </w:r>
      <w:proofErr w:type="spellStart"/>
      <w:r w:rsidRPr="007571F2">
        <w:rPr>
          <w:lang w:val="en-US"/>
        </w:rPr>
        <w:t>kararların</w:t>
      </w:r>
      <w:proofErr w:type="spellEnd"/>
      <w:r w:rsidRPr="007571F2">
        <w:rPr>
          <w:lang w:val="en-US"/>
        </w:rPr>
        <w:t xml:space="preserve"> </w:t>
      </w:r>
      <w:proofErr w:type="spellStart"/>
      <w:r w:rsidRPr="007571F2">
        <w:rPr>
          <w:lang w:val="en-US"/>
        </w:rPr>
        <w:t>tesadüfi</w:t>
      </w:r>
      <w:proofErr w:type="spellEnd"/>
      <w:r w:rsidRPr="007571F2">
        <w:rPr>
          <w:lang w:val="en-US"/>
        </w:rPr>
        <w:t xml:space="preserve"> </w:t>
      </w:r>
      <w:proofErr w:type="spellStart"/>
      <w:r w:rsidRPr="007571F2">
        <w:rPr>
          <w:lang w:val="en-US"/>
        </w:rPr>
        <w:t>bir</w:t>
      </w:r>
      <w:proofErr w:type="spellEnd"/>
      <w:r w:rsidRPr="007571F2">
        <w:rPr>
          <w:lang w:val="en-US"/>
        </w:rPr>
        <w:t xml:space="preserve"> </w:t>
      </w:r>
      <w:proofErr w:type="spellStart"/>
      <w:r w:rsidRPr="007571F2">
        <w:rPr>
          <w:lang w:val="en-US"/>
        </w:rPr>
        <w:t>sonucu</w:t>
      </w:r>
      <w:proofErr w:type="spellEnd"/>
      <w:r w:rsidRPr="007571F2">
        <w:rPr>
          <w:lang w:val="en-US"/>
        </w:rPr>
        <w:t xml:space="preserve"> </w:t>
      </w:r>
      <w:proofErr w:type="spellStart"/>
      <w:r w:rsidRPr="007571F2">
        <w:rPr>
          <w:lang w:val="en-US"/>
        </w:rPr>
        <w:t>olarak</w:t>
      </w:r>
      <w:proofErr w:type="spellEnd"/>
      <w:r w:rsidRPr="007571F2">
        <w:rPr>
          <w:lang w:val="en-US"/>
        </w:rPr>
        <w:t xml:space="preserve"> gerçekleşmiştir.⁷²</w:t>
      </w:r>
      <w:r>
        <w:rPr>
          <w:lang w:val="en-US"/>
        </w:rPr>
        <w:t xml:space="preserve"> </w:t>
      </w:r>
      <w:r>
        <w:rPr>
          <w:rStyle w:val="FootnoteReference"/>
          <w:lang w:val="en-US"/>
        </w:rPr>
        <w:footnoteReference w:id="72"/>
      </w:r>
      <w:r w:rsidRPr="007571F2">
        <w:rPr>
          <w:lang w:val="en-US"/>
        </w:rPr>
        <w:t xml:space="preserve"> Ve </w:t>
      </w:r>
      <w:proofErr w:type="spellStart"/>
      <w:r w:rsidRPr="007571F2">
        <w:rPr>
          <w:lang w:val="en-US"/>
        </w:rPr>
        <w:t>bu</w:t>
      </w:r>
      <w:proofErr w:type="spellEnd"/>
      <w:r w:rsidRPr="007571F2">
        <w:rPr>
          <w:lang w:val="en-US"/>
        </w:rPr>
        <w:t xml:space="preserve"> </w:t>
      </w:r>
      <w:proofErr w:type="spellStart"/>
      <w:r w:rsidRPr="007571F2">
        <w:rPr>
          <w:lang w:val="en-US"/>
        </w:rPr>
        <w:t>durumun</w:t>
      </w:r>
      <w:proofErr w:type="spellEnd"/>
      <w:r w:rsidRPr="007571F2">
        <w:rPr>
          <w:lang w:val="en-US"/>
        </w:rPr>
        <w:t xml:space="preserve"> </w:t>
      </w:r>
      <w:proofErr w:type="spellStart"/>
      <w:r w:rsidRPr="007571F2">
        <w:rPr>
          <w:lang w:val="en-US"/>
        </w:rPr>
        <w:t>kalıcı</w:t>
      </w:r>
      <w:proofErr w:type="spellEnd"/>
      <w:r w:rsidRPr="007571F2">
        <w:rPr>
          <w:lang w:val="en-US"/>
        </w:rPr>
        <w:t xml:space="preserve"> </w:t>
      </w:r>
      <w:proofErr w:type="spellStart"/>
      <w:r w:rsidRPr="007571F2">
        <w:rPr>
          <w:lang w:val="en-US"/>
        </w:rPr>
        <w:t>olarak</w:t>
      </w:r>
      <w:proofErr w:type="spellEnd"/>
      <w:r w:rsidRPr="007571F2">
        <w:rPr>
          <w:lang w:val="en-US"/>
        </w:rPr>
        <w:t xml:space="preserve"> </w:t>
      </w:r>
      <w:proofErr w:type="spellStart"/>
      <w:r w:rsidRPr="007571F2">
        <w:rPr>
          <w:lang w:val="en-US"/>
        </w:rPr>
        <w:t>devam</w:t>
      </w:r>
      <w:proofErr w:type="spellEnd"/>
      <w:r w:rsidRPr="007571F2">
        <w:rPr>
          <w:lang w:val="en-US"/>
        </w:rPr>
        <w:t xml:space="preserve"> </w:t>
      </w:r>
      <w:proofErr w:type="spellStart"/>
      <w:r w:rsidRPr="007571F2">
        <w:rPr>
          <w:lang w:val="en-US"/>
        </w:rPr>
        <w:t>edeceğine</w:t>
      </w:r>
      <w:proofErr w:type="spellEnd"/>
      <w:r w:rsidRPr="007571F2">
        <w:rPr>
          <w:lang w:val="en-US"/>
        </w:rPr>
        <w:t xml:space="preserve"> </w:t>
      </w:r>
      <w:proofErr w:type="spellStart"/>
      <w:r w:rsidRPr="007571F2">
        <w:rPr>
          <w:lang w:val="en-US"/>
        </w:rPr>
        <w:t>dair</w:t>
      </w:r>
      <w:proofErr w:type="spellEnd"/>
      <w:r w:rsidRPr="007571F2">
        <w:rPr>
          <w:lang w:val="en-US"/>
        </w:rPr>
        <w:t xml:space="preserve"> </w:t>
      </w:r>
      <w:proofErr w:type="spellStart"/>
      <w:r w:rsidRPr="007571F2">
        <w:rPr>
          <w:lang w:val="en-US"/>
        </w:rPr>
        <w:t>hiçbir</w:t>
      </w:r>
      <w:proofErr w:type="spellEnd"/>
      <w:r w:rsidRPr="007571F2">
        <w:rPr>
          <w:lang w:val="en-US"/>
        </w:rPr>
        <w:t xml:space="preserve"> </w:t>
      </w:r>
      <w:proofErr w:type="spellStart"/>
      <w:r w:rsidRPr="007571F2">
        <w:rPr>
          <w:lang w:val="en-US"/>
        </w:rPr>
        <w:t>garanti</w:t>
      </w:r>
      <w:proofErr w:type="spellEnd"/>
      <w:r w:rsidRPr="007571F2">
        <w:rPr>
          <w:lang w:val="en-US"/>
        </w:rPr>
        <w:t xml:space="preserve"> </w:t>
      </w:r>
      <w:proofErr w:type="spellStart"/>
      <w:r w:rsidRPr="007571F2">
        <w:rPr>
          <w:lang w:val="en-US"/>
        </w:rPr>
        <w:t>yoktur</w:t>
      </w:r>
      <w:proofErr w:type="spellEnd"/>
      <w:r w:rsidRPr="007571F2">
        <w:rPr>
          <w:lang w:val="en-US"/>
        </w:rPr>
        <w:t>.</w:t>
      </w:r>
      <w:r>
        <w:rPr>
          <w:lang w:val="en-US"/>
        </w:rPr>
        <w:t xml:space="preserve"> [1087 - 1088]</w:t>
      </w:r>
    </w:p>
    <w:p w14:paraId="46A740D5" w14:textId="26408078" w:rsidR="007571F2" w:rsidRDefault="007571F2" w:rsidP="007571F2">
      <w:pPr>
        <w:rPr>
          <w:lang w:val="en-US"/>
        </w:rPr>
      </w:pPr>
      <w:proofErr w:type="spellStart"/>
      <w:r w:rsidRPr="007571F2">
        <w:rPr>
          <w:lang w:val="en-US"/>
        </w:rPr>
        <w:t>Adayların</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hâkimlerin</w:t>
      </w:r>
      <w:proofErr w:type="spellEnd"/>
      <w:r w:rsidRPr="007571F2">
        <w:rPr>
          <w:lang w:val="en-US"/>
        </w:rPr>
        <w:t xml:space="preserve"> ne </w:t>
      </w:r>
      <w:proofErr w:type="spellStart"/>
      <w:r w:rsidRPr="007571F2">
        <w:rPr>
          <w:lang w:val="en-US"/>
        </w:rPr>
        <w:t>ölçüde</w:t>
      </w:r>
      <w:proofErr w:type="spellEnd"/>
      <w:r w:rsidRPr="007571F2">
        <w:rPr>
          <w:lang w:val="en-US"/>
        </w:rPr>
        <w:t xml:space="preserve"> </w:t>
      </w:r>
      <w:proofErr w:type="spellStart"/>
      <w:r w:rsidRPr="007571F2">
        <w:rPr>
          <w:lang w:val="en-US"/>
        </w:rPr>
        <w:t>bağımsız</w:t>
      </w:r>
      <w:proofErr w:type="spellEnd"/>
      <w:r w:rsidRPr="007571F2">
        <w:rPr>
          <w:lang w:val="en-US"/>
        </w:rPr>
        <w:t xml:space="preserve"> </w:t>
      </w:r>
      <w:proofErr w:type="spellStart"/>
      <w:r w:rsidRPr="007571F2">
        <w:rPr>
          <w:lang w:val="en-US"/>
        </w:rPr>
        <w:t>olmaları</w:t>
      </w:r>
      <w:proofErr w:type="spellEnd"/>
      <w:r w:rsidRPr="007571F2">
        <w:rPr>
          <w:lang w:val="en-US"/>
        </w:rPr>
        <w:t xml:space="preserve"> </w:t>
      </w:r>
      <w:proofErr w:type="spellStart"/>
      <w:r w:rsidRPr="007571F2">
        <w:rPr>
          <w:lang w:val="en-US"/>
        </w:rPr>
        <w:t>gerektiği</w:t>
      </w:r>
      <w:proofErr w:type="spellEnd"/>
      <w:r w:rsidRPr="007571F2">
        <w:rPr>
          <w:lang w:val="en-US"/>
        </w:rPr>
        <w:t xml:space="preserve"> </w:t>
      </w:r>
      <w:proofErr w:type="spellStart"/>
      <w:r w:rsidRPr="007571F2">
        <w:rPr>
          <w:lang w:val="en-US"/>
        </w:rPr>
        <w:t>ya</w:t>
      </w:r>
      <w:proofErr w:type="spellEnd"/>
      <w:r w:rsidRPr="007571F2">
        <w:rPr>
          <w:lang w:val="en-US"/>
        </w:rPr>
        <w:t xml:space="preserve"> da </w:t>
      </w:r>
      <w:proofErr w:type="spellStart"/>
      <w:r w:rsidRPr="007571F2">
        <w:rPr>
          <w:lang w:val="en-US"/>
        </w:rPr>
        <w:t>belirli</w:t>
      </w:r>
      <w:proofErr w:type="spellEnd"/>
      <w:r w:rsidRPr="007571F2">
        <w:rPr>
          <w:lang w:val="en-US"/>
        </w:rPr>
        <w:t xml:space="preserve"> </w:t>
      </w:r>
      <w:proofErr w:type="spellStart"/>
      <w:r w:rsidRPr="007571F2">
        <w:rPr>
          <w:lang w:val="en-US"/>
        </w:rPr>
        <w:t>ideolojik</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siyasi</w:t>
      </w:r>
      <w:proofErr w:type="spellEnd"/>
      <w:r w:rsidRPr="007571F2">
        <w:rPr>
          <w:lang w:val="en-US"/>
        </w:rPr>
        <w:t xml:space="preserve"> </w:t>
      </w:r>
      <w:proofErr w:type="spellStart"/>
      <w:r w:rsidRPr="007571F2">
        <w:rPr>
          <w:lang w:val="en-US"/>
        </w:rPr>
        <w:t>güçleri</w:t>
      </w:r>
      <w:proofErr w:type="spellEnd"/>
      <w:r w:rsidRPr="007571F2">
        <w:rPr>
          <w:lang w:val="en-US"/>
        </w:rPr>
        <w:t xml:space="preserve"> </w:t>
      </w:r>
      <w:proofErr w:type="spellStart"/>
      <w:r w:rsidRPr="007571F2">
        <w:rPr>
          <w:lang w:val="en-US"/>
        </w:rPr>
        <w:t>temsil</w:t>
      </w:r>
      <w:proofErr w:type="spellEnd"/>
      <w:r w:rsidRPr="007571F2">
        <w:rPr>
          <w:lang w:val="en-US"/>
        </w:rPr>
        <w:t xml:space="preserve"> </w:t>
      </w:r>
      <w:proofErr w:type="spellStart"/>
      <w:r w:rsidRPr="007571F2">
        <w:rPr>
          <w:lang w:val="en-US"/>
        </w:rPr>
        <w:t>etmeleri</w:t>
      </w:r>
      <w:proofErr w:type="spellEnd"/>
      <w:r w:rsidRPr="007571F2">
        <w:rPr>
          <w:lang w:val="en-US"/>
        </w:rPr>
        <w:t xml:space="preserve"> </w:t>
      </w:r>
      <w:proofErr w:type="spellStart"/>
      <w:r w:rsidRPr="007571F2">
        <w:rPr>
          <w:lang w:val="en-US"/>
        </w:rPr>
        <w:t>gerekip</w:t>
      </w:r>
      <w:proofErr w:type="spellEnd"/>
      <w:r w:rsidRPr="007571F2">
        <w:rPr>
          <w:lang w:val="en-US"/>
        </w:rPr>
        <w:t xml:space="preserve"> </w:t>
      </w:r>
      <w:proofErr w:type="spellStart"/>
      <w:r w:rsidRPr="007571F2">
        <w:rPr>
          <w:lang w:val="en-US"/>
        </w:rPr>
        <w:t>gerekmediğine</w:t>
      </w:r>
      <w:proofErr w:type="spellEnd"/>
      <w:r w:rsidRPr="007571F2">
        <w:rPr>
          <w:lang w:val="en-US"/>
        </w:rPr>
        <w:t xml:space="preserve"> </w:t>
      </w:r>
      <w:proofErr w:type="spellStart"/>
      <w:r w:rsidRPr="007571F2">
        <w:rPr>
          <w:lang w:val="en-US"/>
        </w:rPr>
        <w:t>dair</w:t>
      </w:r>
      <w:proofErr w:type="spellEnd"/>
      <w:r w:rsidRPr="007571F2">
        <w:rPr>
          <w:lang w:val="en-US"/>
        </w:rPr>
        <w:t xml:space="preserve"> </w:t>
      </w:r>
      <w:proofErr w:type="spellStart"/>
      <w:r w:rsidRPr="007571F2">
        <w:rPr>
          <w:lang w:val="en-US"/>
        </w:rPr>
        <w:t>tutumlar</w:t>
      </w:r>
      <w:proofErr w:type="spellEnd"/>
      <w:r w:rsidRPr="007571F2">
        <w:rPr>
          <w:lang w:val="en-US"/>
        </w:rPr>
        <w:t xml:space="preserve">, </w:t>
      </w:r>
      <w:proofErr w:type="spellStart"/>
      <w:r w:rsidRPr="007571F2">
        <w:rPr>
          <w:lang w:val="en-US"/>
        </w:rPr>
        <w:t>tarihsel</w:t>
      </w:r>
      <w:proofErr w:type="spellEnd"/>
      <w:r w:rsidRPr="007571F2">
        <w:rPr>
          <w:lang w:val="en-US"/>
        </w:rPr>
        <w:t xml:space="preserve"> </w:t>
      </w:r>
      <w:proofErr w:type="spellStart"/>
      <w:r w:rsidRPr="007571F2">
        <w:rPr>
          <w:lang w:val="en-US"/>
        </w:rPr>
        <w:t>olarak</w:t>
      </w:r>
      <w:proofErr w:type="spellEnd"/>
      <w:r w:rsidRPr="007571F2">
        <w:rPr>
          <w:lang w:val="en-US"/>
        </w:rPr>
        <w:t xml:space="preserve"> son </w:t>
      </w:r>
      <w:proofErr w:type="spellStart"/>
      <w:r w:rsidRPr="007571F2">
        <w:rPr>
          <w:lang w:val="en-US"/>
        </w:rPr>
        <w:t>derece</w:t>
      </w:r>
      <w:proofErr w:type="spellEnd"/>
      <w:r w:rsidRPr="007571F2">
        <w:rPr>
          <w:lang w:val="en-US"/>
        </w:rPr>
        <w:t xml:space="preserve"> </w:t>
      </w:r>
      <w:proofErr w:type="spellStart"/>
      <w:r w:rsidRPr="007571F2">
        <w:rPr>
          <w:lang w:val="en-US"/>
        </w:rPr>
        <w:t>değişken</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tartışmalı</w:t>
      </w:r>
      <w:proofErr w:type="spellEnd"/>
      <w:r w:rsidRPr="007571F2">
        <w:rPr>
          <w:lang w:val="en-US"/>
        </w:rPr>
        <w:t xml:space="preserve"> </w:t>
      </w:r>
      <w:proofErr w:type="spellStart"/>
      <w:r w:rsidRPr="007571F2">
        <w:rPr>
          <w:lang w:val="en-US"/>
        </w:rPr>
        <w:t>olmuştur</w:t>
      </w:r>
      <w:proofErr w:type="spellEnd"/>
      <w:r w:rsidRPr="007571F2">
        <w:rPr>
          <w:lang w:val="en-US"/>
        </w:rPr>
        <w:t xml:space="preserve">. </w:t>
      </w:r>
      <w:proofErr w:type="spellStart"/>
      <w:r w:rsidRPr="007571F2">
        <w:rPr>
          <w:lang w:val="en-US"/>
        </w:rPr>
        <w:t>Farklı</w:t>
      </w:r>
      <w:proofErr w:type="spellEnd"/>
      <w:r w:rsidRPr="007571F2">
        <w:rPr>
          <w:lang w:val="en-US"/>
        </w:rPr>
        <w:t xml:space="preserve"> </w:t>
      </w:r>
      <w:proofErr w:type="spellStart"/>
      <w:r w:rsidRPr="007571F2">
        <w:rPr>
          <w:lang w:val="en-US"/>
        </w:rPr>
        <w:t>dönemlerde</w:t>
      </w:r>
      <w:proofErr w:type="spellEnd"/>
      <w:r w:rsidRPr="007571F2">
        <w:rPr>
          <w:lang w:val="en-US"/>
        </w:rPr>
        <w:t xml:space="preserve">, </w:t>
      </w:r>
      <w:proofErr w:type="spellStart"/>
      <w:r w:rsidRPr="007571F2">
        <w:rPr>
          <w:lang w:val="en-US"/>
        </w:rPr>
        <w:t>farklı</w:t>
      </w:r>
      <w:proofErr w:type="spellEnd"/>
      <w:r w:rsidRPr="007571F2">
        <w:rPr>
          <w:lang w:val="en-US"/>
        </w:rPr>
        <w:t xml:space="preserve"> </w:t>
      </w:r>
      <w:proofErr w:type="spellStart"/>
      <w:r w:rsidRPr="007571F2">
        <w:rPr>
          <w:lang w:val="en-US"/>
        </w:rPr>
        <w:t>başkanlar</w:t>
      </w:r>
      <w:proofErr w:type="spellEnd"/>
      <w:r w:rsidRPr="007571F2">
        <w:rPr>
          <w:lang w:val="en-US"/>
        </w:rPr>
        <w:t xml:space="preserve"> </w:t>
      </w:r>
      <w:proofErr w:type="spellStart"/>
      <w:r w:rsidRPr="007571F2">
        <w:rPr>
          <w:lang w:val="en-US"/>
        </w:rPr>
        <w:t>potansiyel</w:t>
      </w:r>
      <w:proofErr w:type="spellEnd"/>
      <w:r w:rsidRPr="007571F2">
        <w:rPr>
          <w:lang w:val="en-US"/>
        </w:rPr>
        <w:t xml:space="preserve"> </w:t>
      </w:r>
      <w:proofErr w:type="spellStart"/>
      <w:r w:rsidRPr="007571F2">
        <w:rPr>
          <w:lang w:val="en-US"/>
        </w:rPr>
        <w:t>yargıçların</w:t>
      </w:r>
      <w:proofErr w:type="spellEnd"/>
      <w:r w:rsidRPr="007571F2">
        <w:rPr>
          <w:lang w:val="en-US"/>
        </w:rPr>
        <w:t xml:space="preserve"> </w:t>
      </w:r>
      <w:proofErr w:type="spellStart"/>
      <w:r w:rsidRPr="007571F2">
        <w:rPr>
          <w:lang w:val="en-US"/>
        </w:rPr>
        <w:t>geçmişteki</w:t>
      </w:r>
      <w:proofErr w:type="spellEnd"/>
      <w:r w:rsidRPr="007571F2">
        <w:rPr>
          <w:lang w:val="en-US"/>
        </w:rPr>
        <w:t xml:space="preserve"> </w:t>
      </w:r>
      <w:proofErr w:type="spellStart"/>
      <w:r w:rsidRPr="007571F2">
        <w:rPr>
          <w:lang w:val="en-US"/>
        </w:rPr>
        <w:t>siyasi</w:t>
      </w:r>
      <w:proofErr w:type="spellEnd"/>
      <w:r w:rsidRPr="007571F2">
        <w:rPr>
          <w:lang w:val="en-US"/>
        </w:rPr>
        <w:t xml:space="preserve"> </w:t>
      </w:r>
      <w:proofErr w:type="spellStart"/>
      <w:r w:rsidRPr="007571F2">
        <w:rPr>
          <w:lang w:val="en-US"/>
        </w:rPr>
        <w:t>hizmetlerini</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örtük</w:t>
      </w:r>
      <w:proofErr w:type="spellEnd"/>
      <w:r w:rsidRPr="007571F2">
        <w:rPr>
          <w:lang w:val="en-US"/>
        </w:rPr>
        <w:t xml:space="preserve"> </w:t>
      </w:r>
      <w:proofErr w:type="spellStart"/>
      <w:r w:rsidRPr="007571F2">
        <w:rPr>
          <w:lang w:val="en-US"/>
        </w:rPr>
        <w:t>ideolojik</w:t>
      </w:r>
      <w:proofErr w:type="spellEnd"/>
      <w:r w:rsidRPr="007571F2">
        <w:rPr>
          <w:lang w:val="en-US"/>
        </w:rPr>
        <w:t xml:space="preserve"> </w:t>
      </w:r>
      <w:proofErr w:type="spellStart"/>
      <w:r w:rsidRPr="007571F2">
        <w:rPr>
          <w:lang w:val="en-US"/>
        </w:rPr>
        <w:t>yönelimlerini</w:t>
      </w:r>
      <w:proofErr w:type="spellEnd"/>
      <w:r w:rsidRPr="007571F2">
        <w:rPr>
          <w:lang w:val="en-US"/>
        </w:rPr>
        <w:t xml:space="preserve"> </w:t>
      </w:r>
      <w:proofErr w:type="spellStart"/>
      <w:r w:rsidRPr="007571F2">
        <w:rPr>
          <w:lang w:val="en-US"/>
        </w:rPr>
        <w:t>farklı</w:t>
      </w:r>
      <w:proofErr w:type="spellEnd"/>
      <w:r w:rsidRPr="007571F2">
        <w:rPr>
          <w:lang w:val="en-US"/>
        </w:rPr>
        <w:t xml:space="preserve"> </w:t>
      </w:r>
      <w:proofErr w:type="spellStart"/>
      <w:r w:rsidRPr="007571F2">
        <w:rPr>
          <w:lang w:val="en-US"/>
        </w:rPr>
        <w:t>derecelerde</w:t>
      </w:r>
      <w:proofErr w:type="spellEnd"/>
      <w:r w:rsidRPr="007571F2">
        <w:rPr>
          <w:lang w:val="en-US"/>
        </w:rPr>
        <w:t xml:space="preserve"> </w:t>
      </w:r>
      <w:proofErr w:type="spellStart"/>
      <w:r w:rsidRPr="007571F2">
        <w:rPr>
          <w:lang w:val="en-US"/>
        </w:rPr>
        <w:t>dikkate</w:t>
      </w:r>
      <w:proofErr w:type="spellEnd"/>
      <w:r w:rsidRPr="007571F2">
        <w:rPr>
          <w:lang w:val="en-US"/>
        </w:rPr>
        <w:t xml:space="preserve"> </w:t>
      </w:r>
      <w:proofErr w:type="spellStart"/>
      <w:r w:rsidRPr="007571F2">
        <w:rPr>
          <w:lang w:val="en-US"/>
        </w:rPr>
        <w:t>almış</w:t>
      </w:r>
      <w:proofErr w:type="spellEnd"/>
      <w:r w:rsidRPr="007571F2">
        <w:rPr>
          <w:lang w:val="en-US"/>
        </w:rPr>
        <w:t xml:space="preserve">, </w:t>
      </w:r>
      <w:proofErr w:type="spellStart"/>
      <w:r w:rsidRPr="007571F2">
        <w:rPr>
          <w:lang w:val="en-US"/>
        </w:rPr>
        <w:t>aynı</w:t>
      </w:r>
      <w:proofErr w:type="spellEnd"/>
      <w:r w:rsidRPr="007571F2">
        <w:rPr>
          <w:lang w:val="en-US"/>
        </w:rPr>
        <w:t xml:space="preserve"> </w:t>
      </w:r>
      <w:proofErr w:type="spellStart"/>
      <w:r w:rsidRPr="007571F2">
        <w:rPr>
          <w:lang w:val="en-US"/>
        </w:rPr>
        <w:t>şekilde</w:t>
      </w:r>
      <w:proofErr w:type="spellEnd"/>
      <w:r w:rsidRPr="007571F2">
        <w:rPr>
          <w:lang w:val="en-US"/>
        </w:rPr>
        <w:t xml:space="preserve"> Senato </w:t>
      </w:r>
      <w:proofErr w:type="spellStart"/>
      <w:r w:rsidRPr="007571F2">
        <w:rPr>
          <w:lang w:val="en-US"/>
        </w:rPr>
        <w:t>üyeleri</w:t>
      </w:r>
      <w:proofErr w:type="spellEnd"/>
      <w:r w:rsidRPr="007571F2">
        <w:rPr>
          <w:lang w:val="en-US"/>
        </w:rPr>
        <w:t xml:space="preserve"> de </w:t>
      </w:r>
      <w:proofErr w:type="spellStart"/>
      <w:r w:rsidRPr="007571F2">
        <w:rPr>
          <w:lang w:val="en-US"/>
        </w:rPr>
        <w:t>benzer</w:t>
      </w:r>
      <w:proofErr w:type="spellEnd"/>
      <w:r w:rsidRPr="007571F2">
        <w:rPr>
          <w:lang w:val="en-US"/>
        </w:rPr>
        <w:t xml:space="preserve"> </w:t>
      </w:r>
      <w:proofErr w:type="spellStart"/>
      <w:r w:rsidRPr="007571F2">
        <w:rPr>
          <w:lang w:val="en-US"/>
        </w:rPr>
        <w:t>değerlendirmeler</w:t>
      </w:r>
      <w:proofErr w:type="spellEnd"/>
      <w:r w:rsidRPr="007571F2">
        <w:rPr>
          <w:lang w:val="en-US"/>
        </w:rPr>
        <w:t xml:space="preserve"> yapmıştır.⁷³</w:t>
      </w:r>
      <w:r w:rsidRPr="007571F2">
        <w:rPr>
          <w:lang w:val="en-US"/>
        </w:rPr>
        <w:t xml:space="preserve"> </w:t>
      </w:r>
      <w:r w:rsidRPr="007571F2">
        <w:rPr>
          <w:rStyle w:val="FootnoteReference"/>
          <w:lang w:val="en-US"/>
        </w:rPr>
        <w:footnoteReference w:id="73"/>
      </w:r>
      <w:r w:rsidRPr="007571F2">
        <w:rPr>
          <w:lang w:val="en-US"/>
        </w:rPr>
        <w:t xml:space="preserve"> </w:t>
      </w:r>
      <w:r w:rsidRPr="007571F2">
        <w:rPr>
          <w:lang w:val="en-US"/>
        </w:rPr>
        <w:t xml:space="preserve">Benzer </w:t>
      </w:r>
      <w:proofErr w:type="spellStart"/>
      <w:r w:rsidRPr="007571F2">
        <w:rPr>
          <w:lang w:val="en-US"/>
        </w:rPr>
        <w:t>biçimde</w:t>
      </w:r>
      <w:proofErr w:type="spellEnd"/>
      <w:r w:rsidRPr="007571F2">
        <w:rPr>
          <w:lang w:val="en-US"/>
        </w:rPr>
        <w:t xml:space="preserve">, </w:t>
      </w:r>
      <w:proofErr w:type="spellStart"/>
      <w:r w:rsidRPr="007571F2">
        <w:rPr>
          <w:lang w:val="en-US"/>
        </w:rPr>
        <w:t>farklı</w:t>
      </w:r>
      <w:proofErr w:type="spellEnd"/>
      <w:r w:rsidRPr="007571F2">
        <w:rPr>
          <w:lang w:val="en-US"/>
        </w:rPr>
        <w:t xml:space="preserve"> </w:t>
      </w:r>
      <w:proofErr w:type="spellStart"/>
      <w:r w:rsidRPr="007571F2">
        <w:rPr>
          <w:lang w:val="en-US"/>
        </w:rPr>
        <w:t>dönemlerde</w:t>
      </w:r>
      <w:proofErr w:type="spellEnd"/>
      <w:r w:rsidRPr="007571F2">
        <w:rPr>
          <w:lang w:val="en-US"/>
        </w:rPr>
        <w:t xml:space="preserve"> </w:t>
      </w:r>
      <w:proofErr w:type="spellStart"/>
      <w:r w:rsidRPr="007571F2">
        <w:rPr>
          <w:lang w:val="en-US"/>
        </w:rPr>
        <w:t>önemli</w:t>
      </w:r>
      <w:proofErr w:type="spellEnd"/>
      <w:r w:rsidRPr="007571F2">
        <w:rPr>
          <w:lang w:val="en-US"/>
        </w:rPr>
        <w:t xml:space="preserve"> </w:t>
      </w:r>
      <w:proofErr w:type="spellStart"/>
      <w:r w:rsidRPr="007571F2">
        <w:rPr>
          <w:lang w:val="en-US"/>
        </w:rPr>
        <w:t>siyasi</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çıkar</w:t>
      </w:r>
      <w:proofErr w:type="spellEnd"/>
      <w:r w:rsidRPr="007571F2">
        <w:rPr>
          <w:lang w:val="en-US"/>
        </w:rPr>
        <w:t xml:space="preserve"> </w:t>
      </w:r>
      <w:proofErr w:type="spellStart"/>
      <w:r w:rsidRPr="007571F2">
        <w:rPr>
          <w:lang w:val="en-US"/>
        </w:rPr>
        <w:t>gruplarının</w:t>
      </w:r>
      <w:proofErr w:type="spellEnd"/>
      <w:r w:rsidRPr="007571F2">
        <w:rPr>
          <w:lang w:val="en-US"/>
        </w:rPr>
        <w:t xml:space="preserve">, </w:t>
      </w:r>
      <w:proofErr w:type="spellStart"/>
      <w:r w:rsidRPr="007571F2">
        <w:rPr>
          <w:lang w:val="en-US"/>
        </w:rPr>
        <w:t>yargı</w:t>
      </w:r>
      <w:proofErr w:type="spellEnd"/>
      <w:r w:rsidRPr="007571F2">
        <w:rPr>
          <w:lang w:val="en-US"/>
        </w:rPr>
        <w:t xml:space="preserve"> </w:t>
      </w:r>
      <w:proofErr w:type="spellStart"/>
      <w:r w:rsidRPr="007571F2">
        <w:rPr>
          <w:lang w:val="en-US"/>
        </w:rPr>
        <w:t>atamalarının</w:t>
      </w:r>
      <w:proofErr w:type="spellEnd"/>
      <w:r w:rsidRPr="007571F2">
        <w:rPr>
          <w:lang w:val="en-US"/>
        </w:rPr>
        <w:t xml:space="preserve"> </w:t>
      </w:r>
      <w:proofErr w:type="spellStart"/>
      <w:r w:rsidRPr="007571F2">
        <w:rPr>
          <w:lang w:val="en-US"/>
        </w:rPr>
        <w:t>kendi</w:t>
      </w:r>
      <w:proofErr w:type="spellEnd"/>
      <w:r w:rsidRPr="007571F2">
        <w:rPr>
          <w:lang w:val="en-US"/>
        </w:rPr>
        <w:t xml:space="preserve"> </w:t>
      </w:r>
      <w:proofErr w:type="spellStart"/>
      <w:r w:rsidRPr="007571F2">
        <w:rPr>
          <w:lang w:val="en-US"/>
        </w:rPr>
        <w:t>çıkarlarını</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dünya</w:t>
      </w:r>
      <w:proofErr w:type="spellEnd"/>
      <w:r w:rsidRPr="007571F2">
        <w:rPr>
          <w:lang w:val="en-US"/>
        </w:rPr>
        <w:t xml:space="preserve"> </w:t>
      </w:r>
      <w:proofErr w:type="spellStart"/>
      <w:r w:rsidRPr="007571F2">
        <w:rPr>
          <w:lang w:val="en-US"/>
        </w:rPr>
        <w:t>görüşlerini</w:t>
      </w:r>
      <w:proofErr w:type="spellEnd"/>
      <w:r w:rsidRPr="007571F2">
        <w:rPr>
          <w:lang w:val="en-US"/>
        </w:rPr>
        <w:t xml:space="preserve"> ne </w:t>
      </w:r>
      <w:proofErr w:type="spellStart"/>
      <w:r w:rsidRPr="007571F2">
        <w:rPr>
          <w:lang w:val="en-US"/>
        </w:rPr>
        <w:t>ölçüde</w:t>
      </w:r>
      <w:proofErr w:type="spellEnd"/>
      <w:r w:rsidRPr="007571F2">
        <w:rPr>
          <w:lang w:val="en-US"/>
        </w:rPr>
        <w:t xml:space="preserve"> </w:t>
      </w:r>
      <w:proofErr w:type="spellStart"/>
      <w:r w:rsidRPr="007571F2">
        <w:rPr>
          <w:lang w:val="en-US"/>
        </w:rPr>
        <w:t>yansıtması</w:t>
      </w:r>
      <w:proofErr w:type="spellEnd"/>
      <w:r w:rsidRPr="007571F2">
        <w:rPr>
          <w:lang w:val="en-US"/>
        </w:rPr>
        <w:t xml:space="preserve"> </w:t>
      </w:r>
      <w:proofErr w:type="spellStart"/>
      <w:r w:rsidRPr="007571F2">
        <w:rPr>
          <w:lang w:val="en-US"/>
        </w:rPr>
        <w:t>gerektiğine</w:t>
      </w:r>
      <w:proofErr w:type="spellEnd"/>
      <w:r w:rsidRPr="007571F2">
        <w:rPr>
          <w:lang w:val="en-US"/>
        </w:rPr>
        <w:t xml:space="preserve"> </w:t>
      </w:r>
      <w:proofErr w:type="spellStart"/>
      <w:r w:rsidRPr="007571F2">
        <w:rPr>
          <w:lang w:val="en-US"/>
        </w:rPr>
        <w:t>dair</w:t>
      </w:r>
      <w:proofErr w:type="spellEnd"/>
      <w:r w:rsidRPr="007571F2">
        <w:rPr>
          <w:lang w:val="en-US"/>
        </w:rPr>
        <w:t xml:space="preserve"> </w:t>
      </w:r>
      <w:proofErr w:type="spellStart"/>
      <w:r w:rsidRPr="007571F2">
        <w:rPr>
          <w:lang w:val="en-US"/>
        </w:rPr>
        <w:t>beklentileri</w:t>
      </w:r>
      <w:proofErr w:type="spellEnd"/>
      <w:r w:rsidRPr="007571F2">
        <w:rPr>
          <w:lang w:val="en-US"/>
        </w:rPr>
        <w:t xml:space="preserve"> </w:t>
      </w:r>
      <w:proofErr w:type="spellStart"/>
      <w:r w:rsidRPr="007571F2">
        <w:rPr>
          <w:lang w:val="en-US"/>
        </w:rPr>
        <w:t>değişiklik</w:t>
      </w:r>
      <w:proofErr w:type="spellEnd"/>
      <w:r w:rsidRPr="007571F2">
        <w:rPr>
          <w:lang w:val="en-US"/>
        </w:rPr>
        <w:t xml:space="preserve"> </w:t>
      </w:r>
      <w:proofErr w:type="spellStart"/>
      <w:r w:rsidRPr="007571F2">
        <w:rPr>
          <w:lang w:val="en-US"/>
        </w:rPr>
        <w:t>göstermiştir</w:t>
      </w:r>
      <w:proofErr w:type="spellEnd"/>
      <w:r w:rsidRPr="007571F2">
        <w:rPr>
          <w:lang w:val="en-US"/>
        </w:rPr>
        <w:t>.⁷⁴</w:t>
      </w:r>
      <w:r w:rsidRPr="007571F2">
        <w:rPr>
          <w:lang w:val="en-US"/>
        </w:rPr>
        <w:t xml:space="preserve"> </w:t>
      </w:r>
      <w:r w:rsidRPr="007571F2">
        <w:rPr>
          <w:rStyle w:val="FootnoteReference"/>
          <w:lang w:val="en-US"/>
        </w:rPr>
        <w:footnoteReference w:id="74"/>
      </w:r>
      <w:r w:rsidRPr="007571F2">
        <w:rPr>
          <w:lang w:val="en-US"/>
        </w:rPr>
        <w:t xml:space="preserve"> </w:t>
      </w:r>
      <w:proofErr w:type="spellStart"/>
      <w:r w:rsidRPr="007571F2">
        <w:rPr>
          <w:lang w:val="en-US"/>
        </w:rPr>
        <w:t>Buradaki</w:t>
      </w:r>
      <w:proofErr w:type="spellEnd"/>
      <w:r w:rsidRPr="007571F2">
        <w:rPr>
          <w:lang w:val="en-US"/>
        </w:rPr>
        <w:t xml:space="preserve"> </w:t>
      </w:r>
      <w:proofErr w:type="spellStart"/>
      <w:r w:rsidRPr="007571F2">
        <w:rPr>
          <w:lang w:val="en-US"/>
        </w:rPr>
        <w:t>temel</w:t>
      </w:r>
      <w:proofErr w:type="spellEnd"/>
      <w:r w:rsidRPr="007571F2">
        <w:rPr>
          <w:lang w:val="en-US"/>
        </w:rPr>
        <w:t xml:space="preserve"> </w:t>
      </w:r>
      <w:proofErr w:type="spellStart"/>
      <w:r w:rsidRPr="007571F2">
        <w:rPr>
          <w:lang w:val="en-US"/>
        </w:rPr>
        <w:t>vurgum</w:t>
      </w:r>
      <w:proofErr w:type="spellEnd"/>
      <w:r w:rsidRPr="007571F2">
        <w:rPr>
          <w:lang w:val="en-US"/>
        </w:rPr>
        <w:t xml:space="preserve">, </w:t>
      </w:r>
      <w:proofErr w:type="spellStart"/>
      <w:r w:rsidRPr="007571F2">
        <w:rPr>
          <w:lang w:val="en-US"/>
        </w:rPr>
        <w:t>bu</w:t>
      </w:r>
      <w:proofErr w:type="spellEnd"/>
      <w:r w:rsidRPr="007571F2">
        <w:rPr>
          <w:lang w:val="en-US"/>
        </w:rPr>
        <w:t xml:space="preserve"> </w:t>
      </w:r>
      <w:proofErr w:type="spellStart"/>
      <w:r w:rsidRPr="007571F2">
        <w:rPr>
          <w:lang w:val="en-US"/>
        </w:rPr>
        <w:t>uygulamaların</w:t>
      </w:r>
      <w:proofErr w:type="spellEnd"/>
      <w:r w:rsidRPr="007571F2">
        <w:rPr>
          <w:lang w:val="en-US"/>
        </w:rPr>
        <w:t xml:space="preserve"> </w:t>
      </w:r>
      <w:proofErr w:type="spellStart"/>
      <w:r w:rsidRPr="007571F2">
        <w:rPr>
          <w:lang w:val="en-US"/>
        </w:rPr>
        <w:t>esnekliği</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tarihsel</w:t>
      </w:r>
      <w:proofErr w:type="spellEnd"/>
      <w:r w:rsidRPr="007571F2">
        <w:rPr>
          <w:lang w:val="en-US"/>
        </w:rPr>
        <w:t xml:space="preserve"> </w:t>
      </w:r>
      <w:proofErr w:type="spellStart"/>
      <w:r w:rsidRPr="007571F2">
        <w:rPr>
          <w:lang w:val="en-US"/>
        </w:rPr>
        <w:t>koşullara</w:t>
      </w:r>
      <w:proofErr w:type="spellEnd"/>
      <w:r w:rsidRPr="007571F2">
        <w:rPr>
          <w:lang w:val="en-US"/>
        </w:rPr>
        <w:t xml:space="preserve"> </w:t>
      </w:r>
      <w:proofErr w:type="spellStart"/>
      <w:r w:rsidRPr="007571F2">
        <w:rPr>
          <w:lang w:val="en-US"/>
        </w:rPr>
        <w:t>bağlılığı</w:t>
      </w:r>
      <w:proofErr w:type="spellEnd"/>
      <w:r w:rsidRPr="007571F2">
        <w:rPr>
          <w:lang w:val="en-US"/>
        </w:rPr>
        <w:t xml:space="preserve"> </w:t>
      </w:r>
      <w:proofErr w:type="spellStart"/>
      <w:r w:rsidRPr="007571F2">
        <w:rPr>
          <w:lang w:val="en-US"/>
        </w:rPr>
        <w:t>olsa</w:t>
      </w:r>
      <w:proofErr w:type="spellEnd"/>
      <w:r w:rsidRPr="007571F2">
        <w:rPr>
          <w:lang w:val="en-US"/>
        </w:rPr>
        <w:t xml:space="preserve"> da, </w:t>
      </w:r>
      <w:proofErr w:type="spellStart"/>
      <w:r w:rsidRPr="007571F2">
        <w:rPr>
          <w:lang w:val="en-US"/>
        </w:rPr>
        <w:t>mevcut</w:t>
      </w:r>
      <w:proofErr w:type="spellEnd"/>
      <w:r w:rsidRPr="007571F2">
        <w:rPr>
          <w:lang w:val="en-US"/>
        </w:rPr>
        <w:t xml:space="preserve"> </w:t>
      </w:r>
      <w:proofErr w:type="spellStart"/>
      <w:r w:rsidRPr="007571F2">
        <w:rPr>
          <w:lang w:val="en-US"/>
        </w:rPr>
        <w:t>dönemin</w:t>
      </w:r>
      <w:proofErr w:type="spellEnd"/>
      <w:r w:rsidRPr="007571F2">
        <w:rPr>
          <w:lang w:val="en-US"/>
        </w:rPr>
        <w:t xml:space="preserve"> </w:t>
      </w:r>
      <w:proofErr w:type="spellStart"/>
      <w:r w:rsidRPr="007571F2">
        <w:rPr>
          <w:lang w:val="en-US"/>
        </w:rPr>
        <w:t>tarihsel</w:t>
      </w:r>
      <w:proofErr w:type="spellEnd"/>
      <w:r w:rsidRPr="007571F2">
        <w:rPr>
          <w:lang w:val="en-US"/>
        </w:rPr>
        <w:t xml:space="preserve"> </w:t>
      </w:r>
      <w:proofErr w:type="spellStart"/>
      <w:r w:rsidRPr="007571F2">
        <w:rPr>
          <w:lang w:val="en-US"/>
        </w:rPr>
        <w:t>standartlara</w:t>
      </w:r>
      <w:proofErr w:type="spellEnd"/>
      <w:r w:rsidRPr="007571F2">
        <w:rPr>
          <w:lang w:val="en-US"/>
        </w:rPr>
        <w:t xml:space="preserve"> </w:t>
      </w:r>
      <w:proofErr w:type="spellStart"/>
      <w:r w:rsidRPr="007571F2">
        <w:rPr>
          <w:lang w:val="en-US"/>
        </w:rPr>
        <w:t>kıyasla</w:t>
      </w:r>
      <w:proofErr w:type="spellEnd"/>
      <w:r w:rsidRPr="007571F2">
        <w:rPr>
          <w:lang w:val="en-US"/>
        </w:rPr>
        <w:t xml:space="preserve"> </w:t>
      </w:r>
      <w:proofErr w:type="spellStart"/>
      <w:r w:rsidRPr="007571F2">
        <w:rPr>
          <w:lang w:val="en-US"/>
        </w:rPr>
        <w:t>yüksek</w:t>
      </w:r>
      <w:proofErr w:type="spellEnd"/>
      <w:r w:rsidRPr="007571F2">
        <w:rPr>
          <w:lang w:val="en-US"/>
        </w:rPr>
        <w:t xml:space="preserve"> </w:t>
      </w:r>
      <w:proofErr w:type="spellStart"/>
      <w:r w:rsidRPr="007571F2">
        <w:rPr>
          <w:lang w:val="en-US"/>
        </w:rPr>
        <w:t>düzeyde</w:t>
      </w:r>
      <w:proofErr w:type="spellEnd"/>
      <w:r w:rsidRPr="007571F2">
        <w:rPr>
          <w:lang w:val="en-US"/>
        </w:rPr>
        <w:t xml:space="preserve"> </w:t>
      </w:r>
      <w:proofErr w:type="spellStart"/>
      <w:r w:rsidRPr="007571F2">
        <w:rPr>
          <w:lang w:val="en-US"/>
        </w:rPr>
        <w:t>partizanlıkla</w:t>
      </w:r>
      <w:proofErr w:type="spellEnd"/>
      <w:r w:rsidRPr="007571F2">
        <w:rPr>
          <w:lang w:val="en-US"/>
        </w:rPr>
        <w:t xml:space="preserve"> </w:t>
      </w:r>
      <w:proofErr w:type="spellStart"/>
      <w:r w:rsidRPr="007571F2">
        <w:rPr>
          <w:lang w:val="en-US"/>
        </w:rPr>
        <w:t>işaretlendiğini</w:t>
      </w:r>
      <w:proofErr w:type="spellEnd"/>
      <w:r w:rsidRPr="007571F2">
        <w:rPr>
          <w:lang w:val="en-US"/>
        </w:rPr>
        <w:t xml:space="preserve"> </w:t>
      </w:r>
      <w:proofErr w:type="spellStart"/>
      <w:r w:rsidRPr="007571F2">
        <w:rPr>
          <w:lang w:val="en-US"/>
        </w:rPr>
        <w:t>belirtmek</w:t>
      </w:r>
      <w:proofErr w:type="spellEnd"/>
      <w:r w:rsidRPr="007571F2">
        <w:rPr>
          <w:lang w:val="en-US"/>
        </w:rPr>
        <w:t xml:space="preserve"> </w:t>
      </w:r>
      <w:proofErr w:type="spellStart"/>
      <w:r w:rsidRPr="007571F2">
        <w:rPr>
          <w:lang w:val="en-US"/>
        </w:rPr>
        <w:t>gerekir</w:t>
      </w:r>
      <w:proofErr w:type="spellEnd"/>
      <w:r w:rsidRPr="007571F2">
        <w:rPr>
          <w:lang w:val="en-US"/>
        </w:rPr>
        <w:t xml:space="preserve">. Bu durum, </w:t>
      </w:r>
      <w:proofErr w:type="spellStart"/>
      <w:r w:rsidRPr="007571F2">
        <w:rPr>
          <w:lang w:val="en-US"/>
        </w:rPr>
        <w:t>özellikle</w:t>
      </w:r>
      <w:proofErr w:type="spellEnd"/>
      <w:r w:rsidRPr="007571F2">
        <w:rPr>
          <w:lang w:val="en-US"/>
        </w:rPr>
        <w:t xml:space="preserve"> alt </w:t>
      </w:r>
      <w:proofErr w:type="spellStart"/>
      <w:r w:rsidRPr="007571F2">
        <w:rPr>
          <w:lang w:val="en-US"/>
        </w:rPr>
        <w:t>mahkeme</w:t>
      </w:r>
      <w:proofErr w:type="spellEnd"/>
      <w:r w:rsidRPr="007571F2">
        <w:rPr>
          <w:lang w:val="en-US"/>
        </w:rPr>
        <w:t xml:space="preserve"> </w:t>
      </w:r>
      <w:proofErr w:type="spellStart"/>
      <w:r w:rsidRPr="007571F2">
        <w:rPr>
          <w:lang w:val="en-US"/>
        </w:rPr>
        <w:t>yargıçlarının</w:t>
      </w:r>
      <w:proofErr w:type="spellEnd"/>
      <w:r w:rsidRPr="007571F2">
        <w:rPr>
          <w:lang w:val="en-US"/>
        </w:rPr>
        <w:t xml:space="preserve"> </w:t>
      </w:r>
      <w:proofErr w:type="spellStart"/>
      <w:r w:rsidRPr="007571F2">
        <w:rPr>
          <w:lang w:val="en-US"/>
        </w:rPr>
        <w:t>aday</w:t>
      </w:r>
      <w:proofErr w:type="spellEnd"/>
      <w:r w:rsidRPr="007571F2">
        <w:rPr>
          <w:lang w:val="en-US"/>
        </w:rPr>
        <w:t xml:space="preserve"> </w:t>
      </w:r>
      <w:proofErr w:type="spellStart"/>
      <w:r w:rsidRPr="007571F2">
        <w:rPr>
          <w:lang w:val="en-US"/>
        </w:rPr>
        <w:t>gösterilmesi</w:t>
      </w:r>
      <w:proofErr w:type="spellEnd"/>
      <w:r w:rsidRPr="007571F2">
        <w:rPr>
          <w:lang w:val="en-US"/>
        </w:rPr>
        <w:t xml:space="preserve"> </w:t>
      </w:r>
      <w:proofErr w:type="spellStart"/>
      <w:r w:rsidRPr="007571F2">
        <w:rPr>
          <w:lang w:val="en-US"/>
        </w:rPr>
        <w:t>ve</w:t>
      </w:r>
      <w:proofErr w:type="spellEnd"/>
      <w:r w:rsidRPr="007571F2">
        <w:rPr>
          <w:lang w:val="en-US"/>
        </w:rPr>
        <w:t xml:space="preserve"> </w:t>
      </w:r>
      <w:proofErr w:type="spellStart"/>
      <w:r w:rsidRPr="007571F2">
        <w:rPr>
          <w:lang w:val="en-US"/>
        </w:rPr>
        <w:t>onaylanması</w:t>
      </w:r>
      <w:proofErr w:type="spellEnd"/>
      <w:r w:rsidRPr="007571F2">
        <w:rPr>
          <w:lang w:val="en-US"/>
        </w:rPr>
        <w:t xml:space="preserve"> </w:t>
      </w:r>
      <w:proofErr w:type="spellStart"/>
      <w:r w:rsidRPr="007571F2">
        <w:rPr>
          <w:lang w:val="en-US"/>
        </w:rPr>
        <w:t>sürecinde</w:t>
      </w:r>
      <w:proofErr w:type="spellEnd"/>
      <w:r w:rsidRPr="007571F2">
        <w:rPr>
          <w:lang w:val="en-US"/>
        </w:rPr>
        <w:t xml:space="preserve">, </w:t>
      </w:r>
      <w:proofErr w:type="spellStart"/>
      <w:r w:rsidRPr="007571F2">
        <w:rPr>
          <w:lang w:val="en-US"/>
        </w:rPr>
        <w:t>tüm</w:t>
      </w:r>
      <w:proofErr w:type="spellEnd"/>
      <w:r w:rsidRPr="007571F2">
        <w:rPr>
          <w:lang w:val="en-US"/>
        </w:rPr>
        <w:t xml:space="preserve"> </w:t>
      </w:r>
      <w:proofErr w:type="spellStart"/>
      <w:r w:rsidRPr="007571F2">
        <w:rPr>
          <w:lang w:val="en-US"/>
        </w:rPr>
        <w:t>aktörlerin</w:t>
      </w:r>
      <w:proofErr w:type="spellEnd"/>
      <w:r w:rsidRPr="007571F2">
        <w:rPr>
          <w:lang w:val="en-US"/>
        </w:rPr>
        <w:t xml:space="preserve"> </w:t>
      </w:r>
      <w:proofErr w:type="spellStart"/>
      <w:r w:rsidRPr="007571F2">
        <w:rPr>
          <w:lang w:val="en-US"/>
        </w:rPr>
        <w:t>siyasi</w:t>
      </w:r>
      <w:proofErr w:type="spellEnd"/>
      <w:r w:rsidRPr="007571F2">
        <w:rPr>
          <w:lang w:val="en-US"/>
        </w:rPr>
        <w:t xml:space="preserve"> </w:t>
      </w:r>
      <w:proofErr w:type="spellStart"/>
      <w:r w:rsidRPr="007571F2">
        <w:rPr>
          <w:lang w:val="en-US"/>
        </w:rPr>
        <w:t>tutumlarında</w:t>
      </w:r>
      <w:proofErr w:type="spellEnd"/>
      <w:r w:rsidRPr="007571F2">
        <w:rPr>
          <w:lang w:val="en-US"/>
        </w:rPr>
        <w:t xml:space="preserve"> </w:t>
      </w:r>
      <w:proofErr w:type="spellStart"/>
      <w:r w:rsidRPr="007571F2">
        <w:rPr>
          <w:lang w:val="en-US"/>
        </w:rPr>
        <w:t>gözlemlenebilir</w:t>
      </w:r>
      <w:proofErr w:type="spellEnd"/>
      <w:r w:rsidRPr="007571F2">
        <w:rPr>
          <w:lang w:val="en-US"/>
        </w:rPr>
        <w:t>.⁷⁵</w:t>
      </w:r>
      <w:r w:rsidRPr="007571F2">
        <w:rPr>
          <w:lang w:val="en-US"/>
        </w:rPr>
        <w:t xml:space="preserve"> </w:t>
      </w:r>
      <w:r w:rsidRPr="007571F2">
        <w:rPr>
          <w:rStyle w:val="FootnoteReference"/>
          <w:lang w:val="en-US"/>
        </w:rPr>
        <w:footnoteReference w:id="75"/>
      </w:r>
    </w:p>
    <w:p w14:paraId="241C80AD" w14:textId="77777777" w:rsidR="005336FE" w:rsidRDefault="005336FE" w:rsidP="005336FE">
      <w:pPr>
        <w:pStyle w:val="Heading2"/>
      </w:pPr>
      <w:r w:rsidRPr="005336FE">
        <w:t>DAHA YENİ VE DAHA AZ GÖSTERİŞLİ ANAYASAL UYGULAMALAR</w:t>
      </w:r>
    </w:p>
    <w:p w14:paraId="23B75AD9" w14:textId="02AD0D82" w:rsidR="005336FE" w:rsidRPr="005336FE" w:rsidRDefault="005336FE" w:rsidP="005336FE">
      <w:pPr>
        <w:rPr>
          <w:lang w:val="en-US"/>
        </w:rPr>
      </w:pPr>
      <w:proofErr w:type="spellStart"/>
      <w:r w:rsidRPr="005336FE">
        <w:rPr>
          <w:lang w:val="en-US"/>
        </w:rPr>
        <w:t>Günümüz</w:t>
      </w:r>
      <w:proofErr w:type="spellEnd"/>
      <w:r w:rsidRPr="005336FE">
        <w:rPr>
          <w:lang w:val="en-US"/>
        </w:rPr>
        <w:t xml:space="preserve"> Amerikan </w:t>
      </w:r>
      <w:proofErr w:type="spellStart"/>
      <w:r w:rsidRPr="005336FE">
        <w:rPr>
          <w:lang w:val="en-US"/>
        </w:rPr>
        <w:t>anayasal</w:t>
      </w:r>
      <w:proofErr w:type="spellEnd"/>
      <w:r w:rsidRPr="005336FE">
        <w:rPr>
          <w:lang w:val="en-US"/>
        </w:rPr>
        <w:t xml:space="preserve"> </w:t>
      </w:r>
      <w:proofErr w:type="spellStart"/>
      <w:r w:rsidRPr="005336FE">
        <w:rPr>
          <w:lang w:val="en-US"/>
        </w:rPr>
        <w:t>karar</w:t>
      </w:r>
      <w:proofErr w:type="spellEnd"/>
      <w:r w:rsidRPr="005336FE">
        <w:rPr>
          <w:lang w:val="en-US"/>
        </w:rPr>
        <w:t xml:space="preserve"> alma </w:t>
      </w:r>
      <w:proofErr w:type="spellStart"/>
      <w:r w:rsidRPr="005336FE">
        <w:rPr>
          <w:lang w:val="en-US"/>
        </w:rPr>
        <w:t>süreçlerine</w:t>
      </w:r>
      <w:proofErr w:type="spellEnd"/>
      <w:r w:rsidRPr="005336FE">
        <w:rPr>
          <w:lang w:val="en-US"/>
        </w:rPr>
        <w:t xml:space="preserve"> </w:t>
      </w:r>
      <w:proofErr w:type="spellStart"/>
      <w:r w:rsidRPr="005336FE">
        <w:rPr>
          <w:lang w:val="en-US"/>
        </w:rPr>
        <w:t>ilişkin</w:t>
      </w:r>
      <w:proofErr w:type="spellEnd"/>
      <w:r w:rsidRPr="005336FE">
        <w:rPr>
          <w:lang w:val="en-US"/>
        </w:rPr>
        <w:t xml:space="preserve"> </w:t>
      </w:r>
      <w:proofErr w:type="spellStart"/>
      <w:r w:rsidRPr="005336FE">
        <w:rPr>
          <w:lang w:val="en-US"/>
        </w:rPr>
        <w:t>yüzeysel</w:t>
      </w:r>
      <w:proofErr w:type="spellEnd"/>
      <w:r w:rsidRPr="005336FE">
        <w:rPr>
          <w:lang w:val="en-US"/>
        </w:rPr>
        <w:t xml:space="preserve"> </w:t>
      </w:r>
      <w:proofErr w:type="spellStart"/>
      <w:r w:rsidRPr="005336FE">
        <w:rPr>
          <w:lang w:val="en-US"/>
        </w:rPr>
        <w:t>bir</w:t>
      </w:r>
      <w:proofErr w:type="spellEnd"/>
      <w:r w:rsidRPr="005336FE">
        <w:rPr>
          <w:lang w:val="en-US"/>
        </w:rPr>
        <w:t xml:space="preserve"> </w:t>
      </w:r>
      <w:proofErr w:type="spellStart"/>
      <w:r w:rsidRPr="005336FE">
        <w:rPr>
          <w:lang w:val="en-US"/>
        </w:rPr>
        <w:t>inceleme</w:t>
      </w:r>
      <w:proofErr w:type="spellEnd"/>
      <w:r w:rsidRPr="005336FE">
        <w:rPr>
          <w:lang w:val="en-US"/>
        </w:rPr>
        <w:t xml:space="preserve"> bile, </w:t>
      </w:r>
      <w:proofErr w:type="spellStart"/>
      <w:r w:rsidRPr="005336FE">
        <w:rPr>
          <w:lang w:val="en-US"/>
        </w:rPr>
        <w:t>yukarıda</w:t>
      </w:r>
      <w:proofErr w:type="spellEnd"/>
      <w:r w:rsidRPr="005336FE">
        <w:rPr>
          <w:lang w:val="en-US"/>
        </w:rPr>
        <w:t xml:space="preserve"> </w:t>
      </w:r>
      <w:proofErr w:type="spellStart"/>
      <w:r w:rsidRPr="005336FE">
        <w:rPr>
          <w:lang w:val="en-US"/>
        </w:rPr>
        <w:t>ele</w:t>
      </w:r>
      <w:proofErr w:type="spellEnd"/>
      <w:r w:rsidRPr="005336FE">
        <w:rPr>
          <w:lang w:val="en-US"/>
        </w:rPr>
        <w:t xml:space="preserve"> </w:t>
      </w:r>
      <w:proofErr w:type="spellStart"/>
      <w:r w:rsidRPr="005336FE">
        <w:rPr>
          <w:lang w:val="en-US"/>
        </w:rPr>
        <w:t>alınan</w:t>
      </w:r>
      <w:proofErr w:type="spellEnd"/>
      <w:r w:rsidRPr="005336FE">
        <w:rPr>
          <w:lang w:val="en-US"/>
        </w:rPr>
        <w:t xml:space="preserve"> </w:t>
      </w:r>
      <w:proofErr w:type="spellStart"/>
      <w:r w:rsidRPr="005336FE">
        <w:rPr>
          <w:lang w:val="en-US"/>
        </w:rPr>
        <w:t>soyutlaştırılmış</w:t>
      </w:r>
      <w:proofErr w:type="spellEnd"/>
      <w:r w:rsidRPr="005336FE">
        <w:rPr>
          <w:lang w:val="en-US"/>
        </w:rPr>
        <w:t xml:space="preserve"> </w:t>
      </w:r>
      <w:proofErr w:type="spellStart"/>
      <w:r w:rsidRPr="005336FE">
        <w:rPr>
          <w:lang w:val="en-US"/>
        </w:rPr>
        <w:t>anayasal</w:t>
      </w:r>
      <w:proofErr w:type="spellEnd"/>
      <w:r w:rsidRPr="005336FE">
        <w:rPr>
          <w:lang w:val="en-US"/>
        </w:rPr>
        <w:t xml:space="preserve"> "</w:t>
      </w:r>
      <w:proofErr w:type="spellStart"/>
      <w:r w:rsidRPr="005336FE">
        <w:rPr>
          <w:lang w:val="en-US"/>
        </w:rPr>
        <w:t>yapının</w:t>
      </w:r>
      <w:proofErr w:type="spellEnd"/>
      <w:r w:rsidRPr="005336FE">
        <w:rPr>
          <w:lang w:val="en-US"/>
        </w:rPr>
        <w:t xml:space="preserve">", </w:t>
      </w:r>
      <w:proofErr w:type="spellStart"/>
      <w:r w:rsidRPr="005336FE">
        <w:rPr>
          <w:lang w:val="en-US"/>
        </w:rPr>
        <w:t>daha</w:t>
      </w:r>
      <w:proofErr w:type="spellEnd"/>
      <w:r w:rsidRPr="005336FE">
        <w:rPr>
          <w:lang w:val="en-US"/>
        </w:rPr>
        <w:t xml:space="preserve"> yeni, </w:t>
      </w:r>
      <w:proofErr w:type="spellStart"/>
      <w:r w:rsidRPr="005336FE">
        <w:rPr>
          <w:lang w:val="en-US"/>
        </w:rPr>
        <w:t>daha</w:t>
      </w:r>
      <w:proofErr w:type="spellEnd"/>
      <w:r w:rsidRPr="005336FE">
        <w:rPr>
          <w:lang w:val="en-US"/>
        </w:rPr>
        <w:t xml:space="preserve"> </w:t>
      </w:r>
      <w:proofErr w:type="spellStart"/>
      <w:r w:rsidRPr="005336FE">
        <w:rPr>
          <w:lang w:val="en-US"/>
        </w:rPr>
        <w:t>az</w:t>
      </w:r>
      <w:proofErr w:type="spellEnd"/>
      <w:r w:rsidRPr="005336FE">
        <w:rPr>
          <w:lang w:val="en-US"/>
        </w:rPr>
        <w:t xml:space="preserve"> </w:t>
      </w:r>
      <w:proofErr w:type="spellStart"/>
      <w:r w:rsidRPr="005336FE">
        <w:rPr>
          <w:lang w:val="en-US"/>
        </w:rPr>
        <w:t>gösterişli</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üzerinde</w:t>
      </w:r>
      <w:proofErr w:type="spellEnd"/>
      <w:r w:rsidRPr="005336FE">
        <w:rPr>
          <w:lang w:val="en-US"/>
        </w:rPr>
        <w:t xml:space="preserve"> </w:t>
      </w:r>
      <w:proofErr w:type="spellStart"/>
      <w:r w:rsidRPr="005336FE">
        <w:rPr>
          <w:lang w:val="en-US"/>
        </w:rPr>
        <w:t>daha</w:t>
      </w:r>
      <w:proofErr w:type="spellEnd"/>
      <w:r w:rsidRPr="005336FE">
        <w:rPr>
          <w:lang w:val="en-US"/>
        </w:rPr>
        <w:t xml:space="preserve"> </w:t>
      </w:r>
      <w:proofErr w:type="spellStart"/>
      <w:r w:rsidRPr="005336FE">
        <w:rPr>
          <w:lang w:val="en-US"/>
        </w:rPr>
        <w:t>az</w:t>
      </w:r>
      <w:proofErr w:type="spellEnd"/>
      <w:r w:rsidRPr="005336FE">
        <w:rPr>
          <w:lang w:val="en-US"/>
        </w:rPr>
        <w:t xml:space="preserve"> </w:t>
      </w:r>
      <w:proofErr w:type="spellStart"/>
      <w:r w:rsidRPr="005336FE">
        <w:rPr>
          <w:lang w:val="en-US"/>
        </w:rPr>
        <w:t>yorum</w:t>
      </w:r>
      <w:proofErr w:type="spellEnd"/>
      <w:r w:rsidRPr="005336FE">
        <w:rPr>
          <w:lang w:val="en-US"/>
        </w:rPr>
        <w:t xml:space="preserve"> </w:t>
      </w:r>
      <w:proofErr w:type="spellStart"/>
      <w:r w:rsidRPr="005336FE">
        <w:rPr>
          <w:lang w:val="en-US"/>
        </w:rPr>
        <w:t>yapılan</w:t>
      </w:r>
      <w:proofErr w:type="spellEnd"/>
      <w:r w:rsidRPr="005336FE">
        <w:rPr>
          <w:lang w:val="en-US"/>
        </w:rPr>
        <w:t xml:space="preserve"> </w:t>
      </w:r>
      <w:proofErr w:type="spellStart"/>
      <w:r w:rsidRPr="005336FE">
        <w:rPr>
          <w:lang w:val="en-US"/>
        </w:rPr>
        <w:t>kurumsal</w:t>
      </w:r>
      <w:proofErr w:type="spellEnd"/>
      <w:r w:rsidRPr="005336FE">
        <w:rPr>
          <w:lang w:val="en-US"/>
        </w:rPr>
        <w:t xml:space="preserve"> </w:t>
      </w:r>
      <w:proofErr w:type="spellStart"/>
      <w:r w:rsidRPr="005336FE">
        <w:rPr>
          <w:lang w:val="en-US"/>
        </w:rPr>
        <w:t>düzenlemeler</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uygulamalarla</w:t>
      </w:r>
      <w:proofErr w:type="spellEnd"/>
      <w:r w:rsidRPr="005336FE">
        <w:rPr>
          <w:lang w:val="en-US"/>
        </w:rPr>
        <w:t xml:space="preserve"> </w:t>
      </w:r>
      <w:proofErr w:type="spellStart"/>
      <w:r w:rsidRPr="005336FE">
        <w:rPr>
          <w:lang w:val="en-US"/>
        </w:rPr>
        <w:t>bir</w:t>
      </w:r>
      <w:proofErr w:type="spellEnd"/>
      <w:r w:rsidRPr="005336FE">
        <w:rPr>
          <w:lang w:val="en-US"/>
        </w:rPr>
        <w:t xml:space="preserve"> </w:t>
      </w:r>
      <w:proofErr w:type="spellStart"/>
      <w:r w:rsidRPr="005336FE">
        <w:rPr>
          <w:lang w:val="en-US"/>
        </w:rPr>
        <w:t>arada</w:t>
      </w:r>
      <w:proofErr w:type="spellEnd"/>
      <w:r w:rsidRPr="005336FE">
        <w:rPr>
          <w:lang w:val="en-US"/>
        </w:rPr>
        <w:t xml:space="preserve"> var </w:t>
      </w:r>
      <w:proofErr w:type="spellStart"/>
      <w:r w:rsidRPr="005336FE">
        <w:rPr>
          <w:lang w:val="en-US"/>
        </w:rPr>
        <w:t>olduğunu</w:t>
      </w:r>
      <w:proofErr w:type="spellEnd"/>
      <w:r w:rsidRPr="005336FE">
        <w:rPr>
          <w:lang w:val="en-US"/>
        </w:rPr>
        <w:t xml:space="preserve"> </w:t>
      </w:r>
      <w:proofErr w:type="spellStart"/>
      <w:r w:rsidRPr="005336FE">
        <w:rPr>
          <w:lang w:val="en-US"/>
        </w:rPr>
        <w:t>göstermektedir</w:t>
      </w:r>
      <w:proofErr w:type="spellEnd"/>
      <w:r w:rsidRPr="005336FE">
        <w:rPr>
          <w:lang w:val="en-US"/>
        </w:rPr>
        <w:t xml:space="preserve">. </w:t>
      </w:r>
      <w:proofErr w:type="spellStart"/>
      <w:r w:rsidRPr="005336FE">
        <w:rPr>
          <w:lang w:val="en-US"/>
        </w:rPr>
        <w:t>Bununla</w:t>
      </w:r>
      <w:proofErr w:type="spellEnd"/>
      <w:r w:rsidRPr="005336FE">
        <w:rPr>
          <w:lang w:val="en-US"/>
        </w:rPr>
        <w:t xml:space="preserve"> </w:t>
      </w:r>
      <w:proofErr w:type="spellStart"/>
      <w:r w:rsidRPr="005336FE">
        <w:rPr>
          <w:lang w:val="en-US"/>
        </w:rPr>
        <w:t>birlikte</w:t>
      </w:r>
      <w:proofErr w:type="spellEnd"/>
      <w:r w:rsidRPr="005336FE">
        <w:rPr>
          <w:lang w:val="en-US"/>
        </w:rPr>
        <w:t xml:space="preserve">, </w:t>
      </w:r>
      <w:proofErr w:type="spellStart"/>
      <w:r w:rsidRPr="005336FE">
        <w:rPr>
          <w:lang w:val="en-US"/>
        </w:rPr>
        <w:t>bu</w:t>
      </w:r>
      <w:proofErr w:type="spellEnd"/>
      <w:r w:rsidRPr="005336FE">
        <w:rPr>
          <w:lang w:val="en-US"/>
        </w:rPr>
        <w:t xml:space="preserve"> </w:t>
      </w:r>
      <w:proofErr w:type="spellStart"/>
      <w:r w:rsidRPr="005336FE">
        <w:rPr>
          <w:lang w:val="en-US"/>
        </w:rPr>
        <w:t>uygulamalar</w:t>
      </w:r>
      <w:proofErr w:type="spellEnd"/>
      <w:r w:rsidRPr="005336FE">
        <w:rPr>
          <w:lang w:val="en-US"/>
        </w:rPr>
        <w:t xml:space="preserve">, </w:t>
      </w:r>
      <w:proofErr w:type="spellStart"/>
      <w:r w:rsidRPr="005336FE">
        <w:rPr>
          <w:lang w:val="en-US"/>
        </w:rPr>
        <w:t>anayasal</w:t>
      </w:r>
      <w:proofErr w:type="spellEnd"/>
      <w:r w:rsidRPr="005336FE">
        <w:rPr>
          <w:lang w:val="en-US"/>
        </w:rPr>
        <w:t xml:space="preserve"> </w:t>
      </w:r>
      <w:proofErr w:type="spellStart"/>
      <w:r w:rsidRPr="005336FE">
        <w:rPr>
          <w:lang w:val="en-US"/>
        </w:rPr>
        <w:t>söylemin</w:t>
      </w:r>
      <w:proofErr w:type="spellEnd"/>
      <w:r w:rsidRPr="005336FE">
        <w:rPr>
          <w:lang w:val="en-US"/>
        </w:rPr>
        <w:t xml:space="preserve"> </w:t>
      </w:r>
      <w:proofErr w:type="spellStart"/>
      <w:r w:rsidRPr="005336FE">
        <w:rPr>
          <w:lang w:val="en-US"/>
        </w:rPr>
        <w:t>niteliğini</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anayasa</w:t>
      </w:r>
      <w:proofErr w:type="spellEnd"/>
      <w:r w:rsidRPr="005336FE">
        <w:rPr>
          <w:lang w:val="en-US"/>
        </w:rPr>
        <w:t xml:space="preserve"> </w:t>
      </w:r>
      <w:proofErr w:type="spellStart"/>
      <w:r w:rsidRPr="005336FE">
        <w:rPr>
          <w:lang w:val="en-US"/>
        </w:rPr>
        <w:t>hukukunun</w:t>
      </w:r>
      <w:proofErr w:type="spellEnd"/>
      <w:r w:rsidRPr="005336FE">
        <w:rPr>
          <w:lang w:val="en-US"/>
        </w:rPr>
        <w:t xml:space="preserve"> </w:t>
      </w:r>
      <w:proofErr w:type="spellStart"/>
      <w:r w:rsidRPr="005336FE">
        <w:rPr>
          <w:lang w:val="en-US"/>
        </w:rPr>
        <w:t>içeriğini</w:t>
      </w:r>
      <w:proofErr w:type="spellEnd"/>
      <w:r w:rsidRPr="005336FE">
        <w:rPr>
          <w:lang w:val="en-US"/>
        </w:rPr>
        <w:t xml:space="preserve"> </w:t>
      </w:r>
      <w:proofErr w:type="spellStart"/>
      <w:r w:rsidRPr="005336FE">
        <w:rPr>
          <w:lang w:val="en-US"/>
        </w:rPr>
        <w:t>şekillendirmede</w:t>
      </w:r>
      <w:proofErr w:type="spellEnd"/>
      <w:r w:rsidRPr="005336FE">
        <w:rPr>
          <w:lang w:val="en-US"/>
        </w:rPr>
        <w:t xml:space="preserve"> </w:t>
      </w:r>
      <w:proofErr w:type="spellStart"/>
      <w:r w:rsidRPr="005336FE">
        <w:rPr>
          <w:lang w:val="en-US"/>
        </w:rPr>
        <w:t>sıklıkla</w:t>
      </w:r>
      <w:proofErr w:type="spellEnd"/>
      <w:r w:rsidRPr="005336FE">
        <w:rPr>
          <w:lang w:val="en-US"/>
        </w:rPr>
        <w:t xml:space="preserve"> </w:t>
      </w:r>
      <w:proofErr w:type="spellStart"/>
      <w:r w:rsidRPr="005336FE">
        <w:rPr>
          <w:lang w:val="en-US"/>
        </w:rPr>
        <w:t>önemli</w:t>
      </w:r>
      <w:proofErr w:type="spellEnd"/>
      <w:r w:rsidRPr="005336FE">
        <w:rPr>
          <w:lang w:val="en-US"/>
        </w:rPr>
        <w:t xml:space="preserve"> </w:t>
      </w:r>
      <w:proofErr w:type="spellStart"/>
      <w:r w:rsidRPr="005336FE">
        <w:rPr>
          <w:lang w:val="en-US"/>
        </w:rPr>
        <w:t>bir</w:t>
      </w:r>
      <w:proofErr w:type="spellEnd"/>
      <w:r w:rsidRPr="005336FE">
        <w:rPr>
          <w:lang w:val="en-US"/>
        </w:rPr>
        <w:t xml:space="preserve"> </w:t>
      </w:r>
      <w:proofErr w:type="spellStart"/>
      <w:r w:rsidRPr="005336FE">
        <w:rPr>
          <w:lang w:val="en-US"/>
        </w:rPr>
        <w:t>rol</w:t>
      </w:r>
      <w:proofErr w:type="spellEnd"/>
      <w:r w:rsidRPr="005336FE">
        <w:rPr>
          <w:lang w:val="en-US"/>
        </w:rPr>
        <w:t xml:space="preserve"> </w:t>
      </w:r>
      <w:proofErr w:type="spellStart"/>
      <w:r w:rsidRPr="005336FE">
        <w:rPr>
          <w:lang w:val="en-US"/>
        </w:rPr>
        <w:t>oynamaktadır</w:t>
      </w:r>
      <w:proofErr w:type="spellEnd"/>
      <w:r w:rsidRPr="005336FE">
        <w:rPr>
          <w:lang w:val="en-US"/>
        </w:rPr>
        <w:t>.</w:t>
      </w:r>
      <w:r>
        <w:rPr>
          <w:lang w:val="en-US"/>
        </w:rPr>
        <w:t xml:space="preserve"> </w:t>
      </w:r>
      <w:r w:rsidRPr="005336FE">
        <w:rPr>
          <w:lang w:val="en-US"/>
        </w:rPr>
        <w:t xml:space="preserve">Bu </w:t>
      </w:r>
      <w:proofErr w:type="spellStart"/>
      <w:r w:rsidRPr="005336FE">
        <w:rPr>
          <w:lang w:val="en-US"/>
        </w:rPr>
        <w:t>bölüm</w:t>
      </w:r>
      <w:proofErr w:type="spellEnd"/>
      <w:r w:rsidRPr="005336FE">
        <w:rPr>
          <w:lang w:val="en-US"/>
        </w:rPr>
        <w:t xml:space="preserve">, </w:t>
      </w:r>
      <w:proofErr w:type="spellStart"/>
      <w:r w:rsidRPr="005336FE">
        <w:rPr>
          <w:lang w:val="en-US"/>
        </w:rPr>
        <w:t>anayasa</w:t>
      </w:r>
      <w:proofErr w:type="spellEnd"/>
      <w:r w:rsidRPr="005336FE">
        <w:rPr>
          <w:lang w:val="en-US"/>
        </w:rPr>
        <w:t xml:space="preserve"> </w:t>
      </w:r>
      <w:proofErr w:type="spellStart"/>
      <w:r w:rsidRPr="005336FE">
        <w:rPr>
          <w:lang w:val="en-US"/>
        </w:rPr>
        <w:t>kuramcılarının</w:t>
      </w:r>
      <w:proofErr w:type="spellEnd"/>
      <w:r w:rsidRPr="005336FE">
        <w:rPr>
          <w:lang w:val="en-US"/>
        </w:rPr>
        <w:t xml:space="preserve"> </w:t>
      </w:r>
      <w:proofErr w:type="spellStart"/>
      <w:r w:rsidRPr="005336FE">
        <w:rPr>
          <w:lang w:val="en-US"/>
        </w:rPr>
        <w:t>sınırlı</w:t>
      </w:r>
      <w:proofErr w:type="spellEnd"/>
      <w:r w:rsidRPr="005336FE">
        <w:rPr>
          <w:lang w:val="en-US"/>
        </w:rPr>
        <w:t xml:space="preserve"> </w:t>
      </w:r>
      <w:proofErr w:type="spellStart"/>
      <w:r w:rsidRPr="005336FE">
        <w:rPr>
          <w:lang w:val="en-US"/>
        </w:rPr>
        <w:t>ilgi</w:t>
      </w:r>
      <w:proofErr w:type="spellEnd"/>
      <w:r w:rsidRPr="005336FE">
        <w:rPr>
          <w:lang w:val="en-US"/>
        </w:rPr>
        <w:t xml:space="preserve"> </w:t>
      </w:r>
      <w:proofErr w:type="spellStart"/>
      <w:r w:rsidRPr="005336FE">
        <w:rPr>
          <w:lang w:val="en-US"/>
        </w:rPr>
        <w:t>gösterdiği</w:t>
      </w:r>
      <w:proofErr w:type="spellEnd"/>
      <w:r w:rsidRPr="005336FE">
        <w:rPr>
          <w:lang w:val="en-US"/>
        </w:rPr>
        <w:t xml:space="preserve"> </w:t>
      </w:r>
      <w:proofErr w:type="spellStart"/>
      <w:r w:rsidRPr="005336FE">
        <w:rPr>
          <w:lang w:val="en-US"/>
        </w:rPr>
        <w:t>çağdaş</w:t>
      </w:r>
      <w:proofErr w:type="spellEnd"/>
      <w:r w:rsidRPr="005336FE">
        <w:rPr>
          <w:lang w:val="en-US"/>
        </w:rPr>
        <w:t xml:space="preserve"> </w:t>
      </w:r>
      <w:proofErr w:type="spellStart"/>
      <w:r w:rsidRPr="005336FE">
        <w:rPr>
          <w:lang w:val="en-US"/>
        </w:rPr>
        <w:t>anayasal</w:t>
      </w:r>
      <w:proofErr w:type="spellEnd"/>
      <w:r w:rsidRPr="005336FE">
        <w:rPr>
          <w:lang w:val="en-US"/>
        </w:rPr>
        <w:t xml:space="preserve"> </w:t>
      </w:r>
      <w:proofErr w:type="spellStart"/>
      <w:r w:rsidRPr="005336FE">
        <w:rPr>
          <w:lang w:val="en-US"/>
        </w:rPr>
        <w:t>uygulama</w:t>
      </w:r>
      <w:proofErr w:type="spellEnd"/>
      <w:r w:rsidRPr="005336FE">
        <w:rPr>
          <w:lang w:val="en-US"/>
        </w:rPr>
        <w:t xml:space="preserve"> </w:t>
      </w:r>
      <w:proofErr w:type="spellStart"/>
      <w:r w:rsidRPr="005336FE">
        <w:rPr>
          <w:lang w:val="en-US"/>
        </w:rPr>
        <w:t>kümelerini</w:t>
      </w:r>
      <w:proofErr w:type="spellEnd"/>
      <w:r w:rsidRPr="005336FE">
        <w:rPr>
          <w:lang w:val="en-US"/>
        </w:rPr>
        <w:t xml:space="preserve"> </w:t>
      </w:r>
      <w:proofErr w:type="spellStart"/>
      <w:r w:rsidRPr="005336FE">
        <w:rPr>
          <w:lang w:val="en-US"/>
        </w:rPr>
        <w:t>inceleyerek</w:t>
      </w:r>
      <w:proofErr w:type="spellEnd"/>
      <w:r w:rsidRPr="005336FE">
        <w:rPr>
          <w:lang w:val="en-US"/>
        </w:rPr>
        <w:t xml:space="preserve"> </w:t>
      </w:r>
      <w:proofErr w:type="spellStart"/>
      <w:r w:rsidRPr="005336FE">
        <w:rPr>
          <w:lang w:val="en-US"/>
        </w:rPr>
        <w:t>bu</w:t>
      </w:r>
      <w:proofErr w:type="spellEnd"/>
      <w:r w:rsidRPr="005336FE">
        <w:rPr>
          <w:lang w:val="en-US"/>
        </w:rPr>
        <w:t xml:space="preserve"> </w:t>
      </w:r>
      <w:proofErr w:type="spellStart"/>
      <w:r w:rsidRPr="005336FE">
        <w:rPr>
          <w:lang w:val="en-US"/>
        </w:rPr>
        <w:t>iddiayı</w:t>
      </w:r>
      <w:proofErr w:type="spellEnd"/>
      <w:r w:rsidRPr="005336FE">
        <w:rPr>
          <w:lang w:val="en-US"/>
        </w:rPr>
        <w:t xml:space="preserve"> </w:t>
      </w:r>
      <w:proofErr w:type="spellStart"/>
      <w:r w:rsidRPr="005336FE">
        <w:rPr>
          <w:lang w:val="en-US"/>
        </w:rPr>
        <w:t>geliştirecektir</w:t>
      </w:r>
      <w:proofErr w:type="spellEnd"/>
      <w:r w:rsidRPr="005336FE">
        <w:rPr>
          <w:lang w:val="en-US"/>
        </w:rPr>
        <w:t xml:space="preserve">. Ele </w:t>
      </w:r>
      <w:proofErr w:type="spellStart"/>
      <w:r w:rsidRPr="005336FE">
        <w:rPr>
          <w:lang w:val="en-US"/>
        </w:rPr>
        <w:t>alınacak</w:t>
      </w:r>
      <w:proofErr w:type="spellEnd"/>
      <w:r w:rsidRPr="005336FE">
        <w:rPr>
          <w:lang w:val="en-US"/>
        </w:rPr>
        <w:t xml:space="preserve"> </w:t>
      </w:r>
      <w:proofErr w:type="spellStart"/>
      <w:r w:rsidRPr="005336FE">
        <w:rPr>
          <w:lang w:val="en-US"/>
        </w:rPr>
        <w:t>konular</w:t>
      </w:r>
      <w:proofErr w:type="spellEnd"/>
      <w:r w:rsidRPr="005336FE">
        <w:rPr>
          <w:lang w:val="en-US"/>
        </w:rPr>
        <w:t xml:space="preserve"> </w:t>
      </w:r>
      <w:proofErr w:type="spellStart"/>
      <w:r w:rsidRPr="005336FE">
        <w:rPr>
          <w:lang w:val="en-US"/>
        </w:rPr>
        <w:t>şunlardır</w:t>
      </w:r>
      <w:proofErr w:type="spellEnd"/>
      <w:r w:rsidRPr="005336FE">
        <w:rPr>
          <w:lang w:val="en-US"/>
        </w:rPr>
        <w:t>:</w:t>
      </w:r>
    </w:p>
    <w:p w14:paraId="4C24F15A" w14:textId="77777777" w:rsidR="005336FE" w:rsidRPr="005336FE" w:rsidRDefault="005336FE" w:rsidP="005336FE">
      <w:pPr>
        <w:numPr>
          <w:ilvl w:val="0"/>
          <w:numId w:val="12"/>
        </w:numPr>
        <w:rPr>
          <w:lang w:val="en-US"/>
        </w:rPr>
      </w:pPr>
      <w:proofErr w:type="spellStart"/>
      <w:r w:rsidRPr="005336FE">
        <w:rPr>
          <w:lang w:val="en-US"/>
        </w:rPr>
        <w:t>Hukuk</w:t>
      </w:r>
      <w:proofErr w:type="spellEnd"/>
      <w:r w:rsidRPr="005336FE">
        <w:rPr>
          <w:lang w:val="en-US"/>
        </w:rPr>
        <w:t xml:space="preserve"> </w:t>
      </w:r>
      <w:proofErr w:type="spellStart"/>
      <w:r w:rsidRPr="005336FE">
        <w:rPr>
          <w:lang w:val="en-US"/>
        </w:rPr>
        <w:t>katiplerinin</w:t>
      </w:r>
      <w:proofErr w:type="spellEnd"/>
      <w:r w:rsidRPr="005336FE">
        <w:rPr>
          <w:lang w:val="en-US"/>
        </w:rPr>
        <w:t xml:space="preserve"> (law clerks) </w:t>
      </w:r>
      <w:proofErr w:type="spellStart"/>
      <w:r w:rsidRPr="005336FE">
        <w:rPr>
          <w:lang w:val="en-US"/>
        </w:rPr>
        <w:t>rolü</w:t>
      </w:r>
      <w:proofErr w:type="spellEnd"/>
      <w:r w:rsidRPr="005336FE">
        <w:rPr>
          <w:lang w:val="en-US"/>
        </w:rPr>
        <w:t xml:space="preserve">, Yüksek </w:t>
      </w:r>
      <w:proofErr w:type="spellStart"/>
      <w:r w:rsidRPr="005336FE">
        <w:rPr>
          <w:lang w:val="en-US"/>
        </w:rPr>
        <w:t>Mahkeme</w:t>
      </w:r>
      <w:proofErr w:type="spellEnd"/>
      <w:r w:rsidRPr="005336FE">
        <w:rPr>
          <w:lang w:val="en-US"/>
        </w:rPr>
        <w:t xml:space="preserve"> </w:t>
      </w:r>
      <w:proofErr w:type="spellStart"/>
      <w:r w:rsidRPr="005336FE">
        <w:rPr>
          <w:lang w:val="en-US"/>
        </w:rPr>
        <w:t>yargıçları</w:t>
      </w:r>
      <w:proofErr w:type="spellEnd"/>
      <w:r w:rsidRPr="005336FE">
        <w:rPr>
          <w:lang w:val="en-US"/>
        </w:rPr>
        <w:t xml:space="preserve"> </w:t>
      </w:r>
      <w:proofErr w:type="spellStart"/>
      <w:r w:rsidRPr="005336FE">
        <w:rPr>
          <w:lang w:val="en-US"/>
        </w:rPr>
        <w:t>arasındaki</w:t>
      </w:r>
      <w:proofErr w:type="spellEnd"/>
      <w:r w:rsidRPr="005336FE">
        <w:rPr>
          <w:lang w:val="en-US"/>
        </w:rPr>
        <w:t xml:space="preserve"> </w:t>
      </w:r>
      <w:proofErr w:type="spellStart"/>
      <w:r w:rsidRPr="005336FE">
        <w:rPr>
          <w:lang w:val="en-US"/>
        </w:rPr>
        <w:t>sınırlı</w:t>
      </w:r>
      <w:proofErr w:type="spellEnd"/>
      <w:r w:rsidRPr="005336FE">
        <w:rPr>
          <w:lang w:val="en-US"/>
        </w:rPr>
        <w:t xml:space="preserve"> </w:t>
      </w:r>
      <w:proofErr w:type="spellStart"/>
      <w:r w:rsidRPr="005336FE">
        <w:rPr>
          <w:lang w:val="en-US"/>
        </w:rPr>
        <w:t>maddi</w:t>
      </w:r>
      <w:proofErr w:type="spellEnd"/>
      <w:r w:rsidRPr="005336FE">
        <w:rPr>
          <w:lang w:val="en-US"/>
        </w:rPr>
        <w:t xml:space="preserve"> </w:t>
      </w:r>
      <w:proofErr w:type="spellStart"/>
      <w:r w:rsidRPr="005336FE">
        <w:rPr>
          <w:lang w:val="en-US"/>
        </w:rPr>
        <w:t>etkileşim</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mevcut</w:t>
      </w:r>
      <w:proofErr w:type="spellEnd"/>
      <w:r w:rsidRPr="005336FE">
        <w:rPr>
          <w:lang w:val="en-US"/>
        </w:rPr>
        <w:t xml:space="preserve"> </w:t>
      </w:r>
      <w:proofErr w:type="spellStart"/>
      <w:r w:rsidRPr="005336FE">
        <w:rPr>
          <w:lang w:val="en-US"/>
        </w:rPr>
        <w:t>görüş</w:t>
      </w:r>
      <w:proofErr w:type="spellEnd"/>
      <w:r w:rsidRPr="005336FE">
        <w:rPr>
          <w:lang w:val="en-US"/>
        </w:rPr>
        <w:t xml:space="preserve"> </w:t>
      </w:r>
      <w:proofErr w:type="spellStart"/>
      <w:r w:rsidRPr="005336FE">
        <w:rPr>
          <w:lang w:val="en-US"/>
        </w:rPr>
        <w:t>yazımı</w:t>
      </w:r>
      <w:proofErr w:type="spellEnd"/>
      <w:r w:rsidRPr="005336FE">
        <w:rPr>
          <w:lang w:val="en-US"/>
        </w:rPr>
        <w:t xml:space="preserve"> </w:t>
      </w:r>
      <w:proofErr w:type="spellStart"/>
      <w:r w:rsidRPr="005336FE">
        <w:rPr>
          <w:lang w:val="en-US"/>
        </w:rPr>
        <w:t>modeli</w:t>
      </w:r>
      <w:proofErr w:type="spellEnd"/>
      <w:r w:rsidRPr="005336FE">
        <w:rPr>
          <w:lang w:val="en-US"/>
        </w:rPr>
        <w:t>,</w:t>
      </w:r>
    </w:p>
    <w:p w14:paraId="404BDE37" w14:textId="77777777" w:rsidR="005336FE" w:rsidRPr="005336FE" w:rsidRDefault="005336FE" w:rsidP="005336FE">
      <w:pPr>
        <w:numPr>
          <w:ilvl w:val="0"/>
          <w:numId w:val="12"/>
        </w:numPr>
        <w:rPr>
          <w:lang w:val="en-US"/>
        </w:rPr>
      </w:pPr>
      <w:r w:rsidRPr="005336FE">
        <w:rPr>
          <w:lang w:val="en-US"/>
        </w:rPr>
        <w:t xml:space="preserve">Amicus curiae </w:t>
      </w:r>
      <w:proofErr w:type="spellStart"/>
      <w:r w:rsidRPr="005336FE">
        <w:rPr>
          <w:lang w:val="en-US"/>
        </w:rPr>
        <w:t>dilekçelerinin</w:t>
      </w:r>
      <w:proofErr w:type="spellEnd"/>
      <w:r w:rsidRPr="005336FE">
        <w:rPr>
          <w:lang w:val="en-US"/>
        </w:rPr>
        <w:t xml:space="preserve"> (amicus briefs) </w:t>
      </w:r>
      <w:proofErr w:type="spellStart"/>
      <w:r w:rsidRPr="005336FE">
        <w:rPr>
          <w:lang w:val="en-US"/>
        </w:rPr>
        <w:t>artan</w:t>
      </w:r>
      <w:proofErr w:type="spellEnd"/>
      <w:r w:rsidRPr="005336FE">
        <w:rPr>
          <w:lang w:val="en-US"/>
        </w:rPr>
        <w:t xml:space="preserve"> </w:t>
      </w:r>
      <w:proofErr w:type="spellStart"/>
      <w:r w:rsidRPr="005336FE">
        <w:rPr>
          <w:lang w:val="en-US"/>
        </w:rPr>
        <w:t>kullanımı</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bu</w:t>
      </w:r>
      <w:proofErr w:type="spellEnd"/>
      <w:r w:rsidRPr="005336FE">
        <w:rPr>
          <w:lang w:val="en-US"/>
        </w:rPr>
        <w:t xml:space="preserve"> </w:t>
      </w:r>
      <w:proofErr w:type="spellStart"/>
      <w:r w:rsidRPr="005336FE">
        <w:rPr>
          <w:lang w:val="en-US"/>
        </w:rPr>
        <w:t>dilekçelerin</w:t>
      </w:r>
      <w:proofErr w:type="spellEnd"/>
      <w:r w:rsidRPr="005336FE">
        <w:rPr>
          <w:lang w:val="en-US"/>
        </w:rPr>
        <w:t xml:space="preserve"> </w:t>
      </w:r>
      <w:proofErr w:type="spellStart"/>
      <w:r w:rsidRPr="005336FE">
        <w:rPr>
          <w:lang w:val="en-US"/>
        </w:rPr>
        <w:t>davacılar</w:t>
      </w:r>
      <w:proofErr w:type="spellEnd"/>
      <w:r w:rsidRPr="005336FE">
        <w:rPr>
          <w:lang w:val="en-US"/>
        </w:rPr>
        <w:t xml:space="preserve">, </w:t>
      </w:r>
      <w:proofErr w:type="spellStart"/>
      <w:r w:rsidRPr="005336FE">
        <w:rPr>
          <w:lang w:val="en-US"/>
        </w:rPr>
        <w:t>çıkar</w:t>
      </w:r>
      <w:proofErr w:type="spellEnd"/>
      <w:r w:rsidRPr="005336FE">
        <w:rPr>
          <w:lang w:val="en-US"/>
        </w:rPr>
        <w:t xml:space="preserve"> </w:t>
      </w:r>
      <w:proofErr w:type="spellStart"/>
      <w:r w:rsidRPr="005336FE">
        <w:rPr>
          <w:lang w:val="en-US"/>
        </w:rPr>
        <w:t>grupları</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diğer</w:t>
      </w:r>
      <w:proofErr w:type="spellEnd"/>
      <w:r w:rsidRPr="005336FE">
        <w:rPr>
          <w:lang w:val="en-US"/>
        </w:rPr>
        <w:t xml:space="preserve"> </w:t>
      </w:r>
      <w:proofErr w:type="spellStart"/>
      <w:r w:rsidRPr="005336FE">
        <w:rPr>
          <w:lang w:val="en-US"/>
        </w:rPr>
        <w:t>aktörler</w:t>
      </w:r>
      <w:proofErr w:type="spellEnd"/>
      <w:r w:rsidRPr="005336FE">
        <w:rPr>
          <w:lang w:val="en-US"/>
        </w:rPr>
        <w:t xml:space="preserve"> </w:t>
      </w:r>
      <w:proofErr w:type="spellStart"/>
      <w:r w:rsidRPr="005336FE">
        <w:rPr>
          <w:lang w:val="en-US"/>
        </w:rPr>
        <w:t>tarafından</w:t>
      </w:r>
      <w:proofErr w:type="spellEnd"/>
      <w:r w:rsidRPr="005336FE">
        <w:rPr>
          <w:lang w:val="en-US"/>
        </w:rPr>
        <w:t xml:space="preserve"> </w:t>
      </w:r>
      <w:proofErr w:type="spellStart"/>
      <w:r w:rsidRPr="005336FE">
        <w:rPr>
          <w:lang w:val="en-US"/>
        </w:rPr>
        <w:t>giderek</w:t>
      </w:r>
      <w:proofErr w:type="spellEnd"/>
      <w:r w:rsidRPr="005336FE">
        <w:rPr>
          <w:lang w:val="en-US"/>
        </w:rPr>
        <w:t xml:space="preserve"> </w:t>
      </w:r>
      <w:proofErr w:type="spellStart"/>
      <w:r w:rsidRPr="005336FE">
        <w:rPr>
          <w:lang w:val="en-US"/>
        </w:rPr>
        <w:t>daha</w:t>
      </w:r>
      <w:proofErr w:type="spellEnd"/>
      <w:r w:rsidRPr="005336FE">
        <w:rPr>
          <w:lang w:val="en-US"/>
        </w:rPr>
        <w:t xml:space="preserve"> </w:t>
      </w:r>
      <w:proofErr w:type="spellStart"/>
      <w:r w:rsidRPr="005336FE">
        <w:rPr>
          <w:lang w:val="en-US"/>
        </w:rPr>
        <w:t>karmaşık</w:t>
      </w:r>
      <w:proofErr w:type="spellEnd"/>
      <w:r w:rsidRPr="005336FE">
        <w:rPr>
          <w:lang w:val="en-US"/>
        </w:rPr>
        <w:t xml:space="preserve"> </w:t>
      </w:r>
      <w:proofErr w:type="spellStart"/>
      <w:r w:rsidRPr="005336FE">
        <w:rPr>
          <w:lang w:val="en-US"/>
        </w:rPr>
        <w:t>biçimde</w:t>
      </w:r>
      <w:proofErr w:type="spellEnd"/>
      <w:r w:rsidRPr="005336FE">
        <w:rPr>
          <w:lang w:val="en-US"/>
        </w:rPr>
        <w:t xml:space="preserve"> </w:t>
      </w:r>
      <w:proofErr w:type="spellStart"/>
      <w:r w:rsidRPr="005336FE">
        <w:rPr>
          <w:lang w:val="en-US"/>
        </w:rPr>
        <w:t>kullanılması</w:t>
      </w:r>
      <w:proofErr w:type="spellEnd"/>
      <w:r w:rsidRPr="005336FE">
        <w:rPr>
          <w:lang w:val="en-US"/>
        </w:rPr>
        <w:t>,</w:t>
      </w:r>
    </w:p>
    <w:p w14:paraId="3998B9A0" w14:textId="77777777" w:rsidR="005336FE" w:rsidRPr="005336FE" w:rsidRDefault="005336FE" w:rsidP="005336FE">
      <w:pPr>
        <w:numPr>
          <w:ilvl w:val="0"/>
          <w:numId w:val="12"/>
        </w:numPr>
        <w:rPr>
          <w:lang w:val="en-US"/>
        </w:rPr>
      </w:pPr>
      <w:proofErr w:type="spellStart"/>
      <w:r w:rsidRPr="005336FE">
        <w:rPr>
          <w:lang w:val="en-US"/>
        </w:rPr>
        <w:t>Kamuoyunun</w:t>
      </w:r>
      <w:proofErr w:type="spellEnd"/>
      <w:r w:rsidRPr="005336FE">
        <w:rPr>
          <w:lang w:val="en-US"/>
        </w:rPr>
        <w:t xml:space="preserve"> </w:t>
      </w:r>
      <w:proofErr w:type="spellStart"/>
      <w:r w:rsidRPr="005336FE">
        <w:rPr>
          <w:lang w:val="en-US"/>
        </w:rPr>
        <w:t>genellikle</w:t>
      </w:r>
      <w:proofErr w:type="spellEnd"/>
      <w:r w:rsidRPr="005336FE">
        <w:rPr>
          <w:lang w:val="en-US"/>
        </w:rPr>
        <w:t xml:space="preserve"> Yüksek </w:t>
      </w:r>
      <w:proofErr w:type="spellStart"/>
      <w:r w:rsidRPr="005336FE">
        <w:rPr>
          <w:lang w:val="en-US"/>
        </w:rPr>
        <w:t>Mahkeme</w:t>
      </w:r>
      <w:proofErr w:type="spellEnd"/>
      <w:r w:rsidRPr="005336FE">
        <w:rPr>
          <w:lang w:val="en-US"/>
        </w:rPr>
        <w:t xml:space="preserve"> </w:t>
      </w:r>
      <w:proofErr w:type="spellStart"/>
      <w:r w:rsidRPr="005336FE">
        <w:rPr>
          <w:lang w:val="en-US"/>
        </w:rPr>
        <w:t>kararlarını</w:t>
      </w:r>
      <w:proofErr w:type="spellEnd"/>
      <w:r w:rsidRPr="005336FE">
        <w:rPr>
          <w:lang w:val="en-US"/>
        </w:rPr>
        <w:t xml:space="preserve"> </w:t>
      </w:r>
      <w:proofErr w:type="spellStart"/>
      <w:r w:rsidRPr="005336FE">
        <w:rPr>
          <w:lang w:val="en-US"/>
        </w:rPr>
        <w:t>doğrudan</w:t>
      </w:r>
      <w:proofErr w:type="spellEnd"/>
      <w:r w:rsidRPr="005336FE">
        <w:rPr>
          <w:lang w:val="en-US"/>
        </w:rPr>
        <w:t xml:space="preserve"> </w:t>
      </w:r>
      <w:proofErr w:type="spellStart"/>
      <w:r w:rsidRPr="005336FE">
        <w:rPr>
          <w:lang w:val="en-US"/>
        </w:rPr>
        <w:t>değil</w:t>
      </w:r>
      <w:proofErr w:type="spellEnd"/>
      <w:r w:rsidRPr="005336FE">
        <w:rPr>
          <w:lang w:val="en-US"/>
        </w:rPr>
        <w:t xml:space="preserve">, </w:t>
      </w:r>
      <w:proofErr w:type="spellStart"/>
      <w:r w:rsidRPr="005336FE">
        <w:rPr>
          <w:lang w:val="en-US"/>
        </w:rPr>
        <w:t>başka</w:t>
      </w:r>
      <w:proofErr w:type="spellEnd"/>
      <w:r w:rsidRPr="005336FE">
        <w:rPr>
          <w:lang w:val="en-US"/>
        </w:rPr>
        <w:t xml:space="preserve"> </w:t>
      </w:r>
      <w:proofErr w:type="spellStart"/>
      <w:r w:rsidRPr="005336FE">
        <w:rPr>
          <w:lang w:val="en-US"/>
        </w:rPr>
        <w:t>kaynaklar</w:t>
      </w:r>
      <w:proofErr w:type="spellEnd"/>
      <w:r w:rsidRPr="005336FE">
        <w:rPr>
          <w:lang w:val="en-US"/>
        </w:rPr>
        <w:t xml:space="preserve"> </w:t>
      </w:r>
      <w:proofErr w:type="spellStart"/>
      <w:r w:rsidRPr="005336FE">
        <w:rPr>
          <w:lang w:val="en-US"/>
        </w:rPr>
        <w:t>aracılığıyla</w:t>
      </w:r>
      <w:proofErr w:type="spellEnd"/>
      <w:r w:rsidRPr="005336FE">
        <w:rPr>
          <w:lang w:val="en-US"/>
        </w:rPr>
        <w:t xml:space="preserve"> </w:t>
      </w:r>
      <w:proofErr w:type="spellStart"/>
      <w:r w:rsidRPr="005336FE">
        <w:rPr>
          <w:lang w:val="en-US"/>
        </w:rPr>
        <w:t>öğrenmesi</w:t>
      </w:r>
      <w:proofErr w:type="spellEnd"/>
      <w:r w:rsidRPr="005336FE">
        <w:rPr>
          <w:lang w:val="en-US"/>
        </w:rPr>
        <w:t>,</w:t>
      </w:r>
    </w:p>
    <w:p w14:paraId="64971717" w14:textId="271CA60B" w:rsidR="005813C9" w:rsidRPr="005813C9" w:rsidRDefault="005336FE" w:rsidP="005813C9">
      <w:pPr>
        <w:numPr>
          <w:ilvl w:val="0"/>
          <w:numId w:val="12"/>
        </w:numPr>
        <w:rPr>
          <w:lang w:val="en-US"/>
        </w:rPr>
      </w:pPr>
      <w:r w:rsidRPr="005336FE">
        <w:rPr>
          <w:lang w:val="en-US"/>
        </w:rPr>
        <w:lastRenderedPageBreak/>
        <w:t xml:space="preserve">Alt </w:t>
      </w:r>
      <w:proofErr w:type="spellStart"/>
      <w:r w:rsidRPr="005336FE">
        <w:rPr>
          <w:lang w:val="en-US"/>
        </w:rPr>
        <w:t>mahkeme</w:t>
      </w:r>
      <w:proofErr w:type="spellEnd"/>
      <w:r w:rsidRPr="005336FE">
        <w:rPr>
          <w:lang w:val="en-US"/>
        </w:rPr>
        <w:t xml:space="preserve"> </w:t>
      </w:r>
      <w:proofErr w:type="spellStart"/>
      <w:r w:rsidRPr="005336FE">
        <w:rPr>
          <w:lang w:val="en-US"/>
        </w:rPr>
        <w:t>yargıçlarının</w:t>
      </w:r>
      <w:proofErr w:type="spellEnd"/>
      <w:r w:rsidRPr="005336FE">
        <w:rPr>
          <w:lang w:val="en-US"/>
        </w:rPr>
        <w:t xml:space="preserve"> </w:t>
      </w:r>
      <w:proofErr w:type="spellStart"/>
      <w:r w:rsidRPr="005336FE">
        <w:rPr>
          <w:lang w:val="en-US"/>
        </w:rPr>
        <w:t>aday</w:t>
      </w:r>
      <w:proofErr w:type="spellEnd"/>
      <w:r w:rsidRPr="005336FE">
        <w:rPr>
          <w:lang w:val="en-US"/>
        </w:rPr>
        <w:t xml:space="preserve"> </w:t>
      </w:r>
      <w:proofErr w:type="spellStart"/>
      <w:r w:rsidRPr="005336FE">
        <w:rPr>
          <w:lang w:val="en-US"/>
        </w:rPr>
        <w:t>gösterilmesi</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onaylanması</w:t>
      </w:r>
      <w:proofErr w:type="spellEnd"/>
      <w:r w:rsidRPr="005336FE">
        <w:rPr>
          <w:lang w:val="en-US"/>
        </w:rPr>
        <w:t xml:space="preserve"> </w:t>
      </w:r>
      <w:proofErr w:type="spellStart"/>
      <w:r w:rsidRPr="005336FE">
        <w:rPr>
          <w:lang w:val="en-US"/>
        </w:rPr>
        <w:t>sürecinin</w:t>
      </w:r>
      <w:proofErr w:type="spellEnd"/>
      <w:r w:rsidRPr="005336FE">
        <w:rPr>
          <w:lang w:val="en-US"/>
        </w:rPr>
        <w:t xml:space="preserve"> </w:t>
      </w:r>
      <w:proofErr w:type="spellStart"/>
      <w:r w:rsidRPr="005336FE">
        <w:rPr>
          <w:lang w:val="en-US"/>
        </w:rPr>
        <w:t>giderek</w:t>
      </w:r>
      <w:proofErr w:type="spellEnd"/>
      <w:r w:rsidRPr="005336FE">
        <w:rPr>
          <w:lang w:val="en-US"/>
        </w:rPr>
        <w:t xml:space="preserve"> </w:t>
      </w:r>
      <w:proofErr w:type="spellStart"/>
      <w:r w:rsidRPr="005336FE">
        <w:rPr>
          <w:lang w:val="en-US"/>
        </w:rPr>
        <w:t>daha</w:t>
      </w:r>
      <w:proofErr w:type="spellEnd"/>
      <w:r w:rsidRPr="005336FE">
        <w:rPr>
          <w:lang w:val="en-US"/>
        </w:rPr>
        <w:t xml:space="preserve"> partizan hale </w:t>
      </w:r>
      <w:proofErr w:type="spellStart"/>
      <w:r w:rsidRPr="005336FE">
        <w:rPr>
          <w:lang w:val="en-US"/>
        </w:rPr>
        <w:t>gelmesi</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ideolojik</w:t>
      </w:r>
      <w:proofErr w:type="spellEnd"/>
      <w:r w:rsidRPr="005336FE">
        <w:rPr>
          <w:lang w:val="en-US"/>
        </w:rPr>
        <w:t xml:space="preserve"> </w:t>
      </w:r>
      <w:proofErr w:type="spellStart"/>
      <w:r w:rsidRPr="005336FE">
        <w:rPr>
          <w:lang w:val="en-US"/>
        </w:rPr>
        <w:t>olarak</w:t>
      </w:r>
      <w:proofErr w:type="spellEnd"/>
      <w:r w:rsidRPr="005336FE">
        <w:rPr>
          <w:lang w:val="en-US"/>
        </w:rPr>
        <w:t xml:space="preserve"> </w:t>
      </w:r>
      <w:proofErr w:type="spellStart"/>
      <w:r w:rsidRPr="005336FE">
        <w:rPr>
          <w:lang w:val="en-US"/>
        </w:rPr>
        <w:t>örgütlenmiş</w:t>
      </w:r>
      <w:proofErr w:type="spellEnd"/>
      <w:r w:rsidRPr="005336FE">
        <w:rPr>
          <w:lang w:val="en-US"/>
        </w:rPr>
        <w:t xml:space="preserve"> </w:t>
      </w:r>
      <w:proofErr w:type="spellStart"/>
      <w:r w:rsidRPr="005336FE">
        <w:rPr>
          <w:lang w:val="en-US"/>
        </w:rPr>
        <w:t>alanların</w:t>
      </w:r>
      <w:proofErr w:type="spellEnd"/>
      <w:r w:rsidRPr="005336FE">
        <w:rPr>
          <w:lang w:val="en-US"/>
        </w:rPr>
        <w:t xml:space="preserve"> </w:t>
      </w:r>
      <w:proofErr w:type="spellStart"/>
      <w:r w:rsidRPr="005336FE">
        <w:rPr>
          <w:lang w:val="en-US"/>
        </w:rPr>
        <w:t>artışı</w:t>
      </w:r>
      <w:proofErr w:type="spellEnd"/>
      <w:r w:rsidRPr="005336FE">
        <w:rPr>
          <w:lang w:val="en-US"/>
        </w:rPr>
        <w:t xml:space="preserve">, </w:t>
      </w:r>
      <w:proofErr w:type="spellStart"/>
      <w:r w:rsidRPr="005336FE">
        <w:rPr>
          <w:lang w:val="en-US"/>
        </w:rPr>
        <w:t>bu</w:t>
      </w:r>
      <w:proofErr w:type="spellEnd"/>
      <w:r w:rsidRPr="005336FE">
        <w:rPr>
          <w:lang w:val="en-US"/>
        </w:rPr>
        <w:t xml:space="preserve"> </w:t>
      </w:r>
      <w:proofErr w:type="spellStart"/>
      <w:r w:rsidRPr="005336FE">
        <w:rPr>
          <w:lang w:val="en-US"/>
        </w:rPr>
        <w:t>alanlarda</w:t>
      </w:r>
      <w:proofErr w:type="spellEnd"/>
      <w:r w:rsidRPr="005336FE">
        <w:rPr>
          <w:lang w:val="en-US"/>
        </w:rPr>
        <w:t xml:space="preserve"> </w:t>
      </w:r>
      <w:proofErr w:type="spellStart"/>
      <w:r w:rsidRPr="005336FE">
        <w:rPr>
          <w:lang w:val="en-US"/>
        </w:rPr>
        <w:t>anayasal</w:t>
      </w:r>
      <w:proofErr w:type="spellEnd"/>
      <w:r w:rsidRPr="005336FE">
        <w:rPr>
          <w:lang w:val="en-US"/>
        </w:rPr>
        <w:t xml:space="preserve"> </w:t>
      </w:r>
      <w:proofErr w:type="spellStart"/>
      <w:r w:rsidRPr="005336FE">
        <w:rPr>
          <w:lang w:val="en-US"/>
        </w:rPr>
        <w:t>reformların</w:t>
      </w:r>
      <w:proofErr w:type="spellEnd"/>
      <w:r w:rsidRPr="005336FE">
        <w:rPr>
          <w:lang w:val="en-US"/>
        </w:rPr>
        <w:t xml:space="preserve"> </w:t>
      </w:r>
      <w:proofErr w:type="spellStart"/>
      <w:r w:rsidRPr="005336FE">
        <w:rPr>
          <w:lang w:val="en-US"/>
        </w:rPr>
        <w:t>savunulması</w:t>
      </w:r>
      <w:proofErr w:type="spellEnd"/>
      <w:r w:rsidRPr="005336FE">
        <w:rPr>
          <w:lang w:val="en-US"/>
        </w:rPr>
        <w:t xml:space="preserve"> </w:t>
      </w:r>
      <w:proofErr w:type="spellStart"/>
      <w:r w:rsidRPr="005336FE">
        <w:rPr>
          <w:lang w:val="en-US"/>
        </w:rPr>
        <w:t>ve</w:t>
      </w:r>
      <w:proofErr w:type="spellEnd"/>
      <w:r w:rsidRPr="005336FE">
        <w:rPr>
          <w:lang w:val="en-US"/>
        </w:rPr>
        <w:t xml:space="preserve"> </w:t>
      </w:r>
      <w:proofErr w:type="spellStart"/>
      <w:r w:rsidRPr="005336FE">
        <w:rPr>
          <w:lang w:val="en-US"/>
        </w:rPr>
        <w:t>ilgili</w:t>
      </w:r>
      <w:proofErr w:type="spellEnd"/>
      <w:r w:rsidRPr="005336FE">
        <w:rPr>
          <w:lang w:val="en-US"/>
        </w:rPr>
        <w:t xml:space="preserve"> </w:t>
      </w:r>
      <w:proofErr w:type="spellStart"/>
      <w:r w:rsidRPr="005336FE">
        <w:rPr>
          <w:lang w:val="en-US"/>
        </w:rPr>
        <w:t>fikirlerin</w:t>
      </w:r>
      <w:proofErr w:type="spellEnd"/>
      <w:r w:rsidRPr="005336FE">
        <w:rPr>
          <w:lang w:val="en-US"/>
        </w:rPr>
        <w:t xml:space="preserve"> </w:t>
      </w:r>
      <w:proofErr w:type="spellStart"/>
      <w:r w:rsidRPr="005336FE">
        <w:rPr>
          <w:lang w:val="en-US"/>
        </w:rPr>
        <w:t>geliştirilmesi</w:t>
      </w:r>
      <w:proofErr w:type="spellEnd"/>
      <w:r w:rsidRPr="005336FE">
        <w:rPr>
          <w:lang w:val="en-US"/>
        </w:rPr>
        <w:t>.⁷⁶</w:t>
      </w:r>
      <w:r>
        <w:rPr>
          <w:lang w:val="en-US"/>
        </w:rPr>
        <w:t xml:space="preserve"> </w:t>
      </w:r>
      <w:r>
        <w:rPr>
          <w:rStyle w:val="FootnoteReference"/>
          <w:lang w:val="en-US"/>
        </w:rPr>
        <w:footnoteReference w:id="76"/>
      </w:r>
    </w:p>
    <w:p w14:paraId="15719FF6" w14:textId="43125DBC" w:rsidR="006F612E" w:rsidRDefault="005813C9" w:rsidP="006F612E">
      <w:pPr>
        <w:rPr>
          <w:lang w:val="en-US"/>
        </w:rPr>
      </w:pPr>
      <w:proofErr w:type="spellStart"/>
      <w:r w:rsidRPr="005813C9">
        <w:rPr>
          <w:lang w:val="en-US"/>
        </w:rPr>
        <w:t>Ancak</w:t>
      </w:r>
      <w:proofErr w:type="spellEnd"/>
      <w:r w:rsidRPr="005813C9">
        <w:rPr>
          <w:lang w:val="en-US"/>
        </w:rPr>
        <w:t xml:space="preserve"> </w:t>
      </w:r>
      <w:proofErr w:type="spellStart"/>
      <w:r w:rsidRPr="005813C9">
        <w:rPr>
          <w:lang w:val="en-US"/>
        </w:rPr>
        <w:t>başlamadan</w:t>
      </w:r>
      <w:proofErr w:type="spellEnd"/>
      <w:r w:rsidRPr="005813C9">
        <w:rPr>
          <w:lang w:val="en-US"/>
        </w:rPr>
        <w:t xml:space="preserve"> </w:t>
      </w:r>
      <w:proofErr w:type="spellStart"/>
      <w:r w:rsidRPr="005813C9">
        <w:rPr>
          <w:lang w:val="en-US"/>
        </w:rPr>
        <w:t>önce</w:t>
      </w:r>
      <w:proofErr w:type="spellEnd"/>
      <w:r w:rsidRPr="005813C9">
        <w:rPr>
          <w:lang w:val="en-US"/>
        </w:rPr>
        <w:t xml:space="preserve"> </w:t>
      </w:r>
      <w:proofErr w:type="spellStart"/>
      <w:r w:rsidRPr="005813C9">
        <w:rPr>
          <w:lang w:val="en-US"/>
        </w:rPr>
        <w:t>birkaç</w:t>
      </w:r>
      <w:proofErr w:type="spellEnd"/>
      <w:r w:rsidRPr="005813C9">
        <w:rPr>
          <w:lang w:val="en-US"/>
        </w:rPr>
        <w:t xml:space="preserve"> </w:t>
      </w:r>
      <w:proofErr w:type="spellStart"/>
      <w:r w:rsidRPr="005813C9">
        <w:rPr>
          <w:lang w:val="en-US"/>
        </w:rPr>
        <w:t>hususu</w:t>
      </w:r>
      <w:proofErr w:type="spellEnd"/>
      <w:r w:rsidRPr="005813C9">
        <w:rPr>
          <w:lang w:val="en-US"/>
        </w:rPr>
        <w:t xml:space="preserve"> </w:t>
      </w:r>
      <w:proofErr w:type="spellStart"/>
      <w:r w:rsidRPr="005813C9">
        <w:rPr>
          <w:lang w:val="en-US"/>
        </w:rPr>
        <w:t>belirtmek</w:t>
      </w:r>
      <w:proofErr w:type="spellEnd"/>
      <w:r w:rsidRPr="005813C9">
        <w:rPr>
          <w:lang w:val="en-US"/>
        </w:rPr>
        <w:t xml:space="preserve"> </w:t>
      </w:r>
      <w:proofErr w:type="spellStart"/>
      <w:r w:rsidRPr="005813C9">
        <w:rPr>
          <w:lang w:val="en-US"/>
        </w:rPr>
        <w:t>gerekmektedir</w:t>
      </w:r>
      <w:proofErr w:type="spellEnd"/>
      <w:r w:rsidRPr="005813C9">
        <w:rPr>
          <w:lang w:val="en-US"/>
        </w:rPr>
        <w:t xml:space="preserve">. İlk </w:t>
      </w:r>
      <w:proofErr w:type="spellStart"/>
      <w:r w:rsidRPr="005813C9">
        <w:rPr>
          <w:lang w:val="en-US"/>
        </w:rPr>
        <w:t>olarak</w:t>
      </w:r>
      <w:proofErr w:type="spellEnd"/>
      <w:r w:rsidRPr="005813C9">
        <w:rPr>
          <w:lang w:val="en-US"/>
        </w:rPr>
        <w:t xml:space="preserve">, </w:t>
      </w:r>
      <w:proofErr w:type="spellStart"/>
      <w:r w:rsidRPr="005813C9">
        <w:rPr>
          <w:lang w:val="en-US"/>
        </w:rPr>
        <w:t>bu</w:t>
      </w:r>
      <w:proofErr w:type="spellEnd"/>
      <w:r w:rsidRPr="005813C9">
        <w:rPr>
          <w:lang w:val="en-US"/>
        </w:rPr>
        <w:t xml:space="preserve"> </w:t>
      </w:r>
      <w:proofErr w:type="spellStart"/>
      <w:r w:rsidRPr="005813C9">
        <w:rPr>
          <w:lang w:val="en-US"/>
        </w:rPr>
        <w:t>uygulamaların</w:t>
      </w:r>
      <w:proofErr w:type="spellEnd"/>
      <w:r w:rsidRPr="005813C9">
        <w:rPr>
          <w:lang w:val="en-US"/>
        </w:rPr>
        <w:t xml:space="preserve"> </w:t>
      </w:r>
      <w:proofErr w:type="spellStart"/>
      <w:r w:rsidRPr="005813C9">
        <w:rPr>
          <w:lang w:val="en-US"/>
        </w:rPr>
        <w:t>ve</w:t>
      </w:r>
      <w:proofErr w:type="spellEnd"/>
      <w:r w:rsidRPr="005813C9">
        <w:rPr>
          <w:lang w:val="en-US"/>
        </w:rPr>
        <w:t xml:space="preserve"> </w:t>
      </w:r>
      <w:proofErr w:type="spellStart"/>
      <w:r w:rsidRPr="005813C9">
        <w:rPr>
          <w:lang w:val="en-US"/>
        </w:rPr>
        <w:t>kurumsal</w:t>
      </w:r>
      <w:proofErr w:type="spellEnd"/>
      <w:r w:rsidRPr="005813C9">
        <w:rPr>
          <w:lang w:val="en-US"/>
        </w:rPr>
        <w:t xml:space="preserve"> </w:t>
      </w:r>
      <w:proofErr w:type="spellStart"/>
      <w:r w:rsidRPr="005813C9">
        <w:rPr>
          <w:lang w:val="en-US"/>
        </w:rPr>
        <w:t>düzenlemelerin</w:t>
      </w:r>
      <w:proofErr w:type="spellEnd"/>
      <w:r w:rsidRPr="005813C9">
        <w:rPr>
          <w:lang w:val="en-US"/>
        </w:rPr>
        <w:t xml:space="preserve">, </w:t>
      </w:r>
      <w:proofErr w:type="spellStart"/>
      <w:r w:rsidRPr="005813C9">
        <w:rPr>
          <w:lang w:val="en-US"/>
        </w:rPr>
        <w:t>önceki</w:t>
      </w:r>
      <w:proofErr w:type="spellEnd"/>
      <w:r w:rsidRPr="005813C9">
        <w:rPr>
          <w:lang w:val="en-US"/>
        </w:rPr>
        <w:t xml:space="preserve"> </w:t>
      </w:r>
      <w:proofErr w:type="spellStart"/>
      <w:r w:rsidRPr="005813C9">
        <w:rPr>
          <w:lang w:val="en-US"/>
        </w:rPr>
        <w:t>bölümde</w:t>
      </w:r>
      <w:proofErr w:type="spellEnd"/>
      <w:r w:rsidRPr="005813C9">
        <w:rPr>
          <w:lang w:val="en-US"/>
        </w:rPr>
        <w:t xml:space="preserve"> </w:t>
      </w:r>
      <w:proofErr w:type="spellStart"/>
      <w:r w:rsidRPr="005813C9">
        <w:rPr>
          <w:lang w:val="en-US"/>
        </w:rPr>
        <w:t>ele</w:t>
      </w:r>
      <w:proofErr w:type="spellEnd"/>
      <w:r w:rsidRPr="005813C9">
        <w:rPr>
          <w:lang w:val="en-US"/>
        </w:rPr>
        <w:t xml:space="preserve"> </w:t>
      </w:r>
      <w:proofErr w:type="spellStart"/>
      <w:r w:rsidRPr="005813C9">
        <w:rPr>
          <w:lang w:val="en-US"/>
        </w:rPr>
        <w:t>alınan</w:t>
      </w:r>
      <w:proofErr w:type="spellEnd"/>
      <w:r w:rsidRPr="005813C9">
        <w:rPr>
          <w:lang w:val="en-US"/>
        </w:rPr>
        <w:t xml:space="preserve"> </w:t>
      </w:r>
      <w:proofErr w:type="spellStart"/>
      <w:r w:rsidRPr="005813C9">
        <w:rPr>
          <w:lang w:val="en-US"/>
        </w:rPr>
        <w:t>unsurlar</w:t>
      </w:r>
      <w:proofErr w:type="spellEnd"/>
      <w:r w:rsidRPr="005813C9">
        <w:rPr>
          <w:lang w:val="en-US"/>
        </w:rPr>
        <w:t xml:space="preserve"> </w:t>
      </w:r>
      <w:proofErr w:type="spellStart"/>
      <w:r w:rsidRPr="005813C9">
        <w:rPr>
          <w:lang w:val="en-US"/>
        </w:rPr>
        <w:t>kadar</w:t>
      </w:r>
      <w:proofErr w:type="spellEnd"/>
      <w:r w:rsidRPr="005813C9">
        <w:rPr>
          <w:lang w:val="en-US"/>
        </w:rPr>
        <w:t xml:space="preserve"> </w:t>
      </w:r>
      <w:proofErr w:type="spellStart"/>
      <w:r w:rsidRPr="005813C9">
        <w:rPr>
          <w:lang w:val="en-US"/>
        </w:rPr>
        <w:t>önemli</w:t>
      </w:r>
      <w:proofErr w:type="spellEnd"/>
      <w:r w:rsidRPr="005813C9">
        <w:rPr>
          <w:lang w:val="en-US"/>
        </w:rPr>
        <w:t xml:space="preserve"> </w:t>
      </w:r>
      <w:proofErr w:type="spellStart"/>
      <w:r w:rsidRPr="005813C9">
        <w:rPr>
          <w:lang w:val="en-US"/>
        </w:rPr>
        <w:t>olduğunu</w:t>
      </w:r>
      <w:proofErr w:type="spellEnd"/>
      <w:r w:rsidRPr="005813C9">
        <w:rPr>
          <w:lang w:val="en-US"/>
        </w:rPr>
        <w:t xml:space="preserve"> </w:t>
      </w:r>
      <w:proofErr w:type="spellStart"/>
      <w:r w:rsidRPr="005813C9">
        <w:rPr>
          <w:lang w:val="en-US"/>
        </w:rPr>
        <w:t>ya</w:t>
      </w:r>
      <w:proofErr w:type="spellEnd"/>
      <w:r w:rsidRPr="005813C9">
        <w:rPr>
          <w:lang w:val="en-US"/>
        </w:rPr>
        <w:t xml:space="preserve"> da </w:t>
      </w:r>
      <w:proofErr w:type="spellStart"/>
      <w:r w:rsidRPr="005813C9">
        <w:rPr>
          <w:lang w:val="en-US"/>
        </w:rPr>
        <w:t>olmadığını</w:t>
      </w:r>
      <w:proofErr w:type="spellEnd"/>
      <w:r w:rsidRPr="005813C9">
        <w:rPr>
          <w:lang w:val="en-US"/>
        </w:rPr>
        <w:t xml:space="preserve"> </w:t>
      </w:r>
      <w:proofErr w:type="spellStart"/>
      <w:r w:rsidRPr="005813C9">
        <w:rPr>
          <w:lang w:val="en-US"/>
        </w:rPr>
        <w:t>iddia</w:t>
      </w:r>
      <w:proofErr w:type="spellEnd"/>
      <w:r w:rsidRPr="005813C9">
        <w:rPr>
          <w:lang w:val="en-US"/>
        </w:rPr>
        <w:t xml:space="preserve"> </w:t>
      </w:r>
      <w:proofErr w:type="spellStart"/>
      <w:r w:rsidRPr="005813C9">
        <w:rPr>
          <w:lang w:val="en-US"/>
        </w:rPr>
        <w:t>etmiyorum</w:t>
      </w:r>
      <w:proofErr w:type="spellEnd"/>
      <w:r w:rsidRPr="005813C9">
        <w:rPr>
          <w:lang w:val="en-US"/>
        </w:rPr>
        <w:t xml:space="preserve">. Bunun </w:t>
      </w:r>
      <w:proofErr w:type="spellStart"/>
      <w:r w:rsidRPr="005813C9">
        <w:rPr>
          <w:lang w:val="en-US"/>
        </w:rPr>
        <w:t>yerine</w:t>
      </w:r>
      <w:proofErr w:type="spellEnd"/>
      <w:r w:rsidRPr="005813C9">
        <w:rPr>
          <w:lang w:val="en-US"/>
        </w:rPr>
        <w:t xml:space="preserve">, </w:t>
      </w:r>
      <w:proofErr w:type="spellStart"/>
      <w:r w:rsidRPr="005813C9">
        <w:rPr>
          <w:lang w:val="en-US"/>
        </w:rPr>
        <w:t>bu</w:t>
      </w:r>
      <w:proofErr w:type="spellEnd"/>
      <w:r w:rsidRPr="005813C9">
        <w:rPr>
          <w:lang w:val="en-US"/>
        </w:rPr>
        <w:t xml:space="preserve"> </w:t>
      </w:r>
      <w:proofErr w:type="spellStart"/>
      <w:r w:rsidRPr="005813C9">
        <w:rPr>
          <w:lang w:val="en-US"/>
        </w:rPr>
        <w:t>anayasal</w:t>
      </w:r>
      <w:proofErr w:type="spellEnd"/>
      <w:r w:rsidRPr="005813C9">
        <w:rPr>
          <w:lang w:val="en-US"/>
        </w:rPr>
        <w:t xml:space="preserve"> </w:t>
      </w:r>
      <w:proofErr w:type="spellStart"/>
      <w:r w:rsidRPr="005813C9">
        <w:rPr>
          <w:lang w:val="en-US"/>
        </w:rPr>
        <w:t>kültür</w:t>
      </w:r>
      <w:proofErr w:type="spellEnd"/>
      <w:r w:rsidRPr="005813C9">
        <w:rPr>
          <w:lang w:val="en-US"/>
        </w:rPr>
        <w:t xml:space="preserve"> </w:t>
      </w:r>
      <w:proofErr w:type="spellStart"/>
      <w:r w:rsidRPr="005813C9">
        <w:rPr>
          <w:lang w:val="en-US"/>
        </w:rPr>
        <w:t>unsurlarının</w:t>
      </w:r>
      <w:proofErr w:type="spellEnd"/>
      <w:r w:rsidRPr="005813C9">
        <w:rPr>
          <w:lang w:val="en-US"/>
        </w:rPr>
        <w:t xml:space="preserve"> </w:t>
      </w:r>
      <w:proofErr w:type="spellStart"/>
      <w:r w:rsidRPr="005813C9">
        <w:rPr>
          <w:lang w:val="en-US"/>
        </w:rPr>
        <w:t>anayasa</w:t>
      </w:r>
      <w:proofErr w:type="spellEnd"/>
      <w:r w:rsidRPr="005813C9">
        <w:rPr>
          <w:lang w:val="en-US"/>
        </w:rPr>
        <w:t xml:space="preserve"> </w:t>
      </w:r>
      <w:proofErr w:type="spellStart"/>
      <w:r w:rsidRPr="005813C9">
        <w:rPr>
          <w:lang w:val="en-US"/>
        </w:rPr>
        <w:t>hukukunun</w:t>
      </w:r>
      <w:proofErr w:type="spellEnd"/>
      <w:r w:rsidRPr="005813C9">
        <w:rPr>
          <w:lang w:val="en-US"/>
        </w:rPr>
        <w:t xml:space="preserve"> </w:t>
      </w:r>
      <w:proofErr w:type="spellStart"/>
      <w:r w:rsidRPr="005813C9">
        <w:rPr>
          <w:lang w:val="en-US"/>
        </w:rPr>
        <w:t>içeriği</w:t>
      </w:r>
      <w:proofErr w:type="spellEnd"/>
      <w:r w:rsidRPr="005813C9">
        <w:rPr>
          <w:lang w:val="en-US"/>
        </w:rPr>
        <w:t xml:space="preserve"> </w:t>
      </w:r>
      <w:proofErr w:type="spellStart"/>
      <w:r w:rsidRPr="005813C9">
        <w:rPr>
          <w:lang w:val="en-US"/>
        </w:rPr>
        <w:t>üzerinde</w:t>
      </w:r>
      <w:proofErr w:type="spellEnd"/>
      <w:r w:rsidRPr="005813C9">
        <w:rPr>
          <w:lang w:val="en-US"/>
        </w:rPr>
        <w:t xml:space="preserve"> </w:t>
      </w:r>
      <w:proofErr w:type="spellStart"/>
      <w:r w:rsidRPr="005813C9">
        <w:rPr>
          <w:lang w:val="en-US"/>
        </w:rPr>
        <w:t>ciddi</w:t>
      </w:r>
      <w:proofErr w:type="spellEnd"/>
      <w:r w:rsidRPr="005813C9">
        <w:rPr>
          <w:lang w:val="en-US"/>
        </w:rPr>
        <w:t xml:space="preserve"> </w:t>
      </w:r>
      <w:proofErr w:type="spellStart"/>
      <w:r w:rsidRPr="005813C9">
        <w:rPr>
          <w:lang w:val="en-US"/>
        </w:rPr>
        <w:t>sonuçlar</w:t>
      </w:r>
      <w:proofErr w:type="spellEnd"/>
      <w:r w:rsidRPr="005813C9">
        <w:rPr>
          <w:lang w:val="en-US"/>
        </w:rPr>
        <w:t xml:space="preserve"> </w:t>
      </w:r>
      <w:proofErr w:type="spellStart"/>
      <w:r w:rsidRPr="005813C9">
        <w:rPr>
          <w:lang w:val="en-US"/>
        </w:rPr>
        <w:t>doğurduğunun</w:t>
      </w:r>
      <w:proofErr w:type="spellEnd"/>
      <w:r w:rsidRPr="005813C9">
        <w:rPr>
          <w:lang w:val="en-US"/>
        </w:rPr>
        <w:t xml:space="preserve"> </w:t>
      </w:r>
      <w:proofErr w:type="spellStart"/>
      <w:r w:rsidRPr="005813C9">
        <w:rPr>
          <w:lang w:val="en-US"/>
        </w:rPr>
        <w:t>gösterilebilir</w:t>
      </w:r>
      <w:proofErr w:type="spellEnd"/>
      <w:r w:rsidRPr="005813C9">
        <w:rPr>
          <w:lang w:val="en-US"/>
        </w:rPr>
        <w:t xml:space="preserve"> </w:t>
      </w:r>
      <w:proofErr w:type="spellStart"/>
      <w:r w:rsidRPr="005813C9">
        <w:rPr>
          <w:lang w:val="en-US"/>
        </w:rPr>
        <w:t>olduğunu</w:t>
      </w:r>
      <w:proofErr w:type="spellEnd"/>
      <w:r w:rsidRPr="005813C9">
        <w:rPr>
          <w:lang w:val="en-US"/>
        </w:rPr>
        <w:t xml:space="preserve"> </w:t>
      </w:r>
      <w:proofErr w:type="spellStart"/>
      <w:r w:rsidRPr="005813C9">
        <w:rPr>
          <w:lang w:val="en-US"/>
        </w:rPr>
        <w:t>düşünüyorum</w:t>
      </w:r>
      <w:proofErr w:type="spellEnd"/>
      <w:r w:rsidRPr="005813C9">
        <w:rPr>
          <w:lang w:val="en-US"/>
        </w:rPr>
        <w:t xml:space="preserve">. </w:t>
      </w:r>
      <w:proofErr w:type="spellStart"/>
      <w:r w:rsidRPr="005813C9">
        <w:rPr>
          <w:lang w:val="en-US"/>
        </w:rPr>
        <w:t>Ancak</w:t>
      </w:r>
      <w:proofErr w:type="spellEnd"/>
      <w:r w:rsidRPr="005813C9">
        <w:rPr>
          <w:lang w:val="en-US"/>
        </w:rPr>
        <w:t xml:space="preserve">, </w:t>
      </w:r>
      <w:proofErr w:type="spellStart"/>
      <w:r w:rsidRPr="005813C9">
        <w:rPr>
          <w:lang w:val="en-US"/>
        </w:rPr>
        <w:t>anayasal</w:t>
      </w:r>
      <w:proofErr w:type="spellEnd"/>
      <w:r w:rsidRPr="005813C9">
        <w:rPr>
          <w:lang w:val="en-US"/>
        </w:rPr>
        <w:t xml:space="preserve"> </w:t>
      </w:r>
      <w:proofErr w:type="spellStart"/>
      <w:r w:rsidRPr="005813C9">
        <w:rPr>
          <w:lang w:val="en-US"/>
        </w:rPr>
        <w:t>yapının</w:t>
      </w:r>
      <w:proofErr w:type="spellEnd"/>
      <w:r w:rsidRPr="005813C9">
        <w:rPr>
          <w:lang w:val="en-US"/>
        </w:rPr>
        <w:t xml:space="preserve"> </w:t>
      </w:r>
      <w:proofErr w:type="spellStart"/>
      <w:r w:rsidRPr="005813C9">
        <w:rPr>
          <w:lang w:val="en-US"/>
        </w:rPr>
        <w:t>bu</w:t>
      </w:r>
      <w:proofErr w:type="spellEnd"/>
      <w:r w:rsidRPr="005813C9">
        <w:rPr>
          <w:lang w:val="en-US"/>
        </w:rPr>
        <w:t xml:space="preserve"> </w:t>
      </w:r>
      <w:proofErr w:type="spellStart"/>
      <w:r w:rsidRPr="005813C9">
        <w:rPr>
          <w:lang w:val="en-US"/>
        </w:rPr>
        <w:t>farklı</w:t>
      </w:r>
      <w:proofErr w:type="spellEnd"/>
      <w:r w:rsidRPr="005813C9">
        <w:rPr>
          <w:lang w:val="en-US"/>
        </w:rPr>
        <w:t xml:space="preserve"> </w:t>
      </w:r>
      <w:proofErr w:type="spellStart"/>
      <w:r w:rsidRPr="005813C9">
        <w:rPr>
          <w:lang w:val="en-US"/>
        </w:rPr>
        <w:t>parçalarının</w:t>
      </w:r>
      <w:proofErr w:type="spellEnd"/>
      <w:r w:rsidRPr="005813C9">
        <w:rPr>
          <w:lang w:val="en-US"/>
        </w:rPr>
        <w:t xml:space="preserve"> </w:t>
      </w:r>
      <w:proofErr w:type="spellStart"/>
      <w:r w:rsidRPr="005813C9">
        <w:rPr>
          <w:lang w:val="en-US"/>
        </w:rPr>
        <w:t>göreceli</w:t>
      </w:r>
      <w:proofErr w:type="spellEnd"/>
      <w:r w:rsidRPr="005813C9">
        <w:rPr>
          <w:lang w:val="en-US"/>
        </w:rPr>
        <w:t xml:space="preserve"> </w:t>
      </w:r>
      <w:proofErr w:type="spellStart"/>
      <w:r w:rsidRPr="005813C9">
        <w:rPr>
          <w:lang w:val="en-US"/>
        </w:rPr>
        <w:t>önemini</w:t>
      </w:r>
      <w:proofErr w:type="spellEnd"/>
      <w:r w:rsidRPr="005813C9">
        <w:rPr>
          <w:lang w:val="en-US"/>
        </w:rPr>
        <w:t xml:space="preserve"> </w:t>
      </w:r>
      <w:proofErr w:type="spellStart"/>
      <w:r w:rsidRPr="005813C9">
        <w:rPr>
          <w:lang w:val="en-US"/>
        </w:rPr>
        <w:t>ölçmek</w:t>
      </w:r>
      <w:proofErr w:type="spellEnd"/>
      <w:r w:rsidRPr="005813C9">
        <w:rPr>
          <w:lang w:val="en-US"/>
        </w:rPr>
        <w:t xml:space="preserve"> </w:t>
      </w:r>
      <w:proofErr w:type="spellStart"/>
      <w:r w:rsidRPr="005813C9">
        <w:rPr>
          <w:lang w:val="en-US"/>
        </w:rPr>
        <w:t>için</w:t>
      </w:r>
      <w:proofErr w:type="spellEnd"/>
      <w:r w:rsidRPr="005813C9">
        <w:rPr>
          <w:lang w:val="en-US"/>
        </w:rPr>
        <w:t xml:space="preserve"> </w:t>
      </w:r>
      <w:proofErr w:type="spellStart"/>
      <w:r w:rsidRPr="005813C9">
        <w:rPr>
          <w:lang w:val="en-US"/>
        </w:rPr>
        <w:t>elimde</w:t>
      </w:r>
      <w:proofErr w:type="spellEnd"/>
      <w:r w:rsidRPr="005813C9">
        <w:rPr>
          <w:lang w:val="en-US"/>
        </w:rPr>
        <w:t xml:space="preserve"> </w:t>
      </w:r>
      <w:proofErr w:type="spellStart"/>
      <w:r w:rsidRPr="005813C9">
        <w:rPr>
          <w:lang w:val="en-US"/>
        </w:rPr>
        <w:t>bir</w:t>
      </w:r>
      <w:proofErr w:type="spellEnd"/>
      <w:r w:rsidRPr="005813C9">
        <w:rPr>
          <w:lang w:val="en-US"/>
        </w:rPr>
        <w:t xml:space="preserve"> </w:t>
      </w:r>
      <w:proofErr w:type="spellStart"/>
      <w:r w:rsidRPr="005813C9">
        <w:rPr>
          <w:lang w:val="en-US"/>
        </w:rPr>
        <w:t>mekanizma</w:t>
      </w:r>
      <w:proofErr w:type="spellEnd"/>
      <w:r w:rsidRPr="005813C9">
        <w:rPr>
          <w:lang w:val="en-US"/>
        </w:rPr>
        <w:t xml:space="preserve"> </w:t>
      </w:r>
      <w:proofErr w:type="spellStart"/>
      <w:r w:rsidRPr="005813C9">
        <w:rPr>
          <w:lang w:val="en-US"/>
        </w:rPr>
        <w:t>bulunmadığı</w:t>
      </w:r>
      <w:proofErr w:type="spellEnd"/>
      <w:r w:rsidRPr="005813C9">
        <w:rPr>
          <w:lang w:val="en-US"/>
        </w:rPr>
        <w:t xml:space="preserve"> </w:t>
      </w:r>
      <w:proofErr w:type="spellStart"/>
      <w:r w:rsidRPr="005813C9">
        <w:rPr>
          <w:lang w:val="en-US"/>
        </w:rPr>
        <w:t>gibi</w:t>
      </w:r>
      <w:proofErr w:type="spellEnd"/>
      <w:r w:rsidRPr="005813C9">
        <w:rPr>
          <w:lang w:val="en-US"/>
        </w:rPr>
        <w:t xml:space="preserve">, </w:t>
      </w:r>
      <w:proofErr w:type="spellStart"/>
      <w:r w:rsidRPr="005813C9">
        <w:rPr>
          <w:lang w:val="en-US"/>
        </w:rPr>
        <w:t>böyle</w:t>
      </w:r>
      <w:proofErr w:type="spellEnd"/>
      <w:r w:rsidRPr="005813C9">
        <w:rPr>
          <w:lang w:val="en-US"/>
        </w:rPr>
        <w:t xml:space="preserve"> </w:t>
      </w:r>
      <w:proofErr w:type="spellStart"/>
      <w:r w:rsidRPr="005813C9">
        <w:rPr>
          <w:lang w:val="en-US"/>
        </w:rPr>
        <w:t>bir</w:t>
      </w:r>
      <w:proofErr w:type="spellEnd"/>
      <w:r w:rsidRPr="005813C9">
        <w:rPr>
          <w:lang w:val="en-US"/>
        </w:rPr>
        <w:t xml:space="preserve"> </w:t>
      </w:r>
      <w:proofErr w:type="spellStart"/>
      <w:r w:rsidRPr="005813C9">
        <w:rPr>
          <w:lang w:val="en-US"/>
        </w:rPr>
        <w:t>ölçüm</w:t>
      </w:r>
      <w:proofErr w:type="spellEnd"/>
      <w:r w:rsidRPr="005813C9">
        <w:rPr>
          <w:lang w:val="en-US"/>
        </w:rPr>
        <w:t xml:space="preserve"> </w:t>
      </w:r>
      <w:proofErr w:type="spellStart"/>
      <w:r w:rsidRPr="005813C9">
        <w:rPr>
          <w:lang w:val="en-US"/>
        </w:rPr>
        <w:t>yapma</w:t>
      </w:r>
      <w:proofErr w:type="spellEnd"/>
      <w:r w:rsidRPr="005813C9">
        <w:rPr>
          <w:lang w:val="en-US"/>
        </w:rPr>
        <w:t xml:space="preserve"> </w:t>
      </w:r>
      <w:proofErr w:type="spellStart"/>
      <w:r w:rsidRPr="005813C9">
        <w:rPr>
          <w:lang w:val="en-US"/>
        </w:rPr>
        <w:t>niyetim</w:t>
      </w:r>
      <w:proofErr w:type="spellEnd"/>
      <w:r w:rsidRPr="005813C9">
        <w:rPr>
          <w:lang w:val="en-US"/>
        </w:rPr>
        <w:t xml:space="preserve"> de </w:t>
      </w:r>
      <w:proofErr w:type="spellStart"/>
      <w:r w:rsidRPr="005813C9">
        <w:rPr>
          <w:lang w:val="en-US"/>
        </w:rPr>
        <w:t>yoktur</w:t>
      </w:r>
      <w:proofErr w:type="spellEnd"/>
      <w:r w:rsidRPr="005813C9">
        <w:rPr>
          <w:lang w:val="en-US"/>
        </w:rPr>
        <w:t>.</w:t>
      </w:r>
      <w:r w:rsidR="008F6167">
        <w:rPr>
          <w:lang w:val="en-US"/>
        </w:rPr>
        <w:t xml:space="preserve"> </w:t>
      </w:r>
    </w:p>
    <w:p w14:paraId="6EC2FCBB" w14:textId="77777777" w:rsidR="008D7AD1" w:rsidRDefault="008D7AD1" w:rsidP="008D7AD1">
      <w:pPr>
        <w:rPr>
          <w:lang w:val="en-US"/>
        </w:rPr>
      </w:pPr>
      <w:proofErr w:type="spellStart"/>
      <w:r w:rsidRPr="008D7AD1">
        <w:rPr>
          <w:lang w:val="en-US"/>
        </w:rPr>
        <w:t>İkinci</w:t>
      </w:r>
      <w:proofErr w:type="spellEnd"/>
      <w:r w:rsidRPr="008D7AD1">
        <w:rPr>
          <w:lang w:val="en-US"/>
        </w:rPr>
        <w:t xml:space="preserve"> </w:t>
      </w:r>
      <w:proofErr w:type="spellStart"/>
      <w:r w:rsidRPr="008D7AD1">
        <w:rPr>
          <w:lang w:val="en-US"/>
        </w:rPr>
        <w:t>olarak</w:t>
      </w:r>
      <w:proofErr w:type="spellEnd"/>
      <w:r w:rsidRPr="008D7AD1">
        <w:rPr>
          <w:lang w:val="en-US"/>
        </w:rPr>
        <w:t xml:space="preserve">, </w:t>
      </w:r>
      <w:proofErr w:type="spellStart"/>
      <w:r w:rsidRPr="008D7AD1">
        <w:rPr>
          <w:lang w:val="en-US"/>
        </w:rPr>
        <w:t>bu</w:t>
      </w:r>
      <w:proofErr w:type="spellEnd"/>
      <w:r w:rsidRPr="008D7AD1">
        <w:rPr>
          <w:lang w:val="en-US"/>
        </w:rPr>
        <w:t xml:space="preserve"> </w:t>
      </w:r>
      <w:proofErr w:type="spellStart"/>
      <w:r w:rsidRPr="008D7AD1">
        <w:rPr>
          <w:lang w:val="en-US"/>
        </w:rPr>
        <w:t>bölümde</w:t>
      </w:r>
      <w:proofErr w:type="spellEnd"/>
      <w:r w:rsidRPr="008D7AD1">
        <w:rPr>
          <w:lang w:val="en-US"/>
        </w:rPr>
        <w:t xml:space="preserve"> </w:t>
      </w:r>
      <w:proofErr w:type="spellStart"/>
      <w:r w:rsidRPr="008D7AD1">
        <w:rPr>
          <w:lang w:val="en-US"/>
        </w:rPr>
        <w:t>açıklanan</w:t>
      </w:r>
      <w:proofErr w:type="spellEnd"/>
      <w:r w:rsidRPr="008D7AD1">
        <w:rPr>
          <w:lang w:val="en-US"/>
        </w:rPr>
        <w:t xml:space="preserve"> </w:t>
      </w:r>
      <w:proofErr w:type="spellStart"/>
      <w:r w:rsidRPr="008D7AD1">
        <w:rPr>
          <w:lang w:val="en-US"/>
        </w:rPr>
        <w:t>uygulamaların</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düzenlemelerin</w:t>
      </w:r>
      <w:proofErr w:type="spellEnd"/>
      <w:r w:rsidRPr="008D7AD1">
        <w:rPr>
          <w:lang w:val="en-US"/>
        </w:rPr>
        <w:t xml:space="preserve"> </w:t>
      </w:r>
      <w:proofErr w:type="spellStart"/>
      <w:r w:rsidRPr="008D7AD1">
        <w:rPr>
          <w:lang w:val="en-US"/>
        </w:rPr>
        <w:t>kesin</w:t>
      </w:r>
      <w:proofErr w:type="spellEnd"/>
      <w:r w:rsidRPr="008D7AD1">
        <w:rPr>
          <w:lang w:val="en-US"/>
        </w:rPr>
        <w:t xml:space="preserve"> </w:t>
      </w:r>
      <w:proofErr w:type="spellStart"/>
      <w:r w:rsidRPr="008D7AD1">
        <w:rPr>
          <w:lang w:val="en-US"/>
        </w:rPr>
        <w:t>olarak</w:t>
      </w:r>
      <w:proofErr w:type="spellEnd"/>
      <w:r w:rsidRPr="008D7AD1">
        <w:rPr>
          <w:lang w:val="en-US"/>
        </w:rPr>
        <w:t xml:space="preserve"> </w:t>
      </w:r>
      <w:proofErr w:type="spellStart"/>
      <w:r w:rsidRPr="008D7AD1">
        <w:rPr>
          <w:lang w:val="en-US"/>
        </w:rPr>
        <w:t>yerleşik</w:t>
      </w:r>
      <w:proofErr w:type="spellEnd"/>
      <w:r w:rsidRPr="008D7AD1">
        <w:rPr>
          <w:lang w:val="en-US"/>
        </w:rPr>
        <w:t xml:space="preserve"> </w:t>
      </w:r>
      <w:proofErr w:type="spellStart"/>
      <w:r w:rsidRPr="008D7AD1">
        <w:rPr>
          <w:lang w:val="en-US"/>
        </w:rPr>
        <w:t>olduğu</w:t>
      </w:r>
      <w:proofErr w:type="spellEnd"/>
      <w:r w:rsidRPr="008D7AD1">
        <w:rPr>
          <w:lang w:val="en-US"/>
        </w:rPr>
        <w:t xml:space="preserve"> </w:t>
      </w:r>
      <w:proofErr w:type="spellStart"/>
      <w:r w:rsidRPr="008D7AD1">
        <w:rPr>
          <w:lang w:val="en-US"/>
        </w:rPr>
        <w:t>iddiasında</w:t>
      </w:r>
      <w:proofErr w:type="spellEnd"/>
      <w:r w:rsidRPr="008D7AD1">
        <w:rPr>
          <w:lang w:val="en-US"/>
        </w:rPr>
        <w:t xml:space="preserve"> </w:t>
      </w:r>
      <w:proofErr w:type="spellStart"/>
      <w:r w:rsidRPr="008D7AD1">
        <w:rPr>
          <w:lang w:val="en-US"/>
        </w:rPr>
        <w:t>bulunmuyorum</w:t>
      </w:r>
      <w:proofErr w:type="spellEnd"/>
      <w:r w:rsidRPr="008D7AD1">
        <w:rPr>
          <w:lang w:val="en-US"/>
        </w:rPr>
        <w:t xml:space="preserve">. </w:t>
      </w:r>
      <w:proofErr w:type="spellStart"/>
      <w:r w:rsidRPr="008D7AD1">
        <w:rPr>
          <w:lang w:val="en-US"/>
        </w:rPr>
        <w:t>Yukarıda</w:t>
      </w:r>
      <w:proofErr w:type="spellEnd"/>
      <w:r w:rsidRPr="008D7AD1">
        <w:rPr>
          <w:lang w:val="en-US"/>
        </w:rPr>
        <w:t xml:space="preserve"> </w:t>
      </w:r>
      <w:proofErr w:type="spellStart"/>
      <w:r w:rsidRPr="008D7AD1">
        <w:rPr>
          <w:lang w:val="en-US"/>
        </w:rPr>
        <w:t>ileri</w:t>
      </w:r>
      <w:proofErr w:type="spellEnd"/>
      <w:r w:rsidRPr="008D7AD1">
        <w:rPr>
          <w:lang w:val="en-US"/>
        </w:rPr>
        <w:t xml:space="preserve"> </w:t>
      </w:r>
      <w:proofErr w:type="spellStart"/>
      <w:r w:rsidRPr="008D7AD1">
        <w:rPr>
          <w:lang w:val="en-US"/>
        </w:rPr>
        <w:t>sürdüğüm</w:t>
      </w:r>
      <w:proofErr w:type="spellEnd"/>
      <w:r w:rsidRPr="008D7AD1">
        <w:rPr>
          <w:lang w:val="en-US"/>
        </w:rPr>
        <w:t xml:space="preserve"> </w:t>
      </w:r>
      <w:proofErr w:type="spellStart"/>
      <w:r w:rsidRPr="008D7AD1">
        <w:rPr>
          <w:lang w:val="en-US"/>
        </w:rPr>
        <w:t>gibi</w:t>
      </w:r>
      <w:proofErr w:type="spellEnd"/>
      <w:r w:rsidRPr="008D7AD1">
        <w:rPr>
          <w:lang w:val="en-US"/>
        </w:rPr>
        <w:t xml:space="preserve">, </w:t>
      </w:r>
      <w:proofErr w:type="spellStart"/>
      <w:r w:rsidRPr="008D7AD1">
        <w:rPr>
          <w:lang w:val="en-US"/>
        </w:rPr>
        <w:t>anayasal</w:t>
      </w:r>
      <w:proofErr w:type="spellEnd"/>
      <w:r w:rsidRPr="008D7AD1">
        <w:rPr>
          <w:lang w:val="en-US"/>
        </w:rPr>
        <w:t xml:space="preserve"> </w:t>
      </w:r>
      <w:proofErr w:type="spellStart"/>
      <w:r w:rsidRPr="008D7AD1">
        <w:rPr>
          <w:lang w:val="en-US"/>
        </w:rPr>
        <w:t>uygulamalarımızın</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düzenlemelerimizin</w:t>
      </w:r>
      <w:proofErr w:type="spellEnd"/>
      <w:r w:rsidRPr="008D7AD1">
        <w:rPr>
          <w:lang w:val="en-US"/>
        </w:rPr>
        <w:t xml:space="preserve"> </w:t>
      </w:r>
      <w:proofErr w:type="spellStart"/>
      <w:r w:rsidRPr="008D7AD1">
        <w:rPr>
          <w:lang w:val="en-US"/>
        </w:rPr>
        <w:t>büyük</w:t>
      </w:r>
      <w:proofErr w:type="spellEnd"/>
      <w:r w:rsidRPr="008D7AD1">
        <w:rPr>
          <w:lang w:val="en-US"/>
        </w:rPr>
        <w:t xml:space="preserve"> </w:t>
      </w:r>
      <w:proofErr w:type="spellStart"/>
      <w:r w:rsidRPr="008D7AD1">
        <w:rPr>
          <w:lang w:val="en-US"/>
        </w:rPr>
        <w:t>çoğunluğu</w:t>
      </w:r>
      <w:proofErr w:type="spellEnd"/>
      <w:r w:rsidRPr="008D7AD1">
        <w:rPr>
          <w:lang w:val="en-US"/>
        </w:rPr>
        <w:t xml:space="preserve"> nominal, </w:t>
      </w:r>
      <w:proofErr w:type="spellStart"/>
      <w:r w:rsidRPr="008D7AD1">
        <w:rPr>
          <w:lang w:val="en-US"/>
        </w:rPr>
        <w:t>tarihsel</w:t>
      </w:r>
      <w:proofErr w:type="spellEnd"/>
      <w:r w:rsidRPr="008D7AD1">
        <w:rPr>
          <w:lang w:val="en-US"/>
        </w:rPr>
        <w:t xml:space="preserve"> </w:t>
      </w:r>
      <w:proofErr w:type="spellStart"/>
      <w:r w:rsidRPr="008D7AD1">
        <w:rPr>
          <w:lang w:val="en-US"/>
        </w:rPr>
        <w:t>olarak</w:t>
      </w:r>
      <w:proofErr w:type="spellEnd"/>
      <w:r w:rsidRPr="008D7AD1">
        <w:rPr>
          <w:lang w:val="en-US"/>
        </w:rPr>
        <w:t xml:space="preserve"> </w:t>
      </w:r>
      <w:proofErr w:type="spellStart"/>
      <w:r w:rsidRPr="008D7AD1">
        <w:rPr>
          <w:lang w:val="en-US"/>
        </w:rPr>
        <w:t>değişken</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sürekli</w:t>
      </w:r>
      <w:proofErr w:type="spellEnd"/>
      <w:r w:rsidRPr="008D7AD1">
        <w:rPr>
          <w:lang w:val="en-US"/>
        </w:rPr>
        <w:t xml:space="preserve"> </w:t>
      </w:r>
      <w:proofErr w:type="spellStart"/>
      <w:r w:rsidRPr="008D7AD1">
        <w:rPr>
          <w:lang w:val="en-US"/>
        </w:rPr>
        <w:t>evrim</w:t>
      </w:r>
      <w:proofErr w:type="spellEnd"/>
      <w:r w:rsidRPr="008D7AD1">
        <w:rPr>
          <w:lang w:val="en-US"/>
        </w:rPr>
        <w:t xml:space="preserve"> </w:t>
      </w:r>
      <w:proofErr w:type="spellStart"/>
      <w:r w:rsidRPr="008D7AD1">
        <w:rPr>
          <w:lang w:val="en-US"/>
        </w:rPr>
        <w:t>geçiren</w:t>
      </w:r>
      <w:proofErr w:type="spellEnd"/>
      <w:r w:rsidRPr="008D7AD1">
        <w:rPr>
          <w:lang w:val="en-US"/>
        </w:rPr>
        <w:t xml:space="preserve"> </w:t>
      </w:r>
      <w:proofErr w:type="spellStart"/>
      <w:r w:rsidRPr="008D7AD1">
        <w:rPr>
          <w:lang w:val="en-US"/>
        </w:rPr>
        <w:t>niteliktedir</w:t>
      </w:r>
      <w:proofErr w:type="spellEnd"/>
      <w:r w:rsidRPr="008D7AD1">
        <w:rPr>
          <w:lang w:val="en-US"/>
        </w:rPr>
        <w:t xml:space="preserve">. </w:t>
      </w:r>
      <w:proofErr w:type="spellStart"/>
      <w:r w:rsidRPr="008D7AD1">
        <w:rPr>
          <w:lang w:val="en-US"/>
        </w:rPr>
        <w:t>Muhtemelen</w:t>
      </w:r>
      <w:proofErr w:type="spellEnd"/>
      <w:r w:rsidRPr="008D7AD1">
        <w:rPr>
          <w:lang w:val="en-US"/>
        </w:rPr>
        <w:t xml:space="preserve">, </w:t>
      </w:r>
      <w:proofErr w:type="spellStart"/>
      <w:r w:rsidRPr="008D7AD1">
        <w:rPr>
          <w:lang w:val="en-US"/>
        </w:rPr>
        <w:t>daha</w:t>
      </w:r>
      <w:proofErr w:type="spellEnd"/>
      <w:r w:rsidRPr="008D7AD1">
        <w:rPr>
          <w:lang w:val="en-US"/>
        </w:rPr>
        <w:t xml:space="preserve"> yeni, </w:t>
      </w:r>
      <w:proofErr w:type="spellStart"/>
      <w:r w:rsidRPr="008D7AD1">
        <w:rPr>
          <w:lang w:val="en-US"/>
        </w:rPr>
        <w:t>daha</w:t>
      </w:r>
      <w:proofErr w:type="spellEnd"/>
      <w:r w:rsidRPr="008D7AD1">
        <w:rPr>
          <w:lang w:val="en-US"/>
        </w:rPr>
        <w:t xml:space="preserve"> </w:t>
      </w:r>
      <w:proofErr w:type="spellStart"/>
      <w:r w:rsidRPr="008D7AD1">
        <w:rPr>
          <w:lang w:val="en-US"/>
        </w:rPr>
        <w:t>az</w:t>
      </w:r>
      <w:proofErr w:type="spellEnd"/>
      <w:r w:rsidRPr="008D7AD1">
        <w:rPr>
          <w:lang w:val="en-US"/>
        </w:rPr>
        <w:t xml:space="preserve"> </w:t>
      </w:r>
      <w:proofErr w:type="spellStart"/>
      <w:r w:rsidRPr="008D7AD1">
        <w:rPr>
          <w:lang w:val="en-US"/>
        </w:rPr>
        <w:t>dikkat</w:t>
      </w:r>
      <w:proofErr w:type="spellEnd"/>
      <w:r w:rsidRPr="008D7AD1">
        <w:rPr>
          <w:lang w:val="en-US"/>
        </w:rPr>
        <w:t xml:space="preserve"> </w:t>
      </w:r>
      <w:proofErr w:type="spellStart"/>
      <w:r w:rsidRPr="008D7AD1">
        <w:rPr>
          <w:lang w:val="en-US"/>
        </w:rPr>
        <w:t>çeken</w:t>
      </w:r>
      <w:proofErr w:type="spellEnd"/>
      <w:r w:rsidRPr="008D7AD1">
        <w:rPr>
          <w:lang w:val="en-US"/>
        </w:rPr>
        <w:t xml:space="preserve"> </w:t>
      </w:r>
      <w:proofErr w:type="spellStart"/>
      <w:r w:rsidRPr="008D7AD1">
        <w:rPr>
          <w:lang w:val="en-US"/>
        </w:rPr>
        <w:t>veya</w:t>
      </w:r>
      <w:proofErr w:type="spellEnd"/>
      <w:r w:rsidRPr="008D7AD1">
        <w:rPr>
          <w:lang w:val="en-US"/>
        </w:rPr>
        <w:t xml:space="preserve"> </w:t>
      </w:r>
      <w:proofErr w:type="spellStart"/>
      <w:r w:rsidRPr="008D7AD1">
        <w:rPr>
          <w:lang w:val="en-US"/>
        </w:rPr>
        <w:t>hâkim</w:t>
      </w:r>
      <w:proofErr w:type="spellEnd"/>
      <w:r w:rsidRPr="008D7AD1">
        <w:rPr>
          <w:lang w:val="en-US"/>
        </w:rPr>
        <w:t xml:space="preserve"> </w:t>
      </w:r>
      <w:proofErr w:type="spellStart"/>
      <w:r w:rsidRPr="008D7AD1">
        <w:rPr>
          <w:lang w:val="en-US"/>
        </w:rPr>
        <w:t>anayasal</w:t>
      </w:r>
      <w:proofErr w:type="spellEnd"/>
      <w:r w:rsidRPr="008D7AD1">
        <w:rPr>
          <w:lang w:val="en-US"/>
        </w:rPr>
        <w:t xml:space="preserve"> </w:t>
      </w:r>
      <w:proofErr w:type="spellStart"/>
      <w:r w:rsidRPr="008D7AD1">
        <w:rPr>
          <w:lang w:val="en-US"/>
        </w:rPr>
        <w:t>anlatılarımıza</w:t>
      </w:r>
      <w:proofErr w:type="spellEnd"/>
      <w:r w:rsidRPr="008D7AD1">
        <w:rPr>
          <w:lang w:val="en-US"/>
        </w:rPr>
        <w:t xml:space="preserve"> </w:t>
      </w:r>
      <w:proofErr w:type="spellStart"/>
      <w:r w:rsidRPr="008D7AD1">
        <w:rPr>
          <w:lang w:val="en-US"/>
        </w:rPr>
        <w:t>daha</w:t>
      </w:r>
      <w:proofErr w:type="spellEnd"/>
      <w:r w:rsidRPr="008D7AD1">
        <w:rPr>
          <w:lang w:val="en-US"/>
        </w:rPr>
        <w:t xml:space="preserve"> </w:t>
      </w:r>
      <w:proofErr w:type="spellStart"/>
      <w:r w:rsidRPr="008D7AD1">
        <w:rPr>
          <w:lang w:val="en-US"/>
        </w:rPr>
        <w:t>az</w:t>
      </w:r>
      <w:proofErr w:type="spellEnd"/>
      <w:r w:rsidRPr="008D7AD1">
        <w:rPr>
          <w:lang w:val="en-US"/>
        </w:rPr>
        <w:t xml:space="preserve"> </w:t>
      </w:r>
      <w:proofErr w:type="spellStart"/>
      <w:r w:rsidRPr="008D7AD1">
        <w:rPr>
          <w:lang w:val="en-US"/>
        </w:rPr>
        <w:t>entegre</w:t>
      </w:r>
      <w:proofErr w:type="spellEnd"/>
      <w:r w:rsidRPr="008D7AD1">
        <w:rPr>
          <w:lang w:val="en-US"/>
        </w:rPr>
        <w:t xml:space="preserve"> </w:t>
      </w:r>
      <w:proofErr w:type="spellStart"/>
      <w:r w:rsidRPr="008D7AD1">
        <w:rPr>
          <w:lang w:val="en-US"/>
        </w:rPr>
        <w:t>olmuş</w:t>
      </w:r>
      <w:proofErr w:type="spellEnd"/>
      <w:r w:rsidRPr="008D7AD1">
        <w:rPr>
          <w:lang w:val="en-US"/>
        </w:rPr>
        <w:t xml:space="preserve"> </w:t>
      </w:r>
      <w:proofErr w:type="spellStart"/>
      <w:r w:rsidRPr="008D7AD1">
        <w:rPr>
          <w:lang w:val="en-US"/>
        </w:rPr>
        <w:t>uygulamalar</w:t>
      </w:r>
      <w:proofErr w:type="spellEnd"/>
      <w:r w:rsidRPr="008D7AD1">
        <w:rPr>
          <w:lang w:val="en-US"/>
        </w:rPr>
        <w:t xml:space="preserve"> </w:t>
      </w:r>
      <w:proofErr w:type="spellStart"/>
      <w:r w:rsidRPr="008D7AD1">
        <w:rPr>
          <w:lang w:val="en-US"/>
        </w:rPr>
        <w:t>için</w:t>
      </w:r>
      <w:proofErr w:type="spellEnd"/>
      <w:r w:rsidRPr="008D7AD1">
        <w:rPr>
          <w:lang w:val="en-US"/>
        </w:rPr>
        <w:t xml:space="preserve"> </w:t>
      </w:r>
      <w:proofErr w:type="spellStart"/>
      <w:r w:rsidRPr="008D7AD1">
        <w:rPr>
          <w:lang w:val="en-US"/>
        </w:rPr>
        <w:t>bu</w:t>
      </w:r>
      <w:proofErr w:type="spellEnd"/>
      <w:r w:rsidRPr="008D7AD1">
        <w:rPr>
          <w:lang w:val="en-US"/>
        </w:rPr>
        <w:t xml:space="preserve"> durum </w:t>
      </w:r>
      <w:proofErr w:type="spellStart"/>
      <w:r w:rsidRPr="008D7AD1">
        <w:rPr>
          <w:lang w:val="en-US"/>
        </w:rPr>
        <w:t>çok</w:t>
      </w:r>
      <w:proofErr w:type="spellEnd"/>
      <w:r w:rsidRPr="008D7AD1">
        <w:rPr>
          <w:lang w:val="en-US"/>
        </w:rPr>
        <w:t xml:space="preserve"> </w:t>
      </w:r>
      <w:proofErr w:type="spellStart"/>
      <w:r w:rsidRPr="008D7AD1">
        <w:rPr>
          <w:lang w:val="en-US"/>
        </w:rPr>
        <w:t>daha</w:t>
      </w:r>
      <w:proofErr w:type="spellEnd"/>
      <w:r w:rsidRPr="008D7AD1">
        <w:rPr>
          <w:lang w:val="en-US"/>
        </w:rPr>
        <w:t xml:space="preserve"> </w:t>
      </w:r>
      <w:proofErr w:type="spellStart"/>
      <w:r w:rsidRPr="008D7AD1">
        <w:rPr>
          <w:lang w:val="en-US"/>
        </w:rPr>
        <w:t>belirgindir</w:t>
      </w:r>
      <w:proofErr w:type="spellEnd"/>
      <w:r w:rsidRPr="008D7AD1">
        <w:rPr>
          <w:lang w:val="en-US"/>
        </w:rPr>
        <w:t>.</w:t>
      </w:r>
    </w:p>
    <w:p w14:paraId="4BF3219F" w14:textId="11F39752" w:rsidR="008D7AD1" w:rsidRDefault="008D7AD1" w:rsidP="008D7AD1">
      <w:pPr>
        <w:rPr>
          <w:lang w:val="en-US"/>
        </w:rPr>
      </w:pPr>
      <w:r w:rsidRPr="008D7AD1">
        <w:rPr>
          <w:lang w:val="en-US"/>
        </w:rPr>
        <w:t xml:space="preserve">Son </w:t>
      </w:r>
      <w:proofErr w:type="spellStart"/>
      <w:r w:rsidRPr="008D7AD1">
        <w:rPr>
          <w:lang w:val="en-US"/>
        </w:rPr>
        <w:t>olarak</w:t>
      </w:r>
      <w:proofErr w:type="spellEnd"/>
      <w:r w:rsidRPr="008D7AD1">
        <w:rPr>
          <w:lang w:val="en-US"/>
        </w:rPr>
        <w:t xml:space="preserve">, </w:t>
      </w:r>
      <w:proofErr w:type="spellStart"/>
      <w:r w:rsidRPr="008D7AD1">
        <w:rPr>
          <w:lang w:val="en-US"/>
        </w:rPr>
        <w:t>bu</w:t>
      </w:r>
      <w:proofErr w:type="spellEnd"/>
      <w:r w:rsidRPr="008D7AD1">
        <w:rPr>
          <w:lang w:val="en-US"/>
        </w:rPr>
        <w:t xml:space="preserve"> </w:t>
      </w:r>
      <w:proofErr w:type="spellStart"/>
      <w:r w:rsidRPr="008D7AD1">
        <w:rPr>
          <w:lang w:val="en-US"/>
        </w:rPr>
        <w:t>uygulamaların</w:t>
      </w:r>
      <w:proofErr w:type="spellEnd"/>
      <w:r w:rsidRPr="008D7AD1">
        <w:rPr>
          <w:lang w:val="en-US"/>
        </w:rPr>
        <w:t xml:space="preserve"> </w:t>
      </w:r>
      <w:proofErr w:type="spellStart"/>
      <w:r w:rsidRPr="008D7AD1">
        <w:rPr>
          <w:lang w:val="en-US"/>
        </w:rPr>
        <w:t>dikkatlerden</w:t>
      </w:r>
      <w:proofErr w:type="spellEnd"/>
      <w:r w:rsidRPr="008D7AD1">
        <w:rPr>
          <w:lang w:val="en-US"/>
        </w:rPr>
        <w:t xml:space="preserve"> </w:t>
      </w:r>
      <w:proofErr w:type="spellStart"/>
      <w:r w:rsidRPr="008D7AD1">
        <w:rPr>
          <w:lang w:val="en-US"/>
        </w:rPr>
        <w:t>kaçtığını</w:t>
      </w:r>
      <w:proofErr w:type="spellEnd"/>
      <w:r w:rsidRPr="008D7AD1">
        <w:rPr>
          <w:lang w:val="en-US"/>
        </w:rPr>
        <w:t xml:space="preserve"> </w:t>
      </w:r>
      <w:proofErr w:type="spellStart"/>
      <w:r w:rsidRPr="008D7AD1">
        <w:rPr>
          <w:lang w:val="en-US"/>
        </w:rPr>
        <w:t>ileri</w:t>
      </w:r>
      <w:proofErr w:type="spellEnd"/>
      <w:r w:rsidRPr="008D7AD1">
        <w:rPr>
          <w:lang w:val="en-US"/>
        </w:rPr>
        <w:t xml:space="preserve"> </w:t>
      </w:r>
      <w:proofErr w:type="spellStart"/>
      <w:r w:rsidRPr="008D7AD1">
        <w:rPr>
          <w:lang w:val="en-US"/>
        </w:rPr>
        <w:t>sürmek</w:t>
      </w:r>
      <w:proofErr w:type="spellEnd"/>
      <w:r w:rsidRPr="008D7AD1">
        <w:rPr>
          <w:lang w:val="en-US"/>
        </w:rPr>
        <w:t xml:space="preserve"> </w:t>
      </w:r>
      <w:proofErr w:type="spellStart"/>
      <w:r w:rsidRPr="008D7AD1">
        <w:rPr>
          <w:lang w:val="en-US"/>
        </w:rPr>
        <w:t>istemiyorum</w:t>
      </w:r>
      <w:proofErr w:type="spellEnd"/>
      <w:r w:rsidRPr="008D7AD1">
        <w:rPr>
          <w:lang w:val="en-US"/>
        </w:rPr>
        <w:t xml:space="preserve">. </w:t>
      </w:r>
      <w:proofErr w:type="spellStart"/>
      <w:r w:rsidRPr="008D7AD1">
        <w:rPr>
          <w:lang w:val="en-US"/>
        </w:rPr>
        <w:t>Aksine</w:t>
      </w:r>
      <w:proofErr w:type="spellEnd"/>
      <w:r w:rsidRPr="008D7AD1">
        <w:rPr>
          <w:lang w:val="en-US"/>
        </w:rPr>
        <w:t xml:space="preserve">, </w:t>
      </w:r>
      <w:proofErr w:type="spellStart"/>
      <w:r w:rsidRPr="008D7AD1">
        <w:rPr>
          <w:lang w:val="en-US"/>
        </w:rPr>
        <w:t>gazeteciler</w:t>
      </w:r>
      <w:proofErr w:type="spellEnd"/>
      <w:r w:rsidRPr="008D7AD1">
        <w:rPr>
          <w:lang w:val="en-US"/>
        </w:rPr>
        <w:t xml:space="preserve">, blog </w:t>
      </w:r>
      <w:proofErr w:type="spellStart"/>
      <w:r w:rsidRPr="008D7AD1">
        <w:rPr>
          <w:lang w:val="en-US"/>
        </w:rPr>
        <w:t>yazarları</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popüler</w:t>
      </w:r>
      <w:proofErr w:type="spellEnd"/>
      <w:r w:rsidRPr="008D7AD1">
        <w:rPr>
          <w:lang w:val="en-US"/>
        </w:rPr>
        <w:t xml:space="preserve"> </w:t>
      </w:r>
      <w:proofErr w:type="spellStart"/>
      <w:r w:rsidRPr="008D7AD1">
        <w:rPr>
          <w:lang w:val="en-US"/>
        </w:rPr>
        <w:t>yorumcular</w:t>
      </w:r>
      <w:proofErr w:type="spellEnd"/>
      <w:r w:rsidRPr="008D7AD1">
        <w:rPr>
          <w:lang w:val="en-US"/>
        </w:rPr>
        <w:t xml:space="preserve"> </w:t>
      </w:r>
      <w:proofErr w:type="spellStart"/>
      <w:r w:rsidRPr="008D7AD1">
        <w:rPr>
          <w:lang w:val="en-US"/>
        </w:rPr>
        <w:t>bu</w:t>
      </w:r>
      <w:proofErr w:type="spellEnd"/>
      <w:r w:rsidRPr="008D7AD1">
        <w:rPr>
          <w:lang w:val="en-US"/>
        </w:rPr>
        <w:t xml:space="preserve"> </w:t>
      </w:r>
      <w:proofErr w:type="spellStart"/>
      <w:r w:rsidRPr="008D7AD1">
        <w:rPr>
          <w:lang w:val="en-US"/>
        </w:rPr>
        <w:t>konuların</w:t>
      </w:r>
      <w:proofErr w:type="spellEnd"/>
      <w:r w:rsidRPr="008D7AD1">
        <w:rPr>
          <w:lang w:val="en-US"/>
        </w:rPr>
        <w:t xml:space="preserve"> her </w:t>
      </w:r>
      <w:proofErr w:type="spellStart"/>
      <w:r w:rsidRPr="008D7AD1">
        <w:rPr>
          <w:lang w:val="en-US"/>
        </w:rPr>
        <w:t>biri</w:t>
      </w:r>
      <w:proofErr w:type="spellEnd"/>
      <w:r w:rsidRPr="008D7AD1">
        <w:rPr>
          <w:lang w:val="en-US"/>
        </w:rPr>
        <w:t xml:space="preserve"> </w:t>
      </w:r>
      <w:proofErr w:type="spellStart"/>
      <w:r w:rsidRPr="008D7AD1">
        <w:rPr>
          <w:lang w:val="en-US"/>
        </w:rPr>
        <w:t>hakkında</w:t>
      </w:r>
      <w:proofErr w:type="spellEnd"/>
      <w:r w:rsidRPr="008D7AD1">
        <w:rPr>
          <w:lang w:val="en-US"/>
        </w:rPr>
        <w:t xml:space="preserve"> </w:t>
      </w:r>
      <w:proofErr w:type="spellStart"/>
      <w:r w:rsidRPr="008D7AD1">
        <w:rPr>
          <w:lang w:val="en-US"/>
        </w:rPr>
        <w:t>oldukça</w:t>
      </w:r>
      <w:proofErr w:type="spellEnd"/>
      <w:r w:rsidRPr="008D7AD1">
        <w:rPr>
          <w:lang w:val="en-US"/>
        </w:rPr>
        <w:t xml:space="preserve"> </w:t>
      </w:r>
      <w:proofErr w:type="spellStart"/>
      <w:r w:rsidRPr="008D7AD1">
        <w:rPr>
          <w:lang w:val="en-US"/>
        </w:rPr>
        <w:t>fazla</w:t>
      </w:r>
      <w:proofErr w:type="spellEnd"/>
      <w:r w:rsidRPr="008D7AD1">
        <w:rPr>
          <w:lang w:val="en-US"/>
        </w:rPr>
        <w:t xml:space="preserve"> </w:t>
      </w:r>
      <w:proofErr w:type="spellStart"/>
      <w:r w:rsidRPr="008D7AD1">
        <w:rPr>
          <w:lang w:val="en-US"/>
        </w:rPr>
        <w:t>yazmış</w:t>
      </w:r>
      <w:proofErr w:type="spellEnd"/>
      <w:r w:rsidRPr="008D7AD1">
        <w:rPr>
          <w:lang w:val="en-US"/>
        </w:rPr>
        <w:t xml:space="preserve">, </w:t>
      </w:r>
      <w:proofErr w:type="spellStart"/>
      <w:r w:rsidRPr="008D7AD1">
        <w:rPr>
          <w:lang w:val="en-US"/>
        </w:rPr>
        <w:t>hatta</w:t>
      </w:r>
      <w:proofErr w:type="spellEnd"/>
      <w:r w:rsidRPr="008D7AD1">
        <w:rPr>
          <w:lang w:val="en-US"/>
        </w:rPr>
        <w:t xml:space="preserve"> </w:t>
      </w:r>
      <w:proofErr w:type="spellStart"/>
      <w:r w:rsidRPr="008D7AD1">
        <w:rPr>
          <w:lang w:val="en-US"/>
        </w:rPr>
        <w:t>belki</w:t>
      </w:r>
      <w:proofErr w:type="spellEnd"/>
      <w:r w:rsidRPr="008D7AD1">
        <w:rPr>
          <w:lang w:val="en-US"/>
        </w:rPr>
        <w:t xml:space="preserve"> de </w:t>
      </w:r>
      <w:proofErr w:type="spellStart"/>
      <w:r w:rsidRPr="008D7AD1">
        <w:rPr>
          <w:lang w:val="en-US"/>
        </w:rPr>
        <w:t>bazılarını</w:t>
      </w:r>
      <w:proofErr w:type="spellEnd"/>
      <w:r w:rsidRPr="008D7AD1">
        <w:rPr>
          <w:lang w:val="en-US"/>
        </w:rPr>
        <w:t xml:space="preserve"> </w:t>
      </w:r>
      <w:proofErr w:type="spellStart"/>
      <w:r w:rsidRPr="008D7AD1">
        <w:rPr>
          <w:lang w:val="en-US"/>
        </w:rPr>
        <w:t>abartarak</w:t>
      </w:r>
      <w:proofErr w:type="spellEnd"/>
      <w:r w:rsidRPr="008D7AD1">
        <w:rPr>
          <w:lang w:val="en-US"/>
        </w:rPr>
        <w:t xml:space="preserve"> </w:t>
      </w:r>
      <w:proofErr w:type="spellStart"/>
      <w:r w:rsidRPr="008D7AD1">
        <w:rPr>
          <w:lang w:val="en-US"/>
        </w:rPr>
        <w:t>veya</w:t>
      </w:r>
      <w:proofErr w:type="spellEnd"/>
      <w:r w:rsidRPr="008D7AD1">
        <w:rPr>
          <w:lang w:val="en-US"/>
        </w:rPr>
        <w:t xml:space="preserve"> </w:t>
      </w:r>
      <w:proofErr w:type="spellStart"/>
      <w:r w:rsidRPr="008D7AD1">
        <w:rPr>
          <w:lang w:val="en-US"/>
        </w:rPr>
        <w:t>aşırı</w:t>
      </w:r>
      <w:proofErr w:type="spellEnd"/>
      <w:r w:rsidRPr="008D7AD1">
        <w:rPr>
          <w:lang w:val="en-US"/>
        </w:rPr>
        <w:t xml:space="preserve"> </w:t>
      </w:r>
      <w:proofErr w:type="spellStart"/>
      <w:r w:rsidRPr="008D7AD1">
        <w:rPr>
          <w:lang w:val="en-US"/>
        </w:rPr>
        <w:t>sansasyonelleştirerek</w:t>
      </w:r>
      <w:proofErr w:type="spellEnd"/>
      <w:r w:rsidRPr="008D7AD1">
        <w:rPr>
          <w:lang w:val="en-US"/>
        </w:rPr>
        <w:t xml:space="preserve"> </w:t>
      </w:r>
      <w:proofErr w:type="spellStart"/>
      <w:r w:rsidRPr="008D7AD1">
        <w:rPr>
          <w:lang w:val="en-US"/>
        </w:rPr>
        <w:t>ele</w:t>
      </w:r>
      <w:proofErr w:type="spellEnd"/>
      <w:r w:rsidRPr="008D7AD1">
        <w:rPr>
          <w:lang w:val="en-US"/>
        </w:rPr>
        <w:t xml:space="preserve"> </w:t>
      </w:r>
      <w:proofErr w:type="spellStart"/>
      <w:r w:rsidRPr="008D7AD1">
        <w:rPr>
          <w:lang w:val="en-US"/>
        </w:rPr>
        <w:t>almışlardır</w:t>
      </w:r>
      <w:proofErr w:type="spellEnd"/>
      <w:r w:rsidRPr="008D7AD1">
        <w:rPr>
          <w:lang w:val="en-US"/>
        </w:rPr>
        <w:t xml:space="preserve">.⁷⁷ </w:t>
      </w:r>
      <w:r>
        <w:rPr>
          <w:rStyle w:val="FootnoteReference"/>
          <w:lang w:val="en-US"/>
        </w:rPr>
        <w:footnoteReference w:id="77"/>
      </w:r>
      <w:r>
        <w:rPr>
          <w:lang w:val="en-US"/>
        </w:rPr>
        <w:t xml:space="preserve"> </w:t>
      </w:r>
      <w:proofErr w:type="spellStart"/>
      <w:r w:rsidRPr="008D7AD1">
        <w:rPr>
          <w:lang w:val="en-US"/>
        </w:rPr>
        <w:t>Siyasal</w:t>
      </w:r>
      <w:proofErr w:type="spellEnd"/>
      <w:r w:rsidRPr="008D7AD1">
        <w:rPr>
          <w:lang w:val="en-US"/>
        </w:rPr>
        <w:t xml:space="preserve"> </w:t>
      </w:r>
      <w:proofErr w:type="spellStart"/>
      <w:r w:rsidRPr="008D7AD1">
        <w:rPr>
          <w:lang w:val="en-US"/>
        </w:rPr>
        <w:t>bilimciler</w:t>
      </w:r>
      <w:proofErr w:type="spellEnd"/>
      <w:r w:rsidRPr="008D7AD1">
        <w:rPr>
          <w:lang w:val="en-US"/>
        </w:rPr>
        <w:t xml:space="preserve"> de </w:t>
      </w:r>
      <w:proofErr w:type="spellStart"/>
      <w:r w:rsidRPr="008D7AD1">
        <w:rPr>
          <w:lang w:val="en-US"/>
        </w:rPr>
        <w:t>bu</w:t>
      </w:r>
      <w:proofErr w:type="spellEnd"/>
      <w:r w:rsidRPr="008D7AD1">
        <w:rPr>
          <w:lang w:val="en-US"/>
        </w:rPr>
        <w:t xml:space="preserve"> </w:t>
      </w:r>
      <w:proofErr w:type="spellStart"/>
      <w:r w:rsidRPr="008D7AD1">
        <w:rPr>
          <w:lang w:val="en-US"/>
        </w:rPr>
        <w:t>konulara</w:t>
      </w:r>
      <w:proofErr w:type="spellEnd"/>
      <w:r w:rsidRPr="008D7AD1">
        <w:rPr>
          <w:lang w:val="en-US"/>
        </w:rPr>
        <w:t xml:space="preserve"> </w:t>
      </w:r>
      <w:proofErr w:type="spellStart"/>
      <w:r w:rsidRPr="008D7AD1">
        <w:rPr>
          <w:lang w:val="en-US"/>
        </w:rPr>
        <w:t>büyük</w:t>
      </w:r>
      <w:proofErr w:type="spellEnd"/>
      <w:r w:rsidRPr="008D7AD1">
        <w:rPr>
          <w:lang w:val="en-US"/>
        </w:rPr>
        <w:t xml:space="preserve"> </w:t>
      </w:r>
      <w:proofErr w:type="spellStart"/>
      <w:r w:rsidRPr="008D7AD1">
        <w:rPr>
          <w:lang w:val="en-US"/>
        </w:rPr>
        <w:t>ilgi</w:t>
      </w:r>
      <w:proofErr w:type="spellEnd"/>
      <w:r w:rsidRPr="008D7AD1">
        <w:rPr>
          <w:lang w:val="en-US"/>
        </w:rPr>
        <w:t xml:space="preserve"> </w:t>
      </w:r>
      <w:proofErr w:type="spellStart"/>
      <w:r w:rsidRPr="008D7AD1">
        <w:rPr>
          <w:lang w:val="en-US"/>
        </w:rPr>
        <w:t>göstermiş</w:t>
      </w:r>
      <w:proofErr w:type="spellEnd"/>
      <w:r w:rsidRPr="008D7AD1">
        <w:rPr>
          <w:lang w:val="en-US"/>
        </w:rPr>
        <w:t xml:space="preserve">, </w:t>
      </w:r>
      <w:proofErr w:type="spellStart"/>
      <w:r w:rsidRPr="008D7AD1">
        <w:rPr>
          <w:lang w:val="en-US"/>
        </w:rPr>
        <w:t>bağımsız</w:t>
      </w:r>
      <w:proofErr w:type="spellEnd"/>
      <w:r w:rsidRPr="008D7AD1">
        <w:rPr>
          <w:lang w:val="en-US"/>
        </w:rPr>
        <w:t xml:space="preserve"> </w:t>
      </w:r>
      <w:proofErr w:type="spellStart"/>
      <w:r w:rsidRPr="008D7AD1">
        <w:rPr>
          <w:lang w:val="en-US"/>
        </w:rPr>
        <w:t>çalışmalar</w:t>
      </w:r>
      <w:proofErr w:type="spellEnd"/>
      <w:r w:rsidRPr="008D7AD1">
        <w:rPr>
          <w:lang w:val="en-US"/>
        </w:rPr>
        <w:t xml:space="preserve"> </w:t>
      </w:r>
      <w:proofErr w:type="spellStart"/>
      <w:r w:rsidRPr="008D7AD1">
        <w:rPr>
          <w:lang w:val="en-US"/>
        </w:rPr>
        <w:t>yapmış</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bunları</w:t>
      </w:r>
      <w:proofErr w:type="spellEnd"/>
      <w:r w:rsidRPr="008D7AD1">
        <w:rPr>
          <w:lang w:val="en-US"/>
        </w:rPr>
        <w:t xml:space="preserve"> </w:t>
      </w:r>
      <w:proofErr w:type="spellStart"/>
      <w:r w:rsidRPr="008D7AD1">
        <w:rPr>
          <w:lang w:val="en-US"/>
        </w:rPr>
        <w:t>yargısal</w:t>
      </w:r>
      <w:proofErr w:type="spellEnd"/>
      <w:r w:rsidRPr="008D7AD1">
        <w:rPr>
          <w:lang w:val="en-US"/>
        </w:rPr>
        <w:t xml:space="preserve"> </w:t>
      </w:r>
      <w:proofErr w:type="spellStart"/>
      <w:r w:rsidRPr="008D7AD1">
        <w:rPr>
          <w:lang w:val="en-US"/>
        </w:rPr>
        <w:t>davranışa</w:t>
      </w:r>
      <w:proofErr w:type="spellEnd"/>
      <w:r w:rsidRPr="008D7AD1">
        <w:rPr>
          <w:lang w:val="en-US"/>
        </w:rPr>
        <w:t xml:space="preserve"> </w:t>
      </w:r>
      <w:proofErr w:type="spellStart"/>
      <w:r w:rsidRPr="008D7AD1">
        <w:rPr>
          <w:lang w:val="en-US"/>
        </w:rPr>
        <w:t>ilişkin</w:t>
      </w:r>
      <w:proofErr w:type="spellEnd"/>
      <w:r w:rsidRPr="008D7AD1">
        <w:rPr>
          <w:lang w:val="en-US"/>
        </w:rPr>
        <w:t xml:space="preserve"> </w:t>
      </w:r>
      <w:proofErr w:type="spellStart"/>
      <w:r w:rsidRPr="008D7AD1">
        <w:rPr>
          <w:lang w:val="en-US"/>
        </w:rPr>
        <w:t>daha</w:t>
      </w:r>
      <w:proofErr w:type="spellEnd"/>
      <w:r w:rsidRPr="008D7AD1">
        <w:rPr>
          <w:lang w:val="en-US"/>
        </w:rPr>
        <w:t xml:space="preserve"> </w:t>
      </w:r>
      <w:proofErr w:type="spellStart"/>
      <w:r w:rsidRPr="008D7AD1">
        <w:rPr>
          <w:lang w:val="en-US"/>
        </w:rPr>
        <w:t>geniş</w:t>
      </w:r>
      <w:proofErr w:type="spellEnd"/>
      <w:r w:rsidRPr="008D7AD1">
        <w:rPr>
          <w:lang w:val="en-US"/>
        </w:rPr>
        <w:t xml:space="preserve"> </w:t>
      </w:r>
      <w:proofErr w:type="spellStart"/>
      <w:r w:rsidRPr="008D7AD1">
        <w:rPr>
          <w:lang w:val="en-US"/>
        </w:rPr>
        <w:t>modellerine</w:t>
      </w:r>
      <w:proofErr w:type="spellEnd"/>
      <w:r w:rsidRPr="008D7AD1">
        <w:rPr>
          <w:lang w:val="en-US"/>
        </w:rPr>
        <w:t xml:space="preserve"> </w:t>
      </w:r>
      <w:proofErr w:type="spellStart"/>
      <w:r w:rsidRPr="008D7AD1">
        <w:rPr>
          <w:lang w:val="en-US"/>
        </w:rPr>
        <w:t>entegre</w:t>
      </w:r>
      <w:proofErr w:type="spellEnd"/>
      <w:r w:rsidRPr="008D7AD1">
        <w:rPr>
          <w:lang w:val="en-US"/>
        </w:rPr>
        <w:t xml:space="preserve"> </w:t>
      </w:r>
      <w:proofErr w:type="spellStart"/>
      <w:r w:rsidRPr="008D7AD1">
        <w:rPr>
          <w:lang w:val="en-US"/>
        </w:rPr>
        <w:t>etmişlerdir</w:t>
      </w:r>
      <w:proofErr w:type="spellEnd"/>
      <w:r w:rsidRPr="008D7AD1">
        <w:rPr>
          <w:lang w:val="en-US"/>
        </w:rPr>
        <w:t>.⁷⁸</w:t>
      </w:r>
      <w:r>
        <w:rPr>
          <w:lang w:val="en-US"/>
        </w:rPr>
        <w:t xml:space="preserve"> </w:t>
      </w:r>
      <w:r>
        <w:rPr>
          <w:rStyle w:val="FootnoteReference"/>
          <w:lang w:val="en-US"/>
        </w:rPr>
        <w:footnoteReference w:id="78"/>
      </w:r>
      <w:r w:rsidRPr="008D7AD1">
        <w:rPr>
          <w:lang w:val="en-US"/>
        </w:rPr>
        <w:t xml:space="preserve"> Son </w:t>
      </w:r>
      <w:proofErr w:type="spellStart"/>
      <w:r w:rsidRPr="008D7AD1">
        <w:rPr>
          <w:lang w:val="en-US"/>
        </w:rPr>
        <w:t>olarak</w:t>
      </w:r>
      <w:proofErr w:type="spellEnd"/>
      <w:r w:rsidRPr="008D7AD1">
        <w:rPr>
          <w:lang w:val="en-US"/>
        </w:rPr>
        <w:t xml:space="preserve">, </w:t>
      </w:r>
      <w:proofErr w:type="spellStart"/>
      <w:r w:rsidRPr="008D7AD1">
        <w:rPr>
          <w:lang w:val="en-US"/>
        </w:rPr>
        <w:t>geleneksel</w:t>
      </w:r>
      <w:proofErr w:type="spellEnd"/>
      <w:r w:rsidRPr="008D7AD1">
        <w:rPr>
          <w:lang w:val="en-US"/>
        </w:rPr>
        <w:t xml:space="preserve"> </w:t>
      </w:r>
      <w:proofErr w:type="spellStart"/>
      <w:r w:rsidRPr="008D7AD1">
        <w:rPr>
          <w:lang w:val="en-US"/>
        </w:rPr>
        <w:t>hukuk</w:t>
      </w:r>
      <w:proofErr w:type="spellEnd"/>
      <w:r w:rsidRPr="008D7AD1">
        <w:rPr>
          <w:lang w:val="en-US"/>
        </w:rPr>
        <w:t xml:space="preserve"> </w:t>
      </w:r>
      <w:proofErr w:type="spellStart"/>
      <w:r w:rsidRPr="008D7AD1">
        <w:rPr>
          <w:lang w:val="en-US"/>
        </w:rPr>
        <w:t>akademisyenleri</w:t>
      </w:r>
      <w:proofErr w:type="spellEnd"/>
      <w:r w:rsidRPr="008D7AD1">
        <w:rPr>
          <w:lang w:val="en-US"/>
        </w:rPr>
        <w:t xml:space="preserve"> de </w:t>
      </w:r>
      <w:proofErr w:type="spellStart"/>
      <w:r w:rsidRPr="008D7AD1">
        <w:rPr>
          <w:lang w:val="en-US"/>
        </w:rPr>
        <w:t>özellikle</w:t>
      </w:r>
      <w:proofErr w:type="spellEnd"/>
      <w:r w:rsidRPr="008D7AD1">
        <w:rPr>
          <w:lang w:val="en-US"/>
        </w:rPr>
        <w:t xml:space="preserve"> amicus curiae </w:t>
      </w:r>
      <w:proofErr w:type="spellStart"/>
      <w:r w:rsidRPr="008D7AD1">
        <w:rPr>
          <w:lang w:val="en-US"/>
        </w:rPr>
        <w:t>dilekçelerinin</w:t>
      </w:r>
      <w:proofErr w:type="spellEnd"/>
      <w:r w:rsidRPr="008D7AD1">
        <w:rPr>
          <w:lang w:val="en-US"/>
        </w:rPr>
        <w:t xml:space="preserve"> </w:t>
      </w:r>
      <w:proofErr w:type="spellStart"/>
      <w:r w:rsidRPr="008D7AD1">
        <w:rPr>
          <w:lang w:val="en-US"/>
        </w:rPr>
        <w:t>yükselişi</w:t>
      </w:r>
      <w:proofErr w:type="spellEnd"/>
      <w:r w:rsidRPr="008D7AD1">
        <w:rPr>
          <w:lang w:val="en-US"/>
        </w:rPr>
        <w:t xml:space="preserve"> </w:t>
      </w:r>
      <w:proofErr w:type="spellStart"/>
      <w:r w:rsidRPr="008D7AD1">
        <w:rPr>
          <w:lang w:val="en-US"/>
        </w:rPr>
        <w:t>konusunda</w:t>
      </w:r>
      <w:proofErr w:type="spellEnd"/>
      <w:r w:rsidRPr="008D7AD1">
        <w:rPr>
          <w:lang w:val="en-US"/>
        </w:rPr>
        <w:t xml:space="preserve"> </w:t>
      </w:r>
      <w:proofErr w:type="spellStart"/>
      <w:r w:rsidRPr="008D7AD1">
        <w:rPr>
          <w:lang w:val="en-US"/>
        </w:rPr>
        <w:t>nitelikli</w:t>
      </w:r>
      <w:proofErr w:type="spellEnd"/>
      <w:r w:rsidRPr="008D7AD1">
        <w:rPr>
          <w:lang w:val="en-US"/>
        </w:rPr>
        <w:t xml:space="preserve"> </w:t>
      </w:r>
      <w:proofErr w:type="spellStart"/>
      <w:r w:rsidRPr="008D7AD1">
        <w:rPr>
          <w:lang w:val="en-US"/>
        </w:rPr>
        <w:t>çalışmalar</w:t>
      </w:r>
      <w:proofErr w:type="spellEnd"/>
      <w:r w:rsidRPr="008D7AD1">
        <w:rPr>
          <w:lang w:val="en-US"/>
        </w:rPr>
        <w:t xml:space="preserve"> </w:t>
      </w:r>
      <w:proofErr w:type="spellStart"/>
      <w:r w:rsidRPr="008D7AD1">
        <w:rPr>
          <w:lang w:val="en-US"/>
        </w:rPr>
        <w:t>yapmışlardır</w:t>
      </w:r>
      <w:proofErr w:type="spellEnd"/>
      <w:r w:rsidRPr="008D7AD1">
        <w:rPr>
          <w:lang w:val="en-US"/>
        </w:rPr>
        <w:t xml:space="preserve">; </w:t>
      </w:r>
      <w:proofErr w:type="spellStart"/>
      <w:r w:rsidRPr="008D7AD1">
        <w:rPr>
          <w:lang w:val="en-US"/>
        </w:rPr>
        <w:t>ancak</w:t>
      </w:r>
      <w:proofErr w:type="spellEnd"/>
      <w:r w:rsidRPr="008D7AD1">
        <w:rPr>
          <w:lang w:val="en-US"/>
        </w:rPr>
        <w:t xml:space="preserve"> </w:t>
      </w:r>
      <w:proofErr w:type="spellStart"/>
      <w:r w:rsidRPr="008D7AD1">
        <w:rPr>
          <w:lang w:val="en-US"/>
        </w:rPr>
        <w:t>bu</w:t>
      </w:r>
      <w:proofErr w:type="spellEnd"/>
      <w:r w:rsidRPr="008D7AD1">
        <w:rPr>
          <w:lang w:val="en-US"/>
        </w:rPr>
        <w:t xml:space="preserve"> </w:t>
      </w:r>
      <w:proofErr w:type="spellStart"/>
      <w:r w:rsidRPr="008D7AD1">
        <w:rPr>
          <w:lang w:val="en-US"/>
        </w:rPr>
        <w:t>çalışmalar</w:t>
      </w:r>
      <w:proofErr w:type="spellEnd"/>
      <w:r w:rsidRPr="008D7AD1">
        <w:rPr>
          <w:lang w:val="en-US"/>
        </w:rPr>
        <w:t xml:space="preserve"> </w:t>
      </w:r>
      <w:proofErr w:type="spellStart"/>
      <w:r w:rsidRPr="008D7AD1">
        <w:rPr>
          <w:lang w:val="en-US"/>
        </w:rPr>
        <w:t>genellikle</w:t>
      </w:r>
      <w:proofErr w:type="spellEnd"/>
      <w:r w:rsidRPr="008D7AD1">
        <w:rPr>
          <w:lang w:val="en-US"/>
        </w:rPr>
        <w:t xml:space="preserve"> </w:t>
      </w:r>
      <w:proofErr w:type="spellStart"/>
      <w:r w:rsidRPr="008D7AD1">
        <w:rPr>
          <w:lang w:val="en-US"/>
        </w:rPr>
        <w:t>betimleyici</w:t>
      </w:r>
      <w:proofErr w:type="spellEnd"/>
      <w:r w:rsidRPr="008D7AD1">
        <w:rPr>
          <w:lang w:val="en-US"/>
        </w:rPr>
        <w:t xml:space="preserve"> </w:t>
      </w:r>
      <w:proofErr w:type="spellStart"/>
      <w:r w:rsidRPr="008D7AD1">
        <w:rPr>
          <w:lang w:val="en-US"/>
        </w:rPr>
        <w:t>veya</w:t>
      </w:r>
      <w:proofErr w:type="spellEnd"/>
      <w:r w:rsidRPr="008D7AD1">
        <w:rPr>
          <w:lang w:val="en-US"/>
        </w:rPr>
        <w:t xml:space="preserve"> </w:t>
      </w:r>
      <w:proofErr w:type="spellStart"/>
      <w:r w:rsidRPr="008D7AD1">
        <w:rPr>
          <w:lang w:val="en-US"/>
        </w:rPr>
        <w:t>dar</w:t>
      </w:r>
      <w:proofErr w:type="spellEnd"/>
      <w:r w:rsidRPr="008D7AD1">
        <w:rPr>
          <w:lang w:val="en-US"/>
        </w:rPr>
        <w:t xml:space="preserve"> </w:t>
      </w:r>
      <w:proofErr w:type="spellStart"/>
      <w:r w:rsidRPr="008D7AD1">
        <w:rPr>
          <w:lang w:val="en-US"/>
        </w:rPr>
        <w:t>kapsamlı</w:t>
      </w:r>
      <w:proofErr w:type="spellEnd"/>
      <w:r w:rsidRPr="008D7AD1">
        <w:rPr>
          <w:lang w:val="en-US"/>
        </w:rPr>
        <w:t xml:space="preserve"> </w:t>
      </w:r>
      <w:proofErr w:type="spellStart"/>
      <w:r w:rsidRPr="008D7AD1">
        <w:rPr>
          <w:lang w:val="en-US"/>
        </w:rPr>
        <w:t>yönlendirici</w:t>
      </w:r>
      <w:proofErr w:type="spellEnd"/>
      <w:r w:rsidRPr="008D7AD1">
        <w:rPr>
          <w:lang w:val="en-US"/>
        </w:rPr>
        <w:t xml:space="preserve"> </w:t>
      </w:r>
      <w:proofErr w:type="spellStart"/>
      <w:r w:rsidRPr="008D7AD1">
        <w:rPr>
          <w:lang w:val="en-US"/>
        </w:rPr>
        <w:t>nitelikte</w:t>
      </w:r>
      <w:proofErr w:type="spellEnd"/>
      <w:r w:rsidRPr="008D7AD1">
        <w:rPr>
          <w:lang w:val="en-US"/>
        </w:rPr>
        <w:t xml:space="preserve"> </w:t>
      </w:r>
      <w:proofErr w:type="spellStart"/>
      <w:r w:rsidRPr="008D7AD1">
        <w:rPr>
          <w:lang w:val="en-US"/>
        </w:rPr>
        <w:t>olup</w:t>
      </w:r>
      <w:proofErr w:type="spellEnd"/>
      <w:r w:rsidRPr="008D7AD1">
        <w:rPr>
          <w:lang w:val="en-US"/>
        </w:rPr>
        <w:t xml:space="preserve">, </w:t>
      </w:r>
      <w:proofErr w:type="spellStart"/>
      <w:r w:rsidRPr="008D7AD1">
        <w:rPr>
          <w:lang w:val="en-US"/>
        </w:rPr>
        <w:t>geniş</w:t>
      </w:r>
      <w:proofErr w:type="spellEnd"/>
      <w:r w:rsidRPr="008D7AD1">
        <w:rPr>
          <w:lang w:val="en-US"/>
        </w:rPr>
        <w:t xml:space="preserve"> </w:t>
      </w:r>
      <w:proofErr w:type="spellStart"/>
      <w:r w:rsidRPr="008D7AD1">
        <w:rPr>
          <w:lang w:val="en-US"/>
        </w:rPr>
        <w:t>kapsamlı</w:t>
      </w:r>
      <w:proofErr w:type="spellEnd"/>
      <w:r w:rsidRPr="008D7AD1">
        <w:rPr>
          <w:lang w:val="en-US"/>
        </w:rPr>
        <w:t xml:space="preserve"> </w:t>
      </w:r>
      <w:proofErr w:type="spellStart"/>
      <w:r w:rsidRPr="008D7AD1">
        <w:rPr>
          <w:lang w:val="en-US"/>
        </w:rPr>
        <w:t>anayasa</w:t>
      </w:r>
      <w:proofErr w:type="spellEnd"/>
      <w:r w:rsidRPr="008D7AD1">
        <w:rPr>
          <w:lang w:val="en-US"/>
        </w:rPr>
        <w:t xml:space="preserve"> </w:t>
      </w:r>
      <w:proofErr w:type="spellStart"/>
      <w:r w:rsidRPr="008D7AD1">
        <w:rPr>
          <w:lang w:val="en-US"/>
        </w:rPr>
        <w:t>teorisi</w:t>
      </w:r>
      <w:proofErr w:type="spellEnd"/>
      <w:r w:rsidRPr="008D7AD1">
        <w:rPr>
          <w:lang w:val="en-US"/>
        </w:rPr>
        <w:t xml:space="preserve"> </w:t>
      </w:r>
      <w:proofErr w:type="spellStart"/>
      <w:r w:rsidRPr="008D7AD1">
        <w:rPr>
          <w:lang w:val="en-US"/>
        </w:rPr>
        <w:t>literatürüyle</w:t>
      </w:r>
      <w:proofErr w:type="spellEnd"/>
      <w:r w:rsidRPr="008D7AD1">
        <w:rPr>
          <w:lang w:val="en-US"/>
        </w:rPr>
        <w:t xml:space="preserve"> </w:t>
      </w:r>
      <w:proofErr w:type="spellStart"/>
      <w:r w:rsidRPr="008D7AD1">
        <w:rPr>
          <w:lang w:val="en-US"/>
        </w:rPr>
        <w:t>doğrudan</w:t>
      </w:r>
      <w:proofErr w:type="spellEnd"/>
      <w:r w:rsidRPr="008D7AD1">
        <w:rPr>
          <w:lang w:val="en-US"/>
        </w:rPr>
        <w:t xml:space="preserve"> </w:t>
      </w:r>
      <w:proofErr w:type="spellStart"/>
      <w:r w:rsidRPr="008D7AD1">
        <w:rPr>
          <w:lang w:val="en-US"/>
        </w:rPr>
        <w:t>bir</w:t>
      </w:r>
      <w:proofErr w:type="spellEnd"/>
      <w:r w:rsidRPr="008D7AD1">
        <w:rPr>
          <w:lang w:val="en-US"/>
        </w:rPr>
        <w:t xml:space="preserve"> </w:t>
      </w:r>
      <w:proofErr w:type="spellStart"/>
      <w:r w:rsidRPr="008D7AD1">
        <w:rPr>
          <w:lang w:val="en-US"/>
        </w:rPr>
        <w:t>etkileşim</w:t>
      </w:r>
      <w:proofErr w:type="spellEnd"/>
      <w:r w:rsidRPr="008D7AD1">
        <w:rPr>
          <w:lang w:val="en-US"/>
        </w:rPr>
        <w:t xml:space="preserve"> </w:t>
      </w:r>
      <w:proofErr w:type="spellStart"/>
      <w:r w:rsidRPr="008D7AD1">
        <w:rPr>
          <w:lang w:val="en-US"/>
        </w:rPr>
        <w:t>içinde</w:t>
      </w:r>
      <w:proofErr w:type="spellEnd"/>
      <w:r w:rsidRPr="008D7AD1">
        <w:rPr>
          <w:lang w:val="en-US"/>
        </w:rPr>
        <w:t xml:space="preserve"> </w:t>
      </w:r>
      <w:proofErr w:type="spellStart"/>
      <w:r w:rsidRPr="008D7AD1">
        <w:rPr>
          <w:lang w:val="en-US"/>
        </w:rPr>
        <w:t>olmamıştır</w:t>
      </w:r>
      <w:proofErr w:type="spellEnd"/>
      <w:r w:rsidRPr="008D7AD1">
        <w:rPr>
          <w:lang w:val="en-US"/>
        </w:rPr>
        <w:t>.⁷⁹</w:t>
      </w:r>
      <w:r>
        <w:rPr>
          <w:lang w:val="en-US"/>
        </w:rPr>
        <w:t xml:space="preserve">  </w:t>
      </w:r>
      <w:r>
        <w:rPr>
          <w:rStyle w:val="FootnoteReference"/>
          <w:lang w:val="en-US"/>
        </w:rPr>
        <w:footnoteReference w:id="79"/>
      </w:r>
      <w:r>
        <w:rPr>
          <w:lang w:val="en-US"/>
        </w:rPr>
        <w:t>[1089 - 1090]</w:t>
      </w:r>
    </w:p>
    <w:p w14:paraId="16CDA62E" w14:textId="77777777" w:rsidR="008D7AD1" w:rsidRDefault="008D7AD1" w:rsidP="008D7AD1">
      <w:pPr>
        <w:pStyle w:val="Heading5"/>
        <w:rPr>
          <w:lang w:val="en-US"/>
        </w:rPr>
      </w:pPr>
      <w:proofErr w:type="spellStart"/>
      <w:r w:rsidRPr="008D7AD1">
        <w:rPr>
          <w:lang w:val="en-US"/>
        </w:rPr>
        <w:t>Katiplerin</w:t>
      </w:r>
      <w:proofErr w:type="spellEnd"/>
      <w:r w:rsidRPr="008D7AD1">
        <w:rPr>
          <w:lang w:val="en-US"/>
        </w:rPr>
        <w:t xml:space="preserve"> </w:t>
      </w:r>
      <w:proofErr w:type="spellStart"/>
      <w:r w:rsidRPr="008D7AD1">
        <w:rPr>
          <w:lang w:val="en-US"/>
        </w:rPr>
        <w:t>Rolü</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Mevcut</w:t>
      </w:r>
      <w:proofErr w:type="spellEnd"/>
      <w:r w:rsidRPr="008D7AD1">
        <w:rPr>
          <w:lang w:val="en-US"/>
        </w:rPr>
        <w:t xml:space="preserve"> </w:t>
      </w:r>
      <w:proofErr w:type="spellStart"/>
      <w:r w:rsidRPr="008D7AD1">
        <w:rPr>
          <w:lang w:val="en-US"/>
        </w:rPr>
        <w:t>Görüş</w:t>
      </w:r>
      <w:proofErr w:type="spellEnd"/>
      <w:r w:rsidRPr="008D7AD1">
        <w:rPr>
          <w:lang w:val="en-US"/>
        </w:rPr>
        <w:t xml:space="preserve"> </w:t>
      </w:r>
      <w:proofErr w:type="spellStart"/>
      <w:r w:rsidRPr="008D7AD1">
        <w:rPr>
          <w:lang w:val="en-US"/>
        </w:rPr>
        <w:t>Taslağı</w:t>
      </w:r>
      <w:proofErr w:type="spellEnd"/>
      <w:r w:rsidRPr="008D7AD1">
        <w:rPr>
          <w:lang w:val="en-US"/>
        </w:rPr>
        <w:t xml:space="preserve"> </w:t>
      </w:r>
      <w:proofErr w:type="spellStart"/>
      <w:r w:rsidRPr="008D7AD1">
        <w:rPr>
          <w:lang w:val="en-US"/>
        </w:rPr>
        <w:t>Modeli</w:t>
      </w:r>
      <w:proofErr w:type="spellEnd"/>
    </w:p>
    <w:p w14:paraId="3B6B7884" w14:textId="19840F73" w:rsidR="008D7AD1" w:rsidRDefault="008D7AD1" w:rsidP="008D7AD1">
      <w:pPr>
        <w:rPr>
          <w:lang w:val="en-US"/>
        </w:rPr>
      </w:pPr>
      <w:r w:rsidRPr="008D7AD1">
        <w:rPr>
          <w:lang w:val="en-US"/>
        </w:rPr>
        <w:t xml:space="preserve">Yüksek </w:t>
      </w:r>
      <w:proofErr w:type="spellStart"/>
      <w:r w:rsidRPr="008D7AD1">
        <w:rPr>
          <w:lang w:val="en-US"/>
        </w:rPr>
        <w:t>Mahkeme</w:t>
      </w:r>
      <w:proofErr w:type="spellEnd"/>
      <w:r w:rsidRPr="008D7AD1">
        <w:rPr>
          <w:lang w:val="en-US"/>
        </w:rPr>
        <w:t xml:space="preserve"> </w:t>
      </w:r>
      <w:proofErr w:type="spellStart"/>
      <w:r w:rsidRPr="008D7AD1">
        <w:rPr>
          <w:lang w:val="en-US"/>
        </w:rPr>
        <w:t>Yargıçları</w:t>
      </w:r>
      <w:proofErr w:type="spellEnd"/>
      <w:r w:rsidRPr="008D7AD1">
        <w:rPr>
          <w:lang w:val="en-US"/>
        </w:rPr>
        <w:t xml:space="preserve"> </w:t>
      </w:r>
      <w:proofErr w:type="spellStart"/>
      <w:r w:rsidRPr="008D7AD1">
        <w:rPr>
          <w:lang w:val="en-US"/>
        </w:rPr>
        <w:t>artık</w:t>
      </w:r>
      <w:proofErr w:type="spellEnd"/>
      <w:r w:rsidRPr="008D7AD1">
        <w:rPr>
          <w:lang w:val="en-US"/>
        </w:rPr>
        <w:t xml:space="preserve">, </w:t>
      </w:r>
      <w:proofErr w:type="spellStart"/>
      <w:r w:rsidRPr="008D7AD1">
        <w:rPr>
          <w:lang w:val="en-US"/>
        </w:rPr>
        <w:t>çoğu</w:t>
      </w:r>
      <w:proofErr w:type="spellEnd"/>
      <w:r w:rsidRPr="008D7AD1">
        <w:rPr>
          <w:lang w:val="en-US"/>
        </w:rPr>
        <w:t xml:space="preserve"> </w:t>
      </w:r>
      <w:proofErr w:type="spellStart"/>
      <w:r w:rsidRPr="008D7AD1">
        <w:rPr>
          <w:lang w:val="en-US"/>
        </w:rPr>
        <w:t>seçkin</w:t>
      </w:r>
      <w:proofErr w:type="spellEnd"/>
      <w:r w:rsidRPr="008D7AD1">
        <w:rPr>
          <w:lang w:val="en-US"/>
        </w:rPr>
        <w:t xml:space="preserve"> </w:t>
      </w:r>
      <w:proofErr w:type="spellStart"/>
      <w:r w:rsidRPr="008D7AD1">
        <w:rPr>
          <w:lang w:val="en-US"/>
        </w:rPr>
        <w:t>hukuk</w:t>
      </w:r>
      <w:proofErr w:type="spellEnd"/>
      <w:r w:rsidRPr="008D7AD1">
        <w:rPr>
          <w:lang w:val="en-US"/>
        </w:rPr>
        <w:t xml:space="preserve"> </w:t>
      </w:r>
      <w:proofErr w:type="spellStart"/>
      <w:r w:rsidRPr="008D7AD1">
        <w:rPr>
          <w:lang w:val="en-US"/>
        </w:rPr>
        <w:t>okullarından</w:t>
      </w:r>
      <w:proofErr w:type="spellEnd"/>
      <w:r w:rsidRPr="008D7AD1">
        <w:rPr>
          <w:lang w:val="en-US"/>
        </w:rPr>
        <w:t xml:space="preserve"> yeni </w:t>
      </w:r>
      <w:proofErr w:type="spellStart"/>
      <w:r w:rsidRPr="008D7AD1">
        <w:rPr>
          <w:lang w:val="en-US"/>
        </w:rPr>
        <w:t>veya</w:t>
      </w:r>
      <w:proofErr w:type="spellEnd"/>
      <w:r w:rsidRPr="008D7AD1">
        <w:rPr>
          <w:lang w:val="en-US"/>
        </w:rPr>
        <w:t xml:space="preserve"> </w:t>
      </w:r>
      <w:proofErr w:type="spellStart"/>
      <w:r w:rsidRPr="008D7AD1">
        <w:rPr>
          <w:lang w:val="en-US"/>
        </w:rPr>
        <w:t>çok</w:t>
      </w:r>
      <w:proofErr w:type="spellEnd"/>
      <w:r w:rsidRPr="008D7AD1">
        <w:rPr>
          <w:lang w:val="en-US"/>
        </w:rPr>
        <w:t xml:space="preserve"> </w:t>
      </w:r>
      <w:proofErr w:type="spellStart"/>
      <w:r w:rsidRPr="008D7AD1">
        <w:rPr>
          <w:lang w:val="en-US"/>
        </w:rPr>
        <w:t>yakın</w:t>
      </w:r>
      <w:proofErr w:type="spellEnd"/>
      <w:r w:rsidRPr="008D7AD1">
        <w:rPr>
          <w:lang w:val="en-US"/>
        </w:rPr>
        <w:t xml:space="preserve"> </w:t>
      </w:r>
      <w:proofErr w:type="spellStart"/>
      <w:r w:rsidRPr="008D7AD1">
        <w:rPr>
          <w:lang w:val="en-US"/>
        </w:rPr>
        <w:t>zamanda</w:t>
      </w:r>
      <w:proofErr w:type="spellEnd"/>
      <w:r w:rsidRPr="008D7AD1">
        <w:rPr>
          <w:lang w:val="en-US"/>
        </w:rPr>
        <w:t xml:space="preserve"> </w:t>
      </w:r>
      <w:proofErr w:type="spellStart"/>
      <w:r w:rsidRPr="008D7AD1">
        <w:rPr>
          <w:lang w:val="en-US"/>
        </w:rPr>
        <w:t>mezun</w:t>
      </w:r>
      <w:proofErr w:type="spellEnd"/>
      <w:r w:rsidRPr="008D7AD1">
        <w:rPr>
          <w:lang w:val="en-US"/>
        </w:rPr>
        <w:t xml:space="preserve"> </w:t>
      </w:r>
      <w:proofErr w:type="spellStart"/>
      <w:r w:rsidRPr="008D7AD1">
        <w:rPr>
          <w:lang w:val="en-US"/>
        </w:rPr>
        <w:t>olmuş</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referanslar</w:t>
      </w:r>
      <w:proofErr w:type="spellEnd"/>
      <w:r w:rsidRPr="008D7AD1">
        <w:rPr>
          <w:lang w:val="en-US"/>
        </w:rPr>
        <w:t xml:space="preserve"> </w:t>
      </w:r>
      <w:proofErr w:type="spellStart"/>
      <w:r w:rsidRPr="008D7AD1">
        <w:rPr>
          <w:lang w:val="en-US"/>
        </w:rPr>
        <w:t>ile</w:t>
      </w:r>
      <w:proofErr w:type="spellEnd"/>
      <w:r w:rsidRPr="008D7AD1">
        <w:rPr>
          <w:lang w:val="en-US"/>
        </w:rPr>
        <w:t xml:space="preserve"> </w:t>
      </w:r>
      <w:proofErr w:type="spellStart"/>
      <w:r w:rsidRPr="008D7AD1">
        <w:rPr>
          <w:lang w:val="en-US"/>
        </w:rPr>
        <w:t>özgeçmişlerindeki</w:t>
      </w:r>
      <w:proofErr w:type="spellEnd"/>
      <w:r w:rsidRPr="008D7AD1">
        <w:rPr>
          <w:lang w:val="en-US"/>
        </w:rPr>
        <w:t xml:space="preserve"> </w:t>
      </w:r>
      <w:proofErr w:type="spellStart"/>
      <w:r w:rsidRPr="008D7AD1">
        <w:rPr>
          <w:lang w:val="en-US"/>
        </w:rPr>
        <w:t>belirli</w:t>
      </w:r>
      <w:proofErr w:type="spellEnd"/>
      <w:r w:rsidRPr="008D7AD1">
        <w:rPr>
          <w:lang w:val="en-US"/>
        </w:rPr>
        <w:t xml:space="preserve"> </w:t>
      </w:r>
      <w:proofErr w:type="spellStart"/>
      <w:r w:rsidRPr="008D7AD1">
        <w:rPr>
          <w:lang w:val="en-US"/>
        </w:rPr>
        <w:t>unsurlara</w:t>
      </w:r>
      <w:proofErr w:type="spellEnd"/>
      <w:r w:rsidRPr="008D7AD1">
        <w:rPr>
          <w:lang w:val="en-US"/>
        </w:rPr>
        <w:t xml:space="preserve"> </w:t>
      </w:r>
      <w:proofErr w:type="spellStart"/>
      <w:r w:rsidRPr="008D7AD1">
        <w:rPr>
          <w:lang w:val="en-US"/>
        </w:rPr>
        <w:t>önem</w:t>
      </w:r>
      <w:proofErr w:type="spellEnd"/>
      <w:r w:rsidRPr="008D7AD1">
        <w:rPr>
          <w:lang w:val="en-US"/>
        </w:rPr>
        <w:t xml:space="preserve"> </w:t>
      </w:r>
      <w:proofErr w:type="spellStart"/>
      <w:r w:rsidRPr="008D7AD1">
        <w:rPr>
          <w:lang w:val="en-US"/>
        </w:rPr>
        <w:t>verilen</w:t>
      </w:r>
      <w:proofErr w:type="spellEnd"/>
      <w:r w:rsidRPr="008D7AD1">
        <w:rPr>
          <w:lang w:val="en-US"/>
        </w:rPr>
        <w:t xml:space="preserve"> </w:t>
      </w:r>
      <w:proofErr w:type="spellStart"/>
      <w:r w:rsidRPr="008D7AD1">
        <w:rPr>
          <w:lang w:val="en-US"/>
        </w:rPr>
        <w:t>bir</w:t>
      </w:r>
      <w:proofErr w:type="spellEnd"/>
      <w:r w:rsidRPr="008D7AD1">
        <w:rPr>
          <w:lang w:val="en-US"/>
        </w:rPr>
        <w:t xml:space="preserve"> </w:t>
      </w:r>
      <w:proofErr w:type="spellStart"/>
      <w:r w:rsidRPr="008D7AD1">
        <w:rPr>
          <w:lang w:val="en-US"/>
        </w:rPr>
        <w:t>süreçle</w:t>
      </w:r>
      <w:proofErr w:type="spellEnd"/>
      <w:r w:rsidRPr="008D7AD1">
        <w:rPr>
          <w:lang w:val="en-US"/>
        </w:rPr>
        <w:t xml:space="preserve">, </w:t>
      </w:r>
      <w:proofErr w:type="spellStart"/>
      <w:r w:rsidRPr="008D7AD1">
        <w:rPr>
          <w:lang w:val="en-US"/>
        </w:rPr>
        <w:lastRenderedPageBreak/>
        <w:t>eşit</w:t>
      </w:r>
      <w:proofErr w:type="spellEnd"/>
      <w:r w:rsidRPr="008D7AD1">
        <w:rPr>
          <w:lang w:val="en-US"/>
        </w:rPr>
        <w:t xml:space="preserve"> </w:t>
      </w:r>
      <w:proofErr w:type="spellStart"/>
      <w:r w:rsidRPr="008D7AD1">
        <w:rPr>
          <w:lang w:val="en-US"/>
        </w:rPr>
        <w:t>derecede</w:t>
      </w:r>
      <w:proofErr w:type="spellEnd"/>
      <w:r w:rsidRPr="008D7AD1">
        <w:rPr>
          <w:lang w:val="en-US"/>
        </w:rPr>
        <w:t xml:space="preserve"> </w:t>
      </w:r>
      <w:proofErr w:type="spellStart"/>
      <w:r w:rsidRPr="008D7AD1">
        <w:rPr>
          <w:lang w:val="en-US"/>
        </w:rPr>
        <w:t>etkileyici</w:t>
      </w:r>
      <w:proofErr w:type="spellEnd"/>
      <w:r w:rsidRPr="008D7AD1">
        <w:rPr>
          <w:lang w:val="en-US"/>
        </w:rPr>
        <w:t xml:space="preserve"> </w:t>
      </w:r>
      <w:proofErr w:type="spellStart"/>
      <w:r w:rsidRPr="008D7AD1">
        <w:rPr>
          <w:lang w:val="en-US"/>
        </w:rPr>
        <w:t>adaylar</w:t>
      </w:r>
      <w:proofErr w:type="spellEnd"/>
      <w:r w:rsidRPr="008D7AD1">
        <w:rPr>
          <w:lang w:val="en-US"/>
        </w:rPr>
        <w:t xml:space="preserve"> </w:t>
      </w:r>
      <w:proofErr w:type="spellStart"/>
      <w:r w:rsidRPr="008D7AD1">
        <w:rPr>
          <w:lang w:val="en-US"/>
        </w:rPr>
        <w:t>arasından</w:t>
      </w:r>
      <w:proofErr w:type="spellEnd"/>
      <w:r w:rsidRPr="008D7AD1">
        <w:rPr>
          <w:lang w:val="en-US"/>
        </w:rPr>
        <w:t xml:space="preserve"> </w:t>
      </w:r>
      <w:proofErr w:type="spellStart"/>
      <w:r w:rsidRPr="008D7AD1">
        <w:rPr>
          <w:lang w:val="en-US"/>
        </w:rPr>
        <w:t>seçilen</w:t>
      </w:r>
      <w:proofErr w:type="spellEnd"/>
      <w:r w:rsidRPr="008D7AD1">
        <w:rPr>
          <w:lang w:val="en-US"/>
        </w:rPr>
        <w:t xml:space="preserve"> </w:t>
      </w:r>
      <w:proofErr w:type="spellStart"/>
      <w:r w:rsidRPr="008D7AD1">
        <w:rPr>
          <w:lang w:val="en-US"/>
        </w:rPr>
        <w:t>en</w:t>
      </w:r>
      <w:proofErr w:type="spellEnd"/>
      <w:r w:rsidRPr="008D7AD1">
        <w:rPr>
          <w:lang w:val="en-US"/>
        </w:rPr>
        <w:t xml:space="preserve"> </w:t>
      </w:r>
      <w:proofErr w:type="spellStart"/>
      <w:r w:rsidRPr="008D7AD1">
        <w:rPr>
          <w:lang w:val="en-US"/>
        </w:rPr>
        <w:t>az</w:t>
      </w:r>
      <w:proofErr w:type="spellEnd"/>
      <w:r w:rsidRPr="008D7AD1">
        <w:rPr>
          <w:lang w:val="en-US"/>
        </w:rPr>
        <w:t xml:space="preserve"> </w:t>
      </w:r>
      <w:proofErr w:type="spellStart"/>
      <w:r w:rsidRPr="008D7AD1">
        <w:rPr>
          <w:lang w:val="en-US"/>
        </w:rPr>
        <w:t>dört</w:t>
      </w:r>
      <w:proofErr w:type="spellEnd"/>
      <w:r w:rsidRPr="008D7AD1">
        <w:rPr>
          <w:lang w:val="en-US"/>
        </w:rPr>
        <w:t xml:space="preserve"> </w:t>
      </w:r>
      <w:proofErr w:type="spellStart"/>
      <w:r w:rsidRPr="008D7AD1">
        <w:rPr>
          <w:lang w:val="en-US"/>
        </w:rPr>
        <w:t>hukuk</w:t>
      </w:r>
      <w:proofErr w:type="spellEnd"/>
      <w:r w:rsidRPr="008D7AD1">
        <w:rPr>
          <w:lang w:val="en-US"/>
        </w:rPr>
        <w:t xml:space="preserve"> </w:t>
      </w:r>
      <w:proofErr w:type="spellStart"/>
      <w:r w:rsidRPr="008D7AD1">
        <w:rPr>
          <w:lang w:val="en-US"/>
        </w:rPr>
        <w:t>katibiyle</w:t>
      </w:r>
      <w:proofErr w:type="spellEnd"/>
      <w:r w:rsidRPr="008D7AD1">
        <w:rPr>
          <w:lang w:val="en-US"/>
        </w:rPr>
        <w:t xml:space="preserve"> </w:t>
      </w:r>
      <w:proofErr w:type="spellStart"/>
      <w:r w:rsidRPr="008D7AD1">
        <w:rPr>
          <w:lang w:val="en-US"/>
        </w:rPr>
        <w:t>çalışmaktadır</w:t>
      </w:r>
      <w:proofErr w:type="spellEnd"/>
      <w:r w:rsidRPr="008D7AD1">
        <w:rPr>
          <w:lang w:val="en-US"/>
        </w:rPr>
        <w:t>.⁸⁰</w:t>
      </w:r>
      <w:r>
        <w:rPr>
          <w:lang w:val="en-US"/>
        </w:rPr>
        <w:t xml:space="preserve"> </w:t>
      </w:r>
      <w:r>
        <w:rPr>
          <w:rStyle w:val="FootnoteReference"/>
          <w:lang w:val="en-US"/>
        </w:rPr>
        <w:footnoteReference w:id="80"/>
      </w:r>
      <w:r w:rsidRPr="008D7AD1">
        <w:rPr>
          <w:lang w:val="en-US"/>
        </w:rPr>
        <w:t xml:space="preserve"> Her </w:t>
      </w:r>
      <w:proofErr w:type="spellStart"/>
      <w:r w:rsidRPr="008D7AD1">
        <w:rPr>
          <w:lang w:val="en-US"/>
        </w:rPr>
        <w:t>Yargıcın</w:t>
      </w:r>
      <w:proofErr w:type="spellEnd"/>
      <w:r w:rsidRPr="008D7AD1">
        <w:rPr>
          <w:lang w:val="en-US"/>
        </w:rPr>
        <w:t xml:space="preserve"> </w:t>
      </w:r>
      <w:proofErr w:type="spellStart"/>
      <w:r w:rsidRPr="008D7AD1">
        <w:rPr>
          <w:lang w:val="en-US"/>
        </w:rPr>
        <w:t>katipleriyle</w:t>
      </w:r>
      <w:proofErr w:type="spellEnd"/>
      <w:r w:rsidRPr="008D7AD1">
        <w:rPr>
          <w:lang w:val="en-US"/>
        </w:rPr>
        <w:t xml:space="preserve"> </w:t>
      </w:r>
      <w:proofErr w:type="spellStart"/>
      <w:r w:rsidRPr="008D7AD1">
        <w:rPr>
          <w:lang w:val="en-US"/>
        </w:rPr>
        <w:t>ilişkisi</w:t>
      </w:r>
      <w:proofErr w:type="spellEnd"/>
      <w:r w:rsidRPr="008D7AD1">
        <w:rPr>
          <w:lang w:val="en-US"/>
        </w:rPr>
        <w:t xml:space="preserve"> </w:t>
      </w:r>
      <w:proofErr w:type="spellStart"/>
      <w:r w:rsidRPr="008D7AD1">
        <w:rPr>
          <w:lang w:val="en-US"/>
        </w:rPr>
        <w:t>farklı</w:t>
      </w:r>
      <w:proofErr w:type="spellEnd"/>
      <w:r w:rsidRPr="008D7AD1">
        <w:rPr>
          <w:lang w:val="en-US"/>
        </w:rPr>
        <w:t xml:space="preserve"> </w:t>
      </w:r>
      <w:proofErr w:type="spellStart"/>
      <w:r w:rsidRPr="008D7AD1">
        <w:rPr>
          <w:lang w:val="en-US"/>
        </w:rPr>
        <w:t>olsa</w:t>
      </w:r>
      <w:proofErr w:type="spellEnd"/>
      <w:r w:rsidRPr="008D7AD1">
        <w:rPr>
          <w:lang w:val="en-US"/>
        </w:rPr>
        <w:t xml:space="preserve"> da, </w:t>
      </w:r>
      <w:proofErr w:type="spellStart"/>
      <w:r w:rsidRPr="008D7AD1">
        <w:rPr>
          <w:lang w:val="en-US"/>
        </w:rPr>
        <w:t>tüm</w:t>
      </w:r>
      <w:proofErr w:type="spellEnd"/>
      <w:r w:rsidRPr="008D7AD1">
        <w:rPr>
          <w:lang w:val="en-US"/>
        </w:rPr>
        <w:t xml:space="preserve"> </w:t>
      </w:r>
      <w:proofErr w:type="spellStart"/>
      <w:r w:rsidRPr="008D7AD1">
        <w:rPr>
          <w:lang w:val="en-US"/>
        </w:rPr>
        <w:t>Yargıçların</w:t>
      </w:r>
      <w:proofErr w:type="spellEnd"/>
      <w:r w:rsidRPr="008D7AD1">
        <w:rPr>
          <w:lang w:val="en-US"/>
        </w:rPr>
        <w:t xml:space="preserve"> </w:t>
      </w:r>
      <w:proofErr w:type="spellStart"/>
      <w:r w:rsidRPr="008D7AD1">
        <w:rPr>
          <w:lang w:val="en-US"/>
        </w:rPr>
        <w:t>katipleriyle</w:t>
      </w:r>
      <w:proofErr w:type="spellEnd"/>
      <w:r w:rsidRPr="008D7AD1">
        <w:rPr>
          <w:lang w:val="en-US"/>
        </w:rPr>
        <w:t xml:space="preserve"> </w:t>
      </w:r>
      <w:proofErr w:type="spellStart"/>
      <w:r w:rsidRPr="008D7AD1">
        <w:rPr>
          <w:lang w:val="en-US"/>
        </w:rPr>
        <w:t>birlikte</w:t>
      </w:r>
      <w:proofErr w:type="spellEnd"/>
      <w:r w:rsidRPr="008D7AD1">
        <w:rPr>
          <w:lang w:val="en-US"/>
        </w:rPr>
        <w:t xml:space="preserve"> </w:t>
      </w:r>
      <w:proofErr w:type="spellStart"/>
      <w:r w:rsidRPr="008D7AD1">
        <w:rPr>
          <w:lang w:val="en-US"/>
        </w:rPr>
        <w:t>davaların</w:t>
      </w:r>
      <w:proofErr w:type="spellEnd"/>
      <w:r w:rsidRPr="008D7AD1">
        <w:rPr>
          <w:lang w:val="en-US"/>
        </w:rPr>
        <w:t xml:space="preserve"> </w:t>
      </w:r>
      <w:r w:rsidRPr="008D7AD1">
        <w:rPr>
          <w:b/>
          <w:bCs/>
          <w:lang w:val="en-US"/>
        </w:rPr>
        <w:t>certiorari</w:t>
      </w:r>
      <w:r w:rsidRPr="008D7AD1">
        <w:rPr>
          <w:lang w:val="en-US"/>
        </w:rPr>
        <w:t xml:space="preserve"> </w:t>
      </w:r>
      <w:proofErr w:type="spellStart"/>
      <w:r w:rsidRPr="008D7AD1">
        <w:rPr>
          <w:lang w:val="en-US"/>
        </w:rPr>
        <w:t>açısından</w:t>
      </w:r>
      <w:proofErr w:type="spellEnd"/>
      <w:r w:rsidRPr="008D7AD1">
        <w:rPr>
          <w:lang w:val="en-US"/>
        </w:rPr>
        <w:t xml:space="preserve"> </w:t>
      </w:r>
      <w:proofErr w:type="spellStart"/>
      <w:r w:rsidRPr="008D7AD1">
        <w:rPr>
          <w:lang w:val="en-US"/>
        </w:rPr>
        <w:t>değerlendirilmesi</w:t>
      </w:r>
      <w:proofErr w:type="spellEnd"/>
      <w:r w:rsidRPr="008D7AD1">
        <w:rPr>
          <w:lang w:val="en-US"/>
        </w:rPr>
        <w:t xml:space="preserve">, </w:t>
      </w:r>
      <w:proofErr w:type="spellStart"/>
      <w:r w:rsidRPr="008D7AD1">
        <w:rPr>
          <w:lang w:val="en-US"/>
        </w:rPr>
        <w:t>kabul</w:t>
      </w:r>
      <w:proofErr w:type="spellEnd"/>
      <w:r w:rsidRPr="008D7AD1">
        <w:rPr>
          <w:lang w:val="en-US"/>
        </w:rPr>
        <w:t xml:space="preserve"> </w:t>
      </w:r>
      <w:proofErr w:type="spellStart"/>
      <w:r w:rsidRPr="008D7AD1">
        <w:rPr>
          <w:lang w:val="en-US"/>
        </w:rPr>
        <w:t>edilen</w:t>
      </w:r>
      <w:proofErr w:type="spellEnd"/>
      <w:r w:rsidRPr="008D7AD1">
        <w:rPr>
          <w:lang w:val="en-US"/>
        </w:rPr>
        <w:t xml:space="preserve"> </w:t>
      </w:r>
      <w:proofErr w:type="spellStart"/>
      <w:r w:rsidRPr="008D7AD1">
        <w:rPr>
          <w:lang w:val="en-US"/>
        </w:rPr>
        <w:t>davaların</w:t>
      </w:r>
      <w:proofErr w:type="spellEnd"/>
      <w:r w:rsidRPr="008D7AD1">
        <w:rPr>
          <w:lang w:val="en-US"/>
        </w:rPr>
        <w:t xml:space="preserve"> </w:t>
      </w:r>
      <w:proofErr w:type="spellStart"/>
      <w:r w:rsidRPr="008D7AD1">
        <w:rPr>
          <w:lang w:val="en-US"/>
        </w:rPr>
        <w:t>esasları</w:t>
      </w:r>
      <w:proofErr w:type="spellEnd"/>
      <w:r w:rsidRPr="008D7AD1">
        <w:rPr>
          <w:lang w:val="en-US"/>
        </w:rPr>
        <w:t xml:space="preserve"> </w:t>
      </w:r>
      <w:proofErr w:type="spellStart"/>
      <w:r w:rsidRPr="008D7AD1">
        <w:rPr>
          <w:lang w:val="en-US"/>
        </w:rPr>
        <w:t>ve</w:t>
      </w:r>
      <w:proofErr w:type="spellEnd"/>
      <w:r w:rsidRPr="008D7AD1">
        <w:rPr>
          <w:lang w:val="en-US"/>
        </w:rPr>
        <w:t xml:space="preserve"> hem </w:t>
      </w:r>
      <w:proofErr w:type="spellStart"/>
      <w:r w:rsidRPr="008D7AD1">
        <w:rPr>
          <w:lang w:val="en-US"/>
        </w:rPr>
        <w:t>kendi</w:t>
      </w:r>
      <w:proofErr w:type="spellEnd"/>
      <w:r w:rsidRPr="008D7AD1">
        <w:rPr>
          <w:lang w:val="en-US"/>
        </w:rPr>
        <w:t xml:space="preserve"> </w:t>
      </w:r>
      <w:proofErr w:type="spellStart"/>
      <w:r w:rsidRPr="008D7AD1">
        <w:rPr>
          <w:lang w:val="en-US"/>
        </w:rPr>
        <w:t>görüşlerinin</w:t>
      </w:r>
      <w:proofErr w:type="spellEnd"/>
      <w:r w:rsidRPr="008D7AD1">
        <w:rPr>
          <w:lang w:val="en-US"/>
        </w:rPr>
        <w:t xml:space="preserve"> hem de </w:t>
      </w:r>
      <w:proofErr w:type="spellStart"/>
      <w:r w:rsidRPr="008D7AD1">
        <w:rPr>
          <w:lang w:val="en-US"/>
        </w:rPr>
        <w:t>diğer</w:t>
      </w:r>
      <w:proofErr w:type="spellEnd"/>
      <w:r w:rsidRPr="008D7AD1">
        <w:rPr>
          <w:lang w:val="en-US"/>
        </w:rPr>
        <w:t xml:space="preserve"> </w:t>
      </w:r>
      <w:proofErr w:type="spellStart"/>
      <w:r w:rsidRPr="008D7AD1">
        <w:rPr>
          <w:lang w:val="en-US"/>
        </w:rPr>
        <w:t>Yargıçların</w:t>
      </w:r>
      <w:proofErr w:type="spellEnd"/>
      <w:r w:rsidRPr="008D7AD1">
        <w:rPr>
          <w:lang w:val="en-US"/>
        </w:rPr>
        <w:t xml:space="preserve"> </w:t>
      </w:r>
      <w:proofErr w:type="spellStart"/>
      <w:r w:rsidRPr="008D7AD1">
        <w:rPr>
          <w:lang w:val="en-US"/>
        </w:rPr>
        <w:t>görüşlerinin</w:t>
      </w:r>
      <w:proofErr w:type="spellEnd"/>
      <w:r w:rsidRPr="008D7AD1">
        <w:rPr>
          <w:lang w:val="en-US"/>
        </w:rPr>
        <w:t xml:space="preserve"> </w:t>
      </w:r>
      <w:proofErr w:type="spellStart"/>
      <w:r w:rsidRPr="008D7AD1">
        <w:rPr>
          <w:lang w:val="en-US"/>
        </w:rPr>
        <w:t>içeriği</w:t>
      </w:r>
      <w:proofErr w:type="spellEnd"/>
      <w:r w:rsidRPr="008D7AD1">
        <w:rPr>
          <w:lang w:val="en-US"/>
        </w:rPr>
        <w:t xml:space="preserve"> </w:t>
      </w:r>
      <w:proofErr w:type="spellStart"/>
      <w:r w:rsidRPr="008D7AD1">
        <w:rPr>
          <w:lang w:val="en-US"/>
        </w:rPr>
        <w:t>üzerine</w:t>
      </w:r>
      <w:proofErr w:type="spellEnd"/>
      <w:r w:rsidRPr="008D7AD1">
        <w:rPr>
          <w:lang w:val="en-US"/>
        </w:rPr>
        <w:t xml:space="preserve"> </w:t>
      </w:r>
      <w:proofErr w:type="spellStart"/>
      <w:r w:rsidRPr="008D7AD1">
        <w:rPr>
          <w:lang w:val="en-US"/>
        </w:rPr>
        <w:t>sık</w:t>
      </w:r>
      <w:proofErr w:type="spellEnd"/>
      <w:r w:rsidRPr="008D7AD1">
        <w:rPr>
          <w:lang w:val="en-US"/>
        </w:rPr>
        <w:t xml:space="preserve"> </w:t>
      </w:r>
      <w:proofErr w:type="spellStart"/>
      <w:r w:rsidRPr="008D7AD1">
        <w:rPr>
          <w:lang w:val="en-US"/>
        </w:rPr>
        <w:t>sık</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ayrıntılı</w:t>
      </w:r>
      <w:proofErr w:type="spellEnd"/>
      <w:r w:rsidRPr="008D7AD1">
        <w:rPr>
          <w:lang w:val="en-US"/>
        </w:rPr>
        <w:t xml:space="preserve"> </w:t>
      </w:r>
      <w:proofErr w:type="spellStart"/>
      <w:r w:rsidRPr="008D7AD1">
        <w:rPr>
          <w:lang w:val="en-US"/>
        </w:rPr>
        <w:t>tartışmalar</w:t>
      </w:r>
      <w:proofErr w:type="spellEnd"/>
      <w:r w:rsidRPr="008D7AD1">
        <w:rPr>
          <w:lang w:val="en-US"/>
        </w:rPr>
        <w:t xml:space="preserve"> </w:t>
      </w:r>
      <w:proofErr w:type="spellStart"/>
      <w:r w:rsidRPr="008D7AD1">
        <w:rPr>
          <w:lang w:val="en-US"/>
        </w:rPr>
        <w:t>yaptıkları</w:t>
      </w:r>
      <w:proofErr w:type="spellEnd"/>
      <w:r w:rsidRPr="008D7AD1">
        <w:rPr>
          <w:lang w:val="en-US"/>
        </w:rPr>
        <w:t xml:space="preserve"> </w:t>
      </w:r>
      <w:proofErr w:type="spellStart"/>
      <w:r w:rsidRPr="008D7AD1">
        <w:rPr>
          <w:lang w:val="en-US"/>
        </w:rPr>
        <w:t>söylenebilir</w:t>
      </w:r>
      <w:proofErr w:type="spellEnd"/>
      <w:r w:rsidRPr="008D7AD1">
        <w:rPr>
          <w:lang w:val="en-US"/>
        </w:rPr>
        <w:t xml:space="preserve">. Her </w:t>
      </w:r>
      <w:proofErr w:type="spellStart"/>
      <w:r w:rsidRPr="008D7AD1">
        <w:rPr>
          <w:lang w:val="en-US"/>
        </w:rPr>
        <w:t>bir</w:t>
      </w:r>
      <w:proofErr w:type="spellEnd"/>
      <w:r w:rsidRPr="008D7AD1">
        <w:rPr>
          <w:lang w:val="en-US"/>
        </w:rPr>
        <w:t xml:space="preserve"> </w:t>
      </w:r>
      <w:proofErr w:type="spellStart"/>
      <w:r w:rsidRPr="008D7AD1">
        <w:rPr>
          <w:lang w:val="en-US"/>
        </w:rPr>
        <w:t>Yargıç</w:t>
      </w:r>
      <w:proofErr w:type="spellEnd"/>
      <w:r w:rsidRPr="008D7AD1">
        <w:rPr>
          <w:lang w:val="en-US"/>
        </w:rPr>
        <w:t xml:space="preserve"> </w:t>
      </w:r>
      <w:proofErr w:type="spellStart"/>
      <w:r w:rsidRPr="008D7AD1">
        <w:rPr>
          <w:lang w:val="en-US"/>
        </w:rPr>
        <w:t>odasında</w:t>
      </w:r>
      <w:proofErr w:type="spellEnd"/>
      <w:r w:rsidRPr="008D7AD1">
        <w:rPr>
          <w:lang w:val="en-US"/>
        </w:rPr>
        <w:t xml:space="preserve">, </w:t>
      </w:r>
      <w:proofErr w:type="spellStart"/>
      <w:r w:rsidRPr="008D7AD1">
        <w:rPr>
          <w:lang w:val="en-US"/>
        </w:rPr>
        <w:t>hukuk</w:t>
      </w:r>
      <w:proofErr w:type="spellEnd"/>
      <w:r w:rsidRPr="008D7AD1">
        <w:rPr>
          <w:lang w:val="en-US"/>
        </w:rPr>
        <w:t xml:space="preserve"> </w:t>
      </w:r>
      <w:proofErr w:type="spellStart"/>
      <w:r w:rsidRPr="008D7AD1">
        <w:rPr>
          <w:lang w:val="en-US"/>
        </w:rPr>
        <w:t>katipleri</w:t>
      </w:r>
      <w:proofErr w:type="spellEnd"/>
      <w:r w:rsidRPr="008D7AD1">
        <w:rPr>
          <w:lang w:val="en-US"/>
        </w:rPr>
        <w:t xml:space="preserve"> </w:t>
      </w:r>
      <w:proofErr w:type="spellStart"/>
      <w:r w:rsidRPr="008D7AD1">
        <w:rPr>
          <w:lang w:val="en-US"/>
        </w:rPr>
        <w:t>görüş</w:t>
      </w:r>
      <w:proofErr w:type="spellEnd"/>
      <w:r w:rsidRPr="008D7AD1">
        <w:rPr>
          <w:lang w:val="en-US"/>
        </w:rPr>
        <w:t xml:space="preserve"> </w:t>
      </w:r>
      <w:proofErr w:type="spellStart"/>
      <w:r w:rsidRPr="008D7AD1">
        <w:rPr>
          <w:lang w:val="en-US"/>
        </w:rPr>
        <w:t>taslaklarının</w:t>
      </w:r>
      <w:proofErr w:type="spellEnd"/>
      <w:r w:rsidRPr="008D7AD1">
        <w:rPr>
          <w:lang w:val="en-US"/>
        </w:rPr>
        <w:t xml:space="preserve"> </w:t>
      </w:r>
      <w:proofErr w:type="spellStart"/>
      <w:r w:rsidRPr="008D7AD1">
        <w:rPr>
          <w:lang w:val="en-US"/>
        </w:rPr>
        <w:t>hazırlanmasına</w:t>
      </w:r>
      <w:proofErr w:type="spellEnd"/>
      <w:r w:rsidRPr="008D7AD1">
        <w:rPr>
          <w:lang w:val="en-US"/>
        </w:rPr>
        <w:t xml:space="preserve"> </w:t>
      </w:r>
      <w:proofErr w:type="spellStart"/>
      <w:r w:rsidRPr="008D7AD1">
        <w:rPr>
          <w:lang w:val="en-US"/>
        </w:rPr>
        <w:t>katılmaktadır</w:t>
      </w:r>
      <w:proofErr w:type="spellEnd"/>
      <w:r w:rsidRPr="008D7AD1">
        <w:rPr>
          <w:lang w:val="en-US"/>
        </w:rPr>
        <w:t xml:space="preserve">; </w:t>
      </w:r>
      <w:proofErr w:type="spellStart"/>
      <w:r w:rsidRPr="008D7AD1">
        <w:rPr>
          <w:lang w:val="en-US"/>
        </w:rPr>
        <w:t>çoğu</w:t>
      </w:r>
      <w:proofErr w:type="spellEnd"/>
      <w:r w:rsidRPr="008D7AD1">
        <w:rPr>
          <w:lang w:val="en-US"/>
        </w:rPr>
        <w:t xml:space="preserve"> </w:t>
      </w:r>
      <w:proofErr w:type="spellStart"/>
      <w:r w:rsidRPr="008D7AD1">
        <w:rPr>
          <w:lang w:val="en-US"/>
        </w:rPr>
        <w:t>kaynağa</w:t>
      </w:r>
      <w:proofErr w:type="spellEnd"/>
      <w:r w:rsidRPr="008D7AD1">
        <w:rPr>
          <w:lang w:val="en-US"/>
        </w:rPr>
        <w:t xml:space="preserve"> </w:t>
      </w:r>
      <w:proofErr w:type="spellStart"/>
      <w:r w:rsidRPr="008D7AD1">
        <w:rPr>
          <w:lang w:val="en-US"/>
        </w:rPr>
        <w:t>göre</w:t>
      </w:r>
      <w:proofErr w:type="spellEnd"/>
      <w:r w:rsidRPr="008D7AD1">
        <w:rPr>
          <w:lang w:val="en-US"/>
        </w:rPr>
        <w:t xml:space="preserve">, </w:t>
      </w:r>
      <w:proofErr w:type="spellStart"/>
      <w:r w:rsidRPr="008D7AD1">
        <w:rPr>
          <w:lang w:val="en-US"/>
        </w:rPr>
        <w:t>çoğu</w:t>
      </w:r>
      <w:proofErr w:type="spellEnd"/>
      <w:r w:rsidRPr="008D7AD1">
        <w:rPr>
          <w:lang w:val="en-US"/>
        </w:rPr>
        <w:t xml:space="preserve"> </w:t>
      </w:r>
      <w:proofErr w:type="spellStart"/>
      <w:r w:rsidRPr="008D7AD1">
        <w:rPr>
          <w:lang w:val="en-US"/>
        </w:rPr>
        <w:t>odada</w:t>
      </w:r>
      <w:proofErr w:type="spellEnd"/>
      <w:r w:rsidRPr="008D7AD1">
        <w:rPr>
          <w:lang w:val="en-US"/>
        </w:rPr>
        <w:t xml:space="preserve"> ilk </w:t>
      </w:r>
      <w:proofErr w:type="spellStart"/>
      <w:r w:rsidRPr="008D7AD1">
        <w:rPr>
          <w:lang w:val="en-US"/>
        </w:rPr>
        <w:t>taslağın</w:t>
      </w:r>
      <w:proofErr w:type="spellEnd"/>
      <w:r w:rsidRPr="008D7AD1">
        <w:rPr>
          <w:lang w:val="en-US"/>
        </w:rPr>
        <w:t xml:space="preserve"> </w:t>
      </w:r>
      <w:proofErr w:type="spellStart"/>
      <w:r w:rsidRPr="008D7AD1">
        <w:rPr>
          <w:lang w:val="en-US"/>
        </w:rPr>
        <w:t>hazırlanmasında</w:t>
      </w:r>
      <w:proofErr w:type="spellEnd"/>
      <w:r w:rsidRPr="008D7AD1">
        <w:rPr>
          <w:lang w:val="en-US"/>
        </w:rPr>
        <w:t xml:space="preserve"> </w:t>
      </w:r>
      <w:proofErr w:type="spellStart"/>
      <w:r w:rsidRPr="008D7AD1">
        <w:rPr>
          <w:lang w:val="en-US"/>
        </w:rPr>
        <w:t>öncü</w:t>
      </w:r>
      <w:proofErr w:type="spellEnd"/>
      <w:r w:rsidRPr="008D7AD1">
        <w:rPr>
          <w:lang w:val="en-US"/>
        </w:rPr>
        <w:t xml:space="preserve"> </w:t>
      </w:r>
      <w:proofErr w:type="spellStart"/>
      <w:r w:rsidRPr="008D7AD1">
        <w:rPr>
          <w:lang w:val="en-US"/>
        </w:rPr>
        <w:t>rolü</w:t>
      </w:r>
      <w:proofErr w:type="spellEnd"/>
      <w:r w:rsidRPr="008D7AD1">
        <w:rPr>
          <w:lang w:val="en-US"/>
        </w:rPr>
        <w:t xml:space="preserve"> üstlenmektedirler.⁸¹</w:t>
      </w:r>
      <w:r>
        <w:rPr>
          <w:lang w:val="en-US"/>
        </w:rPr>
        <w:t xml:space="preserve"> </w:t>
      </w:r>
      <w:r>
        <w:rPr>
          <w:rStyle w:val="FootnoteReference"/>
          <w:lang w:val="en-US"/>
        </w:rPr>
        <w:footnoteReference w:id="81"/>
      </w:r>
      <w:r w:rsidRPr="008D7AD1">
        <w:rPr>
          <w:lang w:val="en-US"/>
        </w:rPr>
        <w:t xml:space="preserve"> </w:t>
      </w:r>
      <w:proofErr w:type="spellStart"/>
      <w:r w:rsidRPr="008D7AD1">
        <w:rPr>
          <w:lang w:val="en-US"/>
        </w:rPr>
        <w:t>Çoğu</w:t>
      </w:r>
      <w:proofErr w:type="spellEnd"/>
      <w:r w:rsidRPr="008D7AD1">
        <w:rPr>
          <w:lang w:val="en-US"/>
        </w:rPr>
        <w:t xml:space="preserve"> </w:t>
      </w:r>
      <w:proofErr w:type="spellStart"/>
      <w:r w:rsidRPr="008D7AD1">
        <w:rPr>
          <w:lang w:val="en-US"/>
        </w:rPr>
        <w:t>odada</w:t>
      </w:r>
      <w:proofErr w:type="spellEnd"/>
      <w:r w:rsidRPr="008D7AD1">
        <w:rPr>
          <w:lang w:val="en-US"/>
        </w:rPr>
        <w:t xml:space="preserve">, </w:t>
      </w:r>
      <w:proofErr w:type="spellStart"/>
      <w:r w:rsidRPr="008D7AD1">
        <w:rPr>
          <w:lang w:val="en-US"/>
        </w:rPr>
        <w:t>katipler</w:t>
      </w:r>
      <w:proofErr w:type="spellEnd"/>
      <w:r w:rsidRPr="008D7AD1">
        <w:rPr>
          <w:lang w:val="en-US"/>
        </w:rPr>
        <w:t xml:space="preserve"> </w:t>
      </w:r>
      <w:proofErr w:type="spellStart"/>
      <w:r w:rsidRPr="008D7AD1">
        <w:rPr>
          <w:lang w:val="en-US"/>
        </w:rPr>
        <w:t>Yargıçlara</w:t>
      </w:r>
      <w:proofErr w:type="spellEnd"/>
      <w:r w:rsidRPr="008D7AD1">
        <w:rPr>
          <w:lang w:val="en-US"/>
        </w:rPr>
        <w:t xml:space="preserve"> </w:t>
      </w:r>
      <w:proofErr w:type="spellStart"/>
      <w:r w:rsidRPr="008D7AD1">
        <w:rPr>
          <w:lang w:val="en-US"/>
        </w:rPr>
        <w:t>nasıl</w:t>
      </w:r>
      <w:proofErr w:type="spellEnd"/>
      <w:r w:rsidRPr="008D7AD1">
        <w:rPr>
          <w:lang w:val="en-US"/>
        </w:rPr>
        <w:t xml:space="preserve"> </w:t>
      </w:r>
      <w:proofErr w:type="spellStart"/>
      <w:r w:rsidRPr="008D7AD1">
        <w:rPr>
          <w:lang w:val="en-US"/>
        </w:rPr>
        <w:t>karar</w:t>
      </w:r>
      <w:proofErr w:type="spellEnd"/>
      <w:r w:rsidRPr="008D7AD1">
        <w:rPr>
          <w:lang w:val="en-US"/>
        </w:rPr>
        <w:t xml:space="preserve"> </w:t>
      </w:r>
      <w:proofErr w:type="spellStart"/>
      <w:r w:rsidRPr="008D7AD1">
        <w:rPr>
          <w:lang w:val="en-US"/>
        </w:rPr>
        <w:t>vermeleri</w:t>
      </w:r>
      <w:proofErr w:type="spellEnd"/>
      <w:r w:rsidRPr="008D7AD1">
        <w:rPr>
          <w:lang w:val="en-US"/>
        </w:rPr>
        <w:t xml:space="preserve"> </w:t>
      </w:r>
      <w:proofErr w:type="spellStart"/>
      <w:r w:rsidRPr="008D7AD1">
        <w:rPr>
          <w:lang w:val="en-US"/>
        </w:rPr>
        <w:t>ve</w:t>
      </w:r>
      <w:proofErr w:type="spellEnd"/>
      <w:r w:rsidRPr="008D7AD1">
        <w:rPr>
          <w:lang w:val="en-US"/>
        </w:rPr>
        <w:t xml:space="preserve"> ne </w:t>
      </w:r>
      <w:proofErr w:type="spellStart"/>
      <w:r w:rsidRPr="008D7AD1">
        <w:rPr>
          <w:lang w:val="en-US"/>
        </w:rPr>
        <w:t>söylemeleri</w:t>
      </w:r>
      <w:proofErr w:type="spellEnd"/>
      <w:r w:rsidRPr="008D7AD1">
        <w:rPr>
          <w:lang w:val="en-US"/>
        </w:rPr>
        <w:t xml:space="preserve"> </w:t>
      </w:r>
      <w:proofErr w:type="spellStart"/>
      <w:r w:rsidRPr="008D7AD1">
        <w:rPr>
          <w:lang w:val="en-US"/>
        </w:rPr>
        <w:t>gerektiği</w:t>
      </w:r>
      <w:proofErr w:type="spellEnd"/>
      <w:r w:rsidRPr="008D7AD1">
        <w:rPr>
          <w:lang w:val="en-US"/>
        </w:rPr>
        <w:t xml:space="preserve"> </w:t>
      </w:r>
      <w:proofErr w:type="spellStart"/>
      <w:r w:rsidRPr="008D7AD1">
        <w:rPr>
          <w:lang w:val="en-US"/>
        </w:rPr>
        <w:t>konusunda</w:t>
      </w:r>
      <w:proofErr w:type="spellEnd"/>
      <w:r w:rsidRPr="008D7AD1">
        <w:rPr>
          <w:lang w:val="en-US"/>
        </w:rPr>
        <w:t xml:space="preserve"> </w:t>
      </w:r>
      <w:proofErr w:type="spellStart"/>
      <w:r w:rsidRPr="008D7AD1">
        <w:rPr>
          <w:lang w:val="en-US"/>
        </w:rPr>
        <w:t>doğrudan</w:t>
      </w:r>
      <w:proofErr w:type="spellEnd"/>
      <w:r w:rsidRPr="008D7AD1">
        <w:rPr>
          <w:lang w:val="en-US"/>
        </w:rPr>
        <w:t xml:space="preserve"> </w:t>
      </w:r>
      <w:proofErr w:type="spellStart"/>
      <w:r w:rsidRPr="008D7AD1">
        <w:rPr>
          <w:lang w:val="en-US"/>
        </w:rPr>
        <w:t>tavsiyelerde</w:t>
      </w:r>
      <w:proofErr w:type="spellEnd"/>
      <w:r w:rsidRPr="008D7AD1">
        <w:rPr>
          <w:lang w:val="en-US"/>
        </w:rPr>
        <w:t xml:space="preserve"> </w:t>
      </w:r>
      <w:proofErr w:type="spellStart"/>
      <w:r w:rsidRPr="008D7AD1">
        <w:rPr>
          <w:lang w:val="en-US"/>
        </w:rPr>
        <w:t>bulunmakta</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bazı</w:t>
      </w:r>
      <w:proofErr w:type="spellEnd"/>
      <w:r w:rsidRPr="008D7AD1">
        <w:rPr>
          <w:lang w:val="en-US"/>
        </w:rPr>
        <w:t xml:space="preserve"> </w:t>
      </w:r>
      <w:proofErr w:type="spellStart"/>
      <w:r w:rsidRPr="008D7AD1">
        <w:rPr>
          <w:lang w:val="en-US"/>
        </w:rPr>
        <w:t>durumlarda</w:t>
      </w:r>
      <w:proofErr w:type="spellEnd"/>
      <w:r w:rsidRPr="008D7AD1">
        <w:rPr>
          <w:lang w:val="en-US"/>
        </w:rPr>
        <w:t xml:space="preserve"> </w:t>
      </w:r>
      <w:proofErr w:type="spellStart"/>
      <w:r w:rsidRPr="008D7AD1">
        <w:rPr>
          <w:lang w:val="en-US"/>
        </w:rPr>
        <w:t>Yargıçla</w:t>
      </w:r>
      <w:proofErr w:type="spellEnd"/>
      <w:r w:rsidRPr="008D7AD1">
        <w:rPr>
          <w:lang w:val="en-US"/>
        </w:rPr>
        <w:t xml:space="preserve"> </w:t>
      </w:r>
      <w:proofErr w:type="spellStart"/>
      <w:r w:rsidRPr="008D7AD1">
        <w:rPr>
          <w:lang w:val="en-US"/>
        </w:rPr>
        <w:t>aynı</w:t>
      </w:r>
      <w:proofErr w:type="spellEnd"/>
      <w:r w:rsidRPr="008D7AD1">
        <w:rPr>
          <w:lang w:val="en-US"/>
        </w:rPr>
        <w:t xml:space="preserve"> </w:t>
      </w:r>
      <w:proofErr w:type="spellStart"/>
      <w:r w:rsidRPr="008D7AD1">
        <w:rPr>
          <w:lang w:val="en-US"/>
        </w:rPr>
        <w:t>fikirde</w:t>
      </w:r>
      <w:proofErr w:type="spellEnd"/>
      <w:r w:rsidRPr="008D7AD1">
        <w:rPr>
          <w:lang w:val="en-US"/>
        </w:rPr>
        <w:t xml:space="preserve"> </w:t>
      </w:r>
      <w:proofErr w:type="spellStart"/>
      <w:r w:rsidRPr="008D7AD1">
        <w:rPr>
          <w:lang w:val="en-US"/>
        </w:rPr>
        <w:t>olmadıklarında</w:t>
      </w:r>
      <w:proofErr w:type="spellEnd"/>
      <w:r w:rsidRPr="008D7AD1">
        <w:rPr>
          <w:lang w:val="en-US"/>
        </w:rPr>
        <w:t xml:space="preserve"> </w:t>
      </w:r>
      <w:proofErr w:type="spellStart"/>
      <w:r w:rsidRPr="008D7AD1">
        <w:rPr>
          <w:lang w:val="en-US"/>
        </w:rPr>
        <w:t>tartışmalarına</w:t>
      </w:r>
      <w:proofErr w:type="spellEnd"/>
      <w:r w:rsidRPr="008D7AD1">
        <w:rPr>
          <w:lang w:val="en-US"/>
        </w:rPr>
        <w:t xml:space="preserve"> </w:t>
      </w:r>
      <w:proofErr w:type="spellStart"/>
      <w:r w:rsidRPr="008D7AD1">
        <w:rPr>
          <w:lang w:val="en-US"/>
        </w:rPr>
        <w:t>izin</w:t>
      </w:r>
      <w:proofErr w:type="spellEnd"/>
      <w:r w:rsidRPr="008D7AD1">
        <w:rPr>
          <w:lang w:val="en-US"/>
        </w:rPr>
        <w:t xml:space="preserve"> </w:t>
      </w:r>
      <w:proofErr w:type="spellStart"/>
      <w:r w:rsidRPr="008D7AD1">
        <w:rPr>
          <w:lang w:val="en-US"/>
        </w:rPr>
        <w:t>verilmekte</w:t>
      </w:r>
      <w:proofErr w:type="spellEnd"/>
      <w:r w:rsidRPr="008D7AD1">
        <w:rPr>
          <w:lang w:val="en-US"/>
        </w:rPr>
        <w:t xml:space="preserve"> </w:t>
      </w:r>
      <w:proofErr w:type="spellStart"/>
      <w:r w:rsidRPr="008D7AD1">
        <w:rPr>
          <w:lang w:val="en-US"/>
        </w:rPr>
        <w:t>veya</w:t>
      </w:r>
      <w:proofErr w:type="spellEnd"/>
      <w:r w:rsidRPr="008D7AD1">
        <w:rPr>
          <w:lang w:val="en-US"/>
        </w:rPr>
        <w:t xml:space="preserve"> </w:t>
      </w:r>
      <w:proofErr w:type="spellStart"/>
      <w:r w:rsidRPr="008D7AD1">
        <w:rPr>
          <w:lang w:val="en-US"/>
        </w:rPr>
        <w:t>hatta</w:t>
      </w:r>
      <w:proofErr w:type="spellEnd"/>
      <w:r w:rsidRPr="008D7AD1">
        <w:rPr>
          <w:lang w:val="en-US"/>
        </w:rPr>
        <w:t xml:space="preserve"> </w:t>
      </w:r>
      <w:proofErr w:type="spellStart"/>
      <w:r w:rsidRPr="008D7AD1">
        <w:rPr>
          <w:lang w:val="en-US"/>
        </w:rPr>
        <w:t>bu</w:t>
      </w:r>
      <w:proofErr w:type="spellEnd"/>
      <w:r w:rsidRPr="008D7AD1">
        <w:rPr>
          <w:lang w:val="en-US"/>
        </w:rPr>
        <w:t xml:space="preserve"> </w:t>
      </w:r>
      <w:proofErr w:type="spellStart"/>
      <w:r w:rsidRPr="008D7AD1">
        <w:rPr>
          <w:lang w:val="en-US"/>
        </w:rPr>
        <w:t>tartışmalar</w:t>
      </w:r>
      <w:proofErr w:type="spellEnd"/>
      <w:r w:rsidRPr="008D7AD1">
        <w:rPr>
          <w:lang w:val="en-US"/>
        </w:rPr>
        <w:t xml:space="preserve"> </w:t>
      </w:r>
      <w:proofErr w:type="spellStart"/>
      <w:r w:rsidRPr="008D7AD1">
        <w:rPr>
          <w:lang w:val="en-US"/>
        </w:rPr>
        <w:t>teşvik</w:t>
      </w:r>
      <w:proofErr w:type="spellEnd"/>
      <w:r w:rsidRPr="008D7AD1">
        <w:rPr>
          <w:lang w:val="en-US"/>
        </w:rPr>
        <w:t xml:space="preserve"> </w:t>
      </w:r>
      <w:proofErr w:type="spellStart"/>
      <w:r w:rsidRPr="008D7AD1">
        <w:rPr>
          <w:lang w:val="en-US"/>
        </w:rPr>
        <w:t>edilmektedir</w:t>
      </w:r>
      <w:proofErr w:type="spellEnd"/>
      <w:r w:rsidRPr="008D7AD1">
        <w:rPr>
          <w:lang w:val="en-US"/>
        </w:rPr>
        <w:t xml:space="preserve">. </w:t>
      </w:r>
      <w:proofErr w:type="spellStart"/>
      <w:r w:rsidRPr="008D7AD1">
        <w:rPr>
          <w:lang w:val="en-US"/>
        </w:rPr>
        <w:t>Ayrıca</w:t>
      </w:r>
      <w:proofErr w:type="spellEnd"/>
      <w:r w:rsidRPr="008D7AD1">
        <w:rPr>
          <w:lang w:val="en-US"/>
        </w:rPr>
        <w:t xml:space="preserve">, </w:t>
      </w:r>
      <w:proofErr w:type="spellStart"/>
      <w:r w:rsidRPr="008D7AD1">
        <w:rPr>
          <w:lang w:val="en-US"/>
        </w:rPr>
        <w:t>akademiden</w:t>
      </w:r>
      <w:proofErr w:type="spellEnd"/>
      <w:r w:rsidRPr="008D7AD1">
        <w:rPr>
          <w:lang w:val="en-US"/>
        </w:rPr>
        <w:t xml:space="preserve">, </w:t>
      </w:r>
      <w:proofErr w:type="spellStart"/>
      <w:r w:rsidRPr="008D7AD1">
        <w:rPr>
          <w:lang w:val="en-US"/>
        </w:rPr>
        <w:t>daha</w:t>
      </w:r>
      <w:proofErr w:type="spellEnd"/>
      <w:r w:rsidRPr="008D7AD1">
        <w:rPr>
          <w:lang w:val="en-US"/>
        </w:rPr>
        <w:t xml:space="preserve"> </w:t>
      </w:r>
      <w:proofErr w:type="spellStart"/>
      <w:r w:rsidRPr="008D7AD1">
        <w:rPr>
          <w:lang w:val="en-US"/>
        </w:rPr>
        <w:t>önce</w:t>
      </w:r>
      <w:proofErr w:type="spellEnd"/>
      <w:r w:rsidRPr="008D7AD1">
        <w:rPr>
          <w:lang w:val="en-US"/>
        </w:rPr>
        <w:t xml:space="preserve"> </w:t>
      </w:r>
      <w:proofErr w:type="spellStart"/>
      <w:r w:rsidRPr="008D7AD1">
        <w:rPr>
          <w:lang w:val="en-US"/>
        </w:rPr>
        <w:t>katip</w:t>
      </w:r>
      <w:proofErr w:type="spellEnd"/>
      <w:r w:rsidRPr="008D7AD1">
        <w:rPr>
          <w:lang w:val="en-US"/>
        </w:rPr>
        <w:t xml:space="preserve"> </w:t>
      </w:r>
      <w:proofErr w:type="spellStart"/>
      <w:r w:rsidRPr="008D7AD1">
        <w:rPr>
          <w:lang w:val="en-US"/>
        </w:rPr>
        <w:t>olarak</w:t>
      </w:r>
      <w:proofErr w:type="spellEnd"/>
      <w:r w:rsidRPr="008D7AD1">
        <w:rPr>
          <w:lang w:val="en-US"/>
        </w:rPr>
        <w:t xml:space="preserve"> </w:t>
      </w:r>
      <w:proofErr w:type="spellStart"/>
      <w:r w:rsidRPr="008D7AD1">
        <w:rPr>
          <w:lang w:val="en-US"/>
        </w:rPr>
        <w:t>görev</w:t>
      </w:r>
      <w:proofErr w:type="spellEnd"/>
      <w:r w:rsidRPr="008D7AD1">
        <w:rPr>
          <w:lang w:val="en-US"/>
        </w:rPr>
        <w:t xml:space="preserve"> </w:t>
      </w:r>
      <w:proofErr w:type="spellStart"/>
      <w:r w:rsidRPr="008D7AD1">
        <w:rPr>
          <w:lang w:val="en-US"/>
        </w:rPr>
        <w:t>yaptıkları</w:t>
      </w:r>
      <w:proofErr w:type="spellEnd"/>
      <w:r w:rsidRPr="008D7AD1">
        <w:rPr>
          <w:lang w:val="en-US"/>
        </w:rPr>
        <w:t xml:space="preserve"> </w:t>
      </w:r>
      <w:proofErr w:type="spellStart"/>
      <w:r w:rsidRPr="008D7AD1">
        <w:rPr>
          <w:lang w:val="en-US"/>
        </w:rPr>
        <w:t>diğer</w:t>
      </w:r>
      <w:proofErr w:type="spellEnd"/>
      <w:r w:rsidRPr="008D7AD1">
        <w:rPr>
          <w:lang w:val="en-US"/>
        </w:rPr>
        <w:t xml:space="preserve"> </w:t>
      </w:r>
      <w:proofErr w:type="spellStart"/>
      <w:r w:rsidRPr="008D7AD1">
        <w:rPr>
          <w:lang w:val="en-US"/>
        </w:rPr>
        <w:t>mahkemelerden</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daha</w:t>
      </w:r>
      <w:proofErr w:type="spellEnd"/>
      <w:r w:rsidRPr="008D7AD1">
        <w:rPr>
          <w:lang w:val="en-US"/>
        </w:rPr>
        <w:t xml:space="preserve"> </w:t>
      </w:r>
      <w:proofErr w:type="spellStart"/>
      <w:r w:rsidRPr="008D7AD1">
        <w:rPr>
          <w:lang w:val="en-US"/>
        </w:rPr>
        <w:t>geniş</w:t>
      </w:r>
      <w:proofErr w:type="spellEnd"/>
      <w:r w:rsidRPr="008D7AD1">
        <w:rPr>
          <w:lang w:val="en-US"/>
        </w:rPr>
        <w:t xml:space="preserve"> </w:t>
      </w:r>
      <w:proofErr w:type="spellStart"/>
      <w:r w:rsidRPr="008D7AD1">
        <w:rPr>
          <w:lang w:val="en-US"/>
        </w:rPr>
        <w:t>kültürel</w:t>
      </w:r>
      <w:proofErr w:type="spellEnd"/>
      <w:r w:rsidRPr="008D7AD1">
        <w:rPr>
          <w:lang w:val="en-US"/>
        </w:rPr>
        <w:t xml:space="preserve"> </w:t>
      </w:r>
      <w:proofErr w:type="spellStart"/>
      <w:r w:rsidRPr="008D7AD1">
        <w:rPr>
          <w:lang w:val="en-US"/>
        </w:rPr>
        <w:t>çevrelerden</w:t>
      </w:r>
      <w:proofErr w:type="spellEnd"/>
      <w:r w:rsidRPr="008D7AD1">
        <w:rPr>
          <w:lang w:val="en-US"/>
        </w:rPr>
        <w:t xml:space="preserve"> yeni </w:t>
      </w:r>
      <w:proofErr w:type="spellStart"/>
      <w:r w:rsidRPr="008D7AD1">
        <w:rPr>
          <w:lang w:val="en-US"/>
        </w:rPr>
        <w:t>fikirler</w:t>
      </w:r>
      <w:proofErr w:type="spellEnd"/>
      <w:r w:rsidRPr="008D7AD1">
        <w:rPr>
          <w:lang w:val="en-US"/>
        </w:rPr>
        <w:t xml:space="preserve"> </w:t>
      </w:r>
      <w:proofErr w:type="spellStart"/>
      <w:r w:rsidRPr="008D7AD1">
        <w:rPr>
          <w:lang w:val="en-US"/>
        </w:rPr>
        <w:t>veya</w:t>
      </w:r>
      <w:proofErr w:type="spellEnd"/>
      <w:r w:rsidRPr="008D7AD1">
        <w:rPr>
          <w:lang w:val="en-US"/>
        </w:rPr>
        <w:t xml:space="preserve"> </w:t>
      </w:r>
      <w:proofErr w:type="spellStart"/>
      <w:r w:rsidRPr="008D7AD1">
        <w:rPr>
          <w:lang w:val="en-US"/>
        </w:rPr>
        <w:t>endişeler</w:t>
      </w:r>
      <w:proofErr w:type="spellEnd"/>
      <w:r w:rsidRPr="008D7AD1">
        <w:rPr>
          <w:lang w:val="en-US"/>
        </w:rPr>
        <w:t xml:space="preserve"> </w:t>
      </w:r>
      <w:proofErr w:type="spellStart"/>
      <w:r w:rsidRPr="008D7AD1">
        <w:rPr>
          <w:lang w:val="en-US"/>
        </w:rPr>
        <w:t>getirerek</w:t>
      </w:r>
      <w:proofErr w:type="spellEnd"/>
      <w:r w:rsidRPr="008D7AD1">
        <w:rPr>
          <w:lang w:val="en-US"/>
        </w:rPr>
        <w:t xml:space="preserve"> </w:t>
      </w:r>
      <w:proofErr w:type="spellStart"/>
      <w:r w:rsidRPr="008D7AD1">
        <w:rPr>
          <w:lang w:val="en-US"/>
        </w:rPr>
        <w:t>Yargıçlar</w:t>
      </w:r>
      <w:proofErr w:type="spellEnd"/>
      <w:r w:rsidRPr="008D7AD1">
        <w:rPr>
          <w:lang w:val="en-US"/>
        </w:rPr>
        <w:t xml:space="preserve"> </w:t>
      </w:r>
      <w:proofErr w:type="spellStart"/>
      <w:r w:rsidRPr="008D7AD1">
        <w:rPr>
          <w:lang w:val="en-US"/>
        </w:rPr>
        <w:t>için</w:t>
      </w:r>
      <w:proofErr w:type="spellEnd"/>
      <w:r w:rsidRPr="008D7AD1">
        <w:rPr>
          <w:lang w:val="en-US"/>
        </w:rPr>
        <w:t xml:space="preserve"> </w:t>
      </w:r>
      <w:proofErr w:type="spellStart"/>
      <w:r w:rsidRPr="008D7AD1">
        <w:rPr>
          <w:lang w:val="en-US"/>
        </w:rPr>
        <w:t>entelektüel</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kültürel</w:t>
      </w:r>
      <w:proofErr w:type="spellEnd"/>
      <w:r w:rsidRPr="008D7AD1">
        <w:rPr>
          <w:lang w:val="en-US"/>
        </w:rPr>
        <w:t xml:space="preserve"> </w:t>
      </w:r>
      <w:proofErr w:type="spellStart"/>
      <w:r w:rsidRPr="008D7AD1">
        <w:rPr>
          <w:lang w:val="en-US"/>
        </w:rPr>
        <w:t>bir</w:t>
      </w:r>
      <w:proofErr w:type="spellEnd"/>
      <w:r w:rsidRPr="008D7AD1">
        <w:rPr>
          <w:lang w:val="en-US"/>
        </w:rPr>
        <w:t xml:space="preserve"> </w:t>
      </w:r>
      <w:proofErr w:type="spellStart"/>
      <w:r w:rsidRPr="008D7AD1">
        <w:rPr>
          <w:lang w:val="en-US"/>
        </w:rPr>
        <w:t>köprü</w:t>
      </w:r>
      <w:proofErr w:type="spellEnd"/>
      <w:r w:rsidRPr="008D7AD1">
        <w:rPr>
          <w:lang w:val="en-US"/>
        </w:rPr>
        <w:t xml:space="preserve"> </w:t>
      </w:r>
      <w:proofErr w:type="spellStart"/>
      <w:r w:rsidRPr="008D7AD1">
        <w:rPr>
          <w:lang w:val="en-US"/>
        </w:rPr>
        <w:t>işlevi</w:t>
      </w:r>
      <w:proofErr w:type="spellEnd"/>
      <w:r w:rsidRPr="008D7AD1">
        <w:rPr>
          <w:lang w:val="en-US"/>
        </w:rPr>
        <w:t xml:space="preserve"> görmektedirler.⁸²</w:t>
      </w:r>
      <w:r>
        <w:rPr>
          <w:lang w:val="en-US"/>
        </w:rPr>
        <w:t xml:space="preserve"> </w:t>
      </w:r>
      <w:r>
        <w:rPr>
          <w:rStyle w:val="FootnoteReference"/>
          <w:lang w:val="en-US"/>
        </w:rPr>
        <w:footnoteReference w:id="82"/>
      </w:r>
    </w:p>
    <w:p w14:paraId="45C51024" w14:textId="586CA874" w:rsidR="008D7AD1" w:rsidRPr="008D7AD1" w:rsidRDefault="008D7AD1" w:rsidP="008D7AD1">
      <w:pPr>
        <w:rPr>
          <w:lang w:val="en-US"/>
        </w:rPr>
      </w:pPr>
      <w:proofErr w:type="spellStart"/>
      <w:r w:rsidRPr="008D7AD1">
        <w:rPr>
          <w:lang w:val="en-US"/>
        </w:rPr>
        <w:t>Yargıç</w:t>
      </w:r>
      <w:proofErr w:type="spellEnd"/>
      <w:r w:rsidRPr="008D7AD1">
        <w:rPr>
          <w:lang w:val="en-US"/>
        </w:rPr>
        <w:t xml:space="preserve"> Horace Gray, 1882 </w:t>
      </w:r>
      <w:proofErr w:type="spellStart"/>
      <w:r w:rsidRPr="008D7AD1">
        <w:rPr>
          <w:lang w:val="en-US"/>
        </w:rPr>
        <w:t>yılında</w:t>
      </w:r>
      <w:proofErr w:type="spellEnd"/>
      <w:r w:rsidRPr="008D7AD1">
        <w:rPr>
          <w:lang w:val="en-US"/>
        </w:rPr>
        <w:t xml:space="preserve"> </w:t>
      </w:r>
      <w:proofErr w:type="spellStart"/>
      <w:r w:rsidRPr="008D7AD1">
        <w:rPr>
          <w:lang w:val="en-US"/>
        </w:rPr>
        <w:t>Mahkeme’de</w:t>
      </w:r>
      <w:proofErr w:type="spellEnd"/>
      <w:r w:rsidRPr="008D7AD1">
        <w:rPr>
          <w:lang w:val="en-US"/>
        </w:rPr>
        <w:t xml:space="preserve"> </w:t>
      </w:r>
      <w:proofErr w:type="spellStart"/>
      <w:r w:rsidRPr="008D7AD1">
        <w:rPr>
          <w:lang w:val="en-US"/>
        </w:rPr>
        <w:t>hukuki</w:t>
      </w:r>
      <w:proofErr w:type="spellEnd"/>
      <w:r w:rsidRPr="008D7AD1">
        <w:rPr>
          <w:lang w:val="en-US"/>
        </w:rPr>
        <w:t xml:space="preserve"> </w:t>
      </w:r>
      <w:proofErr w:type="spellStart"/>
      <w:r w:rsidRPr="008D7AD1">
        <w:rPr>
          <w:lang w:val="en-US"/>
        </w:rPr>
        <w:t>eğitim</w:t>
      </w:r>
      <w:proofErr w:type="spellEnd"/>
      <w:r w:rsidRPr="008D7AD1">
        <w:rPr>
          <w:lang w:val="en-US"/>
        </w:rPr>
        <w:t xml:space="preserve"> </w:t>
      </w:r>
      <w:proofErr w:type="spellStart"/>
      <w:r w:rsidRPr="008D7AD1">
        <w:rPr>
          <w:lang w:val="en-US"/>
        </w:rPr>
        <w:t>almış</w:t>
      </w:r>
      <w:proofErr w:type="spellEnd"/>
      <w:r w:rsidRPr="008D7AD1">
        <w:rPr>
          <w:lang w:val="en-US"/>
        </w:rPr>
        <w:t xml:space="preserve"> ilk </w:t>
      </w:r>
      <w:proofErr w:type="spellStart"/>
      <w:r w:rsidRPr="008D7AD1">
        <w:rPr>
          <w:lang w:val="en-US"/>
        </w:rPr>
        <w:t>asistanı</w:t>
      </w:r>
      <w:proofErr w:type="spellEnd"/>
      <w:r w:rsidRPr="008D7AD1">
        <w:rPr>
          <w:lang w:val="en-US"/>
        </w:rPr>
        <w:t xml:space="preserve"> </w:t>
      </w:r>
      <w:proofErr w:type="spellStart"/>
      <w:r w:rsidRPr="008D7AD1">
        <w:rPr>
          <w:lang w:val="en-US"/>
        </w:rPr>
        <w:t>işe</w:t>
      </w:r>
      <w:proofErr w:type="spellEnd"/>
      <w:r w:rsidRPr="008D7AD1">
        <w:rPr>
          <w:lang w:val="en-US"/>
        </w:rPr>
        <w:t xml:space="preserve"> </w:t>
      </w:r>
      <w:proofErr w:type="spellStart"/>
      <w:r w:rsidRPr="008D7AD1">
        <w:rPr>
          <w:lang w:val="en-US"/>
        </w:rPr>
        <w:t>almış</w:t>
      </w:r>
      <w:proofErr w:type="spellEnd"/>
      <w:r w:rsidRPr="008D7AD1">
        <w:rPr>
          <w:lang w:val="en-US"/>
        </w:rPr>
        <w:t xml:space="preserve"> </w:t>
      </w:r>
      <w:proofErr w:type="spellStart"/>
      <w:r w:rsidRPr="008D7AD1">
        <w:rPr>
          <w:lang w:val="en-US"/>
        </w:rPr>
        <w:t>olsa</w:t>
      </w:r>
      <w:proofErr w:type="spellEnd"/>
      <w:r w:rsidRPr="008D7AD1">
        <w:rPr>
          <w:lang w:val="en-US"/>
        </w:rPr>
        <w:t xml:space="preserve"> da, </w:t>
      </w:r>
      <w:proofErr w:type="spellStart"/>
      <w:r w:rsidRPr="008D7AD1">
        <w:rPr>
          <w:lang w:val="en-US"/>
        </w:rPr>
        <w:t>hukuk</w:t>
      </w:r>
      <w:proofErr w:type="spellEnd"/>
      <w:r w:rsidRPr="008D7AD1">
        <w:rPr>
          <w:lang w:val="en-US"/>
        </w:rPr>
        <w:t xml:space="preserve"> </w:t>
      </w:r>
      <w:proofErr w:type="spellStart"/>
      <w:r w:rsidRPr="008D7AD1">
        <w:rPr>
          <w:lang w:val="en-US"/>
        </w:rPr>
        <w:t>katiplerinin</w:t>
      </w:r>
      <w:proofErr w:type="spellEnd"/>
      <w:r w:rsidRPr="008D7AD1">
        <w:rPr>
          <w:lang w:val="en-US"/>
        </w:rPr>
        <w:t xml:space="preserve"> </w:t>
      </w:r>
      <w:proofErr w:type="spellStart"/>
      <w:r w:rsidRPr="008D7AD1">
        <w:rPr>
          <w:lang w:val="en-US"/>
        </w:rPr>
        <w:t>yaygınlaşması</w:t>
      </w:r>
      <w:proofErr w:type="spellEnd"/>
      <w:r w:rsidRPr="008D7AD1">
        <w:rPr>
          <w:lang w:val="en-US"/>
        </w:rPr>
        <w:t xml:space="preserve"> </w:t>
      </w:r>
      <w:proofErr w:type="spellStart"/>
      <w:r w:rsidRPr="008D7AD1">
        <w:rPr>
          <w:lang w:val="en-US"/>
        </w:rPr>
        <w:t>görece</w:t>
      </w:r>
      <w:proofErr w:type="spellEnd"/>
      <w:r w:rsidRPr="008D7AD1">
        <w:rPr>
          <w:lang w:val="en-US"/>
        </w:rPr>
        <w:t xml:space="preserve"> </w:t>
      </w:r>
      <w:proofErr w:type="spellStart"/>
      <w:r w:rsidRPr="008D7AD1">
        <w:rPr>
          <w:lang w:val="en-US"/>
        </w:rPr>
        <w:t>yavaş</w:t>
      </w:r>
      <w:proofErr w:type="spellEnd"/>
      <w:r w:rsidRPr="008D7AD1">
        <w:rPr>
          <w:lang w:val="en-US"/>
        </w:rPr>
        <w:t xml:space="preserve"> olmuştur.⁸³ </w:t>
      </w:r>
      <w:r>
        <w:rPr>
          <w:rStyle w:val="FootnoteReference"/>
          <w:lang w:val="en-US"/>
        </w:rPr>
        <w:footnoteReference w:id="83"/>
      </w:r>
      <w:r>
        <w:rPr>
          <w:lang w:val="en-US"/>
        </w:rPr>
        <w:t xml:space="preserve"> </w:t>
      </w:r>
      <w:proofErr w:type="spellStart"/>
      <w:r w:rsidRPr="008D7AD1">
        <w:rPr>
          <w:lang w:val="en-US"/>
        </w:rPr>
        <w:t>Kongre</w:t>
      </w:r>
      <w:proofErr w:type="spellEnd"/>
      <w:r w:rsidRPr="008D7AD1">
        <w:rPr>
          <w:lang w:val="en-US"/>
        </w:rPr>
        <w:t xml:space="preserve">, 1922 </w:t>
      </w:r>
      <w:proofErr w:type="spellStart"/>
      <w:r w:rsidRPr="008D7AD1">
        <w:rPr>
          <w:lang w:val="en-US"/>
        </w:rPr>
        <w:t>yılında</w:t>
      </w:r>
      <w:proofErr w:type="spellEnd"/>
      <w:r w:rsidRPr="008D7AD1">
        <w:rPr>
          <w:lang w:val="en-US"/>
        </w:rPr>
        <w:t xml:space="preserve"> ilk </w:t>
      </w:r>
      <w:proofErr w:type="spellStart"/>
      <w:r w:rsidRPr="008D7AD1">
        <w:rPr>
          <w:lang w:val="en-US"/>
        </w:rPr>
        <w:t>kez</w:t>
      </w:r>
      <w:proofErr w:type="spellEnd"/>
      <w:r w:rsidRPr="008D7AD1">
        <w:rPr>
          <w:lang w:val="en-US"/>
        </w:rPr>
        <w:t xml:space="preserve"> her </w:t>
      </w:r>
      <w:proofErr w:type="spellStart"/>
      <w:r w:rsidRPr="008D7AD1">
        <w:rPr>
          <w:lang w:val="en-US"/>
        </w:rPr>
        <w:t>Yargıç</w:t>
      </w:r>
      <w:proofErr w:type="spellEnd"/>
      <w:r w:rsidRPr="008D7AD1">
        <w:rPr>
          <w:lang w:val="en-US"/>
        </w:rPr>
        <w:t xml:space="preserve"> </w:t>
      </w:r>
      <w:proofErr w:type="spellStart"/>
      <w:r w:rsidRPr="008D7AD1">
        <w:rPr>
          <w:lang w:val="en-US"/>
        </w:rPr>
        <w:t>için</w:t>
      </w:r>
      <w:proofErr w:type="spellEnd"/>
      <w:r w:rsidRPr="008D7AD1">
        <w:rPr>
          <w:lang w:val="en-US"/>
        </w:rPr>
        <w:t xml:space="preserve"> </w:t>
      </w:r>
      <w:proofErr w:type="spellStart"/>
      <w:r w:rsidRPr="008D7AD1">
        <w:rPr>
          <w:lang w:val="en-US"/>
        </w:rPr>
        <w:t>bir</w:t>
      </w:r>
      <w:proofErr w:type="spellEnd"/>
      <w:r w:rsidRPr="008D7AD1">
        <w:rPr>
          <w:lang w:val="en-US"/>
        </w:rPr>
        <w:t xml:space="preserve"> </w:t>
      </w:r>
      <w:proofErr w:type="spellStart"/>
      <w:r w:rsidRPr="008D7AD1">
        <w:rPr>
          <w:lang w:val="en-US"/>
        </w:rPr>
        <w:t>katibin</w:t>
      </w:r>
      <w:proofErr w:type="spellEnd"/>
      <w:r w:rsidRPr="008D7AD1">
        <w:rPr>
          <w:lang w:val="en-US"/>
        </w:rPr>
        <w:t xml:space="preserve"> </w:t>
      </w:r>
      <w:proofErr w:type="spellStart"/>
      <w:r w:rsidRPr="008D7AD1">
        <w:rPr>
          <w:lang w:val="en-US"/>
        </w:rPr>
        <w:t>maaşını</w:t>
      </w:r>
      <w:proofErr w:type="spellEnd"/>
      <w:r w:rsidRPr="008D7AD1">
        <w:rPr>
          <w:lang w:val="en-US"/>
        </w:rPr>
        <w:t xml:space="preserve"> </w:t>
      </w:r>
      <w:proofErr w:type="spellStart"/>
      <w:r w:rsidRPr="008D7AD1">
        <w:rPr>
          <w:lang w:val="en-US"/>
        </w:rPr>
        <w:t>ödemeyi</w:t>
      </w:r>
      <w:proofErr w:type="spellEnd"/>
      <w:r w:rsidRPr="008D7AD1">
        <w:rPr>
          <w:lang w:val="en-US"/>
        </w:rPr>
        <w:t xml:space="preserve"> </w:t>
      </w:r>
      <w:proofErr w:type="spellStart"/>
      <w:r w:rsidRPr="008D7AD1">
        <w:rPr>
          <w:lang w:val="en-US"/>
        </w:rPr>
        <w:t>kabul</w:t>
      </w:r>
      <w:proofErr w:type="spellEnd"/>
      <w:r w:rsidRPr="008D7AD1">
        <w:rPr>
          <w:lang w:val="en-US"/>
        </w:rPr>
        <w:t xml:space="preserve"> </w:t>
      </w:r>
      <w:proofErr w:type="spellStart"/>
      <w:r w:rsidRPr="008D7AD1">
        <w:rPr>
          <w:lang w:val="en-US"/>
        </w:rPr>
        <w:t>etmiş</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yirminci</w:t>
      </w:r>
      <w:proofErr w:type="spellEnd"/>
      <w:r w:rsidRPr="008D7AD1">
        <w:rPr>
          <w:lang w:val="en-US"/>
        </w:rPr>
        <w:t xml:space="preserve"> </w:t>
      </w:r>
      <w:proofErr w:type="spellStart"/>
      <w:r w:rsidRPr="008D7AD1">
        <w:rPr>
          <w:lang w:val="en-US"/>
        </w:rPr>
        <w:t>yüzyılın</w:t>
      </w:r>
      <w:proofErr w:type="spellEnd"/>
      <w:r w:rsidRPr="008D7AD1">
        <w:rPr>
          <w:lang w:val="en-US"/>
        </w:rPr>
        <w:t xml:space="preserve"> </w:t>
      </w:r>
      <w:proofErr w:type="spellStart"/>
      <w:r w:rsidRPr="008D7AD1">
        <w:rPr>
          <w:lang w:val="en-US"/>
        </w:rPr>
        <w:t>büyük</w:t>
      </w:r>
      <w:proofErr w:type="spellEnd"/>
      <w:r w:rsidRPr="008D7AD1">
        <w:rPr>
          <w:lang w:val="en-US"/>
        </w:rPr>
        <w:t xml:space="preserve"> </w:t>
      </w:r>
      <w:proofErr w:type="spellStart"/>
      <w:r w:rsidRPr="008D7AD1">
        <w:rPr>
          <w:lang w:val="en-US"/>
        </w:rPr>
        <w:t>bir</w:t>
      </w:r>
      <w:proofErr w:type="spellEnd"/>
      <w:r w:rsidRPr="008D7AD1">
        <w:rPr>
          <w:lang w:val="en-US"/>
        </w:rPr>
        <w:t xml:space="preserve"> </w:t>
      </w:r>
      <w:proofErr w:type="spellStart"/>
      <w:r w:rsidRPr="008D7AD1">
        <w:rPr>
          <w:lang w:val="en-US"/>
        </w:rPr>
        <w:t>bölümünde</w:t>
      </w:r>
      <w:proofErr w:type="spellEnd"/>
      <w:r w:rsidRPr="008D7AD1">
        <w:rPr>
          <w:lang w:val="en-US"/>
        </w:rPr>
        <w:t xml:space="preserve"> her </w:t>
      </w:r>
      <w:proofErr w:type="spellStart"/>
      <w:r w:rsidRPr="008D7AD1">
        <w:rPr>
          <w:lang w:val="en-US"/>
        </w:rPr>
        <w:t>Yargıcın</w:t>
      </w:r>
      <w:proofErr w:type="spellEnd"/>
      <w:r w:rsidRPr="008D7AD1">
        <w:rPr>
          <w:lang w:val="en-US"/>
        </w:rPr>
        <w:t xml:space="preserve"> </w:t>
      </w:r>
      <w:proofErr w:type="spellStart"/>
      <w:r w:rsidRPr="008D7AD1">
        <w:rPr>
          <w:lang w:val="en-US"/>
        </w:rPr>
        <w:t>yalnızca</w:t>
      </w:r>
      <w:proofErr w:type="spellEnd"/>
      <w:r w:rsidRPr="008D7AD1">
        <w:rPr>
          <w:lang w:val="en-US"/>
        </w:rPr>
        <w:t xml:space="preserve"> </w:t>
      </w:r>
      <w:proofErr w:type="spellStart"/>
      <w:r w:rsidRPr="008D7AD1">
        <w:rPr>
          <w:lang w:val="en-US"/>
        </w:rPr>
        <w:t>iki</w:t>
      </w:r>
      <w:proofErr w:type="spellEnd"/>
      <w:r w:rsidRPr="008D7AD1">
        <w:rPr>
          <w:lang w:val="en-US"/>
        </w:rPr>
        <w:t xml:space="preserve"> </w:t>
      </w:r>
      <w:proofErr w:type="spellStart"/>
      <w:r w:rsidRPr="008D7AD1">
        <w:rPr>
          <w:lang w:val="en-US"/>
        </w:rPr>
        <w:t>katibi</w:t>
      </w:r>
      <w:proofErr w:type="spellEnd"/>
      <w:r w:rsidRPr="008D7AD1">
        <w:rPr>
          <w:lang w:val="en-US"/>
        </w:rPr>
        <w:t xml:space="preserve"> </w:t>
      </w:r>
      <w:proofErr w:type="spellStart"/>
      <w:r w:rsidRPr="008D7AD1">
        <w:rPr>
          <w:lang w:val="en-US"/>
        </w:rPr>
        <w:t>olmuştur</w:t>
      </w:r>
      <w:proofErr w:type="spellEnd"/>
      <w:r w:rsidRPr="008D7AD1">
        <w:rPr>
          <w:lang w:val="en-US"/>
        </w:rPr>
        <w:t xml:space="preserve">.⁸⁴ </w:t>
      </w:r>
      <w:r>
        <w:rPr>
          <w:rStyle w:val="FootnoteReference"/>
          <w:lang w:val="en-US"/>
        </w:rPr>
        <w:footnoteReference w:id="84"/>
      </w:r>
      <w:r>
        <w:rPr>
          <w:lang w:val="en-US"/>
        </w:rPr>
        <w:t xml:space="preserve"> </w:t>
      </w:r>
      <w:proofErr w:type="spellStart"/>
      <w:r w:rsidRPr="008D7AD1">
        <w:rPr>
          <w:lang w:val="en-US"/>
        </w:rPr>
        <w:t>Ancak</w:t>
      </w:r>
      <w:proofErr w:type="spellEnd"/>
      <w:r w:rsidRPr="008D7AD1">
        <w:rPr>
          <w:lang w:val="en-US"/>
        </w:rPr>
        <w:t xml:space="preserve">, </w:t>
      </w:r>
      <w:proofErr w:type="spellStart"/>
      <w:r w:rsidRPr="008D7AD1">
        <w:rPr>
          <w:lang w:val="en-US"/>
        </w:rPr>
        <w:t>yüzyılın</w:t>
      </w:r>
      <w:proofErr w:type="spellEnd"/>
      <w:r w:rsidRPr="008D7AD1">
        <w:rPr>
          <w:lang w:val="en-US"/>
        </w:rPr>
        <w:t xml:space="preserve"> son </w:t>
      </w:r>
      <w:proofErr w:type="spellStart"/>
      <w:r w:rsidRPr="008D7AD1">
        <w:rPr>
          <w:lang w:val="en-US"/>
        </w:rPr>
        <w:t>çeyreğinde</w:t>
      </w:r>
      <w:proofErr w:type="spellEnd"/>
      <w:r w:rsidRPr="008D7AD1">
        <w:rPr>
          <w:lang w:val="en-US"/>
        </w:rPr>
        <w:t xml:space="preserve"> </w:t>
      </w:r>
      <w:proofErr w:type="spellStart"/>
      <w:r w:rsidRPr="008D7AD1">
        <w:rPr>
          <w:lang w:val="en-US"/>
        </w:rPr>
        <w:t>Kongre</w:t>
      </w:r>
      <w:proofErr w:type="spellEnd"/>
      <w:r w:rsidRPr="008D7AD1">
        <w:rPr>
          <w:lang w:val="en-US"/>
        </w:rPr>
        <w:t xml:space="preserve"> </w:t>
      </w:r>
      <w:proofErr w:type="spellStart"/>
      <w:r w:rsidRPr="008D7AD1">
        <w:rPr>
          <w:lang w:val="en-US"/>
        </w:rPr>
        <w:t>hızla</w:t>
      </w:r>
      <w:proofErr w:type="spellEnd"/>
      <w:r w:rsidRPr="008D7AD1">
        <w:rPr>
          <w:lang w:val="en-US"/>
        </w:rPr>
        <w:t xml:space="preserve"> </w:t>
      </w:r>
      <w:proofErr w:type="spellStart"/>
      <w:r w:rsidRPr="008D7AD1">
        <w:rPr>
          <w:lang w:val="en-US"/>
        </w:rPr>
        <w:t>hareket</w:t>
      </w:r>
      <w:proofErr w:type="spellEnd"/>
      <w:r w:rsidRPr="008D7AD1">
        <w:rPr>
          <w:lang w:val="en-US"/>
        </w:rPr>
        <w:t xml:space="preserve"> </w:t>
      </w:r>
      <w:proofErr w:type="spellStart"/>
      <w:r w:rsidRPr="008D7AD1">
        <w:rPr>
          <w:lang w:val="en-US"/>
        </w:rPr>
        <w:t>ederek</w:t>
      </w:r>
      <w:proofErr w:type="spellEnd"/>
      <w:r w:rsidRPr="008D7AD1">
        <w:rPr>
          <w:lang w:val="en-US"/>
        </w:rPr>
        <w:t xml:space="preserve">, </w:t>
      </w:r>
      <w:proofErr w:type="spellStart"/>
      <w:r w:rsidRPr="008D7AD1">
        <w:rPr>
          <w:lang w:val="en-US"/>
        </w:rPr>
        <w:t>önce</w:t>
      </w:r>
      <w:proofErr w:type="spellEnd"/>
      <w:r w:rsidRPr="008D7AD1">
        <w:rPr>
          <w:lang w:val="en-US"/>
        </w:rPr>
        <w:t xml:space="preserve"> </w:t>
      </w:r>
      <w:proofErr w:type="spellStart"/>
      <w:r w:rsidRPr="008D7AD1">
        <w:rPr>
          <w:lang w:val="en-US"/>
        </w:rPr>
        <w:t>üçüncü</w:t>
      </w:r>
      <w:proofErr w:type="spellEnd"/>
      <w:r w:rsidRPr="008D7AD1">
        <w:rPr>
          <w:lang w:val="en-US"/>
        </w:rPr>
        <w:t xml:space="preserve">, </w:t>
      </w:r>
      <w:proofErr w:type="spellStart"/>
      <w:r w:rsidRPr="008D7AD1">
        <w:rPr>
          <w:lang w:val="en-US"/>
        </w:rPr>
        <w:t>ardından</w:t>
      </w:r>
      <w:proofErr w:type="spellEnd"/>
      <w:r w:rsidRPr="008D7AD1">
        <w:rPr>
          <w:lang w:val="en-US"/>
        </w:rPr>
        <w:t xml:space="preserve"> </w:t>
      </w:r>
      <w:proofErr w:type="spellStart"/>
      <w:r w:rsidRPr="008D7AD1">
        <w:rPr>
          <w:lang w:val="en-US"/>
        </w:rPr>
        <w:t>dördüncü</w:t>
      </w:r>
      <w:proofErr w:type="spellEnd"/>
      <w:r w:rsidRPr="008D7AD1">
        <w:rPr>
          <w:lang w:val="en-US"/>
        </w:rPr>
        <w:t xml:space="preserve"> </w:t>
      </w:r>
      <w:proofErr w:type="spellStart"/>
      <w:r w:rsidRPr="008D7AD1">
        <w:rPr>
          <w:lang w:val="en-US"/>
        </w:rPr>
        <w:t>katibi</w:t>
      </w:r>
      <w:proofErr w:type="spellEnd"/>
      <w:r w:rsidRPr="008D7AD1">
        <w:rPr>
          <w:lang w:val="en-US"/>
        </w:rPr>
        <w:t xml:space="preserve"> </w:t>
      </w:r>
      <w:proofErr w:type="spellStart"/>
      <w:r w:rsidRPr="008D7AD1">
        <w:rPr>
          <w:lang w:val="en-US"/>
        </w:rPr>
        <w:t>ve</w:t>
      </w:r>
      <w:proofErr w:type="spellEnd"/>
      <w:r w:rsidRPr="008D7AD1">
        <w:rPr>
          <w:lang w:val="en-US"/>
        </w:rPr>
        <w:t xml:space="preserve"> Baş </w:t>
      </w:r>
      <w:proofErr w:type="spellStart"/>
      <w:r w:rsidRPr="008D7AD1">
        <w:rPr>
          <w:lang w:val="en-US"/>
        </w:rPr>
        <w:t>Yargıç</w:t>
      </w:r>
      <w:proofErr w:type="spellEnd"/>
      <w:r w:rsidRPr="008D7AD1">
        <w:rPr>
          <w:lang w:val="en-US"/>
        </w:rPr>
        <w:t xml:space="preserve"> (Chief Justice) </w:t>
      </w:r>
      <w:proofErr w:type="spellStart"/>
      <w:r w:rsidRPr="008D7AD1">
        <w:rPr>
          <w:lang w:val="en-US"/>
        </w:rPr>
        <w:t>için</w:t>
      </w:r>
      <w:proofErr w:type="spellEnd"/>
      <w:r w:rsidRPr="008D7AD1">
        <w:rPr>
          <w:lang w:val="en-US"/>
        </w:rPr>
        <w:t xml:space="preserve"> </w:t>
      </w:r>
      <w:proofErr w:type="spellStart"/>
      <w:r w:rsidRPr="008D7AD1">
        <w:rPr>
          <w:lang w:val="en-US"/>
        </w:rPr>
        <w:t>beşinci</w:t>
      </w:r>
      <w:proofErr w:type="spellEnd"/>
      <w:r w:rsidRPr="008D7AD1">
        <w:rPr>
          <w:lang w:val="en-US"/>
        </w:rPr>
        <w:t xml:space="preserve"> </w:t>
      </w:r>
      <w:proofErr w:type="spellStart"/>
      <w:r w:rsidRPr="008D7AD1">
        <w:rPr>
          <w:lang w:val="en-US"/>
        </w:rPr>
        <w:t>katibi</w:t>
      </w:r>
      <w:proofErr w:type="spellEnd"/>
      <w:r w:rsidRPr="008D7AD1">
        <w:rPr>
          <w:lang w:val="en-US"/>
        </w:rPr>
        <w:t xml:space="preserve"> </w:t>
      </w:r>
      <w:proofErr w:type="spellStart"/>
      <w:r w:rsidRPr="008D7AD1">
        <w:rPr>
          <w:lang w:val="en-US"/>
        </w:rPr>
        <w:t>yetkilendirmiştir</w:t>
      </w:r>
      <w:proofErr w:type="spellEnd"/>
      <w:r w:rsidRPr="008D7AD1">
        <w:rPr>
          <w:lang w:val="en-US"/>
        </w:rPr>
        <w:t xml:space="preserve">.⁸⁵ </w:t>
      </w:r>
      <w:r>
        <w:rPr>
          <w:lang w:val="en-US"/>
        </w:rPr>
        <w:t xml:space="preserve"> </w:t>
      </w:r>
      <w:r>
        <w:rPr>
          <w:rStyle w:val="FootnoteReference"/>
          <w:lang w:val="en-US"/>
        </w:rPr>
        <w:footnoteReference w:id="85"/>
      </w:r>
      <w:r>
        <w:rPr>
          <w:lang w:val="en-US"/>
        </w:rPr>
        <w:t xml:space="preserve"> </w:t>
      </w:r>
      <w:proofErr w:type="spellStart"/>
      <w:r w:rsidRPr="008D7AD1">
        <w:rPr>
          <w:lang w:val="en-US"/>
        </w:rPr>
        <w:t>Yargıçlar</w:t>
      </w:r>
      <w:proofErr w:type="spellEnd"/>
      <w:r w:rsidRPr="008D7AD1">
        <w:rPr>
          <w:lang w:val="en-US"/>
        </w:rPr>
        <w:t xml:space="preserve">, </w:t>
      </w:r>
      <w:proofErr w:type="spellStart"/>
      <w:r w:rsidRPr="008D7AD1">
        <w:rPr>
          <w:lang w:val="en-US"/>
        </w:rPr>
        <w:t>kendilerinin</w:t>
      </w:r>
      <w:proofErr w:type="spellEnd"/>
      <w:r w:rsidRPr="008D7AD1">
        <w:rPr>
          <w:lang w:val="en-US"/>
        </w:rPr>
        <w:t xml:space="preserve"> </w:t>
      </w:r>
      <w:proofErr w:type="spellStart"/>
      <w:r w:rsidRPr="008D7AD1">
        <w:rPr>
          <w:lang w:val="en-US"/>
        </w:rPr>
        <w:t>seçtiği</w:t>
      </w:r>
      <w:proofErr w:type="spellEnd"/>
      <w:r w:rsidRPr="008D7AD1">
        <w:rPr>
          <w:lang w:val="en-US"/>
        </w:rPr>
        <w:t xml:space="preserve"> </w:t>
      </w:r>
      <w:proofErr w:type="spellStart"/>
      <w:r w:rsidRPr="008D7AD1">
        <w:rPr>
          <w:lang w:val="en-US"/>
        </w:rPr>
        <w:t>genç</w:t>
      </w:r>
      <w:proofErr w:type="spellEnd"/>
      <w:r w:rsidRPr="008D7AD1">
        <w:rPr>
          <w:lang w:val="en-US"/>
        </w:rPr>
        <w:t xml:space="preserve"> </w:t>
      </w:r>
      <w:proofErr w:type="spellStart"/>
      <w:r w:rsidRPr="008D7AD1">
        <w:rPr>
          <w:lang w:val="en-US"/>
        </w:rPr>
        <w:t>hukukçularla</w:t>
      </w:r>
      <w:proofErr w:type="spellEnd"/>
      <w:r w:rsidRPr="008D7AD1">
        <w:rPr>
          <w:lang w:val="en-US"/>
        </w:rPr>
        <w:t xml:space="preserve"> </w:t>
      </w:r>
      <w:proofErr w:type="spellStart"/>
      <w:r w:rsidRPr="008D7AD1">
        <w:rPr>
          <w:lang w:val="en-US"/>
        </w:rPr>
        <w:t>çevrelenirken</w:t>
      </w:r>
      <w:proofErr w:type="spellEnd"/>
      <w:r w:rsidRPr="008D7AD1">
        <w:rPr>
          <w:lang w:val="en-US"/>
        </w:rPr>
        <w:t xml:space="preserve">, </w:t>
      </w:r>
      <w:proofErr w:type="spellStart"/>
      <w:r w:rsidRPr="008D7AD1">
        <w:rPr>
          <w:lang w:val="en-US"/>
        </w:rPr>
        <w:t>aynı</w:t>
      </w:r>
      <w:proofErr w:type="spellEnd"/>
      <w:r w:rsidRPr="008D7AD1">
        <w:rPr>
          <w:lang w:val="en-US"/>
        </w:rPr>
        <w:t xml:space="preserve"> </w:t>
      </w:r>
      <w:proofErr w:type="spellStart"/>
      <w:r w:rsidRPr="008D7AD1">
        <w:rPr>
          <w:lang w:val="en-US"/>
        </w:rPr>
        <w:t>dönemde</w:t>
      </w:r>
      <w:proofErr w:type="spellEnd"/>
      <w:r w:rsidRPr="008D7AD1">
        <w:rPr>
          <w:lang w:val="en-US"/>
        </w:rPr>
        <w:t>—</w:t>
      </w:r>
      <w:proofErr w:type="spellStart"/>
      <w:r w:rsidRPr="008D7AD1">
        <w:rPr>
          <w:lang w:val="en-US"/>
        </w:rPr>
        <w:t>belki</w:t>
      </w:r>
      <w:proofErr w:type="spellEnd"/>
      <w:r w:rsidRPr="008D7AD1">
        <w:rPr>
          <w:lang w:val="en-US"/>
        </w:rPr>
        <w:t xml:space="preserve"> </w:t>
      </w:r>
      <w:proofErr w:type="spellStart"/>
      <w:r w:rsidRPr="008D7AD1">
        <w:rPr>
          <w:lang w:val="en-US"/>
        </w:rPr>
        <w:t>tesadüfen</w:t>
      </w:r>
      <w:proofErr w:type="spellEnd"/>
      <w:r w:rsidRPr="008D7AD1">
        <w:rPr>
          <w:lang w:val="en-US"/>
        </w:rPr>
        <w:t>—</w:t>
      </w:r>
      <w:proofErr w:type="spellStart"/>
      <w:r w:rsidRPr="008D7AD1">
        <w:rPr>
          <w:lang w:val="en-US"/>
        </w:rPr>
        <w:t>daha</w:t>
      </w:r>
      <w:proofErr w:type="spellEnd"/>
      <w:r w:rsidRPr="008D7AD1">
        <w:rPr>
          <w:lang w:val="en-US"/>
        </w:rPr>
        <w:t xml:space="preserve"> </w:t>
      </w:r>
      <w:proofErr w:type="spellStart"/>
      <w:r w:rsidRPr="008D7AD1">
        <w:rPr>
          <w:lang w:val="en-US"/>
        </w:rPr>
        <w:t>kısa</w:t>
      </w:r>
      <w:proofErr w:type="spellEnd"/>
      <w:r w:rsidRPr="008D7AD1">
        <w:rPr>
          <w:lang w:val="en-US"/>
        </w:rPr>
        <w:t xml:space="preserve"> </w:t>
      </w:r>
      <w:proofErr w:type="spellStart"/>
      <w:r w:rsidRPr="008D7AD1">
        <w:rPr>
          <w:lang w:val="en-US"/>
        </w:rPr>
        <w:t>konferanslar</w:t>
      </w:r>
      <w:proofErr w:type="spellEnd"/>
      <w:r w:rsidRPr="008D7AD1">
        <w:rPr>
          <w:lang w:val="en-US"/>
        </w:rPr>
        <w:t xml:space="preserve"> </w:t>
      </w:r>
      <w:proofErr w:type="spellStart"/>
      <w:r w:rsidRPr="008D7AD1">
        <w:rPr>
          <w:lang w:val="en-US"/>
        </w:rPr>
        <w:t>yapmakta</w:t>
      </w:r>
      <w:proofErr w:type="spellEnd"/>
      <w:r w:rsidRPr="008D7AD1">
        <w:rPr>
          <w:lang w:val="en-US"/>
        </w:rPr>
        <w:t xml:space="preserve"> (</w:t>
      </w:r>
      <w:proofErr w:type="spellStart"/>
      <w:r w:rsidRPr="008D7AD1">
        <w:rPr>
          <w:lang w:val="en-US"/>
        </w:rPr>
        <w:t>ve</w:t>
      </w:r>
      <w:proofErr w:type="spellEnd"/>
      <w:r w:rsidRPr="008D7AD1">
        <w:rPr>
          <w:lang w:val="en-US"/>
        </w:rPr>
        <w:t xml:space="preserve"> </w:t>
      </w:r>
      <w:proofErr w:type="spellStart"/>
      <w:r w:rsidRPr="008D7AD1">
        <w:rPr>
          <w:lang w:val="en-US"/>
        </w:rPr>
        <w:t>bazı</w:t>
      </w:r>
      <w:proofErr w:type="spellEnd"/>
      <w:r w:rsidRPr="008D7AD1">
        <w:rPr>
          <w:lang w:val="en-US"/>
        </w:rPr>
        <w:t xml:space="preserve"> </w:t>
      </w:r>
      <w:proofErr w:type="spellStart"/>
      <w:r w:rsidRPr="008D7AD1">
        <w:rPr>
          <w:lang w:val="en-US"/>
        </w:rPr>
        <w:t>anlatımlara</w:t>
      </w:r>
      <w:proofErr w:type="spellEnd"/>
      <w:r w:rsidRPr="008D7AD1">
        <w:rPr>
          <w:lang w:val="en-US"/>
        </w:rPr>
        <w:t xml:space="preserve"> </w:t>
      </w:r>
      <w:proofErr w:type="spellStart"/>
      <w:r w:rsidRPr="008D7AD1">
        <w:rPr>
          <w:lang w:val="en-US"/>
        </w:rPr>
        <w:t>göre</w:t>
      </w:r>
      <w:proofErr w:type="spellEnd"/>
      <w:r w:rsidRPr="008D7AD1">
        <w:rPr>
          <w:lang w:val="en-US"/>
        </w:rPr>
        <w:t xml:space="preserve"> </w:t>
      </w:r>
      <w:proofErr w:type="spellStart"/>
      <w:r w:rsidRPr="008D7AD1">
        <w:rPr>
          <w:lang w:val="en-US"/>
        </w:rPr>
        <w:t>daha</w:t>
      </w:r>
      <w:proofErr w:type="spellEnd"/>
      <w:r w:rsidRPr="008D7AD1">
        <w:rPr>
          <w:lang w:val="en-US"/>
        </w:rPr>
        <w:t xml:space="preserve"> </w:t>
      </w:r>
      <w:proofErr w:type="spellStart"/>
      <w:r w:rsidRPr="008D7AD1">
        <w:rPr>
          <w:lang w:val="en-US"/>
        </w:rPr>
        <w:t>az</w:t>
      </w:r>
      <w:proofErr w:type="spellEnd"/>
      <w:r w:rsidRPr="008D7AD1">
        <w:rPr>
          <w:lang w:val="en-US"/>
        </w:rPr>
        <w:t xml:space="preserve"> </w:t>
      </w:r>
      <w:proofErr w:type="spellStart"/>
      <w:r w:rsidRPr="008D7AD1">
        <w:rPr>
          <w:lang w:val="en-US"/>
        </w:rPr>
        <w:t>gayriresmî</w:t>
      </w:r>
      <w:proofErr w:type="spellEnd"/>
      <w:r w:rsidRPr="008D7AD1">
        <w:rPr>
          <w:lang w:val="en-US"/>
        </w:rPr>
        <w:t xml:space="preserve"> </w:t>
      </w:r>
      <w:proofErr w:type="spellStart"/>
      <w:r w:rsidRPr="008D7AD1">
        <w:rPr>
          <w:lang w:val="en-US"/>
        </w:rPr>
        <w:t>görüşme</w:t>
      </w:r>
      <w:proofErr w:type="spellEnd"/>
      <w:r w:rsidRPr="008D7AD1">
        <w:rPr>
          <w:lang w:val="en-US"/>
        </w:rPr>
        <w:t xml:space="preserve"> </w:t>
      </w:r>
      <w:proofErr w:type="spellStart"/>
      <w:r w:rsidRPr="008D7AD1">
        <w:rPr>
          <w:lang w:val="en-US"/>
        </w:rPr>
        <w:t>gerçekleştirmekte</w:t>
      </w:r>
      <w:proofErr w:type="spellEnd"/>
      <w:r w:rsidRPr="008D7AD1">
        <w:rPr>
          <w:lang w:val="en-US"/>
        </w:rPr>
        <w:t xml:space="preserve">) </w:t>
      </w:r>
      <w:proofErr w:type="spellStart"/>
      <w:r w:rsidRPr="008D7AD1">
        <w:rPr>
          <w:lang w:val="en-US"/>
        </w:rPr>
        <w:t>olduklarını</w:t>
      </w:r>
      <w:proofErr w:type="spellEnd"/>
      <w:r w:rsidRPr="008D7AD1">
        <w:rPr>
          <w:lang w:val="en-US"/>
        </w:rPr>
        <w:t xml:space="preserve"> da fark </w:t>
      </w:r>
      <w:proofErr w:type="spellStart"/>
      <w:r w:rsidRPr="008D7AD1">
        <w:rPr>
          <w:lang w:val="en-US"/>
        </w:rPr>
        <w:t>etmişlerdir</w:t>
      </w:r>
      <w:proofErr w:type="spellEnd"/>
      <w:r w:rsidRPr="008D7AD1">
        <w:rPr>
          <w:lang w:val="en-US"/>
        </w:rPr>
        <w:t>.⁸⁶</w:t>
      </w:r>
      <w:r>
        <w:rPr>
          <w:lang w:val="en-US"/>
        </w:rPr>
        <w:t xml:space="preserve"> </w:t>
      </w:r>
      <w:r>
        <w:rPr>
          <w:rStyle w:val="FootnoteReference"/>
          <w:lang w:val="en-US"/>
        </w:rPr>
        <w:footnoteReference w:id="86"/>
      </w:r>
    </w:p>
    <w:p w14:paraId="299291D2" w14:textId="368EAC1B" w:rsidR="00FD2A62" w:rsidRDefault="00FD2A62" w:rsidP="00FD2A62">
      <w:pPr>
        <w:rPr>
          <w:lang w:val="en-US"/>
        </w:rPr>
      </w:pPr>
      <w:r w:rsidRPr="00FD2A62">
        <w:rPr>
          <w:lang w:val="en-US"/>
        </w:rPr>
        <w:t xml:space="preserve">Bu </w:t>
      </w:r>
      <w:proofErr w:type="spellStart"/>
      <w:r w:rsidRPr="00FD2A62">
        <w:rPr>
          <w:lang w:val="en-US"/>
        </w:rPr>
        <w:t>değişikliklerin</w:t>
      </w:r>
      <w:proofErr w:type="spellEnd"/>
      <w:r w:rsidRPr="00FD2A62">
        <w:rPr>
          <w:lang w:val="en-US"/>
        </w:rPr>
        <w:t xml:space="preserve"> </w:t>
      </w:r>
      <w:proofErr w:type="spellStart"/>
      <w:r w:rsidRPr="00FD2A62">
        <w:rPr>
          <w:lang w:val="en-US"/>
        </w:rPr>
        <w:t>genel</w:t>
      </w:r>
      <w:proofErr w:type="spellEnd"/>
      <w:r w:rsidRPr="00FD2A62">
        <w:rPr>
          <w:lang w:val="en-US"/>
        </w:rPr>
        <w:t xml:space="preserve"> </w:t>
      </w:r>
      <w:proofErr w:type="spellStart"/>
      <w:r w:rsidRPr="00FD2A62">
        <w:rPr>
          <w:lang w:val="en-US"/>
        </w:rPr>
        <w:t>etkisi</w:t>
      </w:r>
      <w:proofErr w:type="spellEnd"/>
      <w:r w:rsidRPr="00FD2A62">
        <w:rPr>
          <w:lang w:val="en-US"/>
        </w:rPr>
        <w:t xml:space="preserve">, </w:t>
      </w:r>
      <w:proofErr w:type="spellStart"/>
      <w:r w:rsidRPr="00FD2A62">
        <w:rPr>
          <w:lang w:val="en-US"/>
        </w:rPr>
        <w:t>Yargıçların</w:t>
      </w:r>
      <w:proofErr w:type="spellEnd"/>
      <w:r w:rsidRPr="00FD2A62">
        <w:rPr>
          <w:lang w:val="en-US"/>
        </w:rPr>
        <w:t xml:space="preserve"> </w:t>
      </w:r>
      <w:proofErr w:type="spellStart"/>
      <w:r w:rsidRPr="00FD2A62">
        <w:rPr>
          <w:lang w:val="en-US"/>
        </w:rPr>
        <w:t>entelektüel</w:t>
      </w:r>
      <w:proofErr w:type="spellEnd"/>
      <w:r w:rsidRPr="00FD2A62">
        <w:rPr>
          <w:lang w:val="en-US"/>
        </w:rPr>
        <w:t xml:space="preserve"> </w:t>
      </w:r>
      <w:proofErr w:type="spellStart"/>
      <w:r w:rsidRPr="00FD2A62">
        <w:rPr>
          <w:lang w:val="en-US"/>
        </w:rPr>
        <w:t>yaşamını</w:t>
      </w:r>
      <w:proofErr w:type="spellEnd"/>
      <w:r w:rsidRPr="00FD2A62">
        <w:rPr>
          <w:lang w:val="en-US"/>
        </w:rPr>
        <w:t xml:space="preserve"> </w:t>
      </w:r>
      <w:proofErr w:type="spellStart"/>
      <w:r w:rsidRPr="00FD2A62">
        <w:rPr>
          <w:lang w:val="en-US"/>
        </w:rPr>
        <w:t>odak</w:t>
      </w:r>
      <w:proofErr w:type="spellEnd"/>
      <w:r w:rsidRPr="00FD2A62">
        <w:rPr>
          <w:lang w:val="en-US"/>
        </w:rPr>
        <w:t xml:space="preserve"> </w:t>
      </w:r>
      <w:proofErr w:type="spellStart"/>
      <w:r w:rsidRPr="00FD2A62">
        <w:rPr>
          <w:lang w:val="en-US"/>
        </w:rPr>
        <w:t>noktasını</w:t>
      </w:r>
      <w:proofErr w:type="spellEnd"/>
      <w:r w:rsidRPr="00FD2A62">
        <w:rPr>
          <w:lang w:val="en-US"/>
        </w:rPr>
        <w:t xml:space="preserve"> </w:t>
      </w:r>
      <w:proofErr w:type="spellStart"/>
      <w:r w:rsidRPr="00FD2A62">
        <w:rPr>
          <w:lang w:val="en-US"/>
        </w:rPr>
        <w:t>kendi</w:t>
      </w:r>
      <w:proofErr w:type="spellEnd"/>
      <w:r w:rsidRPr="00FD2A62">
        <w:rPr>
          <w:lang w:val="en-US"/>
        </w:rPr>
        <w:t xml:space="preserve"> </w:t>
      </w:r>
      <w:proofErr w:type="spellStart"/>
      <w:r w:rsidRPr="00FD2A62">
        <w:rPr>
          <w:lang w:val="en-US"/>
        </w:rPr>
        <w:t>odalarına</w:t>
      </w:r>
      <w:proofErr w:type="spellEnd"/>
      <w:r w:rsidRPr="00FD2A62">
        <w:rPr>
          <w:lang w:val="en-US"/>
        </w:rPr>
        <w:t xml:space="preserve"> </w:t>
      </w:r>
      <w:proofErr w:type="spellStart"/>
      <w:r w:rsidRPr="00FD2A62">
        <w:rPr>
          <w:lang w:val="en-US"/>
        </w:rPr>
        <w:t>kaydırarak</w:t>
      </w:r>
      <w:proofErr w:type="spellEnd"/>
      <w:r w:rsidRPr="00FD2A62">
        <w:rPr>
          <w:lang w:val="en-US"/>
        </w:rPr>
        <w:t xml:space="preserve"> </w:t>
      </w:r>
      <w:proofErr w:type="spellStart"/>
      <w:r w:rsidRPr="00FD2A62">
        <w:rPr>
          <w:lang w:val="en-US"/>
        </w:rPr>
        <w:t>yeniden</w:t>
      </w:r>
      <w:proofErr w:type="spellEnd"/>
      <w:r w:rsidRPr="00FD2A62">
        <w:rPr>
          <w:lang w:val="en-US"/>
        </w:rPr>
        <w:t xml:space="preserve"> </w:t>
      </w:r>
      <w:proofErr w:type="spellStart"/>
      <w:r w:rsidRPr="00FD2A62">
        <w:rPr>
          <w:lang w:val="en-US"/>
        </w:rPr>
        <w:t>şekillendirmektedir</w:t>
      </w:r>
      <w:proofErr w:type="spellEnd"/>
      <w:r w:rsidRPr="00FD2A62">
        <w:rPr>
          <w:lang w:val="en-US"/>
        </w:rPr>
        <w:t xml:space="preserve">. </w:t>
      </w:r>
      <w:proofErr w:type="spellStart"/>
      <w:r w:rsidRPr="00FD2A62">
        <w:rPr>
          <w:lang w:val="en-US"/>
        </w:rPr>
        <w:t>Günlük</w:t>
      </w:r>
      <w:proofErr w:type="spellEnd"/>
      <w:r w:rsidRPr="00FD2A62">
        <w:rPr>
          <w:lang w:val="en-US"/>
        </w:rPr>
        <w:t xml:space="preserve"> </w:t>
      </w:r>
      <w:proofErr w:type="spellStart"/>
      <w:r w:rsidRPr="00FD2A62">
        <w:rPr>
          <w:lang w:val="en-US"/>
        </w:rPr>
        <w:t>çalışma</w:t>
      </w:r>
      <w:proofErr w:type="spellEnd"/>
      <w:r w:rsidRPr="00FD2A62">
        <w:rPr>
          <w:lang w:val="en-US"/>
        </w:rPr>
        <w:t xml:space="preserve"> </w:t>
      </w:r>
      <w:proofErr w:type="spellStart"/>
      <w:r w:rsidRPr="00FD2A62">
        <w:rPr>
          <w:lang w:val="en-US"/>
        </w:rPr>
        <w:t>pratiğinde</w:t>
      </w:r>
      <w:proofErr w:type="spellEnd"/>
      <w:r w:rsidRPr="00FD2A62">
        <w:rPr>
          <w:lang w:val="en-US"/>
        </w:rPr>
        <w:t xml:space="preserve">, </w:t>
      </w:r>
      <w:proofErr w:type="spellStart"/>
      <w:r w:rsidRPr="00FD2A62">
        <w:rPr>
          <w:lang w:val="en-US"/>
        </w:rPr>
        <w:t>Yargıçlar</w:t>
      </w:r>
      <w:proofErr w:type="spellEnd"/>
      <w:r w:rsidRPr="00FD2A62">
        <w:rPr>
          <w:lang w:val="en-US"/>
        </w:rPr>
        <w:t xml:space="preserve"> </w:t>
      </w:r>
      <w:proofErr w:type="spellStart"/>
      <w:r w:rsidRPr="00FD2A62">
        <w:rPr>
          <w:lang w:val="en-US"/>
        </w:rPr>
        <w:t>entelektüel</w:t>
      </w:r>
      <w:proofErr w:type="spellEnd"/>
      <w:r w:rsidRPr="00FD2A62">
        <w:rPr>
          <w:lang w:val="en-US"/>
        </w:rPr>
        <w:t xml:space="preserve"> </w:t>
      </w:r>
      <w:proofErr w:type="spellStart"/>
      <w:r w:rsidRPr="00FD2A62">
        <w:rPr>
          <w:lang w:val="en-US"/>
        </w:rPr>
        <w:t>etkileşimlerinin</w:t>
      </w:r>
      <w:proofErr w:type="spellEnd"/>
      <w:r w:rsidRPr="00FD2A62">
        <w:rPr>
          <w:lang w:val="en-US"/>
        </w:rPr>
        <w:t xml:space="preserve"> </w:t>
      </w:r>
      <w:proofErr w:type="spellStart"/>
      <w:r w:rsidRPr="00FD2A62">
        <w:rPr>
          <w:lang w:val="en-US"/>
        </w:rPr>
        <w:t>çoğunu</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üretken</w:t>
      </w:r>
      <w:proofErr w:type="spellEnd"/>
      <w:r w:rsidRPr="00FD2A62">
        <w:rPr>
          <w:lang w:val="en-US"/>
        </w:rPr>
        <w:t xml:space="preserve"> </w:t>
      </w:r>
      <w:proofErr w:type="spellStart"/>
      <w:r w:rsidRPr="00FD2A62">
        <w:rPr>
          <w:lang w:val="en-US"/>
        </w:rPr>
        <w:t>çalışmalarının</w:t>
      </w:r>
      <w:proofErr w:type="spellEnd"/>
      <w:r w:rsidRPr="00FD2A62">
        <w:rPr>
          <w:lang w:val="en-US"/>
        </w:rPr>
        <w:t xml:space="preserve"> </w:t>
      </w:r>
      <w:proofErr w:type="spellStart"/>
      <w:r w:rsidRPr="00FD2A62">
        <w:rPr>
          <w:lang w:val="en-US"/>
        </w:rPr>
        <w:t>büyük</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kısmını</w:t>
      </w:r>
      <w:proofErr w:type="spellEnd"/>
      <w:r w:rsidRPr="00FD2A62">
        <w:rPr>
          <w:lang w:val="en-US"/>
        </w:rPr>
        <w:t xml:space="preserve">, </w:t>
      </w:r>
      <w:proofErr w:type="spellStart"/>
      <w:r w:rsidRPr="00FD2A62">
        <w:rPr>
          <w:lang w:val="en-US"/>
        </w:rPr>
        <w:t>akran</w:t>
      </w:r>
      <w:proofErr w:type="spellEnd"/>
      <w:r w:rsidRPr="00FD2A62">
        <w:rPr>
          <w:lang w:val="en-US"/>
        </w:rPr>
        <w:t xml:space="preserve"> </w:t>
      </w:r>
      <w:proofErr w:type="spellStart"/>
      <w:r w:rsidRPr="00FD2A62">
        <w:rPr>
          <w:lang w:val="en-US"/>
        </w:rPr>
        <w:t>grubunun</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parçası</w:t>
      </w:r>
      <w:proofErr w:type="spellEnd"/>
      <w:r w:rsidRPr="00FD2A62">
        <w:rPr>
          <w:lang w:val="en-US"/>
        </w:rPr>
        <w:t xml:space="preserve"> </w:t>
      </w:r>
      <w:proofErr w:type="spellStart"/>
      <w:r w:rsidRPr="00FD2A62">
        <w:rPr>
          <w:lang w:val="en-US"/>
        </w:rPr>
        <w:t>olarak</w:t>
      </w:r>
      <w:proofErr w:type="spellEnd"/>
      <w:r w:rsidRPr="00FD2A62">
        <w:rPr>
          <w:lang w:val="en-US"/>
        </w:rPr>
        <w:t xml:space="preserve"> </w:t>
      </w:r>
      <w:proofErr w:type="spellStart"/>
      <w:r w:rsidRPr="00FD2A62">
        <w:rPr>
          <w:lang w:val="en-US"/>
        </w:rPr>
        <w:t>değil</w:t>
      </w:r>
      <w:proofErr w:type="spellEnd"/>
      <w:r w:rsidRPr="00FD2A62">
        <w:rPr>
          <w:lang w:val="en-US"/>
        </w:rPr>
        <w:t xml:space="preserve">, </w:t>
      </w:r>
      <w:proofErr w:type="spellStart"/>
      <w:r w:rsidRPr="00FD2A62">
        <w:rPr>
          <w:lang w:val="en-US"/>
        </w:rPr>
        <w:t>aksine</w:t>
      </w:r>
      <w:proofErr w:type="spellEnd"/>
      <w:r w:rsidRPr="00FD2A62">
        <w:rPr>
          <w:lang w:val="en-US"/>
        </w:rPr>
        <w:t xml:space="preserve"> </w:t>
      </w:r>
      <w:proofErr w:type="spellStart"/>
      <w:r w:rsidRPr="00FD2A62">
        <w:rPr>
          <w:lang w:val="en-US"/>
        </w:rPr>
        <w:t>küçük</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hukukçu</w:t>
      </w:r>
      <w:proofErr w:type="spellEnd"/>
      <w:r w:rsidRPr="00FD2A62">
        <w:rPr>
          <w:lang w:val="en-US"/>
        </w:rPr>
        <w:t xml:space="preserve"> </w:t>
      </w:r>
      <w:proofErr w:type="spellStart"/>
      <w:r w:rsidRPr="00FD2A62">
        <w:rPr>
          <w:lang w:val="en-US"/>
        </w:rPr>
        <w:t>ekibinin</w:t>
      </w:r>
      <w:proofErr w:type="spellEnd"/>
      <w:r w:rsidRPr="00FD2A62">
        <w:rPr>
          <w:lang w:val="en-US"/>
        </w:rPr>
        <w:t xml:space="preserve"> </w:t>
      </w:r>
      <w:proofErr w:type="spellStart"/>
      <w:r w:rsidRPr="00FD2A62">
        <w:rPr>
          <w:lang w:val="en-US"/>
        </w:rPr>
        <w:t>en</w:t>
      </w:r>
      <w:proofErr w:type="spellEnd"/>
      <w:r w:rsidRPr="00FD2A62">
        <w:rPr>
          <w:lang w:val="en-US"/>
        </w:rPr>
        <w:t xml:space="preserve"> </w:t>
      </w:r>
      <w:proofErr w:type="spellStart"/>
      <w:r w:rsidRPr="00FD2A62">
        <w:rPr>
          <w:lang w:val="en-US"/>
        </w:rPr>
        <w:t>kıdemli</w:t>
      </w:r>
      <w:proofErr w:type="spellEnd"/>
      <w:r w:rsidRPr="00FD2A62">
        <w:rPr>
          <w:lang w:val="en-US"/>
        </w:rPr>
        <w:t xml:space="preserve"> </w:t>
      </w:r>
      <w:proofErr w:type="spellStart"/>
      <w:r w:rsidRPr="00FD2A62">
        <w:rPr>
          <w:lang w:val="en-US"/>
        </w:rPr>
        <w:t>üyesi</w:t>
      </w:r>
      <w:proofErr w:type="spellEnd"/>
      <w:r w:rsidRPr="00FD2A62">
        <w:rPr>
          <w:lang w:val="en-US"/>
        </w:rPr>
        <w:t xml:space="preserve"> </w:t>
      </w:r>
      <w:proofErr w:type="spellStart"/>
      <w:r w:rsidRPr="00FD2A62">
        <w:rPr>
          <w:lang w:val="en-US"/>
        </w:rPr>
        <w:t>olarak</w:t>
      </w:r>
      <w:proofErr w:type="spellEnd"/>
      <w:r w:rsidRPr="00FD2A62">
        <w:rPr>
          <w:lang w:val="en-US"/>
        </w:rPr>
        <w:t xml:space="preserve"> </w:t>
      </w:r>
      <w:proofErr w:type="spellStart"/>
      <w:r w:rsidRPr="00FD2A62">
        <w:rPr>
          <w:lang w:val="en-US"/>
        </w:rPr>
        <w:t>yürütmektedir</w:t>
      </w:r>
      <w:proofErr w:type="spellEnd"/>
      <w:r w:rsidRPr="00FD2A62">
        <w:rPr>
          <w:lang w:val="en-US"/>
        </w:rPr>
        <w:t xml:space="preserve">. Bu </w:t>
      </w:r>
      <w:proofErr w:type="spellStart"/>
      <w:r w:rsidRPr="00FD2A62">
        <w:rPr>
          <w:lang w:val="en-US"/>
        </w:rPr>
        <w:t>ekipteki</w:t>
      </w:r>
      <w:proofErr w:type="spellEnd"/>
      <w:r w:rsidRPr="00FD2A62">
        <w:rPr>
          <w:lang w:val="en-US"/>
        </w:rPr>
        <w:t xml:space="preserve"> </w:t>
      </w:r>
      <w:proofErr w:type="spellStart"/>
      <w:r w:rsidRPr="00FD2A62">
        <w:rPr>
          <w:lang w:val="en-US"/>
        </w:rPr>
        <w:t>diğer</w:t>
      </w:r>
      <w:proofErr w:type="spellEnd"/>
      <w:r w:rsidRPr="00FD2A62">
        <w:rPr>
          <w:lang w:val="en-US"/>
        </w:rPr>
        <w:t xml:space="preserve"> </w:t>
      </w:r>
      <w:proofErr w:type="spellStart"/>
      <w:r w:rsidRPr="00FD2A62">
        <w:rPr>
          <w:lang w:val="en-US"/>
        </w:rPr>
        <w:t>hukukçular</w:t>
      </w:r>
      <w:proofErr w:type="spellEnd"/>
      <w:r w:rsidRPr="00FD2A62">
        <w:rPr>
          <w:lang w:val="en-US"/>
        </w:rPr>
        <w:t xml:space="preserve">, </w:t>
      </w:r>
      <w:proofErr w:type="spellStart"/>
      <w:r w:rsidRPr="00FD2A62">
        <w:rPr>
          <w:lang w:val="en-US"/>
        </w:rPr>
        <w:t>Yargıç</w:t>
      </w:r>
      <w:proofErr w:type="spellEnd"/>
      <w:r w:rsidRPr="00FD2A62">
        <w:rPr>
          <w:lang w:val="en-US"/>
        </w:rPr>
        <w:t xml:space="preserve"> </w:t>
      </w:r>
      <w:proofErr w:type="spellStart"/>
      <w:r w:rsidRPr="00FD2A62">
        <w:rPr>
          <w:lang w:val="en-US"/>
        </w:rPr>
        <w:t>tarafından</w:t>
      </w:r>
      <w:proofErr w:type="spellEnd"/>
      <w:r w:rsidRPr="00FD2A62">
        <w:rPr>
          <w:lang w:val="en-US"/>
        </w:rPr>
        <w:t xml:space="preserve"> </w:t>
      </w:r>
      <w:proofErr w:type="spellStart"/>
      <w:r w:rsidRPr="00FD2A62">
        <w:rPr>
          <w:lang w:val="en-US"/>
        </w:rPr>
        <w:t>sağlanan</w:t>
      </w:r>
      <w:proofErr w:type="spellEnd"/>
      <w:r w:rsidRPr="00FD2A62">
        <w:rPr>
          <w:lang w:val="en-US"/>
        </w:rPr>
        <w:t xml:space="preserve"> </w:t>
      </w:r>
      <w:proofErr w:type="spellStart"/>
      <w:r w:rsidRPr="00FD2A62">
        <w:rPr>
          <w:lang w:val="en-US"/>
        </w:rPr>
        <w:t>güç</w:t>
      </w:r>
      <w:proofErr w:type="spellEnd"/>
      <w:r w:rsidRPr="00FD2A62">
        <w:rPr>
          <w:lang w:val="en-US"/>
        </w:rPr>
        <w:t xml:space="preserve"> </w:t>
      </w:r>
      <w:proofErr w:type="spellStart"/>
      <w:r w:rsidRPr="00FD2A62">
        <w:rPr>
          <w:lang w:val="en-US"/>
        </w:rPr>
        <w:t>erişimine</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kariyer</w:t>
      </w:r>
      <w:proofErr w:type="spellEnd"/>
      <w:r w:rsidRPr="00FD2A62">
        <w:rPr>
          <w:lang w:val="en-US"/>
        </w:rPr>
        <w:t xml:space="preserve"> </w:t>
      </w:r>
      <w:proofErr w:type="spellStart"/>
      <w:r w:rsidRPr="00FD2A62">
        <w:rPr>
          <w:lang w:val="en-US"/>
        </w:rPr>
        <w:t>olanaklarına</w:t>
      </w:r>
      <w:proofErr w:type="spellEnd"/>
      <w:r w:rsidRPr="00FD2A62">
        <w:rPr>
          <w:lang w:val="en-US"/>
        </w:rPr>
        <w:t xml:space="preserve"> </w:t>
      </w:r>
      <w:proofErr w:type="spellStart"/>
      <w:r w:rsidRPr="00FD2A62">
        <w:rPr>
          <w:lang w:val="en-US"/>
        </w:rPr>
        <w:t>bağımlıdır</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çoğu</w:t>
      </w:r>
      <w:proofErr w:type="spellEnd"/>
      <w:r w:rsidRPr="00FD2A62">
        <w:rPr>
          <w:lang w:val="en-US"/>
        </w:rPr>
        <w:t xml:space="preserve"> </w:t>
      </w:r>
      <w:proofErr w:type="spellStart"/>
      <w:r w:rsidRPr="00FD2A62">
        <w:rPr>
          <w:lang w:val="en-US"/>
        </w:rPr>
        <w:t>durumda</w:t>
      </w:r>
      <w:proofErr w:type="spellEnd"/>
      <w:r w:rsidRPr="00FD2A62">
        <w:rPr>
          <w:lang w:val="en-US"/>
        </w:rPr>
        <w:t xml:space="preserve">, </w:t>
      </w:r>
      <w:proofErr w:type="spellStart"/>
      <w:r w:rsidRPr="00FD2A62">
        <w:rPr>
          <w:lang w:val="en-US"/>
        </w:rPr>
        <w:t>önemli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hukuki</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yaşam</w:t>
      </w:r>
      <w:proofErr w:type="spellEnd"/>
      <w:r w:rsidRPr="00FD2A62">
        <w:rPr>
          <w:lang w:val="en-US"/>
        </w:rPr>
        <w:t xml:space="preserve"> </w:t>
      </w:r>
      <w:proofErr w:type="spellStart"/>
      <w:r w:rsidRPr="00FD2A62">
        <w:rPr>
          <w:lang w:val="en-US"/>
        </w:rPr>
        <w:t>deneyimine</w:t>
      </w:r>
      <w:proofErr w:type="spellEnd"/>
      <w:r w:rsidRPr="00FD2A62">
        <w:rPr>
          <w:lang w:val="en-US"/>
        </w:rPr>
        <w:t xml:space="preserve"> </w:t>
      </w:r>
      <w:proofErr w:type="spellStart"/>
      <w:r w:rsidRPr="00FD2A62">
        <w:rPr>
          <w:lang w:val="en-US"/>
        </w:rPr>
        <w:t>sahip</w:t>
      </w:r>
      <w:proofErr w:type="spellEnd"/>
      <w:r w:rsidRPr="00FD2A62">
        <w:rPr>
          <w:lang w:val="en-US"/>
        </w:rPr>
        <w:t xml:space="preserve"> </w:t>
      </w:r>
      <w:proofErr w:type="spellStart"/>
      <w:r w:rsidRPr="00FD2A62">
        <w:rPr>
          <w:lang w:val="en-US"/>
        </w:rPr>
        <w:t>değildir</w:t>
      </w:r>
      <w:proofErr w:type="spellEnd"/>
      <w:r w:rsidRPr="00FD2A62">
        <w:rPr>
          <w:lang w:val="en-US"/>
        </w:rPr>
        <w:t xml:space="preserve">. Bu durum, </w:t>
      </w:r>
      <w:proofErr w:type="spellStart"/>
      <w:r w:rsidRPr="00FD2A62">
        <w:rPr>
          <w:lang w:val="en-US"/>
        </w:rPr>
        <w:t>entelektüel</w:t>
      </w:r>
      <w:proofErr w:type="spellEnd"/>
      <w:r w:rsidRPr="00FD2A62">
        <w:rPr>
          <w:lang w:val="en-US"/>
        </w:rPr>
        <w:t xml:space="preserve"> </w:t>
      </w:r>
      <w:proofErr w:type="spellStart"/>
      <w:r w:rsidRPr="00FD2A62">
        <w:rPr>
          <w:lang w:val="en-US"/>
        </w:rPr>
        <w:t>etkileşimlerinde</w:t>
      </w:r>
      <w:proofErr w:type="spellEnd"/>
      <w:r w:rsidRPr="00FD2A62">
        <w:rPr>
          <w:lang w:val="en-US"/>
        </w:rPr>
        <w:t xml:space="preserve"> </w:t>
      </w:r>
      <w:proofErr w:type="spellStart"/>
      <w:r w:rsidRPr="00FD2A62">
        <w:rPr>
          <w:lang w:val="en-US"/>
        </w:rPr>
        <w:t>derin</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güç</w:t>
      </w:r>
      <w:proofErr w:type="spellEnd"/>
      <w:r w:rsidRPr="00FD2A62">
        <w:rPr>
          <w:lang w:val="en-US"/>
        </w:rPr>
        <w:t xml:space="preserve"> </w:t>
      </w:r>
      <w:proofErr w:type="spellStart"/>
      <w:r w:rsidRPr="00FD2A62">
        <w:rPr>
          <w:lang w:val="en-US"/>
        </w:rPr>
        <w:t>dinamiği</w:t>
      </w:r>
      <w:proofErr w:type="spellEnd"/>
      <w:r w:rsidRPr="00FD2A62">
        <w:rPr>
          <w:lang w:val="en-US"/>
        </w:rPr>
        <w:t xml:space="preserve"> </w:t>
      </w:r>
      <w:proofErr w:type="spellStart"/>
      <w:r w:rsidRPr="00FD2A62">
        <w:rPr>
          <w:lang w:val="en-US"/>
        </w:rPr>
        <w:t>yaratmaktadır</w:t>
      </w:r>
      <w:proofErr w:type="spellEnd"/>
      <w:r w:rsidRPr="00FD2A62">
        <w:rPr>
          <w:lang w:val="en-US"/>
        </w:rPr>
        <w:t xml:space="preserve">. </w:t>
      </w:r>
      <w:proofErr w:type="spellStart"/>
      <w:r w:rsidRPr="00FD2A62">
        <w:rPr>
          <w:lang w:val="en-US"/>
        </w:rPr>
        <w:t>Dahası</w:t>
      </w:r>
      <w:proofErr w:type="spellEnd"/>
      <w:r w:rsidRPr="00FD2A62">
        <w:rPr>
          <w:lang w:val="en-US"/>
        </w:rPr>
        <w:t xml:space="preserve">, </w:t>
      </w:r>
      <w:proofErr w:type="spellStart"/>
      <w:r w:rsidRPr="00FD2A62">
        <w:rPr>
          <w:lang w:val="en-US"/>
        </w:rPr>
        <w:t>hukuk</w:t>
      </w:r>
      <w:proofErr w:type="spellEnd"/>
      <w:r w:rsidRPr="00FD2A62">
        <w:rPr>
          <w:lang w:val="en-US"/>
        </w:rPr>
        <w:t xml:space="preserve"> </w:t>
      </w:r>
      <w:proofErr w:type="spellStart"/>
      <w:r w:rsidRPr="00FD2A62">
        <w:rPr>
          <w:lang w:val="en-US"/>
        </w:rPr>
        <w:t>katipleri</w:t>
      </w:r>
      <w:proofErr w:type="spellEnd"/>
      <w:r w:rsidRPr="00FD2A62">
        <w:rPr>
          <w:lang w:val="en-US"/>
        </w:rPr>
        <w:t xml:space="preserve"> </w:t>
      </w:r>
      <w:proofErr w:type="spellStart"/>
      <w:r w:rsidRPr="00FD2A62">
        <w:rPr>
          <w:lang w:val="en-US"/>
        </w:rPr>
        <w:t>genellikle</w:t>
      </w:r>
      <w:proofErr w:type="spellEnd"/>
      <w:r w:rsidRPr="00FD2A62">
        <w:rPr>
          <w:lang w:val="en-US"/>
        </w:rPr>
        <w:t xml:space="preserve">, </w:t>
      </w:r>
      <w:proofErr w:type="spellStart"/>
      <w:r w:rsidRPr="00FD2A62">
        <w:rPr>
          <w:lang w:val="en-US"/>
        </w:rPr>
        <w:t>en</w:t>
      </w:r>
      <w:proofErr w:type="spellEnd"/>
      <w:r w:rsidRPr="00FD2A62">
        <w:rPr>
          <w:lang w:val="en-US"/>
        </w:rPr>
        <w:t xml:space="preserve"> </w:t>
      </w:r>
      <w:proofErr w:type="spellStart"/>
      <w:r w:rsidRPr="00FD2A62">
        <w:rPr>
          <w:lang w:val="en-US"/>
        </w:rPr>
        <w:t>azından</w:t>
      </w:r>
      <w:proofErr w:type="spellEnd"/>
      <w:r w:rsidRPr="00FD2A62">
        <w:rPr>
          <w:lang w:val="en-US"/>
        </w:rPr>
        <w:t xml:space="preserve"> </w:t>
      </w:r>
      <w:proofErr w:type="spellStart"/>
      <w:r w:rsidRPr="00FD2A62">
        <w:rPr>
          <w:lang w:val="en-US"/>
        </w:rPr>
        <w:t>belirli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ölçüde</w:t>
      </w:r>
      <w:proofErr w:type="spellEnd"/>
      <w:r w:rsidRPr="00FD2A62">
        <w:rPr>
          <w:lang w:val="en-US"/>
        </w:rPr>
        <w:t xml:space="preserve">, </w:t>
      </w:r>
      <w:proofErr w:type="spellStart"/>
      <w:r w:rsidRPr="00FD2A62">
        <w:rPr>
          <w:lang w:val="en-US"/>
        </w:rPr>
        <w:t>hizmet</w:t>
      </w:r>
      <w:proofErr w:type="spellEnd"/>
      <w:r w:rsidRPr="00FD2A62">
        <w:rPr>
          <w:lang w:val="en-US"/>
        </w:rPr>
        <w:t xml:space="preserve"> </w:t>
      </w:r>
      <w:proofErr w:type="spellStart"/>
      <w:r w:rsidRPr="00FD2A62">
        <w:rPr>
          <w:lang w:val="en-US"/>
        </w:rPr>
        <w:t>ettikleri</w:t>
      </w:r>
      <w:proofErr w:type="spellEnd"/>
      <w:r w:rsidRPr="00FD2A62">
        <w:rPr>
          <w:lang w:val="en-US"/>
        </w:rPr>
        <w:t xml:space="preserve"> </w:t>
      </w:r>
      <w:proofErr w:type="spellStart"/>
      <w:r w:rsidRPr="00FD2A62">
        <w:rPr>
          <w:lang w:val="en-US"/>
        </w:rPr>
        <w:t>Yargıç</w:t>
      </w:r>
      <w:proofErr w:type="spellEnd"/>
      <w:r w:rsidRPr="00FD2A62">
        <w:rPr>
          <w:lang w:val="en-US"/>
        </w:rPr>
        <w:t xml:space="preserve"> </w:t>
      </w:r>
      <w:proofErr w:type="spellStart"/>
      <w:r w:rsidRPr="00FD2A62">
        <w:rPr>
          <w:lang w:val="en-US"/>
        </w:rPr>
        <w:t>ile</w:t>
      </w:r>
      <w:proofErr w:type="spellEnd"/>
      <w:r w:rsidRPr="00FD2A62">
        <w:rPr>
          <w:lang w:val="en-US"/>
        </w:rPr>
        <w:t xml:space="preserve"> </w:t>
      </w:r>
      <w:proofErr w:type="spellStart"/>
      <w:r w:rsidRPr="00FD2A62">
        <w:rPr>
          <w:lang w:val="en-US"/>
        </w:rPr>
        <w:t>entelektüel</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siyasi</w:t>
      </w:r>
      <w:proofErr w:type="spellEnd"/>
      <w:r w:rsidRPr="00FD2A62">
        <w:rPr>
          <w:lang w:val="en-US"/>
        </w:rPr>
        <w:t xml:space="preserve"> </w:t>
      </w:r>
      <w:proofErr w:type="spellStart"/>
      <w:r w:rsidRPr="00FD2A62">
        <w:rPr>
          <w:lang w:val="en-US"/>
        </w:rPr>
        <w:t>uyumu</w:t>
      </w:r>
      <w:proofErr w:type="spellEnd"/>
      <w:r w:rsidRPr="00FD2A62">
        <w:rPr>
          <w:lang w:val="en-US"/>
        </w:rPr>
        <w:t xml:space="preserve"> </w:t>
      </w:r>
      <w:proofErr w:type="spellStart"/>
      <w:r w:rsidRPr="00FD2A62">
        <w:rPr>
          <w:lang w:val="en-US"/>
        </w:rPr>
        <w:t>ön</w:t>
      </w:r>
      <w:proofErr w:type="spellEnd"/>
      <w:r w:rsidRPr="00FD2A62">
        <w:rPr>
          <w:lang w:val="en-US"/>
        </w:rPr>
        <w:t xml:space="preserve"> plana </w:t>
      </w:r>
      <w:proofErr w:type="spellStart"/>
      <w:r w:rsidRPr="00FD2A62">
        <w:rPr>
          <w:lang w:val="en-US"/>
        </w:rPr>
        <w:t>çıkaran</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süreçle</w:t>
      </w:r>
      <w:proofErr w:type="spellEnd"/>
      <w:r w:rsidRPr="00FD2A62">
        <w:rPr>
          <w:lang w:val="en-US"/>
        </w:rPr>
        <w:t xml:space="preserve"> </w:t>
      </w:r>
      <w:proofErr w:type="spellStart"/>
      <w:r w:rsidRPr="00FD2A62">
        <w:rPr>
          <w:lang w:val="en-US"/>
        </w:rPr>
        <w:t>seçilmektedir</w:t>
      </w:r>
      <w:proofErr w:type="spellEnd"/>
      <w:r w:rsidRPr="00FD2A62">
        <w:rPr>
          <w:lang w:val="en-US"/>
        </w:rPr>
        <w:t xml:space="preserve">. Bu durum, </w:t>
      </w:r>
      <w:proofErr w:type="spellStart"/>
      <w:r w:rsidRPr="00FD2A62">
        <w:rPr>
          <w:lang w:val="en-US"/>
        </w:rPr>
        <w:t>bazı</w:t>
      </w:r>
      <w:proofErr w:type="spellEnd"/>
      <w:r w:rsidRPr="00FD2A62">
        <w:rPr>
          <w:lang w:val="en-US"/>
        </w:rPr>
        <w:t xml:space="preserve"> </w:t>
      </w:r>
      <w:proofErr w:type="spellStart"/>
      <w:r w:rsidRPr="00FD2A62">
        <w:rPr>
          <w:lang w:val="en-US"/>
        </w:rPr>
        <w:t>fikirlerin</w:t>
      </w:r>
      <w:proofErr w:type="spellEnd"/>
      <w:r w:rsidRPr="00FD2A62">
        <w:rPr>
          <w:lang w:val="en-US"/>
        </w:rPr>
        <w:t xml:space="preserve"> </w:t>
      </w:r>
      <w:proofErr w:type="spellStart"/>
      <w:r w:rsidRPr="00FD2A62">
        <w:rPr>
          <w:lang w:val="en-US"/>
        </w:rPr>
        <w:t>yeterince</w:t>
      </w:r>
      <w:proofErr w:type="spellEnd"/>
      <w:r w:rsidRPr="00FD2A62">
        <w:rPr>
          <w:lang w:val="en-US"/>
        </w:rPr>
        <w:t xml:space="preserve"> </w:t>
      </w:r>
      <w:proofErr w:type="spellStart"/>
      <w:r w:rsidRPr="00FD2A62">
        <w:rPr>
          <w:lang w:val="en-US"/>
        </w:rPr>
        <w:t>sorgulanmadığı</w:t>
      </w:r>
      <w:proofErr w:type="spellEnd"/>
      <w:r w:rsidRPr="00FD2A62">
        <w:rPr>
          <w:lang w:val="en-US"/>
        </w:rPr>
        <w:t xml:space="preserve"> </w:t>
      </w:r>
      <w:proofErr w:type="spellStart"/>
      <w:r w:rsidRPr="00FD2A62">
        <w:rPr>
          <w:lang w:val="en-US"/>
        </w:rPr>
        <w:t>ideolojik</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yankı</w:t>
      </w:r>
      <w:proofErr w:type="spellEnd"/>
      <w:r w:rsidRPr="00FD2A62">
        <w:rPr>
          <w:lang w:val="en-US"/>
        </w:rPr>
        <w:t xml:space="preserve"> </w:t>
      </w:r>
      <w:proofErr w:type="spellStart"/>
      <w:r w:rsidRPr="00FD2A62">
        <w:rPr>
          <w:lang w:val="en-US"/>
        </w:rPr>
        <w:t>odası</w:t>
      </w:r>
      <w:proofErr w:type="spellEnd"/>
      <w:r w:rsidRPr="00FD2A62">
        <w:rPr>
          <w:lang w:val="en-US"/>
        </w:rPr>
        <w:t xml:space="preserve"> (echo chamber) </w:t>
      </w:r>
      <w:proofErr w:type="spellStart"/>
      <w:r w:rsidRPr="00FD2A62">
        <w:rPr>
          <w:lang w:val="en-US"/>
        </w:rPr>
        <w:t>oluşma</w:t>
      </w:r>
      <w:proofErr w:type="spellEnd"/>
      <w:r w:rsidRPr="00FD2A62">
        <w:rPr>
          <w:lang w:val="en-US"/>
        </w:rPr>
        <w:t xml:space="preserve"> </w:t>
      </w:r>
      <w:proofErr w:type="spellStart"/>
      <w:r w:rsidRPr="00FD2A62">
        <w:rPr>
          <w:lang w:val="en-US"/>
        </w:rPr>
        <w:t>ihtimalini</w:t>
      </w:r>
      <w:proofErr w:type="spellEnd"/>
      <w:r w:rsidRPr="00FD2A62">
        <w:rPr>
          <w:lang w:val="en-US"/>
        </w:rPr>
        <w:t xml:space="preserve"> </w:t>
      </w:r>
      <w:proofErr w:type="spellStart"/>
      <w:r w:rsidRPr="00FD2A62">
        <w:rPr>
          <w:lang w:val="en-US"/>
        </w:rPr>
        <w:t>doğurmaktadır</w:t>
      </w:r>
      <w:proofErr w:type="spellEnd"/>
      <w:r w:rsidRPr="00FD2A62">
        <w:rPr>
          <w:lang w:val="en-US"/>
        </w:rPr>
        <w:t>.⁸⁷</w:t>
      </w:r>
      <w:r>
        <w:rPr>
          <w:lang w:val="en-US"/>
        </w:rPr>
        <w:t xml:space="preserve"> </w:t>
      </w:r>
      <w:r>
        <w:rPr>
          <w:rStyle w:val="FootnoteReference"/>
          <w:lang w:val="en-US"/>
        </w:rPr>
        <w:footnoteReference w:id="87"/>
      </w:r>
    </w:p>
    <w:p w14:paraId="4662447F" w14:textId="083E69DD" w:rsidR="00FD2A62" w:rsidRDefault="00FD2A62" w:rsidP="00FD2A62">
      <w:pPr>
        <w:rPr>
          <w:lang w:val="en-US"/>
        </w:rPr>
      </w:pPr>
      <w:r w:rsidRPr="00FD2A62">
        <w:rPr>
          <w:lang w:val="en-US"/>
        </w:rPr>
        <w:t xml:space="preserve">Bir </w:t>
      </w:r>
      <w:proofErr w:type="spellStart"/>
      <w:r w:rsidRPr="00FD2A62">
        <w:rPr>
          <w:lang w:val="en-US"/>
        </w:rPr>
        <w:t>Yargıca</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yazma</w:t>
      </w:r>
      <w:proofErr w:type="spellEnd"/>
      <w:r w:rsidRPr="00FD2A62">
        <w:rPr>
          <w:lang w:val="en-US"/>
        </w:rPr>
        <w:t xml:space="preserve"> </w:t>
      </w:r>
      <w:proofErr w:type="spellStart"/>
      <w:r w:rsidRPr="00FD2A62">
        <w:rPr>
          <w:lang w:val="en-US"/>
        </w:rPr>
        <w:t>görevi</w:t>
      </w:r>
      <w:proofErr w:type="spellEnd"/>
      <w:r w:rsidRPr="00FD2A62">
        <w:rPr>
          <w:lang w:val="en-US"/>
        </w:rPr>
        <w:t xml:space="preserve"> </w:t>
      </w:r>
      <w:proofErr w:type="spellStart"/>
      <w:r w:rsidRPr="00FD2A62">
        <w:rPr>
          <w:lang w:val="en-US"/>
        </w:rPr>
        <w:t>verildiğinde</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Yargıç</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davada</w:t>
      </w:r>
      <w:proofErr w:type="spellEnd"/>
      <w:r w:rsidRPr="00FD2A62">
        <w:rPr>
          <w:lang w:val="en-US"/>
        </w:rPr>
        <w:t xml:space="preserve"> </w:t>
      </w:r>
      <w:proofErr w:type="spellStart"/>
      <w:r w:rsidRPr="00FD2A62">
        <w:rPr>
          <w:lang w:val="en-US"/>
        </w:rPr>
        <w:t>ayrı</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yazmayı</w:t>
      </w:r>
      <w:proofErr w:type="spellEnd"/>
      <w:r w:rsidRPr="00FD2A62">
        <w:rPr>
          <w:lang w:val="en-US"/>
        </w:rPr>
        <w:t xml:space="preserve"> </w:t>
      </w:r>
      <w:proofErr w:type="spellStart"/>
      <w:r w:rsidRPr="00FD2A62">
        <w:rPr>
          <w:lang w:val="en-US"/>
        </w:rPr>
        <w:t>tercih</w:t>
      </w:r>
      <w:proofErr w:type="spellEnd"/>
      <w:r w:rsidRPr="00FD2A62">
        <w:rPr>
          <w:lang w:val="en-US"/>
        </w:rPr>
        <w:t xml:space="preserve"> </w:t>
      </w:r>
      <w:proofErr w:type="spellStart"/>
      <w:r w:rsidRPr="00FD2A62">
        <w:rPr>
          <w:lang w:val="en-US"/>
        </w:rPr>
        <w:t>ettiğinde</w:t>
      </w:r>
      <w:proofErr w:type="spellEnd"/>
      <w:r w:rsidRPr="00FD2A62">
        <w:rPr>
          <w:lang w:val="en-US"/>
        </w:rPr>
        <w:t xml:space="preserve">, </w:t>
      </w:r>
      <w:proofErr w:type="spellStart"/>
      <w:r w:rsidRPr="00FD2A62">
        <w:rPr>
          <w:lang w:val="en-US"/>
        </w:rPr>
        <w:t>odasındaki</w:t>
      </w:r>
      <w:proofErr w:type="spellEnd"/>
      <w:r w:rsidRPr="00FD2A62">
        <w:rPr>
          <w:lang w:val="en-US"/>
        </w:rPr>
        <w:t xml:space="preserve"> </w:t>
      </w:r>
      <w:proofErr w:type="spellStart"/>
      <w:r w:rsidRPr="00FD2A62">
        <w:rPr>
          <w:lang w:val="en-US"/>
        </w:rPr>
        <w:t>dinamikler</w:t>
      </w:r>
      <w:proofErr w:type="spellEnd"/>
      <w:r w:rsidRPr="00FD2A62">
        <w:rPr>
          <w:lang w:val="en-US"/>
        </w:rPr>
        <w:t xml:space="preserve"> </w:t>
      </w:r>
      <w:proofErr w:type="spellStart"/>
      <w:r w:rsidRPr="00FD2A62">
        <w:rPr>
          <w:lang w:val="en-US"/>
        </w:rPr>
        <w:t>görüşün</w:t>
      </w:r>
      <w:proofErr w:type="spellEnd"/>
      <w:r w:rsidRPr="00FD2A62">
        <w:rPr>
          <w:lang w:val="en-US"/>
        </w:rPr>
        <w:t xml:space="preserve"> </w:t>
      </w:r>
      <w:proofErr w:type="spellStart"/>
      <w:r w:rsidRPr="00FD2A62">
        <w:rPr>
          <w:lang w:val="en-US"/>
        </w:rPr>
        <w:t>biçimini</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içeriğini</w:t>
      </w:r>
      <w:proofErr w:type="spellEnd"/>
      <w:r w:rsidRPr="00FD2A62">
        <w:rPr>
          <w:lang w:val="en-US"/>
        </w:rPr>
        <w:t xml:space="preserve"> </w:t>
      </w:r>
      <w:proofErr w:type="spellStart"/>
      <w:r w:rsidRPr="00FD2A62">
        <w:rPr>
          <w:lang w:val="en-US"/>
        </w:rPr>
        <w:t>etkiler</w:t>
      </w:r>
      <w:proofErr w:type="spellEnd"/>
      <w:r w:rsidRPr="00FD2A62">
        <w:rPr>
          <w:lang w:val="en-US"/>
        </w:rPr>
        <w:t xml:space="preserve">. </w:t>
      </w:r>
      <w:proofErr w:type="spellStart"/>
      <w:r w:rsidRPr="00FD2A62">
        <w:rPr>
          <w:lang w:val="en-US"/>
        </w:rPr>
        <w:t>Yargıcın</w:t>
      </w:r>
      <w:proofErr w:type="spellEnd"/>
      <w:r w:rsidRPr="00FD2A62">
        <w:rPr>
          <w:lang w:val="en-US"/>
        </w:rPr>
        <w:t xml:space="preserve"> ilk </w:t>
      </w:r>
      <w:proofErr w:type="spellStart"/>
      <w:r w:rsidRPr="00FD2A62">
        <w:rPr>
          <w:lang w:val="en-US"/>
        </w:rPr>
        <w:t>taslağı</w:t>
      </w:r>
      <w:proofErr w:type="spellEnd"/>
      <w:r w:rsidRPr="00FD2A62">
        <w:rPr>
          <w:lang w:val="en-US"/>
        </w:rPr>
        <w:t xml:space="preserve"> </w:t>
      </w:r>
      <w:proofErr w:type="spellStart"/>
      <w:r w:rsidRPr="00FD2A62">
        <w:rPr>
          <w:lang w:val="en-US"/>
        </w:rPr>
        <w:t>kendisinin</w:t>
      </w:r>
      <w:proofErr w:type="spellEnd"/>
      <w:r w:rsidRPr="00FD2A62">
        <w:rPr>
          <w:lang w:val="en-US"/>
        </w:rPr>
        <w:t xml:space="preserve"> </w:t>
      </w:r>
      <w:proofErr w:type="spellStart"/>
      <w:r w:rsidRPr="00FD2A62">
        <w:rPr>
          <w:lang w:val="en-US"/>
        </w:rPr>
        <w:t>yazıp</w:t>
      </w:r>
      <w:proofErr w:type="spellEnd"/>
      <w:r w:rsidRPr="00FD2A62">
        <w:rPr>
          <w:lang w:val="en-US"/>
        </w:rPr>
        <w:t xml:space="preserve"> </w:t>
      </w:r>
      <w:proofErr w:type="spellStart"/>
      <w:r w:rsidRPr="00FD2A62">
        <w:rPr>
          <w:lang w:val="en-US"/>
        </w:rPr>
        <w:t>yazmadığından</w:t>
      </w:r>
      <w:proofErr w:type="spellEnd"/>
      <w:r w:rsidRPr="00FD2A62">
        <w:rPr>
          <w:lang w:val="en-US"/>
        </w:rPr>
        <w:t xml:space="preserve"> </w:t>
      </w:r>
      <w:proofErr w:type="spellStart"/>
      <w:r w:rsidRPr="00FD2A62">
        <w:rPr>
          <w:lang w:val="en-US"/>
        </w:rPr>
        <w:t>bağımsız</w:t>
      </w:r>
      <w:proofErr w:type="spellEnd"/>
      <w:r w:rsidRPr="00FD2A62">
        <w:rPr>
          <w:lang w:val="en-US"/>
        </w:rPr>
        <w:t xml:space="preserve"> </w:t>
      </w:r>
      <w:proofErr w:type="spellStart"/>
      <w:r w:rsidRPr="00FD2A62">
        <w:rPr>
          <w:lang w:val="en-US"/>
        </w:rPr>
        <w:t>olarak</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bu</w:t>
      </w:r>
      <w:proofErr w:type="spellEnd"/>
      <w:r w:rsidRPr="00FD2A62">
        <w:rPr>
          <w:lang w:val="en-US"/>
        </w:rPr>
        <w:t xml:space="preserve"> </w:t>
      </w:r>
      <w:proofErr w:type="spellStart"/>
      <w:r w:rsidRPr="00FD2A62">
        <w:rPr>
          <w:lang w:val="en-US"/>
        </w:rPr>
        <w:t>görevi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katibe</w:t>
      </w:r>
      <w:proofErr w:type="spellEnd"/>
      <w:r w:rsidRPr="00FD2A62">
        <w:rPr>
          <w:lang w:val="en-US"/>
        </w:rPr>
        <w:t xml:space="preserve"> </w:t>
      </w:r>
      <w:proofErr w:type="spellStart"/>
      <w:r w:rsidRPr="00FD2A62">
        <w:rPr>
          <w:lang w:val="en-US"/>
        </w:rPr>
        <w:t>emanet</w:t>
      </w:r>
      <w:proofErr w:type="spellEnd"/>
      <w:r w:rsidRPr="00FD2A62">
        <w:rPr>
          <w:lang w:val="en-US"/>
        </w:rPr>
        <w:t xml:space="preserve"> </w:t>
      </w:r>
      <w:proofErr w:type="spellStart"/>
      <w:r w:rsidRPr="00FD2A62">
        <w:rPr>
          <w:lang w:val="en-US"/>
        </w:rPr>
        <w:t>etmesi</w:t>
      </w:r>
      <w:proofErr w:type="spellEnd"/>
      <w:r w:rsidRPr="00FD2A62">
        <w:rPr>
          <w:lang w:val="en-US"/>
        </w:rPr>
        <w:t xml:space="preserve"> </w:t>
      </w:r>
      <w:proofErr w:type="spellStart"/>
      <w:r w:rsidRPr="00FD2A62">
        <w:rPr>
          <w:lang w:val="en-US"/>
        </w:rPr>
        <w:t>durumunda</w:t>
      </w:r>
      <w:proofErr w:type="spellEnd"/>
      <w:r w:rsidRPr="00FD2A62">
        <w:rPr>
          <w:lang w:val="en-US"/>
        </w:rPr>
        <w:t xml:space="preserve"> </w:t>
      </w:r>
      <w:proofErr w:type="spellStart"/>
      <w:r w:rsidRPr="00FD2A62">
        <w:rPr>
          <w:lang w:val="en-US"/>
        </w:rPr>
        <w:t>dahi</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taslağı</w:t>
      </w:r>
      <w:proofErr w:type="spellEnd"/>
      <w:r w:rsidRPr="00FD2A62">
        <w:rPr>
          <w:lang w:val="en-US"/>
        </w:rPr>
        <w:t xml:space="preserve"> </w:t>
      </w:r>
      <w:proofErr w:type="spellStart"/>
      <w:r w:rsidRPr="00FD2A62">
        <w:rPr>
          <w:lang w:val="en-US"/>
        </w:rPr>
        <w:t>oluşturma</w:t>
      </w:r>
      <w:proofErr w:type="spellEnd"/>
      <w:r w:rsidRPr="00FD2A62">
        <w:rPr>
          <w:lang w:val="en-US"/>
        </w:rPr>
        <w:t xml:space="preserve"> </w:t>
      </w:r>
      <w:proofErr w:type="spellStart"/>
      <w:r w:rsidRPr="00FD2A62">
        <w:rPr>
          <w:lang w:val="en-US"/>
        </w:rPr>
        <w:t>süreci</w:t>
      </w:r>
      <w:proofErr w:type="spellEnd"/>
      <w:r w:rsidRPr="00FD2A62">
        <w:rPr>
          <w:lang w:val="en-US"/>
        </w:rPr>
        <w:t xml:space="preserve"> </w:t>
      </w:r>
      <w:proofErr w:type="spellStart"/>
      <w:r w:rsidRPr="00FD2A62">
        <w:rPr>
          <w:lang w:val="en-US"/>
        </w:rPr>
        <w:t>neredeyse</w:t>
      </w:r>
      <w:proofErr w:type="spellEnd"/>
      <w:r w:rsidRPr="00FD2A62">
        <w:rPr>
          <w:lang w:val="en-US"/>
        </w:rPr>
        <w:t xml:space="preserve"> her zaman </w:t>
      </w:r>
      <w:proofErr w:type="spellStart"/>
      <w:r w:rsidRPr="00FD2A62">
        <w:rPr>
          <w:lang w:val="en-US"/>
        </w:rPr>
        <w:t>taslakların</w:t>
      </w:r>
      <w:proofErr w:type="spellEnd"/>
      <w:r w:rsidRPr="00FD2A62">
        <w:rPr>
          <w:lang w:val="en-US"/>
        </w:rPr>
        <w:t xml:space="preserve"> </w:t>
      </w:r>
      <w:proofErr w:type="spellStart"/>
      <w:r w:rsidRPr="00FD2A62">
        <w:rPr>
          <w:lang w:val="en-US"/>
        </w:rPr>
        <w:t>tekrar</w:t>
      </w:r>
      <w:proofErr w:type="spellEnd"/>
      <w:r w:rsidRPr="00FD2A62">
        <w:rPr>
          <w:lang w:val="en-US"/>
        </w:rPr>
        <w:t xml:space="preserve"> </w:t>
      </w:r>
      <w:proofErr w:type="spellStart"/>
      <w:r w:rsidRPr="00FD2A62">
        <w:rPr>
          <w:lang w:val="en-US"/>
        </w:rPr>
        <w:t>tekrar</w:t>
      </w:r>
      <w:proofErr w:type="spellEnd"/>
      <w:r w:rsidRPr="00FD2A62">
        <w:rPr>
          <w:lang w:val="en-US"/>
        </w:rPr>
        <w:t xml:space="preserve"> </w:t>
      </w:r>
      <w:proofErr w:type="spellStart"/>
      <w:r w:rsidRPr="00FD2A62">
        <w:rPr>
          <w:lang w:val="en-US"/>
        </w:rPr>
        <w:t>gözden</w:t>
      </w:r>
      <w:proofErr w:type="spellEnd"/>
      <w:r w:rsidRPr="00FD2A62">
        <w:rPr>
          <w:lang w:val="en-US"/>
        </w:rPr>
        <w:t xml:space="preserve"> </w:t>
      </w:r>
      <w:proofErr w:type="spellStart"/>
      <w:r w:rsidRPr="00FD2A62">
        <w:rPr>
          <w:lang w:val="en-US"/>
        </w:rPr>
        <w:t>geçirilmesini</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yazar</w:t>
      </w:r>
      <w:proofErr w:type="spellEnd"/>
      <w:r w:rsidRPr="00FD2A62">
        <w:rPr>
          <w:lang w:val="en-US"/>
        </w:rPr>
        <w:t xml:space="preserve"> </w:t>
      </w:r>
      <w:proofErr w:type="spellStart"/>
      <w:r w:rsidRPr="00FD2A62">
        <w:rPr>
          <w:lang w:val="en-US"/>
        </w:rPr>
        <w:t>ile</w:t>
      </w:r>
      <w:proofErr w:type="spellEnd"/>
      <w:r w:rsidRPr="00FD2A62">
        <w:rPr>
          <w:lang w:val="en-US"/>
        </w:rPr>
        <w:t xml:space="preserve"> </w:t>
      </w:r>
      <w:proofErr w:type="spellStart"/>
      <w:r w:rsidRPr="00FD2A62">
        <w:rPr>
          <w:lang w:val="en-US"/>
        </w:rPr>
        <w:t>editör</w:t>
      </w:r>
      <w:proofErr w:type="spellEnd"/>
      <w:r w:rsidRPr="00FD2A62">
        <w:rPr>
          <w:lang w:val="en-US"/>
        </w:rPr>
        <w:t xml:space="preserve"> </w:t>
      </w:r>
      <w:proofErr w:type="spellStart"/>
      <w:r w:rsidRPr="00FD2A62">
        <w:rPr>
          <w:lang w:val="en-US"/>
        </w:rPr>
        <w:t>arasındaki</w:t>
      </w:r>
      <w:proofErr w:type="spellEnd"/>
      <w:r w:rsidRPr="00FD2A62">
        <w:rPr>
          <w:lang w:val="en-US"/>
        </w:rPr>
        <w:t xml:space="preserve"> </w:t>
      </w:r>
      <w:proofErr w:type="spellStart"/>
      <w:r w:rsidRPr="00FD2A62">
        <w:rPr>
          <w:lang w:val="en-US"/>
        </w:rPr>
        <w:t>ritüel</w:t>
      </w:r>
      <w:proofErr w:type="spellEnd"/>
      <w:r w:rsidRPr="00FD2A62">
        <w:rPr>
          <w:lang w:val="en-US"/>
        </w:rPr>
        <w:t xml:space="preserve"> </w:t>
      </w:r>
      <w:proofErr w:type="spellStart"/>
      <w:r w:rsidRPr="00FD2A62">
        <w:rPr>
          <w:lang w:val="en-US"/>
        </w:rPr>
        <w:t>niteliğindeki</w:t>
      </w:r>
      <w:proofErr w:type="spellEnd"/>
      <w:r w:rsidRPr="00FD2A62">
        <w:rPr>
          <w:lang w:val="en-US"/>
        </w:rPr>
        <w:t xml:space="preserve"> </w:t>
      </w:r>
      <w:proofErr w:type="spellStart"/>
      <w:r w:rsidRPr="00FD2A62">
        <w:rPr>
          <w:lang w:val="en-US"/>
        </w:rPr>
        <w:t>geri</w:t>
      </w:r>
      <w:proofErr w:type="spellEnd"/>
      <w:r w:rsidRPr="00FD2A62">
        <w:rPr>
          <w:lang w:val="en-US"/>
        </w:rPr>
        <w:t xml:space="preserve"> </w:t>
      </w:r>
      <w:proofErr w:type="spellStart"/>
      <w:r w:rsidRPr="00FD2A62">
        <w:rPr>
          <w:lang w:val="en-US"/>
        </w:rPr>
        <w:t>dönüşleri</w:t>
      </w:r>
      <w:proofErr w:type="spellEnd"/>
      <w:r w:rsidRPr="00FD2A62">
        <w:rPr>
          <w:lang w:val="en-US"/>
        </w:rPr>
        <w:t xml:space="preserve"> </w:t>
      </w:r>
      <w:proofErr w:type="spellStart"/>
      <w:r w:rsidRPr="00FD2A62">
        <w:rPr>
          <w:lang w:val="en-US"/>
        </w:rPr>
        <w:t>içerir</w:t>
      </w:r>
      <w:proofErr w:type="spellEnd"/>
      <w:r w:rsidRPr="00FD2A62">
        <w:rPr>
          <w:lang w:val="en-US"/>
        </w:rPr>
        <w:t xml:space="preserve">. Bu </w:t>
      </w:r>
      <w:proofErr w:type="spellStart"/>
      <w:r w:rsidRPr="00FD2A62">
        <w:rPr>
          <w:lang w:val="en-US"/>
        </w:rPr>
        <w:t>süreç</w:t>
      </w:r>
      <w:proofErr w:type="spellEnd"/>
      <w:r w:rsidRPr="00FD2A62">
        <w:rPr>
          <w:lang w:val="en-US"/>
        </w:rPr>
        <w:t xml:space="preserve"> </w:t>
      </w:r>
      <w:proofErr w:type="spellStart"/>
      <w:r w:rsidRPr="00FD2A62">
        <w:rPr>
          <w:lang w:val="en-US"/>
        </w:rPr>
        <w:t>bazen</w:t>
      </w:r>
      <w:proofErr w:type="spellEnd"/>
      <w:r w:rsidRPr="00FD2A62">
        <w:rPr>
          <w:lang w:val="en-US"/>
        </w:rPr>
        <w:t xml:space="preserve"> </w:t>
      </w:r>
      <w:proofErr w:type="spellStart"/>
      <w:r w:rsidRPr="00FD2A62">
        <w:rPr>
          <w:lang w:val="en-US"/>
        </w:rPr>
        <w:t>özenli</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kusursuz</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üsluba</w:t>
      </w:r>
      <w:proofErr w:type="spellEnd"/>
      <w:r w:rsidRPr="00FD2A62">
        <w:rPr>
          <w:lang w:val="en-US"/>
        </w:rPr>
        <w:t xml:space="preserve"> </w:t>
      </w:r>
      <w:proofErr w:type="spellStart"/>
      <w:r w:rsidRPr="00FD2A62">
        <w:rPr>
          <w:lang w:val="en-US"/>
        </w:rPr>
        <w:t>yol</w:t>
      </w:r>
      <w:proofErr w:type="spellEnd"/>
      <w:r w:rsidRPr="00FD2A62">
        <w:rPr>
          <w:lang w:val="en-US"/>
        </w:rPr>
        <w:t xml:space="preserve"> </w:t>
      </w:r>
      <w:proofErr w:type="spellStart"/>
      <w:r w:rsidRPr="00FD2A62">
        <w:rPr>
          <w:lang w:val="en-US"/>
        </w:rPr>
        <w:t>açarken</w:t>
      </w:r>
      <w:proofErr w:type="spellEnd"/>
      <w:r w:rsidRPr="00FD2A62">
        <w:rPr>
          <w:lang w:val="en-US"/>
        </w:rPr>
        <w:t xml:space="preserve">, </w:t>
      </w:r>
      <w:proofErr w:type="spellStart"/>
      <w:r w:rsidRPr="00FD2A62">
        <w:rPr>
          <w:lang w:val="en-US"/>
        </w:rPr>
        <w:t>bazen</w:t>
      </w:r>
      <w:proofErr w:type="spellEnd"/>
      <w:r w:rsidRPr="00FD2A62">
        <w:rPr>
          <w:lang w:val="en-US"/>
        </w:rPr>
        <w:t xml:space="preserve"> de </w:t>
      </w:r>
      <w:proofErr w:type="spellStart"/>
      <w:r w:rsidRPr="00FD2A62">
        <w:rPr>
          <w:lang w:val="en-US"/>
        </w:rPr>
        <w:t>komite</w:t>
      </w:r>
      <w:proofErr w:type="spellEnd"/>
      <w:r w:rsidRPr="00FD2A62">
        <w:rPr>
          <w:lang w:val="en-US"/>
        </w:rPr>
        <w:t xml:space="preserve"> </w:t>
      </w:r>
      <w:proofErr w:type="spellStart"/>
      <w:r w:rsidRPr="00FD2A62">
        <w:rPr>
          <w:lang w:val="en-US"/>
        </w:rPr>
        <w:t>tarafından</w:t>
      </w:r>
      <w:proofErr w:type="spellEnd"/>
      <w:r w:rsidRPr="00FD2A62">
        <w:rPr>
          <w:lang w:val="en-US"/>
        </w:rPr>
        <w:t xml:space="preserve"> </w:t>
      </w:r>
      <w:proofErr w:type="spellStart"/>
      <w:r w:rsidRPr="00FD2A62">
        <w:rPr>
          <w:lang w:val="en-US"/>
        </w:rPr>
        <w:t>yazılmış</w:t>
      </w:r>
      <w:proofErr w:type="spellEnd"/>
      <w:r w:rsidRPr="00FD2A62">
        <w:rPr>
          <w:lang w:val="en-US"/>
        </w:rPr>
        <w:t xml:space="preserve"> </w:t>
      </w:r>
      <w:proofErr w:type="spellStart"/>
      <w:r w:rsidRPr="00FD2A62">
        <w:rPr>
          <w:lang w:val="en-US"/>
        </w:rPr>
        <w:t>izlenimi</w:t>
      </w:r>
      <w:proofErr w:type="spellEnd"/>
      <w:r w:rsidRPr="00FD2A62">
        <w:rPr>
          <w:lang w:val="en-US"/>
        </w:rPr>
        <w:t xml:space="preserve"> </w:t>
      </w:r>
      <w:proofErr w:type="spellStart"/>
      <w:r w:rsidRPr="00FD2A62">
        <w:rPr>
          <w:lang w:val="en-US"/>
        </w:rPr>
        <w:t>veren</w:t>
      </w:r>
      <w:proofErr w:type="spellEnd"/>
      <w:r w:rsidRPr="00FD2A62">
        <w:rPr>
          <w:lang w:val="en-US"/>
        </w:rPr>
        <w:t xml:space="preserve"> </w:t>
      </w:r>
      <w:proofErr w:type="spellStart"/>
      <w:r w:rsidRPr="00FD2A62">
        <w:rPr>
          <w:lang w:val="en-US"/>
        </w:rPr>
        <w:lastRenderedPageBreak/>
        <w:t>metinlerin</w:t>
      </w:r>
      <w:proofErr w:type="spellEnd"/>
      <w:r w:rsidRPr="00FD2A62">
        <w:rPr>
          <w:lang w:val="en-US"/>
        </w:rPr>
        <w:t xml:space="preserve"> </w:t>
      </w:r>
      <w:proofErr w:type="spellStart"/>
      <w:r w:rsidRPr="00FD2A62">
        <w:rPr>
          <w:lang w:val="en-US"/>
        </w:rPr>
        <w:t>ortaya</w:t>
      </w:r>
      <w:proofErr w:type="spellEnd"/>
      <w:r w:rsidRPr="00FD2A62">
        <w:rPr>
          <w:lang w:val="en-US"/>
        </w:rPr>
        <w:t xml:space="preserve"> </w:t>
      </w:r>
      <w:proofErr w:type="spellStart"/>
      <w:r w:rsidRPr="00FD2A62">
        <w:rPr>
          <w:lang w:val="en-US"/>
        </w:rPr>
        <w:t>çıkmasına</w:t>
      </w:r>
      <w:proofErr w:type="spellEnd"/>
      <w:r w:rsidRPr="00FD2A62">
        <w:rPr>
          <w:lang w:val="en-US"/>
        </w:rPr>
        <w:t xml:space="preserve"> </w:t>
      </w:r>
      <w:proofErr w:type="spellStart"/>
      <w:r w:rsidRPr="00FD2A62">
        <w:rPr>
          <w:lang w:val="en-US"/>
        </w:rPr>
        <w:t>neden</w:t>
      </w:r>
      <w:proofErr w:type="spellEnd"/>
      <w:r w:rsidRPr="00FD2A62">
        <w:rPr>
          <w:lang w:val="en-US"/>
        </w:rPr>
        <w:t xml:space="preserve"> </w:t>
      </w:r>
      <w:proofErr w:type="spellStart"/>
      <w:r w:rsidRPr="00FD2A62">
        <w:rPr>
          <w:lang w:val="en-US"/>
        </w:rPr>
        <w:t>olur</w:t>
      </w:r>
      <w:proofErr w:type="spellEnd"/>
      <w:r w:rsidRPr="00FD2A62">
        <w:rPr>
          <w:lang w:val="en-US"/>
        </w:rPr>
        <w:t>.⁸⁸</w:t>
      </w:r>
      <w:r>
        <w:rPr>
          <w:lang w:val="en-US"/>
        </w:rPr>
        <w:t xml:space="preserve"> </w:t>
      </w:r>
      <w:r>
        <w:rPr>
          <w:rStyle w:val="FootnoteReference"/>
          <w:lang w:val="en-US"/>
        </w:rPr>
        <w:footnoteReference w:id="88"/>
      </w:r>
      <w:r w:rsidRPr="00FD2A62">
        <w:rPr>
          <w:lang w:val="en-US"/>
        </w:rPr>
        <w:t xml:space="preserve"> </w:t>
      </w:r>
      <w:proofErr w:type="spellStart"/>
      <w:r w:rsidRPr="00FD2A62">
        <w:rPr>
          <w:lang w:val="en-US"/>
        </w:rPr>
        <w:t>Yargıçlar</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genç</w:t>
      </w:r>
      <w:proofErr w:type="spellEnd"/>
      <w:r w:rsidRPr="00FD2A62">
        <w:rPr>
          <w:lang w:val="en-US"/>
        </w:rPr>
        <w:t xml:space="preserve"> </w:t>
      </w:r>
      <w:proofErr w:type="spellStart"/>
      <w:r w:rsidRPr="00FD2A62">
        <w:rPr>
          <w:lang w:val="en-US"/>
        </w:rPr>
        <w:t>hukukçulardan</w:t>
      </w:r>
      <w:proofErr w:type="spellEnd"/>
      <w:r w:rsidRPr="00FD2A62">
        <w:rPr>
          <w:lang w:val="en-US"/>
        </w:rPr>
        <w:t xml:space="preserve"> </w:t>
      </w:r>
      <w:proofErr w:type="spellStart"/>
      <w:r w:rsidRPr="00FD2A62">
        <w:rPr>
          <w:lang w:val="en-US"/>
        </w:rPr>
        <w:t>oluşan</w:t>
      </w:r>
      <w:proofErr w:type="spellEnd"/>
      <w:r w:rsidRPr="00FD2A62">
        <w:rPr>
          <w:lang w:val="en-US"/>
        </w:rPr>
        <w:t xml:space="preserve"> </w:t>
      </w:r>
      <w:proofErr w:type="spellStart"/>
      <w:r w:rsidRPr="00FD2A62">
        <w:rPr>
          <w:lang w:val="en-US"/>
        </w:rPr>
        <w:t>ekipleri</w:t>
      </w:r>
      <w:proofErr w:type="spellEnd"/>
      <w:r w:rsidRPr="00FD2A62">
        <w:rPr>
          <w:lang w:val="en-US"/>
        </w:rPr>
        <w:t xml:space="preserve">, </w:t>
      </w:r>
      <w:proofErr w:type="spellStart"/>
      <w:r w:rsidRPr="00FD2A62">
        <w:rPr>
          <w:lang w:val="en-US"/>
        </w:rPr>
        <w:t>sıkı</w:t>
      </w:r>
      <w:proofErr w:type="spellEnd"/>
      <w:r w:rsidRPr="00FD2A62">
        <w:rPr>
          <w:lang w:val="en-US"/>
        </w:rPr>
        <w:t xml:space="preserve"> zaman </w:t>
      </w:r>
      <w:proofErr w:type="spellStart"/>
      <w:r w:rsidRPr="00FD2A62">
        <w:rPr>
          <w:lang w:val="en-US"/>
        </w:rPr>
        <w:t>baskısı</w:t>
      </w:r>
      <w:proofErr w:type="spellEnd"/>
      <w:r w:rsidRPr="00FD2A62">
        <w:rPr>
          <w:lang w:val="en-US"/>
        </w:rPr>
        <w:t xml:space="preserve"> </w:t>
      </w:r>
      <w:proofErr w:type="spellStart"/>
      <w:r w:rsidRPr="00FD2A62">
        <w:rPr>
          <w:lang w:val="en-US"/>
        </w:rPr>
        <w:t>altında</w:t>
      </w:r>
      <w:proofErr w:type="spellEnd"/>
      <w:r w:rsidRPr="00FD2A62">
        <w:rPr>
          <w:lang w:val="en-US"/>
        </w:rPr>
        <w:t xml:space="preserve"> </w:t>
      </w:r>
      <w:proofErr w:type="spellStart"/>
      <w:r w:rsidRPr="00FD2A62">
        <w:rPr>
          <w:lang w:val="en-US"/>
        </w:rPr>
        <w:t>çalışarak</w:t>
      </w:r>
      <w:proofErr w:type="spellEnd"/>
      <w:r w:rsidRPr="00FD2A62">
        <w:rPr>
          <w:lang w:val="en-US"/>
        </w:rPr>
        <w:t xml:space="preserve"> </w:t>
      </w:r>
      <w:proofErr w:type="spellStart"/>
      <w:r w:rsidRPr="00FD2A62">
        <w:rPr>
          <w:lang w:val="en-US"/>
        </w:rPr>
        <w:t>görüşleri</w:t>
      </w:r>
      <w:proofErr w:type="spellEnd"/>
      <w:r w:rsidRPr="00FD2A62">
        <w:rPr>
          <w:lang w:val="en-US"/>
        </w:rPr>
        <w:t xml:space="preserve"> </w:t>
      </w:r>
      <w:proofErr w:type="spellStart"/>
      <w:r w:rsidRPr="00FD2A62">
        <w:rPr>
          <w:lang w:val="en-US"/>
        </w:rPr>
        <w:t>tamamlamaya</w:t>
      </w:r>
      <w:proofErr w:type="spellEnd"/>
      <w:r w:rsidRPr="00FD2A62">
        <w:rPr>
          <w:lang w:val="en-US"/>
        </w:rPr>
        <w:t xml:space="preserve">, </w:t>
      </w:r>
      <w:proofErr w:type="spellStart"/>
      <w:r w:rsidRPr="00FD2A62">
        <w:rPr>
          <w:lang w:val="en-US"/>
        </w:rPr>
        <w:t>diğer</w:t>
      </w:r>
      <w:proofErr w:type="spellEnd"/>
      <w:r w:rsidRPr="00FD2A62">
        <w:rPr>
          <w:lang w:val="en-US"/>
        </w:rPr>
        <w:t xml:space="preserve"> </w:t>
      </w:r>
      <w:proofErr w:type="spellStart"/>
      <w:r w:rsidRPr="00FD2A62">
        <w:rPr>
          <w:lang w:val="en-US"/>
        </w:rPr>
        <w:t>Yargıçları</w:t>
      </w:r>
      <w:proofErr w:type="spellEnd"/>
      <w:r w:rsidRPr="00FD2A62">
        <w:rPr>
          <w:lang w:val="en-US"/>
        </w:rPr>
        <w:t xml:space="preserve"> </w:t>
      </w:r>
      <w:proofErr w:type="spellStart"/>
      <w:r w:rsidRPr="00FD2A62">
        <w:rPr>
          <w:lang w:val="en-US"/>
        </w:rPr>
        <w:t>ikna</w:t>
      </w:r>
      <w:proofErr w:type="spellEnd"/>
      <w:r w:rsidRPr="00FD2A62">
        <w:rPr>
          <w:lang w:val="en-US"/>
        </w:rPr>
        <w:t xml:space="preserve"> </w:t>
      </w:r>
      <w:proofErr w:type="spellStart"/>
      <w:r w:rsidRPr="00FD2A62">
        <w:rPr>
          <w:lang w:val="en-US"/>
        </w:rPr>
        <w:t>etmeye</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diğer</w:t>
      </w:r>
      <w:proofErr w:type="spellEnd"/>
      <w:r w:rsidRPr="00FD2A62">
        <w:rPr>
          <w:lang w:val="en-US"/>
        </w:rPr>
        <w:t xml:space="preserve"> </w:t>
      </w:r>
      <w:proofErr w:type="spellStart"/>
      <w:r w:rsidRPr="00FD2A62">
        <w:rPr>
          <w:lang w:val="en-US"/>
        </w:rPr>
        <w:t>görüşlerden</w:t>
      </w:r>
      <w:proofErr w:type="spellEnd"/>
      <w:r w:rsidRPr="00FD2A62">
        <w:rPr>
          <w:lang w:val="en-US"/>
        </w:rPr>
        <w:t xml:space="preserve"> </w:t>
      </w:r>
      <w:proofErr w:type="spellStart"/>
      <w:r w:rsidRPr="00FD2A62">
        <w:rPr>
          <w:lang w:val="en-US"/>
        </w:rPr>
        <w:t>gelen</w:t>
      </w:r>
      <w:proofErr w:type="spellEnd"/>
      <w:r w:rsidRPr="00FD2A62">
        <w:rPr>
          <w:lang w:val="en-US"/>
        </w:rPr>
        <w:t xml:space="preserve"> </w:t>
      </w:r>
      <w:proofErr w:type="spellStart"/>
      <w:r w:rsidRPr="00FD2A62">
        <w:rPr>
          <w:lang w:val="en-US"/>
        </w:rPr>
        <w:t>eleştirilere</w:t>
      </w:r>
      <w:proofErr w:type="spellEnd"/>
      <w:r w:rsidRPr="00FD2A62">
        <w:rPr>
          <w:lang w:val="en-US"/>
        </w:rPr>
        <w:t xml:space="preserve"> </w:t>
      </w:r>
      <w:proofErr w:type="spellStart"/>
      <w:r w:rsidRPr="00FD2A62">
        <w:rPr>
          <w:lang w:val="en-US"/>
        </w:rPr>
        <w:t>yanıt</w:t>
      </w:r>
      <w:proofErr w:type="spellEnd"/>
      <w:r w:rsidRPr="00FD2A62">
        <w:rPr>
          <w:lang w:val="en-US"/>
        </w:rPr>
        <w:t xml:space="preserve"> </w:t>
      </w:r>
      <w:proofErr w:type="spellStart"/>
      <w:r w:rsidRPr="00FD2A62">
        <w:rPr>
          <w:lang w:val="en-US"/>
        </w:rPr>
        <w:t>vermeye</w:t>
      </w:r>
      <w:proofErr w:type="spellEnd"/>
      <w:r w:rsidRPr="00FD2A62">
        <w:rPr>
          <w:lang w:val="en-US"/>
        </w:rPr>
        <w:t xml:space="preserve"> </w:t>
      </w:r>
      <w:proofErr w:type="spellStart"/>
      <w:r w:rsidRPr="00FD2A62">
        <w:rPr>
          <w:lang w:val="en-US"/>
        </w:rPr>
        <w:t>çabalarken</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oluşturma</w:t>
      </w:r>
      <w:proofErr w:type="spellEnd"/>
      <w:r w:rsidRPr="00FD2A62">
        <w:rPr>
          <w:lang w:val="en-US"/>
        </w:rPr>
        <w:t xml:space="preserve"> </w:t>
      </w:r>
      <w:proofErr w:type="spellStart"/>
      <w:r w:rsidRPr="00FD2A62">
        <w:rPr>
          <w:lang w:val="en-US"/>
        </w:rPr>
        <w:t>süreci</w:t>
      </w:r>
      <w:proofErr w:type="spellEnd"/>
      <w:r w:rsidRPr="00FD2A62">
        <w:rPr>
          <w:lang w:val="en-US"/>
        </w:rPr>
        <w:t xml:space="preserve"> </w:t>
      </w:r>
      <w:proofErr w:type="spellStart"/>
      <w:r w:rsidRPr="00FD2A62">
        <w:rPr>
          <w:lang w:val="en-US"/>
        </w:rPr>
        <w:t>sıklıkla</w:t>
      </w:r>
      <w:proofErr w:type="spellEnd"/>
      <w:r w:rsidRPr="00FD2A62">
        <w:rPr>
          <w:lang w:val="en-US"/>
        </w:rPr>
        <w:t xml:space="preserve">, </w:t>
      </w:r>
      <w:proofErr w:type="spellStart"/>
      <w:r w:rsidRPr="00FD2A62">
        <w:rPr>
          <w:lang w:val="en-US"/>
        </w:rPr>
        <w:t>dokuz</w:t>
      </w:r>
      <w:proofErr w:type="spellEnd"/>
      <w:r w:rsidRPr="00FD2A62">
        <w:rPr>
          <w:lang w:val="en-US"/>
        </w:rPr>
        <w:t xml:space="preserve"> </w:t>
      </w:r>
      <w:proofErr w:type="spellStart"/>
      <w:r w:rsidRPr="00FD2A62">
        <w:rPr>
          <w:lang w:val="en-US"/>
        </w:rPr>
        <w:t>ideolojik</w:t>
      </w:r>
      <w:proofErr w:type="spellEnd"/>
      <w:r w:rsidRPr="00FD2A62">
        <w:rPr>
          <w:lang w:val="en-US"/>
        </w:rPr>
        <w:t xml:space="preserve"> </w:t>
      </w:r>
      <w:proofErr w:type="spellStart"/>
      <w:r w:rsidRPr="00FD2A62">
        <w:rPr>
          <w:lang w:val="en-US"/>
        </w:rPr>
        <w:t>olarak</w:t>
      </w:r>
      <w:proofErr w:type="spellEnd"/>
      <w:r w:rsidRPr="00FD2A62">
        <w:rPr>
          <w:lang w:val="en-US"/>
        </w:rPr>
        <w:t xml:space="preserve"> </w:t>
      </w:r>
      <w:proofErr w:type="spellStart"/>
      <w:r w:rsidRPr="00FD2A62">
        <w:rPr>
          <w:lang w:val="en-US"/>
        </w:rPr>
        <w:t>farklı</w:t>
      </w:r>
      <w:proofErr w:type="spellEnd"/>
      <w:r w:rsidRPr="00FD2A62">
        <w:rPr>
          <w:lang w:val="en-US"/>
        </w:rPr>
        <w:t xml:space="preserve"> </w:t>
      </w:r>
      <w:proofErr w:type="spellStart"/>
      <w:r w:rsidRPr="00FD2A62">
        <w:rPr>
          <w:lang w:val="en-US"/>
        </w:rPr>
        <w:t>meslektaşın</w:t>
      </w:r>
      <w:proofErr w:type="spellEnd"/>
      <w:r w:rsidRPr="00FD2A62">
        <w:rPr>
          <w:lang w:val="en-US"/>
        </w:rPr>
        <w:t xml:space="preserve"> </w:t>
      </w:r>
      <w:proofErr w:type="spellStart"/>
      <w:r w:rsidRPr="00FD2A62">
        <w:rPr>
          <w:lang w:val="en-US"/>
        </w:rPr>
        <w:t>ortak</w:t>
      </w:r>
      <w:proofErr w:type="spellEnd"/>
      <w:r w:rsidRPr="00FD2A62">
        <w:rPr>
          <w:lang w:val="en-US"/>
        </w:rPr>
        <w:t xml:space="preserve"> </w:t>
      </w:r>
      <w:proofErr w:type="spellStart"/>
      <w:r w:rsidRPr="00FD2A62">
        <w:rPr>
          <w:lang w:val="en-US"/>
        </w:rPr>
        <w:t>karar</w:t>
      </w:r>
      <w:proofErr w:type="spellEnd"/>
      <w:r w:rsidRPr="00FD2A62">
        <w:rPr>
          <w:lang w:val="en-US"/>
        </w:rPr>
        <w:t xml:space="preserve"> alma </w:t>
      </w:r>
      <w:proofErr w:type="spellStart"/>
      <w:r w:rsidRPr="00FD2A62">
        <w:rPr>
          <w:lang w:val="en-US"/>
        </w:rPr>
        <w:t>sürecinden</w:t>
      </w:r>
      <w:proofErr w:type="spellEnd"/>
      <w:r w:rsidRPr="00FD2A62">
        <w:rPr>
          <w:lang w:val="en-US"/>
        </w:rPr>
        <w:t xml:space="preserve"> </w:t>
      </w:r>
      <w:proofErr w:type="spellStart"/>
      <w:r w:rsidRPr="00FD2A62">
        <w:rPr>
          <w:lang w:val="en-US"/>
        </w:rPr>
        <w:t>çok</w:t>
      </w:r>
      <w:proofErr w:type="spellEnd"/>
      <w:r w:rsidRPr="00FD2A62">
        <w:rPr>
          <w:lang w:val="en-US"/>
        </w:rPr>
        <w:t xml:space="preserve">, </w:t>
      </w:r>
      <w:proofErr w:type="spellStart"/>
      <w:r w:rsidRPr="00FD2A62">
        <w:rPr>
          <w:lang w:val="en-US"/>
        </w:rPr>
        <w:t>benzer</w:t>
      </w:r>
      <w:proofErr w:type="spellEnd"/>
      <w:r w:rsidRPr="00FD2A62">
        <w:rPr>
          <w:lang w:val="en-US"/>
        </w:rPr>
        <w:t xml:space="preserve"> </w:t>
      </w:r>
      <w:proofErr w:type="spellStart"/>
      <w:r w:rsidRPr="00FD2A62">
        <w:rPr>
          <w:lang w:val="en-US"/>
        </w:rPr>
        <w:t>nitelikteki</w:t>
      </w:r>
      <w:proofErr w:type="spellEnd"/>
      <w:r w:rsidRPr="00FD2A62">
        <w:rPr>
          <w:lang w:val="en-US"/>
        </w:rPr>
        <w:t xml:space="preserve"> </w:t>
      </w:r>
      <w:proofErr w:type="spellStart"/>
      <w:r w:rsidRPr="00FD2A62">
        <w:rPr>
          <w:lang w:val="en-US"/>
        </w:rPr>
        <w:t>diğer</w:t>
      </w:r>
      <w:proofErr w:type="spellEnd"/>
      <w:r w:rsidRPr="00FD2A62">
        <w:rPr>
          <w:lang w:val="en-US"/>
        </w:rPr>
        <w:t xml:space="preserve"> </w:t>
      </w:r>
      <w:proofErr w:type="spellStart"/>
      <w:r w:rsidRPr="00FD2A62">
        <w:rPr>
          <w:lang w:val="en-US"/>
        </w:rPr>
        <w:t>hukuk</w:t>
      </w:r>
      <w:proofErr w:type="spellEnd"/>
      <w:r w:rsidRPr="00FD2A62">
        <w:rPr>
          <w:lang w:val="en-US"/>
        </w:rPr>
        <w:t xml:space="preserve"> </w:t>
      </w:r>
      <w:proofErr w:type="spellStart"/>
      <w:r w:rsidRPr="00FD2A62">
        <w:rPr>
          <w:lang w:val="en-US"/>
        </w:rPr>
        <w:t>bürolarını</w:t>
      </w:r>
      <w:proofErr w:type="spellEnd"/>
      <w:r w:rsidRPr="00FD2A62">
        <w:rPr>
          <w:lang w:val="en-US"/>
        </w:rPr>
        <w:t xml:space="preserve"> </w:t>
      </w:r>
      <w:proofErr w:type="spellStart"/>
      <w:r w:rsidRPr="00FD2A62">
        <w:rPr>
          <w:lang w:val="en-US"/>
        </w:rPr>
        <w:t>etkilemeye</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geride</w:t>
      </w:r>
      <w:proofErr w:type="spellEnd"/>
      <w:r w:rsidRPr="00FD2A62">
        <w:rPr>
          <w:lang w:val="en-US"/>
        </w:rPr>
        <w:t xml:space="preserve"> </w:t>
      </w:r>
      <w:proofErr w:type="spellStart"/>
      <w:r w:rsidRPr="00FD2A62">
        <w:rPr>
          <w:lang w:val="en-US"/>
        </w:rPr>
        <w:t>bırakmaya</w:t>
      </w:r>
      <w:proofErr w:type="spellEnd"/>
      <w:r w:rsidRPr="00FD2A62">
        <w:rPr>
          <w:lang w:val="en-US"/>
        </w:rPr>
        <w:t xml:space="preserve"> </w:t>
      </w:r>
      <w:proofErr w:type="spellStart"/>
      <w:r w:rsidRPr="00FD2A62">
        <w:rPr>
          <w:lang w:val="en-US"/>
        </w:rPr>
        <w:t>çalışan</w:t>
      </w:r>
      <w:proofErr w:type="spellEnd"/>
      <w:r w:rsidRPr="00FD2A62">
        <w:rPr>
          <w:lang w:val="en-US"/>
        </w:rPr>
        <w:t xml:space="preserve"> </w:t>
      </w:r>
      <w:proofErr w:type="spellStart"/>
      <w:r w:rsidRPr="00FD2A62">
        <w:rPr>
          <w:lang w:val="en-US"/>
        </w:rPr>
        <w:t>küçük</w:t>
      </w:r>
      <w:proofErr w:type="spellEnd"/>
      <w:r w:rsidRPr="00FD2A62">
        <w:rPr>
          <w:lang w:val="en-US"/>
        </w:rPr>
        <w:t xml:space="preserve"> </w:t>
      </w:r>
      <w:proofErr w:type="spellStart"/>
      <w:r w:rsidRPr="00FD2A62">
        <w:rPr>
          <w:lang w:val="en-US"/>
        </w:rPr>
        <w:t>hukuk</w:t>
      </w:r>
      <w:proofErr w:type="spellEnd"/>
      <w:r w:rsidRPr="00FD2A62">
        <w:rPr>
          <w:lang w:val="en-US"/>
        </w:rPr>
        <w:t xml:space="preserve"> </w:t>
      </w:r>
      <w:proofErr w:type="spellStart"/>
      <w:r w:rsidRPr="00FD2A62">
        <w:rPr>
          <w:lang w:val="en-US"/>
        </w:rPr>
        <w:t>firmaları</w:t>
      </w:r>
      <w:proofErr w:type="spellEnd"/>
      <w:r w:rsidRPr="00FD2A62">
        <w:rPr>
          <w:lang w:val="en-US"/>
        </w:rPr>
        <w:t xml:space="preserve"> </w:t>
      </w:r>
      <w:proofErr w:type="spellStart"/>
      <w:r w:rsidRPr="00FD2A62">
        <w:rPr>
          <w:lang w:val="en-US"/>
        </w:rPr>
        <w:t>arasındaki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rekabete</w:t>
      </w:r>
      <w:proofErr w:type="spellEnd"/>
      <w:r w:rsidRPr="00FD2A62">
        <w:rPr>
          <w:lang w:val="en-US"/>
        </w:rPr>
        <w:t xml:space="preserve"> </w:t>
      </w:r>
      <w:proofErr w:type="spellStart"/>
      <w:r w:rsidRPr="00FD2A62">
        <w:rPr>
          <w:lang w:val="en-US"/>
        </w:rPr>
        <w:t>benzemektedir</w:t>
      </w:r>
      <w:proofErr w:type="spellEnd"/>
      <w:r w:rsidRPr="00FD2A62">
        <w:rPr>
          <w:lang w:val="en-US"/>
        </w:rPr>
        <w:t>.</w:t>
      </w:r>
      <w:r>
        <w:rPr>
          <w:lang w:val="en-US"/>
        </w:rPr>
        <w:t xml:space="preserve"> [1091 - 1092]</w:t>
      </w:r>
    </w:p>
    <w:p w14:paraId="5D019D73" w14:textId="31FA37DC" w:rsidR="00FD2A62" w:rsidRDefault="00FD2A62" w:rsidP="00FD2A62">
      <w:pPr>
        <w:rPr>
          <w:lang w:val="en-US"/>
        </w:rPr>
      </w:pPr>
      <w:r w:rsidRPr="00FD2A62">
        <w:rPr>
          <w:lang w:val="en-US"/>
        </w:rPr>
        <w:t xml:space="preserve">Bu </w:t>
      </w:r>
      <w:proofErr w:type="spellStart"/>
      <w:r w:rsidRPr="00FD2A62">
        <w:rPr>
          <w:lang w:val="en-US"/>
        </w:rPr>
        <w:t>dinamikler</w:t>
      </w:r>
      <w:proofErr w:type="spellEnd"/>
      <w:r w:rsidRPr="00FD2A62">
        <w:rPr>
          <w:lang w:val="en-US"/>
        </w:rPr>
        <w:t xml:space="preserve">, </w:t>
      </w:r>
      <w:proofErr w:type="spellStart"/>
      <w:r w:rsidRPr="00FD2A62">
        <w:rPr>
          <w:lang w:val="en-US"/>
        </w:rPr>
        <w:t>Mahkeme'deki</w:t>
      </w:r>
      <w:proofErr w:type="spellEnd"/>
      <w:r w:rsidRPr="00FD2A62">
        <w:rPr>
          <w:lang w:val="en-US"/>
        </w:rPr>
        <w:t xml:space="preserve"> </w:t>
      </w:r>
      <w:proofErr w:type="spellStart"/>
      <w:r w:rsidRPr="00FD2A62">
        <w:rPr>
          <w:lang w:val="en-US"/>
        </w:rPr>
        <w:t>mevcut</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taslağı</w:t>
      </w:r>
      <w:proofErr w:type="spellEnd"/>
      <w:r w:rsidRPr="00FD2A62">
        <w:rPr>
          <w:lang w:val="en-US"/>
        </w:rPr>
        <w:t xml:space="preserve"> </w:t>
      </w:r>
      <w:proofErr w:type="spellStart"/>
      <w:r w:rsidRPr="00FD2A62">
        <w:rPr>
          <w:lang w:val="en-US"/>
        </w:rPr>
        <w:t>hazırlama</w:t>
      </w:r>
      <w:proofErr w:type="spellEnd"/>
      <w:r w:rsidRPr="00FD2A62">
        <w:rPr>
          <w:lang w:val="en-US"/>
        </w:rPr>
        <w:t xml:space="preserve"> </w:t>
      </w:r>
      <w:proofErr w:type="spellStart"/>
      <w:r w:rsidRPr="00FD2A62">
        <w:rPr>
          <w:lang w:val="en-US"/>
        </w:rPr>
        <w:t>kültürüne</w:t>
      </w:r>
      <w:proofErr w:type="spellEnd"/>
      <w:r w:rsidRPr="00FD2A62">
        <w:rPr>
          <w:lang w:val="en-US"/>
        </w:rPr>
        <w:t xml:space="preserve"> </w:t>
      </w:r>
      <w:proofErr w:type="spellStart"/>
      <w:r w:rsidRPr="00FD2A62">
        <w:rPr>
          <w:lang w:val="en-US"/>
        </w:rPr>
        <w:t>ilişkin</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hukuk</w:t>
      </w:r>
      <w:proofErr w:type="spellEnd"/>
      <w:r w:rsidRPr="00FD2A62">
        <w:rPr>
          <w:lang w:val="en-US"/>
        </w:rPr>
        <w:t xml:space="preserve"> </w:t>
      </w:r>
      <w:proofErr w:type="spellStart"/>
      <w:r w:rsidRPr="00FD2A62">
        <w:rPr>
          <w:lang w:val="en-US"/>
        </w:rPr>
        <w:t>katiplerinin</w:t>
      </w:r>
      <w:proofErr w:type="spellEnd"/>
      <w:r w:rsidRPr="00FD2A62">
        <w:rPr>
          <w:lang w:val="en-US"/>
        </w:rPr>
        <w:t xml:space="preserve"> </w:t>
      </w:r>
      <w:proofErr w:type="spellStart"/>
      <w:r w:rsidRPr="00FD2A62">
        <w:rPr>
          <w:lang w:val="en-US"/>
        </w:rPr>
        <w:t>yaygınlığıyla</w:t>
      </w:r>
      <w:proofErr w:type="spellEnd"/>
      <w:r w:rsidRPr="00FD2A62">
        <w:rPr>
          <w:lang w:val="en-US"/>
        </w:rPr>
        <w:t xml:space="preserve"> </w:t>
      </w:r>
      <w:proofErr w:type="spellStart"/>
      <w:r w:rsidRPr="00FD2A62">
        <w:rPr>
          <w:lang w:val="en-US"/>
        </w:rPr>
        <w:t>pek</w:t>
      </w:r>
      <w:proofErr w:type="spellEnd"/>
      <w:r w:rsidRPr="00FD2A62">
        <w:rPr>
          <w:lang w:val="en-US"/>
        </w:rPr>
        <w:t xml:space="preserve"> </w:t>
      </w:r>
      <w:proofErr w:type="spellStart"/>
      <w:r w:rsidRPr="00FD2A62">
        <w:rPr>
          <w:lang w:val="en-US"/>
        </w:rPr>
        <w:t>az</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hiç</w:t>
      </w:r>
      <w:proofErr w:type="spellEnd"/>
      <w:r w:rsidRPr="00FD2A62">
        <w:rPr>
          <w:lang w:val="en-US"/>
        </w:rPr>
        <w:t xml:space="preserve"> </w:t>
      </w:r>
      <w:proofErr w:type="spellStart"/>
      <w:r w:rsidRPr="00FD2A62">
        <w:rPr>
          <w:lang w:val="en-US"/>
        </w:rPr>
        <w:t>ilgisi</w:t>
      </w:r>
      <w:proofErr w:type="spellEnd"/>
      <w:r w:rsidRPr="00FD2A62">
        <w:rPr>
          <w:lang w:val="en-US"/>
        </w:rPr>
        <w:t xml:space="preserve"> </w:t>
      </w:r>
      <w:proofErr w:type="spellStart"/>
      <w:r w:rsidRPr="00FD2A62">
        <w:rPr>
          <w:lang w:val="en-US"/>
        </w:rPr>
        <w:t>olmayan</w:t>
      </w:r>
      <w:proofErr w:type="spellEnd"/>
      <w:r w:rsidRPr="00FD2A62">
        <w:rPr>
          <w:lang w:val="en-US"/>
        </w:rPr>
        <w:t xml:space="preserve"> </w:t>
      </w:r>
      <w:proofErr w:type="spellStart"/>
      <w:r w:rsidRPr="00FD2A62">
        <w:rPr>
          <w:lang w:val="en-US"/>
        </w:rPr>
        <w:t>faktörler</w:t>
      </w:r>
      <w:proofErr w:type="spellEnd"/>
      <w:r w:rsidRPr="00FD2A62">
        <w:rPr>
          <w:lang w:val="en-US"/>
        </w:rPr>
        <w:t xml:space="preserve"> </w:t>
      </w:r>
      <w:proofErr w:type="spellStart"/>
      <w:r w:rsidRPr="00FD2A62">
        <w:rPr>
          <w:lang w:val="en-US"/>
        </w:rPr>
        <w:t>tarafından</w:t>
      </w:r>
      <w:proofErr w:type="spellEnd"/>
      <w:r w:rsidRPr="00FD2A62">
        <w:rPr>
          <w:lang w:val="en-US"/>
        </w:rPr>
        <w:t xml:space="preserve"> </w:t>
      </w:r>
      <w:proofErr w:type="spellStart"/>
      <w:r w:rsidRPr="00FD2A62">
        <w:rPr>
          <w:lang w:val="en-US"/>
        </w:rPr>
        <w:t>daha</w:t>
      </w:r>
      <w:proofErr w:type="spellEnd"/>
      <w:r w:rsidRPr="00FD2A62">
        <w:rPr>
          <w:lang w:val="en-US"/>
        </w:rPr>
        <w:t xml:space="preserve"> da </w:t>
      </w:r>
      <w:proofErr w:type="spellStart"/>
      <w:r w:rsidRPr="00FD2A62">
        <w:rPr>
          <w:lang w:val="en-US"/>
        </w:rPr>
        <w:t>pekiştirilmektedir</w:t>
      </w:r>
      <w:proofErr w:type="spellEnd"/>
      <w:r w:rsidRPr="00FD2A62">
        <w:rPr>
          <w:lang w:val="en-US"/>
        </w:rPr>
        <w:t xml:space="preserve">. </w:t>
      </w:r>
      <w:proofErr w:type="spellStart"/>
      <w:r w:rsidRPr="00FD2A62">
        <w:rPr>
          <w:lang w:val="en-US"/>
        </w:rPr>
        <w:t>Yargıçların</w:t>
      </w:r>
      <w:proofErr w:type="spellEnd"/>
      <w:r w:rsidRPr="00FD2A62">
        <w:rPr>
          <w:lang w:val="en-US"/>
        </w:rPr>
        <w:t xml:space="preserve"> </w:t>
      </w:r>
      <w:proofErr w:type="spellStart"/>
      <w:r w:rsidRPr="00FD2A62">
        <w:rPr>
          <w:lang w:val="en-US"/>
        </w:rPr>
        <w:t>konferansları</w:t>
      </w:r>
      <w:proofErr w:type="spellEnd"/>
      <w:r w:rsidRPr="00FD2A62">
        <w:rPr>
          <w:lang w:val="en-US"/>
        </w:rPr>
        <w:t xml:space="preserve">, </w:t>
      </w:r>
      <w:proofErr w:type="spellStart"/>
      <w:r w:rsidRPr="00FD2A62">
        <w:rPr>
          <w:lang w:val="en-US"/>
        </w:rPr>
        <w:t>geçmişteki</w:t>
      </w:r>
      <w:proofErr w:type="spellEnd"/>
      <w:r w:rsidRPr="00FD2A62">
        <w:rPr>
          <w:lang w:val="en-US"/>
        </w:rPr>
        <w:t xml:space="preserve"> </w:t>
      </w:r>
      <w:proofErr w:type="spellStart"/>
      <w:r w:rsidRPr="00FD2A62">
        <w:rPr>
          <w:lang w:val="en-US"/>
        </w:rPr>
        <w:t>ayrıntılı</w:t>
      </w:r>
      <w:proofErr w:type="spellEnd"/>
      <w:r w:rsidRPr="00FD2A62">
        <w:rPr>
          <w:lang w:val="en-US"/>
        </w:rPr>
        <w:t xml:space="preserve"> </w:t>
      </w:r>
      <w:proofErr w:type="spellStart"/>
      <w:r w:rsidRPr="00FD2A62">
        <w:rPr>
          <w:lang w:val="en-US"/>
        </w:rPr>
        <w:t>tartışmalar</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gösterişli</w:t>
      </w:r>
      <w:proofErr w:type="spellEnd"/>
      <w:r w:rsidRPr="00FD2A62">
        <w:rPr>
          <w:lang w:val="en-US"/>
        </w:rPr>
        <w:t xml:space="preserve"> </w:t>
      </w:r>
      <w:proofErr w:type="spellStart"/>
      <w:r w:rsidRPr="00FD2A62">
        <w:rPr>
          <w:lang w:val="en-US"/>
        </w:rPr>
        <w:t>konuşmalardan</w:t>
      </w:r>
      <w:proofErr w:type="spellEnd"/>
      <w:r w:rsidRPr="00FD2A62">
        <w:rPr>
          <w:lang w:val="en-US"/>
        </w:rPr>
        <w:t xml:space="preserve">, </w:t>
      </w:r>
      <w:proofErr w:type="spellStart"/>
      <w:r w:rsidRPr="00FD2A62">
        <w:rPr>
          <w:lang w:val="en-US"/>
        </w:rPr>
        <w:t>kısa</w:t>
      </w:r>
      <w:proofErr w:type="spellEnd"/>
      <w:r w:rsidRPr="00FD2A62">
        <w:rPr>
          <w:lang w:val="en-US"/>
        </w:rPr>
        <w:t xml:space="preserve"> </w:t>
      </w:r>
      <w:proofErr w:type="spellStart"/>
      <w:r w:rsidRPr="00FD2A62">
        <w:rPr>
          <w:lang w:val="en-US"/>
        </w:rPr>
        <w:t>pozisyon</w:t>
      </w:r>
      <w:proofErr w:type="spellEnd"/>
      <w:r w:rsidRPr="00FD2A62">
        <w:rPr>
          <w:lang w:val="en-US"/>
        </w:rPr>
        <w:t xml:space="preserve"> </w:t>
      </w:r>
      <w:proofErr w:type="spellStart"/>
      <w:r w:rsidRPr="00FD2A62">
        <w:rPr>
          <w:lang w:val="en-US"/>
        </w:rPr>
        <w:t>ifadelerinin</w:t>
      </w:r>
      <w:proofErr w:type="spellEnd"/>
      <w:r w:rsidRPr="00FD2A62">
        <w:rPr>
          <w:lang w:val="en-US"/>
        </w:rPr>
        <w:t xml:space="preserve"> </w:t>
      </w:r>
      <w:proofErr w:type="spellStart"/>
      <w:r w:rsidRPr="00FD2A62">
        <w:rPr>
          <w:lang w:val="en-US"/>
        </w:rPr>
        <w:t>verimli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şekilde</w:t>
      </w:r>
      <w:proofErr w:type="spellEnd"/>
      <w:r w:rsidRPr="00FD2A62">
        <w:rPr>
          <w:lang w:val="en-US"/>
        </w:rPr>
        <w:t xml:space="preserve"> </w:t>
      </w:r>
      <w:proofErr w:type="spellStart"/>
      <w:r w:rsidRPr="00FD2A62">
        <w:rPr>
          <w:lang w:val="en-US"/>
        </w:rPr>
        <w:t>paylaşıldığı</w:t>
      </w:r>
      <w:proofErr w:type="spellEnd"/>
      <w:r w:rsidRPr="00FD2A62">
        <w:rPr>
          <w:lang w:val="en-US"/>
        </w:rPr>
        <w:t xml:space="preserve"> </w:t>
      </w:r>
      <w:proofErr w:type="spellStart"/>
      <w:r w:rsidRPr="00FD2A62">
        <w:rPr>
          <w:lang w:val="en-US"/>
        </w:rPr>
        <w:t>bir</w:t>
      </w:r>
      <w:proofErr w:type="spellEnd"/>
      <w:r w:rsidRPr="00FD2A62">
        <w:rPr>
          <w:lang w:val="en-US"/>
        </w:rPr>
        <w:t xml:space="preserve"> forum </w:t>
      </w:r>
      <w:proofErr w:type="spellStart"/>
      <w:r w:rsidRPr="00FD2A62">
        <w:rPr>
          <w:lang w:val="en-US"/>
        </w:rPr>
        <w:t>hâline</w:t>
      </w:r>
      <w:proofErr w:type="spellEnd"/>
      <w:r w:rsidRPr="00FD2A62">
        <w:rPr>
          <w:lang w:val="en-US"/>
        </w:rPr>
        <w:t xml:space="preserve"> </w:t>
      </w:r>
      <w:proofErr w:type="spellStart"/>
      <w:r w:rsidRPr="00FD2A62">
        <w:rPr>
          <w:lang w:val="en-US"/>
        </w:rPr>
        <w:t>dönüşmüştür</w:t>
      </w:r>
      <w:proofErr w:type="spellEnd"/>
      <w:r w:rsidRPr="00FD2A62">
        <w:rPr>
          <w:lang w:val="en-US"/>
        </w:rPr>
        <w:t xml:space="preserve">. Bunun </w:t>
      </w:r>
      <w:proofErr w:type="spellStart"/>
      <w:r w:rsidRPr="00FD2A62">
        <w:rPr>
          <w:lang w:val="en-US"/>
        </w:rPr>
        <w:t>sonucunda</w:t>
      </w:r>
      <w:proofErr w:type="spellEnd"/>
      <w:r w:rsidRPr="00FD2A62">
        <w:rPr>
          <w:lang w:val="en-US"/>
        </w:rPr>
        <w:t xml:space="preserve">, </w:t>
      </w:r>
      <w:proofErr w:type="spellStart"/>
      <w:r w:rsidRPr="00FD2A62">
        <w:rPr>
          <w:lang w:val="en-US"/>
        </w:rPr>
        <w:t>konferans</w:t>
      </w:r>
      <w:proofErr w:type="spellEnd"/>
      <w:r w:rsidRPr="00FD2A62">
        <w:rPr>
          <w:lang w:val="en-US"/>
        </w:rPr>
        <w:t xml:space="preserve"> </w:t>
      </w:r>
      <w:proofErr w:type="spellStart"/>
      <w:r w:rsidRPr="00FD2A62">
        <w:rPr>
          <w:lang w:val="en-US"/>
        </w:rPr>
        <w:t>sonrasında</w:t>
      </w:r>
      <w:proofErr w:type="spellEnd"/>
      <w:r w:rsidRPr="00FD2A62">
        <w:rPr>
          <w:lang w:val="en-US"/>
        </w:rPr>
        <w:t xml:space="preserve"> </w:t>
      </w:r>
      <w:proofErr w:type="spellStart"/>
      <w:r w:rsidRPr="00FD2A62">
        <w:rPr>
          <w:lang w:val="en-US"/>
        </w:rPr>
        <w:t>çözüme</w:t>
      </w:r>
      <w:proofErr w:type="spellEnd"/>
      <w:r w:rsidRPr="00FD2A62">
        <w:rPr>
          <w:lang w:val="en-US"/>
        </w:rPr>
        <w:t xml:space="preserve"> </w:t>
      </w:r>
      <w:proofErr w:type="spellStart"/>
      <w:r w:rsidRPr="00FD2A62">
        <w:rPr>
          <w:lang w:val="en-US"/>
        </w:rPr>
        <w:t>kavuşturulmamış</w:t>
      </w:r>
      <w:proofErr w:type="spellEnd"/>
      <w:r w:rsidRPr="00FD2A62">
        <w:rPr>
          <w:lang w:val="en-US"/>
        </w:rPr>
        <w:t xml:space="preserve"> </w:t>
      </w:r>
      <w:proofErr w:type="spellStart"/>
      <w:r w:rsidRPr="00FD2A62">
        <w:rPr>
          <w:lang w:val="en-US"/>
        </w:rPr>
        <w:t>meselelerin</w:t>
      </w:r>
      <w:proofErr w:type="spellEnd"/>
      <w:r w:rsidRPr="00FD2A62">
        <w:rPr>
          <w:lang w:val="en-US"/>
        </w:rPr>
        <w:t xml:space="preserve"> </w:t>
      </w:r>
      <w:proofErr w:type="spellStart"/>
      <w:r w:rsidRPr="00FD2A62">
        <w:rPr>
          <w:lang w:val="en-US"/>
        </w:rPr>
        <w:t>sayısı</w:t>
      </w:r>
      <w:proofErr w:type="spellEnd"/>
      <w:r w:rsidRPr="00FD2A62">
        <w:rPr>
          <w:lang w:val="en-US"/>
        </w:rPr>
        <w:t xml:space="preserve"> </w:t>
      </w:r>
      <w:proofErr w:type="spellStart"/>
      <w:r w:rsidRPr="00FD2A62">
        <w:rPr>
          <w:lang w:val="en-US"/>
        </w:rPr>
        <w:t>artmıştır</w:t>
      </w:r>
      <w:proofErr w:type="spellEnd"/>
      <w:r w:rsidRPr="00FD2A62">
        <w:rPr>
          <w:lang w:val="en-US"/>
        </w:rPr>
        <w:t>.⁸⁹</w:t>
      </w:r>
      <w:r>
        <w:rPr>
          <w:lang w:val="en-US"/>
        </w:rPr>
        <w:t xml:space="preserve"> </w:t>
      </w:r>
      <w:r>
        <w:rPr>
          <w:rStyle w:val="FootnoteReference"/>
          <w:lang w:val="en-US"/>
        </w:rPr>
        <w:footnoteReference w:id="89"/>
      </w:r>
      <w:r w:rsidRPr="00FD2A62">
        <w:rPr>
          <w:lang w:val="en-US"/>
        </w:rPr>
        <w:t xml:space="preserve"> Büyük </w:t>
      </w:r>
      <w:proofErr w:type="spellStart"/>
      <w:r w:rsidRPr="00FD2A62">
        <w:rPr>
          <w:lang w:val="en-US"/>
        </w:rPr>
        <w:t>ölçüde</w:t>
      </w:r>
      <w:proofErr w:type="spellEnd"/>
      <w:r w:rsidRPr="00FD2A62">
        <w:rPr>
          <w:lang w:val="en-US"/>
        </w:rPr>
        <w:t xml:space="preserve">, </w:t>
      </w:r>
      <w:proofErr w:type="spellStart"/>
      <w:r w:rsidRPr="00FD2A62">
        <w:rPr>
          <w:lang w:val="en-US"/>
        </w:rPr>
        <w:t>bu</w:t>
      </w:r>
      <w:proofErr w:type="spellEnd"/>
      <w:r w:rsidRPr="00FD2A62">
        <w:rPr>
          <w:lang w:val="en-US"/>
        </w:rPr>
        <w:t xml:space="preserve"> durum </w:t>
      </w:r>
      <w:proofErr w:type="spellStart"/>
      <w:r w:rsidRPr="00FD2A62">
        <w:rPr>
          <w:lang w:val="en-US"/>
        </w:rPr>
        <w:t>bilinçli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tercihtir</w:t>
      </w:r>
      <w:proofErr w:type="spellEnd"/>
      <w:r w:rsidRPr="00FD2A62">
        <w:rPr>
          <w:lang w:val="en-US"/>
        </w:rPr>
        <w:t xml:space="preserve">; </w:t>
      </w:r>
      <w:proofErr w:type="spellStart"/>
      <w:r w:rsidRPr="00FD2A62">
        <w:rPr>
          <w:lang w:val="en-US"/>
        </w:rPr>
        <w:t>zira</w:t>
      </w:r>
      <w:proofErr w:type="spellEnd"/>
      <w:r w:rsidRPr="00FD2A62">
        <w:rPr>
          <w:lang w:val="en-US"/>
        </w:rPr>
        <w:t xml:space="preserve"> </w:t>
      </w:r>
      <w:proofErr w:type="spellStart"/>
      <w:r w:rsidRPr="00FD2A62">
        <w:rPr>
          <w:lang w:val="en-US"/>
        </w:rPr>
        <w:t>Yargıçlar</w:t>
      </w:r>
      <w:proofErr w:type="spellEnd"/>
      <w:r w:rsidRPr="00FD2A62">
        <w:rPr>
          <w:lang w:val="en-US"/>
        </w:rPr>
        <w:t xml:space="preserve">, </w:t>
      </w:r>
      <w:proofErr w:type="spellStart"/>
      <w:r w:rsidRPr="00FD2A62">
        <w:rPr>
          <w:lang w:val="en-US"/>
        </w:rPr>
        <w:t>açık</w:t>
      </w:r>
      <w:proofErr w:type="spellEnd"/>
      <w:r w:rsidRPr="00FD2A62">
        <w:rPr>
          <w:lang w:val="en-US"/>
        </w:rPr>
        <w:t xml:space="preserve"> </w:t>
      </w:r>
      <w:proofErr w:type="spellStart"/>
      <w:r w:rsidRPr="00FD2A62">
        <w:rPr>
          <w:lang w:val="en-US"/>
        </w:rPr>
        <w:t>kalan</w:t>
      </w:r>
      <w:proofErr w:type="spellEnd"/>
      <w:r w:rsidRPr="00FD2A62">
        <w:rPr>
          <w:lang w:val="en-US"/>
        </w:rPr>
        <w:t xml:space="preserve"> </w:t>
      </w:r>
      <w:proofErr w:type="spellStart"/>
      <w:r w:rsidRPr="00FD2A62">
        <w:rPr>
          <w:lang w:val="en-US"/>
        </w:rPr>
        <w:t>meseleleri</w:t>
      </w:r>
      <w:proofErr w:type="spellEnd"/>
      <w:r w:rsidRPr="00FD2A62">
        <w:rPr>
          <w:lang w:val="en-US"/>
        </w:rPr>
        <w:t xml:space="preserve"> </w:t>
      </w:r>
      <w:proofErr w:type="spellStart"/>
      <w:r w:rsidRPr="00FD2A62">
        <w:rPr>
          <w:lang w:val="en-US"/>
        </w:rPr>
        <w:t>adil</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şekilde</w:t>
      </w:r>
      <w:proofErr w:type="spellEnd"/>
      <w:r w:rsidRPr="00FD2A62">
        <w:rPr>
          <w:lang w:val="en-US"/>
        </w:rPr>
        <w:t xml:space="preserve"> </w:t>
      </w:r>
      <w:proofErr w:type="spellStart"/>
      <w:r w:rsidRPr="00FD2A62">
        <w:rPr>
          <w:lang w:val="en-US"/>
        </w:rPr>
        <w:t>çözeceklerine</w:t>
      </w:r>
      <w:proofErr w:type="spellEnd"/>
      <w:r w:rsidRPr="00FD2A62">
        <w:rPr>
          <w:lang w:val="en-US"/>
        </w:rPr>
        <w:t xml:space="preserve"> </w:t>
      </w:r>
      <w:proofErr w:type="spellStart"/>
      <w:r w:rsidRPr="00FD2A62">
        <w:rPr>
          <w:lang w:val="en-US"/>
        </w:rPr>
        <w:t>karşılıklı</w:t>
      </w:r>
      <w:proofErr w:type="spellEnd"/>
      <w:r w:rsidRPr="00FD2A62">
        <w:rPr>
          <w:lang w:val="en-US"/>
        </w:rPr>
        <w:t xml:space="preserve"> </w:t>
      </w:r>
      <w:proofErr w:type="spellStart"/>
      <w:r w:rsidRPr="00FD2A62">
        <w:rPr>
          <w:lang w:val="en-US"/>
        </w:rPr>
        <w:t>güven</w:t>
      </w:r>
      <w:proofErr w:type="spellEnd"/>
      <w:r w:rsidRPr="00FD2A62">
        <w:rPr>
          <w:lang w:val="en-US"/>
        </w:rPr>
        <w:t xml:space="preserve"> </w:t>
      </w:r>
      <w:proofErr w:type="spellStart"/>
      <w:r w:rsidRPr="00FD2A62">
        <w:rPr>
          <w:lang w:val="en-US"/>
        </w:rPr>
        <w:t>duymakta</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görüşlerin</w:t>
      </w:r>
      <w:proofErr w:type="spellEnd"/>
      <w:r w:rsidRPr="00FD2A62">
        <w:rPr>
          <w:lang w:val="en-US"/>
        </w:rPr>
        <w:t xml:space="preserve"> </w:t>
      </w:r>
      <w:proofErr w:type="spellStart"/>
      <w:r w:rsidRPr="00FD2A62">
        <w:rPr>
          <w:lang w:val="en-US"/>
        </w:rPr>
        <w:t>dolaşıma</w:t>
      </w:r>
      <w:proofErr w:type="spellEnd"/>
      <w:r w:rsidRPr="00FD2A62">
        <w:rPr>
          <w:lang w:val="en-US"/>
        </w:rPr>
        <w:t xml:space="preserve"> </w:t>
      </w:r>
      <w:proofErr w:type="spellStart"/>
      <w:r w:rsidRPr="00FD2A62">
        <w:rPr>
          <w:lang w:val="en-US"/>
        </w:rPr>
        <w:t>girmesi</w:t>
      </w:r>
      <w:proofErr w:type="spellEnd"/>
      <w:r w:rsidRPr="00FD2A62">
        <w:rPr>
          <w:lang w:val="en-US"/>
        </w:rPr>
        <w:t xml:space="preserve"> </w:t>
      </w:r>
      <w:proofErr w:type="spellStart"/>
      <w:r w:rsidRPr="00FD2A62">
        <w:rPr>
          <w:lang w:val="en-US"/>
        </w:rPr>
        <w:t>sürecinin</w:t>
      </w:r>
      <w:proofErr w:type="spellEnd"/>
      <w:r w:rsidRPr="00FD2A62">
        <w:rPr>
          <w:lang w:val="en-US"/>
        </w:rPr>
        <w:t xml:space="preserve"> </w:t>
      </w:r>
      <w:proofErr w:type="spellStart"/>
      <w:r w:rsidRPr="00FD2A62">
        <w:rPr>
          <w:lang w:val="en-US"/>
        </w:rPr>
        <w:t>aşırılıkları</w:t>
      </w:r>
      <w:proofErr w:type="spellEnd"/>
      <w:r w:rsidRPr="00FD2A62">
        <w:rPr>
          <w:lang w:val="en-US"/>
        </w:rPr>
        <w:t xml:space="preserve"> </w:t>
      </w:r>
      <w:proofErr w:type="spellStart"/>
      <w:r w:rsidRPr="00FD2A62">
        <w:rPr>
          <w:lang w:val="en-US"/>
        </w:rPr>
        <w:t>denetleyen</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mekanizma</w:t>
      </w:r>
      <w:proofErr w:type="spellEnd"/>
      <w:r w:rsidRPr="00FD2A62">
        <w:rPr>
          <w:lang w:val="en-US"/>
        </w:rPr>
        <w:t xml:space="preserve"> </w:t>
      </w:r>
      <w:proofErr w:type="spellStart"/>
      <w:r w:rsidRPr="00FD2A62">
        <w:rPr>
          <w:lang w:val="en-US"/>
        </w:rPr>
        <w:t>işlevi</w:t>
      </w:r>
      <w:proofErr w:type="spellEnd"/>
      <w:r w:rsidRPr="00FD2A62">
        <w:rPr>
          <w:lang w:val="en-US"/>
        </w:rPr>
        <w:t xml:space="preserve"> </w:t>
      </w:r>
      <w:proofErr w:type="spellStart"/>
      <w:r w:rsidRPr="00FD2A62">
        <w:rPr>
          <w:lang w:val="en-US"/>
        </w:rPr>
        <w:t>gördüğüne</w:t>
      </w:r>
      <w:proofErr w:type="spellEnd"/>
      <w:r w:rsidRPr="00FD2A62">
        <w:rPr>
          <w:lang w:val="en-US"/>
        </w:rPr>
        <w:t xml:space="preserve"> </w:t>
      </w:r>
      <w:proofErr w:type="spellStart"/>
      <w:r w:rsidRPr="00FD2A62">
        <w:rPr>
          <w:lang w:val="en-US"/>
        </w:rPr>
        <w:t>inanmaktadır</w:t>
      </w:r>
      <w:proofErr w:type="spellEnd"/>
      <w:r w:rsidRPr="00FD2A62">
        <w:rPr>
          <w:lang w:val="en-US"/>
        </w:rPr>
        <w:t xml:space="preserve">. </w:t>
      </w:r>
      <w:proofErr w:type="spellStart"/>
      <w:r w:rsidRPr="00FD2A62">
        <w:rPr>
          <w:lang w:val="en-US"/>
        </w:rPr>
        <w:t>Mahkeme</w:t>
      </w:r>
      <w:proofErr w:type="spellEnd"/>
      <w:r w:rsidRPr="00FD2A62">
        <w:rPr>
          <w:lang w:val="en-US"/>
        </w:rPr>
        <w:t xml:space="preserve">, </w:t>
      </w:r>
      <w:proofErr w:type="spellStart"/>
      <w:r w:rsidRPr="00FD2A62">
        <w:rPr>
          <w:lang w:val="en-US"/>
        </w:rPr>
        <w:t>danışma</w:t>
      </w:r>
      <w:proofErr w:type="spellEnd"/>
      <w:r w:rsidRPr="00FD2A62">
        <w:rPr>
          <w:lang w:val="en-US"/>
        </w:rPr>
        <w:t xml:space="preserve"> </w:t>
      </w:r>
      <w:proofErr w:type="spellStart"/>
      <w:r w:rsidRPr="00FD2A62">
        <w:rPr>
          <w:lang w:val="en-US"/>
        </w:rPr>
        <w:t>sürecine</w:t>
      </w:r>
      <w:proofErr w:type="spellEnd"/>
      <w:r w:rsidRPr="00FD2A62">
        <w:rPr>
          <w:lang w:val="en-US"/>
        </w:rPr>
        <w:t xml:space="preserve"> </w:t>
      </w:r>
      <w:proofErr w:type="spellStart"/>
      <w:r w:rsidRPr="00FD2A62">
        <w:rPr>
          <w:lang w:val="en-US"/>
        </w:rPr>
        <w:t>çok</w:t>
      </w:r>
      <w:proofErr w:type="spellEnd"/>
      <w:r w:rsidRPr="00FD2A62">
        <w:rPr>
          <w:lang w:val="en-US"/>
        </w:rPr>
        <w:t xml:space="preserve"> </w:t>
      </w:r>
      <w:proofErr w:type="spellStart"/>
      <w:r w:rsidRPr="00FD2A62">
        <w:rPr>
          <w:lang w:val="en-US"/>
        </w:rPr>
        <w:t>az</w:t>
      </w:r>
      <w:proofErr w:type="spellEnd"/>
      <w:r w:rsidRPr="00FD2A62">
        <w:rPr>
          <w:lang w:val="en-US"/>
        </w:rPr>
        <w:t xml:space="preserve"> zaman </w:t>
      </w:r>
      <w:proofErr w:type="spellStart"/>
      <w:r w:rsidRPr="00FD2A62">
        <w:rPr>
          <w:lang w:val="en-US"/>
        </w:rPr>
        <w:t>ayırarak</w:t>
      </w:r>
      <w:proofErr w:type="spellEnd"/>
      <w:r w:rsidRPr="00FD2A62">
        <w:rPr>
          <w:lang w:val="en-US"/>
        </w:rPr>
        <w:t xml:space="preserve"> </w:t>
      </w:r>
      <w:proofErr w:type="spellStart"/>
      <w:r w:rsidRPr="00FD2A62">
        <w:rPr>
          <w:lang w:val="en-US"/>
        </w:rPr>
        <w:t>ve</w:t>
      </w:r>
      <w:proofErr w:type="spellEnd"/>
      <w:r w:rsidRPr="00FD2A62">
        <w:rPr>
          <w:lang w:val="en-US"/>
        </w:rPr>
        <w:t xml:space="preserve"> her </w:t>
      </w:r>
      <w:proofErr w:type="spellStart"/>
      <w:r w:rsidRPr="00FD2A62">
        <w:rPr>
          <w:lang w:val="en-US"/>
        </w:rPr>
        <w:t>davada</w:t>
      </w:r>
      <w:proofErr w:type="spellEnd"/>
      <w:r w:rsidRPr="00FD2A62">
        <w:rPr>
          <w:lang w:val="en-US"/>
        </w:rPr>
        <w:t xml:space="preserve"> </w:t>
      </w:r>
      <w:proofErr w:type="spellStart"/>
      <w:r w:rsidRPr="00FD2A62">
        <w:rPr>
          <w:lang w:val="en-US"/>
        </w:rPr>
        <w:t>ortaya</w:t>
      </w:r>
      <w:proofErr w:type="spellEnd"/>
      <w:r w:rsidRPr="00FD2A62">
        <w:rPr>
          <w:lang w:val="en-US"/>
        </w:rPr>
        <w:t xml:space="preserve"> </w:t>
      </w:r>
      <w:proofErr w:type="spellStart"/>
      <w:r w:rsidRPr="00FD2A62">
        <w:rPr>
          <w:lang w:val="en-US"/>
        </w:rPr>
        <w:t>çıkan</w:t>
      </w:r>
      <w:proofErr w:type="spellEnd"/>
      <w:r w:rsidRPr="00FD2A62">
        <w:rPr>
          <w:lang w:val="en-US"/>
        </w:rPr>
        <w:t xml:space="preserve"> </w:t>
      </w:r>
      <w:proofErr w:type="spellStart"/>
      <w:r w:rsidRPr="00FD2A62">
        <w:rPr>
          <w:lang w:val="en-US"/>
        </w:rPr>
        <w:t>karmaşık</w:t>
      </w:r>
      <w:proofErr w:type="spellEnd"/>
      <w:r w:rsidRPr="00FD2A62">
        <w:rPr>
          <w:lang w:val="en-US"/>
        </w:rPr>
        <w:t xml:space="preserve"> </w:t>
      </w:r>
      <w:proofErr w:type="spellStart"/>
      <w:r w:rsidRPr="00FD2A62">
        <w:rPr>
          <w:lang w:val="en-US"/>
        </w:rPr>
        <w:t>doktrinsel</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yazım</w:t>
      </w:r>
      <w:proofErr w:type="spellEnd"/>
      <w:r w:rsidRPr="00FD2A62">
        <w:rPr>
          <w:lang w:val="en-US"/>
        </w:rPr>
        <w:t xml:space="preserve"> </w:t>
      </w:r>
      <w:proofErr w:type="spellStart"/>
      <w:r w:rsidRPr="00FD2A62">
        <w:rPr>
          <w:lang w:val="en-US"/>
        </w:rPr>
        <w:t>sorunlarını</w:t>
      </w:r>
      <w:proofErr w:type="spellEnd"/>
      <w:r w:rsidRPr="00FD2A62">
        <w:rPr>
          <w:lang w:val="en-US"/>
        </w:rPr>
        <w:t xml:space="preserve"> </w:t>
      </w:r>
      <w:proofErr w:type="spellStart"/>
      <w:r w:rsidRPr="00FD2A62">
        <w:rPr>
          <w:lang w:val="en-US"/>
        </w:rPr>
        <w:t>çözme</w:t>
      </w:r>
      <w:proofErr w:type="spellEnd"/>
      <w:r w:rsidRPr="00FD2A62">
        <w:rPr>
          <w:lang w:val="en-US"/>
        </w:rPr>
        <w:t xml:space="preserve"> </w:t>
      </w:r>
      <w:proofErr w:type="spellStart"/>
      <w:r w:rsidRPr="00FD2A62">
        <w:rPr>
          <w:lang w:val="en-US"/>
        </w:rPr>
        <w:t>işini</w:t>
      </w:r>
      <w:proofErr w:type="spellEnd"/>
      <w:r w:rsidRPr="00FD2A62">
        <w:rPr>
          <w:lang w:val="en-US"/>
        </w:rPr>
        <w:t xml:space="preserve"> </w:t>
      </w:r>
      <w:proofErr w:type="spellStart"/>
      <w:r w:rsidRPr="00FD2A62">
        <w:rPr>
          <w:lang w:val="en-US"/>
        </w:rPr>
        <w:t>küçük</w:t>
      </w:r>
      <w:proofErr w:type="spellEnd"/>
      <w:r w:rsidRPr="00FD2A62">
        <w:rPr>
          <w:lang w:val="en-US"/>
        </w:rPr>
        <w:t xml:space="preserve"> </w:t>
      </w:r>
      <w:proofErr w:type="spellStart"/>
      <w:r w:rsidRPr="00FD2A62">
        <w:rPr>
          <w:lang w:val="en-US"/>
        </w:rPr>
        <w:t>hukuk</w:t>
      </w:r>
      <w:proofErr w:type="spellEnd"/>
      <w:r w:rsidRPr="00FD2A62">
        <w:rPr>
          <w:lang w:val="en-US"/>
        </w:rPr>
        <w:t xml:space="preserve"> </w:t>
      </w:r>
      <w:proofErr w:type="spellStart"/>
      <w:r w:rsidRPr="00FD2A62">
        <w:rPr>
          <w:lang w:val="en-US"/>
        </w:rPr>
        <w:t>büroları</w:t>
      </w:r>
      <w:proofErr w:type="spellEnd"/>
      <w:r w:rsidRPr="00FD2A62">
        <w:rPr>
          <w:lang w:val="en-US"/>
        </w:rPr>
        <w:t xml:space="preserve"> </w:t>
      </w:r>
      <w:proofErr w:type="spellStart"/>
      <w:r w:rsidRPr="00FD2A62">
        <w:rPr>
          <w:lang w:val="en-US"/>
        </w:rPr>
        <w:t>gibi</w:t>
      </w:r>
      <w:proofErr w:type="spellEnd"/>
      <w:r w:rsidRPr="00FD2A62">
        <w:rPr>
          <w:lang w:val="en-US"/>
        </w:rPr>
        <w:t xml:space="preserve"> </w:t>
      </w:r>
      <w:proofErr w:type="spellStart"/>
      <w:r w:rsidRPr="00FD2A62">
        <w:rPr>
          <w:lang w:val="en-US"/>
        </w:rPr>
        <w:t>işleyen</w:t>
      </w:r>
      <w:proofErr w:type="spellEnd"/>
      <w:r w:rsidRPr="00FD2A62">
        <w:rPr>
          <w:lang w:val="en-US"/>
        </w:rPr>
        <w:t xml:space="preserve"> </w:t>
      </w:r>
      <w:proofErr w:type="spellStart"/>
      <w:r w:rsidRPr="00FD2A62">
        <w:rPr>
          <w:lang w:val="en-US"/>
        </w:rPr>
        <w:t>ekiplerine</w:t>
      </w:r>
      <w:proofErr w:type="spellEnd"/>
      <w:r w:rsidRPr="00FD2A62">
        <w:rPr>
          <w:lang w:val="en-US"/>
        </w:rPr>
        <w:t xml:space="preserve"> </w:t>
      </w:r>
      <w:proofErr w:type="spellStart"/>
      <w:r w:rsidRPr="00FD2A62">
        <w:rPr>
          <w:lang w:val="en-US"/>
        </w:rPr>
        <w:t>devrederek</w:t>
      </w:r>
      <w:proofErr w:type="spellEnd"/>
      <w:r w:rsidRPr="00FD2A62">
        <w:rPr>
          <w:lang w:val="en-US"/>
        </w:rPr>
        <w:t xml:space="preserve"> </w:t>
      </w:r>
      <w:proofErr w:type="spellStart"/>
      <w:r w:rsidRPr="00FD2A62">
        <w:rPr>
          <w:lang w:val="en-US"/>
        </w:rPr>
        <w:t>daha</w:t>
      </w:r>
      <w:proofErr w:type="spellEnd"/>
      <w:r w:rsidRPr="00FD2A62">
        <w:rPr>
          <w:lang w:val="en-US"/>
        </w:rPr>
        <w:t xml:space="preserve"> </w:t>
      </w:r>
      <w:proofErr w:type="spellStart"/>
      <w:r w:rsidRPr="00FD2A62">
        <w:rPr>
          <w:lang w:val="en-US"/>
        </w:rPr>
        <w:t>verimli</w:t>
      </w:r>
      <w:proofErr w:type="spellEnd"/>
      <w:r w:rsidRPr="00FD2A62">
        <w:rPr>
          <w:lang w:val="en-US"/>
        </w:rPr>
        <w:t xml:space="preserve"> </w:t>
      </w:r>
      <w:proofErr w:type="spellStart"/>
      <w:r w:rsidRPr="00FD2A62">
        <w:rPr>
          <w:lang w:val="en-US"/>
        </w:rPr>
        <w:t>ve</w:t>
      </w:r>
      <w:proofErr w:type="spellEnd"/>
      <w:r w:rsidRPr="00FD2A62">
        <w:rPr>
          <w:lang w:val="en-US"/>
        </w:rPr>
        <w:t xml:space="preserve"> </w:t>
      </w:r>
      <w:proofErr w:type="spellStart"/>
      <w:r w:rsidRPr="00FD2A62">
        <w:rPr>
          <w:lang w:val="en-US"/>
        </w:rPr>
        <w:t>hızlı</w:t>
      </w:r>
      <w:proofErr w:type="spellEnd"/>
      <w:r w:rsidRPr="00FD2A62">
        <w:rPr>
          <w:lang w:val="en-US"/>
        </w:rPr>
        <w:t xml:space="preserve"> </w:t>
      </w:r>
      <w:proofErr w:type="spellStart"/>
      <w:r w:rsidRPr="00FD2A62">
        <w:rPr>
          <w:lang w:val="en-US"/>
        </w:rPr>
        <w:t>çalışmayı</w:t>
      </w:r>
      <w:proofErr w:type="spellEnd"/>
      <w:r w:rsidRPr="00FD2A62">
        <w:rPr>
          <w:lang w:val="en-US"/>
        </w:rPr>
        <w:t xml:space="preserve"> </w:t>
      </w:r>
      <w:proofErr w:type="spellStart"/>
      <w:r w:rsidRPr="00FD2A62">
        <w:rPr>
          <w:lang w:val="en-US"/>
        </w:rPr>
        <w:t>amaçlamaktadır</w:t>
      </w:r>
      <w:proofErr w:type="spellEnd"/>
      <w:r w:rsidRPr="00FD2A62">
        <w:rPr>
          <w:lang w:val="en-US"/>
        </w:rPr>
        <w:t>.</w:t>
      </w:r>
    </w:p>
    <w:p w14:paraId="6E194094" w14:textId="3A058D39" w:rsidR="00FD2A62" w:rsidRPr="00FD2A62" w:rsidRDefault="00FD2A62" w:rsidP="00FD2A62">
      <w:pPr>
        <w:rPr>
          <w:lang w:val="en-US"/>
        </w:rPr>
      </w:pPr>
      <w:r w:rsidRPr="00FD2A62">
        <w:rPr>
          <w:lang w:val="en-US"/>
        </w:rPr>
        <w:t xml:space="preserve">Bu alt </w:t>
      </w:r>
      <w:proofErr w:type="spellStart"/>
      <w:r w:rsidRPr="00FD2A62">
        <w:rPr>
          <w:lang w:val="en-US"/>
        </w:rPr>
        <w:t>bölümde</w:t>
      </w:r>
      <w:proofErr w:type="spellEnd"/>
      <w:r w:rsidRPr="00FD2A62">
        <w:rPr>
          <w:lang w:val="en-US"/>
        </w:rPr>
        <w:t xml:space="preserve"> </w:t>
      </w:r>
      <w:proofErr w:type="spellStart"/>
      <w:r w:rsidRPr="00FD2A62">
        <w:rPr>
          <w:lang w:val="en-US"/>
        </w:rPr>
        <w:t>ele</w:t>
      </w:r>
      <w:proofErr w:type="spellEnd"/>
      <w:r w:rsidRPr="00FD2A62">
        <w:rPr>
          <w:lang w:val="en-US"/>
        </w:rPr>
        <w:t xml:space="preserve"> </w:t>
      </w:r>
      <w:proofErr w:type="spellStart"/>
      <w:r w:rsidRPr="00FD2A62">
        <w:rPr>
          <w:lang w:val="en-US"/>
        </w:rPr>
        <w:t>alınan</w:t>
      </w:r>
      <w:proofErr w:type="spellEnd"/>
      <w:r w:rsidRPr="00FD2A62">
        <w:rPr>
          <w:lang w:val="en-US"/>
        </w:rPr>
        <w:t xml:space="preserve"> </w:t>
      </w:r>
      <w:proofErr w:type="spellStart"/>
      <w:r w:rsidRPr="00FD2A62">
        <w:rPr>
          <w:lang w:val="en-US"/>
        </w:rPr>
        <w:t>dinamikler</w:t>
      </w:r>
      <w:proofErr w:type="spellEnd"/>
      <w:r w:rsidRPr="00FD2A62">
        <w:rPr>
          <w:lang w:val="en-US"/>
        </w:rPr>
        <w:t xml:space="preserve">, </w:t>
      </w:r>
      <w:proofErr w:type="spellStart"/>
      <w:r w:rsidRPr="00FD2A62">
        <w:rPr>
          <w:lang w:val="en-US"/>
        </w:rPr>
        <w:t>farklı</w:t>
      </w:r>
      <w:proofErr w:type="spellEnd"/>
      <w:r w:rsidRPr="00FD2A62">
        <w:rPr>
          <w:lang w:val="en-US"/>
        </w:rPr>
        <w:t xml:space="preserve"> </w:t>
      </w:r>
      <w:proofErr w:type="spellStart"/>
      <w:r w:rsidRPr="00FD2A62">
        <w:rPr>
          <w:lang w:val="en-US"/>
        </w:rPr>
        <w:t>davalarda</w:t>
      </w:r>
      <w:proofErr w:type="spellEnd"/>
      <w:r w:rsidRPr="00FD2A62">
        <w:rPr>
          <w:lang w:val="en-US"/>
        </w:rPr>
        <w:t xml:space="preserve"> </w:t>
      </w:r>
      <w:proofErr w:type="spellStart"/>
      <w:r w:rsidRPr="00FD2A62">
        <w:rPr>
          <w:lang w:val="en-US"/>
        </w:rPr>
        <w:t>farklı</w:t>
      </w:r>
      <w:proofErr w:type="spellEnd"/>
      <w:r w:rsidRPr="00FD2A62">
        <w:rPr>
          <w:lang w:val="en-US"/>
        </w:rPr>
        <w:t xml:space="preserve"> </w:t>
      </w:r>
      <w:proofErr w:type="spellStart"/>
      <w:r w:rsidRPr="00FD2A62">
        <w:rPr>
          <w:lang w:val="en-US"/>
        </w:rPr>
        <w:t>şekillerde</w:t>
      </w:r>
      <w:proofErr w:type="spellEnd"/>
      <w:r w:rsidRPr="00FD2A62">
        <w:rPr>
          <w:lang w:val="en-US"/>
        </w:rPr>
        <w:t xml:space="preserve"> </w:t>
      </w:r>
      <w:proofErr w:type="spellStart"/>
      <w:r w:rsidRPr="00FD2A62">
        <w:rPr>
          <w:lang w:val="en-US"/>
        </w:rPr>
        <w:t>ortaya</w:t>
      </w:r>
      <w:proofErr w:type="spellEnd"/>
      <w:r w:rsidRPr="00FD2A62">
        <w:rPr>
          <w:lang w:val="en-US"/>
        </w:rPr>
        <w:t xml:space="preserve"> </w:t>
      </w:r>
      <w:proofErr w:type="spellStart"/>
      <w:r w:rsidRPr="00FD2A62">
        <w:rPr>
          <w:lang w:val="en-US"/>
        </w:rPr>
        <w:t>çıkmaktadır</w:t>
      </w:r>
      <w:proofErr w:type="spellEnd"/>
      <w:r w:rsidRPr="00FD2A62">
        <w:rPr>
          <w:lang w:val="en-US"/>
        </w:rPr>
        <w:t>. Bazen—</w:t>
      </w:r>
      <w:proofErr w:type="spellStart"/>
      <w:r w:rsidRPr="00FD2A62">
        <w:rPr>
          <w:lang w:val="en-US"/>
        </w:rPr>
        <w:t>kesinlikle</w:t>
      </w:r>
      <w:proofErr w:type="spellEnd"/>
      <w:r w:rsidRPr="00FD2A62">
        <w:rPr>
          <w:lang w:val="en-US"/>
        </w:rPr>
        <w:t xml:space="preserve"> </w:t>
      </w:r>
      <w:proofErr w:type="spellStart"/>
      <w:r w:rsidRPr="00FD2A62">
        <w:rPr>
          <w:lang w:val="en-US"/>
        </w:rPr>
        <w:t>düşündüklerinden</w:t>
      </w:r>
      <w:proofErr w:type="spellEnd"/>
      <w:r w:rsidRPr="00FD2A62">
        <w:rPr>
          <w:lang w:val="en-US"/>
        </w:rPr>
        <w:t xml:space="preserve"> </w:t>
      </w:r>
      <w:proofErr w:type="spellStart"/>
      <w:r w:rsidRPr="00FD2A62">
        <w:rPr>
          <w:lang w:val="en-US"/>
        </w:rPr>
        <w:t>daha</w:t>
      </w:r>
      <w:proofErr w:type="spellEnd"/>
      <w:r w:rsidRPr="00FD2A62">
        <w:rPr>
          <w:lang w:val="en-US"/>
        </w:rPr>
        <w:t xml:space="preserve"> </w:t>
      </w:r>
      <w:proofErr w:type="spellStart"/>
      <w:r w:rsidRPr="00FD2A62">
        <w:rPr>
          <w:lang w:val="en-US"/>
        </w:rPr>
        <w:t>seyrek</w:t>
      </w:r>
      <w:proofErr w:type="spellEnd"/>
      <w:r w:rsidRPr="00FD2A62">
        <w:rPr>
          <w:lang w:val="en-US"/>
        </w:rPr>
        <w:t xml:space="preserve"> </w:t>
      </w:r>
      <w:proofErr w:type="spellStart"/>
      <w:r w:rsidRPr="00FD2A62">
        <w:rPr>
          <w:lang w:val="en-US"/>
        </w:rPr>
        <w:t>olsa</w:t>
      </w:r>
      <w:proofErr w:type="spellEnd"/>
      <w:r w:rsidRPr="00FD2A62">
        <w:rPr>
          <w:lang w:val="en-US"/>
        </w:rPr>
        <w:t xml:space="preserve"> da—</w:t>
      </w:r>
      <w:proofErr w:type="spellStart"/>
      <w:r w:rsidRPr="00FD2A62">
        <w:rPr>
          <w:lang w:val="en-US"/>
        </w:rPr>
        <w:t>hukuk</w:t>
      </w:r>
      <w:proofErr w:type="spellEnd"/>
      <w:r w:rsidRPr="00FD2A62">
        <w:rPr>
          <w:lang w:val="en-US"/>
        </w:rPr>
        <w:t xml:space="preserve"> </w:t>
      </w:r>
      <w:proofErr w:type="spellStart"/>
      <w:r w:rsidRPr="00FD2A62">
        <w:rPr>
          <w:lang w:val="en-US"/>
        </w:rPr>
        <w:t>katipleri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görüşün</w:t>
      </w:r>
      <w:proofErr w:type="spellEnd"/>
      <w:r w:rsidRPr="00FD2A62">
        <w:rPr>
          <w:lang w:val="en-US"/>
        </w:rPr>
        <w:t xml:space="preserve"> </w:t>
      </w:r>
      <w:proofErr w:type="spellStart"/>
      <w:r w:rsidRPr="00FD2A62">
        <w:rPr>
          <w:lang w:val="en-US"/>
        </w:rPr>
        <w:t>dili</w:t>
      </w:r>
      <w:proofErr w:type="spellEnd"/>
      <w:r w:rsidRPr="00FD2A62">
        <w:rPr>
          <w:lang w:val="en-US"/>
        </w:rPr>
        <w:t xml:space="preserve">, </w:t>
      </w:r>
      <w:proofErr w:type="spellStart"/>
      <w:r w:rsidRPr="00FD2A62">
        <w:rPr>
          <w:lang w:val="en-US"/>
        </w:rPr>
        <w:t>yöntemi</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kapsamı</w:t>
      </w:r>
      <w:proofErr w:type="spellEnd"/>
      <w:r w:rsidRPr="00FD2A62">
        <w:rPr>
          <w:lang w:val="en-US"/>
        </w:rPr>
        <w:t xml:space="preserve"> </w:t>
      </w:r>
      <w:proofErr w:type="spellStart"/>
      <w:r w:rsidRPr="00FD2A62">
        <w:rPr>
          <w:lang w:val="en-US"/>
        </w:rPr>
        <w:t>hakkında</w:t>
      </w:r>
      <w:proofErr w:type="spellEnd"/>
      <w:r w:rsidRPr="00FD2A62">
        <w:rPr>
          <w:lang w:val="en-US"/>
        </w:rPr>
        <w:t xml:space="preserve">, </w:t>
      </w:r>
      <w:proofErr w:type="spellStart"/>
      <w:r w:rsidRPr="00FD2A62">
        <w:rPr>
          <w:lang w:val="en-US"/>
        </w:rPr>
        <w:t>yalnızca</w:t>
      </w:r>
      <w:proofErr w:type="spellEnd"/>
      <w:r w:rsidRPr="00FD2A62">
        <w:rPr>
          <w:lang w:val="en-US"/>
        </w:rPr>
        <w:t xml:space="preserve"> </w:t>
      </w:r>
      <w:proofErr w:type="spellStart"/>
      <w:r w:rsidRPr="00FD2A62">
        <w:rPr>
          <w:lang w:val="en-US"/>
        </w:rPr>
        <w:t>kendi</w:t>
      </w:r>
      <w:proofErr w:type="spellEnd"/>
      <w:r w:rsidRPr="00FD2A62">
        <w:rPr>
          <w:lang w:val="en-US"/>
        </w:rPr>
        <w:t xml:space="preserve"> </w:t>
      </w:r>
      <w:proofErr w:type="spellStart"/>
      <w:r w:rsidRPr="00FD2A62">
        <w:rPr>
          <w:lang w:val="en-US"/>
        </w:rPr>
        <w:t>tercihlerine</w:t>
      </w:r>
      <w:proofErr w:type="spellEnd"/>
      <w:r w:rsidRPr="00FD2A62">
        <w:rPr>
          <w:lang w:val="en-US"/>
        </w:rPr>
        <w:t xml:space="preserve"> </w:t>
      </w:r>
      <w:proofErr w:type="spellStart"/>
      <w:r w:rsidRPr="00FD2A62">
        <w:rPr>
          <w:lang w:val="en-US"/>
        </w:rPr>
        <w:t>ya</w:t>
      </w:r>
      <w:proofErr w:type="spellEnd"/>
      <w:r w:rsidRPr="00FD2A62">
        <w:rPr>
          <w:lang w:val="en-US"/>
        </w:rPr>
        <w:t xml:space="preserve"> da </w:t>
      </w:r>
      <w:proofErr w:type="spellStart"/>
      <w:r w:rsidRPr="00FD2A62">
        <w:rPr>
          <w:lang w:val="en-US"/>
        </w:rPr>
        <w:t>konferansın</w:t>
      </w:r>
      <w:proofErr w:type="spellEnd"/>
      <w:r w:rsidRPr="00FD2A62">
        <w:rPr>
          <w:lang w:val="en-US"/>
        </w:rPr>
        <w:t xml:space="preserve"> </w:t>
      </w:r>
      <w:proofErr w:type="spellStart"/>
      <w:r w:rsidRPr="00FD2A62">
        <w:rPr>
          <w:lang w:val="en-US"/>
        </w:rPr>
        <w:t>eğilimleri</w:t>
      </w:r>
      <w:proofErr w:type="spellEnd"/>
      <w:r w:rsidRPr="00FD2A62">
        <w:rPr>
          <w:lang w:val="en-US"/>
        </w:rPr>
        <w:t xml:space="preserve"> </w:t>
      </w:r>
      <w:proofErr w:type="spellStart"/>
      <w:r w:rsidRPr="00FD2A62">
        <w:rPr>
          <w:lang w:val="en-US"/>
        </w:rPr>
        <w:t>hakkındaki</w:t>
      </w:r>
      <w:proofErr w:type="spellEnd"/>
      <w:r w:rsidRPr="00FD2A62">
        <w:rPr>
          <w:lang w:val="en-US"/>
        </w:rPr>
        <w:t xml:space="preserve"> </w:t>
      </w:r>
      <w:proofErr w:type="spellStart"/>
      <w:r w:rsidRPr="00FD2A62">
        <w:rPr>
          <w:lang w:val="en-US"/>
        </w:rPr>
        <w:t>kör</w:t>
      </w:r>
      <w:proofErr w:type="spellEnd"/>
      <w:r w:rsidRPr="00FD2A62">
        <w:rPr>
          <w:lang w:val="en-US"/>
        </w:rPr>
        <w:t xml:space="preserve"> </w:t>
      </w:r>
      <w:proofErr w:type="spellStart"/>
      <w:r w:rsidRPr="00FD2A62">
        <w:rPr>
          <w:lang w:val="en-US"/>
        </w:rPr>
        <w:t>tahminlerine</w:t>
      </w:r>
      <w:proofErr w:type="spellEnd"/>
      <w:r w:rsidRPr="00FD2A62">
        <w:rPr>
          <w:lang w:val="en-US"/>
        </w:rPr>
        <w:t xml:space="preserve"> </w:t>
      </w:r>
      <w:proofErr w:type="spellStart"/>
      <w:r w:rsidRPr="00FD2A62">
        <w:rPr>
          <w:lang w:val="en-US"/>
        </w:rPr>
        <w:t>dayanan</w:t>
      </w:r>
      <w:proofErr w:type="spellEnd"/>
      <w:r w:rsidRPr="00FD2A62">
        <w:rPr>
          <w:lang w:val="en-US"/>
        </w:rPr>
        <w:t xml:space="preserve"> </w:t>
      </w:r>
      <w:proofErr w:type="spellStart"/>
      <w:r w:rsidRPr="00FD2A62">
        <w:rPr>
          <w:lang w:val="en-US"/>
        </w:rPr>
        <w:t>kararlar</w:t>
      </w:r>
      <w:proofErr w:type="spellEnd"/>
      <w:r w:rsidRPr="00FD2A62">
        <w:rPr>
          <w:lang w:val="en-US"/>
        </w:rPr>
        <w:t xml:space="preserve"> </w:t>
      </w:r>
      <w:proofErr w:type="spellStart"/>
      <w:r w:rsidRPr="00FD2A62">
        <w:rPr>
          <w:lang w:val="en-US"/>
        </w:rPr>
        <w:t>alabilmektedir</w:t>
      </w:r>
      <w:proofErr w:type="spellEnd"/>
      <w:r w:rsidRPr="00FD2A62">
        <w:rPr>
          <w:lang w:val="en-US"/>
        </w:rPr>
        <w:t xml:space="preserve">. </w:t>
      </w:r>
      <w:proofErr w:type="spellStart"/>
      <w:r w:rsidRPr="00FD2A62">
        <w:rPr>
          <w:lang w:val="en-US"/>
        </w:rPr>
        <w:t>Diğer</w:t>
      </w:r>
      <w:proofErr w:type="spellEnd"/>
      <w:r w:rsidRPr="00FD2A62">
        <w:rPr>
          <w:lang w:val="en-US"/>
        </w:rPr>
        <w:t xml:space="preserve"> </w:t>
      </w:r>
      <w:proofErr w:type="spellStart"/>
      <w:r w:rsidRPr="00FD2A62">
        <w:rPr>
          <w:lang w:val="en-US"/>
        </w:rPr>
        <w:t>zamanlarda</w:t>
      </w:r>
      <w:proofErr w:type="spellEnd"/>
      <w:r w:rsidRPr="00FD2A62">
        <w:rPr>
          <w:lang w:val="en-US"/>
        </w:rPr>
        <w:t xml:space="preserve">, </w:t>
      </w:r>
      <w:proofErr w:type="spellStart"/>
      <w:r w:rsidRPr="00FD2A62">
        <w:rPr>
          <w:lang w:val="en-US"/>
        </w:rPr>
        <w:t>Yargıçlar</w:t>
      </w:r>
      <w:proofErr w:type="spellEnd"/>
      <w:r w:rsidRPr="00FD2A62">
        <w:rPr>
          <w:lang w:val="en-US"/>
        </w:rPr>
        <w:t xml:space="preserve"> </w:t>
      </w:r>
      <w:proofErr w:type="spellStart"/>
      <w:r w:rsidRPr="00FD2A62">
        <w:rPr>
          <w:lang w:val="en-US"/>
        </w:rPr>
        <w:t>katipleriyle</w:t>
      </w:r>
      <w:proofErr w:type="spellEnd"/>
      <w:r w:rsidRPr="00FD2A62">
        <w:rPr>
          <w:lang w:val="en-US"/>
        </w:rPr>
        <w:t xml:space="preserve"> </w:t>
      </w:r>
      <w:proofErr w:type="spellStart"/>
      <w:r w:rsidRPr="00FD2A62">
        <w:rPr>
          <w:lang w:val="en-US"/>
        </w:rPr>
        <w:t>dava</w:t>
      </w:r>
      <w:proofErr w:type="spellEnd"/>
      <w:r w:rsidRPr="00FD2A62">
        <w:rPr>
          <w:lang w:val="en-US"/>
        </w:rPr>
        <w:t xml:space="preserve"> </w:t>
      </w:r>
      <w:proofErr w:type="spellStart"/>
      <w:r w:rsidRPr="00FD2A62">
        <w:rPr>
          <w:lang w:val="en-US"/>
        </w:rPr>
        <w:t>sonucuna</w:t>
      </w:r>
      <w:proofErr w:type="spellEnd"/>
      <w:r w:rsidRPr="00FD2A62">
        <w:rPr>
          <w:lang w:val="en-US"/>
        </w:rPr>
        <w:t xml:space="preserve"> </w:t>
      </w:r>
      <w:proofErr w:type="spellStart"/>
      <w:r w:rsidRPr="00FD2A62">
        <w:rPr>
          <w:lang w:val="en-US"/>
        </w:rPr>
        <w:t>ilişkin</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ayrılığı</w:t>
      </w:r>
      <w:proofErr w:type="spellEnd"/>
      <w:r w:rsidRPr="00FD2A62">
        <w:rPr>
          <w:lang w:val="en-US"/>
        </w:rPr>
        <w:t xml:space="preserve"> </w:t>
      </w:r>
      <w:proofErr w:type="spellStart"/>
      <w:r w:rsidRPr="00FD2A62">
        <w:rPr>
          <w:lang w:val="en-US"/>
        </w:rPr>
        <w:t>yaşayabilir</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onlarla</w:t>
      </w:r>
      <w:proofErr w:type="spellEnd"/>
      <w:r w:rsidRPr="00FD2A62">
        <w:rPr>
          <w:lang w:val="en-US"/>
        </w:rPr>
        <w:t xml:space="preserve"> </w:t>
      </w:r>
      <w:proofErr w:type="spellStart"/>
      <w:r w:rsidRPr="00FD2A62">
        <w:rPr>
          <w:lang w:val="en-US"/>
        </w:rPr>
        <w:t>etkili</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iletişim</w:t>
      </w:r>
      <w:proofErr w:type="spellEnd"/>
      <w:r w:rsidRPr="00FD2A62">
        <w:rPr>
          <w:lang w:val="en-US"/>
        </w:rPr>
        <w:t xml:space="preserve"> </w:t>
      </w:r>
      <w:proofErr w:type="spellStart"/>
      <w:r w:rsidRPr="00FD2A62">
        <w:rPr>
          <w:lang w:val="en-US"/>
        </w:rPr>
        <w:t>kuramayabilir</w:t>
      </w:r>
      <w:proofErr w:type="spellEnd"/>
      <w:r w:rsidRPr="00FD2A62">
        <w:rPr>
          <w:lang w:val="en-US"/>
        </w:rPr>
        <w:t xml:space="preserve">, </w:t>
      </w:r>
      <w:proofErr w:type="spellStart"/>
      <w:r w:rsidRPr="00FD2A62">
        <w:rPr>
          <w:lang w:val="en-US"/>
        </w:rPr>
        <w:t>bu</w:t>
      </w:r>
      <w:proofErr w:type="spellEnd"/>
      <w:r w:rsidRPr="00FD2A62">
        <w:rPr>
          <w:lang w:val="en-US"/>
        </w:rPr>
        <w:t xml:space="preserve"> da </w:t>
      </w:r>
      <w:proofErr w:type="spellStart"/>
      <w:r w:rsidRPr="00FD2A62">
        <w:rPr>
          <w:lang w:val="en-US"/>
        </w:rPr>
        <w:t>tutarsız</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bağlantısız</w:t>
      </w:r>
      <w:proofErr w:type="spellEnd"/>
      <w:r w:rsidRPr="00FD2A62">
        <w:rPr>
          <w:lang w:val="en-US"/>
        </w:rPr>
        <w:t xml:space="preserve"> </w:t>
      </w:r>
      <w:proofErr w:type="spellStart"/>
      <w:r w:rsidRPr="00FD2A62">
        <w:rPr>
          <w:lang w:val="en-US"/>
        </w:rPr>
        <w:t>görünen</w:t>
      </w:r>
      <w:proofErr w:type="spellEnd"/>
      <w:r w:rsidRPr="00FD2A62">
        <w:rPr>
          <w:lang w:val="en-US"/>
        </w:rPr>
        <w:t xml:space="preserve"> </w:t>
      </w:r>
      <w:proofErr w:type="spellStart"/>
      <w:r w:rsidRPr="00FD2A62">
        <w:rPr>
          <w:lang w:val="en-US"/>
        </w:rPr>
        <w:t>görüşlerin</w:t>
      </w:r>
      <w:proofErr w:type="spellEnd"/>
      <w:r w:rsidRPr="00FD2A62">
        <w:rPr>
          <w:lang w:val="en-US"/>
        </w:rPr>
        <w:t xml:space="preserve"> </w:t>
      </w:r>
      <w:proofErr w:type="spellStart"/>
      <w:r w:rsidRPr="00FD2A62">
        <w:rPr>
          <w:lang w:val="en-US"/>
        </w:rPr>
        <w:t>ortaya</w:t>
      </w:r>
      <w:proofErr w:type="spellEnd"/>
      <w:r w:rsidRPr="00FD2A62">
        <w:rPr>
          <w:lang w:val="en-US"/>
        </w:rPr>
        <w:t xml:space="preserve"> </w:t>
      </w:r>
      <w:proofErr w:type="spellStart"/>
      <w:r w:rsidRPr="00FD2A62">
        <w:rPr>
          <w:lang w:val="en-US"/>
        </w:rPr>
        <w:t>çıkmasına</w:t>
      </w:r>
      <w:proofErr w:type="spellEnd"/>
      <w:r w:rsidRPr="00FD2A62">
        <w:rPr>
          <w:lang w:val="en-US"/>
        </w:rPr>
        <w:t xml:space="preserve"> </w:t>
      </w:r>
      <w:proofErr w:type="spellStart"/>
      <w:r w:rsidRPr="00FD2A62">
        <w:rPr>
          <w:lang w:val="en-US"/>
        </w:rPr>
        <w:t>yol</w:t>
      </w:r>
      <w:proofErr w:type="spellEnd"/>
      <w:r w:rsidRPr="00FD2A62">
        <w:rPr>
          <w:lang w:val="en-US"/>
        </w:rPr>
        <w:t xml:space="preserve"> </w:t>
      </w:r>
      <w:proofErr w:type="spellStart"/>
      <w:r w:rsidRPr="00FD2A62">
        <w:rPr>
          <w:lang w:val="en-US"/>
        </w:rPr>
        <w:t>açabilir</w:t>
      </w:r>
      <w:proofErr w:type="spellEnd"/>
      <w:r w:rsidRPr="00FD2A62">
        <w:rPr>
          <w:lang w:val="en-US"/>
        </w:rPr>
        <w:t>.⁹⁰</w:t>
      </w:r>
      <w:r>
        <w:rPr>
          <w:lang w:val="en-US"/>
        </w:rPr>
        <w:t xml:space="preserve"> </w:t>
      </w:r>
      <w:r>
        <w:rPr>
          <w:rStyle w:val="FootnoteReference"/>
          <w:lang w:val="en-US"/>
        </w:rPr>
        <w:footnoteReference w:id="90"/>
      </w:r>
      <w:r w:rsidRPr="00FD2A62">
        <w:rPr>
          <w:lang w:val="en-US"/>
        </w:rPr>
        <w:t xml:space="preserve"> </w:t>
      </w:r>
      <w:proofErr w:type="spellStart"/>
      <w:r w:rsidRPr="00FD2A62">
        <w:rPr>
          <w:lang w:val="en-US"/>
        </w:rPr>
        <w:t>Bazı</w:t>
      </w:r>
      <w:proofErr w:type="spellEnd"/>
      <w:r w:rsidRPr="00FD2A62">
        <w:rPr>
          <w:lang w:val="en-US"/>
        </w:rPr>
        <w:t xml:space="preserve"> </w:t>
      </w:r>
      <w:proofErr w:type="spellStart"/>
      <w:r w:rsidRPr="00FD2A62">
        <w:rPr>
          <w:lang w:val="en-US"/>
        </w:rPr>
        <w:t>durumlarda</w:t>
      </w:r>
      <w:proofErr w:type="spellEnd"/>
      <w:r w:rsidRPr="00FD2A62">
        <w:rPr>
          <w:lang w:val="en-US"/>
        </w:rPr>
        <w:t xml:space="preserve">, </w:t>
      </w:r>
      <w:proofErr w:type="spellStart"/>
      <w:r w:rsidRPr="00FD2A62">
        <w:rPr>
          <w:lang w:val="en-US"/>
        </w:rPr>
        <w:t>ideolojik</w:t>
      </w:r>
      <w:proofErr w:type="spellEnd"/>
      <w:r w:rsidRPr="00FD2A62">
        <w:rPr>
          <w:lang w:val="en-US"/>
        </w:rPr>
        <w:t xml:space="preserve"> </w:t>
      </w:r>
      <w:proofErr w:type="spellStart"/>
      <w:r w:rsidRPr="00FD2A62">
        <w:rPr>
          <w:lang w:val="en-US"/>
        </w:rPr>
        <w:t>olarak</w:t>
      </w:r>
      <w:proofErr w:type="spellEnd"/>
      <w:r w:rsidRPr="00FD2A62">
        <w:rPr>
          <w:lang w:val="en-US"/>
        </w:rPr>
        <w:t xml:space="preserve"> </w:t>
      </w:r>
      <w:proofErr w:type="spellStart"/>
      <w:r w:rsidRPr="00FD2A62">
        <w:rPr>
          <w:lang w:val="en-US"/>
        </w:rPr>
        <w:t>kendilerine</w:t>
      </w:r>
      <w:proofErr w:type="spellEnd"/>
      <w:r w:rsidRPr="00FD2A62">
        <w:rPr>
          <w:lang w:val="en-US"/>
        </w:rPr>
        <w:t xml:space="preserve"> </w:t>
      </w:r>
      <w:proofErr w:type="spellStart"/>
      <w:r w:rsidRPr="00FD2A62">
        <w:rPr>
          <w:lang w:val="en-US"/>
        </w:rPr>
        <w:t>yakın</w:t>
      </w:r>
      <w:proofErr w:type="spellEnd"/>
      <w:r w:rsidRPr="00FD2A62">
        <w:rPr>
          <w:lang w:val="en-US"/>
        </w:rPr>
        <w:t xml:space="preserve"> </w:t>
      </w:r>
      <w:proofErr w:type="spellStart"/>
      <w:r w:rsidRPr="00FD2A62">
        <w:rPr>
          <w:lang w:val="en-US"/>
        </w:rPr>
        <w:t>katiplerin</w:t>
      </w:r>
      <w:proofErr w:type="spellEnd"/>
      <w:r w:rsidRPr="00FD2A62">
        <w:rPr>
          <w:lang w:val="en-US"/>
        </w:rPr>
        <w:t xml:space="preserve"> </w:t>
      </w:r>
      <w:proofErr w:type="spellStart"/>
      <w:r w:rsidRPr="00FD2A62">
        <w:rPr>
          <w:lang w:val="en-US"/>
        </w:rPr>
        <w:t>teşvikiyle</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Mahkeme’nin</w:t>
      </w:r>
      <w:proofErr w:type="spellEnd"/>
      <w:r w:rsidRPr="00FD2A62">
        <w:rPr>
          <w:lang w:val="en-US"/>
        </w:rPr>
        <w:t xml:space="preserve"> </w:t>
      </w:r>
      <w:proofErr w:type="spellStart"/>
      <w:r w:rsidRPr="00FD2A62">
        <w:rPr>
          <w:lang w:val="en-US"/>
        </w:rPr>
        <w:t>görüş</w:t>
      </w:r>
      <w:proofErr w:type="spellEnd"/>
      <w:r w:rsidRPr="00FD2A62">
        <w:rPr>
          <w:lang w:val="en-US"/>
        </w:rPr>
        <w:t xml:space="preserve"> </w:t>
      </w:r>
      <w:proofErr w:type="spellStart"/>
      <w:r w:rsidRPr="00FD2A62">
        <w:rPr>
          <w:lang w:val="en-US"/>
        </w:rPr>
        <w:t>atama</w:t>
      </w:r>
      <w:proofErr w:type="spellEnd"/>
      <w:r w:rsidRPr="00FD2A62">
        <w:rPr>
          <w:lang w:val="en-US"/>
        </w:rPr>
        <w:t xml:space="preserve"> </w:t>
      </w:r>
      <w:proofErr w:type="spellStart"/>
      <w:r w:rsidRPr="00FD2A62">
        <w:rPr>
          <w:lang w:val="en-US"/>
        </w:rPr>
        <w:t>modelinin</w:t>
      </w:r>
      <w:proofErr w:type="spellEnd"/>
      <w:r w:rsidRPr="00FD2A62">
        <w:rPr>
          <w:lang w:val="en-US"/>
        </w:rPr>
        <w:t xml:space="preserve"> </w:t>
      </w:r>
      <w:proofErr w:type="spellStart"/>
      <w:r w:rsidRPr="00FD2A62">
        <w:rPr>
          <w:lang w:val="en-US"/>
        </w:rPr>
        <w:t>sunduğu</w:t>
      </w:r>
      <w:proofErr w:type="spellEnd"/>
      <w:r w:rsidRPr="00FD2A62">
        <w:rPr>
          <w:lang w:val="en-US"/>
        </w:rPr>
        <w:t xml:space="preserve"> </w:t>
      </w:r>
      <w:proofErr w:type="spellStart"/>
      <w:r w:rsidRPr="00FD2A62">
        <w:rPr>
          <w:lang w:val="en-US"/>
        </w:rPr>
        <w:t>fırsatlardan</w:t>
      </w:r>
      <w:proofErr w:type="spellEnd"/>
      <w:r w:rsidRPr="00FD2A62">
        <w:rPr>
          <w:lang w:val="en-US"/>
        </w:rPr>
        <w:t xml:space="preserve"> </w:t>
      </w:r>
      <w:proofErr w:type="spellStart"/>
      <w:r w:rsidRPr="00FD2A62">
        <w:rPr>
          <w:lang w:val="en-US"/>
        </w:rPr>
        <w:t>yararlanma</w:t>
      </w:r>
      <w:proofErr w:type="spellEnd"/>
      <w:r w:rsidRPr="00FD2A62">
        <w:rPr>
          <w:lang w:val="en-US"/>
        </w:rPr>
        <w:t xml:space="preserve"> </w:t>
      </w:r>
      <w:proofErr w:type="spellStart"/>
      <w:r w:rsidRPr="00FD2A62">
        <w:rPr>
          <w:lang w:val="en-US"/>
        </w:rPr>
        <w:t>isteğiyle</w:t>
      </w:r>
      <w:proofErr w:type="spellEnd"/>
      <w:r w:rsidRPr="00FD2A62">
        <w:rPr>
          <w:lang w:val="en-US"/>
        </w:rPr>
        <w:t xml:space="preserve"> </w:t>
      </w:r>
      <w:proofErr w:type="spellStart"/>
      <w:r w:rsidRPr="00FD2A62">
        <w:rPr>
          <w:lang w:val="en-US"/>
        </w:rPr>
        <w:t>Yargıçlar</w:t>
      </w:r>
      <w:proofErr w:type="spellEnd"/>
      <w:r w:rsidRPr="00FD2A62">
        <w:rPr>
          <w:lang w:val="en-US"/>
        </w:rPr>
        <w:t xml:space="preserve">, </w:t>
      </w:r>
      <w:proofErr w:type="spellStart"/>
      <w:r w:rsidRPr="00FD2A62">
        <w:rPr>
          <w:lang w:val="en-US"/>
        </w:rPr>
        <w:t>iddialarını</w:t>
      </w:r>
      <w:proofErr w:type="spellEnd"/>
      <w:r w:rsidRPr="00FD2A62">
        <w:rPr>
          <w:lang w:val="en-US"/>
        </w:rPr>
        <w:t xml:space="preserve"> </w:t>
      </w:r>
      <w:proofErr w:type="spellStart"/>
      <w:r w:rsidRPr="00FD2A62">
        <w:rPr>
          <w:lang w:val="en-US"/>
        </w:rPr>
        <w:t>normalde</w:t>
      </w:r>
      <w:proofErr w:type="spellEnd"/>
      <w:r w:rsidRPr="00FD2A62">
        <w:rPr>
          <w:lang w:val="en-US"/>
        </w:rPr>
        <w:t xml:space="preserve"> </w:t>
      </w:r>
      <w:proofErr w:type="spellStart"/>
      <w:r w:rsidRPr="00FD2A62">
        <w:rPr>
          <w:lang w:val="en-US"/>
        </w:rPr>
        <w:t>taşıyacaklarından</w:t>
      </w:r>
      <w:proofErr w:type="spellEnd"/>
      <w:r w:rsidRPr="00FD2A62">
        <w:rPr>
          <w:lang w:val="en-US"/>
        </w:rPr>
        <w:t xml:space="preserve"> </w:t>
      </w:r>
      <w:proofErr w:type="spellStart"/>
      <w:r w:rsidRPr="00FD2A62">
        <w:rPr>
          <w:lang w:val="en-US"/>
        </w:rPr>
        <w:t>daha</w:t>
      </w:r>
      <w:proofErr w:type="spellEnd"/>
      <w:r w:rsidRPr="00FD2A62">
        <w:rPr>
          <w:lang w:val="en-US"/>
        </w:rPr>
        <w:t xml:space="preserve"> </w:t>
      </w:r>
      <w:proofErr w:type="spellStart"/>
      <w:r w:rsidRPr="00FD2A62">
        <w:rPr>
          <w:lang w:val="en-US"/>
        </w:rPr>
        <w:t>ileriye</w:t>
      </w:r>
      <w:proofErr w:type="spellEnd"/>
      <w:r w:rsidRPr="00FD2A62">
        <w:rPr>
          <w:lang w:val="en-US"/>
        </w:rPr>
        <w:t xml:space="preserve"> </w:t>
      </w:r>
      <w:proofErr w:type="spellStart"/>
      <w:r w:rsidRPr="00FD2A62">
        <w:rPr>
          <w:lang w:val="en-US"/>
        </w:rPr>
        <w:t>götürebilir</w:t>
      </w:r>
      <w:proofErr w:type="spellEnd"/>
      <w:r w:rsidRPr="00FD2A62">
        <w:rPr>
          <w:lang w:val="en-US"/>
        </w:rPr>
        <w:t xml:space="preserve"> </w:t>
      </w:r>
      <w:proofErr w:type="spellStart"/>
      <w:r w:rsidRPr="00FD2A62">
        <w:rPr>
          <w:lang w:val="en-US"/>
        </w:rPr>
        <w:t>ya</w:t>
      </w:r>
      <w:proofErr w:type="spellEnd"/>
      <w:r w:rsidRPr="00FD2A62">
        <w:rPr>
          <w:lang w:val="en-US"/>
        </w:rPr>
        <w:t xml:space="preserve"> da </w:t>
      </w:r>
      <w:proofErr w:type="spellStart"/>
      <w:r w:rsidRPr="00FD2A62">
        <w:rPr>
          <w:lang w:val="en-US"/>
        </w:rPr>
        <w:t>görüşlerinde</w:t>
      </w:r>
      <w:proofErr w:type="spellEnd"/>
      <w:r w:rsidRPr="00FD2A62">
        <w:rPr>
          <w:lang w:val="en-US"/>
        </w:rPr>
        <w:t xml:space="preserve"> </w:t>
      </w:r>
      <w:proofErr w:type="spellStart"/>
      <w:r w:rsidRPr="00FD2A62">
        <w:rPr>
          <w:lang w:val="en-US"/>
        </w:rPr>
        <w:t>gelecekteki</w:t>
      </w:r>
      <w:proofErr w:type="spellEnd"/>
      <w:r w:rsidRPr="00FD2A62">
        <w:rPr>
          <w:lang w:val="en-US"/>
        </w:rPr>
        <w:t xml:space="preserve"> </w:t>
      </w:r>
      <w:proofErr w:type="spellStart"/>
      <w:r w:rsidRPr="00FD2A62">
        <w:rPr>
          <w:lang w:val="en-US"/>
        </w:rPr>
        <w:t>davalar</w:t>
      </w:r>
      <w:proofErr w:type="spellEnd"/>
      <w:r w:rsidRPr="00FD2A62">
        <w:rPr>
          <w:lang w:val="en-US"/>
        </w:rPr>
        <w:t xml:space="preserve"> </w:t>
      </w:r>
      <w:proofErr w:type="spellStart"/>
      <w:r w:rsidRPr="00FD2A62">
        <w:rPr>
          <w:lang w:val="en-US"/>
        </w:rPr>
        <w:t>için</w:t>
      </w:r>
      <w:proofErr w:type="spellEnd"/>
      <w:r w:rsidRPr="00FD2A62">
        <w:rPr>
          <w:lang w:val="en-US"/>
        </w:rPr>
        <w:t xml:space="preserve"> </w:t>
      </w:r>
      <w:proofErr w:type="spellStart"/>
      <w:r w:rsidRPr="00FD2A62">
        <w:rPr>
          <w:lang w:val="en-US"/>
        </w:rPr>
        <w:t>zemin</w:t>
      </w:r>
      <w:proofErr w:type="spellEnd"/>
      <w:r w:rsidRPr="00FD2A62">
        <w:rPr>
          <w:lang w:val="en-US"/>
        </w:rPr>
        <w:t xml:space="preserve"> </w:t>
      </w:r>
      <w:proofErr w:type="spellStart"/>
      <w:r w:rsidRPr="00FD2A62">
        <w:rPr>
          <w:lang w:val="en-US"/>
        </w:rPr>
        <w:t>hazırlamak</w:t>
      </w:r>
      <w:proofErr w:type="spellEnd"/>
      <w:r w:rsidRPr="00FD2A62">
        <w:rPr>
          <w:lang w:val="en-US"/>
        </w:rPr>
        <w:t xml:space="preserve"> </w:t>
      </w:r>
      <w:proofErr w:type="spellStart"/>
      <w:r w:rsidRPr="00FD2A62">
        <w:rPr>
          <w:lang w:val="en-US"/>
        </w:rPr>
        <w:t>amacıyla</w:t>
      </w:r>
      <w:proofErr w:type="spellEnd"/>
      <w:r w:rsidRPr="00FD2A62">
        <w:rPr>
          <w:lang w:val="en-US"/>
        </w:rPr>
        <w:t xml:space="preserve"> </w:t>
      </w:r>
      <w:proofErr w:type="spellStart"/>
      <w:r w:rsidRPr="00FD2A62">
        <w:rPr>
          <w:lang w:val="en-US"/>
        </w:rPr>
        <w:t>stratejik</w:t>
      </w:r>
      <w:proofErr w:type="spellEnd"/>
      <w:r w:rsidRPr="00FD2A62">
        <w:rPr>
          <w:lang w:val="en-US"/>
        </w:rPr>
        <w:t xml:space="preserve"> </w:t>
      </w:r>
      <w:proofErr w:type="spellStart"/>
      <w:r w:rsidRPr="00FD2A62">
        <w:rPr>
          <w:lang w:val="en-US"/>
        </w:rPr>
        <w:t>olarak</w:t>
      </w:r>
      <w:proofErr w:type="spellEnd"/>
      <w:r w:rsidRPr="00FD2A62">
        <w:rPr>
          <w:lang w:val="en-US"/>
        </w:rPr>
        <w:t xml:space="preserve"> "</w:t>
      </w:r>
      <w:proofErr w:type="spellStart"/>
      <w:r w:rsidRPr="00FD2A62">
        <w:rPr>
          <w:lang w:val="en-US"/>
        </w:rPr>
        <w:t>ekmek</w:t>
      </w:r>
      <w:proofErr w:type="spellEnd"/>
      <w:r w:rsidRPr="00FD2A62">
        <w:rPr>
          <w:lang w:val="en-US"/>
        </w:rPr>
        <w:t xml:space="preserve"> </w:t>
      </w:r>
      <w:proofErr w:type="spellStart"/>
      <w:r w:rsidRPr="00FD2A62">
        <w:rPr>
          <w:lang w:val="en-US"/>
        </w:rPr>
        <w:t>kırıntıları</w:t>
      </w:r>
      <w:proofErr w:type="spellEnd"/>
      <w:r w:rsidRPr="00FD2A62">
        <w:rPr>
          <w:lang w:val="en-US"/>
        </w:rPr>
        <w:t xml:space="preserve">" </w:t>
      </w:r>
      <w:proofErr w:type="spellStart"/>
      <w:r w:rsidRPr="00FD2A62">
        <w:rPr>
          <w:lang w:val="en-US"/>
        </w:rPr>
        <w:t>bırakabilir</w:t>
      </w:r>
      <w:proofErr w:type="spellEnd"/>
      <w:r w:rsidRPr="00FD2A62">
        <w:rPr>
          <w:lang w:val="en-US"/>
        </w:rPr>
        <w:t xml:space="preserve"> </w:t>
      </w:r>
      <w:proofErr w:type="spellStart"/>
      <w:r w:rsidRPr="00FD2A62">
        <w:rPr>
          <w:lang w:val="en-US"/>
        </w:rPr>
        <w:t>veya</w:t>
      </w:r>
      <w:proofErr w:type="spellEnd"/>
      <w:r w:rsidRPr="00FD2A62">
        <w:rPr>
          <w:lang w:val="en-US"/>
        </w:rPr>
        <w:t xml:space="preserve"> "zaman </w:t>
      </w:r>
      <w:proofErr w:type="spellStart"/>
      <w:r w:rsidRPr="00FD2A62">
        <w:rPr>
          <w:lang w:val="en-US"/>
        </w:rPr>
        <w:t>ayarlı</w:t>
      </w:r>
      <w:proofErr w:type="spellEnd"/>
      <w:r w:rsidRPr="00FD2A62">
        <w:rPr>
          <w:lang w:val="en-US"/>
        </w:rPr>
        <w:t xml:space="preserve"> </w:t>
      </w:r>
      <w:proofErr w:type="spellStart"/>
      <w:r w:rsidRPr="00FD2A62">
        <w:rPr>
          <w:lang w:val="en-US"/>
        </w:rPr>
        <w:t>bombalar</w:t>
      </w:r>
      <w:proofErr w:type="spellEnd"/>
      <w:r w:rsidRPr="00FD2A62">
        <w:rPr>
          <w:lang w:val="en-US"/>
        </w:rPr>
        <w:t>" yerleştirebilirler.⁹¹</w:t>
      </w:r>
      <w:r>
        <w:rPr>
          <w:lang w:val="en-US"/>
        </w:rPr>
        <w:t xml:space="preserve"> </w:t>
      </w:r>
      <w:r>
        <w:rPr>
          <w:rStyle w:val="FootnoteReference"/>
          <w:lang w:val="en-US"/>
        </w:rPr>
        <w:footnoteReference w:id="91"/>
      </w:r>
      <w:r w:rsidRPr="00FD2A62">
        <w:rPr>
          <w:lang w:val="en-US"/>
        </w:rPr>
        <w:t xml:space="preserve"> </w:t>
      </w:r>
      <w:proofErr w:type="spellStart"/>
      <w:r w:rsidRPr="00FD2A62">
        <w:rPr>
          <w:lang w:val="en-US"/>
        </w:rPr>
        <w:t>Diğer</w:t>
      </w:r>
      <w:proofErr w:type="spellEnd"/>
      <w:r w:rsidRPr="00FD2A62">
        <w:rPr>
          <w:lang w:val="en-US"/>
        </w:rPr>
        <w:t xml:space="preserve"> </w:t>
      </w:r>
      <w:proofErr w:type="spellStart"/>
      <w:r w:rsidRPr="00FD2A62">
        <w:rPr>
          <w:lang w:val="en-US"/>
        </w:rPr>
        <w:t>durumlarda</w:t>
      </w:r>
      <w:proofErr w:type="spellEnd"/>
      <w:r w:rsidRPr="00FD2A62">
        <w:rPr>
          <w:lang w:val="en-US"/>
        </w:rPr>
        <w:t xml:space="preserve"> </w:t>
      </w:r>
      <w:proofErr w:type="spellStart"/>
      <w:r w:rsidRPr="00FD2A62">
        <w:rPr>
          <w:lang w:val="en-US"/>
        </w:rPr>
        <w:t>ise</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davanın</w:t>
      </w:r>
      <w:proofErr w:type="spellEnd"/>
      <w:r w:rsidRPr="00FD2A62">
        <w:rPr>
          <w:lang w:val="en-US"/>
        </w:rPr>
        <w:t xml:space="preserve"> </w:t>
      </w:r>
      <w:proofErr w:type="spellStart"/>
      <w:r w:rsidRPr="00FD2A62">
        <w:rPr>
          <w:lang w:val="en-US"/>
        </w:rPr>
        <w:t>sonucunun</w:t>
      </w:r>
      <w:proofErr w:type="spellEnd"/>
      <w:r w:rsidRPr="00FD2A62">
        <w:rPr>
          <w:lang w:val="en-US"/>
        </w:rPr>
        <w:t xml:space="preserve"> </w:t>
      </w:r>
      <w:proofErr w:type="spellStart"/>
      <w:r w:rsidRPr="00FD2A62">
        <w:rPr>
          <w:lang w:val="en-US"/>
        </w:rPr>
        <w:t>ayrıntıları</w:t>
      </w:r>
      <w:proofErr w:type="spellEnd"/>
      <w:r w:rsidRPr="00FD2A62">
        <w:rPr>
          <w:lang w:val="en-US"/>
        </w:rPr>
        <w:t xml:space="preserve"> </w:t>
      </w:r>
      <w:proofErr w:type="spellStart"/>
      <w:r w:rsidRPr="00FD2A62">
        <w:rPr>
          <w:lang w:val="en-US"/>
        </w:rPr>
        <w:t>üzerine</w:t>
      </w:r>
      <w:proofErr w:type="spellEnd"/>
      <w:r w:rsidRPr="00FD2A62">
        <w:rPr>
          <w:lang w:val="en-US"/>
        </w:rPr>
        <w:t xml:space="preserve"> </w:t>
      </w:r>
      <w:proofErr w:type="spellStart"/>
      <w:r w:rsidRPr="00FD2A62">
        <w:rPr>
          <w:lang w:val="en-US"/>
        </w:rPr>
        <w:t>önceden</w:t>
      </w:r>
      <w:proofErr w:type="spellEnd"/>
      <w:r w:rsidRPr="00FD2A62">
        <w:rPr>
          <w:lang w:val="en-US"/>
        </w:rPr>
        <w:t xml:space="preserve"> </w:t>
      </w:r>
      <w:proofErr w:type="spellStart"/>
      <w:r w:rsidRPr="00FD2A62">
        <w:rPr>
          <w:lang w:val="en-US"/>
        </w:rPr>
        <w:t>fikir</w:t>
      </w:r>
      <w:proofErr w:type="spellEnd"/>
      <w:r w:rsidRPr="00FD2A62">
        <w:rPr>
          <w:lang w:val="en-US"/>
        </w:rPr>
        <w:t xml:space="preserve"> </w:t>
      </w:r>
      <w:proofErr w:type="spellStart"/>
      <w:r w:rsidRPr="00FD2A62">
        <w:rPr>
          <w:lang w:val="en-US"/>
        </w:rPr>
        <w:t>birliği</w:t>
      </w:r>
      <w:proofErr w:type="spellEnd"/>
      <w:r w:rsidRPr="00FD2A62">
        <w:rPr>
          <w:lang w:val="en-US"/>
        </w:rPr>
        <w:t xml:space="preserve"> </w:t>
      </w:r>
      <w:proofErr w:type="spellStart"/>
      <w:r w:rsidRPr="00FD2A62">
        <w:rPr>
          <w:lang w:val="en-US"/>
        </w:rPr>
        <w:t>oluşturma</w:t>
      </w:r>
      <w:proofErr w:type="spellEnd"/>
      <w:r w:rsidRPr="00FD2A62">
        <w:rPr>
          <w:lang w:val="en-US"/>
        </w:rPr>
        <w:t xml:space="preserve"> </w:t>
      </w:r>
      <w:proofErr w:type="spellStart"/>
      <w:r w:rsidRPr="00FD2A62">
        <w:rPr>
          <w:lang w:val="en-US"/>
        </w:rPr>
        <w:t>fırsatının</w:t>
      </w:r>
      <w:proofErr w:type="spellEnd"/>
      <w:r w:rsidRPr="00FD2A62">
        <w:rPr>
          <w:lang w:val="en-US"/>
        </w:rPr>
        <w:t xml:space="preserve"> </w:t>
      </w:r>
      <w:proofErr w:type="spellStart"/>
      <w:r w:rsidRPr="00FD2A62">
        <w:rPr>
          <w:lang w:val="en-US"/>
        </w:rPr>
        <w:t>eksikliği</w:t>
      </w:r>
      <w:proofErr w:type="spellEnd"/>
      <w:r w:rsidRPr="00FD2A62">
        <w:rPr>
          <w:lang w:val="en-US"/>
        </w:rPr>
        <w:t xml:space="preserve">, </w:t>
      </w:r>
      <w:proofErr w:type="spellStart"/>
      <w:r w:rsidRPr="00FD2A62">
        <w:rPr>
          <w:lang w:val="en-US"/>
        </w:rPr>
        <w:t>belirsiz</w:t>
      </w:r>
      <w:proofErr w:type="spellEnd"/>
      <w:r w:rsidRPr="00FD2A62">
        <w:rPr>
          <w:lang w:val="en-US"/>
        </w:rPr>
        <w:t xml:space="preserve">, </w:t>
      </w:r>
      <w:proofErr w:type="spellStart"/>
      <w:r w:rsidRPr="00FD2A62">
        <w:rPr>
          <w:lang w:val="en-US"/>
        </w:rPr>
        <w:t>yetersiz</w:t>
      </w:r>
      <w:proofErr w:type="spellEnd"/>
      <w:r w:rsidRPr="00FD2A62">
        <w:rPr>
          <w:lang w:val="en-US"/>
        </w:rPr>
        <w:t xml:space="preserve"> </w:t>
      </w:r>
      <w:proofErr w:type="spellStart"/>
      <w:r w:rsidRPr="00FD2A62">
        <w:rPr>
          <w:lang w:val="en-US"/>
        </w:rPr>
        <w:t>teorik</w:t>
      </w:r>
      <w:proofErr w:type="spellEnd"/>
      <w:r w:rsidRPr="00FD2A62">
        <w:rPr>
          <w:lang w:val="en-US"/>
        </w:rPr>
        <w:t xml:space="preserve"> </w:t>
      </w:r>
      <w:proofErr w:type="spellStart"/>
      <w:r w:rsidRPr="00FD2A62">
        <w:rPr>
          <w:lang w:val="en-US"/>
        </w:rPr>
        <w:t>temellere</w:t>
      </w:r>
      <w:proofErr w:type="spellEnd"/>
      <w:r w:rsidRPr="00FD2A62">
        <w:rPr>
          <w:lang w:val="en-US"/>
        </w:rPr>
        <w:t xml:space="preserve"> </w:t>
      </w:r>
      <w:proofErr w:type="spellStart"/>
      <w:r w:rsidRPr="00FD2A62">
        <w:rPr>
          <w:lang w:val="en-US"/>
        </w:rPr>
        <w:t>dayanan</w:t>
      </w:r>
      <w:proofErr w:type="spellEnd"/>
      <w:r w:rsidRPr="00FD2A62">
        <w:rPr>
          <w:lang w:val="en-US"/>
        </w:rPr>
        <w:t xml:space="preserve"> </w:t>
      </w:r>
      <w:proofErr w:type="spellStart"/>
      <w:r w:rsidRPr="00FD2A62">
        <w:rPr>
          <w:lang w:val="en-US"/>
        </w:rPr>
        <w:t>veya</w:t>
      </w:r>
      <w:proofErr w:type="spellEnd"/>
      <w:r w:rsidRPr="00FD2A62">
        <w:rPr>
          <w:lang w:val="en-US"/>
        </w:rPr>
        <w:t xml:space="preserve"> </w:t>
      </w:r>
      <w:proofErr w:type="spellStart"/>
      <w:r w:rsidRPr="00FD2A62">
        <w:rPr>
          <w:lang w:val="en-US"/>
        </w:rPr>
        <w:t>muğlak</w:t>
      </w:r>
      <w:proofErr w:type="spellEnd"/>
      <w:r w:rsidRPr="00FD2A62">
        <w:rPr>
          <w:lang w:val="en-US"/>
        </w:rPr>
        <w:t xml:space="preserve"> </w:t>
      </w:r>
      <w:proofErr w:type="spellStart"/>
      <w:r w:rsidRPr="00FD2A62">
        <w:rPr>
          <w:lang w:val="en-US"/>
        </w:rPr>
        <w:t>bir</w:t>
      </w:r>
      <w:proofErr w:type="spellEnd"/>
      <w:r w:rsidRPr="00FD2A62">
        <w:rPr>
          <w:lang w:val="en-US"/>
        </w:rPr>
        <w:t xml:space="preserve"> </w:t>
      </w:r>
      <w:proofErr w:type="spellStart"/>
      <w:r w:rsidRPr="00FD2A62">
        <w:rPr>
          <w:lang w:val="en-US"/>
        </w:rPr>
        <w:t>görüşün</w:t>
      </w:r>
      <w:proofErr w:type="spellEnd"/>
      <w:r w:rsidRPr="00FD2A62">
        <w:rPr>
          <w:lang w:val="en-US"/>
        </w:rPr>
        <w:t xml:space="preserve"> </w:t>
      </w:r>
      <w:proofErr w:type="spellStart"/>
      <w:r w:rsidRPr="00FD2A62">
        <w:rPr>
          <w:lang w:val="en-US"/>
        </w:rPr>
        <w:t>ortaya</w:t>
      </w:r>
      <w:proofErr w:type="spellEnd"/>
      <w:r w:rsidRPr="00FD2A62">
        <w:rPr>
          <w:lang w:val="en-US"/>
        </w:rPr>
        <w:t xml:space="preserve"> </w:t>
      </w:r>
      <w:proofErr w:type="spellStart"/>
      <w:r w:rsidRPr="00FD2A62">
        <w:rPr>
          <w:lang w:val="en-US"/>
        </w:rPr>
        <w:t>çıkmasına</w:t>
      </w:r>
      <w:proofErr w:type="spellEnd"/>
      <w:r w:rsidRPr="00FD2A62">
        <w:rPr>
          <w:lang w:val="en-US"/>
        </w:rPr>
        <w:t xml:space="preserve"> </w:t>
      </w:r>
      <w:proofErr w:type="spellStart"/>
      <w:r w:rsidRPr="00FD2A62">
        <w:rPr>
          <w:lang w:val="en-US"/>
        </w:rPr>
        <w:t>neden</w:t>
      </w:r>
      <w:proofErr w:type="spellEnd"/>
      <w:r w:rsidRPr="00FD2A62">
        <w:rPr>
          <w:lang w:val="en-US"/>
        </w:rPr>
        <w:t xml:space="preserve"> </w:t>
      </w:r>
      <w:proofErr w:type="spellStart"/>
      <w:r w:rsidRPr="00FD2A62">
        <w:rPr>
          <w:lang w:val="en-US"/>
        </w:rPr>
        <w:t>olabilir</w:t>
      </w:r>
      <w:proofErr w:type="spellEnd"/>
      <w:r w:rsidRPr="00FD2A62">
        <w:rPr>
          <w:lang w:val="en-US"/>
        </w:rPr>
        <w:t>.</w:t>
      </w:r>
      <w:r>
        <w:rPr>
          <w:lang w:val="en-US"/>
        </w:rPr>
        <w:t xml:space="preserve"> [1092 - 1093]</w:t>
      </w:r>
    </w:p>
    <w:p w14:paraId="0DA368DC" w14:textId="04C81F5C" w:rsidR="003E5A86" w:rsidRDefault="003E5A86" w:rsidP="003E5A86">
      <w:pPr>
        <w:rPr>
          <w:lang w:val="en-US"/>
        </w:rPr>
      </w:pPr>
      <w:r w:rsidRPr="003E5A86">
        <w:rPr>
          <w:lang w:val="en-US"/>
        </w:rPr>
        <w:t xml:space="preserve">Bu </w:t>
      </w:r>
      <w:proofErr w:type="spellStart"/>
      <w:r w:rsidRPr="003E5A86">
        <w:rPr>
          <w:lang w:val="en-US"/>
        </w:rPr>
        <w:t>makalenin</w:t>
      </w:r>
      <w:proofErr w:type="spellEnd"/>
      <w:r w:rsidRPr="003E5A86">
        <w:rPr>
          <w:lang w:val="en-US"/>
        </w:rPr>
        <w:t xml:space="preserve"> </w:t>
      </w:r>
      <w:proofErr w:type="spellStart"/>
      <w:r w:rsidRPr="003E5A86">
        <w:rPr>
          <w:lang w:val="en-US"/>
        </w:rPr>
        <w:t>amacı</w:t>
      </w:r>
      <w:proofErr w:type="spellEnd"/>
      <w:r w:rsidRPr="003E5A86">
        <w:rPr>
          <w:lang w:val="en-US"/>
        </w:rPr>
        <w:t xml:space="preserve"> </w:t>
      </w:r>
      <w:proofErr w:type="spellStart"/>
      <w:r w:rsidRPr="003E5A86">
        <w:rPr>
          <w:lang w:val="en-US"/>
        </w:rPr>
        <w:t>açısından</w:t>
      </w:r>
      <w:proofErr w:type="spellEnd"/>
      <w:r w:rsidRPr="003E5A86">
        <w:rPr>
          <w:lang w:val="en-US"/>
        </w:rPr>
        <w:t xml:space="preserve"> </w:t>
      </w:r>
      <w:proofErr w:type="spellStart"/>
      <w:r w:rsidRPr="003E5A86">
        <w:rPr>
          <w:lang w:val="en-US"/>
        </w:rPr>
        <w:t>önemli</w:t>
      </w:r>
      <w:proofErr w:type="spellEnd"/>
      <w:r w:rsidRPr="003E5A86">
        <w:rPr>
          <w:lang w:val="en-US"/>
        </w:rPr>
        <w:t xml:space="preserve"> </w:t>
      </w:r>
      <w:proofErr w:type="spellStart"/>
      <w:r w:rsidRPr="003E5A86">
        <w:rPr>
          <w:lang w:val="en-US"/>
        </w:rPr>
        <w:t>olan</w:t>
      </w:r>
      <w:proofErr w:type="spellEnd"/>
      <w:r w:rsidRPr="003E5A86">
        <w:rPr>
          <w:lang w:val="en-US"/>
        </w:rPr>
        <w:t xml:space="preserve">, </w:t>
      </w:r>
      <w:proofErr w:type="spellStart"/>
      <w:r w:rsidRPr="003E5A86">
        <w:rPr>
          <w:lang w:val="en-US"/>
        </w:rPr>
        <w:t>hukuk</w:t>
      </w:r>
      <w:proofErr w:type="spellEnd"/>
      <w:r w:rsidRPr="003E5A86">
        <w:rPr>
          <w:lang w:val="en-US"/>
        </w:rPr>
        <w:t xml:space="preserve"> </w:t>
      </w:r>
      <w:proofErr w:type="spellStart"/>
      <w:r w:rsidRPr="003E5A86">
        <w:rPr>
          <w:lang w:val="en-US"/>
        </w:rPr>
        <w:t>katipleri</w:t>
      </w:r>
      <w:proofErr w:type="spellEnd"/>
      <w:r w:rsidRPr="003E5A86">
        <w:rPr>
          <w:lang w:val="en-US"/>
        </w:rPr>
        <w:t xml:space="preserve">, </w:t>
      </w:r>
      <w:proofErr w:type="spellStart"/>
      <w:r w:rsidRPr="003E5A86">
        <w:rPr>
          <w:lang w:val="en-US"/>
        </w:rPr>
        <w:t>konferanslar</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görüş</w:t>
      </w:r>
      <w:proofErr w:type="spellEnd"/>
      <w:r w:rsidRPr="003E5A86">
        <w:rPr>
          <w:lang w:val="en-US"/>
        </w:rPr>
        <w:t xml:space="preserve"> </w:t>
      </w:r>
      <w:proofErr w:type="spellStart"/>
      <w:r w:rsidRPr="003E5A86">
        <w:rPr>
          <w:lang w:val="en-US"/>
        </w:rPr>
        <w:t>yazımıyla</w:t>
      </w:r>
      <w:proofErr w:type="spellEnd"/>
      <w:r w:rsidRPr="003E5A86">
        <w:rPr>
          <w:lang w:val="en-US"/>
        </w:rPr>
        <w:t xml:space="preserve"> </w:t>
      </w:r>
      <w:proofErr w:type="spellStart"/>
      <w:r w:rsidRPr="003E5A86">
        <w:rPr>
          <w:lang w:val="en-US"/>
        </w:rPr>
        <w:t>ilgili</w:t>
      </w:r>
      <w:proofErr w:type="spellEnd"/>
      <w:r w:rsidRPr="003E5A86">
        <w:rPr>
          <w:lang w:val="en-US"/>
        </w:rPr>
        <w:t xml:space="preserve"> </w:t>
      </w:r>
      <w:proofErr w:type="spellStart"/>
      <w:r w:rsidRPr="003E5A86">
        <w:rPr>
          <w:lang w:val="en-US"/>
        </w:rPr>
        <w:t>çağdaş</w:t>
      </w:r>
      <w:proofErr w:type="spellEnd"/>
      <w:r w:rsidRPr="003E5A86">
        <w:rPr>
          <w:lang w:val="en-US"/>
        </w:rPr>
        <w:t xml:space="preserve"> </w:t>
      </w:r>
      <w:proofErr w:type="spellStart"/>
      <w:r w:rsidRPr="003E5A86">
        <w:rPr>
          <w:lang w:val="en-US"/>
        </w:rPr>
        <w:t>düzenlemelerin</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uygulamaların</w:t>
      </w:r>
      <w:proofErr w:type="spellEnd"/>
      <w:r w:rsidRPr="003E5A86">
        <w:rPr>
          <w:lang w:val="en-US"/>
        </w:rPr>
        <w:t xml:space="preserve"> </w:t>
      </w:r>
      <w:proofErr w:type="spellStart"/>
      <w:r w:rsidRPr="003E5A86">
        <w:rPr>
          <w:lang w:val="en-US"/>
        </w:rPr>
        <w:t>Mahkeme’nin</w:t>
      </w:r>
      <w:proofErr w:type="spellEnd"/>
      <w:r w:rsidRPr="003E5A86">
        <w:rPr>
          <w:lang w:val="en-US"/>
        </w:rPr>
        <w:t xml:space="preserve"> </w:t>
      </w:r>
      <w:proofErr w:type="spellStart"/>
      <w:r w:rsidRPr="003E5A86">
        <w:rPr>
          <w:lang w:val="en-US"/>
        </w:rPr>
        <w:t>görüşlerinin</w:t>
      </w:r>
      <w:proofErr w:type="spellEnd"/>
      <w:r w:rsidRPr="003E5A86">
        <w:rPr>
          <w:lang w:val="en-US"/>
        </w:rPr>
        <w:t xml:space="preserve"> </w:t>
      </w:r>
      <w:proofErr w:type="spellStart"/>
      <w:r w:rsidRPr="003E5A86">
        <w:rPr>
          <w:lang w:val="en-US"/>
        </w:rPr>
        <w:t>içeriğini</w:t>
      </w:r>
      <w:proofErr w:type="spellEnd"/>
      <w:r w:rsidRPr="003E5A86">
        <w:rPr>
          <w:lang w:val="en-US"/>
        </w:rPr>
        <w:t xml:space="preserve"> </w:t>
      </w:r>
      <w:proofErr w:type="spellStart"/>
      <w:r w:rsidRPr="003E5A86">
        <w:rPr>
          <w:lang w:val="en-US"/>
        </w:rPr>
        <w:t>şekillendirme</w:t>
      </w:r>
      <w:proofErr w:type="spellEnd"/>
      <w:r w:rsidRPr="003E5A86">
        <w:rPr>
          <w:lang w:val="en-US"/>
        </w:rPr>
        <w:t xml:space="preserve"> </w:t>
      </w:r>
      <w:proofErr w:type="spellStart"/>
      <w:r w:rsidRPr="003E5A86">
        <w:rPr>
          <w:lang w:val="en-US"/>
        </w:rPr>
        <w:t>biçimlerinden</w:t>
      </w:r>
      <w:proofErr w:type="spellEnd"/>
      <w:r w:rsidRPr="003E5A86">
        <w:rPr>
          <w:lang w:val="en-US"/>
        </w:rPr>
        <w:t xml:space="preserve"> </w:t>
      </w:r>
      <w:proofErr w:type="spellStart"/>
      <w:r w:rsidRPr="003E5A86">
        <w:rPr>
          <w:lang w:val="en-US"/>
        </w:rPr>
        <w:t>ziyade</w:t>
      </w:r>
      <w:proofErr w:type="spellEnd"/>
      <w:r w:rsidRPr="003E5A86">
        <w:rPr>
          <w:lang w:val="en-US"/>
        </w:rPr>
        <w:t xml:space="preserve">, </w:t>
      </w:r>
      <w:proofErr w:type="spellStart"/>
      <w:r w:rsidRPr="003E5A86">
        <w:rPr>
          <w:lang w:val="en-US"/>
        </w:rPr>
        <w:t>bunların</w:t>
      </w:r>
      <w:proofErr w:type="spellEnd"/>
      <w:r w:rsidRPr="003E5A86">
        <w:rPr>
          <w:lang w:val="en-US"/>
        </w:rPr>
        <w:t xml:space="preserve"> </w:t>
      </w:r>
      <w:proofErr w:type="spellStart"/>
      <w:r w:rsidRPr="003E5A86">
        <w:rPr>
          <w:lang w:val="en-US"/>
        </w:rPr>
        <w:t>gerçekten</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etkiyi</w:t>
      </w:r>
      <w:proofErr w:type="spellEnd"/>
      <w:r w:rsidRPr="003E5A86">
        <w:rPr>
          <w:lang w:val="en-US"/>
        </w:rPr>
        <w:t xml:space="preserve"> </w:t>
      </w:r>
      <w:proofErr w:type="spellStart"/>
      <w:r w:rsidRPr="003E5A86">
        <w:rPr>
          <w:lang w:val="en-US"/>
        </w:rPr>
        <w:t>yaratıyor</w:t>
      </w:r>
      <w:proofErr w:type="spellEnd"/>
      <w:r w:rsidRPr="003E5A86">
        <w:rPr>
          <w:lang w:val="en-US"/>
        </w:rPr>
        <w:t xml:space="preserve"> </w:t>
      </w:r>
      <w:proofErr w:type="spellStart"/>
      <w:r w:rsidRPr="003E5A86">
        <w:rPr>
          <w:lang w:val="en-US"/>
        </w:rPr>
        <w:t>olmasıdır</w:t>
      </w:r>
      <w:proofErr w:type="spellEnd"/>
      <w:r w:rsidRPr="003E5A86">
        <w:rPr>
          <w:lang w:val="en-US"/>
        </w:rPr>
        <w:t xml:space="preserve">. Daha </w:t>
      </w:r>
      <w:proofErr w:type="spellStart"/>
      <w:r w:rsidRPr="003E5A86">
        <w:rPr>
          <w:lang w:val="en-US"/>
        </w:rPr>
        <w:t>spesifik</w:t>
      </w:r>
      <w:proofErr w:type="spellEnd"/>
      <w:r w:rsidRPr="003E5A86">
        <w:rPr>
          <w:lang w:val="en-US"/>
        </w:rPr>
        <w:t xml:space="preserve"> </w:t>
      </w:r>
      <w:proofErr w:type="spellStart"/>
      <w:r w:rsidRPr="003E5A86">
        <w:rPr>
          <w:lang w:val="en-US"/>
        </w:rPr>
        <w:t>olarak</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etkilerin</w:t>
      </w:r>
      <w:proofErr w:type="spellEnd"/>
      <w:r w:rsidRPr="003E5A86">
        <w:rPr>
          <w:lang w:val="en-US"/>
        </w:rPr>
        <w:t xml:space="preserve"> var </w:t>
      </w:r>
      <w:proofErr w:type="spellStart"/>
      <w:r w:rsidRPr="003E5A86">
        <w:rPr>
          <w:lang w:val="en-US"/>
        </w:rPr>
        <w:t>olduğu</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anayasa</w:t>
      </w:r>
      <w:proofErr w:type="spellEnd"/>
      <w:r w:rsidRPr="003E5A86">
        <w:rPr>
          <w:lang w:val="en-US"/>
        </w:rPr>
        <w:t xml:space="preserve"> </w:t>
      </w:r>
      <w:proofErr w:type="spellStart"/>
      <w:r w:rsidRPr="003E5A86">
        <w:rPr>
          <w:lang w:val="en-US"/>
        </w:rPr>
        <w:t>teorisinin</w:t>
      </w:r>
      <w:proofErr w:type="spellEnd"/>
      <w:r w:rsidRPr="003E5A86">
        <w:rPr>
          <w:lang w:val="en-US"/>
        </w:rPr>
        <w:t xml:space="preserve"> </w:t>
      </w:r>
      <w:proofErr w:type="spellStart"/>
      <w:r w:rsidRPr="003E5A86">
        <w:rPr>
          <w:lang w:val="en-US"/>
        </w:rPr>
        <w:t>büyük</w:t>
      </w:r>
      <w:proofErr w:type="spellEnd"/>
      <w:r w:rsidRPr="003E5A86">
        <w:rPr>
          <w:lang w:val="en-US"/>
        </w:rPr>
        <w:t xml:space="preserve"> </w:t>
      </w:r>
      <w:proofErr w:type="spellStart"/>
      <w:r w:rsidRPr="003E5A86">
        <w:rPr>
          <w:lang w:val="en-US"/>
        </w:rPr>
        <w:t>ölçüde</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gerçeği</w:t>
      </w:r>
      <w:proofErr w:type="spellEnd"/>
      <w:r w:rsidRPr="003E5A86">
        <w:rPr>
          <w:lang w:val="en-US"/>
        </w:rPr>
        <w:t xml:space="preserve"> </w:t>
      </w:r>
      <w:proofErr w:type="spellStart"/>
      <w:r w:rsidRPr="003E5A86">
        <w:rPr>
          <w:lang w:val="en-US"/>
        </w:rPr>
        <w:t>göz</w:t>
      </w:r>
      <w:proofErr w:type="spellEnd"/>
      <w:r w:rsidRPr="003E5A86">
        <w:rPr>
          <w:lang w:val="en-US"/>
        </w:rPr>
        <w:t xml:space="preserve"> </w:t>
      </w:r>
      <w:proofErr w:type="spellStart"/>
      <w:r w:rsidRPr="003E5A86">
        <w:rPr>
          <w:lang w:val="en-US"/>
        </w:rPr>
        <w:t>ardı</w:t>
      </w:r>
      <w:proofErr w:type="spellEnd"/>
      <w:r w:rsidRPr="003E5A86">
        <w:rPr>
          <w:lang w:val="en-US"/>
        </w:rPr>
        <w:t xml:space="preserve"> </w:t>
      </w:r>
      <w:proofErr w:type="spellStart"/>
      <w:r w:rsidRPr="003E5A86">
        <w:rPr>
          <w:lang w:val="en-US"/>
        </w:rPr>
        <w:t>ettiği</w:t>
      </w:r>
      <w:proofErr w:type="spellEnd"/>
      <w:r w:rsidRPr="003E5A86">
        <w:rPr>
          <w:lang w:val="en-US"/>
        </w:rPr>
        <w:t xml:space="preserve"> </w:t>
      </w:r>
      <w:proofErr w:type="spellStart"/>
      <w:r w:rsidRPr="003E5A86">
        <w:rPr>
          <w:lang w:val="en-US"/>
        </w:rPr>
        <w:t>gerçeğidir</w:t>
      </w:r>
      <w:proofErr w:type="spellEnd"/>
      <w:r w:rsidRPr="003E5A86">
        <w:rPr>
          <w:lang w:val="en-US"/>
        </w:rPr>
        <w:t>.</w:t>
      </w:r>
      <w:r>
        <w:rPr>
          <w:lang w:val="en-US"/>
        </w:rPr>
        <w:t xml:space="preserve"> </w:t>
      </w:r>
      <w:proofErr w:type="spellStart"/>
      <w:r w:rsidRPr="003E5A86">
        <w:rPr>
          <w:lang w:val="en-US"/>
        </w:rPr>
        <w:t>Anayasa</w:t>
      </w:r>
      <w:proofErr w:type="spellEnd"/>
      <w:r w:rsidRPr="003E5A86">
        <w:rPr>
          <w:lang w:val="en-US"/>
        </w:rPr>
        <w:t xml:space="preserve"> </w:t>
      </w:r>
      <w:proofErr w:type="spellStart"/>
      <w:r w:rsidRPr="003E5A86">
        <w:rPr>
          <w:lang w:val="en-US"/>
        </w:rPr>
        <w:t>teorisi</w:t>
      </w:r>
      <w:proofErr w:type="spellEnd"/>
      <w:r w:rsidRPr="003E5A86">
        <w:rPr>
          <w:lang w:val="en-US"/>
        </w:rPr>
        <w:t xml:space="preserve">, </w:t>
      </w:r>
      <w:proofErr w:type="spellStart"/>
      <w:r w:rsidRPr="003E5A86">
        <w:rPr>
          <w:lang w:val="en-US"/>
        </w:rPr>
        <w:t>anayasal</w:t>
      </w:r>
      <w:proofErr w:type="spellEnd"/>
      <w:r w:rsidRPr="003E5A86">
        <w:rPr>
          <w:lang w:val="en-US"/>
        </w:rPr>
        <w:t xml:space="preserve"> </w:t>
      </w:r>
      <w:proofErr w:type="spellStart"/>
      <w:r w:rsidRPr="003E5A86">
        <w:rPr>
          <w:lang w:val="en-US"/>
        </w:rPr>
        <w:t>anlamdan</w:t>
      </w:r>
      <w:proofErr w:type="spellEnd"/>
      <w:r w:rsidRPr="003E5A86">
        <w:rPr>
          <w:lang w:val="en-US"/>
        </w:rPr>
        <w:t xml:space="preserve"> </w:t>
      </w:r>
      <w:proofErr w:type="spellStart"/>
      <w:r w:rsidRPr="003E5A86">
        <w:rPr>
          <w:lang w:val="en-US"/>
        </w:rPr>
        <w:t>bahsederken</w:t>
      </w:r>
      <w:proofErr w:type="spellEnd"/>
      <w:r w:rsidRPr="003E5A86">
        <w:rPr>
          <w:lang w:val="en-US"/>
        </w:rPr>
        <w:t xml:space="preserve"> </w:t>
      </w:r>
      <w:proofErr w:type="spellStart"/>
      <w:r w:rsidRPr="003E5A86">
        <w:rPr>
          <w:lang w:val="en-US"/>
        </w:rPr>
        <w:t>genellikle</w:t>
      </w:r>
      <w:proofErr w:type="spellEnd"/>
      <w:r w:rsidRPr="003E5A86">
        <w:rPr>
          <w:lang w:val="en-US"/>
        </w:rPr>
        <w:t xml:space="preserve"> </w:t>
      </w:r>
      <w:proofErr w:type="spellStart"/>
      <w:r w:rsidRPr="003E5A86">
        <w:rPr>
          <w:lang w:val="en-US"/>
        </w:rPr>
        <w:t>soyutlanmış</w:t>
      </w:r>
      <w:proofErr w:type="spellEnd"/>
      <w:r w:rsidRPr="003E5A86">
        <w:rPr>
          <w:lang w:val="en-US"/>
        </w:rPr>
        <w:t xml:space="preserve"> </w:t>
      </w:r>
      <w:proofErr w:type="spellStart"/>
      <w:r w:rsidRPr="003E5A86">
        <w:rPr>
          <w:lang w:val="en-US"/>
        </w:rPr>
        <w:t>bir</w:t>
      </w:r>
      <w:proofErr w:type="spellEnd"/>
      <w:r w:rsidRPr="003E5A86">
        <w:rPr>
          <w:lang w:val="en-US"/>
        </w:rPr>
        <w:t xml:space="preserve"> </w:t>
      </w:r>
      <w:proofErr w:type="spellStart"/>
      <w:r w:rsidRPr="003E5A86">
        <w:rPr>
          <w:lang w:val="en-US"/>
        </w:rPr>
        <w:t>anayasa</w:t>
      </w:r>
      <w:proofErr w:type="spellEnd"/>
      <w:r w:rsidRPr="003E5A86">
        <w:rPr>
          <w:lang w:val="en-US"/>
        </w:rPr>
        <w:t xml:space="preserve"> </w:t>
      </w:r>
      <w:proofErr w:type="spellStart"/>
      <w:r w:rsidRPr="003E5A86">
        <w:rPr>
          <w:lang w:val="en-US"/>
        </w:rPr>
        <w:t>yorumlama</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oluşturma</w:t>
      </w:r>
      <w:proofErr w:type="spellEnd"/>
      <w:r w:rsidRPr="003E5A86">
        <w:rPr>
          <w:lang w:val="en-US"/>
        </w:rPr>
        <w:t xml:space="preserve"> </w:t>
      </w:r>
      <w:proofErr w:type="spellStart"/>
      <w:r w:rsidRPr="003E5A86">
        <w:rPr>
          <w:lang w:val="en-US"/>
        </w:rPr>
        <w:t>sürecine</w:t>
      </w:r>
      <w:proofErr w:type="spellEnd"/>
      <w:r w:rsidRPr="003E5A86">
        <w:rPr>
          <w:lang w:val="en-US"/>
        </w:rPr>
        <w:t xml:space="preserve"> </w:t>
      </w:r>
      <w:proofErr w:type="spellStart"/>
      <w:r w:rsidRPr="003E5A86">
        <w:rPr>
          <w:lang w:val="en-US"/>
        </w:rPr>
        <w:t>odaklanır</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süreçte</w:t>
      </w:r>
      <w:proofErr w:type="spellEnd"/>
      <w:r w:rsidRPr="003E5A86">
        <w:rPr>
          <w:lang w:val="en-US"/>
        </w:rPr>
        <w:t xml:space="preserve">, </w:t>
      </w:r>
      <w:proofErr w:type="spellStart"/>
      <w:r w:rsidRPr="003E5A86">
        <w:rPr>
          <w:lang w:val="en-US"/>
        </w:rPr>
        <w:t>soyut</w:t>
      </w:r>
      <w:proofErr w:type="spellEnd"/>
      <w:r w:rsidRPr="003E5A86">
        <w:rPr>
          <w:lang w:val="en-US"/>
        </w:rPr>
        <w:t xml:space="preserve"> </w:t>
      </w:r>
      <w:proofErr w:type="spellStart"/>
      <w:r w:rsidRPr="003E5A86">
        <w:rPr>
          <w:lang w:val="en-US"/>
        </w:rPr>
        <w:t>yargıçlar</w:t>
      </w:r>
      <w:proofErr w:type="spellEnd"/>
      <w:r w:rsidRPr="003E5A86">
        <w:rPr>
          <w:lang w:val="en-US"/>
        </w:rPr>
        <w:t xml:space="preserve"> </w:t>
      </w:r>
      <w:proofErr w:type="spellStart"/>
      <w:r w:rsidRPr="003E5A86">
        <w:rPr>
          <w:lang w:val="en-US"/>
        </w:rPr>
        <w:t>soyut</w:t>
      </w:r>
      <w:proofErr w:type="spellEnd"/>
      <w:r w:rsidRPr="003E5A86">
        <w:rPr>
          <w:lang w:val="en-US"/>
        </w:rPr>
        <w:t xml:space="preserve"> </w:t>
      </w:r>
      <w:proofErr w:type="spellStart"/>
      <w:r w:rsidRPr="003E5A86">
        <w:rPr>
          <w:lang w:val="en-US"/>
        </w:rPr>
        <w:t>biçimde</w:t>
      </w:r>
      <w:proofErr w:type="spellEnd"/>
      <w:r w:rsidRPr="003E5A86">
        <w:rPr>
          <w:lang w:val="en-US"/>
        </w:rPr>
        <w:t xml:space="preserve"> </w:t>
      </w:r>
      <w:proofErr w:type="spellStart"/>
      <w:r w:rsidRPr="003E5A86">
        <w:rPr>
          <w:lang w:val="en-US"/>
        </w:rPr>
        <w:t>Anayasa’nın</w:t>
      </w:r>
      <w:proofErr w:type="spellEnd"/>
      <w:r w:rsidRPr="003E5A86">
        <w:rPr>
          <w:lang w:val="en-US"/>
        </w:rPr>
        <w:t xml:space="preserve"> ne </w:t>
      </w:r>
      <w:proofErr w:type="spellStart"/>
      <w:r w:rsidRPr="003E5A86">
        <w:rPr>
          <w:lang w:val="en-US"/>
        </w:rPr>
        <w:t>anlama</w:t>
      </w:r>
      <w:proofErr w:type="spellEnd"/>
      <w:r w:rsidRPr="003E5A86">
        <w:rPr>
          <w:lang w:val="en-US"/>
        </w:rPr>
        <w:t xml:space="preserve"> </w:t>
      </w:r>
      <w:proofErr w:type="spellStart"/>
      <w:r w:rsidRPr="003E5A86">
        <w:rPr>
          <w:lang w:val="en-US"/>
        </w:rPr>
        <w:t>geldiğini</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nasıl</w:t>
      </w:r>
      <w:proofErr w:type="spellEnd"/>
      <w:r w:rsidRPr="003E5A86">
        <w:rPr>
          <w:lang w:val="en-US"/>
        </w:rPr>
        <w:t xml:space="preserve"> </w:t>
      </w:r>
      <w:proofErr w:type="spellStart"/>
      <w:r w:rsidRPr="003E5A86">
        <w:rPr>
          <w:lang w:val="en-US"/>
        </w:rPr>
        <w:t>uygulanması</w:t>
      </w:r>
      <w:proofErr w:type="spellEnd"/>
      <w:r w:rsidRPr="003E5A86">
        <w:rPr>
          <w:lang w:val="en-US"/>
        </w:rPr>
        <w:t xml:space="preserve"> </w:t>
      </w:r>
      <w:proofErr w:type="spellStart"/>
      <w:r w:rsidRPr="003E5A86">
        <w:rPr>
          <w:lang w:val="en-US"/>
        </w:rPr>
        <w:t>gerektiğini</w:t>
      </w:r>
      <w:proofErr w:type="spellEnd"/>
      <w:r w:rsidRPr="003E5A86">
        <w:rPr>
          <w:lang w:val="en-US"/>
        </w:rPr>
        <w:t xml:space="preserve"> </w:t>
      </w:r>
      <w:proofErr w:type="spellStart"/>
      <w:r w:rsidRPr="003E5A86">
        <w:rPr>
          <w:lang w:val="en-US"/>
        </w:rPr>
        <w:t>düşünmektedir</w:t>
      </w:r>
      <w:proofErr w:type="spellEnd"/>
      <w:r w:rsidRPr="003E5A86">
        <w:rPr>
          <w:lang w:val="en-US"/>
        </w:rPr>
        <w:t xml:space="preserve">. </w:t>
      </w:r>
      <w:proofErr w:type="spellStart"/>
      <w:r w:rsidRPr="003E5A86">
        <w:rPr>
          <w:lang w:val="en-US"/>
        </w:rPr>
        <w:t>Anayasa</w:t>
      </w:r>
      <w:proofErr w:type="spellEnd"/>
      <w:r w:rsidRPr="003E5A86">
        <w:rPr>
          <w:lang w:val="en-US"/>
        </w:rPr>
        <w:t xml:space="preserve"> </w:t>
      </w:r>
      <w:proofErr w:type="spellStart"/>
      <w:r w:rsidRPr="003E5A86">
        <w:rPr>
          <w:lang w:val="en-US"/>
        </w:rPr>
        <w:t>teorisyenleri</w:t>
      </w:r>
      <w:proofErr w:type="spellEnd"/>
      <w:r w:rsidRPr="003E5A86">
        <w:rPr>
          <w:lang w:val="en-US"/>
        </w:rPr>
        <w:t xml:space="preserve"> </w:t>
      </w:r>
      <w:proofErr w:type="spellStart"/>
      <w:r w:rsidRPr="003E5A86">
        <w:rPr>
          <w:lang w:val="en-US"/>
        </w:rPr>
        <w:t>anayasal</w:t>
      </w:r>
      <w:proofErr w:type="spellEnd"/>
      <w:r w:rsidRPr="003E5A86">
        <w:rPr>
          <w:lang w:val="en-US"/>
        </w:rPr>
        <w:t xml:space="preserve"> </w:t>
      </w:r>
      <w:proofErr w:type="spellStart"/>
      <w:r w:rsidRPr="003E5A86">
        <w:rPr>
          <w:lang w:val="en-US"/>
        </w:rPr>
        <w:t>uygulamaları</w:t>
      </w:r>
      <w:proofErr w:type="spellEnd"/>
      <w:r w:rsidRPr="003E5A86">
        <w:rPr>
          <w:lang w:val="en-US"/>
        </w:rPr>
        <w:t xml:space="preserve"> </w:t>
      </w:r>
      <w:proofErr w:type="spellStart"/>
      <w:r w:rsidRPr="003E5A86">
        <w:rPr>
          <w:lang w:val="en-US"/>
        </w:rPr>
        <w:lastRenderedPageBreak/>
        <w:t>tartışmaya</w:t>
      </w:r>
      <w:proofErr w:type="spellEnd"/>
      <w:r w:rsidRPr="003E5A86">
        <w:rPr>
          <w:lang w:val="en-US"/>
        </w:rPr>
        <w:t xml:space="preserve"> </w:t>
      </w:r>
      <w:proofErr w:type="spellStart"/>
      <w:r w:rsidRPr="003E5A86">
        <w:rPr>
          <w:lang w:val="en-US"/>
        </w:rPr>
        <w:t>dahil</w:t>
      </w:r>
      <w:proofErr w:type="spellEnd"/>
      <w:r w:rsidRPr="003E5A86">
        <w:rPr>
          <w:lang w:val="en-US"/>
        </w:rPr>
        <w:t xml:space="preserve"> </w:t>
      </w:r>
      <w:proofErr w:type="spellStart"/>
      <w:r w:rsidRPr="003E5A86">
        <w:rPr>
          <w:lang w:val="en-US"/>
        </w:rPr>
        <w:t>ettiklerinde</w:t>
      </w:r>
      <w:proofErr w:type="spellEnd"/>
      <w:r w:rsidRPr="003E5A86">
        <w:rPr>
          <w:lang w:val="en-US"/>
        </w:rPr>
        <w:t xml:space="preserve"> </w:t>
      </w:r>
      <w:proofErr w:type="spellStart"/>
      <w:r w:rsidRPr="003E5A86">
        <w:rPr>
          <w:lang w:val="en-US"/>
        </w:rPr>
        <w:t>ise</w:t>
      </w:r>
      <w:proofErr w:type="spellEnd"/>
      <w:r w:rsidRPr="003E5A86">
        <w:rPr>
          <w:lang w:val="en-US"/>
        </w:rPr>
        <w:t xml:space="preserve"> </w:t>
      </w:r>
      <w:proofErr w:type="spellStart"/>
      <w:r w:rsidRPr="003E5A86">
        <w:rPr>
          <w:lang w:val="en-US"/>
        </w:rPr>
        <w:t>çerçeveleri</w:t>
      </w:r>
      <w:proofErr w:type="spellEnd"/>
      <w:r w:rsidRPr="003E5A86">
        <w:rPr>
          <w:lang w:val="en-US"/>
        </w:rPr>
        <w:t xml:space="preserve"> </w:t>
      </w:r>
      <w:proofErr w:type="spellStart"/>
      <w:r w:rsidRPr="003E5A86">
        <w:rPr>
          <w:lang w:val="en-US"/>
        </w:rPr>
        <w:t>dar</w:t>
      </w:r>
      <w:proofErr w:type="spellEnd"/>
      <w:r w:rsidRPr="003E5A86">
        <w:rPr>
          <w:lang w:val="en-US"/>
        </w:rPr>
        <w:t xml:space="preserve"> </w:t>
      </w:r>
      <w:proofErr w:type="spellStart"/>
      <w:r w:rsidRPr="003E5A86">
        <w:rPr>
          <w:lang w:val="en-US"/>
        </w:rPr>
        <w:t>kalmakta</w:t>
      </w:r>
      <w:proofErr w:type="spellEnd"/>
      <w:r w:rsidRPr="003E5A86">
        <w:rPr>
          <w:lang w:val="en-US"/>
        </w:rPr>
        <w:t xml:space="preserve">, </w:t>
      </w:r>
      <w:proofErr w:type="spellStart"/>
      <w:r w:rsidRPr="003E5A86">
        <w:rPr>
          <w:lang w:val="en-US"/>
        </w:rPr>
        <w:t>anayasal</w:t>
      </w:r>
      <w:proofErr w:type="spellEnd"/>
      <w:r w:rsidRPr="003E5A86">
        <w:rPr>
          <w:lang w:val="en-US"/>
        </w:rPr>
        <w:t xml:space="preserve"> </w:t>
      </w:r>
      <w:proofErr w:type="spellStart"/>
      <w:r w:rsidRPr="003E5A86">
        <w:rPr>
          <w:lang w:val="en-US"/>
        </w:rPr>
        <w:t>düzenimizin</w:t>
      </w:r>
      <w:proofErr w:type="spellEnd"/>
      <w:r w:rsidRPr="003E5A86">
        <w:rPr>
          <w:lang w:val="en-US"/>
        </w:rPr>
        <w:t xml:space="preserve"> </w:t>
      </w:r>
      <w:proofErr w:type="spellStart"/>
      <w:r w:rsidRPr="003E5A86">
        <w:rPr>
          <w:lang w:val="en-US"/>
        </w:rPr>
        <w:t>geniş</w:t>
      </w:r>
      <w:proofErr w:type="spellEnd"/>
      <w:r w:rsidRPr="003E5A86">
        <w:rPr>
          <w:lang w:val="en-US"/>
        </w:rPr>
        <w:t xml:space="preserve"> </w:t>
      </w:r>
      <w:proofErr w:type="spellStart"/>
      <w:r w:rsidRPr="003E5A86">
        <w:rPr>
          <w:lang w:val="en-US"/>
        </w:rPr>
        <w:t>kapsamlı</w:t>
      </w:r>
      <w:proofErr w:type="spellEnd"/>
      <w:r w:rsidRPr="003E5A86">
        <w:rPr>
          <w:lang w:val="en-US"/>
        </w:rPr>
        <w:t xml:space="preserve"> </w:t>
      </w:r>
      <w:proofErr w:type="spellStart"/>
      <w:r w:rsidRPr="003E5A86">
        <w:rPr>
          <w:lang w:val="en-US"/>
        </w:rPr>
        <w:t>unsurlarına</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bunların</w:t>
      </w:r>
      <w:proofErr w:type="spellEnd"/>
      <w:r w:rsidRPr="003E5A86">
        <w:rPr>
          <w:lang w:val="en-US"/>
        </w:rPr>
        <w:t xml:space="preserve"> </w:t>
      </w:r>
      <w:proofErr w:type="spellStart"/>
      <w:r w:rsidRPr="003E5A86">
        <w:rPr>
          <w:lang w:val="en-US"/>
        </w:rPr>
        <w:t>anayasal</w:t>
      </w:r>
      <w:proofErr w:type="spellEnd"/>
      <w:r w:rsidRPr="003E5A86">
        <w:rPr>
          <w:lang w:val="en-US"/>
        </w:rPr>
        <w:t xml:space="preserve"> </w:t>
      </w:r>
      <w:proofErr w:type="spellStart"/>
      <w:r w:rsidRPr="003E5A86">
        <w:rPr>
          <w:lang w:val="en-US"/>
        </w:rPr>
        <w:t>tasarımın</w:t>
      </w:r>
      <w:proofErr w:type="spellEnd"/>
      <w:r w:rsidRPr="003E5A86">
        <w:rPr>
          <w:lang w:val="en-US"/>
        </w:rPr>
        <w:t xml:space="preserve"> </w:t>
      </w:r>
      <w:proofErr w:type="spellStart"/>
      <w:r w:rsidRPr="003E5A86">
        <w:rPr>
          <w:lang w:val="en-US"/>
        </w:rPr>
        <w:t>bir</w:t>
      </w:r>
      <w:proofErr w:type="spellEnd"/>
      <w:r w:rsidRPr="003E5A86">
        <w:rPr>
          <w:lang w:val="en-US"/>
        </w:rPr>
        <w:t xml:space="preserve"> </w:t>
      </w:r>
      <w:proofErr w:type="spellStart"/>
      <w:r w:rsidRPr="003E5A86">
        <w:rPr>
          <w:lang w:val="en-US"/>
        </w:rPr>
        <w:t>parçası</w:t>
      </w:r>
      <w:proofErr w:type="spellEnd"/>
      <w:r w:rsidRPr="003E5A86">
        <w:rPr>
          <w:lang w:val="en-US"/>
        </w:rPr>
        <w:t xml:space="preserve"> </w:t>
      </w:r>
      <w:proofErr w:type="spellStart"/>
      <w:r w:rsidRPr="003E5A86">
        <w:rPr>
          <w:lang w:val="en-US"/>
        </w:rPr>
        <w:t>olarak</w:t>
      </w:r>
      <w:proofErr w:type="spellEnd"/>
      <w:r w:rsidRPr="003E5A86">
        <w:rPr>
          <w:lang w:val="en-US"/>
        </w:rPr>
        <w:t xml:space="preserve"> </w:t>
      </w:r>
      <w:proofErr w:type="spellStart"/>
      <w:r w:rsidRPr="003E5A86">
        <w:rPr>
          <w:lang w:val="en-US"/>
        </w:rPr>
        <w:t>nasıl</w:t>
      </w:r>
      <w:proofErr w:type="spellEnd"/>
      <w:r w:rsidRPr="003E5A86">
        <w:rPr>
          <w:lang w:val="en-US"/>
        </w:rPr>
        <w:t xml:space="preserve"> </w:t>
      </w:r>
      <w:proofErr w:type="spellStart"/>
      <w:r w:rsidRPr="003E5A86">
        <w:rPr>
          <w:lang w:val="en-US"/>
        </w:rPr>
        <w:t>ele</w:t>
      </w:r>
      <w:proofErr w:type="spellEnd"/>
      <w:r w:rsidRPr="003E5A86">
        <w:rPr>
          <w:lang w:val="en-US"/>
        </w:rPr>
        <w:t xml:space="preserve"> </w:t>
      </w:r>
      <w:proofErr w:type="spellStart"/>
      <w:r w:rsidRPr="003E5A86">
        <w:rPr>
          <w:lang w:val="en-US"/>
        </w:rPr>
        <w:t>alınabileceğine</w:t>
      </w:r>
      <w:proofErr w:type="spellEnd"/>
      <w:r w:rsidRPr="003E5A86">
        <w:rPr>
          <w:lang w:val="en-US"/>
        </w:rPr>
        <w:t xml:space="preserve"> </w:t>
      </w:r>
      <w:proofErr w:type="spellStart"/>
      <w:r w:rsidRPr="003E5A86">
        <w:rPr>
          <w:lang w:val="en-US"/>
        </w:rPr>
        <w:t>odaklanmaktadırlar</w:t>
      </w:r>
      <w:proofErr w:type="spellEnd"/>
      <w:r w:rsidRPr="003E5A86">
        <w:rPr>
          <w:lang w:val="en-US"/>
        </w:rPr>
        <w:t xml:space="preserve">. </w:t>
      </w:r>
      <w:proofErr w:type="spellStart"/>
      <w:r w:rsidRPr="003E5A86">
        <w:rPr>
          <w:lang w:val="en-US"/>
        </w:rPr>
        <w:t>Ancak</w:t>
      </w:r>
      <w:proofErr w:type="spellEnd"/>
      <w:r w:rsidRPr="003E5A86">
        <w:rPr>
          <w:lang w:val="en-US"/>
        </w:rPr>
        <w:t xml:space="preserve">, </w:t>
      </w:r>
      <w:proofErr w:type="spellStart"/>
      <w:r w:rsidRPr="003E5A86">
        <w:rPr>
          <w:lang w:val="en-US"/>
        </w:rPr>
        <w:t>anayasal</w:t>
      </w:r>
      <w:proofErr w:type="spellEnd"/>
      <w:r w:rsidRPr="003E5A86">
        <w:rPr>
          <w:lang w:val="en-US"/>
        </w:rPr>
        <w:t xml:space="preserve"> </w:t>
      </w:r>
      <w:proofErr w:type="spellStart"/>
      <w:r w:rsidRPr="003E5A86">
        <w:rPr>
          <w:lang w:val="en-US"/>
        </w:rPr>
        <w:t>görüşlerin</w:t>
      </w:r>
      <w:proofErr w:type="spellEnd"/>
      <w:r w:rsidRPr="003E5A86">
        <w:rPr>
          <w:lang w:val="en-US"/>
        </w:rPr>
        <w:t xml:space="preserve"> </w:t>
      </w:r>
      <w:proofErr w:type="spellStart"/>
      <w:r w:rsidRPr="003E5A86">
        <w:rPr>
          <w:lang w:val="en-US"/>
        </w:rPr>
        <w:t>içeriğinin</w:t>
      </w:r>
      <w:proofErr w:type="spellEnd"/>
      <w:r w:rsidRPr="003E5A86">
        <w:rPr>
          <w:lang w:val="en-US"/>
        </w:rPr>
        <w:t xml:space="preserve"> ne </w:t>
      </w:r>
      <w:proofErr w:type="spellStart"/>
      <w:r w:rsidRPr="003E5A86">
        <w:rPr>
          <w:lang w:val="en-US"/>
        </w:rPr>
        <w:t>ölçüde</w:t>
      </w:r>
      <w:proofErr w:type="spellEnd"/>
      <w:r w:rsidRPr="003E5A86">
        <w:rPr>
          <w:lang w:val="en-US"/>
        </w:rPr>
        <w:t xml:space="preserve"> </w:t>
      </w:r>
      <w:proofErr w:type="spellStart"/>
      <w:r w:rsidRPr="003E5A86">
        <w:rPr>
          <w:lang w:val="en-US"/>
        </w:rPr>
        <w:t>Mahkeme’nin</w:t>
      </w:r>
      <w:proofErr w:type="spellEnd"/>
      <w:r w:rsidRPr="003E5A86">
        <w:rPr>
          <w:lang w:val="en-US"/>
        </w:rPr>
        <w:t xml:space="preserve"> </w:t>
      </w:r>
      <w:proofErr w:type="spellStart"/>
      <w:r w:rsidRPr="003E5A86">
        <w:rPr>
          <w:lang w:val="en-US"/>
        </w:rPr>
        <w:t>mevcut</w:t>
      </w:r>
      <w:proofErr w:type="spellEnd"/>
      <w:r w:rsidRPr="003E5A86">
        <w:rPr>
          <w:lang w:val="en-US"/>
        </w:rPr>
        <w:t xml:space="preserve"> </w:t>
      </w:r>
      <w:proofErr w:type="spellStart"/>
      <w:r w:rsidRPr="003E5A86">
        <w:rPr>
          <w:lang w:val="en-US"/>
        </w:rPr>
        <w:t>kadro</w:t>
      </w:r>
      <w:proofErr w:type="spellEnd"/>
      <w:r w:rsidRPr="003E5A86">
        <w:rPr>
          <w:lang w:val="en-US"/>
        </w:rPr>
        <w:t xml:space="preserve"> </w:t>
      </w:r>
      <w:proofErr w:type="spellStart"/>
      <w:r w:rsidRPr="003E5A86">
        <w:rPr>
          <w:lang w:val="en-US"/>
        </w:rPr>
        <w:t>yapısı</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görüş</w:t>
      </w:r>
      <w:proofErr w:type="spellEnd"/>
      <w:r w:rsidRPr="003E5A86">
        <w:rPr>
          <w:lang w:val="en-US"/>
        </w:rPr>
        <w:t xml:space="preserve"> </w:t>
      </w:r>
      <w:proofErr w:type="spellStart"/>
      <w:r w:rsidRPr="003E5A86">
        <w:rPr>
          <w:lang w:val="en-US"/>
        </w:rPr>
        <w:t>atama</w:t>
      </w:r>
      <w:proofErr w:type="spellEnd"/>
      <w:r w:rsidRPr="003E5A86">
        <w:rPr>
          <w:lang w:val="en-US"/>
        </w:rPr>
        <w:t xml:space="preserve"> </w:t>
      </w:r>
      <w:proofErr w:type="spellStart"/>
      <w:r w:rsidRPr="003E5A86">
        <w:rPr>
          <w:lang w:val="en-US"/>
        </w:rPr>
        <w:t>protokollerinin</w:t>
      </w:r>
      <w:proofErr w:type="spellEnd"/>
      <w:r w:rsidRPr="003E5A86">
        <w:rPr>
          <w:lang w:val="en-US"/>
        </w:rPr>
        <w:t xml:space="preserve"> </w:t>
      </w:r>
      <w:proofErr w:type="spellStart"/>
      <w:r w:rsidRPr="003E5A86">
        <w:rPr>
          <w:lang w:val="en-US"/>
        </w:rPr>
        <w:t>yarattığı</w:t>
      </w:r>
      <w:proofErr w:type="spellEnd"/>
      <w:r w:rsidRPr="003E5A86">
        <w:rPr>
          <w:lang w:val="en-US"/>
        </w:rPr>
        <w:t xml:space="preserve"> </w:t>
      </w:r>
      <w:proofErr w:type="spellStart"/>
      <w:r w:rsidRPr="003E5A86">
        <w:rPr>
          <w:lang w:val="en-US"/>
        </w:rPr>
        <w:t>güç</w:t>
      </w:r>
      <w:proofErr w:type="spellEnd"/>
      <w:r w:rsidRPr="003E5A86">
        <w:rPr>
          <w:lang w:val="en-US"/>
        </w:rPr>
        <w:t xml:space="preserve"> </w:t>
      </w:r>
      <w:proofErr w:type="spellStart"/>
      <w:r w:rsidRPr="003E5A86">
        <w:rPr>
          <w:lang w:val="en-US"/>
        </w:rPr>
        <w:t>dinamikleri</w:t>
      </w:r>
      <w:proofErr w:type="spellEnd"/>
      <w:r w:rsidRPr="003E5A86">
        <w:rPr>
          <w:lang w:val="en-US"/>
        </w:rPr>
        <w:t xml:space="preserve">, zaman </w:t>
      </w:r>
      <w:proofErr w:type="spellStart"/>
      <w:r w:rsidRPr="003E5A86">
        <w:rPr>
          <w:lang w:val="en-US"/>
        </w:rPr>
        <w:t>baskısı</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teşvikler</w:t>
      </w:r>
      <w:proofErr w:type="spellEnd"/>
      <w:r w:rsidRPr="003E5A86">
        <w:rPr>
          <w:lang w:val="en-US"/>
        </w:rPr>
        <w:t xml:space="preserve"> </w:t>
      </w:r>
      <w:proofErr w:type="spellStart"/>
      <w:r w:rsidRPr="003E5A86">
        <w:rPr>
          <w:lang w:val="en-US"/>
        </w:rPr>
        <w:t>gibi</w:t>
      </w:r>
      <w:proofErr w:type="spellEnd"/>
      <w:r w:rsidRPr="003E5A86">
        <w:rPr>
          <w:lang w:val="en-US"/>
        </w:rPr>
        <w:t xml:space="preserve"> </w:t>
      </w:r>
      <w:proofErr w:type="spellStart"/>
      <w:r w:rsidRPr="003E5A86">
        <w:rPr>
          <w:lang w:val="en-US"/>
        </w:rPr>
        <w:t>günlük</w:t>
      </w:r>
      <w:proofErr w:type="spellEnd"/>
      <w:r w:rsidRPr="003E5A86">
        <w:rPr>
          <w:lang w:val="en-US"/>
        </w:rPr>
        <w:t xml:space="preserve"> </w:t>
      </w:r>
      <w:proofErr w:type="spellStart"/>
      <w:r w:rsidRPr="003E5A86">
        <w:rPr>
          <w:lang w:val="en-US"/>
        </w:rPr>
        <w:t>gerçeklikler</w:t>
      </w:r>
      <w:proofErr w:type="spellEnd"/>
      <w:r w:rsidRPr="003E5A86">
        <w:rPr>
          <w:lang w:val="en-US"/>
        </w:rPr>
        <w:t xml:space="preserve"> </w:t>
      </w:r>
      <w:proofErr w:type="spellStart"/>
      <w:r w:rsidRPr="003E5A86">
        <w:rPr>
          <w:lang w:val="en-US"/>
        </w:rPr>
        <w:t>tarafından</w:t>
      </w:r>
      <w:proofErr w:type="spellEnd"/>
      <w:r w:rsidRPr="003E5A86">
        <w:rPr>
          <w:lang w:val="en-US"/>
        </w:rPr>
        <w:t xml:space="preserve"> </w:t>
      </w:r>
      <w:proofErr w:type="spellStart"/>
      <w:r w:rsidRPr="003E5A86">
        <w:rPr>
          <w:lang w:val="en-US"/>
        </w:rPr>
        <w:t>şekillendirildiğini</w:t>
      </w:r>
      <w:proofErr w:type="spellEnd"/>
      <w:r w:rsidRPr="003E5A86">
        <w:rPr>
          <w:lang w:val="en-US"/>
        </w:rPr>
        <w:t xml:space="preserve"> </w:t>
      </w:r>
      <w:proofErr w:type="spellStart"/>
      <w:r w:rsidRPr="003E5A86">
        <w:rPr>
          <w:lang w:val="en-US"/>
        </w:rPr>
        <w:t>görmek</w:t>
      </w:r>
      <w:proofErr w:type="spellEnd"/>
      <w:r w:rsidRPr="003E5A86">
        <w:rPr>
          <w:lang w:val="en-US"/>
        </w:rPr>
        <w:t xml:space="preserve"> </w:t>
      </w:r>
      <w:proofErr w:type="spellStart"/>
      <w:r w:rsidRPr="003E5A86">
        <w:rPr>
          <w:lang w:val="en-US"/>
        </w:rPr>
        <w:t>için</w:t>
      </w:r>
      <w:proofErr w:type="spellEnd"/>
      <w:r w:rsidRPr="003E5A86">
        <w:rPr>
          <w:lang w:val="en-US"/>
        </w:rPr>
        <w:t xml:space="preserve"> </w:t>
      </w:r>
      <w:proofErr w:type="spellStart"/>
      <w:r w:rsidRPr="003E5A86">
        <w:rPr>
          <w:lang w:val="en-US"/>
        </w:rPr>
        <w:t>nadiren</w:t>
      </w:r>
      <w:proofErr w:type="spellEnd"/>
      <w:r w:rsidRPr="003E5A86">
        <w:rPr>
          <w:lang w:val="en-US"/>
        </w:rPr>
        <w:t xml:space="preserve"> </w:t>
      </w:r>
      <w:proofErr w:type="spellStart"/>
      <w:r w:rsidRPr="003E5A86">
        <w:rPr>
          <w:lang w:val="en-US"/>
        </w:rPr>
        <w:t>daha</w:t>
      </w:r>
      <w:proofErr w:type="spellEnd"/>
      <w:r w:rsidRPr="003E5A86">
        <w:rPr>
          <w:lang w:val="en-US"/>
        </w:rPr>
        <w:t xml:space="preserve"> </w:t>
      </w:r>
      <w:proofErr w:type="spellStart"/>
      <w:r w:rsidRPr="003E5A86">
        <w:rPr>
          <w:lang w:val="en-US"/>
        </w:rPr>
        <w:t>ayrıntılı</w:t>
      </w:r>
      <w:proofErr w:type="spellEnd"/>
      <w:r w:rsidRPr="003E5A86">
        <w:rPr>
          <w:lang w:val="en-US"/>
        </w:rPr>
        <w:t xml:space="preserve"> </w:t>
      </w:r>
      <w:proofErr w:type="spellStart"/>
      <w:r w:rsidRPr="003E5A86">
        <w:rPr>
          <w:lang w:val="en-US"/>
        </w:rPr>
        <w:t>bir</w:t>
      </w:r>
      <w:proofErr w:type="spellEnd"/>
      <w:r w:rsidRPr="003E5A86">
        <w:rPr>
          <w:lang w:val="en-US"/>
        </w:rPr>
        <w:t xml:space="preserve"> </w:t>
      </w:r>
      <w:proofErr w:type="spellStart"/>
      <w:r w:rsidRPr="003E5A86">
        <w:rPr>
          <w:lang w:val="en-US"/>
        </w:rPr>
        <w:t>incelemeye</w:t>
      </w:r>
      <w:proofErr w:type="spellEnd"/>
      <w:r w:rsidRPr="003E5A86">
        <w:rPr>
          <w:lang w:val="en-US"/>
        </w:rPr>
        <w:t xml:space="preserve"> </w:t>
      </w:r>
      <w:proofErr w:type="spellStart"/>
      <w:r w:rsidRPr="003E5A86">
        <w:rPr>
          <w:lang w:val="en-US"/>
        </w:rPr>
        <w:t>yönelmektedirler</w:t>
      </w:r>
      <w:proofErr w:type="spellEnd"/>
      <w:r w:rsidRPr="003E5A86">
        <w:rPr>
          <w:lang w:val="en-US"/>
        </w:rPr>
        <w:t>.</w:t>
      </w:r>
    </w:p>
    <w:p w14:paraId="0E0B78F3" w14:textId="77777777" w:rsidR="003E5A86" w:rsidRDefault="003E5A86" w:rsidP="003E5A86">
      <w:pPr>
        <w:pStyle w:val="Heading5"/>
        <w:rPr>
          <w:lang w:val="en-US"/>
        </w:rPr>
      </w:pPr>
      <w:r w:rsidRPr="003E5A86">
        <w:rPr>
          <w:lang w:val="en-US"/>
        </w:rPr>
        <w:t xml:space="preserve">Amicus Curiae </w:t>
      </w:r>
      <w:proofErr w:type="spellStart"/>
      <w:r w:rsidRPr="003E5A86">
        <w:rPr>
          <w:lang w:val="en-US"/>
        </w:rPr>
        <w:t>Dilekçelerinin</w:t>
      </w:r>
      <w:proofErr w:type="spellEnd"/>
      <w:r w:rsidRPr="003E5A86">
        <w:rPr>
          <w:lang w:val="en-US"/>
        </w:rPr>
        <w:t xml:space="preserve"> </w:t>
      </w:r>
      <w:proofErr w:type="spellStart"/>
      <w:r w:rsidRPr="003E5A86">
        <w:rPr>
          <w:lang w:val="en-US"/>
        </w:rPr>
        <w:t>Rolü</w:t>
      </w:r>
      <w:proofErr w:type="spellEnd"/>
    </w:p>
    <w:p w14:paraId="2120437B" w14:textId="51E718AE" w:rsidR="003E5A86" w:rsidRPr="003E5A86" w:rsidRDefault="003E5A86" w:rsidP="003E5A86">
      <w:pPr>
        <w:rPr>
          <w:lang w:val="en-US"/>
        </w:rPr>
      </w:pPr>
      <w:r w:rsidRPr="003E5A86">
        <w:rPr>
          <w:lang w:val="en-US"/>
        </w:rPr>
        <w:t xml:space="preserve">Son </w:t>
      </w:r>
      <w:proofErr w:type="spellStart"/>
      <w:r w:rsidRPr="003E5A86">
        <w:rPr>
          <w:lang w:val="en-US"/>
        </w:rPr>
        <w:t>yıllarda</w:t>
      </w:r>
      <w:proofErr w:type="spellEnd"/>
      <w:r w:rsidRPr="003E5A86">
        <w:rPr>
          <w:lang w:val="en-US"/>
        </w:rPr>
        <w:t xml:space="preserve">, Yüksek </w:t>
      </w:r>
      <w:proofErr w:type="spellStart"/>
      <w:r w:rsidRPr="003E5A86">
        <w:rPr>
          <w:lang w:val="en-US"/>
        </w:rPr>
        <w:t>Mahkeme’ye</w:t>
      </w:r>
      <w:proofErr w:type="spellEnd"/>
      <w:r w:rsidRPr="003E5A86">
        <w:rPr>
          <w:lang w:val="en-US"/>
        </w:rPr>
        <w:t xml:space="preserve"> </w:t>
      </w:r>
      <w:proofErr w:type="spellStart"/>
      <w:r w:rsidRPr="003E5A86">
        <w:rPr>
          <w:lang w:val="en-US"/>
        </w:rPr>
        <w:t>sunulan</w:t>
      </w:r>
      <w:proofErr w:type="spellEnd"/>
      <w:r w:rsidRPr="003E5A86">
        <w:rPr>
          <w:lang w:val="en-US"/>
        </w:rPr>
        <w:t xml:space="preserve"> amicus curiae </w:t>
      </w:r>
      <w:proofErr w:type="spellStart"/>
      <w:r w:rsidRPr="003E5A86">
        <w:rPr>
          <w:lang w:val="en-US"/>
        </w:rPr>
        <w:t>dilekçelerinin</w:t>
      </w:r>
      <w:proofErr w:type="spellEnd"/>
      <w:r w:rsidRPr="003E5A86">
        <w:rPr>
          <w:lang w:val="en-US"/>
        </w:rPr>
        <w:t xml:space="preserve"> </w:t>
      </w:r>
      <w:proofErr w:type="spellStart"/>
      <w:r w:rsidRPr="003E5A86">
        <w:rPr>
          <w:lang w:val="en-US"/>
        </w:rPr>
        <w:t>sayısı</w:t>
      </w:r>
      <w:proofErr w:type="spellEnd"/>
      <w:r w:rsidRPr="003E5A86">
        <w:rPr>
          <w:lang w:val="en-US"/>
        </w:rPr>
        <w:t xml:space="preserve"> </w:t>
      </w:r>
      <w:proofErr w:type="spellStart"/>
      <w:r w:rsidRPr="003E5A86">
        <w:rPr>
          <w:lang w:val="en-US"/>
        </w:rPr>
        <w:t>büyük</w:t>
      </w:r>
      <w:proofErr w:type="spellEnd"/>
      <w:r w:rsidRPr="003E5A86">
        <w:rPr>
          <w:lang w:val="en-US"/>
        </w:rPr>
        <w:t xml:space="preserve"> </w:t>
      </w:r>
      <w:proofErr w:type="spellStart"/>
      <w:r w:rsidRPr="003E5A86">
        <w:rPr>
          <w:lang w:val="en-US"/>
        </w:rPr>
        <w:t>ölçüde</w:t>
      </w:r>
      <w:proofErr w:type="spellEnd"/>
      <w:r w:rsidRPr="003E5A86">
        <w:rPr>
          <w:lang w:val="en-US"/>
        </w:rPr>
        <w:t xml:space="preserve"> </w:t>
      </w:r>
      <w:proofErr w:type="spellStart"/>
      <w:r w:rsidRPr="003E5A86">
        <w:rPr>
          <w:lang w:val="en-US"/>
        </w:rPr>
        <w:t>artmıştır</w:t>
      </w:r>
      <w:proofErr w:type="spellEnd"/>
      <w:r w:rsidRPr="003E5A86">
        <w:rPr>
          <w:lang w:val="en-US"/>
        </w:rPr>
        <w:t xml:space="preserve">; </w:t>
      </w:r>
      <w:proofErr w:type="spellStart"/>
      <w:r w:rsidRPr="003E5A86">
        <w:rPr>
          <w:lang w:val="en-US"/>
        </w:rPr>
        <w:t>bunun</w:t>
      </w:r>
      <w:proofErr w:type="spellEnd"/>
      <w:r w:rsidRPr="003E5A86">
        <w:rPr>
          <w:lang w:val="en-US"/>
        </w:rPr>
        <w:t xml:space="preserve"> </w:t>
      </w:r>
      <w:proofErr w:type="spellStart"/>
      <w:r w:rsidRPr="003E5A86">
        <w:rPr>
          <w:lang w:val="en-US"/>
        </w:rPr>
        <w:t>nedeni</w:t>
      </w:r>
      <w:proofErr w:type="spellEnd"/>
      <w:r w:rsidRPr="003E5A86">
        <w:rPr>
          <w:lang w:val="en-US"/>
        </w:rPr>
        <w:t xml:space="preserve">, </w:t>
      </w:r>
      <w:proofErr w:type="spellStart"/>
      <w:r w:rsidRPr="003E5A86">
        <w:rPr>
          <w:lang w:val="en-US"/>
        </w:rPr>
        <w:t>taraflar</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çıkar</w:t>
      </w:r>
      <w:proofErr w:type="spellEnd"/>
      <w:r w:rsidRPr="003E5A86">
        <w:rPr>
          <w:lang w:val="en-US"/>
        </w:rPr>
        <w:t xml:space="preserve"> </w:t>
      </w:r>
      <w:proofErr w:type="spellStart"/>
      <w:r w:rsidRPr="003E5A86">
        <w:rPr>
          <w:lang w:val="en-US"/>
        </w:rPr>
        <w:t>gruplarının</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tür</w:t>
      </w:r>
      <w:proofErr w:type="spellEnd"/>
      <w:r w:rsidRPr="003E5A86">
        <w:rPr>
          <w:lang w:val="en-US"/>
        </w:rPr>
        <w:t xml:space="preserve"> </w:t>
      </w:r>
      <w:proofErr w:type="spellStart"/>
      <w:r w:rsidRPr="003E5A86">
        <w:rPr>
          <w:lang w:val="en-US"/>
        </w:rPr>
        <w:t>dilekçelerin</w:t>
      </w:r>
      <w:proofErr w:type="spellEnd"/>
      <w:r w:rsidRPr="003E5A86">
        <w:rPr>
          <w:lang w:val="en-US"/>
        </w:rPr>
        <w:t xml:space="preserve"> </w:t>
      </w:r>
      <w:proofErr w:type="spellStart"/>
      <w:r w:rsidRPr="003E5A86">
        <w:rPr>
          <w:lang w:val="en-US"/>
        </w:rPr>
        <w:t>olası</w:t>
      </w:r>
      <w:proofErr w:type="spellEnd"/>
      <w:r w:rsidRPr="003E5A86">
        <w:rPr>
          <w:lang w:val="en-US"/>
        </w:rPr>
        <w:t xml:space="preserve"> </w:t>
      </w:r>
      <w:proofErr w:type="spellStart"/>
      <w:r w:rsidRPr="003E5A86">
        <w:rPr>
          <w:lang w:val="en-US"/>
        </w:rPr>
        <w:t>kullanım</w:t>
      </w:r>
      <w:proofErr w:type="spellEnd"/>
      <w:r w:rsidRPr="003E5A86">
        <w:rPr>
          <w:lang w:val="en-US"/>
        </w:rPr>
        <w:t xml:space="preserve"> </w:t>
      </w:r>
      <w:proofErr w:type="spellStart"/>
      <w:r w:rsidRPr="003E5A86">
        <w:rPr>
          <w:lang w:val="en-US"/>
        </w:rPr>
        <w:t>alanları</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faydaları</w:t>
      </w:r>
      <w:proofErr w:type="spellEnd"/>
      <w:r w:rsidRPr="003E5A86">
        <w:rPr>
          <w:lang w:val="en-US"/>
        </w:rPr>
        <w:t xml:space="preserve"> </w:t>
      </w:r>
      <w:proofErr w:type="spellStart"/>
      <w:r w:rsidRPr="003E5A86">
        <w:rPr>
          <w:lang w:val="en-US"/>
        </w:rPr>
        <w:t>konusunda</w:t>
      </w:r>
      <w:proofErr w:type="spellEnd"/>
      <w:r w:rsidRPr="003E5A86">
        <w:rPr>
          <w:lang w:val="en-US"/>
        </w:rPr>
        <w:t xml:space="preserve"> </w:t>
      </w:r>
      <w:proofErr w:type="spellStart"/>
      <w:r w:rsidRPr="003E5A86">
        <w:rPr>
          <w:lang w:val="en-US"/>
        </w:rPr>
        <w:t>giderek</w:t>
      </w:r>
      <w:proofErr w:type="spellEnd"/>
      <w:r w:rsidRPr="003E5A86">
        <w:rPr>
          <w:lang w:val="en-US"/>
        </w:rPr>
        <w:t xml:space="preserve"> </w:t>
      </w:r>
      <w:proofErr w:type="spellStart"/>
      <w:r w:rsidRPr="003E5A86">
        <w:rPr>
          <w:lang w:val="en-US"/>
        </w:rPr>
        <w:t>daha</w:t>
      </w:r>
      <w:proofErr w:type="spellEnd"/>
      <w:r w:rsidRPr="003E5A86">
        <w:rPr>
          <w:lang w:val="en-US"/>
        </w:rPr>
        <w:t xml:space="preserve"> </w:t>
      </w:r>
      <w:proofErr w:type="spellStart"/>
      <w:r w:rsidRPr="003E5A86">
        <w:rPr>
          <w:lang w:val="en-US"/>
        </w:rPr>
        <w:t>bilinçli</w:t>
      </w:r>
      <w:proofErr w:type="spellEnd"/>
      <w:r w:rsidRPr="003E5A86">
        <w:rPr>
          <w:lang w:val="en-US"/>
        </w:rPr>
        <w:t xml:space="preserve"> </w:t>
      </w:r>
      <w:proofErr w:type="spellStart"/>
      <w:r w:rsidRPr="003E5A86">
        <w:rPr>
          <w:lang w:val="en-US"/>
        </w:rPr>
        <w:t>hâle</w:t>
      </w:r>
      <w:proofErr w:type="spellEnd"/>
      <w:r w:rsidRPr="003E5A86">
        <w:rPr>
          <w:lang w:val="en-US"/>
        </w:rPr>
        <w:t xml:space="preserve"> gelmeleridir.⁹²</w:t>
      </w:r>
      <w:r>
        <w:rPr>
          <w:lang w:val="en-US"/>
        </w:rPr>
        <w:t xml:space="preserve"> </w:t>
      </w:r>
      <w:r>
        <w:rPr>
          <w:rStyle w:val="FootnoteReference"/>
          <w:lang w:val="en-US"/>
        </w:rPr>
        <w:footnoteReference w:id="92"/>
      </w:r>
      <w:r w:rsidRPr="003E5A86">
        <w:rPr>
          <w:lang w:val="en-US"/>
        </w:rPr>
        <w:t xml:space="preserve"> </w:t>
      </w:r>
      <w:proofErr w:type="spellStart"/>
      <w:r w:rsidRPr="003E5A86">
        <w:rPr>
          <w:lang w:val="en-US"/>
        </w:rPr>
        <w:t>Günümüzde</w:t>
      </w:r>
      <w:proofErr w:type="spellEnd"/>
      <w:r w:rsidRPr="003E5A86">
        <w:rPr>
          <w:lang w:val="en-US"/>
        </w:rPr>
        <w:t xml:space="preserve">, </w:t>
      </w:r>
      <w:proofErr w:type="spellStart"/>
      <w:r w:rsidRPr="003E5A86">
        <w:rPr>
          <w:lang w:val="en-US"/>
        </w:rPr>
        <w:t>tarafların</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avukatlarının</w:t>
      </w:r>
      <w:proofErr w:type="spellEnd"/>
      <w:r w:rsidRPr="003E5A86">
        <w:rPr>
          <w:lang w:val="en-US"/>
        </w:rPr>
        <w:t xml:space="preserve">, hangi amicus curiae </w:t>
      </w:r>
      <w:proofErr w:type="spellStart"/>
      <w:r w:rsidRPr="003E5A86">
        <w:rPr>
          <w:lang w:val="en-US"/>
        </w:rPr>
        <w:t>dilekçelerinin</w:t>
      </w:r>
      <w:proofErr w:type="spellEnd"/>
      <w:r w:rsidRPr="003E5A86">
        <w:rPr>
          <w:lang w:val="en-US"/>
        </w:rPr>
        <w:t xml:space="preserve"> </w:t>
      </w:r>
      <w:proofErr w:type="spellStart"/>
      <w:r w:rsidRPr="003E5A86">
        <w:rPr>
          <w:lang w:val="en-US"/>
        </w:rPr>
        <w:t>kendi</w:t>
      </w:r>
      <w:proofErr w:type="spellEnd"/>
      <w:r w:rsidRPr="003E5A86">
        <w:rPr>
          <w:lang w:val="en-US"/>
        </w:rPr>
        <w:t xml:space="preserve"> </w:t>
      </w:r>
      <w:proofErr w:type="spellStart"/>
      <w:r w:rsidRPr="003E5A86">
        <w:rPr>
          <w:lang w:val="en-US"/>
        </w:rPr>
        <w:t>lehlerine</w:t>
      </w:r>
      <w:proofErr w:type="spellEnd"/>
      <w:r w:rsidRPr="003E5A86">
        <w:rPr>
          <w:lang w:val="en-US"/>
        </w:rPr>
        <w:t xml:space="preserve"> </w:t>
      </w:r>
      <w:proofErr w:type="spellStart"/>
      <w:r w:rsidRPr="003E5A86">
        <w:rPr>
          <w:lang w:val="en-US"/>
        </w:rPr>
        <w:t>faydalı</w:t>
      </w:r>
      <w:proofErr w:type="spellEnd"/>
      <w:r w:rsidRPr="003E5A86">
        <w:rPr>
          <w:lang w:val="en-US"/>
        </w:rPr>
        <w:t xml:space="preserve"> </w:t>
      </w:r>
      <w:proofErr w:type="spellStart"/>
      <w:r w:rsidRPr="003E5A86">
        <w:rPr>
          <w:lang w:val="en-US"/>
        </w:rPr>
        <w:t>olabileceği</w:t>
      </w:r>
      <w:proofErr w:type="spellEnd"/>
      <w:r w:rsidRPr="003E5A86">
        <w:rPr>
          <w:lang w:val="en-US"/>
        </w:rPr>
        <w:t xml:space="preserve"> </w:t>
      </w:r>
      <w:proofErr w:type="spellStart"/>
      <w:r w:rsidRPr="003E5A86">
        <w:rPr>
          <w:lang w:val="en-US"/>
        </w:rPr>
        <w:t>konusunda</w:t>
      </w:r>
      <w:proofErr w:type="spellEnd"/>
      <w:r w:rsidRPr="003E5A86">
        <w:rPr>
          <w:lang w:val="en-US"/>
        </w:rPr>
        <w:t xml:space="preserve"> </w:t>
      </w:r>
      <w:proofErr w:type="spellStart"/>
      <w:r w:rsidRPr="003E5A86">
        <w:rPr>
          <w:lang w:val="en-US"/>
        </w:rPr>
        <w:t>strateji</w:t>
      </w:r>
      <w:proofErr w:type="spellEnd"/>
      <w:r w:rsidRPr="003E5A86">
        <w:rPr>
          <w:lang w:val="en-US"/>
        </w:rPr>
        <w:t xml:space="preserve"> </w:t>
      </w:r>
      <w:proofErr w:type="spellStart"/>
      <w:r w:rsidRPr="003E5A86">
        <w:rPr>
          <w:lang w:val="en-US"/>
        </w:rPr>
        <w:t>geliştirmeleri</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tür</w:t>
      </w:r>
      <w:proofErr w:type="spellEnd"/>
      <w:r w:rsidRPr="003E5A86">
        <w:rPr>
          <w:lang w:val="en-US"/>
        </w:rPr>
        <w:t xml:space="preserve"> </w:t>
      </w:r>
      <w:proofErr w:type="spellStart"/>
      <w:r w:rsidRPr="003E5A86">
        <w:rPr>
          <w:lang w:val="en-US"/>
        </w:rPr>
        <w:t>dilekçelerin</w:t>
      </w:r>
      <w:proofErr w:type="spellEnd"/>
      <w:r w:rsidRPr="003E5A86">
        <w:rPr>
          <w:lang w:val="en-US"/>
        </w:rPr>
        <w:t xml:space="preserve"> </w:t>
      </w:r>
      <w:proofErr w:type="spellStart"/>
      <w:r w:rsidRPr="003E5A86">
        <w:rPr>
          <w:lang w:val="en-US"/>
        </w:rPr>
        <w:t>sunulması</w:t>
      </w:r>
      <w:proofErr w:type="spellEnd"/>
      <w:r w:rsidRPr="003E5A86">
        <w:rPr>
          <w:lang w:val="en-US"/>
        </w:rPr>
        <w:t xml:space="preserve"> </w:t>
      </w:r>
      <w:proofErr w:type="spellStart"/>
      <w:r w:rsidRPr="003E5A86">
        <w:rPr>
          <w:lang w:val="en-US"/>
        </w:rPr>
        <w:t>için</w:t>
      </w:r>
      <w:proofErr w:type="spellEnd"/>
      <w:r w:rsidRPr="003E5A86">
        <w:rPr>
          <w:lang w:val="en-US"/>
        </w:rPr>
        <w:t xml:space="preserve"> </w:t>
      </w:r>
      <w:proofErr w:type="spellStart"/>
      <w:r w:rsidRPr="003E5A86">
        <w:rPr>
          <w:lang w:val="en-US"/>
        </w:rPr>
        <w:t>diğer</w:t>
      </w:r>
      <w:proofErr w:type="spellEnd"/>
      <w:r w:rsidRPr="003E5A86">
        <w:rPr>
          <w:lang w:val="en-US"/>
        </w:rPr>
        <w:t xml:space="preserve"> </w:t>
      </w:r>
      <w:proofErr w:type="spellStart"/>
      <w:r w:rsidRPr="003E5A86">
        <w:rPr>
          <w:lang w:val="en-US"/>
        </w:rPr>
        <w:t>avukatlar</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kendilerine</w:t>
      </w:r>
      <w:proofErr w:type="spellEnd"/>
      <w:r w:rsidRPr="003E5A86">
        <w:rPr>
          <w:lang w:val="en-US"/>
        </w:rPr>
        <w:t xml:space="preserve"> </w:t>
      </w:r>
      <w:proofErr w:type="spellStart"/>
      <w:r w:rsidRPr="003E5A86">
        <w:rPr>
          <w:lang w:val="en-US"/>
        </w:rPr>
        <w:t>yakın</w:t>
      </w:r>
      <w:proofErr w:type="spellEnd"/>
      <w:r w:rsidRPr="003E5A86">
        <w:rPr>
          <w:lang w:val="en-US"/>
        </w:rPr>
        <w:t xml:space="preserve"> </w:t>
      </w:r>
      <w:proofErr w:type="spellStart"/>
      <w:r w:rsidRPr="003E5A86">
        <w:rPr>
          <w:lang w:val="en-US"/>
        </w:rPr>
        <w:t>çıkar</w:t>
      </w:r>
      <w:proofErr w:type="spellEnd"/>
      <w:r w:rsidRPr="003E5A86">
        <w:rPr>
          <w:lang w:val="en-US"/>
        </w:rPr>
        <w:t xml:space="preserve"> </w:t>
      </w:r>
      <w:proofErr w:type="spellStart"/>
      <w:r w:rsidRPr="003E5A86">
        <w:rPr>
          <w:lang w:val="en-US"/>
        </w:rPr>
        <w:t>gruplarıyla</w:t>
      </w:r>
      <w:proofErr w:type="spellEnd"/>
      <w:r w:rsidRPr="003E5A86">
        <w:rPr>
          <w:lang w:val="en-US"/>
        </w:rPr>
        <w:t xml:space="preserve"> </w:t>
      </w:r>
      <w:proofErr w:type="spellStart"/>
      <w:r w:rsidRPr="003E5A86">
        <w:rPr>
          <w:lang w:val="en-US"/>
        </w:rPr>
        <w:t>iş</w:t>
      </w:r>
      <w:proofErr w:type="spellEnd"/>
      <w:r w:rsidRPr="003E5A86">
        <w:rPr>
          <w:lang w:val="en-US"/>
        </w:rPr>
        <w:t xml:space="preserve"> </w:t>
      </w:r>
      <w:proofErr w:type="spellStart"/>
      <w:r w:rsidRPr="003E5A86">
        <w:rPr>
          <w:lang w:val="en-US"/>
        </w:rPr>
        <w:t>birliği</w:t>
      </w:r>
      <w:proofErr w:type="spellEnd"/>
      <w:r w:rsidRPr="003E5A86">
        <w:rPr>
          <w:lang w:val="en-US"/>
        </w:rPr>
        <w:t xml:space="preserve"> </w:t>
      </w:r>
      <w:proofErr w:type="spellStart"/>
      <w:r w:rsidRPr="003E5A86">
        <w:rPr>
          <w:lang w:val="en-US"/>
        </w:rPr>
        <w:t>yapmaları</w:t>
      </w:r>
      <w:proofErr w:type="spellEnd"/>
      <w:r w:rsidRPr="003E5A86">
        <w:rPr>
          <w:lang w:val="en-US"/>
        </w:rPr>
        <w:t xml:space="preserve"> </w:t>
      </w:r>
      <w:proofErr w:type="spellStart"/>
      <w:r w:rsidRPr="003E5A86">
        <w:rPr>
          <w:lang w:val="en-US"/>
        </w:rPr>
        <w:t>yaygın</w:t>
      </w:r>
      <w:proofErr w:type="spellEnd"/>
      <w:r w:rsidRPr="003E5A86">
        <w:rPr>
          <w:lang w:val="en-US"/>
        </w:rPr>
        <w:t xml:space="preserve"> </w:t>
      </w:r>
      <w:proofErr w:type="spellStart"/>
      <w:r w:rsidRPr="003E5A86">
        <w:rPr>
          <w:lang w:val="en-US"/>
        </w:rPr>
        <w:t>bir</w:t>
      </w:r>
      <w:proofErr w:type="spellEnd"/>
      <w:r w:rsidRPr="003E5A86">
        <w:rPr>
          <w:lang w:val="en-US"/>
        </w:rPr>
        <w:t xml:space="preserve"> </w:t>
      </w:r>
      <w:proofErr w:type="spellStart"/>
      <w:r w:rsidRPr="003E5A86">
        <w:rPr>
          <w:lang w:val="en-US"/>
        </w:rPr>
        <w:t>uygulama</w:t>
      </w:r>
      <w:proofErr w:type="spellEnd"/>
      <w:r w:rsidRPr="003E5A86">
        <w:rPr>
          <w:lang w:val="en-US"/>
        </w:rPr>
        <w:t xml:space="preserve"> </w:t>
      </w:r>
      <w:proofErr w:type="spellStart"/>
      <w:r w:rsidRPr="003E5A86">
        <w:rPr>
          <w:lang w:val="en-US"/>
        </w:rPr>
        <w:t>hâline</w:t>
      </w:r>
      <w:proofErr w:type="spellEnd"/>
      <w:r w:rsidRPr="003E5A86">
        <w:rPr>
          <w:lang w:val="en-US"/>
        </w:rPr>
        <w:t xml:space="preserve"> gelmiştir.⁹³</w:t>
      </w:r>
      <w:r>
        <w:rPr>
          <w:lang w:val="en-US"/>
        </w:rPr>
        <w:t xml:space="preserve"> </w:t>
      </w:r>
      <w:r>
        <w:rPr>
          <w:rStyle w:val="FootnoteReference"/>
          <w:lang w:val="en-US"/>
        </w:rPr>
        <w:footnoteReference w:id="93"/>
      </w:r>
      <w:r w:rsidRPr="003E5A86">
        <w:rPr>
          <w:lang w:val="en-US"/>
        </w:rPr>
        <w:t xml:space="preserve"> Bunun </w:t>
      </w:r>
      <w:proofErr w:type="spellStart"/>
      <w:r w:rsidRPr="003E5A86">
        <w:rPr>
          <w:lang w:val="en-US"/>
        </w:rPr>
        <w:t>yanı</w:t>
      </w:r>
      <w:proofErr w:type="spellEnd"/>
      <w:r w:rsidRPr="003E5A86">
        <w:rPr>
          <w:lang w:val="en-US"/>
        </w:rPr>
        <w:t xml:space="preserve"> </w:t>
      </w:r>
      <w:proofErr w:type="spellStart"/>
      <w:r w:rsidRPr="003E5A86">
        <w:rPr>
          <w:lang w:val="en-US"/>
        </w:rPr>
        <w:t>sıra</w:t>
      </w:r>
      <w:proofErr w:type="spellEnd"/>
      <w:r w:rsidRPr="003E5A86">
        <w:rPr>
          <w:lang w:val="en-US"/>
        </w:rPr>
        <w:t xml:space="preserve">, </w:t>
      </w:r>
      <w:proofErr w:type="spellStart"/>
      <w:r w:rsidRPr="003E5A86">
        <w:rPr>
          <w:lang w:val="en-US"/>
        </w:rPr>
        <w:t>giderek</w:t>
      </w:r>
      <w:proofErr w:type="spellEnd"/>
      <w:r w:rsidRPr="003E5A86">
        <w:rPr>
          <w:lang w:val="en-US"/>
        </w:rPr>
        <w:t xml:space="preserve"> </w:t>
      </w:r>
      <w:proofErr w:type="spellStart"/>
      <w:r w:rsidRPr="003E5A86">
        <w:rPr>
          <w:lang w:val="en-US"/>
        </w:rPr>
        <w:t>artan</w:t>
      </w:r>
      <w:proofErr w:type="spellEnd"/>
      <w:r w:rsidRPr="003E5A86">
        <w:rPr>
          <w:lang w:val="en-US"/>
        </w:rPr>
        <w:t xml:space="preserve"> </w:t>
      </w:r>
      <w:proofErr w:type="spellStart"/>
      <w:r w:rsidRPr="003E5A86">
        <w:rPr>
          <w:lang w:val="en-US"/>
        </w:rPr>
        <w:t>sayıda</w:t>
      </w:r>
      <w:proofErr w:type="spellEnd"/>
      <w:r w:rsidRPr="003E5A86">
        <w:rPr>
          <w:lang w:val="en-US"/>
        </w:rPr>
        <w:t xml:space="preserve"> </w:t>
      </w:r>
      <w:proofErr w:type="spellStart"/>
      <w:r w:rsidRPr="003E5A86">
        <w:rPr>
          <w:lang w:val="en-US"/>
        </w:rPr>
        <w:t>çıkar</w:t>
      </w:r>
      <w:proofErr w:type="spellEnd"/>
      <w:r w:rsidRPr="003E5A86">
        <w:rPr>
          <w:lang w:val="en-US"/>
        </w:rPr>
        <w:t xml:space="preserve"> </w:t>
      </w:r>
      <w:proofErr w:type="spellStart"/>
      <w:r w:rsidRPr="003E5A86">
        <w:rPr>
          <w:lang w:val="en-US"/>
        </w:rPr>
        <w:t>grubu</w:t>
      </w:r>
      <w:proofErr w:type="spellEnd"/>
      <w:r w:rsidRPr="003E5A86">
        <w:rPr>
          <w:lang w:val="en-US"/>
        </w:rPr>
        <w:t xml:space="preserve">, </w:t>
      </w:r>
      <w:proofErr w:type="spellStart"/>
      <w:r w:rsidRPr="003E5A86">
        <w:rPr>
          <w:lang w:val="en-US"/>
        </w:rPr>
        <w:t>organizasyon</w:t>
      </w:r>
      <w:proofErr w:type="spellEnd"/>
      <w:r w:rsidRPr="003E5A86">
        <w:rPr>
          <w:lang w:val="en-US"/>
        </w:rPr>
        <w:t xml:space="preserve"> </w:t>
      </w:r>
      <w:proofErr w:type="spellStart"/>
      <w:r w:rsidRPr="003E5A86">
        <w:rPr>
          <w:lang w:val="en-US"/>
        </w:rPr>
        <w:t>ve</w:t>
      </w:r>
      <w:proofErr w:type="spellEnd"/>
      <w:r w:rsidRPr="003E5A86">
        <w:rPr>
          <w:lang w:val="en-US"/>
        </w:rPr>
        <w:t xml:space="preserve"> </w:t>
      </w:r>
      <w:proofErr w:type="spellStart"/>
      <w:r w:rsidRPr="003E5A86">
        <w:rPr>
          <w:lang w:val="en-US"/>
        </w:rPr>
        <w:t>şirket</w:t>
      </w:r>
      <w:proofErr w:type="spellEnd"/>
      <w:r w:rsidRPr="003E5A86">
        <w:rPr>
          <w:lang w:val="en-US"/>
        </w:rPr>
        <w:t xml:space="preserve">, </w:t>
      </w:r>
      <w:proofErr w:type="spellStart"/>
      <w:r w:rsidRPr="003E5A86">
        <w:rPr>
          <w:lang w:val="en-US"/>
        </w:rPr>
        <w:t>Mahkeme’nin</w:t>
      </w:r>
      <w:proofErr w:type="spellEnd"/>
      <w:r w:rsidRPr="003E5A86">
        <w:rPr>
          <w:lang w:val="en-US"/>
        </w:rPr>
        <w:t xml:space="preserve"> </w:t>
      </w:r>
      <w:proofErr w:type="spellStart"/>
      <w:r w:rsidRPr="003E5A86">
        <w:rPr>
          <w:lang w:val="en-US"/>
        </w:rPr>
        <w:t>dava</w:t>
      </w:r>
      <w:proofErr w:type="spellEnd"/>
      <w:r w:rsidRPr="003E5A86">
        <w:rPr>
          <w:lang w:val="en-US"/>
        </w:rPr>
        <w:t xml:space="preserve"> </w:t>
      </w:r>
      <w:proofErr w:type="spellStart"/>
      <w:r w:rsidRPr="003E5A86">
        <w:rPr>
          <w:lang w:val="en-US"/>
        </w:rPr>
        <w:t>takvimini</w:t>
      </w:r>
      <w:proofErr w:type="spellEnd"/>
      <w:r w:rsidRPr="003E5A86">
        <w:rPr>
          <w:lang w:val="en-US"/>
        </w:rPr>
        <w:t xml:space="preserve"> </w:t>
      </w:r>
      <w:proofErr w:type="spellStart"/>
      <w:r w:rsidRPr="003E5A86">
        <w:rPr>
          <w:lang w:val="en-US"/>
        </w:rPr>
        <w:t>bağımsız</w:t>
      </w:r>
      <w:proofErr w:type="spellEnd"/>
      <w:r w:rsidRPr="003E5A86">
        <w:rPr>
          <w:lang w:val="en-US"/>
        </w:rPr>
        <w:t xml:space="preserve"> </w:t>
      </w:r>
      <w:proofErr w:type="spellStart"/>
      <w:r w:rsidRPr="003E5A86">
        <w:rPr>
          <w:lang w:val="en-US"/>
        </w:rPr>
        <w:t>olarak</w:t>
      </w:r>
      <w:proofErr w:type="spellEnd"/>
      <w:r w:rsidRPr="003E5A86">
        <w:rPr>
          <w:lang w:val="en-US"/>
        </w:rPr>
        <w:t xml:space="preserve"> </w:t>
      </w:r>
      <w:proofErr w:type="spellStart"/>
      <w:r w:rsidRPr="003E5A86">
        <w:rPr>
          <w:lang w:val="en-US"/>
        </w:rPr>
        <w:t>takip</w:t>
      </w:r>
      <w:proofErr w:type="spellEnd"/>
      <w:r w:rsidRPr="003E5A86">
        <w:rPr>
          <w:lang w:val="en-US"/>
        </w:rPr>
        <w:t xml:space="preserve"> </w:t>
      </w:r>
      <w:proofErr w:type="spellStart"/>
      <w:r w:rsidRPr="003E5A86">
        <w:rPr>
          <w:lang w:val="en-US"/>
        </w:rPr>
        <w:t>ederek</w:t>
      </w:r>
      <w:proofErr w:type="spellEnd"/>
      <w:r w:rsidRPr="003E5A86">
        <w:rPr>
          <w:lang w:val="en-US"/>
        </w:rPr>
        <w:t xml:space="preserve">, </w:t>
      </w:r>
      <w:proofErr w:type="spellStart"/>
      <w:r w:rsidRPr="003E5A86">
        <w:rPr>
          <w:lang w:val="en-US"/>
        </w:rPr>
        <w:t>kendi</w:t>
      </w:r>
      <w:proofErr w:type="spellEnd"/>
      <w:r w:rsidRPr="003E5A86">
        <w:rPr>
          <w:lang w:val="en-US"/>
        </w:rPr>
        <w:t xml:space="preserve"> </w:t>
      </w:r>
      <w:proofErr w:type="spellStart"/>
      <w:r w:rsidRPr="003E5A86">
        <w:rPr>
          <w:lang w:val="en-US"/>
        </w:rPr>
        <w:t>bakış</w:t>
      </w:r>
      <w:proofErr w:type="spellEnd"/>
      <w:r w:rsidRPr="003E5A86">
        <w:rPr>
          <w:lang w:val="en-US"/>
        </w:rPr>
        <w:t xml:space="preserve"> </w:t>
      </w:r>
      <w:proofErr w:type="spellStart"/>
      <w:r w:rsidRPr="003E5A86">
        <w:rPr>
          <w:lang w:val="en-US"/>
        </w:rPr>
        <w:t>açılarını</w:t>
      </w:r>
      <w:proofErr w:type="spellEnd"/>
      <w:r w:rsidRPr="003E5A86">
        <w:rPr>
          <w:lang w:val="en-US"/>
        </w:rPr>
        <w:t xml:space="preserve"> </w:t>
      </w:r>
      <w:proofErr w:type="spellStart"/>
      <w:r w:rsidRPr="003E5A86">
        <w:rPr>
          <w:lang w:val="en-US"/>
        </w:rPr>
        <w:t>sunmak</w:t>
      </w:r>
      <w:proofErr w:type="spellEnd"/>
      <w:r w:rsidRPr="003E5A86">
        <w:rPr>
          <w:lang w:val="en-US"/>
        </w:rPr>
        <w:t xml:space="preserve"> </w:t>
      </w:r>
      <w:proofErr w:type="spellStart"/>
      <w:r w:rsidRPr="003E5A86">
        <w:rPr>
          <w:lang w:val="en-US"/>
        </w:rPr>
        <w:t>veya</w:t>
      </w:r>
      <w:proofErr w:type="spellEnd"/>
      <w:r w:rsidRPr="003E5A86">
        <w:rPr>
          <w:lang w:val="en-US"/>
        </w:rPr>
        <w:t xml:space="preserve"> </w:t>
      </w:r>
      <w:proofErr w:type="spellStart"/>
      <w:r w:rsidRPr="003E5A86">
        <w:rPr>
          <w:lang w:val="en-US"/>
        </w:rPr>
        <w:t>tercihlerini</w:t>
      </w:r>
      <w:proofErr w:type="spellEnd"/>
      <w:r w:rsidRPr="003E5A86">
        <w:rPr>
          <w:lang w:val="en-US"/>
        </w:rPr>
        <w:t xml:space="preserve"> </w:t>
      </w:r>
      <w:proofErr w:type="spellStart"/>
      <w:r w:rsidRPr="003E5A86">
        <w:rPr>
          <w:lang w:val="en-US"/>
        </w:rPr>
        <w:t>belirtmek</w:t>
      </w:r>
      <w:proofErr w:type="spellEnd"/>
      <w:r w:rsidRPr="003E5A86">
        <w:rPr>
          <w:lang w:val="en-US"/>
        </w:rPr>
        <w:t xml:space="preserve"> </w:t>
      </w:r>
      <w:proofErr w:type="spellStart"/>
      <w:r w:rsidRPr="003E5A86">
        <w:rPr>
          <w:lang w:val="en-US"/>
        </w:rPr>
        <w:t>istedikleri</w:t>
      </w:r>
      <w:proofErr w:type="spellEnd"/>
      <w:r w:rsidRPr="003E5A86">
        <w:rPr>
          <w:lang w:val="en-US"/>
        </w:rPr>
        <w:t xml:space="preserve"> </w:t>
      </w:r>
      <w:proofErr w:type="spellStart"/>
      <w:r w:rsidRPr="003E5A86">
        <w:rPr>
          <w:lang w:val="en-US"/>
        </w:rPr>
        <w:t>davaları</w:t>
      </w:r>
      <w:proofErr w:type="spellEnd"/>
      <w:r w:rsidRPr="003E5A86">
        <w:rPr>
          <w:lang w:val="en-US"/>
        </w:rPr>
        <w:t xml:space="preserve"> </w:t>
      </w:r>
      <w:proofErr w:type="spellStart"/>
      <w:r w:rsidRPr="003E5A86">
        <w:rPr>
          <w:lang w:val="en-US"/>
        </w:rPr>
        <w:t>belirlemeye</w:t>
      </w:r>
      <w:proofErr w:type="spellEnd"/>
      <w:r w:rsidRPr="003E5A86">
        <w:rPr>
          <w:lang w:val="en-US"/>
        </w:rPr>
        <w:t xml:space="preserve"> </w:t>
      </w:r>
      <w:proofErr w:type="spellStart"/>
      <w:r w:rsidRPr="003E5A86">
        <w:rPr>
          <w:lang w:val="en-US"/>
        </w:rPr>
        <w:t>çalışmaktadır</w:t>
      </w:r>
      <w:proofErr w:type="spellEnd"/>
      <w:r w:rsidRPr="003E5A86">
        <w:rPr>
          <w:lang w:val="en-US"/>
        </w:rPr>
        <w:t>.⁹⁴</w:t>
      </w:r>
      <w:r>
        <w:rPr>
          <w:lang w:val="en-US"/>
        </w:rPr>
        <w:t xml:space="preserve"> </w:t>
      </w:r>
      <w:r>
        <w:rPr>
          <w:rStyle w:val="FootnoteReference"/>
          <w:lang w:val="en-US"/>
        </w:rPr>
        <w:footnoteReference w:id="94"/>
      </w:r>
    </w:p>
    <w:p w14:paraId="251987EA" w14:textId="340C8C1B" w:rsidR="003E5A86" w:rsidRDefault="003E5A86" w:rsidP="003E5A86">
      <w:pPr>
        <w:rPr>
          <w:lang w:val="en-US"/>
        </w:rPr>
      </w:pPr>
      <w:proofErr w:type="spellStart"/>
      <w:r w:rsidRPr="003E5A86">
        <w:rPr>
          <w:lang w:val="en-US"/>
        </w:rPr>
        <w:t>Diğer</w:t>
      </w:r>
      <w:proofErr w:type="spellEnd"/>
      <w:r w:rsidRPr="003E5A86">
        <w:rPr>
          <w:lang w:val="en-US"/>
        </w:rPr>
        <w:t xml:space="preserve"> </w:t>
      </w:r>
      <w:proofErr w:type="spellStart"/>
      <w:r w:rsidRPr="003E5A86">
        <w:rPr>
          <w:lang w:val="en-US"/>
        </w:rPr>
        <w:t>akademisyenlerin</w:t>
      </w:r>
      <w:proofErr w:type="spellEnd"/>
      <w:r w:rsidRPr="003E5A86">
        <w:rPr>
          <w:lang w:val="en-US"/>
        </w:rPr>
        <w:t xml:space="preserve"> de </w:t>
      </w:r>
      <w:proofErr w:type="spellStart"/>
      <w:r w:rsidRPr="003E5A86">
        <w:rPr>
          <w:lang w:val="en-US"/>
        </w:rPr>
        <w:t>katalogladığı</w:t>
      </w:r>
      <w:proofErr w:type="spellEnd"/>
      <w:r w:rsidRPr="003E5A86">
        <w:rPr>
          <w:lang w:val="en-US"/>
        </w:rPr>
        <w:t xml:space="preserve"> </w:t>
      </w:r>
      <w:proofErr w:type="spellStart"/>
      <w:r w:rsidRPr="003E5A86">
        <w:rPr>
          <w:lang w:val="en-US"/>
        </w:rPr>
        <w:t>gibi</w:t>
      </w:r>
      <w:proofErr w:type="spellEnd"/>
      <w:r w:rsidRPr="003E5A86">
        <w:rPr>
          <w:lang w:val="en-US"/>
        </w:rPr>
        <w:t xml:space="preserve">, amicus curiae </w:t>
      </w:r>
      <w:proofErr w:type="spellStart"/>
      <w:r w:rsidRPr="003E5A86">
        <w:rPr>
          <w:lang w:val="en-US"/>
        </w:rPr>
        <w:t>dilekçesi</w:t>
      </w:r>
      <w:proofErr w:type="spellEnd"/>
      <w:r w:rsidRPr="003E5A86">
        <w:rPr>
          <w:lang w:val="en-US"/>
        </w:rPr>
        <w:t xml:space="preserve"> </w:t>
      </w:r>
      <w:proofErr w:type="spellStart"/>
      <w:r w:rsidRPr="003E5A86">
        <w:rPr>
          <w:lang w:val="en-US"/>
        </w:rPr>
        <w:t>sunanlar</w:t>
      </w:r>
      <w:proofErr w:type="spellEnd"/>
      <w:r w:rsidRPr="003E5A86">
        <w:rPr>
          <w:lang w:val="en-US"/>
        </w:rPr>
        <w:t xml:space="preserve"> </w:t>
      </w:r>
      <w:proofErr w:type="spellStart"/>
      <w:r w:rsidRPr="003E5A86">
        <w:rPr>
          <w:lang w:val="en-US"/>
        </w:rPr>
        <w:t>farklı</w:t>
      </w:r>
      <w:proofErr w:type="spellEnd"/>
      <w:r w:rsidRPr="003E5A86">
        <w:rPr>
          <w:lang w:val="en-US"/>
        </w:rPr>
        <w:t xml:space="preserve"> </w:t>
      </w:r>
      <w:proofErr w:type="spellStart"/>
      <w:r w:rsidRPr="003E5A86">
        <w:rPr>
          <w:lang w:val="en-US"/>
        </w:rPr>
        <w:t>hedefler</w:t>
      </w:r>
      <w:proofErr w:type="spellEnd"/>
      <w:r w:rsidRPr="003E5A86">
        <w:rPr>
          <w:lang w:val="en-US"/>
        </w:rPr>
        <w:t xml:space="preserve"> </w:t>
      </w:r>
      <w:proofErr w:type="spellStart"/>
      <w:r w:rsidRPr="003E5A86">
        <w:rPr>
          <w:lang w:val="en-US"/>
        </w:rPr>
        <w:t>doğrultusunda</w:t>
      </w:r>
      <w:proofErr w:type="spellEnd"/>
      <w:r w:rsidRPr="003E5A86">
        <w:rPr>
          <w:lang w:val="en-US"/>
        </w:rPr>
        <w:t xml:space="preserve"> </w:t>
      </w:r>
      <w:proofErr w:type="spellStart"/>
      <w:r w:rsidRPr="003E5A86">
        <w:rPr>
          <w:lang w:val="en-US"/>
        </w:rPr>
        <w:t>hareket</w:t>
      </w:r>
      <w:proofErr w:type="spellEnd"/>
      <w:r w:rsidRPr="003E5A86">
        <w:rPr>
          <w:lang w:val="en-US"/>
        </w:rPr>
        <w:t xml:space="preserve"> </w:t>
      </w:r>
      <w:proofErr w:type="spellStart"/>
      <w:r w:rsidRPr="003E5A86">
        <w:rPr>
          <w:lang w:val="en-US"/>
        </w:rPr>
        <w:t>etmektedir</w:t>
      </w:r>
      <w:proofErr w:type="spellEnd"/>
      <w:r w:rsidRPr="003E5A86">
        <w:rPr>
          <w:lang w:val="en-US"/>
        </w:rPr>
        <w:t>.⁹⁵</w:t>
      </w:r>
      <w:r>
        <w:rPr>
          <w:lang w:val="en-US"/>
        </w:rPr>
        <w:t xml:space="preserve"> </w:t>
      </w:r>
      <w:r>
        <w:rPr>
          <w:rStyle w:val="FootnoteReference"/>
          <w:lang w:val="en-US"/>
        </w:rPr>
        <w:footnoteReference w:id="95"/>
      </w:r>
      <w:r w:rsidRPr="003E5A86">
        <w:rPr>
          <w:lang w:val="en-US"/>
        </w:rPr>
        <w:t xml:space="preserve"> </w:t>
      </w:r>
      <w:proofErr w:type="spellStart"/>
      <w:r w:rsidRPr="003E5A86">
        <w:rPr>
          <w:lang w:val="en-US"/>
        </w:rPr>
        <w:t>Bazıları</w:t>
      </w:r>
      <w:proofErr w:type="spellEnd"/>
      <w:r w:rsidRPr="003E5A86">
        <w:rPr>
          <w:lang w:val="en-US"/>
        </w:rPr>
        <w:t xml:space="preserve">, </w:t>
      </w:r>
      <w:proofErr w:type="spellStart"/>
      <w:r w:rsidRPr="003E5A86">
        <w:rPr>
          <w:lang w:val="en-US"/>
        </w:rPr>
        <w:t>Mahkeme’nin</w:t>
      </w:r>
      <w:proofErr w:type="spellEnd"/>
      <w:r w:rsidRPr="003E5A86">
        <w:rPr>
          <w:lang w:val="en-US"/>
        </w:rPr>
        <w:t xml:space="preserve"> </w:t>
      </w:r>
      <w:proofErr w:type="spellStart"/>
      <w:r w:rsidRPr="003E5A86">
        <w:rPr>
          <w:lang w:val="en-US"/>
        </w:rPr>
        <w:t>karar</w:t>
      </w:r>
      <w:proofErr w:type="spellEnd"/>
      <w:r w:rsidRPr="003E5A86">
        <w:rPr>
          <w:lang w:val="en-US"/>
        </w:rPr>
        <w:t xml:space="preserve"> alma </w:t>
      </w:r>
      <w:proofErr w:type="spellStart"/>
      <w:r w:rsidRPr="003E5A86">
        <w:rPr>
          <w:lang w:val="en-US"/>
        </w:rPr>
        <w:t>sürecine</w:t>
      </w:r>
      <w:proofErr w:type="spellEnd"/>
      <w:r w:rsidRPr="003E5A86">
        <w:rPr>
          <w:lang w:val="en-US"/>
        </w:rPr>
        <w:t xml:space="preserve"> </w:t>
      </w:r>
      <w:proofErr w:type="spellStart"/>
      <w:r w:rsidRPr="003E5A86">
        <w:rPr>
          <w:lang w:val="en-US"/>
        </w:rPr>
        <w:t>yardımcı</w:t>
      </w:r>
      <w:proofErr w:type="spellEnd"/>
      <w:r w:rsidRPr="003E5A86">
        <w:rPr>
          <w:lang w:val="en-US"/>
        </w:rPr>
        <w:t xml:space="preserve"> </w:t>
      </w:r>
      <w:proofErr w:type="spellStart"/>
      <w:r w:rsidRPr="003E5A86">
        <w:rPr>
          <w:lang w:val="en-US"/>
        </w:rPr>
        <w:t>olmak</w:t>
      </w:r>
      <w:proofErr w:type="spellEnd"/>
      <w:r w:rsidRPr="003E5A86">
        <w:rPr>
          <w:lang w:val="en-US"/>
        </w:rPr>
        <w:t xml:space="preserve"> </w:t>
      </w:r>
      <w:proofErr w:type="spellStart"/>
      <w:r w:rsidRPr="003E5A86">
        <w:rPr>
          <w:lang w:val="en-US"/>
        </w:rPr>
        <w:t>veya</w:t>
      </w:r>
      <w:proofErr w:type="spellEnd"/>
      <w:r w:rsidRPr="003E5A86">
        <w:rPr>
          <w:lang w:val="en-US"/>
        </w:rPr>
        <w:t xml:space="preserve"> </w:t>
      </w:r>
      <w:proofErr w:type="spellStart"/>
      <w:r w:rsidRPr="003E5A86">
        <w:rPr>
          <w:lang w:val="en-US"/>
        </w:rPr>
        <w:t>Mahkeme’yi</w:t>
      </w:r>
      <w:proofErr w:type="spellEnd"/>
      <w:r w:rsidRPr="003E5A86">
        <w:rPr>
          <w:lang w:val="en-US"/>
        </w:rPr>
        <w:t xml:space="preserve"> </w:t>
      </w:r>
      <w:proofErr w:type="spellStart"/>
      <w:r w:rsidRPr="003E5A86">
        <w:rPr>
          <w:lang w:val="en-US"/>
        </w:rPr>
        <w:t>belirli</w:t>
      </w:r>
      <w:proofErr w:type="spellEnd"/>
      <w:r w:rsidRPr="003E5A86">
        <w:rPr>
          <w:lang w:val="en-US"/>
        </w:rPr>
        <w:t xml:space="preserve"> </w:t>
      </w:r>
      <w:proofErr w:type="spellStart"/>
      <w:r w:rsidRPr="003E5A86">
        <w:rPr>
          <w:lang w:val="en-US"/>
        </w:rPr>
        <w:t>bir</w:t>
      </w:r>
      <w:proofErr w:type="spellEnd"/>
      <w:r w:rsidRPr="003E5A86">
        <w:rPr>
          <w:lang w:val="en-US"/>
        </w:rPr>
        <w:t xml:space="preserve"> </w:t>
      </w:r>
      <w:proofErr w:type="spellStart"/>
      <w:r w:rsidRPr="003E5A86">
        <w:rPr>
          <w:lang w:val="en-US"/>
        </w:rPr>
        <w:t>sonuca</w:t>
      </w:r>
      <w:proofErr w:type="spellEnd"/>
      <w:r w:rsidRPr="003E5A86">
        <w:rPr>
          <w:lang w:val="en-US"/>
        </w:rPr>
        <w:t xml:space="preserve"> </w:t>
      </w:r>
      <w:proofErr w:type="spellStart"/>
      <w:r w:rsidRPr="003E5A86">
        <w:rPr>
          <w:lang w:val="en-US"/>
        </w:rPr>
        <w:t>yönlendirmek</w:t>
      </w:r>
      <w:proofErr w:type="spellEnd"/>
      <w:r w:rsidRPr="003E5A86">
        <w:rPr>
          <w:lang w:val="en-US"/>
        </w:rPr>
        <w:t xml:space="preserve"> </w:t>
      </w:r>
      <w:proofErr w:type="spellStart"/>
      <w:r w:rsidRPr="003E5A86">
        <w:rPr>
          <w:lang w:val="en-US"/>
        </w:rPr>
        <w:t>amacıyla</w:t>
      </w:r>
      <w:proofErr w:type="spellEnd"/>
      <w:r w:rsidRPr="003E5A86">
        <w:rPr>
          <w:lang w:val="en-US"/>
        </w:rPr>
        <w:t xml:space="preserve"> </w:t>
      </w:r>
      <w:proofErr w:type="spellStart"/>
      <w:r w:rsidRPr="003E5A86">
        <w:rPr>
          <w:lang w:val="en-US"/>
        </w:rPr>
        <w:t>sunmak</w:t>
      </w:r>
      <w:proofErr w:type="spellEnd"/>
      <w:r w:rsidRPr="003E5A86">
        <w:rPr>
          <w:lang w:val="en-US"/>
        </w:rPr>
        <w:t xml:space="preserve"> </w:t>
      </w:r>
      <w:proofErr w:type="spellStart"/>
      <w:r w:rsidRPr="003E5A86">
        <w:rPr>
          <w:lang w:val="en-US"/>
        </w:rPr>
        <w:t>istedikleri</w:t>
      </w:r>
      <w:proofErr w:type="spellEnd"/>
      <w:r w:rsidRPr="003E5A86">
        <w:rPr>
          <w:lang w:val="en-US"/>
        </w:rPr>
        <w:t xml:space="preserve"> </w:t>
      </w:r>
      <w:proofErr w:type="spellStart"/>
      <w:r w:rsidRPr="003E5A86">
        <w:rPr>
          <w:lang w:val="en-US"/>
        </w:rPr>
        <w:t>özel</w:t>
      </w:r>
      <w:proofErr w:type="spellEnd"/>
      <w:r w:rsidRPr="003E5A86">
        <w:rPr>
          <w:lang w:val="en-US"/>
        </w:rPr>
        <w:t xml:space="preserve"> </w:t>
      </w:r>
      <w:proofErr w:type="spellStart"/>
      <w:r w:rsidRPr="003E5A86">
        <w:rPr>
          <w:lang w:val="en-US"/>
        </w:rPr>
        <w:t>bilgilere</w:t>
      </w:r>
      <w:proofErr w:type="spellEnd"/>
      <w:r w:rsidRPr="003E5A86">
        <w:rPr>
          <w:lang w:val="en-US"/>
        </w:rPr>
        <w:t xml:space="preserve"> </w:t>
      </w:r>
      <w:proofErr w:type="spellStart"/>
      <w:r w:rsidRPr="003E5A86">
        <w:rPr>
          <w:lang w:val="en-US"/>
        </w:rPr>
        <w:t>sahiptir</w:t>
      </w:r>
      <w:proofErr w:type="spellEnd"/>
      <w:r w:rsidRPr="003E5A86">
        <w:rPr>
          <w:lang w:val="en-US"/>
        </w:rPr>
        <w:t>.⁹⁶</w:t>
      </w:r>
      <w:r>
        <w:rPr>
          <w:lang w:val="en-US"/>
        </w:rPr>
        <w:t xml:space="preserve"> </w:t>
      </w:r>
      <w:r>
        <w:rPr>
          <w:rStyle w:val="FootnoteReference"/>
          <w:lang w:val="en-US"/>
        </w:rPr>
        <w:footnoteReference w:id="96"/>
      </w:r>
      <w:r w:rsidRPr="003E5A86">
        <w:rPr>
          <w:lang w:val="en-US"/>
        </w:rPr>
        <w:t xml:space="preserve"> Benzer </w:t>
      </w:r>
      <w:proofErr w:type="spellStart"/>
      <w:r w:rsidRPr="003E5A86">
        <w:rPr>
          <w:lang w:val="en-US"/>
        </w:rPr>
        <w:t>şekilde</w:t>
      </w:r>
      <w:proofErr w:type="spellEnd"/>
      <w:r w:rsidRPr="003E5A86">
        <w:rPr>
          <w:lang w:val="en-US"/>
        </w:rPr>
        <w:t xml:space="preserve">, </w:t>
      </w:r>
      <w:proofErr w:type="spellStart"/>
      <w:r w:rsidRPr="003E5A86">
        <w:rPr>
          <w:lang w:val="en-US"/>
        </w:rPr>
        <w:t>bazıları</w:t>
      </w:r>
      <w:proofErr w:type="spellEnd"/>
      <w:r w:rsidRPr="003E5A86">
        <w:rPr>
          <w:lang w:val="en-US"/>
        </w:rPr>
        <w:t xml:space="preserve"> </w:t>
      </w:r>
      <w:proofErr w:type="spellStart"/>
      <w:r w:rsidRPr="003E5A86">
        <w:rPr>
          <w:lang w:val="en-US"/>
        </w:rPr>
        <w:t>taraflarca</w:t>
      </w:r>
      <w:proofErr w:type="spellEnd"/>
      <w:r w:rsidRPr="003E5A86">
        <w:rPr>
          <w:lang w:val="en-US"/>
        </w:rPr>
        <w:t xml:space="preserve"> </w:t>
      </w:r>
      <w:proofErr w:type="spellStart"/>
      <w:r w:rsidRPr="003E5A86">
        <w:rPr>
          <w:lang w:val="en-US"/>
        </w:rPr>
        <w:t>göz</w:t>
      </w:r>
      <w:proofErr w:type="spellEnd"/>
      <w:r w:rsidRPr="003E5A86">
        <w:rPr>
          <w:lang w:val="en-US"/>
        </w:rPr>
        <w:t xml:space="preserve"> </w:t>
      </w:r>
      <w:proofErr w:type="spellStart"/>
      <w:r w:rsidRPr="003E5A86">
        <w:rPr>
          <w:lang w:val="en-US"/>
        </w:rPr>
        <w:t>ardı</w:t>
      </w:r>
      <w:proofErr w:type="spellEnd"/>
      <w:r w:rsidRPr="003E5A86">
        <w:rPr>
          <w:lang w:val="en-US"/>
        </w:rPr>
        <w:t xml:space="preserve"> </w:t>
      </w:r>
      <w:proofErr w:type="spellStart"/>
      <w:r w:rsidRPr="003E5A86">
        <w:rPr>
          <w:lang w:val="en-US"/>
        </w:rPr>
        <w:t>edilen</w:t>
      </w:r>
      <w:proofErr w:type="spellEnd"/>
      <w:r w:rsidRPr="003E5A86">
        <w:rPr>
          <w:lang w:val="en-US"/>
        </w:rPr>
        <w:t xml:space="preserve"> </w:t>
      </w:r>
      <w:proofErr w:type="spellStart"/>
      <w:r w:rsidRPr="003E5A86">
        <w:rPr>
          <w:lang w:val="en-US"/>
        </w:rPr>
        <w:t>ya</w:t>
      </w:r>
      <w:proofErr w:type="spellEnd"/>
      <w:r w:rsidRPr="003E5A86">
        <w:rPr>
          <w:lang w:val="en-US"/>
        </w:rPr>
        <w:t xml:space="preserve"> da </w:t>
      </w:r>
      <w:proofErr w:type="spellStart"/>
      <w:r w:rsidRPr="003E5A86">
        <w:rPr>
          <w:lang w:val="en-US"/>
        </w:rPr>
        <w:t>edilmesi</w:t>
      </w:r>
      <w:proofErr w:type="spellEnd"/>
      <w:r w:rsidRPr="003E5A86">
        <w:rPr>
          <w:lang w:val="en-US"/>
        </w:rPr>
        <w:t xml:space="preserve"> </w:t>
      </w:r>
      <w:proofErr w:type="spellStart"/>
      <w:r w:rsidRPr="003E5A86">
        <w:rPr>
          <w:lang w:val="en-US"/>
        </w:rPr>
        <w:t>muhtemel</w:t>
      </w:r>
      <w:proofErr w:type="spellEnd"/>
      <w:r w:rsidRPr="003E5A86">
        <w:rPr>
          <w:lang w:val="en-US"/>
        </w:rPr>
        <w:t xml:space="preserve"> </w:t>
      </w:r>
      <w:proofErr w:type="spellStart"/>
      <w:r w:rsidRPr="003E5A86">
        <w:rPr>
          <w:lang w:val="en-US"/>
        </w:rPr>
        <w:t>olan</w:t>
      </w:r>
      <w:proofErr w:type="spellEnd"/>
      <w:r w:rsidRPr="003E5A86">
        <w:rPr>
          <w:lang w:val="en-US"/>
        </w:rPr>
        <w:t xml:space="preserve"> </w:t>
      </w:r>
      <w:proofErr w:type="spellStart"/>
      <w:r w:rsidRPr="003E5A86">
        <w:rPr>
          <w:lang w:val="en-US"/>
        </w:rPr>
        <w:t>hukuki</w:t>
      </w:r>
      <w:proofErr w:type="spellEnd"/>
      <w:r w:rsidRPr="003E5A86">
        <w:rPr>
          <w:lang w:val="en-US"/>
        </w:rPr>
        <w:t xml:space="preserve"> </w:t>
      </w:r>
      <w:proofErr w:type="spellStart"/>
      <w:r w:rsidRPr="003E5A86">
        <w:rPr>
          <w:lang w:val="en-US"/>
        </w:rPr>
        <w:t>argümanları</w:t>
      </w:r>
      <w:proofErr w:type="spellEnd"/>
      <w:r w:rsidRPr="003E5A86">
        <w:rPr>
          <w:lang w:val="en-US"/>
        </w:rPr>
        <w:t xml:space="preserve"> </w:t>
      </w:r>
      <w:proofErr w:type="spellStart"/>
      <w:r w:rsidRPr="003E5A86">
        <w:rPr>
          <w:lang w:val="en-US"/>
        </w:rPr>
        <w:t>Mahkeme’nin</w:t>
      </w:r>
      <w:proofErr w:type="spellEnd"/>
      <w:r w:rsidRPr="003E5A86">
        <w:rPr>
          <w:lang w:val="en-US"/>
        </w:rPr>
        <w:t xml:space="preserve"> </w:t>
      </w:r>
      <w:proofErr w:type="spellStart"/>
      <w:r w:rsidRPr="003E5A86">
        <w:rPr>
          <w:lang w:val="en-US"/>
        </w:rPr>
        <w:t>dikkatine</w:t>
      </w:r>
      <w:proofErr w:type="spellEnd"/>
      <w:r w:rsidRPr="003E5A86">
        <w:rPr>
          <w:lang w:val="en-US"/>
        </w:rPr>
        <w:t xml:space="preserve"> </w:t>
      </w:r>
      <w:proofErr w:type="spellStart"/>
      <w:r w:rsidRPr="003E5A86">
        <w:rPr>
          <w:lang w:val="en-US"/>
        </w:rPr>
        <w:t>sunmayı</w:t>
      </w:r>
      <w:proofErr w:type="spellEnd"/>
      <w:r w:rsidRPr="003E5A86">
        <w:rPr>
          <w:lang w:val="en-US"/>
        </w:rPr>
        <w:t xml:space="preserve"> </w:t>
      </w:r>
      <w:proofErr w:type="spellStart"/>
      <w:r w:rsidRPr="003E5A86">
        <w:rPr>
          <w:lang w:val="en-US"/>
        </w:rPr>
        <w:t>amaçlamaktadır</w:t>
      </w:r>
      <w:proofErr w:type="spellEnd"/>
      <w:r w:rsidRPr="003E5A86">
        <w:rPr>
          <w:lang w:val="en-US"/>
        </w:rPr>
        <w:t>.⁹⁷</w:t>
      </w:r>
      <w:r w:rsidR="0048733D">
        <w:rPr>
          <w:lang w:val="en-US"/>
        </w:rPr>
        <w:t xml:space="preserve"> </w:t>
      </w:r>
      <w:r w:rsidR="0048733D">
        <w:rPr>
          <w:rStyle w:val="FootnoteReference"/>
          <w:lang w:val="en-US"/>
        </w:rPr>
        <w:footnoteReference w:id="97"/>
      </w:r>
      <w:r w:rsidRPr="003E5A86">
        <w:rPr>
          <w:lang w:val="en-US"/>
        </w:rPr>
        <w:t xml:space="preserve"> </w:t>
      </w:r>
      <w:proofErr w:type="spellStart"/>
      <w:r w:rsidRPr="003E5A86">
        <w:rPr>
          <w:lang w:val="en-US"/>
        </w:rPr>
        <w:t>Diğerleri</w:t>
      </w:r>
      <w:proofErr w:type="spellEnd"/>
      <w:r w:rsidRPr="003E5A86">
        <w:rPr>
          <w:lang w:val="en-US"/>
        </w:rPr>
        <w:t xml:space="preserve"> </w:t>
      </w:r>
      <w:proofErr w:type="spellStart"/>
      <w:r w:rsidRPr="003E5A86">
        <w:rPr>
          <w:lang w:val="en-US"/>
        </w:rPr>
        <w:t>ise</w:t>
      </w:r>
      <w:proofErr w:type="spellEnd"/>
      <w:r w:rsidRPr="003E5A86">
        <w:rPr>
          <w:lang w:val="en-US"/>
        </w:rPr>
        <w:t xml:space="preserve">, </w:t>
      </w:r>
      <w:proofErr w:type="spellStart"/>
      <w:r w:rsidRPr="003E5A86">
        <w:rPr>
          <w:lang w:val="en-US"/>
        </w:rPr>
        <w:t>belirli</w:t>
      </w:r>
      <w:proofErr w:type="spellEnd"/>
      <w:r w:rsidRPr="003E5A86">
        <w:rPr>
          <w:lang w:val="en-US"/>
        </w:rPr>
        <w:t xml:space="preserve"> </w:t>
      </w:r>
      <w:proofErr w:type="spellStart"/>
      <w:r w:rsidRPr="003E5A86">
        <w:rPr>
          <w:lang w:val="en-US"/>
        </w:rPr>
        <w:t>doktrinsel</w:t>
      </w:r>
      <w:proofErr w:type="spellEnd"/>
      <w:r w:rsidRPr="003E5A86">
        <w:rPr>
          <w:lang w:val="en-US"/>
        </w:rPr>
        <w:t xml:space="preserve"> </w:t>
      </w:r>
      <w:proofErr w:type="spellStart"/>
      <w:r w:rsidRPr="003E5A86">
        <w:rPr>
          <w:lang w:val="en-US"/>
        </w:rPr>
        <w:t>formülasyonlara</w:t>
      </w:r>
      <w:proofErr w:type="spellEnd"/>
      <w:r w:rsidRPr="003E5A86">
        <w:rPr>
          <w:lang w:val="en-US"/>
        </w:rPr>
        <w:t xml:space="preserve"> </w:t>
      </w:r>
      <w:proofErr w:type="spellStart"/>
      <w:r w:rsidRPr="003E5A86">
        <w:rPr>
          <w:lang w:val="en-US"/>
        </w:rPr>
        <w:t>veya</w:t>
      </w:r>
      <w:proofErr w:type="spellEnd"/>
      <w:r w:rsidRPr="003E5A86">
        <w:rPr>
          <w:lang w:val="en-US"/>
        </w:rPr>
        <w:t xml:space="preserve"> </w:t>
      </w:r>
      <w:proofErr w:type="spellStart"/>
      <w:r w:rsidRPr="003E5A86">
        <w:rPr>
          <w:lang w:val="en-US"/>
        </w:rPr>
        <w:t>ifadelere</w:t>
      </w:r>
      <w:proofErr w:type="spellEnd"/>
      <w:r w:rsidRPr="003E5A86">
        <w:rPr>
          <w:lang w:val="en-US"/>
        </w:rPr>
        <w:t xml:space="preserve"> </w:t>
      </w:r>
      <w:proofErr w:type="spellStart"/>
      <w:r w:rsidRPr="003E5A86">
        <w:rPr>
          <w:lang w:val="en-US"/>
        </w:rPr>
        <w:t>yönlendirme</w:t>
      </w:r>
      <w:proofErr w:type="spellEnd"/>
      <w:r w:rsidRPr="003E5A86">
        <w:rPr>
          <w:lang w:val="en-US"/>
        </w:rPr>
        <w:t xml:space="preserve"> </w:t>
      </w:r>
      <w:proofErr w:type="spellStart"/>
      <w:r w:rsidRPr="003E5A86">
        <w:rPr>
          <w:lang w:val="en-US"/>
        </w:rPr>
        <w:t>yaparak</w:t>
      </w:r>
      <w:proofErr w:type="spellEnd"/>
      <w:r w:rsidRPr="003E5A86">
        <w:rPr>
          <w:lang w:val="en-US"/>
        </w:rPr>
        <w:t xml:space="preserve"> </w:t>
      </w:r>
      <w:proofErr w:type="spellStart"/>
      <w:r w:rsidRPr="003E5A86">
        <w:rPr>
          <w:lang w:val="en-US"/>
        </w:rPr>
        <w:t>ya</w:t>
      </w:r>
      <w:proofErr w:type="spellEnd"/>
      <w:r w:rsidRPr="003E5A86">
        <w:rPr>
          <w:lang w:val="en-US"/>
        </w:rPr>
        <w:t xml:space="preserve"> da </w:t>
      </w:r>
      <w:proofErr w:type="spellStart"/>
      <w:r w:rsidRPr="003E5A86">
        <w:rPr>
          <w:lang w:val="en-US"/>
        </w:rPr>
        <w:t>Mahkeme’yi</w:t>
      </w:r>
      <w:proofErr w:type="spellEnd"/>
      <w:r w:rsidRPr="003E5A86">
        <w:rPr>
          <w:lang w:val="en-US"/>
        </w:rPr>
        <w:t xml:space="preserve"> </w:t>
      </w:r>
      <w:proofErr w:type="spellStart"/>
      <w:r w:rsidRPr="003E5A86">
        <w:rPr>
          <w:lang w:val="en-US"/>
        </w:rPr>
        <w:t>bunlardan</w:t>
      </w:r>
      <w:proofErr w:type="spellEnd"/>
      <w:r w:rsidRPr="003E5A86">
        <w:rPr>
          <w:lang w:val="en-US"/>
        </w:rPr>
        <w:t xml:space="preserve"> </w:t>
      </w:r>
      <w:proofErr w:type="spellStart"/>
      <w:r w:rsidRPr="003E5A86">
        <w:rPr>
          <w:lang w:val="en-US"/>
        </w:rPr>
        <w:t>uzaklaştırarak</w:t>
      </w:r>
      <w:proofErr w:type="spellEnd"/>
      <w:r w:rsidRPr="003E5A86">
        <w:rPr>
          <w:lang w:val="en-US"/>
        </w:rPr>
        <w:t xml:space="preserve">, </w:t>
      </w:r>
      <w:proofErr w:type="spellStart"/>
      <w:r w:rsidRPr="003E5A86">
        <w:rPr>
          <w:lang w:val="en-US"/>
        </w:rPr>
        <w:t>bu</w:t>
      </w:r>
      <w:proofErr w:type="spellEnd"/>
      <w:r w:rsidRPr="003E5A86">
        <w:rPr>
          <w:lang w:val="en-US"/>
        </w:rPr>
        <w:t xml:space="preserve"> </w:t>
      </w:r>
      <w:proofErr w:type="spellStart"/>
      <w:r w:rsidRPr="003E5A86">
        <w:rPr>
          <w:lang w:val="en-US"/>
        </w:rPr>
        <w:t>ifadelerin</w:t>
      </w:r>
      <w:proofErr w:type="spellEnd"/>
      <w:r w:rsidRPr="003E5A86">
        <w:rPr>
          <w:lang w:val="en-US"/>
        </w:rPr>
        <w:t xml:space="preserve"> </w:t>
      </w:r>
      <w:proofErr w:type="spellStart"/>
      <w:r w:rsidRPr="003E5A86">
        <w:rPr>
          <w:lang w:val="en-US"/>
        </w:rPr>
        <w:t>ilerleyen</w:t>
      </w:r>
      <w:proofErr w:type="spellEnd"/>
      <w:r w:rsidRPr="003E5A86">
        <w:rPr>
          <w:lang w:val="en-US"/>
        </w:rPr>
        <w:t xml:space="preserve"> </w:t>
      </w:r>
      <w:proofErr w:type="spellStart"/>
      <w:r w:rsidRPr="003E5A86">
        <w:rPr>
          <w:lang w:val="en-US"/>
        </w:rPr>
        <w:t>davalar</w:t>
      </w:r>
      <w:proofErr w:type="spellEnd"/>
      <w:r w:rsidRPr="003E5A86">
        <w:rPr>
          <w:lang w:val="en-US"/>
        </w:rPr>
        <w:t xml:space="preserve"> </w:t>
      </w:r>
      <w:proofErr w:type="spellStart"/>
      <w:r w:rsidRPr="003E5A86">
        <w:rPr>
          <w:lang w:val="en-US"/>
        </w:rPr>
        <w:t>üzerindeki</w:t>
      </w:r>
      <w:proofErr w:type="spellEnd"/>
      <w:r w:rsidRPr="003E5A86">
        <w:rPr>
          <w:lang w:val="en-US"/>
        </w:rPr>
        <w:t xml:space="preserve"> </w:t>
      </w:r>
      <w:proofErr w:type="spellStart"/>
      <w:r w:rsidRPr="003E5A86">
        <w:rPr>
          <w:lang w:val="en-US"/>
        </w:rPr>
        <w:t>etkileri</w:t>
      </w:r>
      <w:proofErr w:type="spellEnd"/>
      <w:r w:rsidRPr="003E5A86">
        <w:rPr>
          <w:lang w:val="en-US"/>
        </w:rPr>
        <w:t xml:space="preserve"> </w:t>
      </w:r>
      <w:proofErr w:type="spellStart"/>
      <w:r w:rsidRPr="003E5A86">
        <w:rPr>
          <w:lang w:val="en-US"/>
        </w:rPr>
        <w:t>konusunda</w:t>
      </w:r>
      <w:proofErr w:type="spellEnd"/>
      <w:r w:rsidRPr="003E5A86">
        <w:rPr>
          <w:lang w:val="en-US"/>
        </w:rPr>
        <w:t xml:space="preserve"> </w:t>
      </w:r>
      <w:proofErr w:type="spellStart"/>
      <w:r w:rsidRPr="003E5A86">
        <w:rPr>
          <w:lang w:val="en-US"/>
        </w:rPr>
        <w:t>endişe</w:t>
      </w:r>
      <w:proofErr w:type="spellEnd"/>
      <w:r w:rsidRPr="003E5A86">
        <w:rPr>
          <w:lang w:val="en-US"/>
        </w:rPr>
        <w:t xml:space="preserve"> </w:t>
      </w:r>
      <w:proofErr w:type="spellStart"/>
      <w:r w:rsidRPr="003E5A86">
        <w:rPr>
          <w:lang w:val="en-US"/>
        </w:rPr>
        <w:t>duymaktadır</w:t>
      </w:r>
      <w:proofErr w:type="spellEnd"/>
      <w:r w:rsidRPr="003E5A86">
        <w:rPr>
          <w:lang w:val="en-US"/>
        </w:rPr>
        <w:t>.⁹⁸</w:t>
      </w:r>
      <w:r w:rsidR="0048733D">
        <w:rPr>
          <w:lang w:val="en-US"/>
        </w:rPr>
        <w:t xml:space="preserve"> </w:t>
      </w:r>
      <w:r w:rsidR="0048733D">
        <w:rPr>
          <w:rStyle w:val="FootnoteReference"/>
          <w:lang w:val="en-US"/>
        </w:rPr>
        <w:footnoteReference w:id="98"/>
      </w:r>
    </w:p>
    <w:p w14:paraId="6440685B" w14:textId="18A3FC18" w:rsidR="0048733D" w:rsidRPr="0097645D" w:rsidRDefault="0048733D" w:rsidP="0048733D">
      <w:pPr>
        <w:rPr>
          <w:lang w:val="en-US"/>
        </w:rPr>
      </w:pPr>
      <w:proofErr w:type="spellStart"/>
      <w:r w:rsidRPr="0048733D">
        <w:rPr>
          <w:lang w:val="en-US"/>
        </w:rPr>
        <w:t>Bazılarının</w:t>
      </w:r>
      <w:proofErr w:type="spellEnd"/>
      <w:r w:rsidRPr="0048733D">
        <w:rPr>
          <w:lang w:val="en-US"/>
        </w:rPr>
        <w:t xml:space="preserve"> </w:t>
      </w:r>
      <w:proofErr w:type="spellStart"/>
      <w:r w:rsidRPr="0048733D">
        <w:rPr>
          <w:lang w:val="en-US"/>
        </w:rPr>
        <w:t>ise</w:t>
      </w:r>
      <w:proofErr w:type="spellEnd"/>
      <w:r w:rsidRPr="0048733D">
        <w:rPr>
          <w:lang w:val="en-US"/>
        </w:rPr>
        <w:t xml:space="preserve"> </w:t>
      </w:r>
      <w:proofErr w:type="spellStart"/>
      <w:r w:rsidRPr="0048733D">
        <w:rPr>
          <w:lang w:val="en-US"/>
        </w:rPr>
        <w:t>daha</w:t>
      </w:r>
      <w:proofErr w:type="spellEnd"/>
      <w:r w:rsidRPr="0048733D">
        <w:rPr>
          <w:lang w:val="en-US"/>
        </w:rPr>
        <w:t xml:space="preserve"> </w:t>
      </w:r>
      <w:proofErr w:type="spellStart"/>
      <w:r w:rsidRPr="0048733D">
        <w:rPr>
          <w:lang w:val="en-US"/>
        </w:rPr>
        <w:t>az</w:t>
      </w:r>
      <w:proofErr w:type="spellEnd"/>
      <w:r w:rsidRPr="0048733D">
        <w:rPr>
          <w:lang w:val="en-US"/>
        </w:rPr>
        <w:t xml:space="preserve"> </w:t>
      </w:r>
      <w:proofErr w:type="spellStart"/>
      <w:r w:rsidRPr="0048733D">
        <w:rPr>
          <w:lang w:val="en-US"/>
        </w:rPr>
        <w:t>maddi</w:t>
      </w:r>
      <w:proofErr w:type="spellEnd"/>
      <w:r w:rsidRPr="0048733D">
        <w:rPr>
          <w:lang w:val="en-US"/>
        </w:rPr>
        <w:t xml:space="preserve"> </w:t>
      </w:r>
      <w:proofErr w:type="spellStart"/>
      <w:r w:rsidRPr="0048733D">
        <w:rPr>
          <w:lang w:val="en-US"/>
        </w:rPr>
        <w:t>içeriğe</w:t>
      </w:r>
      <w:proofErr w:type="spellEnd"/>
      <w:r w:rsidRPr="0048733D">
        <w:rPr>
          <w:lang w:val="en-US"/>
        </w:rPr>
        <w:t xml:space="preserve"> </w:t>
      </w:r>
      <w:proofErr w:type="spellStart"/>
      <w:r w:rsidRPr="0048733D">
        <w:rPr>
          <w:lang w:val="en-US"/>
        </w:rPr>
        <w:t>dayalı</w:t>
      </w:r>
      <w:proofErr w:type="spellEnd"/>
      <w:r w:rsidRPr="0048733D">
        <w:rPr>
          <w:lang w:val="en-US"/>
        </w:rPr>
        <w:t xml:space="preserve"> </w:t>
      </w:r>
      <w:proofErr w:type="spellStart"/>
      <w:r w:rsidRPr="0048733D">
        <w:rPr>
          <w:lang w:val="en-US"/>
        </w:rPr>
        <w:t>hedefleri</w:t>
      </w:r>
      <w:proofErr w:type="spellEnd"/>
      <w:r w:rsidRPr="0048733D">
        <w:rPr>
          <w:lang w:val="en-US"/>
        </w:rPr>
        <w:t xml:space="preserve"> </w:t>
      </w:r>
      <w:proofErr w:type="spellStart"/>
      <w:r w:rsidRPr="0048733D">
        <w:rPr>
          <w:lang w:val="en-US"/>
        </w:rPr>
        <w:t>vardır</w:t>
      </w:r>
      <w:proofErr w:type="spellEnd"/>
      <w:r w:rsidRPr="0048733D">
        <w:rPr>
          <w:lang w:val="en-US"/>
        </w:rPr>
        <w:t xml:space="preserve">. Belki de amicus curiae </w:t>
      </w:r>
      <w:proofErr w:type="spellStart"/>
      <w:r w:rsidRPr="0048733D">
        <w:rPr>
          <w:lang w:val="en-US"/>
        </w:rPr>
        <w:t>dilekçesi</w:t>
      </w:r>
      <w:proofErr w:type="spellEnd"/>
      <w:r w:rsidRPr="0048733D">
        <w:rPr>
          <w:lang w:val="en-US"/>
        </w:rPr>
        <w:t xml:space="preserve"> </w:t>
      </w:r>
      <w:proofErr w:type="spellStart"/>
      <w:r w:rsidRPr="0048733D">
        <w:rPr>
          <w:lang w:val="en-US"/>
        </w:rPr>
        <w:t>sunmanın</w:t>
      </w:r>
      <w:proofErr w:type="spellEnd"/>
      <w:r w:rsidRPr="0048733D">
        <w:rPr>
          <w:lang w:val="en-US"/>
        </w:rPr>
        <w:t xml:space="preserve"> </w:t>
      </w:r>
      <w:proofErr w:type="spellStart"/>
      <w:r w:rsidRPr="0048733D">
        <w:rPr>
          <w:lang w:val="en-US"/>
        </w:rPr>
        <w:t>en</w:t>
      </w:r>
      <w:proofErr w:type="spellEnd"/>
      <w:r w:rsidRPr="0048733D">
        <w:rPr>
          <w:lang w:val="en-US"/>
        </w:rPr>
        <w:t xml:space="preserve"> </w:t>
      </w:r>
      <w:proofErr w:type="spellStart"/>
      <w:r w:rsidRPr="0048733D">
        <w:rPr>
          <w:lang w:val="en-US"/>
        </w:rPr>
        <w:t>yaygın</w:t>
      </w:r>
      <w:proofErr w:type="spellEnd"/>
      <w:r w:rsidRPr="0048733D">
        <w:rPr>
          <w:lang w:val="en-US"/>
        </w:rPr>
        <w:t xml:space="preserve"> </w:t>
      </w:r>
      <w:proofErr w:type="spellStart"/>
      <w:r w:rsidRPr="0048733D">
        <w:rPr>
          <w:lang w:val="en-US"/>
        </w:rPr>
        <w:t>nedeni</w:t>
      </w:r>
      <w:proofErr w:type="spellEnd"/>
      <w:r w:rsidRPr="0048733D">
        <w:rPr>
          <w:lang w:val="en-US"/>
        </w:rPr>
        <w:t xml:space="preserve">, </w:t>
      </w:r>
      <w:proofErr w:type="spellStart"/>
      <w:r w:rsidRPr="0048733D">
        <w:rPr>
          <w:lang w:val="en-US"/>
        </w:rPr>
        <w:t>Mahkeme’ye</w:t>
      </w:r>
      <w:proofErr w:type="spellEnd"/>
      <w:r w:rsidRPr="0048733D">
        <w:rPr>
          <w:lang w:val="en-US"/>
        </w:rPr>
        <w:t xml:space="preserve"> </w:t>
      </w:r>
      <w:proofErr w:type="spellStart"/>
      <w:r w:rsidRPr="0048733D">
        <w:rPr>
          <w:lang w:val="en-US"/>
        </w:rPr>
        <w:t>belirli</w:t>
      </w:r>
      <w:proofErr w:type="spellEnd"/>
      <w:r w:rsidRPr="0048733D">
        <w:rPr>
          <w:lang w:val="en-US"/>
        </w:rPr>
        <w:t xml:space="preserve"> </w:t>
      </w:r>
      <w:proofErr w:type="spellStart"/>
      <w:r w:rsidRPr="0048733D">
        <w:rPr>
          <w:lang w:val="en-US"/>
        </w:rPr>
        <w:t>kesimlerin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davayla</w:t>
      </w:r>
      <w:proofErr w:type="spellEnd"/>
      <w:r w:rsidRPr="0048733D">
        <w:rPr>
          <w:lang w:val="en-US"/>
        </w:rPr>
        <w:t xml:space="preserve"> </w:t>
      </w:r>
      <w:proofErr w:type="spellStart"/>
      <w:r w:rsidRPr="0048733D">
        <w:rPr>
          <w:lang w:val="en-US"/>
        </w:rPr>
        <w:t>ilgili</w:t>
      </w:r>
      <w:proofErr w:type="spellEnd"/>
      <w:r w:rsidRPr="0048733D">
        <w:rPr>
          <w:lang w:val="en-US"/>
        </w:rPr>
        <w:t xml:space="preserve"> </w:t>
      </w:r>
      <w:proofErr w:type="spellStart"/>
      <w:r w:rsidRPr="0048733D">
        <w:rPr>
          <w:lang w:val="en-US"/>
        </w:rPr>
        <w:t>nasıl</w:t>
      </w:r>
      <w:proofErr w:type="spellEnd"/>
      <w:r w:rsidRPr="0048733D">
        <w:rPr>
          <w:lang w:val="en-US"/>
        </w:rPr>
        <w:t xml:space="preserve"> </w:t>
      </w:r>
      <w:proofErr w:type="spellStart"/>
      <w:r w:rsidRPr="0048733D">
        <w:rPr>
          <w:lang w:val="en-US"/>
        </w:rPr>
        <w:t>hissettiğini</w:t>
      </w:r>
      <w:proofErr w:type="spellEnd"/>
      <w:r w:rsidRPr="0048733D">
        <w:rPr>
          <w:lang w:val="en-US"/>
        </w:rPr>
        <w:t xml:space="preserve"> </w:t>
      </w:r>
      <w:proofErr w:type="spellStart"/>
      <w:r w:rsidRPr="0048733D">
        <w:rPr>
          <w:lang w:val="en-US"/>
        </w:rPr>
        <w:t>veya</w:t>
      </w:r>
      <w:proofErr w:type="spellEnd"/>
      <w:r w:rsidRPr="0048733D">
        <w:rPr>
          <w:lang w:val="en-US"/>
        </w:rPr>
        <w:t xml:space="preserve"> ne </w:t>
      </w:r>
      <w:proofErr w:type="spellStart"/>
      <w:r w:rsidRPr="0048733D">
        <w:rPr>
          <w:lang w:val="en-US"/>
        </w:rPr>
        <w:t>kadar</w:t>
      </w:r>
      <w:proofErr w:type="spellEnd"/>
      <w:r w:rsidRPr="0048733D">
        <w:rPr>
          <w:lang w:val="en-US"/>
        </w:rPr>
        <w:t xml:space="preserve"> </w:t>
      </w:r>
      <w:proofErr w:type="spellStart"/>
      <w:r w:rsidRPr="0048733D">
        <w:rPr>
          <w:lang w:val="en-US"/>
        </w:rPr>
        <w:t>güçlü</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şekilde</w:t>
      </w:r>
      <w:proofErr w:type="spellEnd"/>
      <w:r w:rsidRPr="0048733D">
        <w:rPr>
          <w:lang w:val="en-US"/>
        </w:rPr>
        <w:t xml:space="preserve"> </w:t>
      </w:r>
      <w:proofErr w:type="spellStart"/>
      <w:r w:rsidRPr="0048733D">
        <w:rPr>
          <w:lang w:val="en-US"/>
        </w:rPr>
        <w:t>hissettiğini</w:t>
      </w:r>
      <w:proofErr w:type="spellEnd"/>
      <w:r w:rsidRPr="0048733D">
        <w:rPr>
          <w:lang w:val="en-US"/>
        </w:rPr>
        <w:t xml:space="preserve"> </w:t>
      </w:r>
      <w:proofErr w:type="spellStart"/>
      <w:r w:rsidRPr="0048733D">
        <w:rPr>
          <w:lang w:val="en-US"/>
        </w:rPr>
        <w:t>bildirmektir</w:t>
      </w:r>
      <w:proofErr w:type="spellEnd"/>
      <w:r w:rsidRPr="0048733D">
        <w:rPr>
          <w:lang w:val="en-US"/>
        </w:rPr>
        <w:t xml:space="preserve">; </w:t>
      </w:r>
      <w:proofErr w:type="spellStart"/>
      <w:r w:rsidRPr="0048733D">
        <w:rPr>
          <w:lang w:val="en-US"/>
        </w:rPr>
        <w:t>daha</w:t>
      </w:r>
      <w:proofErr w:type="spellEnd"/>
      <w:r w:rsidRPr="0048733D">
        <w:rPr>
          <w:lang w:val="en-US"/>
        </w:rPr>
        <w:t xml:space="preserve"> </w:t>
      </w:r>
      <w:proofErr w:type="spellStart"/>
      <w:r w:rsidRPr="0048733D">
        <w:rPr>
          <w:lang w:val="en-US"/>
        </w:rPr>
        <w:t>yaygın</w:t>
      </w:r>
      <w:proofErr w:type="spellEnd"/>
      <w:r w:rsidRPr="0048733D">
        <w:rPr>
          <w:lang w:val="en-US"/>
        </w:rPr>
        <w:t xml:space="preserve"> </w:t>
      </w:r>
      <w:proofErr w:type="spellStart"/>
      <w:r w:rsidRPr="0048733D">
        <w:rPr>
          <w:lang w:val="en-US"/>
        </w:rPr>
        <w:t>tabirle</w:t>
      </w:r>
      <w:proofErr w:type="spellEnd"/>
      <w:r w:rsidRPr="0048733D">
        <w:rPr>
          <w:lang w:val="en-US"/>
        </w:rPr>
        <w:t xml:space="preserve">, </w:t>
      </w:r>
      <w:proofErr w:type="spellStart"/>
      <w:r w:rsidRPr="0048733D">
        <w:rPr>
          <w:lang w:val="en-US"/>
        </w:rPr>
        <w:t>davaya</w:t>
      </w:r>
      <w:proofErr w:type="spellEnd"/>
      <w:r w:rsidRPr="0048733D">
        <w:rPr>
          <w:lang w:val="en-US"/>
        </w:rPr>
        <w:t xml:space="preserve"> "</w:t>
      </w:r>
      <w:proofErr w:type="spellStart"/>
      <w:r w:rsidRPr="0048733D">
        <w:rPr>
          <w:lang w:val="en-US"/>
        </w:rPr>
        <w:t>müdahil</w:t>
      </w:r>
      <w:proofErr w:type="spellEnd"/>
      <w:r w:rsidRPr="0048733D">
        <w:rPr>
          <w:lang w:val="en-US"/>
        </w:rPr>
        <w:t xml:space="preserve"> </w:t>
      </w:r>
      <w:proofErr w:type="spellStart"/>
      <w:r w:rsidRPr="0048733D">
        <w:rPr>
          <w:lang w:val="en-US"/>
        </w:rPr>
        <w:t>olmak</w:t>
      </w:r>
      <w:proofErr w:type="spellEnd"/>
      <w:r w:rsidRPr="0048733D">
        <w:rPr>
          <w:lang w:val="en-US"/>
        </w:rPr>
        <w:t xml:space="preserve">" </w:t>
      </w:r>
      <w:proofErr w:type="spellStart"/>
      <w:r w:rsidRPr="0048733D">
        <w:rPr>
          <w:lang w:val="en-US"/>
        </w:rPr>
        <w:t>amacı</w:t>
      </w:r>
      <w:proofErr w:type="spellEnd"/>
      <w:r w:rsidRPr="0048733D">
        <w:rPr>
          <w:lang w:val="en-US"/>
        </w:rPr>
        <w:t xml:space="preserve"> </w:t>
      </w:r>
      <w:proofErr w:type="spellStart"/>
      <w:r w:rsidRPr="0048733D">
        <w:rPr>
          <w:lang w:val="en-US"/>
        </w:rPr>
        <w:t>taşımaktadır</w:t>
      </w:r>
      <w:proofErr w:type="spellEnd"/>
      <w:r w:rsidRPr="0048733D">
        <w:rPr>
          <w:lang w:val="en-US"/>
        </w:rPr>
        <w:t>.⁹⁹</w:t>
      </w:r>
      <w:r w:rsidRPr="0048733D">
        <w:rPr>
          <w:lang w:val="en-US"/>
        </w:rPr>
        <w:t xml:space="preserve"> </w:t>
      </w:r>
      <w:r w:rsidRPr="0048733D">
        <w:rPr>
          <w:rStyle w:val="FootnoteReference"/>
          <w:lang w:val="en-US"/>
        </w:rPr>
        <w:footnoteReference w:id="99"/>
      </w:r>
      <w:r w:rsidRPr="0048733D">
        <w:rPr>
          <w:lang w:val="en-US"/>
        </w:rPr>
        <w:t xml:space="preserve"> </w:t>
      </w:r>
      <w:proofErr w:type="spellStart"/>
      <w:r w:rsidRPr="0048733D">
        <w:rPr>
          <w:lang w:val="en-US"/>
        </w:rPr>
        <w:t>Gruplar</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bireyler</w:t>
      </w:r>
      <w:proofErr w:type="spellEnd"/>
      <w:r w:rsidRPr="0048733D">
        <w:rPr>
          <w:lang w:val="en-US"/>
        </w:rPr>
        <w:t xml:space="preserve">, amicus curiae </w:t>
      </w:r>
      <w:proofErr w:type="spellStart"/>
      <w:r w:rsidRPr="0048733D">
        <w:rPr>
          <w:lang w:val="en-US"/>
        </w:rPr>
        <w:t>dilekçesi</w:t>
      </w:r>
      <w:proofErr w:type="spellEnd"/>
      <w:r w:rsidRPr="0048733D">
        <w:rPr>
          <w:lang w:val="en-US"/>
        </w:rPr>
        <w:t xml:space="preserve"> </w:t>
      </w:r>
      <w:proofErr w:type="spellStart"/>
      <w:r w:rsidRPr="0048733D">
        <w:rPr>
          <w:lang w:val="en-US"/>
        </w:rPr>
        <w:t>sunmayı</w:t>
      </w:r>
      <w:proofErr w:type="spellEnd"/>
      <w:r w:rsidRPr="0048733D">
        <w:rPr>
          <w:lang w:val="en-US"/>
        </w:rPr>
        <w:t xml:space="preserve">, </w:t>
      </w:r>
      <w:proofErr w:type="spellStart"/>
      <w:r w:rsidRPr="0048733D">
        <w:rPr>
          <w:lang w:val="en-US"/>
        </w:rPr>
        <w:t>üyelerine</w:t>
      </w:r>
      <w:proofErr w:type="spellEnd"/>
      <w:r w:rsidRPr="0048733D">
        <w:rPr>
          <w:lang w:val="en-US"/>
        </w:rPr>
        <w:t xml:space="preserve">, </w:t>
      </w:r>
      <w:proofErr w:type="spellStart"/>
      <w:r w:rsidRPr="0048733D">
        <w:rPr>
          <w:lang w:val="en-US"/>
        </w:rPr>
        <w:t>meslektaşlarına</w:t>
      </w:r>
      <w:proofErr w:type="spellEnd"/>
      <w:r w:rsidRPr="0048733D">
        <w:rPr>
          <w:lang w:val="en-US"/>
        </w:rPr>
        <w:t xml:space="preserve"> </w:t>
      </w:r>
      <w:proofErr w:type="spellStart"/>
      <w:r w:rsidRPr="0048733D">
        <w:rPr>
          <w:lang w:val="en-US"/>
        </w:rPr>
        <w:t>veya</w:t>
      </w:r>
      <w:proofErr w:type="spellEnd"/>
      <w:r w:rsidRPr="0048733D">
        <w:rPr>
          <w:lang w:val="en-US"/>
        </w:rPr>
        <w:t xml:space="preserve"> </w:t>
      </w:r>
      <w:proofErr w:type="spellStart"/>
      <w:r w:rsidRPr="0048733D">
        <w:rPr>
          <w:lang w:val="en-US"/>
        </w:rPr>
        <w:t>daha</w:t>
      </w:r>
      <w:proofErr w:type="spellEnd"/>
      <w:r w:rsidRPr="0048733D">
        <w:rPr>
          <w:lang w:val="en-US"/>
        </w:rPr>
        <w:t xml:space="preserve"> </w:t>
      </w:r>
      <w:proofErr w:type="spellStart"/>
      <w:r w:rsidRPr="0048733D">
        <w:rPr>
          <w:lang w:val="en-US"/>
        </w:rPr>
        <w:t>geniş</w:t>
      </w:r>
      <w:proofErr w:type="spellEnd"/>
      <w:r w:rsidRPr="0048733D">
        <w:rPr>
          <w:lang w:val="en-US"/>
        </w:rPr>
        <w:t xml:space="preserve"> </w:t>
      </w:r>
      <w:proofErr w:type="spellStart"/>
      <w:r w:rsidRPr="0048733D">
        <w:rPr>
          <w:lang w:val="en-US"/>
        </w:rPr>
        <w:t>kamuoyuna</w:t>
      </w:r>
      <w:proofErr w:type="spellEnd"/>
      <w:r w:rsidRPr="0048733D">
        <w:rPr>
          <w:lang w:val="en-US"/>
        </w:rPr>
        <w:t xml:space="preserve"> </w:t>
      </w:r>
      <w:proofErr w:type="spellStart"/>
      <w:r w:rsidRPr="0048733D">
        <w:rPr>
          <w:lang w:val="en-US"/>
        </w:rPr>
        <w:t>etkilerini</w:t>
      </w:r>
      <w:proofErr w:type="spellEnd"/>
      <w:r w:rsidRPr="0048733D">
        <w:rPr>
          <w:lang w:val="en-US"/>
        </w:rPr>
        <w:t xml:space="preserve"> </w:t>
      </w:r>
      <w:proofErr w:type="spellStart"/>
      <w:r w:rsidRPr="0048733D">
        <w:rPr>
          <w:lang w:val="en-US"/>
        </w:rPr>
        <w:t>veya</w:t>
      </w:r>
      <w:proofErr w:type="spellEnd"/>
      <w:r w:rsidRPr="0048733D">
        <w:rPr>
          <w:lang w:val="en-US"/>
        </w:rPr>
        <w:t xml:space="preserve"> </w:t>
      </w:r>
      <w:proofErr w:type="spellStart"/>
      <w:r w:rsidRPr="0048733D">
        <w:rPr>
          <w:lang w:val="en-US"/>
        </w:rPr>
        <w:t>davaya</w:t>
      </w:r>
      <w:proofErr w:type="spellEnd"/>
      <w:r w:rsidRPr="0048733D">
        <w:rPr>
          <w:lang w:val="en-US"/>
        </w:rPr>
        <w:t xml:space="preserve"> </w:t>
      </w:r>
      <w:proofErr w:type="spellStart"/>
      <w:r w:rsidRPr="0048733D">
        <w:rPr>
          <w:lang w:val="en-US"/>
        </w:rPr>
        <w:t>olan</w:t>
      </w:r>
      <w:proofErr w:type="spellEnd"/>
      <w:r w:rsidRPr="0048733D">
        <w:rPr>
          <w:lang w:val="en-US"/>
        </w:rPr>
        <w:t xml:space="preserve"> </w:t>
      </w:r>
      <w:proofErr w:type="spellStart"/>
      <w:r w:rsidRPr="0048733D">
        <w:rPr>
          <w:lang w:val="en-US"/>
        </w:rPr>
        <w:t>ilgilerini</w:t>
      </w:r>
      <w:proofErr w:type="spellEnd"/>
      <w:r w:rsidRPr="0048733D">
        <w:rPr>
          <w:lang w:val="en-US"/>
        </w:rPr>
        <w:t xml:space="preserve"> </w:t>
      </w:r>
      <w:proofErr w:type="spellStart"/>
      <w:r w:rsidRPr="0048733D">
        <w:rPr>
          <w:lang w:val="en-US"/>
        </w:rPr>
        <w:t>göstermek</w:t>
      </w:r>
      <w:proofErr w:type="spellEnd"/>
      <w:r w:rsidRPr="0048733D">
        <w:rPr>
          <w:lang w:val="en-US"/>
        </w:rPr>
        <w:t xml:space="preserve"> </w:t>
      </w:r>
      <w:proofErr w:type="spellStart"/>
      <w:r w:rsidRPr="0048733D">
        <w:rPr>
          <w:lang w:val="en-US"/>
        </w:rPr>
        <w:t>için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fırsat</w:t>
      </w:r>
      <w:proofErr w:type="spellEnd"/>
      <w:r w:rsidRPr="0048733D">
        <w:rPr>
          <w:lang w:val="en-US"/>
        </w:rPr>
        <w:t xml:space="preserve"> </w:t>
      </w:r>
      <w:proofErr w:type="spellStart"/>
      <w:r w:rsidRPr="0048733D">
        <w:rPr>
          <w:lang w:val="en-US"/>
        </w:rPr>
        <w:t>olarak</w:t>
      </w:r>
      <w:proofErr w:type="spellEnd"/>
      <w:r w:rsidRPr="0048733D">
        <w:rPr>
          <w:lang w:val="en-US"/>
        </w:rPr>
        <w:t xml:space="preserve"> </w:t>
      </w:r>
      <w:proofErr w:type="spellStart"/>
      <w:r w:rsidRPr="0048733D">
        <w:rPr>
          <w:lang w:val="en-US"/>
        </w:rPr>
        <w:t>görmektedir</w:t>
      </w:r>
      <w:proofErr w:type="spellEnd"/>
      <w:r w:rsidRPr="0048733D">
        <w:rPr>
          <w:lang w:val="en-US"/>
        </w:rPr>
        <w:t xml:space="preserve">. Amicus curiae </w:t>
      </w:r>
      <w:proofErr w:type="spellStart"/>
      <w:r w:rsidRPr="0048733D">
        <w:rPr>
          <w:lang w:val="en-US"/>
        </w:rPr>
        <w:t>kampanyaları</w:t>
      </w:r>
      <w:proofErr w:type="spellEnd"/>
      <w:r w:rsidRPr="0048733D">
        <w:rPr>
          <w:lang w:val="en-US"/>
        </w:rPr>
        <w:t xml:space="preserve">, </w:t>
      </w:r>
      <w:proofErr w:type="spellStart"/>
      <w:r w:rsidRPr="0048733D">
        <w:rPr>
          <w:lang w:val="en-US"/>
        </w:rPr>
        <w:t>geçici</w:t>
      </w:r>
      <w:proofErr w:type="spellEnd"/>
      <w:r w:rsidRPr="0048733D">
        <w:rPr>
          <w:lang w:val="en-US"/>
        </w:rPr>
        <w:t xml:space="preserve"> </w:t>
      </w:r>
      <w:proofErr w:type="spellStart"/>
      <w:r w:rsidRPr="0048733D">
        <w:rPr>
          <w:lang w:val="en-US"/>
        </w:rPr>
        <w:t>örgütlenme</w:t>
      </w:r>
      <w:proofErr w:type="spellEnd"/>
      <w:r w:rsidRPr="0048733D">
        <w:rPr>
          <w:lang w:val="en-US"/>
        </w:rPr>
        <w:t xml:space="preserve"> </w:t>
      </w:r>
      <w:proofErr w:type="spellStart"/>
      <w:r w:rsidRPr="0048733D">
        <w:rPr>
          <w:lang w:val="en-US"/>
        </w:rPr>
        <w:t>çalışmaları</w:t>
      </w:r>
      <w:proofErr w:type="spellEnd"/>
      <w:r w:rsidRPr="0048733D">
        <w:rPr>
          <w:lang w:val="en-US"/>
        </w:rPr>
        <w:t xml:space="preserve">, </w:t>
      </w:r>
      <w:proofErr w:type="spellStart"/>
      <w:r w:rsidRPr="0048733D">
        <w:rPr>
          <w:lang w:val="en-US"/>
        </w:rPr>
        <w:t>kamu</w:t>
      </w:r>
      <w:proofErr w:type="spellEnd"/>
      <w:r w:rsidRPr="0048733D">
        <w:rPr>
          <w:lang w:val="en-US"/>
        </w:rPr>
        <w:t xml:space="preserve"> </w:t>
      </w:r>
      <w:proofErr w:type="spellStart"/>
      <w:r w:rsidRPr="0048733D">
        <w:rPr>
          <w:lang w:val="en-US"/>
        </w:rPr>
        <w:t>yararına</w:t>
      </w:r>
      <w:proofErr w:type="spellEnd"/>
      <w:r w:rsidRPr="0048733D">
        <w:rPr>
          <w:lang w:val="en-US"/>
        </w:rPr>
        <w:t xml:space="preserve"> </w:t>
      </w:r>
      <w:proofErr w:type="spellStart"/>
      <w:r w:rsidRPr="0048733D">
        <w:rPr>
          <w:lang w:val="en-US"/>
        </w:rPr>
        <w:t>faaliyet</w:t>
      </w:r>
      <w:proofErr w:type="spellEnd"/>
      <w:r w:rsidRPr="0048733D">
        <w:rPr>
          <w:lang w:val="en-US"/>
        </w:rPr>
        <w:t xml:space="preserve"> </w:t>
      </w:r>
      <w:proofErr w:type="spellStart"/>
      <w:r w:rsidRPr="0048733D">
        <w:rPr>
          <w:lang w:val="en-US"/>
        </w:rPr>
        <w:t>gösteren</w:t>
      </w:r>
      <w:proofErr w:type="spellEnd"/>
      <w:r w:rsidRPr="0048733D">
        <w:rPr>
          <w:lang w:val="en-US"/>
        </w:rPr>
        <w:t xml:space="preserve"> </w:t>
      </w:r>
      <w:proofErr w:type="spellStart"/>
      <w:r w:rsidRPr="0048733D">
        <w:rPr>
          <w:lang w:val="en-US"/>
        </w:rPr>
        <w:t>gruplar</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meslek</w:t>
      </w:r>
      <w:proofErr w:type="spellEnd"/>
      <w:r w:rsidRPr="0048733D">
        <w:rPr>
          <w:lang w:val="en-US"/>
        </w:rPr>
        <w:t xml:space="preserve"> </w:t>
      </w:r>
      <w:proofErr w:type="spellStart"/>
      <w:r w:rsidRPr="0048733D">
        <w:rPr>
          <w:lang w:val="en-US"/>
        </w:rPr>
        <w:t>örgütleri</w:t>
      </w:r>
      <w:proofErr w:type="spellEnd"/>
      <w:r w:rsidRPr="0048733D">
        <w:rPr>
          <w:lang w:val="en-US"/>
        </w:rPr>
        <w:t xml:space="preserve"> </w:t>
      </w:r>
      <w:proofErr w:type="spellStart"/>
      <w:r w:rsidRPr="0048733D">
        <w:rPr>
          <w:lang w:val="en-US"/>
        </w:rPr>
        <w:t>için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bağış</w:t>
      </w:r>
      <w:proofErr w:type="spellEnd"/>
      <w:r w:rsidRPr="0048733D">
        <w:rPr>
          <w:lang w:val="en-US"/>
        </w:rPr>
        <w:t xml:space="preserve"> </w:t>
      </w:r>
      <w:proofErr w:type="spellStart"/>
      <w:r w:rsidRPr="0048733D">
        <w:rPr>
          <w:lang w:val="en-US"/>
        </w:rPr>
        <w:t>toplama</w:t>
      </w:r>
      <w:proofErr w:type="spellEnd"/>
      <w:r w:rsidRPr="0048733D">
        <w:rPr>
          <w:lang w:val="en-US"/>
        </w:rPr>
        <w:t xml:space="preserve"> </w:t>
      </w:r>
      <w:proofErr w:type="spellStart"/>
      <w:r w:rsidRPr="0048733D">
        <w:rPr>
          <w:lang w:val="en-US"/>
        </w:rPr>
        <w:t>aracı</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organizasyonlar</w:t>
      </w:r>
      <w:proofErr w:type="spellEnd"/>
      <w:r w:rsidRPr="0048733D">
        <w:rPr>
          <w:lang w:val="en-US"/>
        </w:rPr>
        <w:t xml:space="preserve"> </w:t>
      </w:r>
      <w:proofErr w:type="spellStart"/>
      <w:r w:rsidRPr="0048733D">
        <w:rPr>
          <w:lang w:val="en-US"/>
        </w:rPr>
        <w:t>veya</w:t>
      </w:r>
      <w:proofErr w:type="spellEnd"/>
      <w:r w:rsidRPr="0048733D">
        <w:rPr>
          <w:lang w:val="en-US"/>
        </w:rPr>
        <w:t xml:space="preserve"> </w:t>
      </w:r>
      <w:proofErr w:type="spellStart"/>
      <w:r w:rsidRPr="0048733D">
        <w:rPr>
          <w:lang w:val="en-US"/>
        </w:rPr>
        <w:t>akademisyenler</w:t>
      </w:r>
      <w:proofErr w:type="spellEnd"/>
      <w:r w:rsidRPr="0048733D">
        <w:rPr>
          <w:lang w:val="en-US"/>
        </w:rPr>
        <w:t xml:space="preserve"> </w:t>
      </w:r>
      <w:proofErr w:type="spellStart"/>
      <w:r w:rsidRPr="0048733D">
        <w:rPr>
          <w:lang w:val="en-US"/>
        </w:rPr>
        <w:t>arasında</w:t>
      </w:r>
      <w:proofErr w:type="spellEnd"/>
      <w:r w:rsidRPr="0048733D">
        <w:rPr>
          <w:lang w:val="en-US"/>
        </w:rPr>
        <w:t xml:space="preserve"> </w:t>
      </w:r>
      <w:proofErr w:type="spellStart"/>
      <w:r w:rsidRPr="0048733D">
        <w:rPr>
          <w:lang w:val="en-US"/>
        </w:rPr>
        <w:t>ittifakları</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ilişkileri</w:t>
      </w:r>
      <w:proofErr w:type="spellEnd"/>
      <w:r w:rsidRPr="0048733D">
        <w:rPr>
          <w:lang w:val="en-US"/>
        </w:rPr>
        <w:t xml:space="preserve"> </w:t>
      </w:r>
      <w:proofErr w:type="spellStart"/>
      <w:r w:rsidRPr="0048733D">
        <w:rPr>
          <w:lang w:val="en-US"/>
        </w:rPr>
        <w:t>pekiştirme</w:t>
      </w:r>
      <w:proofErr w:type="spellEnd"/>
      <w:r w:rsidRPr="0048733D">
        <w:rPr>
          <w:lang w:val="en-US"/>
        </w:rPr>
        <w:t xml:space="preserve"> </w:t>
      </w:r>
      <w:proofErr w:type="spellStart"/>
      <w:r w:rsidRPr="0048733D">
        <w:rPr>
          <w:lang w:val="en-US"/>
        </w:rPr>
        <w:t>fırsatı</w:t>
      </w:r>
      <w:proofErr w:type="spellEnd"/>
      <w:r w:rsidRPr="0048733D">
        <w:rPr>
          <w:lang w:val="en-US"/>
        </w:rPr>
        <w:t xml:space="preserve"> </w:t>
      </w:r>
      <w:proofErr w:type="spellStart"/>
      <w:r w:rsidRPr="0048733D">
        <w:rPr>
          <w:lang w:val="en-US"/>
        </w:rPr>
        <w:t>olarak</w:t>
      </w:r>
      <w:proofErr w:type="spellEnd"/>
      <w:r w:rsidRPr="0048733D">
        <w:rPr>
          <w:lang w:val="en-US"/>
        </w:rPr>
        <w:t xml:space="preserve"> da </w:t>
      </w:r>
      <w:proofErr w:type="spellStart"/>
      <w:r w:rsidRPr="0048733D">
        <w:rPr>
          <w:lang w:val="en-US"/>
        </w:rPr>
        <w:t>işlev</w:t>
      </w:r>
      <w:proofErr w:type="spellEnd"/>
      <w:r w:rsidRPr="0048733D">
        <w:rPr>
          <w:lang w:val="en-US"/>
        </w:rPr>
        <w:t xml:space="preserve"> görebilir.¹⁰⁰</w:t>
      </w:r>
      <w:r w:rsidRPr="0097645D">
        <w:rPr>
          <w:lang w:val="en-US"/>
        </w:rPr>
        <w:t xml:space="preserve"> </w:t>
      </w:r>
      <w:r w:rsidRPr="0097645D">
        <w:rPr>
          <w:rStyle w:val="FootnoteReference"/>
          <w:lang w:val="en-US"/>
        </w:rPr>
        <w:footnoteReference w:id="100"/>
      </w:r>
    </w:p>
    <w:p w14:paraId="2493244F" w14:textId="77777777" w:rsidR="0048733D" w:rsidRPr="0048733D" w:rsidRDefault="0048733D" w:rsidP="0048733D">
      <w:pPr>
        <w:rPr>
          <w:lang w:val="en-US"/>
        </w:rPr>
      </w:pPr>
    </w:p>
    <w:p w14:paraId="33AC8B4A" w14:textId="10915B79" w:rsidR="0048733D" w:rsidRPr="0097645D" w:rsidRDefault="0048733D" w:rsidP="0048733D">
      <w:pPr>
        <w:rPr>
          <w:lang w:val="en-US"/>
        </w:rPr>
      </w:pPr>
      <w:proofErr w:type="spellStart"/>
      <w:r w:rsidRPr="0048733D">
        <w:rPr>
          <w:lang w:val="en-US"/>
        </w:rPr>
        <w:t>Ampirik</w:t>
      </w:r>
      <w:proofErr w:type="spellEnd"/>
      <w:r w:rsidRPr="0048733D">
        <w:rPr>
          <w:lang w:val="en-US"/>
        </w:rPr>
        <w:t xml:space="preserve"> </w:t>
      </w:r>
      <w:proofErr w:type="spellStart"/>
      <w:r w:rsidRPr="0048733D">
        <w:rPr>
          <w:lang w:val="en-US"/>
        </w:rPr>
        <w:t>çalışmalar</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Mahkeme’nin</w:t>
      </w:r>
      <w:proofErr w:type="spellEnd"/>
      <w:r w:rsidRPr="0048733D">
        <w:rPr>
          <w:lang w:val="en-US"/>
        </w:rPr>
        <w:t xml:space="preserve"> </w:t>
      </w:r>
      <w:proofErr w:type="spellStart"/>
      <w:r w:rsidRPr="0048733D">
        <w:rPr>
          <w:lang w:val="en-US"/>
        </w:rPr>
        <w:t>işleyişine</w:t>
      </w:r>
      <w:proofErr w:type="spellEnd"/>
      <w:r w:rsidRPr="0048733D">
        <w:rPr>
          <w:lang w:val="en-US"/>
        </w:rPr>
        <w:t xml:space="preserve"> </w:t>
      </w:r>
      <w:proofErr w:type="spellStart"/>
      <w:r w:rsidRPr="0048733D">
        <w:rPr>
          <w:lang w:val="en-US"/>
        </w:rPr>
        <w:t>dair</w:t>
      </w:r>
      <w:proofErr w:type="spellEnd"/>
      <w:r w:rsidRPr="0048733D">
        <w:rPr>
          <w:lang w:val="en-US"/>
        </w:rPr>
        <w:t xml:space="preserve"> </w:t>
      </w:r>
      <w:proofErr w:type="spellStart"/>
      <w:r w:rsidRPr="0048733D">
        <w:rPr>
          <w:lang w:val="en-US"/>
        </w:rPr>
        <w:t>anekdotsal</w:t>
      </w:r>
      <w:proofErr w:type="spellEnd"/>
      <w:r w:rsidRPr="0048733D">
        <w:rPr>
          <w:lang w:val="en-US"/>
        </w:rPr>
        <w:t xml:space="preserve"> </w:t>
      </w:r>
      <w:proofErr w:type="spellStart"/>
      <w:r w:rsidRPr="0048733D">
        <w:rPr>
          <w:lang w:val="en-US"/>
        </w:rPr>
        <w:t>gözlemler</w:t>
      </w:r>
      <w:proofErr w:type="spellEnd"/>
      <w:r w:rsidRPr="0048733D">
        <w:rPr>
          <w:lang w:val="en-US"/>
        </w:rPr>
        <w:t xml:space="preserve">, amicus curiae </w:t>
      </w:r>
      <w:proofErr w:type="spellStart"/>
      <w:r w:rsidRPr="0048733D">
        <w:rPr>
          <w:lang w:val="en-US"/>
        </w:rPr>
        <w:t>dilekçelerinin</w:t>
      </w:r>
      <w:proofErr w:type="spellEnd"/>
      <w:r w:rsidRPr="0048733D">
        <w:rPr>
          <w:lang w:val="en-US"/>
        </w:rPr>
        <w:t xml:space="preserve"> </w:t>
      </w:r>
      <w:proofErr w:type="spellStart"/>
      <w:r w:rsidRPr="0048733D">
        <w:rPr>
          <w:lang w:val="en-US"/>
        </w:rPr>
        <w:t>genel</w:t>
      </w:r>
      <w:proofErr w:type="spellEnd"/>
      <w:r w:rsidRPr="0048733D">
        <w:rPr>
          <w:lang w:val="en-US"/>
        </w:rPr>
        <w:t xml:space="preserve"> </w:t>
      </w:r>
      <w:proofErr w:type="spellStart"/>
      <w:r w:rsidRPr="0048733D">
        <w:rPr>
          <w:lang w:val="en-US"/>
        </w:rPr>
        <w:t>olarak</w:t>
      </w:r>
      <w:proofErr w:type="spellEnd"/>
      <w:r w:rsidRPr="0048733D">
        <w:rPr>
          <w:lang w:val="en-US"/>
        </w:rPr>
        <w:t xml:space="preserve"> </w:t>
      </w:r>
      <w:proofErr w:type="spellStart"/>
      <w:r w:rsidRPr="0048733D">
        <w:rPr>
          <w:lang w:val="en-US"/>
        </w:rPr>
        <w:t>Mahkeme</w:t>
      </w:r>
      <w:proofErr w:type="spellEnd"/>
      <w:r w:rsidRPr="0048733D">
        <w:rPr>
          <w:lang w:val="en-US"/>
        </w:rPr>
        <w:t xml:space="preserve"> </w:t>
      </w:r>
      <w:proofErr w:type="spellStart"/>
      <w:r w:rsidRPr="0048733D">
        <w:rPr>
          <w:lang w:val="en-US"/>
        </w:rPr>
        <w:t>kararlarının</w:t>
      </w:r>
      <w:proofErr w:type="spellEnd"/>
      <w:r w:rsidRPr="0048733D">
        <w:rPr>
          <w:lang w:val="en-US"/>
        </w:rPr>
        <w:t xml:space="preserve"> </w:t>
      </w:r>
      <w:proofErr w:type="spellStart"/>
      <w:r w:rsidRPr="0048733D">
        <w:rPr>
          <w:lang w:val="en-US"/>
        </w:rPr>
        <w:t>sonucuna</w:t>
      </w:r>
      <w:proofErr w:type="spellEnd"/>
      <w:r w:rsidRPr="0048733D">
        <w:rPr>
          <w:lang w:val="en-US"/>
        </w:rPr>
        <w:t xml:space="preserve"> </w:t>
      </w:r>
      <w:proofErr w:type="spellStart"/>
      <w:r w:rsidRPr="0048733D">
        <w:rPr>
          <w:lang w:val="en-US"/>
        </w:rPr>
        <w:t>küçük</w:t>
      </w:r>
      <w:proofErr w:type="spellEnd"/>
      <w:r w:rsidRPr="0048733D">
        <w:rPr>
          <w:lang w:val="en-US"/>
        </w:rPr>
        <w:t xml:space="preserve"> ama fark </w:t>
      </w:r>
      <w:proofErr w:type="spellStart"/>
      <w:r w:rsidRPr="0048733D">
        <w:rPr>
          <w:lang w:val="en-US"/>
        </w:rPr>
        <w:t>edilebilir</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etki</w:t>
      </w:r>
      <w:proofErr w:type="spellEnd"/>
      <w:r w:rsidRPr="0048733D">
        <w:rPr>
          <w:lang w:val="en-US"/>
        </w:rPr>
        <w:t xml:space="preserve"> </w:t>
      </w:r>
      <w:proofErr w:type="spellStart"/>
      <w:r w:rsidRPr="0048733D">
        <w:rPr>
          <w:lang w:val="en-US"/>
        </w:rPr>
        <w:t>yaptığını</w:t>
      </w:r>
      <w:proofErr w:type="spellEnd"/>
      <w:r w:rsidRPr="0048733D">
        <w:rPr>
          <w:lang w:val="en-US"/>
        </w:rPr>
        <w:t xml:space="preserve"> göstermektedir.¹⁰¹</w:t>
      </w:r>
      <w:r w:rsidRPr="0097645D">
        <w:rPr>
          <w:lang w:val="en-US"/>
        </w:rPr>
        <w:t xml:space="preserve"> </w:t>
      </w:r>
      <w:r w:rsidRPr="0097645D">
        <w:rPr>
          <w:rStyle w:val="FootnoteReference"/>
          <w:lang w:val="en-US"/>
        </w:rPr>
        <w:footnoteReference w:id="101"/>
      </w:r>
      <w:r w:rsidRPr="0048733D">
        <w:rPr>
          <w:lang w:val="en-US"/>
        </w:rPr>
        <w:t xml:space="preserve"> </w:t>
      </w:r>
      <w:proofErr w:type="spellStart"/>
      <w:r w:rsidRPr="0048733D">
        <w:rPr>
          <w:lang w:val="en-US"/>
        </w:rPr>
        <w:t>Ancak</w:t>
      </w:r>
      <w:proofErr w:type="spellEnd"/>
      <w:r w:rsidRPr="0048733D">
        <w:rPr>
          <w:lang w:val="en-US"/>
        </w:rPr>
        <w:t xml:space="preserve"> </w:t>
      </w:r>
      <w:proofErr w:type="spellStart"/>
      <w:r w:rsidRPr="0048733D">
        <w:rPr>
          <w:lang w:val="en-US"/>
        </w:rPr>
        <w:t>bunun</w:t>
      </w:r>
      <w:proofErr w:type="spellEnd"/>
      <w:r w:rsidRPr="0048733D">
        <w:rPr>
          <w:lang w:val="en-US"/>
        </w:rPr>
        <w:t xml:space="preserve"> </w:t>
      </w:r>
      <w:proofErr w:type="spellStart"/>
      <w:r w:rsidRPr="0048733D">
        <w:rPr>
          <w:lang w:val="en-US"/>
        </w:rPr>
        <w:t>ötesinde</w:t>
      </w:r>
      <w:proofErr w:type="spellEnd"/>
      <w:r w:rsidRPr="0048733D">
        <w:rPr>
          <w:lang w:val="en-US"/>
        </w:rPr>
        <w:t xml:space="preserve">, amicus curiae </w:t>
      </w:r>
      <w:proofErr w:type="spellStart"/>
      <w:r w:rsidRPr="0048733D">
        <w:rPr>
          <w:lang w:val="en-US"/>
        </w:rPr>
        <w:t>dilekçelerinin</w:t>
      </w:r>
      <w:proofErr w:type="spellEnd"/>
      <w:r w:rsidRPr="0048733D">
        <w:rPr>
          <w:lang w:val="en-US"/>
        </w:rPr>
        <w:t xml:space="preserve"> </w:t>
      </w:r>
      <w:proofErr w:type="spellStart"/>
      <w:r w:rsidRPr="0048733D">
        <w:rPr>
          <w:lang w:val="en-US"/>
        </w:rPr>
        <w:t>yaygınlaşması</w:t>
      </w:r>
      <w:proofErr w:type="spellEnd"/>
      <w:r w:rsidRPr="0048733D">
        <w:rPr>
          <w:lang w:val="en-US"/>
        </w:rPr>
        <w:t xml:space="preserve">, </w:t>
      </w:r>
      <w:proofErr w:type="spellStart"/>
      <w:r w:rsidRPr="0048733D">
        <w:rPr>
          <w:lang w:val="en-US"/>
        </w:rPr>
        <w:t>anayasal</w:t>
      </w:r>
      <w:proofErr w:type="spellEnd"/>
      <w:r w:rsidRPr="0048733D">
        <w:rPr>
          <w:lang w:val="en-US"/>
        </w:rPr>
        <w:t xml:space="preserve"> </w:t>
      </w:r>
      <w:proofErr w:type="spellStart"/>
      <w:r w:rsidRPr="0048733D">
        <w:rPr>
          <w:lang w:val="en-US"/>
        </w:rPr>
        <w:t>karar</w:t>
      </w:r>
      <w:proofErr w:type="spellEnd"/>
      <w:r w:rsidRPr="0048733D">
        <w:rPr>
          <w:lang w:val="en-US"/>
        </w:rPr>
        <w:t xml:space="preserve"> alma </w:t>
      </w:r>
      <w:proofErr w:type="spellStart"/>
      <w:r w:rsidRPr="0048733D">
        <w:rPr>
          <w:lang w:val="en-US"/>
        </w:rPr>
        <w:t>sürecinin</w:t>
      </w:r>
      <w:proofErr w:type="spellEnd"/>
      <w:r w:rsidRPr="0048733D">
        <w:rPr>
          <w:lang w:val="en-US"/>
        </w:rPr>
        <w:t xml:space="preserve"> </w:t>
      </w:r>
      <w:proofErr w:type="spellStart"/>
      <w:r w:rsidRPr="0048733D">
        <w:rPr>
          <w:lang w:val="en-US"/>
        </w:rPr>
        <w:t>dinamiklerini</w:t>
      </w:r>
      <w:proofErr w:type="spellEnd"/>
      <w:r w:rsidRPr="0048733D">
        <w:rPr>
          <w:lang w:val="en-US"/>
        </w:rPr>
        <w:t xml:space="preserve"> </w:t>
      </w:r>
      <w:proofErr w:type="spellStart"/>
      <w:r w:rsidRPr="0048733D">
        <w:rPr>
          <w:lang w:val="en-US"/>
        </w:rPr>
        <w:t>kritik</w:t>
      </w:r>
      <w:proofErr w:type="spellEnd"/>
      <w:r w:rsidRPr="0048733D">
        <w:rPr>
          <w:lang w:val="en-US"/>
        </w:rPr>
        <w:t xml:space="preserve"> </w:t>
      </w:r>
      <w:proofErr w:type="spellStart"/>
      <w:r w:rsidRPr="0048733D">
        <w:rPr>
          <w:lang w:val="en-US"/>
        </w:rPr>
        <w:t>ancak</w:t>
      </w:r>
      <w:proofErr w:type="spellEnd"/>
      <w:r w:rsidRPr="0048733D">
        <w:rPr>
          <w:lang w:val="en-US"/>
        </w:rPr>
        <w:t xml:space="preserve"> </w:t>
      </w:r>
      <w:proofErr w:type="spellStart"/>
      <w:r w:rsidRPr="0048733D">
        <w:rPr>
          <w:lang w:val="en-US"/>
        </w:rPr>
        <w:t>yeterince</w:t>
      </w:r>
      <w:proofErr w:type="spellEnd"/>
      <w:r w:rsidRPr="0048733D">
        <w:rPr>
          <w:lang w:val="en-US"/>
        </w:rPr>
        <w:t xml:space="preserve"> </w:t>
      </w:r>
      <w:proofErr w:type="spellStart"/>
      <w:r w:rsidRPr="0048733D">
        <w:rPr>
          <w:lang w:val="en-US"/>
        </w:rPr>
        <w:t>takdir</w:t>
      </w:r>
      <w:proofErr w:type="spellEnd"/>
      <w:r w:rsidRPr="0048733D">
        <w:rPr>
          <w:lang w:val="en-US"/>
        </w:rPr>
        <w:t xml:space="preserve"> </w:t>
      </w:r>
      <w:proofErr w:type="spellStart"/>
      <w:r w:rsidRPr="0048733D">
        <w:rPr>
          <w:lang w:val="en-US"/>
        </w:rPr>
        <w:t>edilmeyen</w:t>
      </w:r>
      <w:proofErr w:type="spellEnd"/>
      <w:r w:rsidRPr="0048733D">
        <w:rPr>
          <w:lang w:val="en-US"/>
        </w:rPr>
        <w:t xml:space="preserve"> </w:t>
      </w:r>
      <w:proofErr w:type="spellStart"/>
      <w:r w:rsidRPr="0048733D">
        <w:rPr>
          <w:lang w:val="en-US"/>
        </w:rPr>
        <w:t>şekillerde</w:t>
      </w:r>
      <w:proofErr w:type="spellEnd"/>
      <w:r w:rsidRPr="0048733D">
        <w:rPr>
          <w:lang w:val="en-US"/>
        </w:rPr>
        <w:t xml:space="preserve"> </w:t>
      </w:r>
      <w:proofErr w:type="spellStart"/>
      <w:r w:rsidRPr="0048733D">
        <w:rPr>
          <w:lang w:val="en-US"/>
        </w:rPr>
        <w:t>değiştirmektedir</w:t>
      </w:r>
      <w:proofErr w:type="spellEnd"/>
      <w:r w:rsidRPr="0048733D">
        <w:rPr>
          <w:lang w:val="en-US"/>
        </w:rPr>
        <w:t>.</w:t>
      </w:r>
      <w:r w:rsidRPr="0097645D">
        <w:rPr>
          <w:lang w:val="en-US"/>
        </w:rPr>
        <w:t xml:space="preserve"> </w:t>
      </w:r>
      <w:proofErr w:type="spellStart"/>
      <w:r w:rsidRPr="0048733D">
        <w:rPr>
          <w:lang w:val="en-US"/>
        </w:rPr>
        <w:t>Öncelikle</w:t>
      </w:r>
      <w:proofErr w:type="spellEnd"/>
      <w:r w:rsidRPr="0048733D">
        <w:rPr>
          <w:lang w:val="en-US"/>
        </w:rPr>
        <w:t xml:space="preserve">, amicus curiae </w:t>
      </w:r>
      <w:proofErr w:type="spellStart"/>
      <w:r w:rsidRPr="0048733D">
        <w:rPr>
          <w:lang w:val="en-US"/>
        </w:rPr>
        <w:t>dilekçelerinin</w:t>
      </w:r>
      <w:proofErr w:type="spellEnd"/>
      <w:r w:rsidRPr="0048733D">
        <w:rPr>
          <w:lang w:val="en-US"/>
        </w:rPr>
        <w:t xml:space="preserve"> </w:t>
      </w:r>
      <w:proofErr w:type="spellStart"/>
      <w:r w:rsidRPr="0048733D">
        <w:rPr>
          <w:lang w:val="en-US"/>
        </w:rPr>
        <w:t>yükselişi</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taraflar</w:t>
      </w:r>
      <w:proofErr w:type="spellEnd"/>
      <w:r w:rsidRPr="0048733D">
        <w:rPr>
          <w:lang w:val="en-US"/>
        </w:rPr>
        <w:t xml:space="preserve"> </w:t>
      </w:r>
      <w:proofErr w:type="spellStart"/>
      <w:r w:rsidRPr="0048733D">
        <w:rPr>
          <w:lang w:val="en-US"/>
        </w:rPr>
        <w:t>ile</w:t>
      </w:r>
      <w:proofErr w:type="spellEnd"/>
      <w:r w:rsidRPr="0048733D">
        <w:rPr>
          <w:lang w:val="en-US"/>
        </w:rPr>
        <w:t xml:space="preserve"> </w:t>
      </w:r>
      <w:proofErr w:type="spellStart"/>
      <w:r w:rsidRPr="0048733D">
        <w:rPr>
          <w:lang w:val="en-US"/>
        </w:rPr>
        <w:t>çıkar</w:t>
      </w:r>
      <w:proofErr w:type="spellEnd"/>
      <w:r w:rsidRPr="0048733D">
        <w:rPr>
          <w:lang w:val="en-US"/>
        </w:rPr>
        <w:t xml:space="preserve"> </w:t>
      </w:r>
      <w:proofErr w:type="spellStart"/>
      <w:r w:rsidRPr="0048733D">
        <w:rPr>
          <w:lang w:val="en-US"/>
        </w:rPr>
        <w:t>grupları</w:t>
      </w:r>
      <w:proofErr w:type="spellEnd"/>
      <w:r w:rsidRPr="0048733D">
        <w:rPr>
          <w:lang w:val="en-US"/>
        </w:rPr>
        <w:t xml:space="preserve"> </w:t>
      </w:r>
      <w:proofErr w:type="spellStart"/>
      <w:r w:rsidRPr="0048733D">
        <w:rPr>
          <w:lang w:val="en-US"/>
        </w:rPr>
        <w:t>tarafından</w:t>
      </w:r>
      <w:proofErr w:type="spellEnd"/>
      <w:r w:rsidRPr="0048733D">
        <w:rPr>
          <w:lang w:val="en-US"/>
        </w:rPr>
        <w:t xml:space="preserve"> </w:t>
      </w:r>
      <w:proofErr w:type="spellStart"/>
      <w:r w:rsidRPr="0048733D">
        <w:rPr>
          <w:lang w:val="en-US"/>
        </w:rPr>
        <w:t>giderek</w:t>
      </w:r>
      <w:proofErr w:type="spellEnd"/>
      <w:r w:rsidRPr="0048733D">
        <w:rPr>
          <w:lang w:val="en-US"/>
        </w:rPr>
        <w:t xml:space="preserve"> </w:t>
      </w:r>
      <w:proofErr w:type="spellStart"/>
      <w:r w:rsidRPr="0048733D">
        <w:rPr>
          <w:lang w:val="en-US"/>
        </w:rPr>
        <w:t>daha</w:t>
      </w:r>
      <w:proofErr w:type="spellEnd"/>
      <w:r w:rsidRPr="0048733D">
        <w:rPr>
          <w:lang w:val="en-US"/>
        </w:rPr>
        <w:t xml:space="preserve"> </w:t>
      </w:r>
      <w:proofErr w:type="spellStart"/>
      <w:r w:rsidRPr="0048733D">
        <w:rPr>
          <w:lang w:val="en-US"/>
        </w:rPr>
        <w:t>sofistike</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şekilde</w:t>
      </w:r>
      <w:proofErr w:type="spellEnd"/>
      <w:r w:rsidRPr="0048733D">
        <w:rPr>
          <w:lang w:val="en-US"/>
        </w:rPr>
        <w:t xml:space="preserve"> </w:t>
      </w:r>
      <w:proofErr w:type="spellStart"/>
      <w:r w:rsidRPr="0048733D">
        <w:rPr>
          <w:lang w:val="en-US"/>
        </w:rPr>
        <w:t>kullanılması</w:t>
      </w:r>
      <w:proofErr w:type="spellEnd"/>
      <w:r w:rsidRPr="0048733D">
        <w:rPr>
          <w:lang w:val="en-US"/>
        </w:rPr>
        <w:t xml:space="preserve">, </w:t>
      </w:r>
      <w:proofErr w:type="spellStart"/>
      <w:r w:rsidRPr="0048733D">
        <w:rPr>
          <w:lang w:val="en-US"/>
        </w:rPr>
        <w:t>Yargıçlar</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katipleri</w:t>
      </w:r>
      <w:proofErr w:type="spellEnd"/>
      <w:r w:rsidRPr="0048733D">
        <w:rPr>
          <w:lang w:val="en-US"/>
        </w:rPr>
        <w:t xml:space="preserve"> </w:t>
      </w:r>
      <w:proofErr w:type="spellStart"/>
      <w:r w:rsidRPr="0048733D">
        <w:rPr>
          <w:lang w:val="en-US"/>
        </w:rPr>
        <w:t>önündeki</w:t>
      </w:r>
      <w:proofErr w:type="spellEnd"/>
      <w:r w:rsidRPr="0048733D">
        <w:rPr>
          <w:lang w:val="en-US"/>
        </w:rPr>
        <w:t xml:space="preserve"> </w:t>
      </w:r>
      <w:proofErr w:type="spellStart"/>
      <w:r w:rsidRPr="0048733D">
        <w:rPr>
          <w:lang w:val="en-US"/>
        </w:rPr>
        <w:t>bilgi</w:t>
      </w:r>
      <w:proofErr w:type="spellEnd"/>
      <w:r w:rsidRPr="0048733D">
        <w:rPr>
          <w:lang w:val="en-US"/>
        </w:rPr>
        <w:t xml:space="preserve"> </w:t>
      </w:r>
      <w:proofErr w:type="spellStart"/>
      <w:r w:rsidRPr="0048733D">
        <w:rPr>
          <w:lang w:val="en-US"/>
        </w:rPr>
        <w:t>yapısını</w:t>
      </w:r>
      <w:proofErr w:type="spellEnd"/>
      <w:r w:rsidRPr="0048733D">
        <w:rPr>
          <w:lang w:val="en-US"/>
        </w:rPr>
        <w:t xml:space="preserve"> </w:t>
      </w:r>
      <w:proofErr w:type="spellStart"/>
      <w:r w:rsidRPr="0048733D">
        <w:rPr>
          <w:lang w:val="en-US"/>
        </w:rPr>
        <w:t>temelden</w:t>
      </w:r>
      <w:proofErr w:type="spellEnd"/>
      <w:r w:rsidRPr="0048733D">
        <w:rPr>
          <w:lang w:val="en-US"/>
        </w:rPr>
        <w:t xml:space="preserve"> </w:t>
      </w:r>
      <w:proofErr w:type="spellStart"/>
      <w:r w:rsidRPr="0048733D">
        <w:rPr>
          <w:lang w:val="en-US"/>
        </w:rPr>
        <w:t>dönüştürmektedir</w:t>
      </w:r>
      <w:proofErr w:type="spellEnd"/>
      <w:r w:rsidRPr="0048733D">
        <w:rPr>
          <w:lang w:val="en-US"/>
        </w:rPr>
        <w:t xml:space="preserve">. </w:t>
      </w:r>
      <w:proofErr w:type="spellStart"/>
      <w:r w:rsidRPr="0048733D">
        <w:rPr>
          <w:lang w:val="en-US"/>
        </w:rPr>
        <w:t>Tarihsel</w:t>
      </w:r>
      <w:proofErr w:type="spellEnd"/>
      <w:r w:rsidRPr="0048733D">
        <w:rPr>
          <w:lang w:val="en-US"/>
        </w:rPr>
        <w:t xml:space="preserve"> </w:t>
      </w:r>
      <w:proofErr w:type="spellStart"/>
      <w:r w:rsidRPr="0048733D">
        <w:rPr>
          <w:lang w:val="en-US"/>
        </w:rPr>
        <w:t>olarak</w:t>
      </w:r>
      <w:proofErr w:type="spellEnd"/>
      <w:r w:rsidRPr="0048733D">
        <w:rPr>
          <w:lang w:val="en-US"/>
        </w:rPr>
        <w:t xml:space="preserve">, </w:t>
      </w:r>
      <w:proofErr w:type="spellStart"/>
      <w:r w:rsidRPr="0048733D">
        <w:rPr>
          <w:lang w:val="en-US"/>
        </w:rPr>
        <w:t>Yargıçlar</w:t>
      </w:r>
      <w:proofErr w:type="spellEnd"/>
      <w:r w:rsidRPr="0048733D">
        <w:rPr>
          <w:lang w:val="en-US"/>
        </w:rPr>
        <w:t xml:space="preserve">, </w:t>
      </w:r>
      <w:proofErr w:type="spellStart"/>
      <w:r w:rsidRPr="0048733D">
        <w:rPr>
          <w:lang w:val="en-US"/>
        </w:rPr>
        <w:t>kararlarının</w:t>
      </w:r>
      <w:proofErr w:type="spellEnd"/>
      <w:r w:rsidRPr="0048733D">
        <w:rPr>
          <w:lang w:val="en-US"/>
        </w:rPr>
        <w:t xml:space="preserve"> </w:t>
      </w:r>
      <w:proofErr w:type="spellStart"/>
      <w:r w:rsidRPr="0048733D">
        <w:rPr>
          <w:lang w:val="en-US"/>
        </w:rPr>
        <w:t>olası</w:t>
      </w:r>
      <w:proofErr w:type="spellEnd"/>
      <w:r w:rsidRPr="0048733D">
        <w:rPr>
          <w:lang w:val="en-US"/>
        </w:rPr>
        <w:t xml:space="preserve"> </w:t>
      </w:r>
      <w:proofErr w:type="spellStart"/>
      <w:r w:rsidRPr="0048733D">
        <w:rPr>
          <w:lang w:val="en-US"/>
        </w:rPr>
        <w:t>sonuçları</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kamuoyundaki</w:t>
      </w:r>
      <w:proofErr w:type="spellEnd"/>
      <w:r w:rsidRPr="0048733D">
        <w:rPr>
          <w:lang w:val="en-US"/>
        </w:rPr>
        <w:t xml:space="preserve"> </w:t>
      </w:r>
      <w:proofErr w:type="spellStart"/>
      <w:r w:rsidRPr="0048733D">
        <w:rPr>
          <w:lang w:val="en-US"/>
        </w:rPr>
        <w:t>tepkileri</w:t>
      </w:r>
      <w:proofErr w:type="spellEnd"/>
      <w:r w:rsidRPr="0048733D">
        <w:rPr>
          <w:lang w:val="en-US"/>
        </w:rPr>
        <w:t xml:space="preserve"> </w:t>
      </w:r>
      <w:proofErr w:type="spellStart"/>
      <w:r w:rsidRPr="0048733D">
        <w:rPr>
          <w:lang w:val="en-US"/>
        </w:rPr>
        <w:t>konusunda</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tür</w:t>
      </w:r>
      <w:proofErr w:type="spellEnd"/>
      <w:r w:rsidRPr="0048733D">
        <w:rPr>
          <w:lang w:val="en-US"/>
        </w:rPr>
        <w:t xml:space="preserve"> “</w:t>
      </w:r>
      <w:proofErr w:type="spellStart"/>
      <w:r w:rsidRPr="0048733D">
        <w:rPr>
          <w:lang w:val="en-US"/>
        </w:rPr>
        <w:t>balonun</w:t>
      </w:r>
      <w:proofErr w:type="spellEnd"/>
      <w:r w:rsidRPr="0048733D">
        <w:rPr>
          <w:lang w:val="en-US"/>
        </w:rPr>
        <w:t xml:space="preserve">” </w:t>
      </w:r>
      <w:proofErr w:type="spellStart"/>
      <w:r w:rsidRPr="0048733D">
        <w:rPr>
          <w:lang w:val="en-US"/>
        </w:rPr>
        <w:t>içinde</w:t>
      </w:r>
      <w:proofErr w:type="spellEnd"/>
      <w:r w:rsidRPr="0048733D">
        <w:rPr>
          <w:lang w:val="en-US"/>
        </w:rPr>
        <w:t xml:space="preserve"> </w:t>
      </w:r>
      <w:proofErr w:type="spellStart"/>
      <w:r w:rsidRPr="0048733D">
        <w:rPr>
          <w:lang w:val="en-US"/>
        </w:rPr>
        <w:t>hareket</w:t>
      </w:r>
      <w:proofErr w:type="spellEnd"/>
      <w:r w:rsidRPr="0048733D">
        <w:rPr>
          <w:lang w:val="en-US"/>
        </w:rPr>
        <w:t xml:space="preserve"> </w:t>
      </w:r>
      <w:proofErr w:type="spellStart"/>
      <w:r w:rsidRPr="0048733D">
        <w:rPr>
          <w:lang w:val="en-US"/>
        </w:rPr>
        <w:t>etmişlerdir</w:t>
      </w:r>
      <w:proofErr w:type="spellEnd"/>
      <w:r w:rsidRPr="0048733D">
        <w:rPr>
          <w:lang w:val="en-US"/>
        </w:rPr>
        <w:t xml:space="preserve">; </w:t>
      </w:r>
      <w:proofErr w:type="spellStart"/>
      <w:r w:rsidRPr="0048733D">
        <w:rPr>
          <w:lang w:val="en-US"/>
        </w:rPr>
        <w:t>bu</w:t>
      </w:r>
      <w:proofErr w:type="spellEnd"/>
      <w:r w:rsidRPr="0048733D">
        <w:rPr>
          <w:lang w:val="en-US"/>
        </w:rPr>
        <w:t xml:space="preserve"> durum, </w:t>
      </w:r>
      <w:proofErr w:type="spellStart"/>
      <w:r w:rsidRPr="0048733D">
        <w:rPr>
          <w:lang w:val="en-US"/>
        </w:rPr>
        <w:t>farklı</w:t>
      </w:r>
      <w:proofErr w:type="spellEnd"/>
      <w:r w:rsidRPr="0048733D">
        <w:rPr>
          <w:lang w:val="en-US"/>
        </w:rPr>
        <w:t xml:space="preserve"> </w:t>
      </w:r>
      <w:proofErr w:type="spellStart"/>
      <w:r w:rsidRPr="0048733D">
        <w:rPr>
          <w:lang w:val="en-US"/>
        </w:rPr>
        <w:t>zamanlarda</w:t>
      </w:r>
      <w:proofErr w:type="spellEnd"/>
      <w:r w:rsidRPr="0048733D">
        <w:rPr>
          <w:lang w:val="en-US"/>
        </w:rPr>
        <w:t xml:space="preserve"> hem </w:t>
      </w:r>
      <w:proofErr w:type="spellStart"/>
      <w:r w:rsidRPr="0048733D">
        <w:rPr>
          <w:lang w:val="en-US"/>
        </w:rPr>
        <w:t>bir</w:t>
      </w:r>
      <w:proofErr w:type="spellEnd"/>
      <w:r w:rsidRPr="0048733D">
        <w:rPr>
          <w:lang w:val="en-US"/>
        </w:rPr>
        <w:t xml:space="preserve"> </w:t>
      </w:r>
      <w:proofErr w:type="spellStart"/>
      <w:r w:rsidRPr="0048733D">
        <w:rPr>
          <w:lang w:val="en-US"/>
        </w:rPr>
        <w:t>erdem</w:t>
      </w:r>
      <w:proofErr w:type="spellEnd"/>
      <w:r w:rsidRPr="0048733D">
        <w:rPr>
          <w:lang w:val="en-US"/>
        </w:rPr>
        <w:t xml:space="preserve"> hem de </w:t>
      </w:r>
      <w:proofErr w:type="spellStart"/>
      <w:r w:rsidRPr="0048733D">
        <w:rPr>
          <w:lang w:val="en-US"/>
        </w:rPr>
        <w:t>bir</w:t>
      </w:r>
      <w:proofErr w:type="spellEnd"/>
      <w:r w:rsidRPr="0048733D">
        <w:rPr>
          <w:lang w:val="en-US"/>
        </w:rPr>
        <w:t xml:space="preserve"> </w:t>
      </w:r>
      <w:proofErr w:type="spellStart"/>
      <w:r w:rsidRPr="0048733D">
        <w:rPr>
          <w:lang w:val="en-US"/>
        </w:rPr>
        <w:t>kusur</w:t>
      </w:r>
      <w:proofErr w:type="spellEnd"/>
      <w:r w:rsidRPr="0048733D">
        <w:rPr>
          <w:lang w:val="en-US"/>
        </w:rPr>
        <w:t xml:space="preserve"> </w:t>
      </w:r>
      <w:proofErr w:type="spellStart"/>
      <w:r w:rsidRPr="0048733D">
        <w:rPr>
          <w:lang w:val="en-US"/>
        </w:rPr>
        <w:t>olarak</w:t>
      </w:r>
      <w:proofErr w:type="spellEnd"/>
      <w:r w:rsidRPr="0048733D">
        <w:rPr>
          <w:lang w:val="en-US"/>
        </w:rPr>
        <w:t xml:space="preserve"> </w:t>
      </w:r>
      <w:proofErr w:type="spellStart"/>
      <w:r w:rsidRPr="0048733D">
        <w:rPr>
          <w:lang w:val="en-US"/>
        </w:rPr>
        <w:t>değerlendirilmiştir</w:t>
      </w:r>
      <w:proofErr w:type="spellEnd"/>
      <w:r w:rsidRPr="0048733D">
        <w:rPr>
          <w:lang w:val="en-US"/>
        </w:rPr>
        <w:t xml:space="preserve">. </w:t>
      </w:r>
      <w:proofErr w:type="spellStart"/>
      <w:r w:rsidRPr="0048733D">
        <w:rPr>
          <w:lang w:val="en-US"/>
        </w:rPr>
        <w:t>Ancak</w:t>
      </w:r>
      <w:proofErr w:type="spellEnd"/>
      <w:r w:rsidRPr="0048733D">
        <w:rPr>
          <w:lang w:val="en-US"/>
        </w:rPr>
        <w:t xml:space="preserve"> </w:t>
      </w:r>
      <w:proofErr w:type="spellStart"/>
      <w:r w:rsidRPr="0048733D">
        <w:rPr>
          <w:lang w:val="en-US"/>
        </w:rPr>
        <w:t>günümüzde</w:t>
      </w:r>
      <w:proofErr w:type="spellEnd"/>
      <w:r w:rsidRPr="0048733D">
        <w:rPr>
          <w:lang w:val="en-US"/>
        </w:rPr>
        <w:t xml:space="preserve">, modern </w:t>
      </w:r>
      <w:proofErr w:type="spellStart"/>
      <w:r w:rsidRPr="0048733D">
        <w:rPr>
          <w:lang w:val="en-US"/>
        </w:rPr>
        <w:t>Yargıçların</w:t>
      </w:r>
      <w:proofErr w:type="spellEnd"/>
      <w:r w:rsidRPr="0048733D">
        <w:rPr>
          <w:lang w:val="en-US"/>
        </w:rPr>
        <w:t xml:space="preserve"> </w:t>
      </w:r>
      <w:proofErr w:type="spellStart"/>
      <w:r w:rsidRPr="0048733D">
        <w:rPr>
          <w:lang w:val="en-US"/>
        </w:rPr>
        <w:t>önünde</w:t>
      </w:r>
      <w:proofErr w:type="spellEnd"/>
      <w:r w:rsidRPr="0048733D">
        <w:rPr>
          <w:lang w:val="en-US"/>
        </w:rPr>
        <w:t xml:space="preserve"> </w:t>
      </w:r>
      <w:proofErr w:type="spellStart"/>
      <w:r w:rsidRPr="0048733D">
        <w:rPr>
          <w:lang w:val="en-US"/>
        </w:rPr>
        <w:t>etkileyici</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meclis</w:t>
      </w:r>
      <w:proofErr w:type="spellEnd"/>
      <w:r w:rsidRPr="0048733D">
        <w:rPr>
          <w:lang w:val="en-US"/>
        </w:rPr>
        <w:t xml:space="preserve"> </w:t>
      </w:r>
      <w:proofErr w:type="spellStart"/>
      <w:r w:rsidRPr="0048733D">
        <w:rPr>
          <w:lang w:val="en-US"/>
        </w:rPr>
        <w:t>kaydı</w:t>
      </w:r>
      <w:proofErr w:type="spellEnd"/>
      <w:r w:rsidRPr="0048733D">
        <w:rPr>
          <w:lang w:val="en-US"/>
        </w:rPr>
        <w:t xml:space="preserve">” (legislative record) </w:t>
      </w:r>
      <w:proofErr w:type="spellStart"/>
      <w:r w:rsidRPr="0048733D">
        <w:rPr>
          <w:lang w:val="en-US"/>
        </w:rPr>
        <w:t>bulunmaktadır</w:t>
      </w:r>
      <w:proofErr w:type="spellEnd"/>
      <w:r w:rsidRPr="0048733D">
        <w:rPr>
          <w:lang w:val="en-US"/>
        </w:rPr>
        <w:t xml:space="preserve">. Bu </w:t>
      </w:r>
      <w:proofErr w:type="spellStart"/>
      <w:r w:rsidRPr="0048733D">
        <w:rPr>
          <w:lang w:val="en-US"/>
        </w:rPr>
        <w:t>kayıt</w:t>
      </w:r>
      <w:proofErr w:type="spellEnd"/>
      <w:r w:rsidRPr="0048733D">
        <w:rPr>
          <w:lang w:val="en-US"/>
        </w:rPr>
        <w:t xml:space="preserve">, </w:t>
      </w:r>
      <w:proofErr w:type="spellStart"/>
      <w:r w:rsidRPr="0048733D">
        <w:rPr>
          <w:lang w:val="en-US"/>
        </w:rPr>
        <w:t>önemli</w:t>
      </w:r>
      <w:proofErr w:type="spellEnd"/>
      <w:r w:rsidRPr="0048733D">
        <w:rPr>
          <w:lang w:val="en-US"/>
        </w:rPr>
        <w:t xml:space="preserve"> </w:t>
      </w:r>
      <w:proofErr w:type="spellStart"/>
      <w:r w:rsidRPr="0048733D">
        <w:rPr>
          <w:lang w:val="en-US"/>
        </w:rPr>
        <w:t>bilimsel</w:t>
      </w:r>
      <w:proofErr w:type="spellEnd"/>
      <w:r w:rsidRPr="0048733D">
        <w:rPr>
          <w:lang w:val="en-US"/>
        </w:rPr>
        <w:t xml:space="preserve">, </w:t>
      </w:r>
      <w:proofErr w:type="spellStart"/>
      <w:r w:rsidRPr="0048733D">
        <w:rPr>
          <w:lang w:val="en-US"/>
        </w:rPr>
        <w:t>sosyal</w:t>
      </w:r>
      <w:proofErr w:type="spellEnd"/>
      <w:r w:rsidRPr="0048733D">
        <w:rPr>
          <w:lang w:val="en-US"/>
        </w:rPr>
        <w:t xml:space="preserve"> </w:t>
      </w:r>
      <w:proofErr w:type="spellStart"/>
      <w:r w:rsidRPr="0048733D">
        <w:rPr>
          <w:lang w:val="en-US"/>
        </w:rPr>
        <w:t>bilimsel</w:t>
      </w:r>
      <w:proofErr w:type="spellEnd"/>
      <w:r w:rsidRPr="0048733D">
        <w:rPr>
          <w:lang w:val="en-US"/>
        </w:rPr>
        <w:t xml:space="preserve">, </w:t>
      </w:r>
      <w:proofErr w:type="spellStart"/>
      <w:r w:rsidRPr="0048733D">
        <w:rPr>
          <w:lang w:val="en-US"/>
        </w:rPr>
        <w:t>tarihsel</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ekonomik</w:t>
      </w:r>
      <w:proofErr w:type="spellEnd"/>
      <w:r w:rsidRPr="0048733D">
        <w:rPr>
          <w:lang w:val="en-US"/>
        </w:rPr>
        <w:t xml:space="preserve"> </w:t>
      </w:r>
      <w:proofErr w:type="spellStart"/>
      <w:r w:rsidRPr="0048733D">
        <w:rPr>
          <w:lang w:val="en-US"/>
        </w:rPr>
        <w:t>arka</w:t>
      </w:r>
      <w:proofErr w:type="spellEnd"/>
      <w:r w:rsidRPr="0048733D">
        <w:rPr>
          <w:lang w:val="en-US"/>
        </w:rPr>
        <w:t xml:space="preserve"> </w:t>
      </w:r>
      <w:proofErr w:type="spellStart"/>
      <w:r w:rsidRPr="0048733D">
        <w:rPr>
          <w:lang w:val="en-US"/>
        </w:rPr>
        <w:t>planları</w:t>
      </w:r>
      <w:proofErr w:type="spellEnd"/>
      <w:r w:rsidRPr="0048733D">
        <w:rPr>
          <w:lang w:val="en-US"/>
        </w:rPr>
        <w:t xml:space="preserve"> </w:t>
      </w:r>
      <w:proofErr w:type="spellStart"/>
      <w:r w:rsidRPr="0048733D">
        <w:rPr>
          <w:lang w:val="en-US"/>
        </w:rPr>
        <w:t>detaylandırmakta</w:t>
      </w:r>
      <w:proofErr w:type="spellEnd"/>
      <w:r w:rsidRPr="0048733D">
        <w:rPr>
          <w:lang w:val="en-US"/>
        </w:rPr>
        <w:t xml:space="preserve">; </w:t>
      </w:r>
      <w:proofErr w:type="spellStart"/>
      <w:r w:rsidRPr="0048733D">
        <w:rPr>
          <w:lang w:val="en-US"/>
        </w:rPr>
        <w:t>olası</w:t>
      </w:r>
      <w:proofErr w:type="spellEnd"/>
      <w:r w:rsidRPr="0048733D">
        <w:rPr>
          <w:lang w:val="en-US"/>
        </w:rPr>
        <w:t xml:space="preserve"> </w:t>
      </w:r>
      <w:proofErr w:type="spellStart"/>
      <w:r w:rsidRPr="0048733D">
        <w:rPr>
          <w:lang w:val="en-US"/>
        </w:rPr>
        <w:t>kararların</w:t>
      </w:r>
      <w:proofErr w:type="spellEnd"/>
      <w:r w:rsidRPr="0048733D">
        <w:rPr>
          <w:lang w:val="en-US"/>
        </w:rPr>
        <w:t xml:space="preserve"> </w:t>
      </w:r>
      <w:proofErr w:type="spellStart"/>
      <w:r w:rsidRPr="0048733D">
        <w:rPr>
          <w:lang w:val="en-US"/>
        </w:rPr>
        <w:t>pratik</w:t>
      </w:r>
      <w:proofErr w:type="spellEnd"/>
      <w:r w:rsidRPr="0048733D">
        <w:rPr>
          <w:lang w:val="en-US"/>
        </w:rPr>
        <w:t xml:space="preserve"> </w:t>
      </w:r>
      <w:proofErr w:type="spellStart"/>
      <w:r w:rsidRPr="0048733D">
        <w:rPr>
          <w:lang w:val="en-US"/>
        </w:rPr>
        <w:t>sonuçlarını</w:t>
      </w:r>
      <w:proofErr w:type="spellEnd"/>
      <w:r w:rsidRPr="0048733D">
        <w:rPr>
          <w:lang w:val="en-US"/>
        </w:rPr>
        <w:t xml:space="preserve"> </w:t>
      </w:r>
      <w:proofErr w:type="spellStart"/>
      <w:r w:rsidRPr="0048733D">
        <w:rPr>
          <w:lang w:val="en-US"/>
        </w:rPr>
        <w:t>değerlendirmekte</w:t>
      </w:r>
      <w:proofErr w:type="spellEnd"/>
      <w:r w:rsidRPr="0048733D">
        <w:rPr>
          <w:lang w:val="en-US"/>
        </w:rPr>
        <w:t xml:space="preserve">; </w:t>
      </w:r>
      <w:proofErr w:type="spellStart"/>
      <w:r w:rsidRPr="0048733D">
        <w:rPr>
          <w:lang w:val="en-US"/>
        </w:rPr>
        <w:t>ilgili</w:t>
      </w:r>
      <w:proofErr w:type="spellEnd"/>
      <w:r w:rsidRPr="0048733D">
        <w:rPr>
          <w:lang w:val="en-US"/>
        </w:rPr>
        <w:t xml:space="preserve"> </w:t>
      </w:r>
      <w:proofErr w:type="spellStart"/>
      <w:r w:rsidRPr="0048733D">
        <w:rPr>
          <w:lang w:val="en-US"/>
        </w:rPr>
        <w:t>kilit</w:t>
      </w:r>
      <w:proofErr w:type="spellEnd"/>
      <w:r w:rsidRPr="0048733D">
        <w:rPr>
          <w:lang w:val="en-US"/>
        </w:rPr>
        <w:t xml:space="preserve"> </w:t>
      </w:r>
      <w:proofErr w:type="spellStart"/>
      <w:r w:rsidRPr="0048733D">
        <w:rPr>
          <w:lang w:val="en-US"/>
        </w:rPr>
        <w:t>kesimlerin</w:t>
      </w:r>
      <w:proofErr w:type="spellEnd"/>
      <w:r w:rsidRPr="0048733D">
        <w:rPr>
          <w:lang w:val="en-US"/>
        </w:rPr>
        <w:t xml:space="preserve"> </w:t>
      </w:r>
      <w:proofErr w:type="spellStart"/>
      <w:r w:rsidRPr="0048733D">
        <w:rPr>
          <w:lang w:val="en-US"/>
        </w:rPr>
        <w:t>resmi</w:t>
      </w:r>
      <w:proofErr w:type="spellEnd"/>
      <w:r w:rsidRPr="0048733D">
        <w:rPr>
          <w:lang w:val="en-US"/>
        </w:rPr>
        <w:t xml:space="preserve"> </w:t>
      </w:r>
      <w:proofErr w:type="spellStart"/>
      <w:r w:rsidRPr="0048733D">
        <w:rPr>
          <w:lang w:val="en-US"/>
        </w:rPr>
        <w:t>görüşlerini</w:t>
      </w:r>
      <w:proofErr w:type="spellEnd"/>
      <w:r w:rsidRPr="0048733D">
        <w:rPr>
          <w:lang w:val="en-US"/>
        </w:rPr>
        <w:t xml:space="preserve"> </w:t>
      </w:r>
      <w:proofErr w:type="spellStart"/>
      <w:r w:rsidRPr="0048733D">
        <w:rPr>
          <w:lang w:val="en-US"/>
        </w:rPr>
        <w:t>bildirmekte</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kamuoyunun</w:t>
      </w:r>
      <w:proofErr w:type="spellEnd"/>
      <w:r w:rsidRPr="0048733D">
        <w:rPr>
          <w:lang w:val="en-US"/>
        </w:rPr>
        <w:t xml:space="preserve"> </w:t>
      </w:r>
      <w:proofErr w:type="spellStart"/>
      <w:r w:rsidRPr="0048733D">
        <w:rPr>
          <w:lang w:val="en-US"/>
        </w:rPr>
        <w:t>olası</w:t>
      </w:r>
      <w:proofErr w:type="spellEnd"/>
      <w:r w:rsidRPr="0048733D">
        <w:rPr>
          <w:lang w:val="en-US"/>
        </w:rPr>
        <w:t xml:space="preserve"> </w:t>
      </w:r>
      <w:proofErr w:type="spellStart"/>
      <w:r w:rsidRPr="0048733D">
        <w:rPr>
          <w:lang w:val="en-US"/>
        </w:rPr>
        <w:t>kararlar</w:t>
      </w:r>
      <w:proofErr w:type="spellEnd"/>
      <w:r w:rsidRPr="0048733D">
        <w:rPr>
          <w:lang w:val="en-US"/>
        </w:rPr>
        <w:t xml:space="preserve"> </w:t>
      </w:r>
      <w:proofErr w:type="spellStart"/>
      <w:r w:rsidRPr="0048733D">
        <w:rPr>
          <w:lang w:val="en-US"/>
        </w:rPr>
        <w:t>karşısındaki</w:t>
      </w:r>
      <w:proofErr w:type="spellEnd"/>
      <w:r w:rsidRPr="0048733D">
        <w:rPr>
          <w:lang w:val="en-US"/>
        </w:rPr>
        <w:t xml:space="preserve"> </w:t>
      </w:r>
      <w:proofErr w:type="spellStart"/>
      <w:r w:rsidRPr="0048733D">
        <w:rPr>
          <w:lang w:val="en-US"/>
        </w:rPr>
        <w:t>tepkisini</w:t>
      </w:r>
      <w:proofErr w:type="spellEnd"/>
      <w:r w:rsidRPr="0048733D">
        <w:rPr>
          <w:lang w:val="en-US"/>
        </w:rPr>
        <w:t xml:space="preserve"> </w:t>
      </w:r>
      <w:proofErr w:type="spellStart"/>
      <w:r w:rsidRPr="0048733D">
        <w:rPr>
          <w:lang w:val="en-US"/>
        </w:rPr>
        <w:t>gözlemleyebilecekleri</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pencere</w:t>
      </w:r>
      <w:proofErr w:type="spellEnd"/>
      <w:r w:rsidRPr="0048733D">
        <w:rPr>
          <w:lang w:val="en-US"/>
        </w:rPr>
        <w:t xml:space="preserve"> sunmaktadır.¹⁰²</w:t>
      </w:r>
      <w:r w:rsidRPr="0097645D">
        <w:rPr>
          <w:lang w:val="en-US"/>
        </w:rPr>
        <w:t xml:space="preserve"> </w:t>
      </w:r>
      <w:r w:rsidRPr="0097645D">
        <w:rPr>
          <w:rStyle w:val="FootnoteReference"/>
          <w:lang w:val="en-US"/>
        </w:rPr>
        <w:footnoteReference w:id="102"/>
      </w:r>
      <w:r w:rsidRPr="0097645D">
        <w:rPr>
          <w:lang w:val="en-US"/>
        </w:rPr>
        <w:t xml:space="preserve"> [1094 - 1095]</w:t>
      </w:r>
    </w:p>
    <w:p w14:paraId="394DF524" w14:textId="11A1E5A6" w:rsidR="0048733D" w:rsidRPr="0097645D" w:rsidRDefault="0048733D" w:rsidP="0048733D">
      <w:pPr>
        <w:rPr>
          <w:lang w:val="en-US"/>
        </w:rPr>
      </w:pPr>
      <w:r w:rsidRPr="0048733D">
        <w:rPr>
          <w:lang w:val="en-US"/>
        </w:rPr>
        <w:t xml:space="preserve">Bazen, amicus curiae </w:t>
      </w:r>
      <w:proofErr w:type="spellStart"/>
      <w:r w:rsidRPr="0048733D">
        <w:rPr>
          <w:lang w:val="en-US"/>
        </w:rPr>
        <w:t>dilekçelerinin</w:t>
      </w:r>
      <w:proofErr w:type="spellEnd"/>
      <w:r w:rsidRPr="0048733D">
        <w:rPr>
          <w:lang w:val="en-US"/>
        </w:rPr>
        <w:t xml:space="preserve"> </w:t>
      </w:r>
      <w:proofErr w:type="spellStart"/>
      <w:r w:rsidRPr="0048733D">
        <w:rPr>
          <w:lang w:val="en-US"/>
        </w:rPr>
        <w:t>etkisini</w:t>
      </w:r>
      <w:proofErr w:type="spellEnd"/>
      <w:r w:rsidRPr="0048733D">
        <w:rPr>
          <w:lang w:val="en-US"/>
        </w:rPr>
        <w:t xml:space="preserve"> </w:t>
      </w:r>
      <w:proofErr w:type="spellStart"/>
      <w:r w:rsidRPr="0048733D">
        <w:rPr>
          <w:lang w:val="en-US"/>
        </w:rPr>
        <w:t>açıkça</w:t>
      </w:r>
      <w:proofErr w:type="spellEnd"/>
      <w:r w:rsidRPr="0048733D">
        <w:rPr>
          <w:lang w:val="en-US"/>
        </w:rPr>
        <w:t xml:space="preserve"> </w:t>
      </w:r>
      <w:proofErr w:type="spellStart"/>
      <w:r w:rsidRPr="0048733D">
        <w:rPr>
          <w:lang w:val="en-US"/>
        </w:rPr>
        <w:t>görmek</w:t>
      </w:r>
      <w:proofErr w:type="spellEnd"/>
      <w:r w:rsidRPr="0048733D">
        <w:rPr>
          <w:lang w:val="en-US"/>
        </w:rPr>
        <w:t xml:space="preserve"> </w:t>
      </w:r>
      <w:proofErr w:type="spellStart"/>
      <w:r w:rsidRPr="0048733D">
        <w:rPr>
          <w:lang w:val="en-US"/>
        </w:rPr>
        <w:t>mümkündür</w:t>
      </w:r>
      <w:proofErr w:type="spellEnd"/>
      <w:r w:rsidRPr="0048733D">
        <w:rPr>
          <w:lang w:val="en-US"/>
        </w:rPr>
        <w:t xml:space="preserve">. </w:t>
      </w:r>
      <w:proofErr w:type="spellStart"/>
      <w:r w:rsidRPr="0048733D">
        <w:rPr>
          <w:lang w:val="en-US"/>
        </w:rPr>
        <w:t>Örneğin</w:t>
      </w:r>
      <w:proofErr w:type="spellEnd"/>
      <w:r w:rsidRPr="0048733D">
        <w:rPr>
          <w:lang w:val="en-US"/>
        </w:rPr>
        <w:t xml:space="preserve">, 2003 </w:t>
      </w:r>
      <w:proofErr w:type="spellStart"/>
      <w:r w:rsidRPr="0048733D">
        <w:rPr>
          <w:lang w:val="en-US"/>
        </w:rPr>
        <w:t>yılında</w:t>
      </w:r>
      <w:proofErr w:type="spellEnd"/>
      <w:r w:rsidRPr="0048733D">
        <w:rPr>
          <w:lang w:val="en-US"/>
        </w:rPr>
        <w:t xml:space="preserve"> </w:t>
      </w:r>
      <w:proofErr w:type="spellStart"/>
      <w:r w:rsidRPr="0048733D">
        <w:rPr>
          <w:lang w:val="en-US"/>
        </w:rPr>
        <w:t>karara</w:t>
      </w:r>
      <w:proofErr w:type="spellEnd"/>
      <w:r w:rsidRPr="0048733D">
        <w:rPr>
          <w:lang w:val="en-US"/>
        </w:rPr>
        <w:t xml:space="preserve"> </w:t>
      </w:r>
      <w:proofErr w:type="spellStart"/>
      <w:r w:rsidRPr="0048733D">
        <w:rPr>
          <w:lang w:val="en-US"/>
        </w:rPr>
        <w:t>bağlanan</w:t>
      </w:r>
      <w:proofErr w:type="spellEnd"/>
      <w:r w:rsidRPr="0048733D">
        <w:rPr>
          <w:lang w:val="en-US"/>
        </w:rPr>
        <w:t xml:space="preserve"> </w:t>
      </w:r>
      <w:proofErr w:type="spellStart"/>
      <w:r w:rsidRPr="0048733D">
        <w:rPr>
          <w:lang w:val="en-US"/>
        </w:rPr>
        <w:t>önemli</w:t>
      </w:r>
      <w:proofErr w:type="spellEnd"/>
      <w:r w:rsidRPr="0048733D">
        <w:rPr>
          <w:lang w:val="en-US"/>
        </w:rPr>
        <w:t xml:space="preserve"> Michigan </w:t>
      </w:r>
      <w:proofErr w:type="spellStart"/>
      <w:r w:rsidRPr="0048733D">
        <w:rPr>
          <w:lang w:val="en-US"/>
        </w:rPr>
        <w:t>Üniversitesi</w:t>
      </w:r>
      <w:proofErr w:type="spellEnd"/>
      <w:r w:rsidRPr="0048733D">
        <w:rPr>
          <w:lang w:val="en-US"/>
        </w:rPr>
        <w:t xml:space="preserve"> </w:t>
      </w:r>
      <w:proofErr w:type="spellStart"/>
      <w:r w:rsidRPr="0048733D">
        <w:rPr>
          <w:lang w:val="en-US"/>
        </w:rPr>
        <w:t>pozitif</w:t>
      </w:r>
      <w:proofErr w:type="spellEnd"/>
      <w:r w:rsidRPr="0048733D">
        <w:rPr>
          <w:lang w:val="en-US"/>
        </w:rPr>
        <w:t xml:space="preserve"> </w:t>
      </w:r>
      <w:proofErr w:type="spellStart"/>
      <w:r w:rsidRPr="0048733D">
        <w:rPr>
          <w:lang w:val="en-US"/>
        </w:rPr>
        <w:t>ayrımcılık</w:t>
      </w:r>
      <w:proofErr w:type="spellEnd"/>
      <w:r w:rsidRPr="0048733D">
        <w:rPr>
          <w:lang w:val="en-US"/>
        </w:rPr>
        <w:t xml:space="preserve"> (affirmative action) davalarında,¹⁰³</w:t>
      </w:r>
      <w:r w:rsidRPr="0097645D">
        <w:rPr>
          <w:lang w:val="en-US"/>
        </w:rPr>
        <w:t xml:space="preserve"> </w:t>
      </w:r>
      <w:r w:rsidRPr="0097645D">
        <w:rPr>
          <w:rStyle w:val="FootnoteReference"/>
          <w:lang w:val="en-US"/>
        </w:rPr>
        <w:footnoteReference w:id="103"/>
      </w:r>
      <w:r w:rsidRPr="0048733D">
        <w:rPr>
          <w:lang w:val="en-US"/>
        </w:rPr>
        <w:t xml:space="preserve"> </w:t>
      </w:r>
      <w:proofErr w:type="spellStart"/>
      <w:r w:rsidRPr="0048733D">
        <w:rPr>
          <w:lang w:val="en-US"/>
        </w:rPr>
        <w:t>Mahkeme</w:t>
      </w:r>
      <w:proofErr w:type="spellEnd"/>
      <w:r w:rsidRPr="0048733D">
        <w:rPr>
          <w:lang w:val="en-US"/>
        </w:rPr>
        <w:t xml:space="preserve">, </w:t>
      </w:r>
      <w:proofErr w:type="spellStart"/>
      <w:r w:rsidRPr="0048733D">
        <w:rPr>
          <w:lang w:val="en-US"/>
        </w:rPr>
        <w:t>askeri</w:t>
      </w:r>
      <w:proofErr w:type="spellEnd"/>
      <w:r w:rsidRPr="0048733D">
        <w:rPr>
          <w:lang w:val="en-US"/>
        </w:rPr>
        <w:t xml:space="preserve"> </w:t>
      </w:r>
      <w:proofErr w:type="spellStart"/>
      <w:r w:rsidRPr="0048733D">
        <w:rPr>
          <w:lang w:val="en-US"/>
        </w:rPr>
        <w:t>liderler</w:t>
      </w:r>
      <w:proofErr w:type="spellEnd"/>
      <w:r w:rsidRPr="0048733D">
        <w:rPr>
          <w:lang w:val="en-US"/>
        </w:rPr>
        <w:t xml:space="preserve">, </w:t>
      </w:r>
      <w:proofErr w:type="spellStart"/>
      <w:r w:rsidRPr="0048733D">
        <w:rPr>
          <w:lang w:val="en-US"/>
        </w:rPr>
        <w:t>büyük</w:t>
      </w:r>
      <w:proofErr w:type="spellEnd"/>
      <w:r w:rsidRPr="0048733D">
        <w:rPr>
          <w:lang w:val="en-US"/>
        </w:rPr>
        <w:t xml:space="preserve"> </w:t>
      </w:r>
      <w:proofErr w:type="spellStart"/>
      <w:r w:rsidRPr="0048733D">
        <w:rPr>
          <w:lang w:val="en-US"/>
        </w:rPr>
        <w:t>kurumsal</w:t>
      </w:r>
      <w:proofErr w:type="spellEnd"/>
      <w:r w:rsidRPr="0048733D">
        <w:rPr>
          <w:lang w:val="en-US"/>
        </w:rPr>
        <w:t xml:space="preserve"> </w:t>
      </w:r>
      <w:proofErr w:type="spellStart"/>
      <w:r w:rsidRPr="0048733D">
        <w:rPr>
          <w:lang w:val="en-US"/>
        </w:rPr>
        <w:t>çıkarlar</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diğer</w:t>
      </w:r>
      <w:proofErr w:type="spellEnd"/>
      <w:r w:rsidRPr="0048733D">
        <w:rPr>
          <w:lang w:val="en-US"/>
        </w:rPr>
        <w:t xml:space="preserve"> </w:t>
      </w:r>
      <w:proofErr w:type="spellStart"/>
      <w:r w:rsidRPr="0048733D">
        <w:rPr>
          <w:lang w:val="en-US"/>
        </w:rPr>
        <w:t>seçkin</w:t>
      </w:r>
      <w:proofErr w:type="spellEnd"/>
      <w:r w:rsidRPr="0048733D">
        <w:rPr>
          <w:lang w:val="en-US"/>
        </w:rPr>
        <w:t xml:space="preserve"> </w:t>
      </w:r>
      <w:proofErr w:type="spellStart"/>
      <w:r w:rsidRPr="0048733D">
        <w:rPr>
          <w:lang w:val="en-US"/>
        </w:rPr>
        <w:t>gruplar</w:t>
      </w:r>
      <w:proofErr w:type="spellEnd"/>
      <w:r w:rsidRPr="0048733D">
        <w:rPr>
          <w:lang w:val="en-US"/>
        </w:rPr>
        <w:t xml:space="preserve"> </w:t>
      </w:r>
      <w:proofErr w:type="spellStart"/>
      <w:r w:rsidRPr="0048733D">
        <w:rPr>
          <w:lang w:val="en-US"/>
        </w:rPr>
        <w:t>tarafından</w:t>
      </w:r>
      <w:proofErr w:type="spellEnd"/>
      <w:r w:rsidRPr="0048733D">
        <w:rPr>
          <w:lang w:val="en-US"/>
        </w:rPr>
        <w:t xml:space="preserve"> </w:t>
      </w:r>
      <w:proofErr w:type="spellStart"/>
      <w:r w:rsidRPr="0048733D">
        <w:rPr>
          <w:lang w:val="en-US"/>
        </w:rPr>
        <w:t>sunulan</w:t>
      </w:r>
      <w:proofErr w:type="spellEnd"/>
      <w:r w:rsidRPr="0048733D">
        <w:rPr>
          <w:lang w:val="en-US"/>
        </w:rPr>
        <w:t xml:space="preserve"> </w:t>
      </w:r>
      <w:proofErr w:type="spellStart"/>
      <w:r w:rsidRPr="0048733D">
        <w:rPr>
          <w:lang w:val="en-US"/>
        </w:rPr>
        <w:t>bir</w:t>
      </w:r>
      <w:proofErr w:type="spellEnd"/>
      <w:r w:rsidRPr="0048733D">
        <w:rPr>
          <w:lang w:val="en-US"/>
        </w:rPr>
        <w:t xml:space="preserve"> dizi amicus curiae </w:t>
      </w:r>
      <w:proofErr w:type="spellStart"/>
      <w:r w:rsidRPr="0048733D">
        <w:rPr>
          <w:lang w:val="en-US"/>
        </w:rPr>
        <w:t>dilekçesini</w:t>
      </w:r>
      <w:proofErr w:type="spellEnd"/>
      <w:r w:rsidRPr="0048733D">
        <w:rPr>
          <w:lang w:val="en-US"/>
        </w:rPr>
        <w:t xml:space="preserve"> </w:t>
      </w:r>
      <w:proofErr w:type="spellStart"/>
      <w:r w:rsidRPr="0048733D">
        <w:rPr>
          <w:lang w:val="en-US"/>
        </w:rPr>
        <w:t>açıkça</w:t>
      </w:r>
      <w:proofErr w:type="spellEnd"/>
      <w:r w:rsidRPr="0048733D">
        <w:rPr>
          <w:lang w:val="en-US"/>
        </w:rPr>
        <w:t xml:space="preserve"> </w:t>
      </w:r>
      <w:proofErr w:type="spellStart"/>
      <w:r w:rsidRPr="0048733D">
        <w:rPr>
          <w:lang w:val="en-US"/>
        </w:rPr>
        <w:t>tartışmış</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bu</w:t>
      </w:r>
      <w:proofErr w:type="spellEnd"/>
      <w:r w:rsidRPr="0048733D">
        <w:rPr>
          <w:lang w:val="en-US"/>
        </w:rPr>
        <w:t xml:space="preserve"> </w:t>
      </w:r>
      <w:proofErr w:type="spellStart"/>
      <w:r w:rsidRPr="0048733D">
        <w:rPr>
          <w:lang w:val="en-US"/>
        </w:rPr>
        <w:t>dilekçelerin</w:t>
      </w:r>
      <w:proofErr w:type="spellEnd"/>
      <w:r w:rsidRPr="0048733D">
        <w:rPr>
          <w:lang w:val="en-US"/>
        </w:rPr>
        <w:t xml:space="preserve">, </w:t>
      </w:r>
      <w:proofErr w:type="spellStart"/>
      <w:r w:rsidRPr="0048733D">
        <w:rPr>
          <w:lang w:val="en-US"/>
        </w:rPr>
        <w:t>pozitif</w:t>
      </w:r>
      <w:proofErr w:type="spellEnd"/>
      <w:r w:rsidRPr="0048733D">
        <w:rPr>
          <w:lang w:val="en-US"/>
        </w:rPr>
        <w:t xml:space="preserve"> </w:t>
      </w:r>
      <w:proofErr w:type="spellStart"/>
      <w:r w:rsidRPr="0048733D">
        <w:rPr>
          <w:lang w:val="en-US"/>
        </w:rPr>
        <w:t>ayrımcılığın</w:t>
      </w:r>
      <w:proofErr w:type="spellEnd"/>
      <w:r w:rsidRPr="0048733D">
        <w:rPr>
          <w:lang w:val="en-US"/>
        </w:rPr>
        <w:t xml:space="preserve"> modern Amerikan </w:t>
      </w:r>
      <w:proofErr w:type="spellStart"/>
      <w:r w:rsidRPr="0048733D">
        <w:rPr>
          <w:lang w:val="en-US"/>
        </w:rPr>
        <w:t>kurumlarının</w:t>
      </w:r>
      <w:proofErr w:type="spellEnd"/>
      <w:r w:rsidRPr="0048733D">
        <w:rPr>
          <w:lang w:val="en-US"/>
        </w:rPr>
        <w:t xml:space="preserve"> </w:t>
      </w:r>
      <w:proofErr w:type="spellStart"/>
      <w:r w:rsidRPr="0048733D">
        <w:rPr>
          <w:lang w:val="en-US"/>
        </w:rPr>
        <w:t>düzgün</w:t>
      </w:r>
      <w:proofErr w:type="spellEnd"/>
      <w:r w:rsidRPr="0048733D">
        <w:rPr>
          <w:lang w:val="en-US"/>
        </w:rPr>
        <w:t xml:space="preserve"> </w:t>
      </w:r>
      <w:proofErr w:type="spellStart"/>
      <w:r w:rsidRPr="0048733D">
        <w:rPr>
          <w:lang w:val="en-US"/>
        </w:rPr>
        <w:t>işleyişi</w:t>
      </w:r>
      <w:proofErr w:type="spellEnd"/>
      <w:r w:rsidRPr="0048733D">
        <w:rPr>
          <w:lang w:val="en-US"/>
        </w:rPr>
        <w:t xml:space="preserve"> </w:t>
      </w:r>
      <w:proofErr w:type="spellStart"/>
      <w:r w:rsidRPr="0048733D">
        <w:rPr>
          <w:lang w:val="en-US"/>
        </w:rPr>
        <w:t>ve</w:t>
      </w:r>
      <w:proofErr w:type="spellEnd"/>
      <w:r w:rsidRPr="0048733D">
        <w:rPr>
          <w:lang w:val="en-US"/>
        </w:rPr>
        <w:t xml:space="preserve"> Amerikan </w:t>
      </w:r>
      <w:proofErr w:type="spellStart"/>
      <w:r w:rsidRPr="0048733D">
        <w:rPr>
          <w:lang w:val="en-US"/>
        </w:rPr>
        <w:t>ekonomisinin</w:t>
      </w:r>
      <w:proofErr w:type="spellEnd"/>
      <w:r w:rsidRPr="0048733D">
        <w:rPr>
          <w:lang w:val="en-US"/>
        </w:rPr>
        <w:t xml:space="preserve"> </w:t>
      </w:r>
      <w:proofErr w:type="spellStart"/>
      <w:r w:rsidRPr="0048733D">
        <w:rPr>
          <w:lang w:val="en-US"/>
        </w:rPr>
        <w:t>verimliliği</w:t>
      </w:r>
      <w:proofErr w:type="spellEnd"/>
      <w:r w:rsidRPr="0048733D">
        <w:rPr>
          <w:lang w:val="en-US"/>
        </w:rPr>
        <w:t xml:space="preserve"> </w:t>
      </w:r>
      <w:proofErr w:type="spellStart"/>
      <w:r w:rsidRPr="0048733D">
        <w:rPr>
          <w:lang w:val="en-US"/>
        </w:rPr>
        <w:t>açısından</w:t>
      </w:r>
      <w:proofErr w:type="spellEnd"/>
      <w:r w:rsidRPr="0048733D">
        <w:rPr>
          <w:lang w:val="en-US"/>
        </w:rPr>
        <w:t xml:space="preserve"> </w:t>
      </w:r>
      <w:proofErr w:type="spellStart"/>
      <w:r w:rsidRPr="0048733D">
        <w:rPr>
          <w:lang w:val="en-US"/>
        </w:rPr>
        <w:t>pratik</w:t>
      </w:r>
      <w:proofErr w:type="spellEnd"/>
      <w:r w:rsidRPr="0048733D">
        <w:rPr>
          <w:lang w:val="en-US"/>
        </w:rPr>
        <w:t xml:space="preserve"> </w:t>
      </w:r>
      <w:proofErr w:type="spellStart"/>
      <w:r w:rsidRPr="0048733D">
        <w:rPr>
          <w:lang w:val="en-US"/>
        </w:rPr>
        <w:t>önemine</w:t>
      </w:r>
      <w:proofErr w:type="spellEnd"/>
      <w:r w:rsidRPr="0048733D">
        <w:rPr>
          <w:lang w:val="en-US"/>
        </w:rPr>
        <w:t xml:space="preserve"> </w:t>
      </w:r>
      <w:proofErr w:type="spellStart"/>
      <w:r w:rsidRPr="0048733D">
        <w:rPr>
          <w:lang w:val="en-US"/>
        </w:rPr>
        <w:t>yaptığı</w:t>
      </w:r>
      <w:proofErr w:type="spellEnd"/>
      <w:r w:rsidRPr="0048733D">
        <w:rPr>
          <w:lang w:val="en-US"/>
        </w:rPr>
        <w:t xml:space="preserve"> </w:t>
      </w:r>
      <w:proofErr w:type="spellStart"/>
      <w:r w:rsidRPr="0048733D">
        <w:rPr>
          <w:lang w:val="en-US"/>
        </w:rPr>
        <w:t>vurgu</w:t>
      </w:r>
      <w:proofErr w:type="spellEnd"/>
      <w:r w:rsidRPr="0048733D">
        <w:rPr>
          <w:lang w:val="en-US"/>
        </w:rPr>
        <w:t xml:space="preserve"> </w:t>
      </w:r>
      <w:proofErr w:type="spellStart"/>
      <w:r w:rsidRPr="0048733D">
        <w:rPr>
          <w:lang w:val="en-US"/>
        </w:rPr>
        <w:t>nedeniyle</w:t>
      </w:r>
      <w:proofErr w:type="spellEnd"/>
      <w:r w:rsidRPr="0048733D">
        <w:rPr>
          <w:lang w:val="en-US"/>
        </w:rPr>
        <w:t xml:space="preserve"> </w:t>
      </w:r>
      <w:proofErr w:type="spellStart"/>
      <w:r w:rsidRPr="0048733D">
        <w:rPr>
          <w:lang w:val="en-US"/>
        </w:rPr>
        <w:t>büyük</w:t>
      </w:r>
      <w:proofErr w:type="spellEnd"/>
      <w:r w:rsidRPr="0048733D">
        <w:rPr>
          <w:lang w:val="en-US"/>
        </w:rPr>
        <w:t xml:space="preserve"> </w:t>
      </w:r>
      <w:proofErr w:type="spellStart"/>
      <w:r w:rsidRPr="0048733D">
        <w:rPr>
          <w:lang w:val="en-US"/>
        </w:rPr>
        <w:t>ölçüde</w:t>
      </w:r>
      <w:proofErr w:type="spellEnd"/>
      <w:r w:rsidRPr="0048733D">
        <w:rPr>
          <w:lang w:val="en-US"/>
        </w:rPr>
        <w:t xml:space="preserve"> </w:t>
      </w:r>
      <w:proofErr w:type="spellStart"/>
      <w:r w:rsidRPr="0048733D">
        <w:rPr>
          <w:lang w:val="en-US"/>
        </w:rPr>
        <w:t>etkilenmiş</w:t>
      </w:r>
      <w:proofErr w:type="spellEnd"/>
      <w:r w:rsidRPr="0048733D">
        <w:rPr>
          <w:lang w:val="en-US"/>
        </w:rPr>
        <w:t xml:space="preserve"> görünmüştür.¹⁰⁴</w:t>
      </w:r>
      <w:r w:rsidRPr="0097645D">
        <w:rPr>
          <w:lang w:val="en-US"/>
        </w:rPr>
        <w:t xml:space="preserve"> </w:t>
      </w:r>
      <w:r w:rsidRPr="0097645D">
        <w:rPr>
          <w:rStyle w:val="FootnoteReference"/>
          <w:lang w:val="en-US"/>
        </w:rPr>
        <w:footnoteReference w:id="104"/>
      </w:r>
      <w:r w:rsidRPr="0097645D">
        <w:rPr>
          <w:lang w:val="en-US"/>
        </w:rPr>
        <w:t xml:space="preserve"> </w:t>
      </w:r>
      <w:r w:rsidRPr="0048733D">
        <w:rPr>
          <w:lang w:val="en-US"/>
        </w:rPr>
        <w:t xml:space="preserve">Benzer </w:t>
      </w:r>
      <w:proofErr w:type="spellStart"/>
      <w:r w:rsidRPr="0048733D">
        <w:rPr>
          <w:lang w:val="en-US"/>
        </w:rPr>
        <w:t>şekilde</w:t>
      </w:r>
      <w:proofErr w:type="spellEnd"/>
      <w:r w:rsidRPr="0048733D">
        <w:rPr>
          <w:lang w:val="en-US"/>
        </w:rPr>
        <w:t xml:space="preserve">, </w:t>
      </w:r>
      <w:r w:rsidRPr="0048733D">
        <w:rPr>
          <w:i/>
          <w:iCs/>
          <w:lang w:val="en-US"/>
        </w:rPr>
        <w:t>Lawrence v. Texas</w:t>
      </w:r>
      <w:r w:rsidRPr="0048733D">
        <w:rPr>
          <w:lang w:val="en-US"/>
        </w:rPr>
        <w:t>¹⁰⁵</w:t>
      </w:r>
      <w:r w:rsidRPr="0097645D">
        <w:rPr>
          <w:lang w:val="en-US"/>
        </w:rPr>
        <w:t xml:space="preserve"> </w:t>
      </w:r>
      <w:r w:rsidRPr="0097645D">
        <w:rPr>
          <w:rStyle w:val="FootnoteReference"/>
          <w:lang w:val="en-US"/>
        </w:rPr>
        <w:footnoteReference w:id="105"/>
      </w:r>
      <w:r w:rsidRPr="0048733D">
        <w:rPr>
          <w:lang w:val="en-US"/>
        </w:rPr>
        <w:t xml:space="preserve"> </w:t>
      </w:r>
      <w:proofErr w:type="spellStart"/>
      <w:r w:rsidRPr="0048733D">
        <w:rPr>
          <w:lang w:val="en-US"/>
        </w:rPr>
        <w:t>davasında</w:t>
      </w:r>
      <w:proofErr w:type="spellEnd"/>
      <w:r w:rsidRPr="0048733D">
        <w:rPr>
          <w:lang w:val="en-US"/>
        </w:rPr>
        <w:t xml:space="preserve">, </w:t>
      </w:r>
      <w:proofErr w:type="spellStart"/>
      <w:r w:rsidRPr="0048733D">
        <w:rPr>
          <w:lang w:val="en-US"/>
        </w:rPr>
        <w:t>Mahkeme</w:t>
      </w:r>
      <w:proofErr w:type="spellEnd"/>
      <w:r w:rsidRPr="0048733D">
        <w:rPr>
          <w:lang w:val="en-US"/>
        </w:rPr>
        <w:t xml:space="preserve">, </w:t>
      </w:r>
      <w:proofErr w:type="spellStart"/>
      <w:r w:rsidRPr="0048733D">
        <w:rPr>
          <w:lang w:val="en-US"/>
        </w:rPr>
        <w:t>tarihçiler</w:t>
      </w:r>
      <w:proofErr w:type="spellEnd"/>
      <w:r w:rsidRPr="0048733D">
        <w:rPr>
          <w:lang w:val="en-US"/>
        </w:rPr>
        <w:t xml:space="preserve"> </w:t>
      </w:r>
      <w:proofErr w:type="spellStart"/>
      <w:r w:rsidRPr="0048733D">
        <w:rPr>
          <w:lang w:val="en-US"/>
        </w:rPr>
        <w:t>tarafından</w:t>
      </w:r>
      <w:proofErr w:type="spellEnd"/>
      <w:r w:rsidRPr="0048733D">
        <w:rPr>
          <w:lang w:val="en-US"/>
        </w:rPr>
        <w:t xml:space="preserve"> </w:t>
      </w:r>
      <w:proofErr w:type="spellStart"/>
      <w:r w:rsidRPr="0048733D">
        <w:rPr>
          <w:lang w:val="en-US"/>
        </w:rPr>
        <w:t>sunulan</w:t>
      </w:r>
      <w:proofErr w:type="spellEnd"/>
      <w:r w:rsidRPr="0048733D">
        <w:rPr>
          <w:lang w:val="en-US"/>
        </w:rPr>
        <w:t xml:space="preserve"> </w:t>
      </w:r>
      <w:proofErr w:type="spellStart"/>
      <w:r w:rsidRPr="0048733D">
        <w:rPr>
          <w:lang w:val="en-US"/>
        </w:rPr>
        <w:t>bir</w:t>
      </w:r>
      <w:proofErr w:type="spellEnd"/>
      <w:r w:rsidRPr="0048733D">
        <w:rPr>
          <w:lang w:val="en-US"/>
        </w:rPr>
        <w:t xml:space="preserve"> amicus curiae </w:t>
      </w:r>
      <w:proofErr w:type="spellStart"/>
      <w:r w:rsidRPr="0048733D">
        <w:rPr>
          <w:lang w:val="en-US"/>
        </w:rPr>
        <w:t>dilekçesinden</w:t>
      </w:r>
      <w:proofErr w:type="spellEnd"/>
      <w:r w:rsidRPr="0048733D">
        <w:rPr>
          <w:lang w:val="en-US"/>
        </w:rPr>
        <w:t xml:space="preserve"> </w:t>
      </w:r>
      <w:proofErr w:type="spellStart"/>
      <w:r w:rsidRPr="0048733D">
        <w:rPr>
          <w:lang w:val="en-US"/>
        </w:rPr>
        <w:t>geniş</w:t>
      </w:r>
      <w:proofErr w:type="spellEnd"/>
      <w:r w:rsidRPr="0048733D">
        <w:rPr>
          <w:lang w:val="en-US"/>
        </w:rPr>
        <w:t xml:space="preserve"> </w:t>
      </w:r>
      <w:proofErr w:type="spellStart"/>
      <w:r w:rsidRPr="0048733D">
        <w:rPr>
          <w:lang w:val="en-US"/>
        </w:rPr>
        <w:t>ölçüde</w:t>
      </w:r>
      <w:proofErr w:type="spellEnd"/>
      <w:r w:rsidRPr="0048733D">
        <w:rPr>
          <w:lang w:val="en-US"/>
        </w:rPr>
        <w:t xml:space="preserve"> </w:t>
      </w:r>
      <w:proofErr w:type="spellStart"/>
      <w:r w:rsidRPr="0048733D">
        <w:rPr>
          <w:lang w:val="en-US"/>
        </w:rPr>
        <w:t>yararlanmış</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eşcinsel</w:t>
      </w:r>
      <w:proofErr w:type="spellEnd"/>
      <w:r w:rsidRPr="0048733D">
        <w:rPr>
          <w:lang w:val="en-US"/>
        </w:rPr>
        <w:t xml:space="preserve"> </w:t>
      </w:r>
      <w:proofErr w:type="spellStart"/>
      <w:r w:rsidRPr="0048733D">
        <w:rPr>
          <w:lang w:val="en-US"/>
        </w:rPr>
        <w:t>cinsel</w:t>
      </w:r>
      <w:proofErr w:type="spellEnd"/>
      <w:r w:rsidRPr="0048733D">
        <w:rPr>
          <w:lang w:val="en-US"/>
        </w:rPr>
        <w:t xml:space="preserve"> </w:t>
      </w:r>
      <w:proofErr w:type="spellStart"/>
      <w:r w:rsidRPr="0048733D">
        <w:rPr>
          <w:lang w:val="en-US"/>
        </w:rPr>
        <w:t>davranışların</w:t>
      </w:r>
      <w:proofErr w:type="spellEnd"/>
      <w:r w:rsidRPr="0048733D">
        <w:rPr>
          <w:lang w:val="en-US"/>
        </w:rPr>
        <w:t xml:space="preserve"> </w:t>
      </w:r>
      <w:proofErr w:type="spellStart"/>
      <w:r w:rsidRPr="0048733D">
        <w:rPr>
          <w:lang w:val="en-US"/>
        </w:rPr>
        <w:t>düzenlenmesine</w:t>
      </w:r>
      <w:proofErr w:type="spellEnd"/>
      <w:r w:rsidRPr="0048733D">
        <w:rPr>
          <w:lang w:val="en-US"/>
        </w:rPr>
        <w:t xml:space="preserve"> </w:t>
      </w:r>
      <w:proofErr w:type="spellStart"/>
      <w:r w:rsidRPr="0048733D">
        <w:rPr>
          <w:lang w:val="en-US"/>
        </w:rPr>
        <w:t>ilişkin</w:t>
      </w:r>
      <w:proofErr w:type="spellEnd"/>
      <w:r w:rsidRPr="0048733D">
        <w:rPr>
          <w:lang w:val="en-US"/>
        </w:rPr>
        <w:t xml:space="preserve"> </w:t>
      </w:r>
      <w:proofErr w:type="spellStart"/>
      <w:r w:rsidRPr="0048733D">
        <w:rPr>
          <w:lang w:val="en-US"/>
        </w:rPr>
        <w:t>tarih</w:t>
      </w:r>
      <w:proofErr w:type="spellEnd"/>
      <w:r w:rsidRPr="0048733D">
        <w:rPr>
          <w:lang w:val="en-US"/>
        </w:rPr>
        <w:t xml:space="preserve"> </w:t>
      </w:r>
      <w:proofErr w:type="spellStart"/>
      <w:r w:rsidRPr="0048733D">
        <w:rPr>
          <w:lang w:val="en-US"/>
        </w:rPr>
        <w:t>anlatısını</w:t>
      </w:r>
      <w:proofErr w:type="spellEnd"/>
      <w:r w:rsidRPr="0048733D">
        <w:rPr>
          <w:lang w:val="en-US"/>
        </w:rPr>
        <w:t xml:space="preserve"> </w:t>
      </w:r>
      <w:proofErr w:type="spellStart"/>
      <w:r w:rsidRPr="0048733D">
        <w:rPr>
          <w:lang w:val="en-US"/>
        </w:rPr>
        <w:t>benimseyerek</w:t>
      </w:r>
      <w:proofErr w:type="spellEnd"/>
      <w:r w:rsidRPr="0048733D">
        <w:rPr>
          <w:lang w:val="en-US"/>
        </w:rPr>
        <w:t xml:space="preserve">, </w:t>
      </w:r>
      <w:proofErr w:type="spellStart"/>
      <w:r w:rsidRPr="0048733D">
        <w:rPr>
          <w:lang w:val="en-US"/>
        </w:rPr>
        <w:t>Mahkeme’nin</w:t>
      </w:r>
      <w:proofErr w:type="spellEnd"/>
      <w:r w:rsidRPr="0048733D">
        <w:rPr>
          <w:lang w:val="en-US"/>
        </w:rPr>
        <w:t xml:space="preserve"> </w:t>
      </w:r>
      <w:proofErr w:type="spellStart"/>
      <w:r w:rsidRPr="0048733D">
        <w:rPr>
          <w:lang w:val="en-US"/>
        </w:rPr>
        <w:t>daha</w:t>
      </w:r>
      <w:proofErr w:type="spellEnd"/>
      <w:r w:rsidRPr="0048733D">
        <w:rPr>
          <w:lang w:val="en-US"/>
        </w:rPr>
        <w:t xml:space="preserve"> </w:t>
      </w:r>
      <w:proofErr w:type="spellStart"/>
      <w:r w:rsidRPr="0048733D">
        <w:rPr>
          <w:lang w:val="en-US"/>
        </w:rPr>
        <w:t>önce</w:t>
      </w:r>
      <w:proofErr w:type="spellEnd"/>
      <w:r w:rsidRPr="0048733D">
        <w:rPr>
          <w:lang w:val="en-US"/>
        </w:rPr>
        <w:t xml:space="preserve"> </w:t>
      </w:r>
      <w:r w:rsidRPr="0048733D">
        <w:rPr>
          <w:i/>
          <w:iCs/>
          <w:lang w:val="en-US"/>
        </w:rPr>
        <w:t>Bowers v. Hardwick</w:t>
      </w:r>
      <w:r w:rsidRPr="0048733D">
        <w:rPr>
          <w:lang w:val="en-US"/>
        </w:rPr>
        <w:t xml:space="preserve"> </w:t>
      </w:r>
      <w:proofErr w:type="spellStart"/>
      <w:r w:rsidRPr="0048733D">
        <w:rPr>
          <w:lang w:val="en-US"/>
        </w:rPr>
        <w:t>davasında</w:t>
      </w:r>
      <w:proofErr w:type="spellEnd"/>
      <w:r w:rsidRPr="0048733D">
        <w:rPr>
          <w:lang w:val="en-US"/>
        </w:rPr>
        <w:t xml:space="preserve"> </w:t>
      </w:r>
      <w:proofErr w:type="spellStart"/>
      <w:r w:rsidRPr="0048733D">
        <w:rPr>
          <w:lang w:val="en-US"/>
        </w:rPr>
        <w:t>sunduğu</w:t>
      </w:r>
      <w:proofErr w:type="spellEnd"/>
      <w:r w:rsidRPr="0048733D">
        <w:rPr>
          <w:lang w:val="en-US"/>
        </w:rPr>
        <w:t xml:space="preserve"> </w:t>
      </w:r>
      <w:proofErr w:type="spellStart"/>
      <w:r w:rsidRPr="0048733D">
        <w:rPr>
          <w:lang w:val="en-US"/>
        </w:rPr>
        <w:t>anlatıyla</w:t>
      </w:r>
      <w:proofErr w:type="spellEnd"/>
      <w:r w:rsidRPr="0048733D">
        <w:rPr>
          <w:lang w:val="en-US"/>
        </w:rPr>
        <w:t xml:space="preserve"> </w:t>
      </w:r>
      <w:proofErr w:type="spellStart"/>
      <w:r w:rsidRPr="0048733D">
        <w:rPr>
          <w:lang w:val="en-US"/>
        </w:rPr>
        <w:t>keskin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tezat</w:t>
      </w:r>
      <w:proofErr w:type="spellEnd"/>
      <w:r w:rsidRPr="0048733D">
        <w:rPr>
          <w:lang w:val="en-US"/>
        </w:rPr>
        <w:t xml:space="preserve"> </w:t>
      </w:r>
      <w:proofErr w:type="spellStart"/>
      <w:r w:rsidRPr="0048733D">
        <w:rPr>
          <w:lang w:val="en-US"/>
        </w:rPr>
        <w:t>oluşturmuştur</w:t>
      </w:r>
      <w:proofErr w:type="spellEnd"/>
      <w:r w:rsidRPr="0048733D">
        <w:rPr>
          <w:lang w:val="en-US"/>
        </w:rPr>
        <w:t xml:space="preserve">. </w:t>
      </w:r>
      <w:proofErr w:type="spellStart"/>
      <w:r w:rsidRPr="0048733D">
        <w:rPr>
          <w:lang w:val="en-US"/>
        </w:rPr>
        <w:t>Mahkeme</w:t>
      </w:r>
      <w:proofErr w:type="spellEnd"/>
      <w:r w:rsidRPr="0048733D">
        <w:rPr>
          <w:lang w:val="en-US"/>
        </w:rPr>
        <w:t xml:space="preserve">, </w:t>
      </w:r>
      <w:proofErr w:type="spellStart"/>
      <w:r w:rsidRPr="0048733D">
        <w:rPr>
          <w:i/>
          <w:iCs/>
          <w:lang w:val="en-US"/>
        </w:rPr>
        <w:t>Bowers</w:t>
      </w:r>
      <w:r w:rsidRPr="0048733D">
        <w:rPr>
          <w:lang w:val="en-US"/>
        </w:rPr>
        <w:t>’ın</w:t>
      </w:r>
      <w:proofErr w:type="spellEnd"/>
      <w:r w:rsidRPr="0048733D">
        <w:rPr>
          <w:lang w:val="en-US"/>
        </w:rPr>
        <w:t xml:space="preserve"> </w:t>
      </w:r>
      <w:proofErr w:type="spellStart"/>
      <w:r w:rsidRPr="0048733D">
        <w:rPr>
          <w:lang w:val="en-US"/>
        </w:rPr>
        <w:t>tarihsel</w:t>
      </w:r>
      <w:proofErr w:type="spellEnd"/>
      <w:r w:rsidRPr="0048733D">
        <w:rPr>
          <w:lang w:val="en-US"/>
        </w:rPr>
        <w:t xml:space="preserve"> </w:t>
      </w:r>
      <w:proofErr w:type="spellStart"/>
      <w:r w:rsidRPr="0048733D">
        <w:rPr>
          <w:lang w:val="en-US"/>
        </w:rPr>
        <w:t>anlatımındaki</w:t>
      </w:r>
      <w:proofErr w:type="spellEnd"/>
      <w:r w:rsidRPr="0048733D">
        <w:rPr>
          <w:lang w:val="en-US"/>
        </w:rPr>
        <w:t xml:space="preserve"> </w:t>
      </w:r>
      <w:proofErr w:type="spellStart"/>
      <w:r w:rsidRPr="0048733D">
        <w:rPr>
          <w:lang w:val="en-US"/>
        </w:rPr>
        <w:t>iddia</w:t>
      </w:r>
      <w:proofErr w:type="spellEnd"/>
      <w:r w:rsidRPr="0048733D">
        <w:rPr>
          <w:lang w:val="en-US"/>
        </w:rPr>
        <w:t xml:space="preserve"> </w:t>
      </w:r>
      <w:proofErr w:type="spellStart"/>
      <w:r w:rsidRPr="0048733D">
        <w:rPr>
          <w:lang w:val="en-US"/>
        </w:rPr>
        <w:t>edilen</w:t>
      </w:r>
      <w:proofErr w:type="spellEnd"/>
      <w:r w:rsidRPr="0048733D">
        <w:rPr>
          <w:lang w:val="en-US"/>
        </w:rPr>
        <w:t xml:space="preserve"> </w:t>
      </w:r>
      <w:proofErr w:type="spellStart"/>
      <w:r w:rsidRPr="0048733D">
        <w:rPr>
          <w:lang w:val="en-US"/>
        </w:rPr>
        <w:t>hataları</w:t>
      </w:r>
      <w:proofErr w:type="spellEnd"/>
      <w:r w:rsidRPr="0048733D">
        <w:rPr>
          <w:lang w:val="en-US"/>
        </w:rPr>
        <w:t xml:space="preserve">, </w:t>
      </w:r>
      <w:proofErr w:type="spellStart"/>
      <w:r w:rsidRPr="0048733D">
        <w:rPr>
          <w:lang w:val="en-US"/>
        </w:rPr>
        <w:t>bu</w:t>
      </w:r>
      <w:proofErr w:type="spellEnd"/>
      <w:r w:rsidRPr="0048733D">
        <w:rPr>
          <w:lang w:val="en-US"/>
        </w:rPr>
        <w:t xml:space="preserve"> </w:t>
      </w:r>
      <w:proofErr w:type="spellStart"/>
      <w:r w:rsidRPr="0048733D">
        <w:rPr>
          <w:lang w:val="en-US"/>
        </w:rPr>
        <w:t>kararın</w:t>
      </w:r>
      <w:proofErr w:type="spellEnd"/>
      <w:r w:rsidRPr="0048733D">
        <w:rPr>
          <w:lang w:val="en-US"/>
        </w:rPr>
        <w:t xml:space="preserve"> </w:t>
      </w:r>
      <w:proofErr w:type="spellStart"/>
      <w:r w:rsidRPr="0048733D">
        <w:rPr>
          <w:lang w:val="en-US"/>
        </w:rPr>
        <w:t>ilga</w:t>
      </w:r>
      <w:proofErr w:type="spellEnd"/>
      <w:r w:rsidRPr="0048733D">
        <w:rPr>
          <w:lang w:val="en-US"/>
        </w:rPr>
        <w:t xml:space="preserve"> </w:t>
      </w:r>
      <w:proofErr w:type="spellStart"/>
      <w:r w:rsidRPr="0048733D">
        <w:rPr>
          <w:lang w:val="en-US"/>
        </w:rPr>
        <w:t>edilmesi</w:t>
      </w:r>
      <w:proofErr w:type="spellEnd"/>
      <w:r w:rsidRPr="0048733D">
        <w:rPr>
          <w:lang w:val="en-US"/>
        </w:rPr>
        <w:t xml:space="preserve"> </w:t>
      </w:r>
      <w:proofErr w:type="spellStart"/>
      <w:r w:rsidRPr="0048733D">
        <w:rPr>
          <w:lang w:val="en-US"/>
        </w:rPr>
        <w:t>için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gerekçe</w:t>
      </w:r>
      <w:proofErr w:type="spellEnd"/>
      <w:r w:rsidRPr="0048733D">
        <w:rPr>
          <w:lang w:val="en-US"/>
        </w:rPr>
        <w:t xml:space="preserve"> </w:t>
      </w:r>
      <w:proofErr w:type="spellStart"/>
      <w:r w:rsidRPr="0048733D">
        <w:rPr>
          <w:lang w:val="en-US"/>
        </w:rPr>
        <w:t>olarak</w:t>
      </w:r>
      <w:proofErr w:type="spellEnd"/>
      <w:r w:rsidRPr="0048733D">
        <w:rPr>
          <w:lang w:val="en-US"/>
        </w:rPr>
        <w:t xml:space="preserve"> kullanmıştır.¹⁰⁶</w:t>
      </w:r>
      <w:r w:rsidRPr="0097645D">
        <w:rPr>
          <w:lang w:val="en-US"/>
        </w:rPr>
        <w:t xml:space="preserve"> </w:t>
      </w:r>
      <w:r w:rsidRPr="0097645D">
        <w:rPr>
          <w:rStyle w:val="FootnoteReference"/>
          <w:lang w:val="en-US"/>
        </w:rPr>
        <w:footnoteReference w:id="106"/>
      </w:r>
      <w:r w:rsidRPr="0097645D">
        <w:rPr>
          <w:lang w:val="en-US"/>
        </w:rPr>
        <w:t xml:space="preserve"> </w:t>
      </w:r>
      <w:r w:rsidRPr="0048733D">
        <w:rPr>
          <w:lang w:val="en-US"/>
        </w:rPr>
        <w:t xml:space="preserve">Daha </w:t>
      </w:r>
      <w:proofErr w:type="spellStart"/>
      <w:r w:rsidRPr="0048733D">
        <w:rPr>
          <w:lang w:val="en-US"/>
        </w:rPr>
        <w:t>incelikli</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örnek</w:t>
      </w:r>
      <w:proofErr w:type="spellEnd"/>
      <w:r w:rsidRPr="0048733D">
        <w:rPr>
          <w:lang w:val="en-US"/>
        </w:rPr>
        <w:t xml:space="preserve"> </w:t>
      </w:r>
      <w:proofErr w:type="spellStart"/>
      <w:r w:rsidRPr="0048733D">
        <w:rPr>
          <w:lang w:val="en-US"/>
        </w:rPr>
        <w:t>olarak</w:t>
      </w:r>
      <w:proofErr w:type="spellEnd"/>
      <w:r w:rsidRPr="0048733D">
        <w:rPr>
          <w:lang w:val="en-US"/>
        </w:rPr>
        <w:t xml:space="preserve">, </w:t>
      </w:r>
      <w:proofErr w:type="spellStart"/>
      <w:r w:rsidRPr="0048733D">
        <w:rPr>
          <w:lang w:val="en-US"/>
        </w:rPr>
        <w:t>büyükanne</w:t>
      </w:r>
      <w:proofErr w:type="spellEnd"/>
      <w:r w:rsidRPr="0048733D">
        <w:rPr>
          <w:lang w:val="en-US"/>
        </w:rPr>
        <w:t xml:space="preserve"> </w:t>
      </w:r>
      <w:proofErr w:type="spellStart"/>
      <w:r w:rsidRPr="0048733D">
        <w:rPr>
          <w:lang w:val="en-US"/>
        </w:rPr>
        <w:t>ve</w:t>
      </w:r>
      <w:proofErr w:type="spellEnd"/>
      <w:r w:rsidRPr="0048733D">
        <w:rPr>
          <w:lang w:val="en-US"/>
        </w:rPr>
        <w:t xml:space="preserve"> </w:t>
      </w:r>
      <w:proofErr w:type="spellStart"/>
      <w:r w:rsidRPr="0048733D">
        <w:rPr>
          <w:lang w:val="en-US"/>
        </w:rPr>
        <w:t>büyükbabaların</w:t>
      </w:r>
      <w:proofErr w:type="spellEnd"/>
      <w:r w:rsidRPr="0048733D">
        <w:rPr>
          <w:lang w:val="en-US"/>
        </w:rPr>
        <w:t xml:space="preserve"> </w:t>
      </w:r>
      <w:proofErr w:type="spellStart"/>
      <w:r w:rsidRPr="0048733D">
        <w:rPr>
          <w:lang w:val="en-US"/>
        </w:rPr>
        <w:t>torunlarıyla</w:t>
      </w:r>
      <w:proofErr w:type="spellEnd"/>
      <w:r w:rsidRPr="0048733D">
        <w:rPr>
          <w:lang w:val="en-US"/>
        </w:rPr>
        <w:t xml:space="preserve"> </w:t>
      </w:r>
      <w:proofErr w:type="spellStart"/>
      <w:r w:rsidRPr="0048733D">
        <w:rPr>
          <w:lang w:val="en-US"/>
        </w:rPr>
        <w:t>görüşme</w:t>
      </w:r>
      <w:proofErr w:type="spellEnd"/>
      <w:r w:rsidRPr="0048733D">
        <w:rPr>
          <w:lang w:val="en-US"/>
        </w:rPr>
        <w:t xml:space="preserve"> </w:t>
      </w:r>
      <w:proofErr w:type="spellStart"/>
      <w:r w:rsidRPr="0048733D">
        <w:rPr>
          <w:lang w:val="en-US"/>
        </w:rPr>
        <w:t>hakkına</w:t>
      </w:r>
      <w:proofErr w:type="spellEnd"/>
      <w:r w:rsidRPr="0048733D">
        <w:rPr>
          <w:lang w:val="en-US"/>
        </w:rPr>
        <w:t xml:space="preserve"> </w:t>
      </w:r>
      <w:proofErr w:type="spellStart"/>
      <w:r w:rsidRPr="0048733D">
        <w:rPr>
          <w:lang w:val="en-US"/>
        </w:rPr>
        <w:t>ilişkin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yasanın</w:t>
      </w:r>
      <w:proofErr w:type="spellEnd"/>
      <w:r w:rsidRPr="0048733D">
        <w:rPr>
          <w:lang w:val="en-US"/>
        </w:rPr>
        <w:t xml:space="preserve"> </w:t>
      </w:r>
      <w:proofErr w:type="spellStart"/>
      <w:r w:rsidRPr="0048733D">
        <w:rPr>
          <w:lang w:val="en-US"/>
        </w:rPr>
        <w:t>anayasaya</w:t>
      </w:r>
      <w:proofErr w:type="spellEnd"/>
      <w:r w:rsidRPr="0048733D">
        <w:rPr>
          <w:lang w:val="en-US"/>
        </w:rPr>
        <w:t xml:space="preserve"> </w:t>
      </w:r>
      <w:proofErr w:type="spellStart"/>
      <w:r w:rsidRPr="0048733D">
        <w:rPr>
          <w:lang w:val="en-US"/>
        </w:rPr>
        <w:t>uygunluğunu</w:t>
      </w:r>
      <w:proofErr w:type="spellEnd"/>
      <w:r w:rsidRPr="0048733D">
        <w:rPr>
          <w:lang w:val="en-US"/>
        </w:rPr>
        <w:t xml:space="preserve"> </w:t>
      </w:r>
      <w:proofErr w:type="spellStart"/>
      <w:r w:rsidRPr="0048733D">
        <w:rPr>
          <w:lang w:val="en-US"/>
        </w:rPr>
        <w:t>konu</w:t>
      </w:r>
      <w:proofErr w:type="spellEnd"/>
      <w:r w:rsidRPr="0048733D">
        <w:rPr>
          <w:lang w:val="en-US"/>
        </w:rPr>
        <w:t xml:space="preserve"> </w:t>
      </w:r>
      <w:proofErr w:type="spellStart"/>
      <w:r w:rsidRPr="0048733D">
        <w:rPr>
          <w:lang w:val="en-US"/>
        </w:rPr>
        <w:t>alan</w:t>
      </w:r>
      <w:proofErr w:type="spellEnd"/>
      <w:r w:rsidRPr="0048733D">
        <w:rPr>
          <w:lang w:val="en-US"/>
        </w:rPr>
        <w:t xml:space="preserve"> </w:t>
      </w:r>
      <w:r w:rsidRPr="0048733D">
        <w:rPr>
          <w:i/>
          <w:iCs/>
          <w:lang w:val="en-US"/>
        </w:rPr>
        <w:t>Troxel v. Granville</w:t>
      </w:r>
      <w:r w:rsidRPr="0048733D">
        <w:rPr>
          <w:lang w:val="en-US"/>
        </w:rPr>
        <w:t xml:space="preserve">¹⁰⁷ </w:t>
      </w:r>
      <w:r w:rsidRPr="0097645D">
        <w:rPr>
          <w:lang w:val="en-US"/>
        </w:rPr>
        <w:t xml:space="preserve"> </w:t>
      </w:r>
      <w:r w:rsidRPr="0097645D">
        <w:rPr>
          <w:rStyle w:val="FootnoteReference"/>
          <w:lang w:val="en-US"/>
        </w:rPr>
        <w:footnoteReference w:id="107"/>
      </w:r>
      <w:r w:rsidRPr="0097645D">
        <w:rPr>
          <w:lang w:val="en-US"/>
        </w:rPr>
        <w:t xml:space="preserve"> </w:t>
      </w:r>
      <w:proofErr w:type="spellStart"/>
      <w:r w:rsidRPr="0048733D">
        <w:rPr>
          <w:lang w:val="en-US"/>
        </w:rPr>
        <w:t>davasında</w:t>
      </w:r>
      <w:proofErr w:type="spellEnd"/>
      <w:r w:rsidRPr="0048733D">
        <w:rPr>
          <w:lang w:val="en-US"/>
        </w:rPr>
        <w:t xml:space="preserve">, </w:t>
      </w:r>
      <w:proofErr w:type="spellStart"/>
      <w:r w:rsidRPr="0048733D">
        <w:rPr>
          <w:lang w:val="en-US"/>
        </w:rPr>
        <w:t>Mahkeme</w:t>
      </w:r>
      <w:proofErr w:type="spellEnd"/>
      <w:r w:rsidRPr="0048733D">
        <w:rPr>
          <w:lang w:val="en-US"/>
        </w:rPr>
        <w:t xml:space="preserve">, </w:t>
      </w:r>
      <w:proofErr w:type="spellStart"/>
      <w:r w:rsidRPr="0048733D">
        <w:rPr>
          <w:lang w:val="en-US"/>
        </w:rPr>
        <w:t>belirgin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yönlendirici</w:t>
      </w:r>
      <w:proofErr w:type="spellEnd"/>
      <w:r w:rsidRPr="0048733D">
        <w:rPr>
          <w:lang w:val="en-US"/>
        </w:rPr>
        <w:t xml:space="preserve"> </w:t>
      </w:r>
      <w:proofErr w:type="spellStart"/>
      <w:r w:rsidRPr="0048733D">
        <w:rPr>
          <w:lang w:val="en-US"/>
        </w:rPr>
        <w:t>etkisi</w:t>
      </w:r>
      <w:proofErr w:type="spellEnd"/>
      <w:r w:rsidRPr="0048733D">
        <w:rPr>
          <w:lang w:val="en-US"/>
        </w:rPr>
        <w:t xml:space="preserve"> </w:t>
      </w:r>
      <w:proofErr w:type="spellStart"/>
      <w:r w:rsidRPr="0048733D">
        <w:rPr>
          <w:lang w:val="en-US"/>
        </w:rPr>
        <w:t>olmayan</w:t>
      </w:r>
      <w:proofErr w:type="spellEnd"/>
      <w:r w:rsidRPr="0048733D">
        <w:rPr>
          <w:lang w:val="en-US"/>
        </w:rPr>
        <w:t xml:space="preserve"> </w:t>
      </w:r>
      <w:proofErr w:type="spellStart"/>
      <w:r w:rsidRPr="0048733D">
        <w:rPr>
          <w:lang w:val="en-US"/>
        </w:rPr>
        <w:t>tatmin</w:t>
      </w:r>
      <w:proofErr w:type="spellEnd"/>
      <w:r w:rsidRPr="0048733D">
        <w:rPr>
          <w:lang w:val="en-US"/>
        </w:rPr>
        <w:t xml:space="preserve"> </w:t>
      </w:r>
      <w:proofErr w:type="spellStart"/>
      <w:r w:rsidRPr="0048733D">
        <w:rPr>
          <w:lang w:val="en-US"/>
        </w:rPr>
        <w:t>edici</w:t>
      </w:r>
      <w:proofErr w:type="spellEnd"/>
      <w:r w:rsidRPr="0048733D">
        <w:rPr>
          <w:lang w:val="en-US"/>
        </w:rPr>
        <w:t xml:space="preserve"> </w:t>
      </w:r>
      <w:proofErr w:type="spellStart"/>
      <w:r w:rsidRPr="0048733D">
        <w:rPr>
          <w:lang w:val="en-US"/>
        </w:rPr>
        <w:t>olmayan</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bölünmüş</w:t>
      </w:r>
      <w:proofErr w:type="spellEnd"/>
      <w:r w:rsidRPr="0048733D">
        <w:rPr>
          <w:lang w:val="en-US"/>
        </w:rPr>
        <w:t xml:space="preserve"> </w:t>
      </w:r>
      <w:proofErr w:type="spellStart"/>
      <w:r w:rsidRPr="0048733D">
        <w:rPr>
          <w:lang w:val="en-US"/>
        </w:rPr>
        <w:t>karar</w:t>
      </w:r>
      <w:proofErr w:type="spellEnd"/>
      <w:r w:rsidRPr="0048733D">
        <w:rPr>
          <w:lang w:val="en-US"/>
        </w:rPr>
        <w:t xml:space="preserve"> </w:t>
      </w:r>
      <w:proofErr w:type="spellStart"/>
      <w:r w:rsidRPr="0048733D">
        <w:rPr>
          <w:lang w:val="en-US"/>
        </w:rPr>
        <w:t>vermiştir</w:t>
      </w:r>
      <w:proofErr w:type="spellEnd"/>
      <w:r w:rsidRPr="0048733D">
        <w:rPr>
          <w:lang w:val="en-US"/>
        </w:rPr>
        <w:t xml:space="preserve">. Bunun </w:t>
      </w:r>
      <w:proofErr w:type="spellStart"/>
      <w:r w:rsidRPr="0048733D">
        <w:rPr>
          <w:lang w:val="en-US"/>
        </w:rPr>
        <w:t>nedenlerinden</w:t>
      </w:r>
      <w:proofErr w:type="spellEnd"/>
      <w:r w:rsidRPr="0048733D">
        <w:rPr>
          <w:lang w:val="en-US"/>
        </w:rPr>
        <w:t xml:space="preserve"> </w:t>
      </w:r>
      <w:proofErr w:type="spellStart"/>
      <w:r w:rsidRPr="0048733D">
        <w:rPr>
          <w:lang w:val="en-US"/>
        </w:rPr>
        <w:t>biri</w:t>
      </w:r>
      <w:proofErr w:type="spellEnd"/>
      <w:r w:rsidRPr="0048733D">
        <w:rPr>
          <w:lang w:val="en-US"/>
        </w:rPr>
        <w:t xml:space="preserve"> </w:t>
      </w:r>
      <w:proofErr w:type="spellStart"/>
      <w:r w:rsidRPr="0048733D">
        <w:rPr>
          <w:lang w:val="en-US"/>
        </w:rPr>
        <w:t>muhtemelen</w:t>
      </w:r>
      <w:proofErr w:type="spellEnd"/>
      <w:r w:rsidRPr="0048733D">
        <w:rPr>
          <w:lang w:val="en-US"/>
        </w:rPr>
        <w:t xml:space="preserve">, </w:t>
      </w:r>
      <w:proofErr w:type="spellStart"/>
      <w:r w:rsidRPr="0048733D">
        <w:rPr>
          <w:lang w:val="en-US"/>
        </w:rPr>
        <w:t>geniş</w:t>
      </w:r>
      <w:proofErr w:type="spellEnd"/>
      <w:r w:rsidRPr="0048733D">
        <w:rPr>
          <w:lang w:val="en-US"/>
        </w:rPr>
        <w:t xml:space="preserve"> </w:t>
      </w:r>
      <w:proofErr w:type="spellStart"/>
      <w:r w:rsidRPr="0048733D">
        <w:rPr>
          <w:lang w:val="en-US"/>
        </w:rPr>
        <w:t>kapsamlı</w:t>
      </w:r>
      <w:proofErr w:type="spellEnd"/>
      <w:r w:rsidRPr="0048733D">
        <w:rPr>
          <w:lang w:val="en-US"/>
        </w:rPr>
        <w:t xml:space="preserve"> </w:t>
      </w:r>
      <w:proofErr w:type="spellStart"/>
      <w:r w:rsidRPr="0048733D">
        <w:rPr>
          <w:lang w:val="en-US"/>
        </w:rPr>
        <w:t>bir</w:t>
      </w:r>
      <w:proofErr w:type="spellEnd"/>
      <w:r w:rsidRPr="0048733D">
        <w:rPr>
          <w:lang w:val="en-US"/>
        </w:rPr>
        <w:t xml:space="preserve"> </w:t>
      </w:r>
      <w:proofErr w:type="spellStart"/>
      <w:r w:rsidRPr="0048733D">
        <w:rPr>
          <w:lang w:val="en-US"/>
        </w:rPr>
        <w:t>hükmün</w:t>
      </w:r>
      <w:proofErr w:type="spellEnd"/>
      <w:r w:rsidRPr="0048733D">
        <w:rPr>
          <w:lang w:val="en-US"/>
        </w:rPr>
        <w:t xml:space="preserve"> </w:t>
      </w:r>
      <w:proofErr w:type="spellStart"/>
      <w:r w:rsidRPr="0048733D">
        <w:rPr>
          <w:lang w:val="en-US"/>
        </w:rPr>
        <w:t>beklenmedik</w:t>
      </w:r>
      <w:proofErr w:type="spellEnd"/>
      <w:r w:rsidRPr="0048733D">
        <w:rPr>
          <w:lang w:val="en-US"/>
        </w:rPr>
        <w:t xml:space="preserve"> </w:t>
      </w:r>
      <w:proofErr w:type="spellStart"/>
      <w:r w:rsidRPr="0048733D">
        <w:rPr>
          <w:lang w:val="en-US"/>
        </w:rPr>
        <w:t>sonuçlara</w:t>
      </w:r>
      <w:proofErr w:type="spellEnd"/>
      <w:r w:rsidRPr="0048733D">
        <w:rPr>
          <w:lang w:val="en-US"/>
        </w:rPr>
        <w:t xml:space="preserve"> </w:t>
      </w:r>
      <w:proofErr w:type="spellStart"/>
      <w:r w:rsidRPr="0048733D">
        <w:rPr>
          <w:lang w:val="en-US"/>
        </w:rPr>
        <w:t>yol</w:t>
      </w:r>
      <w:proofErr w:type="spellEnd"/>
      <w:r w:rsidRPr="0048733D">
        <w:rPr>
          <w:lang w:val="en-US"/>
        </w:rPr>
        <w:t xml:space="preserve"> </w:t>
      </w:r>
      <w:proofErr w:type="spellStart"/>
      <w:r w:rsidRPr="0048733D">
        <w:rPr>
          <w:lang w:val="en-US"/>
        </w:rPr>
        <w:t>açabileceği</w:t>
      </w:r>
      <w:proofErr w:type="spellEnd"/>
      <w:r w:rsidRPr="0048733D">
        <w:rPr>
          <w:lang w:val="en-US"/>
        </w:rPr>
        <w:t xml:space="preserve"> </w:t>
      </w:r>
      <w:proofErr w:type="spellStart"/>
      <w:r w:rsidRPr="0048733D">
        <w:rPr>
          <w:lang w:val="en-US"/>
        </w:rPr>
        <w:t>konusunda</w:t>
      </w:r>
      <w:proofErr w:type="spellEnd"/>
      <w:r w:rsidRPr="0048733D">
        <w:rPr>
          <w:lang w:val="en-US"/>
        </w:rPr>
        <w:t xml:space="preserve"> </w:t>
      </w:r>
      <w:proofErr w:type="spellStart"/>
      <w:r w:rsidRPr="0048733D">
        <w:rPr>
          <w:lang w:val="en-US"/>
        </w:rPr>
        <w:t>uyarıda</w:t>
      </w:r>
      <w:proofErr w:type="spellEnd"/>
      <w:r w:rsidRPr="0048733D">
        <w:rPr>
          <w:lang w:val="en-US"/>
        </w:rPr>
        <w:t xml:space="preserve"> </w:t>
      </w:r>
      <w:proofErr w:type="spellStart"/>
      <w:r w:rsidRPr="0048733D">
        <w:rPr>
          <w:lang w:val="en-US"/>
        </w:rPr>
        <w:t>bulunan</w:t>
      </w:r>
      <w:proofErr w:type="spellEnd"/>
      <w:r w:rsidRPr="0048733D">
        <w:rPr>
          <w:lang w:val="en-US"/>
        </w:rPr>
        <w:t xml:space="preserve"> </w:t>
      </w:r>
      <w:proofErr w:type="spellStart"/>
      <w:r w:rsidRPr="0048733D">
        <w:rPr>
          <w:lang w:val="en-US"/>
        </w:rPr>
        <w:t>savunucu</w:t>
      </w:r>
      <w:proofErr w:type="spellEnd"/>
      <w:r w:rsidRPr="0048733D">
        <w:rPr>
          <w:lang w:val="en-US"/>
        </w:rPr>
        <w:t xml:space="preserve"> </w:t>
      </w:r>
      <w:proofErr w:type="spellStart"/>
      <w:r w:rsidRPr="0048733D">
        <w:rPr>
          <w:lang w:val="en-US"/>
        </w:rPr>
        <w:t>gruplar</w:t>
      </w:r>
      <w:proofErr w:type="spellEnd"/>
      <w:r w:rsidRPr="0048733D">
        <w:rPr>
          <w:lang w:val="en-US"/>
        </w:rPr>
        <w:t xml:space="preserve"> (</w:t>
      </w:r>
      <w:proofErr w:type="spellStart"/>
      <w:r w:rsidRPr="0048733D">
        <w:rPr>
          <w:lang w:val="en-US"/>
        </w:rPr>
        <w:t>özellikle</w:t>
      </w:r>
      <w:proofErr w:type="spellEnd"/>
      <w:r w:rsidRPr="0048733D">
        <w:rPr>
          <w:lang w:val="en-US"/>
        </w:rPr>
        <w:t xml:space="preserve"> </w:t>
      </w:r>
      <w:proofErr w:type="spellStart"/>
      <w:r w:rsidRPr="0048733D">
        <w:rPr>
          <w:lang w:val="en-US"/>
        </w:rPr>
        <w:t>eşcinsel</w:t>
      </w:r>
      <w:proofErr w:type="spellEnd"/>
      <w:r w:rsidRPr="0048733D">
        <w:rPr>
          <w:lang w:val="en-US"/>
        </w:rPr>
        <w:t xml:space="preserve"> </w:t>
      </w:r>
      <w:proofErr w:type="spellStart"/>
      <w:r w:rsidRPr="0048733D">
        <w:rPr>
          <w:lang w:val="en-US"/>
        </w:rPr>
        <w:t>hakları</w:t>
      </w:r>
      <w:proofErr w:type="spellEnd"/>
      <w:r w:rsidRPr="0048733D">
        <w:rPr>
          <w:lang w:val="en-US"/>
        </w:rPr>
        <w:t xml:space="preserve"> </w:t>
      </w:r>
      <w:proofErr w:type="spellStart"/>
      <w:r w:rsidRPr="0048733D">
        <w:rPr>
          <w:lang w:val="en-US"/>
        </w:rPr>
        <w:t>örgütleri</w:t>
      </w:r>
      <w:proofErr w:type="spellEnd"/>
      <w:r w:rsidRPr="0048733D">
        <w:rPr>
          <w:lang w:val="en-US"/>
        </w:rPr>
        <w:t xml:space="preserve">) </w:t>
      </w:r>
      <w:proofErr w:type="spellStart"/>
      <w:r w:rsidRPr="0048733D">
        <w:rPr>
          <w:lang w:val="en-US"/>
        </w:rPr>
        <w:t>tarafından</w:t>
      </w:r>
      <w:proofErr w:type="spellEnd"/>
      <w:r w:rsidRPr="0048733D">
        <w:rPr>
          <w:lang w:val="en-US"/>
        </w:rPr>
        <w:t xml:space="preserve"> </w:t>
      </w:r>
      <w:proofErr w:type="spellStart"/>
      <w:r w:rsidRPr="0048733D">
        <w:rPr>
          <w:lang w:val="en-US"/>
        </w:rPr>
        <w:t>sunulan</w:t>
      </w:r>
      <w:proofErr w:type="spellEnd"/>
      <w:r w:rsidRPr="0048733D">
        <w:rPr>
          <w:lang w:val="en-US"/>
        </w:rPr>
        <w:t xml:space="preserve"> amicus curiae </w:t>
      </w:r>
      <w:proofErr w:type="spellStart"/>
      <w:r w:rsidRPr="0048733D">
        <w:rPr>
          <w:lang w:val="en-US"/>
        </w:rPr>
        <w:t>dilekçelerinin</w:t>
      </w:r>
      <w:proofErr w:type="spellEnd"/>
      <w:r w:rsidRPr="0048733D">
        <w:rPr>
          <w:lang w:val="en-US"/>
        </w:rPr>
        <w:t xml:space="preserve"> </w:t>
      </w:r>
      <w:proofErr w:type="spellStart"/>
      <w:r w:rsidRPr="0048733D">
        <w:rPr>
          <w:lang w:val="en-US"/>
        </w:rPr>
        <w:t>Yargıçları</w:t>
      </w:r>
      <w:proofErr w:type="spellEnd"/>
      <w:r w:rsidRPr="0048733D">
        <w:rPr>
          <w:lang w:val="en-US"/>
        </w:rPr>
        <w:t xml:space="preserve"> </w:t>
      </w:r>
      <w:proofErr w:type="spellStart"/>
      <w:r w:rsidRPr="0048733D">
        <w:rPr>
          <w:lang w:val="en-US"/>
        </w:rPr>
        <w:t>kararsızlığa</w:t>
      </w:r>
      <w:proofErr w:type="spellEnd"/>
      <w:r w:rsidRPr="0048733D">
        <w:rPr>
          <w:lang w:val="en-US"/>
        </w:rPr>
        <w:t xml:space="preserve"> sürüklemesidir.¹⁰⁸</w:t>
      </w:r>
      <w:r w:rsidRPr="0097645D">
        <w:rPr>
          <w:lang w:val="en-US"/>
        </w:rPr>
        <w:t xml:space="preserve"> </w:t>
      </w:r>
      <w:r w:rsidR="0097645D" w:rsidRPr="0097645D">
        <w:rPr>
          <w:lang w:val="en-US"/>
        </w:rPr>
        <w:t xml:space="preserve"> </w:t>
      </w:r>
      <w:r w:rsidR="0097645D" w:rsidRPr="0097645D">
        <w:rPr>
          <w:rStyle w:val="FootnoteReference"/>
          <w:lang w:val="en-US"/>
        </w:rPr>
        <w:footnoteReference w:id="108"/>
      </w:r>
      <w:r w:rsidR="0097645D" w:rsidRPr="0097645D">
        <w:rPr>
          <w:lang w:val="en-US"/>
        </w:rPr>
        <w:t xml:space="preserve"> </w:t>
      </w:r>
      <w:r w:rsidRPr="0097645D">
        <w:rPr>
          <w:lang w:val="en-US"/>
        </w:rPr>
        <w:t>[1095 - 1096]</w:t>
      </w:r>
    </w:p>
    <w:p w14:paraId="625B16CD" w14:textId="561BD5A6" w:rsidR="0097645D" w:rsidRDefault="0097645D" w:rsidP="0097645D">
      <w:pPr>
        <w:rPr>
          <w:lang w:val="en-US"/>
        </w:rPr>
      </w:pPr>
      <w:r w:rsidRPr="0097645D">
        <w:rPr>
          <w:lang w:val="en-US"/>
        </w:rPr>
        <w:lastRenderedPageBreak/>
        <w:t xml:space="preserve">Bu </w:t>
      </w:r>
      <w:proofErr w:type="spellStart"/>
      <w:r w:rsidRPr="0097645D">
        <w:rPr>
          <w:lang w:val="en-US"/>
        </w:rPr>
        <w:t>örnekler</w:t>
      </w:r>
      <w:proofErr w:type="spellEnd"/>
      <w:r w:rsidRPr="0097645D">
        <w:rPr>
          <w:lang w:val="en-US"/>
        </w:rPr>
        <w:t xml:space="preserve">, </w:t>
      </w:r>
      <w:proofErr w:type="spellStart"/>
      <w:r w:rsidRPr="0097645D">
        <w:rPr>
          <w:lang w:val="en-US"/>
        </w:rPr>
        <w:t>çağdaş</w:t>
      </w:r>
      <w:proofErr w:type="spellEnd"/>
      <w:r w:rsidRPr="0097645D">
        <w:rPr>
          <w:lang w:val="en-US"/>
        </w:rPr>
        <w:t xml:space="preserve"> </w:t>
      </w:r>
      <w:proofErr w:type="spellStart"/>
      <w:r w:rsidRPr="0097645D">
        <w:rPr>
          <w:lang w:val="en-US"/>
        </w:rPr>
        <w:t>anayasal</w:t>
      </w:r>
      <w:proofErr w:type="spellEnd"/>
      <w:r w:rsidRPr="0097645D">
        <w:rPr>
          <w:lang w:val="en-US"/>
        </w:rPr>
        <w:t xml:space="preserve"> </w:t>
      </w:r>
      <w:proofErr w:type="spellStart"/>
      <w:r w:rsidRPr="0097645D">
        <w:rPr>
          <w:lang w:val="en-US"/>
        </w:rPr>
        <w:t>karar</w:t>
      </w:r>
      <w:proofErr w:type="spellEnd"/>
      <w:r w:rsidRPr="0097645D">
        <w:rPr>
          <w:lang w:val="en-US"/>
        </w:rPr>
        <w:t xml:space="preserve"> alma </w:t>
      </w:r>
      <w:proofErr w:type="spellStart"/>
      <w:r w:rsidRPr="0097645D">
        <w:rPr>
          <w:lang w:val="en-US"/>
        </w:rPr>
        <w:t>süreci</w:t>
      </w:r>
      <w:proofErr w:type="spellEnd"/>
      <w:r w:rsidRPr="0097645D">
        <w:rPr>
          <w:lang w:val="en-US"/>
        </w:rPr>
        <w:t xml:space="preserve"> </w:t>
      </w:r>
      <w:proofErr w:type="spellStart"/>
      <w:r w:rsidRPr="0097645D">
        <w:rPr>
          <w:lang w:val="en-US"/>
        </w:rPr>
        <w:t>hakkında</w:t>
      </w:r>
      <w:proofErr w:type="spellEnd"/>
      <w:r w:rsidRPr="0097645D">
        <w:rPr>
          <w:lang w:val="en-US"/>
        </w:rPr>
        <w:t xml:space="preserve"> </w:t>
      </w:r>
      <w:proofErr w:type="spellStart"/>
      <w:r w:rsidRPr="0097645D">
        <w:rPr>
          <w:lang w:val="en-US"/>
        </w:rPr>
        <w:t>önemli</w:t>
      </w:r>
      <w:proofErr w:type="spellEnd"/>
      <w:r w:rsidRPr="0097645D">
        <w:rPr>
          <w:lang w:val="en-US"/>
        </w:rPr>
        <w:t xml:space="preserve"> </w:t>
      </w:r>
      <w:proofErr w:type="spellStart"/>
      <w:r w:rsidRPr="0097645D">
        <w:rPr>
          <w:lang w:val="en-US"/>
        </w:rPr>
        <w:t>çıkarımlar</w:t>
      </w:r>
      <w:proofErr w:type="spellEnd"/>
      <w:r w:rsidRPr="0097645D">
        <w:rPr>
          <w:lang w:val="en-US"/>
        </w:rPr>
        <w:t xml:space="preserve"> </w:t>
      </w:r>
      <w:proofErr w:type="spellStart"/>
      <w:r w:rsidRPr="0097645D">
        <w:rPr>
          <w:lang w:val="en-US"/>
        </w:rPr>
        <w:t>sunmaktadır</w:t>
      </w:r>
      <w:proofErr w:type="spellEnd"/>
      <w:r w:rsidRPr="0097645D">
        <w:rPr>
          <w:lang w:val="en-US"/>
        </w:rPr>
        <w:t xml:space="preserve">. </w:t>
      </w:r>
      <w:proofErr w:type="spellStart"/>
      <w:r w:rsidRPr="0097645D">
        <w:rPr>
          <w:lang w:val="en-US"/>
        </w:rPr>
        <w:t>Yargıçlar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hukuk</w:t>
      </w:r>
      <w:proofErr w:type="spellEnd"/>
      <w:r w:rsidRPr="0097645D">
        <w:rPr>
          <w:lang w:val="en-US"/>
        </w:rPr>
        <w:t xml:space="preserve"> </w:t>
      </w:r>
      <w:proofErr w:type="spellStart"/>
      <w:r w:rsidRPr="0097645D">
        <w:rPr>
          <w:lang w:val="en-US"/>
        </w:rPr>
        <w:t>katipleri</w:t>
      </w:r>
      <w:proofErr w:type="spellEnd"/>
      <w:r w:rsidRPr="0097645D">
        <w:rPr>
          <w:lang w:val="en-US"/>
        </w:rPr>
        <w:t xml:space="preserve">, zaman </w:t>
      </w:r>
      <w:proofErr w:type="spellStart"/>
      <w:r w:rsidRPr="0097645D">
        <w:rPr>
          <w:lang w:val="en-US"/>
        </w:rPr>
        <w:t>baskısı</w:t>
      </w:r>
      <w:proofErr w:type="spellEnd"/>
      <w:r w:rsidRPr="0097645D">
        <w:rPr>
          <w:lang w:val="en-US"/>
        </w:rPr>
        <w:t xml:space="preserve"> </w:t>
      </w:r>
      <w:proofErr w:type="spellStart"/>
      <w:r w:rsidRPr="0097645D">
        <w:rPr>
          <w:lang w:val="en-US"/>
        </w:rPr>
        <w:t>altındadır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davalarına</w:t>
      </w:r>
      <w:proofErr w:type="spellEnd"/>
      <w:r w:rsidRPr="0097645D">
        <w:rPr>
          <w:lang w:val="en-US"/>
        </w:rPr>
        <w:t xml:space="preserve"> </w:t>
      </w:r>
      <w:proofErr w:type="spellStart"/>
      <w:r w:rsidRPr="0097645D">
        <w:rPr>
          <w:lang w:val="en-US"/>
        </w:rPr>
        <w:t>ilişkin</w:t>
      </w:r>
      <w:proofErr w:type="spellEnd"/>
      <w:r w:rsidRPr="0097645D">
        <w:rPr>
          <w:lang w:val="en-US"/>
        </w:rPr>
        <w:t xml:space="preserve"> </w:t>
      </w:r>
      <w:proofErr w:type="spellStart"/>
      <w:r w:rsidRPr="0097645D">
        <w:rPr>
          <w:lang w:val="en-US"/>
        </w:rPr>
        <w:t>temel</w:t>
      </w:r>
      <w:proofErr w:type="spellEnd"/>
      <w:r w:rsidRPr="0097645D">
        <w:rPr>
          <w:lang w:val="en-US"/>
        </w:rPr>
        <w:t xml:space="preserve"> </w:t>
      </w:r>
      <w:proofErr w:type="spellStart"/>
      <w:r w:rsidRPr="0097645D">
        <w:rPr>
          <w:lang w:val="en-US"/>
        </w:rPr>
        <w:t>olguları</w:t>
      </w:r>
      <w:proofErr w:type="spellEnd"/>
      <w:r w:rsidRPr="0097645D">
        <w:rPr>
          <w:lang w:val="en-US"/>
        </w:rPr>
        <w:t xml:space="preserve"> </w:t>
      </w:r>
      <w:proofErr w:type="spellStart"/>
      <w:r w:rsidRPr="0097645D">
        <w:rPr>
          <w:lang w:val="en-US"/>
        </w:rPr>
        <w:t>doğru</w:t>
      </w:r>
      <w:proofErr w:type="spellEnd"/>
      <w:r w:rsidRPr="0097645D">
        <w:rPr>
          <w:lang w:val="en-US"/>
        </w:rPr>
        <w:t xml:space="preserve"> </w:t>
      </w:r>
      <w:proofErr w:type="spellStart"/>
      <w:r w:rsidRPr="0097645D">
        <w:rPr>
          <w:lang w:val="en-US"/>
        </w:rPr>
        <w:t>belirleme</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uygulanabilir</w:t>
      </w:r>
      <w:proofErr w:type="spellEnd"/>
      <w:r w:rsidRPr="0097645D">
        <w:rPr>
          <w:lang w:val="en-US"/>
        </w:rPr>
        <w:t xml:space="preserve">, </w:t>
      </w:r>
      <w:proofErr w:type="spellStart"/>
      <w:r w:rsidRPr="0097645D">
        <w:rPr>
          <w:lang w:val="en-US"/>
        </w:rPr>
        <w:t>aynı</w:t>
      </w:r>
      <w:proofErr w:type="spellEnd"/>
      <w:r w:rsidRPr="0097645D">
        <w:rPr>
          <w:lang w:val="en-US"/>
        </w:rPr>
        <w:t xml:space="preserve"> </w:t>
      </w:r>
      <w:proofErr w:type="spellStart"/>
      <w:r w:rsidRPr="0097645D">
        <w:rPr>
          <w:lang w:val="en-US"/>
        </w:rPr>
        <w:t>zamanda</w:t>
      </w:r>
      <w:proofErr w:type="spellEnd"/>
      <w:r w:rsidRPr="0097645D">
        <w:rPr>
          <w:lang w:val="en-US"/>
        </w:rPr>
        <w:t xml:space="preserve"> </w:t>
      </w:r>
      <w:proofErr w:type="spellStart"/>
      <w:r w:rsidRPr="0097645D">
        <w:rPr>
          <w:lang w:val="en-US"/>
        </w:rPr>
        <w:t>aşırı</w:t>
      </w:r>
      <w:proofErr w:type="spellEnd"/>
      <w:r w:rsidRPr="0097645D">
        <w:rPr>
          <w:lang w:val="en-US"/>
        </w:rPr>
        <w:t xml:space="preserve"> </w:t>
      </w:r>
      <w:proofErr w:type="spellStart"/>
      <w:r w:rsidRPr="0097645D">
        <w:rPr>
          <w:lang w:val="en-US"/>
        </w:rPr>
        <w:t>derecede</w:t>
      </w:r>
      <w:proofErr w:type="spellEnd"/>
      <w:r w:rsidRPr="0097645D">
        <w:rPr>
          <w:lang w:val="en-US"/>
        </w:rPr>
        <w:t xml:space="preserve"> </w:t>
      </w:r>
      <w:proofErr w:type="spellStart"/>
      <w:r w:rsidRPr="0097645D">
        <w:rPr>
          <w:lang w:val="en-US"/>
        </w:rPr>
        <w:t>popüler</w:t>
      </w:r>
      <w:proofErr w:type="spellEnd"/>
      <w:r w:rsidRPr="0097645D">
        <w:rPr>
          <w:lang w:val="en-US"/>
        </w:rPr>
        <w:t xml:space="preserve"> </w:t>
      </w:r>
      <w:proofErr w:type="spellStart"/>
      <w:r w:rsidRPr="0097645D">
        <w:rPr>
          <w:lang w:val="en-US"/>
        </w:rPr>
        <w:t>olmayan</w:t>
      </w:r>
      <w:proofErr w:type="spellEnd"/>
      <w:r w:rsidRPr="0097645D">
        <w:rPr>
          <w:lang w:val="en-US"/>
        </w:rPr>
        <w:t xml:space="preserve"> </w:t>
      </w:r>
      <w:proofErr w:type="spellStart"/>
      <w:r w:rsidRPr="0097645D">
        <w:rPr>
          <w:lang w:val="en-US"/>
        </w:rPr>
        <w:t>çözümler</w:t>
      </w:r>
      <w:proofErr w:type="spellEnd"/>
      <w:r w:rsidRPr="0097645D">
        <w:rPr>
          <w:lang w:val="en-US"/>
        </w:rPr>
        <w:t xml:space="preserve"> </w:t>
      </w:r>
      <w:proofErr w:type="spellStart"/>
      <w:r w:rsidRPr="0097645D">
        <w:rPr>
          <w:lang w:val="en-US"/>
        </w:rPr>
        <w:t>tasarlama</w:t>
      </w:r>
      <w:proofErr w:type="spellEnd"/>
      <w:r w:rsidRPr="0097645D">
        <w:rPr>
          <w:lang w:val="en-US"/>
        </w:rPr>
        <w:t xml:space="preserve"> </w:t>
      </w:r>
      <w:proofErr w:type="spellStart"/>
      <w:r w:rsidRPr="0097645D">
        <w:rPr>
          <w:lang w:val="en-US"/>
        </w:rPr>
        <w:t>konusunda</w:t>
      </w:r>
      <w:proofErr w:type="spellEnd"/>
      <w:r w:rsidRPr="0097645D">
        <w:rPr>
          <w:lang w:val="en-US"/>
        </w:rPr>
        <w:t xml:space="preserve"> </w:t>
      </w:r>
      <w:proofErr w:type="spellStart"/>
      <w:r w:rsidRPr="0097645D">
        <w:rPr>
          <w:lang w:val="en-US"/>
        </w:rPr>
        <w:t>gerçek</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hassasiyet</w:t>
      </w:r>
      <w:proofErr w:type="spellEnd"/>
      <w:r w:rsidRPr="0097645D">
        <w:rPr>
          <w:lang w:val="en-US"/>
        </w:rPr>
        <w:t xml:space="preserve"> </w:t>
      </w:r>
      <w:proofErr w:type="spellStart"/>
      <w:r w:rsidRPr="0097645D">
        <w:rPr>
          <w:lang w:val="en-US"/>
        </w:rPr>
        <w:t>taşımaktadır</w:t>
      </w:r>
      <w:proofErr w:type="spellEnd"/>
      <w:r w:rsidRPr="0097645D">
        <w:rPr>
          <w:lang w:val="en-US"/>
        </w:rPr>
        <w:t xml:space="preserve">. Bu </w:t>
      </w:r>
      <w:proofErr w:type="spellStart"/>
      <w:r w:rsidRPr="0097645D">
        <w:rPr>
          <w:lang w:val="en-US"/>
        </w:rPr>
        <w:t>süreçte</w:t>
      </w:r>
      <w:proofErr w:type="spellEnd"/>
      <w:r w:rsidRPr="0097645D">
        <w:rPr>
          <w:lang w:val="en-US"/>
        </w:rPr>
        <w:t xml:space="preserve">, </w:t>
      </w:r>
      <w:proofErr w:type="spellStart"/>
      <w:r w:rsidRPr="0097645D">
        <w:rPr>
          <w:lang w:val="en-US"/>
        </w:rPr>
        <w:t>önceden</w:t>
      </w:r>
      <w:proofErr w:type="spellEnd"/>
      <w:r w:rsidRPr="0097645D">
        <w:rPr>
          <w:lang w:val="en-US"/>
        </w:rPr>
        <w:t xml:space="preserve"> </w:t>
      </w:r>
      <w:proofErr w:type="spellStart"/>
      <w:r w:rsidRPr="0097645D">
        <w:rPr>
          <w:lang w:val="en-US"/>
        </w:rPr>
        <w:t>hazırlanmış</w:t>
      </w:r>
      <w:proofErr w:type="spellEnd"/>
      <w:r w:rsidRPr="0097645D">
        <w:rPr>
          <w:lang w:val="en-US"/>
        </w:rPr>
        <w:t xml:space="preserve"> </w:t>
      </w:r>
      <w:proofErr w:type="spellStart"/>
      <w:r w:rsidRPr="0097645D">
        <w:rPr>
          <w:lang w:val="en-US"/>
        </w:rPr>
        <w:t>anlatılar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argümanlar</w:t>
      </w:r>
      <w:proofErr w:type="spellEnd"/>
      <w:r w:rsidRPr="0097645D">
        <w:rPr>
          <w:lang w:val="en-US"/>
        </w:rPr>
        <w:t xml:space="preserve">, </w:t>
      </w:r>
      <w:proofErr w:type="spellStart"/>
      <w:r w:rsidRPr="0097645D">
        <w:rPr>
          <w:lang w:val="en-US"/>
        </w:rPr>
        <w:t>sosyal</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politik</w:t>
      </w:r>
      <w:proofErr w:type="spellEnd"/>
      <w:r w:rsidRPr="0097645D">
        <w:rPr>
          <w:lang w:val="en-US"/>
        </w:rPr>
        <w:t xml:space="preserve"> </w:t>
      </w:r>
      <w:proofErr w:type="spellStart"/>
      <w:r w:rsidRPr="0097645D">
        <w:rPr>
          <w:lang w:val="en-US"/>
        </w:rPr>
        <w:t>önemleri</w:t>
      </w:r>
      <w:proofErr w:type="spellEnd"/>
      <w:r w:rsidRPr="0097645D">
        <w:rPr>
          <w:lang w:val="en-US"/>
        </w:rPr>
        <w:t xml:space="preserve"> </w:t>
      </w:r>
      <w:proofErr w:type="spellStart"/>
      <w:r w:rsidRPr="0097645D">
        <w:rPr>
          <w:lang w:val="en-US"/>
        </w:rPr>
        <w:t>açıkça</w:t>
      </w:r>
      <w:proofErr w:type="spellEnd"/>
      <w:r w:rsidRPr="0097645D">
        <w:rPr>
          <w:lang w:val="en-US"/>
        </w:rPr>
        <w:t xml:space="preserve"> </w:t>
      </w:r>
      <w:proofErr w:type="spellStart"/>
      <w:r w:rsidRPr="0097645D">
        <w:rPr>
          <w:lang w:val="en-US"/>
        </w:rPr>
        <w:t>belirtilmiş</w:t>
      </w:r>
      <w:proofErr w:type="spellEnd"/>
      <w:r w:rsidRPr="0097645D">
        <w:rPr>
          <w:lang w:val="en-US"/>
        </w:rPr>
        <w:t xml:space="preserve"> </w:t>
      </w:r>
      <w:proofErr w:type="spellStart"/>
      <w:r w:rsidRPr="0097645D">
        <w:rPr>
          <w:lang w:val="en-US"/>
        </w:rPr>
        <w:t>şekilde</w:t>
      </w:r>
      <w:proofErr w:type="spellEnd"/>
      <w:r w:rsidRPr="0097645D">
        <w:rPr>
          <w:lang w:val="en-US"/>
        </w:rPr>
        <w:t xml:space="preserve"> </w:t>
      </w:r>
      <w:proofErr w:type="spellStart"/>
      <w:r w:rsidRPr="0097645D">
        <w:rPr>
          <w:lang w:val="en-US"/>
        </w:rPr>
        <w:t>masalarında</w:t>
      </w:r>
      <w:proofErr w:type="spellEnd"/>
      <w:r w:rsidRPr="0097645D">
        <w:rPr>
          <w:lang w:val="en-US"/>
        </w:rPr>
        <w:t xml:space="preserve"> </w:t>
      </w:r>
      <w:proofErr w:type="spellStart"/>
      <w:r w:rsidRPr="0097645D">
        <w:rPr>
          <w:lang w:val="en-US"/>
        </w:rPr>
        <w:t>hazır</w:t>
      </w:r>
      <w:proofErr w:type="spellEnd"/>
      <w:r w:rsidRPr="0097645D">
        <w:rPr>
          <w:lang w:val="en-US"/>
        </w:rPr>
        <w:t xml:space="preserve"> </w:t>
      </w:r>
      <w:proofErr w:type="spellStart"/>
      <w:r w:rsidRPr="0097645D">
        <w:rPr>
          <w:lang w:val="en-US"/>
        </w:rPr>
        <w:t>bulunmaktadır</w:t>
      </w:r>
      <w:proofErr w:type="spellEnd"/>
      <w:r w:rsidRPr="0097645D">
        <w:rPr>
          <w:lang w:val="en-US"/>
        </w:rPr>
        <w:t xml:space="preserve">. Bu amicus curiae </w:t>
      </w:r>
      <w:proofErr w:type="spellStart"/>
      <w:r w:rsidRPr="0097645D">
        <w:rPr>
          <w:lang w:val="en-US"/>
        </w:rPr>
        <w:t>dilekçeleri</w:t>
      </w:r>
      <w:proofErr w:type="spellEnd"/>
      <w:r w:rsidRPr="0097645D">
        <w:rPr>
          <w:lang w:val="en-US"/>
        </w:rPr>
        <w:t xml:space="preserve">, </w:t>
      </w:r>
      <w:proofErr w:type="spellStart"/>
      <w:r w:rsidRPr="0097645D">
        <w:rPr>
          <w:lang w:val="en-US"/>
        </w:rPr>
        <w:t>Mahkeme'yi</w:t>
      </w:r>
      <w:proofErr w:type="spellEnd"/>
      <w:r w:rsidRPr="0097645D">
        <w:rPr>
          <w:lang w:val="en-US"/>
        </w:rPr>
        <w:t xml:space="preserve"> </w:t>
      </w:r>
      <w:proofErr w:type="spellStart"/>
      <w:r w:rsidRPr="0097645D">
        <w:rPr>
          <w:lang w:val="en-US"/>
        </w:rPr>
        <w:t>etkileme</w:t>
      </w:r>
      <w:proofErr w:type="spellEnd"/>
      <w:r w:rsidRPr="0097645D">
        <w:rPr>
          <w:lang w:val="en-US"/>
        </w:rPr>
        <w:t xml:space="preserve"> </w:t>
      </w:r>
      <w:proofErr w:type="spellStart"/>
      <w:r w:rsidRPr="0097645D">
        <w:rPr>
          <w:lang w:val="en-US"/>
        </w:rPr>
        <w:t>potansiyeline</w:t>
      </w:r>
      <w:proofErr w:type="spellEnd"/>
      <w:r w:rsidRPr="0097645D">
        <w:rPr>
          <w:lang w:val="en-US"/>
        </w:rPr>
        <w:t xml:space="preserve"> </w:t>
      </w:r>
      <w:proofErr w:type="spellStart"/>
      <w:r w:rsidRPr="0097645D">
        <w:rPr>
          <w:lang w:val="en-US"/>
        </w:rPr>
        <w:t>sahiptir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Mahkeme’nin</w:t>
      </w:r>
      <w:proofErr w:type="spellEnd"/>
      <w:r w:rsidRPr="0097645D">
        <w:rPr>
          <w:lang w:val="en-US"/>
        </w:rPr>
        <w:t xml:space="preserve"> </w:t>
      </w:r>
      <w:proofErr w:type="spellStart"/>
      <w:r w:rsidRPr="0097645D">
        <w:rPr>
          <w:lang w:val="en-US"/>
        </w:rPr>
        <w:t>görüşlerinde</w:t>
      </w:r>
      <w:proofErr w:type="spellEnd"/>
      <w:r w:rsidRPr="0097645D">
        <w:rPr>
          <w:lang w:val="en-US"/>
        </w:rPr>
        <w:t xml:space="preserve"> </w:t>
      </w:r>
      <w:proofErr w:type="spellStart"/>
      <w:r w:rsidRPr="0097645D">
        <w:rPr>
          <w:lang w:val="en-US"/>
        </w:rPr>
        <w:t>doğrudan</w:t>
      </w:r>
      <w:proofErr w:type="spellEnd"/>
      <w:r w:rsidRPr="0097645D">
        <w:rPr>
          <w:lang w:val="en-US"/>
        </w:rPr>
        <w:t xml:space="preserve"> (</w:t>
      </w:r>
      <w:proofErr w:type="spellStart"/>
      <w:r w:rsidRPr="0097645D">
        <w:rPr>
          <w:lang w:val="en-US"/>
        </w:rPr>
        <w:t>alıntılama</w:t>
      </w:r>
      <w:proofErr w:type="spellEnd"/>
      <w:r w:rsidRPr="0097645D">
        <w:rPr>
          <w:lang w:val="en-US"/>
        </w:rPr>
        <w:t xml:space="preserve"> </w:t>
      </w:r>
      <w:proofErr w:type="spellStart"/>
      <w:r w:rsidRPr="0097645D">
        <w:rPr>
          <w:lang w:val="en-US"/>
        </w:rPr>
        <w:t>veya</w:t>
      </w:r>
      <w:proofErr w:type="spellEnd"/>
      <w:r w:rsidRPr="0097645D">
        <w:rPr>
          <w:lang w:val="en-US"/>
        </w:rPr>
        <w:t xml:space="preserve"> </w:t>
      </w:r>
      <w:proofErr w:type="spellStart"/>
      <w:r w:rsidRPr="0097645D">
        <w:rPr>
          <w:lang w:val="en-US"/>
        </w:rPr>
        <w:t>parafraz</w:t>
      </w:r>
      <w:proofErr w:type="spellEnd"/>
      <w:r w:rsidRPr="0097645D">
        <w:rPr>
          <w:lang w:val="en-US"/>
        </w:rPr>
        <w:t xml:space="preserve"> </w:t>
      </w:r>
      <w:proofErr w:type="spellStart"/>
      <w:r w:rsidRPr="0097645D">
        <w:rPr>
          <w:lang w:val="en-US"/>
        </w:rPr>
        <w:t>yoluyla</w:t>
      </w:r>
      <w:proofErr w:type="spellEnd"/>
      <w:r w:rsidRPr="0097645D">
        <w:rPr>
          <w:lang w:val="en-US"/>
        </w:rPr>
        <w:t xml:space="preserve">) </w:t>
      </w:r>
      <w:proofErr w:type="spellStart"/>
      <w:r w:rsidRPr="0097645D">
        <w:rPr>
          <w:lang w:val="en-US"/>
        </w:rPr>
        <w:t>ya</w:t>
      </w:r>
      <w:proofErr w:type="spellEnd"/>
      <w:r w:rsidRPr="0097645D">
        <w:rPr>
          <w:lang w:val="en-US"/>
        </w:rPr>
        <w:t xml:space="preserve"> da </w:t>
      </w:r>
      <w:proofErr w:type="spellStart"/>
      <w:r w:rsidRPr="0097645D">
        <w:rPr>
          <w:lang w:val="en-US"/>
        </w:rPr>
        <w:t>dolaylı</w:t>
      </w:r>
      <w:proofErr w:type="spellEnd"/>
      <w:r w:rsidRPr="0097645D">
        <w:rPr>
          <w:lang w:val="en-US"/>
        </w:rPr>
        <w:t xml:space="preserve"> </w:t>
      </w:r>
      <w:proofErr w:type="spellStart"/>
      <w:r w:rsidRPr="0097645D">
        <w:rPr>
          <w:lang w:val="en-US"/>
        </w:rPr>
        <w:t>olarak</w:t>
      </w:r>
      <w:proofErr w:type="spellEnd"/>
      <w:r w:rsidRPr="0097645D">
        <w:rPr>
          <w:lang w:val="en-US"/>
        </w:rPr>
        <w:t xml:space="preserve"> (</w:t>
      </w:r>
      <w:proofErr w:type="spellStart"/>
      <w:r w:rsidRPr="0097645D">
        <w:rPr>
          <w:lang w:val="en-US"/>
        </w:rPr>
        <w:t>bu</w:t>
      </w:r>
      <w:proofErr w:type="spellEnd"/>
      <w:r w:rsidRPr="0097645D">
        <w:rPr>
          <w:lang w:val="en-US"/>
        </w:rPr>
        <w:t xml:space="preserve"> </w:t>
      </w:r>
      <w:proofErr w:type="spellStart"/>
      <w:r w:rsidRPr="0097645D">
        <w:rPr>
          <w:lang w:val="en-US"/>
        </w:rPr>
        <w:t>dilekçeleri</w:t>
      </w:r>
      <w:proofErr w:type="spellEnd"/>
      <w:r w:rsidRPr="0097645D">
        <w:rPr>
          <w:lang w:val="en-US"/>
        </w:rPr>
        <w:t xml:space="preserve"> </w:t>
      </w:r>
      <w:proofErr w:type="spellStart"/>
      <w:r w:rsidRPr="0097645D">
        <w:rPr>
          <w:lang w:val="en-US"/>
        </w:rPr>
        <w:t>inceleyenlerin</w:t>
      </w:r>
      <w:proofErr w:type="spellEnd"/>
      <w:r w:rsidRPr="0097645D">
        <w:rPr>
          <w:lang w:val="en-US"/>
        </w:rPr>
        <w:t xml:space="preserve"> </w:t>
      </w:r>
      <w:proofErr w:type="spellStart"/>
      <w:r w:rsidRPr="0097645D">
        <w:rPr>
          <w:lang w:val="en-US"/>
        </w:rPr>
        <w:t>düşünce</w:t>
      </w:r>
      <w:proofErr w:type="spellEnd"/>
      <w:r w:rsidRPr="0097645D">
        <w:rPr>
          <w:lang w:val="en-US"/>
        </w:rPr>
        <w:t xml:space="preserve"> </w:t>
      </w:r>
      <w:proofErr w:type="spellStart"/>
      <w:r w:rsidRPr="0097645D">
        <w:rPr>
          <w:lang w:val="en-US"/>
        </w:rPr>
        <w:t>süreçlerini</w:t>
      </w:r>
      <w:proofErr w:type="spellEnd"/>
      <w:r w:rsidRPr="0097645D">
        <w:rPr>
          <w:lang w:val="en-US"/>
        </w:rPr>
        <w:t xml:space="preserve"> </w:t>
      </w:r>
      <w:proofErr w:type="spellStart"/>
      <w:r w:rsidRPr="0097645D">
        <w:rPr>
          <w:lang w:val="en-US"/>
        </w:rPr>
        <w:t>etkilemek</w:t>
      </w:r>
      <w:proofErr w:type="spellEnd"/>
      <w:r w:rsidRPr="0097645D">
        <w:rPr>
          <w:lang w:val="en-US"/>
        </w:rPr>
        <w:t xml:space="preserve"> </w:t>
      </w:r>
      <w:proofErr w:type="spellStart"/>
      <w:r w:rsidRPr="0097645D">
        <w:rPr>
          <w:lang w:val="en-US"/>
        </w:rPr>
        <w:t>suretiyle</w:t>
      </w:r>
      <w:proofErr w:type="spellEnd"/>
      <w:r w:rsidRPr="0097645D">
        <w:rPr>
          <w:lang w:val="en-US"/>
        </w:rPr>
        <w:t xml:space="preserve">) </w:t>
      </w:r>
      <w:proofErr w:type="spellStart"/>
      <w:r w:rsidRPr="0097645D">
        <w:rPr>
          <w:lang w:val="en-US"/>
        </w:rPr>
        <w:t>kendine</w:t>
      </w:r>
      <w:proofErr w:type="spellEnd"/>
      <w:r w:rsidRPr="0097645D">
        <w:rPr>
          <w:lang w:val="en-US"/>
        </w:rPr>
        <w:t xml:space="preserve"> </w:t>
      </w:r>
      <w:proofErr w:type="spellStart"/>
      <w:r w:rsidRPr="0097645D">
        <w:rPr>
          <w:lang w:val="en-US"/>
        </w:rPr>
        <w:t>yer</w:t>
      </w:r>
      <w:proofErr w:type="spellEnd"/>
      <w:r w:rsidRPr="0097645D">
        <w:rPr>
          <w:lang w:val="en-US"/>
        </w:rPr>
        <w:t xml:space="preserve"> </w:t>
      </w:r>
      <w:proofErr w:type="spellStart"/>
      <w:r w:rsidRPr="0097645D">
        <w:rPr>
          <w:lang w:val="en-US"/>
        </w:rPr>
        <w:t>bulmaktadır</w:t>
      </w:r>
      <w:proofErr w:type="spellEnd"/>
      <w:r w:rsidRPr="0097645D">
        <w:rPr>
          <w:lang w:val="en-US"/>
        </w:rPr>
        <w:t>.</w:t>
      </w:r>
      <w:r w:rsidRPr="0097645D">
        <w:rPr>
          <w:lang w:val="en-US"/>
        </w:rPr>
        <w:t xml:space="preserve"> </w:t>
      </w:r>
      <w:proofErr w:type="spellStart"/>
      <w:r w:rsidRPr="0097645D">
        <w:rPr>
          <w:lang w:val="en-US"/>
        </w:rPr>
        <w:t>Hukuk</w:t>
      </w:r>
      <w:proofErr w:type="spellEnd"/>
      <w:r w:rsidRPr="0097645D">
        <w:rPr>
          <w:lang w:val="en-US"/>
        </w:rPr>
        <w:t xml:space="preserve"> </w:t>
      </w:r>
      <w:proofErr w:type="spellStart"/>
      <w:r w:rsidRPr="0097645D">
        <w:rPr>
          <w:lang w:val="en-US"/>
        </w:rPr>
        <w:t>katipleri</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Yargıçlar</w:t>
      </w:r>
      <w:proofErr w:type="spellEnd"/>
      <w:r w:rsidRPr="0097645D">
        <w:rPr>
          <w:lang w:val="en-US"/>
        </w:rPr>
        <w:t xml:space="preserve">, </w:t>
      </w:r>
      <w:proofErr w:type="spellStart"/>
      <w:r w:rsidRPr="0097645D">
        <w:rPr>
          <w:lang w:val="en-US"/>
        </w:rPr>
        <w:t>davalarında</w:t>
      </w:r>
      <w:proofErr w:type="spellEnd"/>
      <w:r w:rsidRPr="0097645D">
        <w:rPr>
          <w:lang w:val="en-US"/>
        </w:rPr>
        <w:t xml:space="preserve"> </w:t>
      </w:r>
      <w:proofErr w:type="spellStart"/>
      <w:r w:rsidRPr="0097645D">
        <w:rPr>
          <w:lang w:val="en-US"/>
        </w:rPr>
        <w:t>sonucu</w:t>
      </w:r>
      <w:proofErr w:type="spellEnd"/>
      <w:r w:rsidRPr="0097645D">
        <w:rPr>
          <w:lang w:val="en-US"/>
        </w:rPr>
        <w:t xml:space="preserve"> </w:t>
      </w:r>
      <w:proofErr w:type="spellStart"/>
      <w:r w:rsidRPr="0097645D">
        <w:rPr>
          <w:lang w:val="en-US"/>
        </w:rPr>
        <w:t>belirleyip</w:t>
      </w:r>
      <w:proofErr w:type="spellEnd"/>
      <w:r w:rsidRPr="0097645D">
        <w:rPr>
          <w:lang w:val="en-US"/>
        </w:rPr>
        <w:t xml:space="preserve"> </w:t>
      </w:r>
      <w:proofErr w:type="spellStart"/>
      <w:r w:rsidRPr="0097645D">
        <w:rPr>
          <w:lang w:val="en-US"/>
        </w:rPr>
        <w:t>temel</w:t>
      </w:r>
      <w:proofErr w:type="spellEnd"/>
      <w:r w:rsidRPr="0097645D">
        <w:rPr>
          <w:lang w:val="en-US"/>
        </w:rPr>
        <w:t xml:space="preserve"> </w:t>
      </w:r>
      <w:proofErr w:type="spellStart"/>
      <w:r w:rsidRPr="0097645D">
        <w:rPr>
          <w:lang w:val="en-US"/>
        </w:rPr>
        <w:t>doktrinsel</w:t>
      </w:r>
      <w:proofErr w:type="spellEnd"/>
      <w:r w:rsidRPr="0097645D">
        <w:rPr>
          <w:lang w:val="en-US"/>
        </w:rPr>
        <w:t xml:space="preserve"> </w:t>
      </w:r>
      <w:proofErr w:type="spellStart"/>
      <w:r w:rsidRPr="0097645D">
        <w:rPr>
          <w:lang w:val="en-US"/>
        </w:rPr>
        <w:t>meseleleri</w:t>
      </w:r>
      <w:proofErr w:type="spellEnd"/>
      <w:r w:rsidRPr="0097645D">
        <w:rPr>
          <w:lang w:val="en-US"/>
        </w:rPr>
        <w:t xml:space="preserve"> amicus curiae </w:t>
      </w:r>
      <w:proofErr w:type="spellStart"/>
      <w:r w:rsidRPr="0097645D">
        <w:rPr>
          <w:lang w:val="en-US"/>
        </w:rPr>
        <w:t>dilekçelerine</w:t>
      </w:r>
      <w:proofErr w:type="spellEnd"/>
      <w:r w:rsidRPr="0097645D">
        <w:rPr>
          <w:lang w:val="en-US"/>
        </w:rPr>
        <w:t xml:space="preserve"> </w:t>
      </w:r>
      <w:proofErr w:type="spellStart"/>
      <w:r w:rsidRPr="0097645D">
        <w:rPr>
          <w:lang w:val="en-US"/>
        </w:rPr>
        <w:t>başvurmadan</w:t>
      </w:r>
      <w:proofErr w:type="spellEnd"/>
      <w:r w:rsidRPr="0097645D">
        <w:rPr>
          <w:lang w:val="en-US"/>
        </w:rPr>
        <w:t xml:space="preserve"> </w:t>
      </w:r>
      <w:proofErr w:type="spellStart"/>
      <w:r w:rsidRPr="0097645D">
        <w:rPr>
          <w:lang w:val="en-US"/>
        </w:rPr>
        <w:t>çözüme</w:t>
      </w:r>
      <w:proofErr w:type="spellEnd"/>
      <w:r w:rsidRPr="0097645D">
        <w:rPr>
          <w:lang w:val="en-US"/>
        </w:rPr>
        <w:t xml:space="preserve"> </w:t>
      </w:r>
      <w:proofErr w:type="spellStart"/>
      <w:r w:rsidRPr="0097645D">
        <w:rPr>
          <w:lang w:val="en-US"/>
        </w:rPr>
        <w:t>kavuşturmuş</w:t>
      </w:r>
      <w:proofErr w:type="spellEnd"/>
      <w:r w:rsidRPr="0097645D">
        <w:rPr>
          <w:lang w:val="en-US"/>
        </w:rPr>
        <w:t xml:space="preserve"> </w:t>
      </w:r>
      <w:proofErr w:type="spellStart"/>
      <w:r w:rsidRPr="0097645D">
        <w:rPr>
          <w:lang w:val="en-US"/>
        </w:rPr>
        <w:t>olsalar</w:t>
      </w:r>
      <w:proofErr w:type="spellEnd"/>
      <w:r w:rsidRPr="0097645D">
        <w:rPr>
          <w:lang w:val="en-US"/>
        </w:rPr>
        <w:t xml:space="preserve"> bile, </w:t>
      </w:r>
      <w:proofErr w:type="spellStart"/>
      <w:r w:rsidRPr="0097645D">
        <w:rPr>
          <w:lang w:val="en-US"/>
        </w:rPr>
        <w:t>önlerinde</w:t>
      </w:r>
      <w:proofErr w:type="spellEnd"/>
      <w:r w:rsidRPr="0097645D">
        <w:rPr>
          <w:lang w:val="en-US"/>
        </w:rPr>
        <w:t xml:space="preserve"> </w:t>
      </w:r>
      <w:proofErr w:type="spellStart"/>
      <w:r w:rsidRPr="0097645D">
        <w:rPr>
          <w:lang w:val="en-US"/>
        </w:rPr>
        <w:t>çeşitli</w:t>
      </w:r>
      <w:proofErr w:type="spellEnd"/>
      <w:r w:rsidRPr="0097645D">
        <w:rPr>
          <w:lang w:val="en-US"/>
        </w:rPr>
        <w:t xml:space="preserve"> </w:t>
      </w:r>
      <w:proofErr w:type="spellStart"/>
      <w:r w:rsidRPr="0097645D">
        <w:rPr>
          <w:lang w:val="en-US"/>
        </w:rPr>
        <w:t>gruplar</w:t>
      </w:r>
      <w:proofErr w:type="spellEnd"/>
      <w:r w:rsidRPr="0097645D">
        <w:rPr>
          <w:lang w:val="en-US"/>
        </w:rPr>
        <w:t xml:space="preserve"> </w:t>
      </w:r>
      <w:proofErr w:type="spellStart"/>
      <w:r w:rsidRPr="0097645D">
        <w:rPr>
          <w:lang w:val="en-US"/>
        </w:rPr>
        <w:t>tarafından</w:t>
      </w:r>
      <w:proofErr w:type="spellEnd"/>
      <w:r w:rsidRPr="0097645D">
        <w:rPr>
          <w:lang w:val="en-US"/>
        </w:rPr>
        <w:t xml:space="preserve"> </w:t>
      </w:r>
      <w:proofErr w:type="spellStart"/>
      <w:r w:rsidRPr="0097645D">
        <w:rPr>
          <w:lang w:val="en-US"/>
        </w:rPr>
        <w:t>sunulan</w:t>
      </w:r>
      <w:proofErr w:type="spellEnd"/>
      <w:r w:rsidRPr="0097645D">
        <w:rPr>
          <w:lang w:val="en-US"/>
        </w:rPr>
        <w:t xml:space="preserve"> </w:t>
      </w:r>
      <w:proofErr w:type="spellStart"/>
      <w:r w:rsidRPr="0097645D">
        <w:rPr>
          <w:lang w:val="en-US"/>
        </w:rPr>
        <w:t>politika</w:t>
      </w:r>
      <w:proofErr w:type="spellEnd"/>
      <w:r w:rsidRPr="0097645D">
        <w:rPr>
          <w:lang w:val="en-US"/>
        </w:rPr>
        <w:t xml:space="preserve"> </w:t>
      </w:r>
      <w:proofErr w:type="spellStart"/>
      <w:r w:rsidRPr="0097645D">
        <w:rPr>
          <w:lang w:val="en-US"/>
        </w:rPr>
        <w:t>önerileri</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özel</w:t>
      </w:r>
      <w:proofErr w:type="spellEnd"/>
      <w:r w:rsidRPr="0097645D">
        <w:rPr>
          <w:lang w:val="en-US"/>
        </w:rPr>
        <w:t xml:space="preserve"> </w:t>
      </w:r>
      <w:proofErr w:type="spellStart"/>
      <w:r w:rsidRPr="0097645D">
        <w:rPr>
          <w:lang w:val="en-US"/>
        </w:rPr>
        <w:t>kaygılardan</w:t>
      </w:r>
      <w:proofErr w:type="spellEnd"/>
      <w:r w:rsidRPr="0097645D">
        <w:rPr>
          <w:lang w:val="en-US"/>
        </w:rPr>
        <w:t xml:space="preserve"> </w:t>
      </w:r>
      <w:proofErr w:type="spellStart"/>
      <w:r w:rsidRPr="0097645D">
        <w:rPr>
          <w:lang w:val="en-US"/>
        </w:rPr>
        <w:t>oluşan</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dilek</w:t>
      </w:r>
      <w:proofErr w:type="spellEnd"/>
      <w:r w:rsidRPr="0097645D">
        <w:rPr>
          <w:lang w:val="en-US"/>
        </w:rPr>
        <w:t xml:space="preserve"> </w:t>
      </w:r>
      <w:proofErr w:type="spellStart"/>
      <w:r w:rsidRPr="0097645D">
        <w:rPr>
          <w:lang w:val="en-US"/>
        </w:rPr>
        <w:t>listesi</w:t>
      </w:r>
      <w:proofErr w:type="spellEnd"/>
      <w:r w:rsidRPr="0097645D">
        <w:rPr>
          <w:lang w:val="en-US"/>
        </w:rPr>
        <w:t xml:space="preserve">" </w:t>
      </w:r>
      <w:proofErr w:type="spellStart"/>
      <w:r w:rsidRPr="0097645D">
        <w:rPr>
          <w:lang w:val="en-US"/>
        </w:rPr>
        <w:t>bulunmaktadır</w:t>
      </w:r>
      <w:proofErr w:type="spellEnd"/>
      <w:r w:rsidRPr="0097645D">
        <w:rPr>
          <w:lang w:val="en-US"/>
        </w:rPr>
        <w:t xml:space="preserve">. </w:t>
      </w:r>
      <w:proofErr w:type="spellStart"/>
      <w:r w:rsidRPr="0097645D">
        <w:rPr>
          <w:lang w:val="en-US"/>
        </w:rPr>
        <w:t>Üstelik</w:t>
      </w:r>
      <w:proofErr w:type="spellEnd"/>
      <w:r w:rsidRPr="0097645D">
        <w:rPr>
          <w:lang w:val="en-US"/>
        </w:rPr>
        <w:t xml:space="preserve">, </w:t>
      </w:r>
      <w:proofErr w:type="spellStart"/>
      <w:r w:rsidRPr="0097645D">
        <w:rPr>
          <w:lang w:val="en-US"/>
        </w:rPr>
        <w:t>bazı</w:t>
      </w:r>
      <w:proofErr w:type="spellEnd"/>
      <w:r w:rsidRPr="0097645D">
        <w:rPr>
          <w:lang w:val="en-US"/>
        </w:rPr>
        <w:t xml:space="preserve"> </w:t>
      </w:r>
      <w:proofErr w:type="spellStart"/>
      <w:r w:rsidRPr="0097645D">
        <w:rPr>
          <w:lang w:val="en-US"/>
        </w:rPr>
        <w:t>gruplarla</w:t>
      </w:r>
      <w:proofErr w:type="spellEnd"/>
      <w:r w:rsidRPr="0097645D">
        <w:rPr>
          <w:lang w:val="en-US"/>
        </w:rPr>
        <w:t xml:space="preserve"> </w:t>
      </w:r>
      <w:proofErr w:type="spellStart"/>
      <w:r w:rsidRPr="0097645D">
        <w:rPr>
          <w:lang w:val="en-US"/>
        </w:rPr>
        <w:t>doğal</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fikir</w:t>
      </w:r>
      <w:proofErr w:type="spellEnd"/>
      <w:r w:rsidRPr="0097645D">
        <w:rPr>
          <w:lang w:val="en-US"/>
        </w:rPr>
        <w:t xml:space="preserve"> </w:t>
      </w:r>
      <w:proofErr w:type="spellStart"/>
      <w:r w:rsidRPr="0097645D">
        <w:rPr>
          <w:lang w:val="en-US"/>
        </w:rPr>
        <w:t>yakınlığı</w:t>
      </w:r>
      <w:proofErr w:type="spellEnd"/>
      <w:r w:rsidRPr="0097645D">
        <w:rPr>
          <w:lang w:val="en-US"/>
        </w:rPr>
        <w:t xml:space="preserve"> </w:t>
      </w:r>
      <w:proofErr w:type="spellStart"/>
      <w:r w:rsidRPr="0097645D">
        <w:rPr>
          <w:lang w:val="en-US"/>
        </w:rPr>
        <w:t>içinde</w:t>
      </w:r>
      <w:proofErr w:type="spellEnd"/>
      <w:r w:rsidRPr="0097645D">
        <w:rPr>
          <w:lang w:val="en-US"/>
        </w:rPr>
        <w:t xml:space="preserve"> </w:t>
      </w:r>
      <w:proofErr w:type="spellStart"/>
      <w:r w:rsidRPr="0097645D">
        <w:rPr>
          <w:lang w:val="en-US"/>
        </w:rPr>
        <w:t>olmaları</w:t>
      </w:r>
      <w:proofErr w:type="spellEnd"/>
      <w:r w:rsidRPr="0097645D">
        <w:rPr>
          <w:lang w:val="en-US"/>
        </w:rPr>
        <w:t xml:space="preserve"> da </w:t>
      </w:r>
      <w:proofErr w:type="spellStart"/>
      <w:r w:rsidRPr="0097645D">
        <w:rPr>
          <w:lang w:val="en-US"/>
        </w:rPr>
        <w:t>mümkündür</w:t>
      </w:r>
      <w:proofErr w:type="spellEnd"/>
      <w:r w:rsidRPr="0097645D">
        <w:rPr>
          <w:lang w:val="en-US"/>
        </w:rPr>
        <w:t xml:space="preserve">. Bu </w:t>
      </w:r>
      <w:proofErr w:type="spellStart"/>
      <w:r w:rsidRPr="0097645D">
        <w:rPr>
          <w:lang w:val="en-US"/>
        </w:rPr>
        <w:t>kaygıları</w:t>
      </w:r>
      <w:proofErr w:type="spellEnd"/>
      <w:r w:rsidRPr="0097645D">
        <w:rPr>
          <w:lang w:val="en-US"/>
        </w:rPr>
        <w:t xml:space="preserve"> </w:t>
      </w:r>
      <w:proofErr w:type="spellStart"/>
      <w:r w:rsidRPr="0097645D">
        <w:rPr>
          <w:lang w:val="en-US"/>
        </w:rPr>
        <w:t>dikkate</w:t>
      </w:r>
      <w:proofErr w:type="spellEnd"/>
      <w:r w:rsidRPr="0097645D">
        <w:rPr>
          <w:lang w:val="en-US"/>
        </w:rPr>
        <w:t xml:space="preserve"> </w:t>
      </w:r>
      <w:proofErr w:type="spellStart"/>
      <w:r w:rsidRPr="0097645D">
        <w:rPr>
          <w:lang w:val="en-US"/>
        </w:rPr>
        <w:t>almak</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doktrinsel</w:t>
      </w:r>
      <w:proofErr w:type="spellEnd"/>
      <w:r w:rsidRPr="0097645D">
        <w:rPr>
          <w:lang w:val="en-US"/>
        </w:rPr>
        <w:t xml:space="preserve"> </w:t>
      </w:r>
      <w:proofErr w:type="spellStart"/>
      <w:r w:rsidRPr="0097645D">
        <w:rPr>
          <w:lang w:val="en-US"/>
        </w:rPr>
        <w:t>formülasyonu</w:t>
      </w:r>
      <w:proofErr w:type="spellEnd"/>
      <w:r w:rsidRPr="0097645D">
        <w:rPr>
          <w:lang w:val="en-US"/>
        </w:rPr>
        <w:t xml:space="preserve"> </w:t>
      </w:r>
      <w:proofErr w:type="spellStart"/>
      <w:r w:rsidRPr="0097645D">
        <w:rPr>
          <w:lang w:val="en-US"/>
        </w:rPr>
        <w:t>netleştirmek</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meseleyi</w:t>
      </w:r>
      <w:proofErr w:type="spellEnd"/>
      <w:r w:rsidRPr="0097645D">
        <w:rPr>
          <w:lang w:val="en-US"/>
        </w:rPr>
        <w:t xml:space="preserve"> </w:t>
      </w:r>
      <w:proofErr w:type="spellStart"/>
      <w:r w:rsidRPr="0097645D">
        <w:rPr>
          <w:lang w:val="en-US"/>
        </w:rPr>
        <w:t>sonraya</w:t>
      </w:r>
      <w:proofErr w:type="spellEnd"/>
      <w:r w:rsidRPr="0097645D">
        <w:rPr>
          <w:lang w:val="en-US"/>
        </w:rPr>
        <w:t xml:space="preserve"> </w:t>
      </w:r>
      <w:proofErr w:type="spellStart"/>
      <w:r w:rsidRPr="0097645D">
        <w:rPr>
          <w:lang w:val="en-US"/>
        </w:rPr>
        <w:t>bırakmak</w:t>
      </w:r>
      <w:proofErr w:type="spellEnd"/>
      <w:r w:rsidRPr="0097645D">
        <w:rPr>
          <w:lang w:val="en-US"/>
        </w:rPr>
        <w:t xml:space="preserve"> </w:t>
      </w:r>
      <w:proofErr w:type="spellStart"/>
      <w:r w:rsidRPr="0097645D">
        <w:rPr>
          <w:lang w:val="en-US"/>
        </w:rPr>
        <w:t>ya</w:t>
      </w:r>
      <w:proofErr w:type="spellEnd"/>
      <w:r w:rsidRPr="0097645D">
        <w:rPr>
          <w:lang w:val="en-US"/>
        </w:rPr>
        <w:t xml:space="preserve"> da </w:t>
      </w:r>
      <w:proofErr w:type="spellStart"/>
      <w:r w:rsidRPr="0097645D">
        <w:rPr>
          <w:lang w:val="en-US"/>
        </w:rPr>
        <w:t>ampirik</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noktayı</w:t>
      </w:r>
      <w:proofErr w:type="spellEnd"/>
      <w:r w:rsidRPr="0097645D">
        <w:rPr>
          <w:lang w:val="en-US"/>
        </w:rPr>
        <w:t xml:space="preserve"> </w:t>
      </w:r>
      <w:proofErr w:type="spellStart"/>
      <w:r w:rsidRPr="0097645D">
        <w:rPr>
          <w:lang w:val="en-US"/>
        </w:rPr>
        <w:t>eklemek</w:t>
      </w:r>
      <w:proofErr w:type="spellEnd"/>
      <w:r w:rsidRPr="0097645D">
        <w:rPr>
          <w:lang w:val="en-US"/>
        </w:rPr>
        <w:t xml:space="preserve"> </w:t>
      </w:r>
      <w:proofErr w:type="spellStart"/>
      <w:r w:rsidRPr="0097645D">
        <w:rPr>
          <w:lang w:val="en-US"/>
        </w:rPr>
        <w:t>veya</w:t>
      </w:r>
      <w:proofErr w:type="spellEnd"/>
      <w:r w:rsidRPr="0097645D">
        <w:rPr>
          <w:lang w:val="en-US"/>
        </w:rPr>
        <w:t xml:space="preserve"> </w:t>
      </w:r>
      <w:proofErr w:type="spellStart"/>
      <w:r w:rsidRPr="0097645D">
        <w:rPr>
          <w:lang w:val="en-US"/>
        </w:rPr>
        <w:t>çıkarmak</w:t>
      </w:r>
      <w:proofErr w:type="spellEnd"/>
      <w:r w:rsidRPr="0097645D">
        <w:rPr>
          <w:lang w:val="en-US"/>
        </w:rPr>
        <w:t xml:space="preserve"> </w:t>
      </w:r>
      <w:proofErr w:type="spellStart"/>
      <w:r w:rsidRPr="0097645D">
        <w:rPr>
          <w:lang w:val="en-US"/>
        </w:rPr>
        <w:t>cezbedici</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seçenektir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bu</w:t>
      </w:r>
      <w:proofErr w:type="spellEnd"/>
      <w:r w:rsidRPr="0097645D">
        <w:rPr>
          <w:lang w:val="en-US"/>
        </w:rPr>
        <w:t xml:space="preserve"> durum, </w:t>
      </w:r>
      <w:proofErr w:type="spellStart"/>
      <w:r w:rsidRPr="0097645D">
        <w:rPr>
          <w:lang w:val="en-US"/>
        </w:rPr>
        <w:t>kötü</w:t>
      </w:r>
      <w:proofErr w:type="spellEnd"/>
      <w:r w:rsidRPr="0097645D">
        <w:rPr>
          <w:lang w:val="en-US"/>
        </w:rPr>
        <w:t xml:space="preserve"> </w:t>
      </w:r>
      <w:proofErr w:type="spellStart"/>
      <w:r w:rsidRPr="0097645D">
        <w:rPr>
          <w:lang w:val="en-US"/>
        </w:rPr>
        <w:t>niyetli</w:t>
      </w:r>
      <w:proofErr w:type="spellEnd"/>
      <w:r w:rsidRPr="0097645D">
        <w:rPr>
          <w:lang w:val="en-US"/>
        </w:rPr>
        <w:t xml:space="preserve"> </w:t>
      </w:r>
      <w:proofErr w:type="spellStart"/>
      <w:r w:rsidRPr="0097645D">
        <w:rPr>
          <w:lang w:val="en-US"/>
        </w:rPr>
        <w:t>olmaktan</w:t>
      </w:r>
      <w:proofErr w:type="spellEnd"/>
      <w:r w:rsidRPr="0097645D">
        <w:rPr>
          <w:lang w:val="en-US"/>
        </w:rPr>
        <w:t xml:space="preserve"> </w:t>
      </w:r>
      <w:proofErr w:type="spellStart"/>
      <w:r w:rsidRPr="0097645D">
        <w:rPr>
          <w:lang w:val="en-US"/>
        </w:rPr>
        <w:t>çok</w:t>
      </w:r>
      <w:proofErr w:type="spellEnd"/>
      <w:r w:rsidRPr="0097645D">
        <w:rPr>
          <w:lang w:val="en-US"/>
        </w:rPr>
        <w:t xml:space="preserve"> </w:t>
      </w:r>
      <w:proofErr w:type="spellStart"/>
      <w:r w:rsidRPr="0097645D">
        <w:rPr>
          <w:lang w:val="en-US"/>
        </w:rPr>
        <w:t>uzaktır</w:t>
      </w:r>
      <w:proofErr w:type="spellEnd"/>
      <w:r w:rsidRPr="0097645D">
        <w:rPr>
          <w:lang w:val="en-US"/>
        </w:rPr>
        <w:t>.</w:t>
      </w:r>
    </w:p>
    <w:p w14:paraId="23DD5428" w14:textId="022434CB" w:rsidR="0097645D" w:rsidRDefault="0097645D" w:rsidP="0097645D">
      <w:pPr>
        <w:rPr>
          <w:lang w:val="en-US"/>
        </w:rPr>
      </w:pPr>
      <w:proofErr w:type="spellStart"/>
      <w:r w:rsidRPr="0097645D">
        <w:rPr>
          <w:lang w:val="en-US"/>
        </w:rPr>
        <w:t>Anayasa</w:t>
      </w:r>
      <w:proofErr w:type="spellEnd"/>
      <w:r w:rsidRPr="0097645D">
        <w:rPr>
          <w:lang w:val="en-US"/>
        </w:rPr>
        <w:t xml:space="preserve"> </w:t>
      </w:r>
      <w:proofErr w:type="spellStart"/>
      <w:r w:rsidRPr="0097645D">
        <w:rPr>
          <w:lang w:val="en-US"/>
        </w:rPr>
        <w:t>teorisinin</w:t>
      </w:r>
      <w:proofErr w:type="spellEnd"/>
      <w:r w:rsidRPr="0097645D">
        <w:rPr>
          <w:lang w:val="en-US"/>
        </w:rPr>
        <w:t xml:space="preserve"> </w:t>
      </w:r>
      <w:proofErr w:type="spellStart"/>
      <w:r w:rsidRPr="0097645D">
        <w:rPr>
          <w:lang w:val="en-US"/>
        </w:rPr>
        <w:t>anayasal</w:t>
      </w:r>
      <w:proofErr w:type="spellEnd"/>
      <w:r w:rsidRPr="0097645D">
        <w:rPr>
          <w:lang w:val="en-US"/>
        </w:rPr>
        <w:t xml:space="preserve"> </w:t>
      </w:r>
      <w:proofErr w:type="spellStart"/>
      <w:r w:rsidRPr="0097645D">
        <w:rPr>
          <w:lang w:val="en-US"/>
        </w:rPr>
        <w:t>yargılamaya</w:t>
      </w:r>
      <w:proofErr w:type="spellEnd"/>
      <w:r w:rsidRPr="0097645D">
        <w:rPr>
          <w:lang w:val="en-US"/>
        </w:rPr>
        <w:t xml:space="preserve"> </w:t>
      </w:r>
      <w:proofErr w:type="spellStart"/>
      <w:r w:rsidRPr="0097645D">
        <w:rPr>
          <w:lang w:val="en-US"/>
        </w:rPr>
        <w:t>dair</w:t>
      </w:r>
      <w:proofErr w:type="spellEnd"/>
      <w:r w:rsidRPr="0097645D">
        <w:rPr>
          <w:lang w:val="en-US"/>
        </w:rPr>
        <w:t xml:space="preserve"> </w:t>
      </w:r>
      <w:proofErr w:type="spellStart"/>
      <w:r w:rsidRPr="0097645D">
        <w:rPr>
          <w:lang w:val="en-US"/>
        </w:rPr>
        <w:t>çizdiği</w:t>
      </w:r>
      <w:proofErr w:type="spellEnd"/>
      <w:r w:rsidRPr="0097645D">
        <w:rPr>
          <w:lang w:val="en-US"/>
        </w:rPr>
        <w:t xml:space="preserve"> </w:t>
      </w:r>
      <w:proofErr w:type="spellStart"/>
      <w:r w:rsidRPr="0097645D">
        <w:rPr>
          <w:lang w:val="en-US"/>
        </w:rPr>
        <w:t>soyut</w:t>
      </w:r>
      <w:proofErr w:type="spellEnd"/>
      <w:r w:rsidRPr="0097645D">
        <w:rPr>
          <w:lang w:val="en-US"/>
        </w:rPr>
        <w:t xml:space="preserve"> </w:t>
      </w:r>
      <w:proofErr w:type="spellStart"/>
      <w:r w:rsidRPr="0097645D">
        <w:rPr>
          <w:lang w:val="en-US"/>
        </w:rPr>
        <w:t>tablo</w:t>
      </w:r>
      <w:proofErr w:type="spellEnd"/>
      <w:r w:rsidRPr="0097645D">
        <w:rPr>
          <w:lang w:val="en-US"/>
        </w:rPr>
        <w:t xml:space="preserve">, </w:t>
      </w:r>
      <w:proofErr w:type="spellStart"/>
      <w:r w:rsidRPr="0097645D">
        <w:rPr>
          <w:lang w:val="en-US"/>
        </w:rPr>
        <w:t>çağdaş</w:t>
      </w:r>
      <w:proofErr w:type="spellEnd"/>
      <w:r w:rsidRPr="0097645D">
        <w:rPr>
          <w:lang w:val="en-US"/>
        </w:rPr>
        <w:t xml:space="preserve"> </w:t>
      </w:r>
      <w:proofErr w:type="spellStart"/>
      <w:r w:rsidRPr="0097645D">
        <w:rPr>
          <w:lang w:val="en-US"/>
        </w:rPr>
        <w:t>kurumsal</w:t>
      </w:r>
      <w:proofErr w:type="spellEnd"/>
      <w:r w:rsidRPr="0097645D">
        <w:rPr>
          <w:lang w:val="en-US"/>
        </w:rPr>
        <w:t xml:space="preserve"> </w:t>
      </w:r>
      <w:proofErr w:type="spellStart"/>
      <w:r w:rsidRPr="0097645D">
        <w:rPr>
          <w:lang w:val="en-US"/>
        </w:rPr>
        <w:t>uygulamalar</w:t>
      </w:r>
      <w:proofErr w:type="spellEnd"/>
      <w:r w:rsidRPr="0097645D">
        <w:rPr>
          <w:lang w:val="en-US"/>
        </w:rPr>
        <w:t xml:space="preserve"> </w:t>
      </w:r>
      <w:proofErr w:type="spellStart"/>
      <w:r w:rsidRPr="0097645D">
        <w:rPr>
          <w:lang w:val="en-US"/>
        </w:rPr>
        <w:t>ve</w:t>
      </w:r>
      <w:proofErr w:type="spellEnd"/>
      <w:r w:rsidRPr="0097645D">
        <w:rPr>
          <w:lang w:val="en-US"/>
        </w:rPr>
        <w:t xml:space="preserve"> amicus curiae </w:t>
      </w:r>
      <w:proofErr w:type="spellStart"/>
      <w:r w:rsidRPr="0097645D">
        <w:rPr>
          <w:lang w:val="en-US"/>
        </w:rPr>
        <w:t>dilekçeleriyle</w:t>
      </w:r>
      <w:proofErr w:type="spellEnd"/>
      <w:r w:rsidRPr="0097645D">
        <w:rPr>
          <w:lang w:val="en-US"/>
        </w:rPr>
        <w:t xml:space="preserve"> </w:t>
      </w:r>
      <w:proofErr w:type="spellStart"/>
      <w:r w:rsidRPr="0097645D">
        <w:rPr>
          <w:lang w:val="en-US"/>
        </w:rPr>
        <w:t>ilgili</w:t>
      </w:r>
      <w:proofErr w:type="spellEnd"/>
      <w:r w:rsidRPr="0097645D">
        <w:rPr>
          <w:lang w:val="en-US"/>
        </w:rPr>
        <w:t xml:space="preserve"> </w:t>
      </w:r>
      <w:proofErr w:type="spellStart"/>
      <w:r w:rsidRPr="0097645D">
        <w:rPr>
          <w:lang w:val="en-US"/>
        </w:rPr>
        <w:t>düzenlemeleri</w:t>
      </w:r>
      <w:proofErr w:type="spellEnd"/>
      <w:r w:rsidRPr="0097645D">
        <w:rPr>
          <w:lang w:val="en-US"/>
        </w:rPr>
        <w:t xml:space="preserve"> </w:t>
      </w:r>
      <w:proofErr w:type="spellStart"/>
      <w:r w:rsidRPr="0097645D">
        <w:rPr>
          <w:lang w:val="en-US"/>
        </w:rPr>
        <w:t>nadiren</w:t>
      </w:r>
      <w:proofErr w:type="spellEnd"/>
      <w:r w:rsidRPr="0097645D">
        <w:rPr>
          <w:lang w:val="en-US"/>
        </w:rPr>
        <w:t>—</w:t>
      </w:r>
      <w:proofErr w:type="spellStart"/>
      <w:r w:rsidRPr="0097645D">
        <w:rPr>
          <w:lang w:val="en-US"/>
        </w:rPr>
        <w:t>hatta</w:t>
      </w:r>
      <w:proofErr w:type="spellEnd"/>
      <w:r w:rsidRPr="0097645D">
        <w:rPr>
          <w:lang w:val="en-US"/>
        </w:rPr>
        <w:t xml:space="preserve"> </w:t>
      </w:r>
      <w:proofErr w:type="spellStart"/>
      <w:r w:rsidRPr="0097645D">
        <w:rPr>
          <w:lang w:val="en-US"/>
        </w:rPr>
        <w:t>hiçbir</w:t>
      </w:r>
      <w:proofErr w:type="spellEnd"/>
      <w:r w:rsidRPr="0097645D">
        <w:rPr>
          <w:lang w:val="en-US"/>
        </w:rPr>
        <w:t xml:space="preserve"> zaman—</w:t>
      </w:r>
      <w:proofErr w:type="spellStart"/>
      <w:r w:rsidRPr="0097645D">
        <w:rPr>
          <w:lang w:val="en-US"/>
        </w:rPr>
        <w:t>dikkate</w:t>
      </w:r>
      <w:proofErr w:type="spellEnd"/>
      <w:r w:rsidRPr="0097645D">
        <w:rPr>
          <w:lang w:val="en-US"/>
        </w:rPr>
        <w:t xml:space="preserve"> </w:t>
      </w:r>
      <w:proofErr w:type="spellStart"/>
      <w:r w:rsidRPr="0097645D">
        <w:rPr>
          <w:lang w:val="en-US"/>
        </w:rPr>
        <w:t>almaktadır</w:t>
      </w:r>
      <w:proofErr w:type="spellEnd"/>
      <w:r w:rsidRPr="0097645D">
        <w:rPr>
          <w:lang w:val="en-US"/>
        </w:rPr>
        <w:t xml:space="preserve">. Bu durum </w:t>
      </w:r>
      <w:proofErr w:type="spellStart"/>
      <w:r w:rsidRPr="0097645D">
        <w:rPr>
          <w:lang w:val="en-US"/>
        </w:rPr>
        <w:t>önemli</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eksikliktir</w:t>
      </w:r>
      <w:proofErr w:type="spellEnd"/>
      <w:r w:rsidRPr="0097645D">
        <w:rPr>
          <w:lang w:val="en-US"/>
        </w:rPr>
        <w:t xml:space="preserve">; </w:t>
      </w:r>
      <w:proofErr w:type="spellStart"/>
      <w:r w:rsidRPr="0097645D">
        <w:rPr>
          <w:lang w:val="en-US"/>
        </w:rPr>
        <w:t>zira</w:t>
      </w:r>
      <w:proofErr w:type="spellEnd"/>
      <w:r w:rsidRPr="0097645D">
        <w:rPr>
          <w:lang w:val="en-US"/>
        </w:rPr>
        <w:t xml:space="preserve"> </w:t>
      </w:r>
      <w:proofErr w:type="spellStart"/>
      <w:r w:rsidRPr="0097645D">
        <w:rPr>
          <w:lang w:val="en-US"/>
        </w:rPr>
        <w:t>bu</w:t>
      </w:r>
      <w:proofErr w:type="spellEnd"/>
      <w:r w:rsidRPr="0097645D">
        <w:rPr>
          <w:lang w:val="en-US"/>
        </w:rPr>
        <w:t xml:space="preserve"> </w:t>
      </w:r>
      <w:proofErr w:type="spellStart"/>
      <w:r w:rsidRPr="0097645D">
        <w:rPr>
          <w:lang w:val="en-US"/>
        </w:rPr>
        <w:t>uygulamalar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düzenlemeler</w:t>
      </w:r>
      <w:proofErr w:type="spellEnd"/>
      <w:r w:rsidRPr="0097645D">
        <w:rPr>
          <w:lang w:val="en-US"/>
        </w:rPr>
        <w:t xml:space="preserve">, </w:t>
      </w:r>
      <w:proofErr w:type="spellStart"/>
      <w:r w:rsidRPr="0097645D">
        <w:rPr>
          <w:lang w:val="en-US"/>
        </w:rPr>
        <w:t>yargısal</w:t>
      </w:r>
      <w:proofErr w:type="spellEnd"/>
      <w:r w:rsidRPr="0097645D">
        <w:rPr>
          <w:lang w:val="en-US"/>
        </w:rPr>
        <w:t xml:space="preserve"> </w:t>
      </w:r>
      <w:proofErr w:type="spellStart"/>
      <w:r w:rsidRPr="0097645D">
        <w:rPr>
          <w:lang w:val="en-US"/>
        </w:rPr>
        <w:t>faaliyetin</w:t>
      </w:r>
      <w:proofErr w:type="spellEnd"/>
      <w:r w:rsidRPr="0097645D">
        <w:rPr>
          <w:lang w:val="en-US"/>
        </w:rPr>
        <w:t xml:space="preserve"> </w:t>
      </w:r>
      <w:proofErr w:type="spellStart"/>
      <w:r w:rsidRPr="0097645D">
        <w:rPr>
          <w:lang w:val="en-US"/>
        </w:rPr>
        <w:t>doğasını</w:t>
      </w:r>
      <w:proofErr w:type="spellEnd"/>
      <w:r w:rsidRPr="0097645D">
        <w:rPr>
          <w:lang w:val="en-US"/>
        </w:rPr>
        <w:t xml:space="preserve"> </w:t>
      </w:r>
      <w:proofErr w:type="spellStart"/>
      <w:r w:rsidRPr="0097645D">
        <w:rPr>
          <w:lang w:val="en-US"/>
        </w:rPr>
        <w:t>doğrudan</w:t>
      </w:r>
      <w:proofErr w:type="spellEnd"/>
      <w:r w:rsidRPr="0097645D">
        <w:rPr>
          <w:lang w:val="en-US"/>
        </w:rPr>
        <w:t xml:space="preserve"> </w:t>
      </w:r>
      <w:proofErr w:type="spellStart"/>
      <w:r w:rsidRPr="0097645D">
        <w:rPr>
          <w:lang w:val="en-US"/>
        </w:rPr>
        <w:t>şekillendirmekte</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hâlihazırda</w:t>
      </w:r>
      <w:proofErr w:type="spellEnd"/>
      <w:r w:rsidRPr="0097645D">
        <w:rPr>
          <w:lang w:val="en-US"/>
        </w:rPr>
        <w:t xml:space="preserve"> </w:t>
      </w:r>
      <w:proofErr w:type="spellStart"/>
      <w:r w:rsidRPr="0097645D">
        <w:rPr>
          <w:lang w:val="en-US"/>
        </w:rPr>
        <w:t>abartılmış</w:t>
      </w:r>
      <w:proofErr w:type="spellEnd"/>
      <w:r w:rsidRPr="0097645D">
        <w:rPr>
          <w:lang w:val="en-US"/>
        </w:rPr>
        <w:t xml:space="preserve"> </w:t>
      </w:r>
      <w:proofErr w:type="spellStart"/>
      <w:r w:rsidRPr="0097645D">
        <w:rPr>
          <w:lang w:val="en-US"/>
        </w:rPr>
        <w:t>olan</w:t>
      </w:r>
      <w:proofErr w:type="spellEnd"/>
      <w:r w:rsidRPr="0097645D">
        <w:rPr>
          <w:lang w:val="en-US"/>
        </w:rPr>
        <w:t xml:space="preserve"> </w:t>
      </w:r>
      <w:proofErr w:type="spellStart"/>
      <w:r w:rsidRPr="0097645D">
        <w:rPr>
          <w:lang w:val="en-US"/>
        </w:rPr>
        <w:t>yargısal</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yasama</w:t>
      </w:r>
      <w:proofErr w:type="spellEnd"/>
      <w:r w:rsidRPr="0097645D">
        <w:rPr>
          <w:lang w:val="en-US"/>
        </w:rPr>
        <w:t xml:space="preserve"> </w:t>
      </w:r>
      <w:proofErr w:type="spellStart"/>
      <w:r w:rsidRPr="0097645D">
        <w:rPr>
          <w:lang w:val="en-US"/>
        </w:rPr>
        <w:t>yetkinlikleri</w:t>
      </w:r>
      <w:proofErr w:type="spellEnd"/>
      <w:r w:rsidRPr="0097645D">
        <w:rPr>
          <w:lang w:val="en-US"/>
        </w:rPr>
        <w:t xml:space="preserve"> </w:t>
      </w:r>
      <w:proofErr w:type="spellStart"/>
      <w:r w:rsidRPr="0097645D">
        <w:rPr>
          <w:lang w:val="en-US"/>
        </w:rPr>
        <w:t>ile</w:t>
      </w:r>
      <w:proofErr w:type="spellEnd"/>
      <w:r w:rsidRPr="0097645D">
        <w:rPr>
          <w:lang w:val="en-US"/>
        </w:rPr>
        <w:t xml:space="preserve"> </w:t>
      </w:r>
      <w:proofErr w:type="spellStart"/>
      <w:r w:rsidRPr="0097645D">
        <w:rPr>
          <w:lang w:val="en-US"/>
        </w:rPr>
        <w:t>erdemleri</w:t>
      </w:r>
      <w:proofErr w:type="spellEnd"/>
      <w:r w:rsidRPr="0097645D">
        <w:rPr>
          <w:lang w:val="en-US"/>
        </w:rPr>
        <w:t xml:space="preserve"> </w:t>
      </w:r>
      <w:proofErr w:type="spellStart"/>
      <w:r w:rsidRPr="0097645D">
        <w:rPr>
          <w:lang w:val="en-US"/>
        </w:rPr>
        <w:t>arasındaki</w:t>
      </w:r>
      <w:proofErr w:type="spellEnd"/>
      <w:r w:rsidRPr="0097645D">
        <w:rPr>
          <w:lang w:val="en-US"/>
        </w:rPr>
        <w:t xml:space="preserve"> </w:t>
      </w:r>
      <w:proofErr w:type="spellStart"/>
      <w:r w:rsidRPr="0097645D">
        <w:rPr>
          <w:lang w:val="en-US"/>
        </w:rPr>
        <w:t>çizgiyi</w:t>
      </w:r>
      <w:proofErr w:type="spellEnd"/>
      <w:r w:rsidRPr="0097645D">
        <w:rPr>
          <w:lang w:val="en-US"/>
        </w:rPr>
        <w:t xml:space="preserve"> </w:t>
      </w:r>
      <w:proofErr w:type="spellStart"/>
      <w:r w:rsidRPr="0097645D">
        <w:rPr>
          <w:lang w:val="en-US"/>
        </w:rPr>
        <w:t>aşındırmaktadır</w:t>
      </w:r>
      <w:proofErr w:type="spellEnd"/>
      <w:r w:rsidRPr="0097645D">
        <w:rPr>
          <w:lang w:val="en-US"/>
        </w:rPr>
        <w:t>.</w:t>
      </w:r>
      <w:r w:rsidRPr="0097645D">
        <w:rPr>
          <w:lang w:val="en-US"/>
        </w:rPr>
        <w:t xml:space="preserve"> </w:t>
      </w:r>
      <w:proofErr w:type="spellStart"/>
      <w:r w:rsidRPr="0097645D">
        <w:rPr>
          <w:lang w:val="en-US"/>
        </w:rPr>
        <w:t>Yargıçlar</w:t>
      </w:r>
      <w:proofErr w:type="spellEnd"/>
      <w:r w:rsidRPr="0097645D">
        <w:rPr>
          <w:lang w:val="en-US"/>
        </w:rPr>
        <w:t>—</w:t>
      </w:r>
      <w:proofErr w:type="spellStart"/>
      <w:r w:rsidRPr="0097645D">
        <w:rPr>
          <w:lang w:val="en-US"/>
        </w:rPr>
        <w:t>ve</w:t>
      </w:r>
      <w:proofErr w:type="spellEnd"/>
      <w:r w:rsidRPr="0097645D">
        <w:rPr>
          <w:lang w:val="en-US"/>
        </w:rPr>
        <w:t xml:space="preserve"> </w:t>
      </w:r>
      <w:proofErr w:type="spellStart"/>
      <w:r w:rsidRPr="0097645D">
        <w:rPr>
          <w:lang w:val="en-US"/>
        </w:rPr>
        <w:t>en</w:t>
      </w:r>
      <w:proofErr w:type="spellEnd"/>
      <w:r w:rsidRPr="0097645D">
        <w:rPr>
          <w:lang w:val="en-US"/>
        </w:rPr>
        <w:t xml:space="preserve"> </w:t>
      </w:r>
      <w:proofErr w:type="spellStart"/>
      <w:r w:rsidRPr="0097645D">
        <w:rPr>
          <w:lang w:val="en-US"/>
        </w:rPr>
        <w:t>azından</w:t>
      </w:r>
      <w:proofErr w:type="spellEnd"/>
      <w:r w:rsidRPr="0097645D">
        <w:rPr>
          <w:lang w:val="en-US"/>
        </w:rPr>
        <w:t xml:space="preserve"> Yüksek </w:t>
      </w:r>
      <w:proofErr w:type="spellStart"/>
      <w:r w:rsidRPr="0097645D">
        <w:rPr>
          <w:lang w:val="en-US"/>
        </w:rPr>
        <w:t>Mahkeme</w:t>
      </w:r>
      <w:proofErr w:type="spellEnd"/>
      <w:r w:rsidRPr="0097645D">
        <w:rPr>
          <w:lang w:val="en-US"/>
        </w:rPr>
        <w:t xml:space="preserve"> </w:t>
      </w:r>
      <w:proofErr w:type="spellStart"/>
      <w:r w:rsidRPr="0097645D">
        <w:rPr>
          <w:lang w:val="en-US"/>
        </w:rPr>
        <w:t>Yargıçları</w:t>
      </w:r>
      <w:proofErr w:type="spellEnd"/>
      <w:r w:rsidRPr="0097645D">
        <w:rPr>
          <w:lang w:val="en-US"/>
        </w:rPr>
        <w:t>—</w:t>
      </w:r>
      <w:proofErr w:type="spellStart"/>
      <w:r w:rsidRPr="0097645D">
        <w:rPr>
          <w:lang w:val="en-US"/>
        </w:rPr>
        <w:t>günümüzde</w:t>
      </w:r>
      <w:proofErr w:type="spellEnd"/>
      <w:r w:rsidRPr="0097645D">
        <w:rPr>
          <w:lang w:val="en-US"/>
        </w:rPr>
        <w:t xml:space="preserve"> </w:t>
      </w:r>
      <w:proofErr w:type="spellStart"/>
      <w:r w:rsidRPr="0097645D">
        <w:rPr>
          <w:lang w:val="en-US"/>
        </w:rPr>
        <w:t>geçmiş</w:t>
      </w:r>
      <w:proofErr w:type="spellEnd"/>
      <w:r w:rsidRPr="0097645D">
        <w:rPr>
          <w:lang w:val="en-US"/>
        </w:rPr>
        <w:t xml:space="preserve"> </w:t>
      </w:r>
      <w:proofErr w:type="spellStart"/>
      <w:r w:rsidRPr="0097645D">
        <w:rPr>
          <w:lang w:val="en-US"/>
        </w:rPr>
        <w:t>nesillere</w:t>
      </w:r>
      <w:proofErr w:type="spellEnd"/>
      <w:r w:rsidRPr="0097645D">
        <w:rPr>
          <w:lang w:val="en-US"/>
        </w:rPr>
        <w:t xml:space="preserve"> </w:t>
      </w:r>
      <w:proofErr w:type="spellStart"/>
      <w:r w:rsidRPr="0097645D">
        <w:rPr>
          <w:lang w:val="en-US"/>
        </w:rPr>
        <w:t>kıyasla</w:t>
      </w:r>
      <w:proofErr w:type="spellEnd"/>
      <w:r w:rsidRPr="0097645D">
        <w:rPr>
          <w:lang w:val="en-US"/>
        </w:rPr>
        <w:t xml:space="preserve"> </w:t>
      </w:r>
      <w:proofErr w:type="spellStart"/>
      <w:r w:rsidRPr="0097645D">
        <w:rPr>
          <w:lang w:val="en-US"/>
        </w:rPr>
        <w:t>çok</w:t>
      </w:r>
      <w:proofErr w:type="spellEnd"/>
      <w:r w:rsidRPr="0097645D">
        <w:rPr>
          <w:lang w:val="en-US"/>
        </w:rPr>
        <w:t xml:space="preserve"> </w:t>
      </w:r>
      <w:proofErr w:type="spellStart"/>
      <w:r w:rsidRPr="0097645D">
        <w:rPr>
          <w:lang w:val="en-US"/>
        </w:rPr>
        <w:t>daha</w:t>
      </w:r>
      <w:proofErr w:type="spellEnd"/>
      <w:r w:rsidRPr="0097645D">
        <w:rPr>
          <w:lang w:val="en-US"/>
        </w:rPr>
        <w:t xml:space="preserve"> </w:t>
      </w:r>
      <w:proofErr w:type="spellStart"/>
      <w:r w:rsidRPr="0097645D">
        <w:rPr>
          <w:lang w:val="en-US"/>
        </w:rPr>
        <w:t>kapsamlı</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yasama</w:t>
      </w:r>
      <w:proofErr w:type="spellEnd"/>
      <w:r w:rsidRPr="0097645D">
        <w:rPr>
          <w:lang w:val="en-US"/>
        </w:rPr>
        <w:t xml:space="preserve"> </w:t>
      </w:r>
      <w:proofErr w:type="spellStart"/>
      <w:r w:rsidRPr="0097645D">
        <w:rPr>
          <w:lang w:val="en-US"/>
        </w:rPr>
        <w:t>sürecine</w:t>
      </w:r>
      <w:proofErr w:type="spellEnd"/>
      <w:r w:rsidRPr="0097645D">
        <w:rPr>
          <w:lang w:val="en-US"/>
        </w:rPr>
        <w:t xml:space="preserve"> </w:t>
      </w:r>
      <w:proofErr w:type="spellStart"/>
      <w:r w:rsidRPr="0097645D">
        <w:rPr>
          <w:lang w:val="en-US"/>
        </w:rPr>
        <w:t>benzeyen</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kayıt</w:t>
      </w:r>
      <w:proofErr w:type="spellEnd"/>
      <w:r w:rsidRPr="0097645D">
        <w:rPr>
          <w:lang w:val="en-US"/>
        </w:rPr>
        <w:t xml:space="preserve">" (record) </w:t>
      </w:r>
      <w:proofErr w:type="spellStart"/>
      <w:r w:rsidRPr="0097645D">
        <w:rPr>
          <w:lang w:val="en-US"/>
        </w:rPr>
        <w:t>ile</w:t>
      </w:r>
      <w:proofErr w:type="spellEnd"/>
      <w:r w:rsidRPr="0097645D">
        <w:rPr>
          <w:lang w:val="en-US"/>
        </w:rPr>
        <w:t xml:space="preserve"> </w:t>
      </w:r>
      <w:proofErr w:type="spellStart"/>
      <w:r w:rsidRPr="0097645D">
        <w:rPr>
          <w:lang w:val="en-US"/>
        </w:rPr>
        <w:t>karşı</w:t>
      </w:r>
      <w:proofErr w:type="spellEnd"/>
      <w:r w:rsidRPr="0097645D">
        <w:rPr>
          <w:lang w:val="en-US"/>
        </w:rPr>
        <w:t xml:space="preserve"> karşıyadır.¹⁰⁹</w:t>
      </w:r>
      <w:r>
        <w:rPr>
          <w:lang w:val="en-US"/>
        </w:rPr>
        <w:t xml:space="preserve"> </w:t>
      </w:r>
      <w:r>
        <w:rPr>
          <w:rStyle w:val="FootnoteReference"/>
          <w:lang w:val="en-US"/>
        </w:rPr>
        <w:footnoteReference w:id="109"/>
      </w:r>
      <w:r w:rsidRPr="0097645D">
        <w:rPr>
          <w:lang w:val="en-US"/>
        </w:rPr>
        <w:t xml:space="preserve"> Karar alma </w:t>
      </w:r>
      <w:proofErr w:type="spellStart"/>
      <w:r w:rsidRPr="0097645D">
        <w:rPr>
          <w:lang w:val="en-US"/>
        </w:rPr>
        <w:t>süreçleri</w:t>
      </w:r>
      <w:proofErr w:type="spellEnd"/>
      <w:r w:rsidRPr="0097645D">
        <w:rPr>
          <w:lang w:val="en-US"/>
        </w:rPr>
        <w:t xml:space="preserve">, </w:t>
      </w:r>
      <w:proofErr w:type="spellStart"/>
      <w:r w:rsidRPr="0097645D">
        <w:rPr>
          <w:lang w:val="en-US"/>
        </w:rPr>
        <w:t>bu</w:t>
      </w:r>
      <w:proofErr w:type="spellEnd"/>
      <w:r w:rsidRPr="0097645D">
        <w:rPr>
          <w:lang w:val="en-US"/>
        </w:rPr>
        <w:t xml:space="preserve"> </w:t>
      </w:r>
      <w:proofErr w:type="spellStart"/>
      <w:r w:rsidRPr="0097645D">
        <w:rPr>
          <w:lang w:val="en-US"/>
        </w:rPr>
        <w:t>kaydı</w:t>
      </w:r>
      <w:proofErr w:type="spellEnd"/>
      <w:r w:rsidRPr="0097645D">
        <w:rPr>
          <w:lang w:val="en-US"/>
        </w:rPr>
        <w:t xml:space="preserve"> </w:t>
      </w:r>
      <w:proofErr w:type="spellStart"/>
      <w:r w:rsidRPr="0097645D">
        <w:rPr>
          <w:lang w:val="en-US"/>
        </w:rPr>
        <w:t>kullanmaları</w:t>
      </w:r>
      <w:proofErr w:type="spellEnd"/>
      <w:r w:rsidRPr="0097645D">
        <w:rPr>
          <w:lang w:val="en-US"/>
        </w:rPr>
        <w:t xml:space="preserve"> </w:t>
      </w:r>
      <w:proofErr w:type="spellStart"/>
      <w:r w:rsidRPr="0097645D">
        <w:rPr>
          <w:lang w:val="en-US"/>
        </w:rPr>
        <w:t>için</w:t>
      </w:r>
      <w:proofErr w:type="spellEnd"/>
      <w:r w:rsidRPr="0097645D">
        <w:rPr>
          <w:lang w:val="en-US"/>
        </w:rPr>
        <w:t xml:space="preserve"> </w:t>
      </w:r>
      <w:proofErr w:type="spellStart"/>
      <w:r w:rsidRPr="0097645D">
        <w:rPr>
          <w:lang w:val="en-US"/>
        </w:rPr>
        <w:t>kendilerine</w:t>
      </w:r>
      <w:proofErr w:type="spellEnd"/>
      <w:r w:rsidRPr="0097645D">
        <w:rPr>
          <w:lang w:val="en-US"/>
        </w:rPr>
        <w:t xml:space="preserve"> </w:t>
      </w:r>
      <w:proofErr w:type="spellStart"/>
      <w:r w:rsidRPr="0097645D">
        <w:rPr>
          <w:lang w:val="en-US"/>
        </w:rPr>
        <w:t>fırsatlar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teşvikler</w:t>
      </w:r>
      <w:proofErr w:type="spellEnd"/>
      <w:r w:rsidRPr="0097645D">
        <w:rPr>
          <w:lang w:val="en-US"/>
        </w:rPr>
        <w:t xml:space="preserve"> </w:t>
      </w:r>
      <w:proofErr w:type="spellStart"/>
      <w:r w:rsidRPr="0097645D">
        <w:rPr>
          <w:lang w:val="en-US"/>
        </w:rPr>
        <w:t>sunmaktadır</w:t>
      </w:r>
      <w:proofErr w:type="spellEnd"/>
      <w:r w:rsidRPr="0097645D">
        <w:rPr>
          <w:lang w:val="en-US"/>
        </w:rPr>
        <w:t xml:space="preserve">. </w:t>
      </w:r>
      <w:proofErr w:type="spellStart"/>
      <w:r w:rsidRPr="0097645D">
        <w:rPr>
          <w:lang w:val="en-US"/>
        </w:rPr>
        <w:t>Sonuç</w:t>
      </w:r>
      <w:proofErr w:type="spellEnd"/>
      <w:r w:rsidRPr="0097645D">
        <w:rPr>
          <w:lang w:val="en-US"/>
        </w:rPr>
        <w:t xml:space="preserve"> </w:t>
      </w:r>
      <w:proofErr w:type="spellStart"/>
      <w:r w:rsidRPr="0097645D">
        <w:rPr>
          <w:lang w:val="en-US"/>
        </w:rPr>
        <w:t>olarak</w:t>
      </w:r>
      <w:proofErr w:type="spellEnd"/>
      <w:r w:rsidRPr="0097645D">
        <w:rPr>
          <w:lang w:val="en-US"/>
        </w:rPr>
        <w:t xml:space="preserve">, </w:t>
      </w:r>
      <w:proofErr w:type="spellStart"/>
      <w:r w:rsidRPr="0097645D">
        <w:rPr>
          <w:lang w:val="en-US"/>
        </w:rPr>
        <w:t>ortaya</w:t>
      </w:r>
      <w:proofErr w:type="spellEnd"/>
      <w:r w:rsidRPr="0097645D">
        <w:rPr>
          <w:lang w:val="en-US"/>
        </w:rPr>
        <w:t xml:space="preserve"> </w:t>
      </w:r>
      <w:proofErr w:type="spellStart"/>
      <w:r w:rsidRPr="0097645D">
        <w:rPr>
          <w:lang w:val="en-US"/>
        </w:rPr>
        <w:t>çıkan</w:t>
      </w:r>
      <w:proofErr w:type="spellEnd"/>
      <w:r w:rsidRPr="0097645D">
        <w:rPr>
          <w:lang w:val="en-US"/>
        </w:rPr>
        <w:t xml:space="preserve"> </w:t>
      </w:r>
      <w:proofErr w:type="spellStart"/>
      <w:r w:rsidRPr="0097645D">
        <w:rPr>
          <w:lang w:val="en-US"/>
        </w:rPr>
        <w:t>nihai</w:t>
      </w:r>
      <w:proofErr w:type="spellEnd"/>
      <w:r w:rsidRPr="0097645D">
        <w:rPr>
          <w:lang w:val="en-US"/>
        </w:rPr>
        <w:t xml:space="preserve"> </w:t>
      </w:r>
      <w:proofErr w:type="spellStart"/>
      <w:r w:rsidRPr="0097645D">
        <w:rPr>
          <w:lang w:val="en-US"/>
        </w:rPr>
        <w:t>yargısal</w:t>
      </w:r>
      <w:proofErr w:type="spellEnd"/>
      <w:r w:rsidRPr="0097645D">
        <w:rPr>
          <w:lang w:val="en-US"/>
        </w:rPr>
        <w:t xml:space="preserve"> </w:t>
      </w:r>
      <w:proofErr w:type="spellStart"/>
      <w:r w:rsidRPr="0097645D">
        <w:rPr>
          <w:lang w:val="en-US"/>
        </w:rPr>
        <w:t>ürün</w:t>
      </w:r>
      <w:proofErr w:type="spellEnd"/>
      <w:r w:rsidRPr="0097645D">
        <w:rPr>
          <w:lang w:val="en-US"/>
        </w:rPr>
        <w:t xml:space="preserve"> </w:t>
      </w:r>
      <w:proofErr w:type="spellStart"/>
      <w:r w:rsidRPr="0097645D">
        <w:rPr>
          <w:lang w:val="en-US"/>
        </w:rPr>
        <w:t>giderek</w:t>
      </w:r>
      <w:proofErr w:type="spellEnd"/>
      <w:r w:rsidRPr="0097645D">
        <w:rPr>
          <w:lang w:val="en-US"/>
        </w:rPr>
        <w:t xml:space="preserve"> </w:t>
      </w:r>
      <w:proofErr w:type="spellStart"/>
      <w:r w:rsidRPr="0097645D">
        <w:rPr>
          <w:lang w:val="en-US"/>
        </w:rPr>
        <w:t>daha</w:t>
      </w:r>
      <w:proofErr w:type="spellEnd"/>
      <w:r w:rsidRPr="0097645D">
        <w:rPr>
          <w:lang w:val="en-US"/>
        </w:rPr>
        <w:t xml:space="preserve"> </w:t>
      </w:r>
      <w:proofErr w:type="spellStart"/>
      <w:r w:rsidRPr="0097645D">
        <w:rPr>
          <w:lang w:val="en-US"/>
        </w:rPr>
        <w:t>fazla</w:t>
      </w:r>
      <w:proofErr w:type="spellEnd"/>
      <w:r w:rsidRPr="0097645D">
        <w:rPr>
          <w:lang w:val="en-US"/>
        </w:rPr>
        <w:t xml:space="preserve"> </w:t>
      </w:r>
      <w:proofErr w:type="spellStart"/>
      <w:r w:rsidRPr="0097645D">
        <w:rPr>
          <w:lang w:val="en-US"/>
        </w:rPr>
        <w:t>yasama</w:t>
      </w:r>
      <w:proofErr w:type="spellEnd"/>
      <w:r w:rsidRPr="0097645D">
        <w:rPr>
          <w:lang w:val="en-US"/>
        </w:rPr>
        <w:t xml:space="preserve"> </w:t>
      </w:r>
      <w:proofErr w:type="spellStart"/>
      <w:r w:rsidRPr="0097645D">
        <w:rPr>
          <w:lang w:val="en-US"/>
        </w:rPr>
        <w:t>metinlerine</w:t>
      </w:r>
      <w:proofErr w:type="spellEnd"/>
      <w:r w:rsidRPr="0097645D">
        <w:rPr>
          <w:lang w:val="en-US"/>
        </w:rPr>
        <w:t xml:space="preserve"> </w:t>
      </w:r>
      <w:proofErr w:type="spellStart"/>
      <w:r w:rsidRPr="0097645D">
        <w:rPr>
          <w:lang w:val="en-US"/>
        </w:rPr>
        <w:t>benzemekte</w:t>
      </w:r>
      <w:proofErr w:type="spellEnd"/>
      <w:r w:rsidRPr="0097645D">
        <w:rPr>
          <w:lang w:val="en-US"/>
        </w:rPr>
        <w:t xml:space="preserve">; </w:t>
      </w:r>
      <w:proofErr w:type="spellStart"/>
      <w:r w:rsidRPr="0097645D">
        <w:rPr>
          <w:lang w:val="en-US"/>
        </w:rPr>
        <w:t>farklı</w:t>
      </w:r>
      <w:proofErr w:type="spellEnd"/>
      <w:r w:rsidRPr="0097645D">
        <w:rPr>
          <w:lang w:val="en-US"/>
        </w:rPr>
        <w:t xml:space="preserve"> </w:t>
      </w:r>
      <w:proofErr w:type="spellStart"/>
      <w:r w:rsidRPr="0097645D">
        <w:rPr>
          <w:lang w:val="en-US"/>
        </w:rPr>
        <w:t>bölümler</w:t>
      </w:r>
      <w:proofErr w:type="spellEnd"/>
      <w:r w:rsidRPr="0097645D">
        <w:rPr>
          <w:lang w:val="en-US"/>
        </w:rPr>
        <w:t xml:space="preserve"> </w:t>
      </w:r>
      <w:proofErr w:type="spellStart"/>
      <w:r w:rsidRPr="0097645D">
        <w:rPr>
          <w:lang w:val="en-US"/>
        </w:rPr>
        <w:t>farklı</w:t>
      </w:r>
      <w:proofErr w:type="spellEnd"/>
      <w:r w:rsidRPr="0097645D">
        <w:rPr>
          <w:lang w:val="en-US"/>
        </w:rPr>
        <w:t xml:space="preserve"> </w:t>
      </w:r>
      <w:proofErr w:type="spellStart"/>
      <w:r w:rsidRPr="0097645D">
        <w:rPr>
          <w:lang w:val="en-US"/>
        </w:rPr>
        <w:t>kesimlerin</w:t>
      </w:r>
      <w:proofErr w:type="spellEnd"/>
      <w:r w:rsidRPr="0097645D">
        <w:rPr>
          <w:lang w:val="en-US"/>
        </w:rPr>
        <w:t xml:space="preserve"> </w:t>
      </w:r>
      <w:proofErr w:type="spellStart"/>
      <w:r w:rsidRPr="0097645D">
        <w:rPr>
          <w:lang w:val="en-US"/>
        </w:rPr>
        <w:t>beklentilerini</w:t>
      </w:r>
      <w:proofErr w:type="spellEnd"/>
      <w:r w:rsidRPr="0097645D">
        <w:rPr>
          <w:lang w:val="en-US"/>
        </w:rPr>
        <w:t xml:space="preserve"> </w:t>
      </w:r>
      <w:proofErr w:type="spellStart"/>
      <w:r w:rsidRPr="0097645D">
        <w:rPr>
          <w:lang w:val="en-US"/>
        </w:rPr>
        <w:t>karşılamakta</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görüşler</w:t>
      </w:r>
      <w:proofErr w:type="spellEnd"/>
      <w:r w:rsidRPr="0097645D">
        <w:rPr>
          <w:lang w:val="en-US"/>
        </w:rPr>
        <w:t xml:space="preserve">, </w:t>
      </w:r>
      <w:proofErr w:type="spellStart"/>
      <w:r w:rsidRPr="0097645D">
        <w:rPr>
          <w:lang w:val="en-US"/>
        </w:rPr>
        <w:t>dava</w:t>
      </w:r>
      <w:proofErr w:type="spellEnd"/>
      <w:r w:rsidRPr="0097645D">
        <w:rPr>
          <w:lang w:val="en-US"/>
        </w:rPr>
        <w:t xml:space="preserve"> </w:t>
      </w:r>
      <w:proofErr w:type="spellStart"/>
      <w:r w:rsidRPr="0097645D">
        <w:rPr>
          <w:lang w:val="en-US"/>
        </w:rPr>
        <w:t>taraflarının</w:t>
      </w:r>
      <w:proofErr w:type="spellEnd"/>
      <w:r w:rsidRPr="0097645D">
        <w:rPr>
          <w:lang w:val="en-US"/>
        </w:rPr>
        <w:t xml:space="preserve"> </w:t>
      </w:r>
      <w:proofErr w:type="spellStart"/>
      <w:r w:rsidRPr="0097645D">
        <w:rPr>
          <w:lang w:val="en-US"/>
        </w:rPr>
        <w:t>ötesinde</w:t>
      </w:r>
      <w:proofErr w:type="spellEnd"/>
      <w:r w:rsidRPr="0097645D">
        <w:rPr>
          <w:lang w:val="en-US"/>
        </w:rPr>
        <w:t xml:space="preserve"> </w:t>
      </w:r>
      <w:proofErr w:type="spellStart"/>
      <w:r w:rsidRPr="0097645D">
        <w:rPr>
          <w:lang w:val="en-US"/>
        </w:rPr>
        <w:t>belirgin</w:t>
      </w:r>
      <w:proofErr w:type="spellEnd"/>
      <w:r w:rsidRPr="0097645D">
        <w:rPr>
          <w:lang w:val="en-US"/>
        </w:rPr>
        <w:t xml:space="preserve"> </w:t>
      </w:r>
      <w:proofErr w:type="spellStart"/>
      <w:r w:rsidRPr="0097645D">
        <w:rPr>
          <w:lang w:val="en-US"/>
        </w:rPr>
        <w:t>kazananlar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kaybedenler</w:t>
      </w:r>
      <w:proofErr w:type="spellEnd"/>
      <w:r w:rsidRPr="0097645D">
        <w:rPr>
          <w:lang w:val="en-US"/>
        </w:rPr>
        <w:t xml:space="preserve"> </w:t>
      </w:r>
      <w:proofErr w:type="spellStart"/>
      <w:r w:rsidRPr="0097645D">
        <w:rPr>
          <w:lang w:val="en-US"/>
        </w:rPr>
        <w:t>yaratmaktadır</w:t>
      </w:r>
      <w:proofErr w:type="spellEnd"/>
      <w:r w:rsidRPr="0097645D">
        <w:rPr>
          <w:lang w:val="en-US"/>
        </w:rPr>
        <w:t>.</w:t>
      </w:r>
      <w:r w:rsidRPr="0097645D">
        <w:rPr>
          <w:lang w:val="en-US"/>
        </w:rPr>
        <w:t xml:space="preserve"> </w:t>
      </w:r>
      <w:proofErr w:type="spellStart"/>
      <w:r w:rsidRPr="0097645D">
        <w:rPr>
          <w:lang w:val="en-US"/>
        </w:rPr>
        <w:t>Yargı</w:t>
      </w:r>
      <w:proofErr w:type="spellEnd"/>
      <w:r w:rsidRPr="0097645D">
        <w:rPr>
          <w:lang w:val="en-US"/>
        </w:rPr>
        <w:t xml:space="preserve"> </w:t>
      </w:r>
      <w:proofErr w:type="spellStart"/>
      <w:r w:rsidRPr="0097645D">
        <w:rPr>
          <w:lang w:val="en-US"/>
        </w:rPr>
        <w:t>yetkisinin</w:t>
      </w:r>
      <w:proofErr w:type="spellEnd"/>
      <w:r w:rsidRPr="0097645D">
        <w:rPr>
          <w:lang w:val="en-US"/>
        </w:rPr>
        <w:t xml:space="preserve"> </w:t>
      </w:r>
      <w:proofErr w:type="spellStart"/>
      <w:r w:rsidRPr="0097645D">
        <w:rPr>
          <w:lang w:val="en-US"/>
        </w:rPr>
        <w:t>kapsamına</w:t>
      </w:r>
      <w:proofErr w:type="spellEnd"/>
      <w:r w:rsidRPr="0097645D">
        <w:rPr>
          <w:lang w:val="en-US"/>
        </w:rPr>
        <w:t xml:space="preserve"> </w:t>
      </w:r>
      <w:proofErr w:type="spellStart"/>
      <w:r w:rsidRPr="0097645D">
        <w:rPr>
          <w:lang w:val="en-US"/>
        </w:rPr>
        <w:t>veya</w:t>
      </w:r>
      <w:proofErr w:type="spellEnd"/>
      <w:r w:rsidRPr="0097645D">
        <w:rPr>
          <w:lang w:val="en-US"/>
        </w:rPr>
        <w:t xml:space="preserve"> </w:t>
      </w:r>
      <w:proofErr w:type="spellStart"/>
      <w:r w:rsidRPr="0097645D">
        <w:rPr>
          <w:lang w:val="en-US"/>
        </w:rPr>
        <w:t>yargısal</w:t>
      </w:r>
      <w:proofErr w:type="spellEnd"/>
      <w:r w:rsidRPr="0097645D">
        <w:rPr>
          <w:lang w:val="en-US"/>
        </w:rPr>
        <w:t xml:space="preserve"> </w:t>
      </w:r>
      <w:proofErr w:type="spellStart"/>
      <w:r w:rsidRPr="0097645D">
        <w:rPr>
          <w:lang w:val="en-US"/>
        </w:rPr>
        <w:t>rolün</w:t>
      </w:r>
      <w:proofErr w:type="spellEnd"/>
      <w:r w:rsidRPr="0097645D">
        <w:rPr>
          <w:lang w:val="en-US"/>
        </w:rPr>
        <w:t xml:space="preserve"> </w:t>
      </w:r>
      <w:proofErr w:type="spellStart"/>
      <w:r w:rsidRPr="0097645D">
        <w:rPr>
          <w:lang w:val="en-US"/>
        </w:rPr>
        <w:t>doğasına</w:t>
      </w:r>
      <w:proofErr w:type="spellEnd"/>
      <w:r w:rsidRPr="0097645D">
        <w:rPr>
          <w:lang w:val="en-US"/>
        </w:rPr>
        <w:t xml:space="preserve"> </w:t>
      </w:r>
      <w:proofErr w:type="spellStart"/>
      <w:r w:rsidRPr="0097645D">
        <w:rPr>
          <w:lang w:val="en-US"/>
        </w:rPr>
        <w:t>ilişkin</w:t>
      </w:r>
      <w:proofErr w:type="spellEnd"/>
      <w:r w:rsidRPr="0097645D">
        <w:rPr>
          <w:lang w:val="en-US"/>
        </w:rPr>
        <w:t xml:space="preserve"> </w:t>
      </w:r>
      <w:proofErr w:type="spellStart"/>
      <w:r w:rsidRPr="0097645D">
        <w:rPr>
          <w:lang w:val="en-US"/>
        </w:rPr>
        <w:t>normatif</w:t>
      </w:r>
      <w:proofErr w:type="spellEnd"/>
      <w:r w:rsidRPr="0097645D">
        <w:rPr>
          <w:lang w:val="en-US"/>
        </w:rPr>
        <w:t xml:space="preserve"> </w:t>
      </w:r>
      <w:proofErr w:type="spellStart"/>
      <w:r w:rsidRPr="0097645D">
        <w:rPr>
          <w:lang w:val="en-US"/>
        </w:rPr>
        <w:t>tartışmalar</w:t>
      </w:r>
      <w:proofErr w:type="spellEnd"/>
      <w:r w:rsidRPr="0097645D">
        <w:rPr>
          <w:lang w:val="en-US"/>
        </w:rPr>
        <w:t xml:space="preserve">, </w:t>
      </w:r>
      <w:proofErr w:type="spellStart"/>
      <w:r w:rsidRPr="0097645D">
        <w:rPr>
          <w:lang w:val="en-US"/>
        </w:rPr>
        <w:t>anayasal</w:t>
      </w:r>
      <w:proofErr w:type="spellEnd"/>
      <w:r w:rsidRPr="0097645D">
        <w:rPr>
          <w:lang w:val="en-US"/>
        </w:rPr>
        <w:t xml:space="preserve"> </w:t>
      </w:r>
      <w:proofErr w:type="spellStart"/>
      <w:r w:rsidRPr="0097645D">
        <w:rPr>
          <w:lang w:val="en-US"/>
        </w:rPr>
        <w:t>pratiğimizdeki</w:t>
      </w:r>
      <w:proofErr w:type="spellEnd"/>
      <w:r w:rsidRPr="0097645D">
        <w:rPr>
          <w:lang w:val="en-US"/>
        </w:rPr>
        <w:t xml:space="preserve"> </w:t>
      </w:r>
      <w:proofErr w:type="spellStart"/>
      <w:r w:rsidRPr="0097645D">
        <w:rPr>
          <w:lang w:val="en-US"/>
        </w:rPr>
        <w:t>bu</w:t>
      </w:r>
      <w:proofErr w:type="spellEnd"/>
      <w:r w:rsidRPr="0097645D">
        <w:rPr>
          <w:lang w:val="en-US"/>
        </w:rPr>
        <w:t xml:space="preserve"> </w:t>
      </w:r>
      <w:proofErr w:type="spellStart"/>
      <w:r w:rsidRPr="0097645D">
        <w:rPr>
          <w:lang w:val="en-US"/>
        </w:rPr>
        <w:t>dönüşümleri</w:t>
      </w:r>
      <w:proofErr w:type="spellEnd"/>
      <w:r w:rsidRPr="0097645D">
        <w:rPr>
          <w:lang w:val="en-US"/>
        </w:rPr>
        <w:t xml:space="preserve"> </w:t>
      </w:r>
      <w:proofErr w:type="spellStart"/>
      <w:r w:rsidRPr="0097645D">
        <w:rPr>
          <w:lang w:val="en-US"/>
        </w:rPr>
        <w:t>göz</w:t>
      </w:r>
      <w:proofErr w:type="spellEnd"/>
      <w:r w:rsidRPr="0097645D">
        <w:rPr>
          <w:lang w:val="en-US"/>
        </w:rPr>
        <w:t xml:space="preserve"> </w:t>
      </w:r>
      <w:proofErr w:type="spellStart"/>
      <w:r w:rsidRPr="0097645D">
        <w:rPr>
          <w:lang w:val="en-US"/>
        </w:rPr>
        <w:t>ardı</w:t>
      </w:r>
      <w:proofErr w:type="spellEnd"/>
      <w:r w:rsidRPr="0097645D">
        <w:rPr>
          <w:lang w:val="en-US"/>
        </w:rPr>
        <w:t xml:space="preserve"> </w:t>
      </w:r>
      <w:proofErr w:type="spellStart"/>
      <w:r w:rsidRPr="0097645D">
        <w:rPr>
          <w:lang w:val="en-US"/>
        </w:rPr>
        <w:t>ettiği</w:t>
      </w:r>
      <w:proofErr w:type="spellEnd"/>
      <w:r w:rsidRPr="0097645D">
        <w:rPr>
          <w:lang w:val="en-US"/>
        </w:rPr>
        <w:t xml:space="preserve"> </w:t>
      </w:r>
      <w:proofErr w:type="spellStart"/>
      <w:r w:rsidRPr="0097645D">
        <w:rPr>
          <w:lang w:val="en-US"/>
        </w:rPr>
        <w:t>takdirde</w:t>
      </w:r>
      <w:proofErr w:type="spellEnd"/>
      <w:r w:rsidRPr="0097645D">
        <w:rPr>
          <w:lang w:val="en-US"/>
        </w:rPr>
        <w:t xml:space="preserve">, </w:t>
      </w:r>
      <w:proofErr w:type="spellStart"/>
      <w:r w:rsidRPr="0097645D">
        <w:rPr>
          <w:lang w:val="en-US"/>
        </w:rPr>
        <w:t>kaçınılmaz</w:t>
      </w:r>
      <w:proofErr w:type="spellEnd"/>
      <w:r w:rsidRPr="0097645D">
        <w:rPr>
          <w:lang w:val="en-US"/>
        </w:rPr>
        <w:t xml:space="preserve"> </w:t>
      </w:r>
      <w:proofErr w:type="spellStart"/>
      <w:r w:rsidRPr="0097645D">
        <w:rPr>
          <w:lang w:val="en-US"/>
        </w:rPr>
        <w:t>olarak</w:t>
      </w:r>
      <w:proofErr w:type="spellEnd"/>
      <w:r w:rsidRPr="0097645D">
        <w:rPr>
          <w:lang w:val="en-US"/>
        </w:rPr>
        <w:t xml:space="preserve"> </w:t>
      </w:r>
      <w:proofErr w:type="spellStart"/>
      <w:r w:rsidRPr="0097645D">
        <w:rPr>
          <w:lang w:val="en-US"/>
        </w:rPr>
        <w:t>eksik</w:t>
      </w:r>
      <w:proofErr w:type="spellEnd"/>
      <w:r w:rsidRPr="0097645D">
        <w:rPr>
          <w:lang w:val="en-US"/>
        </w:rPr>
        <w:t xml:space="preserve"> </w:t>
      </w:r>
      <w:proofErr w:type="spellStart"/>
      <w:r w:rsidRPr="0097645D">
        <w:rPr>
          <w:lang w:val="en-US"/>
        </w:rPr>
        <w:t>kalacaktır</w:t>
      </w:r>
      <w:proofErr w:type="spellEnd"/>
      <w:r w:rsidRPr="0097645D">
        <w:rPr>
          <w:lang w:val="en-US"/>
        </w:rPr>
        <w:t>.</w:t>
      </w:r>
      <w:r>
        <w:rPr>
          <w:lang w:val="en-US"/>
        </w:rPr>
        <w:t xml:space="preserve"> [1096 - 1097]</w:t>
      </w:r>
    </w:p>
    <w:p w14:paraId="6A4DE185" w14:textId="77777777" w:rsidR="0097645D" w:rsidRDefault="0097645D" w:rsidP="0097645D">
      <w:pPr>
        <w:pStyle w:val="Heading5"/>
        <w:rPr>
          <w:lang w:val="en-US"/>
        </w:rPr>
      </w:pPr>
      <w:r w:rsidRPr="0097645D">
        <w:rPr>
          <w:lang w:val="en-US"/>
        </w:rPr>
        <w:t xml:space="preserve">Yüksek </w:t>
      </w:r>
      <w:proofErr w:type="spellStart"/>
      <w:r w:rsidRPr="0097645D">
        <w:rPr>
          <w:lang w:val="en-US"/>
        </w:rPr>
        <w:t>Mahkeme</w:t>
      </w:r>
      <w:proofErr w:type="spellEnd"/>
      <w:r w:rsidRPr="0097645D">
        <w:rPr>
          <w:lang w:val="en-US"/>
        </w:rPr>
        <w:t xml:space="preserve"> </w:t>
      </w:r>
      <w:proofErr w:type="spellStart"/>
      <w:r w:rsidRPr="0097645D">
        <w:rPr>
          <w:lang w:val="en-US"/>
        </w:rPr>
        <w:t>Görüşlerinin</w:t>
      </w:r>
      <w:proofErr w:type="spellEnd"/>
      <w:r w:rsidRPr="0097645D">
        <w:rPr>
          <w:lang w:val="en-US"/>
        </w:rPr>
        <w:t xml:space="preserve"> </w:t>
      </w:r>
      <w:proofErr w:type="spellStart"/>
      <w:r w:rsidRPr="0097645D">
        <w:rPr>
          <w:lang w:val="en-US"/>
        </w:rPr>
        <w:t>Aracılıkla</w:t>
      </w:r>
      <w:proofErr w:type="spellEnd"/>
      <w:r w:rsidRPr="0097645D">
        <w:rPr>
          <w:lang w:val="en-US"/>
        </w:rPr>
        <w:t xml:space="preserve"> </w:t>
      </w:r>
      <w:proofErr w:type="spellStart"/>
      <w:r w:rsidRPr="0097645D">
        <w:rPr>
          <w:lang w:val="en-US"/>
        </w:rPr>
        <w:t>Şekillendirilmesi</w:t>
      </w:r>
      <w:proofErr w:type="spellEnd"/>
    </w:p>
    <w:p w14:paraId="7C1642FE" w14:textId="4866713D" w:rsidR="0097645D" w:rsidRDefault="0097645D" w:rsidP="0097645D">
      <w:pPr>
        <w:rPr>
          <w:rFonts w:eastAsia="Times New Roman" w:cs="Times New Roman"/>
          <w:szCs w:val="24"/>
          <w:lang w:val="en-US"/>
        </w:rPr>
      </w:pPr>
      <w:proofErr w:type="spellStart"/>
      <w:r w:rsidRPr="0097645D">
        <w:rPr>
          <w:lang w:val="en-US"/>
        </w:rPr>
        <w:t>Buraya</w:t>
      </w:r>
      <w:proofErr w:type="spellEnd"/>
      <w:r w:rsidRPr="0097645D">
        <w:rPr>
          <w:lang w:val="en-US"/>
        </w:rPr>
        <w:t xml:space="preserve"> </w:t>
      </w:r>
      <w:proofErr w:type="spellStart"/>
      <w:r w:rsidRPr="0097645D">
        <w:rPr>
          <w:lang w:val="en-US"/>
        </w:rPr>
        <w:t>kadar</w:t>
      </w:r>
      <w:proofErr w:type="spellEnd"/>
      <w:r w:rsidRPr="0097645D">
        <w:rPr>
          <w:lang w:val="en-US"/>
        </w:rPr>
        <w:t xml:space="preserve"> </w:t>
      </w:r>
      <w:proofErr w:type="spellStart"/>
      <w:r w:rsidRPr="0097645D">
        <w:rPr>
          <w:lang w:val="en-US"/>
        </w:rPr>
        <w:t>bu</w:t>
      </w:r>
      <w:proofErr w:type="spellEnd"/>
      <w:r w:rsidRPr="0097645D">
        <w:rPr>
          <w:lang w:val="en-US"/>
        </w:rPr>
        <w:t xml:space="preserve"> </w:t>
      </w:r>
      <w:proofErr w:type="spellStart"/>
      <w:r w:rsidRPr="0097645D">
        <w:rPr>
          <w:lang w:val="en-US"/>
        </w:rPr>
        <w:t>bölüm</w:t>
      </w:r>
      <w:proofErr w:type="spellEnd"/>
      <w:r w:rsidRPr="0097645D">
        <w:rPr>
          <w:lang w:val="en-US"/>
        </w:rPr>
        <w:t xml:space="preserve">, Yüksek </w:t>
      </w:r>
      <w:proofErr w:type="spellStart"/>
      <w:r w:rsidRPr="0097645D">
        <w:rPr>
          <w:lang w:val="en-US"/>
        </w:rPr>
        <w:t>Mahkeme</w:t>
      </w:r>
      <w:proofErr w:type="spellEnd"/>
      <w:r w:rsidRPr="0097645D">
        <w:rPr>
          <w:lang w:val="en-US"/>
        </w:rPr>
        <w:t xml:space="preserve"> </w:t>
      </w:r>
      <w:proofErr w:type="spellStart"/>
      <w:r w:rsidRPr="0097645D">
        <w:rPr>
          <w:lang w:val="en-US"/>
        </w:rPr>
        <w:t>görüşlerinin</w:t>
      </w:r>
      <w:proofErr w:type="spellEnd"/>
      <w:r w:rsidRPr="0097645D">
        <w:rPr>
          <w:lang w:val="en-US"/>
        </w:rPr>
        <w:t xml:space="preserve"> </w:t>
      </w:r>
      <w:proofErr w:type="spellStart"/>
      <w:r w:rsidRPr="0097645D">
        <w:rPr>
          <w:lang w:val="en-US"/>
        </w:rPr>
        <w:t>içeriğini</w:t>
      </w:r>
      <w:proofErr w:type="spellEnd"/>
      <w:r w:rsidRPr="0097645D">
        <w:rPr>
          <w:lang w:val="en-US"/>
        </w:rPr>
        <w:t xml:space="preserve"> </w:t>
      </w:r>
      <w:proofErr w:type="spellStart"/>
      <w:r w:rsidRPr="0097645D">
        <w:rPr>
          <w:lang w:val="en-US"/>
        </w:rPr>
        <w:t>etkileyen</w:t>
      </w:r>
      <w:proofErr w:type="spellEnd"/>
      <w:r w:rsidRPr="0097645D">
        <w:rPr>
          <w:lang w:val="en-US"/>
        </w:rPr>
        <w:t xml:space="preserve"> </w:t>
      </w:r>
      <w:proofErr w:type="spellStart"/>
      <w:r w:rsidRPr="0097645D">
        <w:rPr>
          <w:lang w:val="en-US"/>
        </w:rPr>
        <w:t>uygulamalar</w:t>
      </w:r>
      <w:proofErr w:type="spellEnd"/>
      <w:r w:rsidRPr="0097645D">
        <w:rPr>
          <w:lang w:val="en-US"/>
        </w:rPr>
        <w:t xml:space="preserve">, </w:t>
      </w:r>
      <w:proofErr w:type="spellStart"/>
      <w:r w:rsidRPr="0097645D">
        <w:rPr>
          <w:lang w:val="en-US"/>
        </w:rPr>
        <w:t>kurumsal</w:t>
      </w:r>
      <w:proofErr w:type="spellEnd"/>
      <w:r w:rsidRPr="0097645D">
        <w:rPr>
          <w:lang w:val="en-US"/>
        </w:rPr>
        <w:t xml:space="preserve"> </w:t>
      </w:r>
      <w:proofErr w:type="spellStart"/>
      <w:r w:rsidRPr="0097645D">
        <w:rPr>
          <w:lang w:val="en-US"/>
        </w:rPr>
        <w:t>düzenlemeler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normlar</w:t>
      </w:r>
      <w:proofErr w:type="spellEnd"/>
      <w:r w:rsidRPr="0097645D">
        <w:rPr>
          <w:lang w:val="en-US"/>
        </w:rPr>
        <w:t xml:space="preserve"> </w:t>
      </w:r>
      <w:proofErr w:type="spellStart"/>
      <w:r w:rsidRPr="0097645D">
        <w:rPr>
          <w:lang w:val="en-US"/>
        </w:rPr>
        <w:t>üzerine</w:t>
      </w:r>
      <w:proofErr w:type="spellEnd"/>
      <w:r w:rsidRPr="0097645D">
        <w:rPr>
          <w:lang w:val="en-US"/>
        </w:rPr>
        <w:t xml:space="preserve"> </w:t>
      </w:r>
      <w:proofErr w:type="spellStart"/>
      <w:r w:rsidRPr="0097645D">
        <w:rPr>
          <w:lang w:val="en-US"/>
        </w:rPr>
        <w:t>odaklanmıştır</w:t>
      </w:r>
      <w:proofErr w:type="spellEnd"/>
      <w:r w:rsidRPr="0097645D">
        <w:rPr>
          <w:lang w:val="en-US"/>
        </w:rPr>
        <w:t xml:space="preserve">. </w:t>
      </w:r>
      <w:proofErr w:type="spellStart"/>
      <w:r w:rsidRPr="0097645D">
        <w:rPr>
          <w:lang w:val="en-US"/>
        </w:rPr>
        <w:t>Ancak</w:t>
      </w:r>
      <w:proofErr w:type="spellEnd"/>
      <w:r w:rsidRPr="0097645D">
        <w:rPr>
          <w:lang w:val="en-US"/>
        </w:rPr>
        <w:t xml:space="preserve"> </w:t>
      </w:r>
      <w:proofErr w:type="spellStart"/>
      <w:r w:rsidRPr="0097645D">
        <w:rPr>
          <w:lang w:val="en-US"/>
        </w:rPr>
        <w:t>yukarıda</w:t>
      </w:r>
      <w:proofErr w:type="spellEnd"/>
      <w:r w:rsidRPr="0097645D">
        <w:rPr>
          <w:lang w:val="en-US"/>
        </w:rPr>
        <w:t xml:space="preserve"> </w:t>
      </w:r>
      <w:proofErr w:type="spellStart"/>
      <w:r w:rsidRPr="0097645D">
        <w:rPr>
          <w:lang w:val="en-US"/>
        </w:rPr>
        <w:t>kısaca</w:t>
      </w:r>
      <w:proofErr w:type="spellEnd"/>
      <w:r w:rsidRPr="0097645D">
        <w:rPr>
          <w:lang w:val="en-US"/>
        </w:rPr>
        <w:t xml:space="preserve"> </w:t>
      </w:r>
      <w:proofErr w:type="spellStart"/>
      <w:r w:rsidRPr="0097645D">
        <w:rPr>
          <w:lang w:val="en-US"/>
        </w:rPr>
        <w:t>değinildiği</w:t>
      </w:r>
      <w:proofErr w:type="spellEnd"/>
      <w:r w:rsidRPr="0097645D">
        <w:rPr>
          <w:lang w:val="en-US"/>
        </w:rPr>
        <w:t xml:space="preserve"> üzere¹¹⁰ </w:t>
      </w:r>
      <w:r>
        <w:rPr>
          <w:rStyle w:val="FootnoteReference"/>
          <w:lang w:val="en-US"/>
        </w:rPr>
        <w:footnoteReference w:id="110"/>
      </w:r>
      <w:proofErr w:type="spellStart"/>
      <w:r w:rsidRPr="0097645D">
        <w:rPr>
          <w:lang w:val="en-US"/>
        </w:rPr>
        <w:t>ve</w:t>
      </w:r>
      <w:proofErr w:type="spellEnd"/>
      <w:r w:rsidRPr="0097645D">
        <w:rPr>
          <w:lang w:val="en-US"/>
        </w:rPr>
        <w:t xml:space="preserve"> </w:t>
      </w:r>
      <w:proofErr w:type="spellStart"/>
      <w:r w:rsidRPr="0097645D">
        <w:rPr>
          <w:lang w:val="en-US"/>
        </w:rPr>
        <w:t>aşağıda</w:t>
      </w:r>
      <w:proofErr w:type="spellEnd"/>
      <w:r w:rsidRPr="0097645D">
        <w:rPr>
          <w:lang w:val="en-US"/>
        </w:rPr>
        <w:t xml:space="preserve"> </w:t>
      </w:r>
      <w:proofErr w:type="spellStart"/>
      <w:r w:rsidRPr="0097645D">
        <w:rPr>
          <w:lang w:val="en-US"/>
        </w:rPr>
        <w:t>daha</w:t>
      </w:r>
      <w:proofErr w:type="spellEnd"/>
      <w:r w:rsidRPr="0097645D">
        <w:rPr>
          <w:lang w:val="en-US"/>
        </w:rPr>
        <w:t xml:space="preserve"> </w:t>
      </w:r>
      <w:proofErr w:type="spellStart"/>
      <w:r w:rsidRPr="0097645D">
        <w:rPr>
          <w:lang w:val="en-US"/>
        </w:rPr>
        <w:t>ayrıntılı</w:t>
      </w:r>
      <w:proofErr w:type="spellEnd"/>
      <w:r w:rsidRPr="0097645D">
        <w:rPr>
          <w:lang w:val="en-US"/>
        </w:rPr>
        <w:t xml:space="preserve"> </w:t>
      </w:r>
      <w:proofErr w:type="spellStart"/>
      <w:r w:rsidRPr="0097645D">
        <w:rPr>
          <w:lang w:val="en-US"/>
        </w:rPr>
        <w:t>olarak</w:t>
      </w:r>
      <w:proofErr w:type="spellEnd"/>
      <w:r w:rsidRPr="0097645D">
        <w:rPr>
          <w:lang w:val="en-US"/>
        </w:rPr>
        <w:t xml:space="preserve"> </w:t>
      </w:r>
      <w:proofErr w:type="spellStart"/>
      <w:r w:rsidRPr="0097645D">
        <w:rPr>
          <w:lang w:val="en-US"/>
        </w:rPr>
        <w:t>ele</w:t>
      </w:r>
      <w:proofErr w:type="spellEnd"/>
      <w:r w:rsidRPr="0097645D">
        <w:rPr>
          <w:lang w:val="en-US"/>
        </w:rPr>
        <w:t xml:space="preserve"> </w:t>
      </w:r>
      <w:proofErr w:type="spellStart"/>
      <w:r w:rsidRPr="0097645D">
        <w:rPr>
          <w:lang w:val="en-US"/>
        </w:rPr>
        <w:t>alınacağı</w:t>
      </w:r>
      <w:proofErr w:type="spellEnd"/>
      <w:r w:rsidRPr="0097645D">
        <w:rPr>
          <w:lang w:val="en-US"/>
        </w:rPr>
        <w:t xml:space="preserve"> gibi,¹¹¹</w:t>
      </w:r>
      <w:r>
        <w:rPr>
          <w:lang w:val="en-US"/>
        </w:rPr>
        <w:t xml:space="preserve"> </w:t>
      </w:r>
      <w:r>
        <w:rPr>
          <w:rStyle w:val="FootnoteReference"/>
          <w:lang w:val="en-US"/>
        </w:rPr>
        <w:footnoteReference w:id="111"/>
      </w:r>
      <w:r w:rsidRPr="0097645D">
        <w:rPr>
          <w:lang w:val="en-US"/>
        </w:rPr>
        <w:t xml:space="preserve"> Yüksek </w:t>
      </w:r>
      <w:proofErr w:type="spellStart"/>
      <w:r w:rsidRPr="0097645D">
        <w:rPr>
          <w:lang w:val="en-US"/>
        </w:rPr>
        <w:t>Mahkeme</w:t>
      </w:r>
      <w:proofErr w:type="spellEnd"/>
      <w:r w:rsidRPr="0097645D">
        <w:rPr>
          <w:lang w:val="en-US"/>
        </w:rPr>
        <w:t xml:space="preserve"> </w:t>
      </w:r>
      <w:proofErr w:type="spellStart"/>
      <w:r w:rsidRPr="0097645D">
        <w:rPr>
          <w:lang w:val="en-US"/>
        </w:rPr>
        <w:t>görüşleri</w:t>
      </w:r>
      <w:proofErr w:type="spellEnd"/>
      <w:r w:rsidRPr="0097645D">
        <w:rPr>
          <w:lang w:val="en-US"/>
        </w:rPr>
        <w:t xml:space="preserve"> </w:t>
      </w:r>
      <w:proofErr w:type="spellStart"/>
      <w:r w:rsidRPr="0097645D">
        <w:rPr>
          <w:lang w:val="en-US"/>
        </w:rPr>
        <w:t>kendi</w:t>
      </w:r>
      <w:proofErr w:type="spellEnd"/>
      <w:r w:rsidRPr="0097645D">
        <w:rPr>
          <w:lang w:val="en-US"/>
        </w:rPr>
        <w:t xml:space="preserve"> </w:t>
      </w:r>
      <w:proofErr w:type="spellStart"/>
      <w:r w:rsidRPr="0097645D">
        <w:rPr>
          <w:lang w:val="en-US"/>
        </w:rPr>
        <w:t>başlarına</w:t>
      </w:r>
      <w:proofErr w:type="spellEnd"/>
      <w:r w:rsidRPr="0097645D">
        <w:rPr>
          <w:lang w:val="en-US"/>
        </w:rPr>
        <w:t xml:space="preserve"> </w:t>
      </w:r>
      <w:proofErr w:type="spellStart"/>
      <w:r w:rsidRPr="0097645D">
        <w:rPr>
          <w:lang w:val="en-US"/>
        </w:rPr>
        <w:t>anayasa</w:t>
      </w:r>
      <w:proofErr w:type="spellEnd"/>
      <w:r w:rsidRPr="0097645D">
        <w:rPr>
          <w:lang w:val="en-US"/>
        </w:rPr>
        <w:t xml:space="preserve"> </w:t>
      </w:r>
      <w:proofErr w:type="spellStart"/>
      <w:r w:rsidRPr="0097645D">
        <w:rPr>
          <w:lang w:val="en-US"/>
        </w:rPr>
        <w:t>hukuku</w:t>
      </w:r>
      <w:proofErr w:type="spellEnd"/>
      <w:r w:rsidRPr="0097645D">
        <w:rPr>
          <w:lang w:val="en-US"/>
        </w:rPr>
        <w:t xml:space="preserve"> </w:t>
      </w:r>
      <w:proofErr w:type="spellStart"/>
      <w:r w:rsidRPr="0097645D">
        <w:rPr>
          <w:lang w:val="en-US"/>
        </w:rPr>
        <w:t>değildir</w:t>
      </w:r>
      <w:proofErr w:type="spellEnd"/>
      <w:r w:rsidRPr="0097645D">
        <w:rPr>
          <w:lang w:val="en-US"/>
        </w:rPr>
        <w:t xml:space="preserve">. </w:t>
      </w:r>
      <w:proofErr w:type="spellStart"/>
      <w:r w:rsidRPr="0097645D">
        <w:rPr>
          <w:lang w:val="en-US"/>
        </w:rPr>
        <w:t>Bunlar</w:t>
      </w:r>
      <w:proofErr w:type="spellEnd"/>
      <w:r w:rsidRPr="0097645D">
        <w:rPr>
          <w:lang w:val="en-US"/>
        </w:rPr>
        <w:t xml:space="preserve">, </w:t>
      </w:r>
      <w:proofErr w:type="spellStart"/>
      <w:r w:rsidRPr="0097645D">
        <w:rPr>
          <w:lang w:val="en-US"/>
        </w:rPr>
        <w:t>Anayasa’nın</w:t>
      </w:r>
      <w:proofErr w:type="spellEnd"/>
      <w:r w:rsidRPr="0097645D">
        <w:rPr>
          <w:lang w:val="en-US"/>
        </w:rPr>
        <w:t xml:space="preserve"> </w:t>
      </w:r>
      <w:proofErr w:type="spellStart"/>
      <w:r w:rsidRPr="0097645D">
        <w:rPr>
          <w:lang w:val="en-US"/>
        </w:rPr>
        <w:t>yazılı</w:t>
      </w:r>
      <w:proofErr w:type="spellEnd"/>
      <w:r w:rsidRPr="0097645D">
        <w:rPr>
          <w:lang w:val="en-US"/>
        </w:rPr>
        <w:t xml:space="preserve"> </w:t>
      </w:r>
      <w:proofErr w:type="spellStart"/>
      <w:r w:rsidRPr="0097645D">
        <w:rPr>
          <w:lang w:val="en-US"/>
        </w:rPr>
        <w:t>metninden</w:t>
      </w:r>
      <w:proofErr w:type="spellEnd"/>
      <w:r w:rsidRPr="0097645D">
        <w:rPr>
          <w:lang w:val="en-US"/>
        </w:rPr>
        <w:t xml:space="preserve"> </w:t>
      </w:r>
      <w:proofErr w:type="spellStart"/>
      <w:r w:rsidRPr="0097645D">
        <w:rPr>
          <w:lang w:val="en-US"/>
        </w:rPr>
        <w:t>bireyler</w:t>
      </w:r>
      <w:proofErr w:type="spellEnd"/>
      <w:r w:rsidRPr="0097645D">
        <w:rPr>
          <w:lang w:val="en-US"/>
        </w:rPr>
        <w:t xml:space="preserve"> </w:t>
      </w:r>
      <w:proofErr w:type="spellStart"/>
      <w:r w:rsidRPr="0097645D">
        <w:rPr>
          <w:lang w:val="en-US"/>
        </w:rPr>
        <w:t>ve</w:t>
      </w:r>
      <w:proofErr w:type="spellEnd"/>
      <w:r w:rsidRPr="0097645D">
        <w:rPr>
          <w:lang w:val="en-US"/>
        </w:rPr>
        <w:t xml:space="preserve"> </w:t>
      </w:r>
      <w:proofErr w:type="spellStart"/>
      <w:r w:rsidRPr="0097645D">
        <w:rPr>
          <w:lang w:val="en-US"/>
        </w:rPr>
        <w:t>daha</w:t>
      </w:r>
      <w:proofErr w:type="spellEnd"/>
      <w:r w:rsidRPr="0097645D">
        <w:rPr>
          <w:lang w:val="en-US"/>
        </w:rPr>
        <w:t xml:space="preserve"> </w:t>
      </w:r>
      <w:proofErr w:type="spellStart"/>
      <w:r w:rsidRPr="0097645D">
        <w:rPr>
          <w:lang w:val="en-US"/>
        </w:rPr>
        <w:t>geniş</w:t>
      </w:r>
      <w:proofErr w:type="spellEnd"/>
      <w:r w:rsidRPr="0097645D">
        <w:rPr>
          <w:lang w:val="en-US"/>
        </w:rPr>
        <w:t xml:space="preserve"> </w:t>
      </w:r>
      <w:proofErr w:type="spellStart"/>
      <w:r w:rsidRPr="0097645D">
        <w:rPr>
          <w:lang w:val="en-US"/>
        </w:rPr>
        <w:t>toplum</w:t>
      </w:r>
      <w:proofErr w:type="spellEnd"/>
      <w:r w:rsidRPr="0097645D">
        <w:rPr>
          <w:lang w:val="en-US"/>
        </w:rPr>
        <w:t xml:space="preserve"> </w:t>
      </w:r>
      <w:proofErr w:type="spellStart"/>
      <w:r w:rsidRPr="0097645D">
        <w:rPr>
          <w:lang w:val="en-US"/>
        </w:rPr>
        <w:t>için</w:t>
      </w:r>
      <w:proofErr w:type="spellEnd"/>
      <w:r w:rsidRPr="0097645D">
        <w:rPr>
          <w:lang w:val="en-US"/>
        </w:rPr>
        <w:t xml:space="preserve"> </w:t>
      </w:r>
      <w:proofErr w:type="spellStart"/>
      <w:r w:rsidRPr="0097645D">
        <w:rPr>
          <w:lang w:val="en-US"/>
        </w:rPr>
        <w:t>somut</w:t>
      </w:r>
      <w:proofErr w:type="spellEnd"/>
      <w:r w:rsidRPr="0097645D">
        <w:rPr>
          <w:lang w:val="en-US"/>
        </w:rPr>
        <w:t xml:space="preserve"> </w:t>
      </w:r>
      <w:proofErr w:type="spellStart"/>
      <w:r w:rsidRPr="0097645D">
        <w:rPr>
          <w:lang w:val="en-US"/>
        </w:rPr>
        <w:t>sonuçlara</w:t>
      </w:r>
      <w:proofErr w:type="spellEnd"/>
      <w:r w:rsidRPr="0097645D">
        <w:rPr>
          <w:lang w:val="en-US"/>
        </w:rPr>
        <w:t xml:space="preserve"> </w:t>
      </w:r>
      <w:proofErr w:type="spellStart"/>
      <w:r w:rsidRPr="0097645D">
        <w:rPr>
          <w:lang w:val="en-US"/>
        </w:rPr>
        <w:t>ulaşma</w:t>
      </w:r>
      <w:proofErr w:type="spellEnd"/>
      <w:r w:rsidRPr="0097645D">
        <w:rPr>
          <w:lang w:val="en-US"/>
        </w:rPr>
        <w:t xml:space="preserve"> </w:t>
      </w:r>
      <w:proofErr w:type="spellStart"/>
      <w:r w:rsidRPr="0097645D">
        <w:rPr>
          <w:lang w:val="en-US"/>
        </w:rPr>
        <w:t>sürecinde</w:t>
      </w:r>
      <w:proofErr w:type="spellEnd"/>
      <w:r w:rsidRPr="0097645D">
        <w:rPr>
          <w:lang w:val="en-US"/>
        </w:rPr>
        <w:t xml:space="preserve"> </w:t>
      </w:r>
      <w:proofErr w:type="spellStart"/>
      <w:r w:rsidRPr="0097645D">
        <w:rPr>
          <w:lang w:val="en-US"/>
        </w:rPr>
        <w:t>kritik</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ara</w:t>
      </w:r>
      <w:proofErr w:type="spellEnd"/>
      <w:r w:rsidRPr="0097645D">
        <w:rPr>
          <w:lang w:val="en-US"/>
        </w:rPr>
        <w:t xml:space="preserve"> </w:t>
      </w:r>
      <w:proofErr w:type="spellStart"/>
      <w:r w:rsidRPr="0097645D">
        <w:rPr>
          <w:lang w:val="en-US"/>
        </w:rPr>
        <w:t>aşamadan</w:t>
      </w:r>
      <w:proofErr w:type="spellEnd"/>
      <w:r w:rsidRPr="0097645D">
        <w:rPr>
          <w:lang w:val="en-US"/>
        </w:rPr>
        <w:t xml:space="preserve"> ne </w:t>
      </w:r>
      <w:proofErr w:type="spellStart"/>
      <w:r w:rsidRPr="0097645D">
        <w:rPr>
          <w:lang w:val="en-US"/>
        </w:rPr>
        <w:t>eksik</w:t>
      </w:r>
      <w:proofErr w:type="spellEnd"/>
      <w:r w:rsidRPr="0097645D">
        <w:rPr>
          <w:lang w:val="en-US"/>
        </w:rPr>
        <w:t xml:space="preserve"> ne de </w:t>
      </w:r>
      <w:proofErr w:type="spellStart"/>
      <w:r w:rsidRPr="0097645D">
        <w:rPr>
          <w:lang w:val="en-US"/>
        </w:rPr>
        <w:t>fazladır</w:t>
      </w:r>
      <w:proofErr w:type="spellEnd"/>
      <w:r w:rsidRPr="0097645D">
        <w:rPr>
          <w:lang w:val="en-US"/>
        </w:rPr>
        <w:t>.</w:t>
      </w:r>
      <w:r>
        <w:rPr>
          <w:lang w:val="en-US"/>
        </w:rPr>
        <w:t xml:space="preserve"> </w:t>
      </w:r>
      <w:proofErr w:type="spellStart"/>
      <w:r w:rsidRPr="0097645D">
        <w:rPr>
          <w:rFonts w:eastAsia="Times New Roman" w:cs="Times New Roman"/>
          <w:szCs w:val="24"/>
          <w:lang w:val="en-US"/>
        </w:rPr>
        <w:t>Mahkeme</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görüşlerinin</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nasıl</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işlendiği</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ve</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yorumlandığını</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bunların</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nasıl</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uygulandığını</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veya</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uygulanamadığını</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etkileyen</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uygulamalar</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düzenlemeler</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normlar</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ve</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düşünce</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alışkanlıkları</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anayasal</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kültürümüz</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açısından</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görüşlerin</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oluşturulma</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sürecini</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etkileyen</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unsurlar</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kadar</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hayati</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öneme</w:t>
      </w:r>
      <w:proofErr w:type="spellEnd"/>
      <w:r w:rsidRPr="0097645D">
        <w:rPr>
          <w:rFonts w:eastAsia="Times New Roman" w:cs="Times New Roman"/>
          <w:szCs w:val="24"/>
          <w:lang w:val="en-US"/>
        </w:rPr>
        <w:t xml:space="preserve"> </w:t>
      </w:r>
      <w:proofErr w:type="spellStart"/>
      <w:r w:rsidRPr="0097645D">
        <w:rPr>
          <w:rFonts w:eastAsia="Times New Roman" w:cs="Times New Roman"/>
          <w:szCs w:val="24"/>
          <w:lang w:val="en-US"/>
        </w:rPr>
        <w:t>sahiptir</w:t>
      </w:r>
      <w:proofErr w:type="spellEnd"/>
      <w:r w:rsidRPr="0097645D">
        <w:rPr>
          <w:rFonts w:eastAsia="Times New Roman" w:cs="Times New Roman"/>
          <w:szCs w:val="24"/>
          <w:lang w:val="en-US"/>
        </w:rPr>
        <w:t>.</w:t>
      </w:r>
    </w:p>
    <w:p w14:paraId="16245112" w14:textId="65FF719F" w:rsidR="003A104F" w:rsidRDefault="003A104F" w:rsidP="003A104F">
      <w:pPr>
        <w:rPr>
          <w:lang w:val="en-US"/>
        </w:rPr>
      </w:pPr>
      <w:proofErr w:type="spellStart"/>
      <w:r w:rsidRPr="003A104F">
        <w:rPr>
          <w:lang w:val="en-US"/>
        </w:rPr>
        <w:t>Çağdaş</w:t>
      </w:r>
      <w:proofErr w:type="spellEnd"/>
      <w:r w:rsidRPr="003A104F">
        <w:rPr>
          <w:lang w:val="en-US"/>
        </w:rPr>
        <w:t xml:space="preserve"> </w:t>
      </w:r>
      <w:proofErr w:type="spellStart"/>
      <w:r w:rsidRPr="003A104F">
        <w:rPr>
          <w:lang w:val="en-US"/>
        </w:rPr>
        <w:t>anayasal</w:t>
      </w:r>
      <w:proofErr w:type="spellEnd"/>
      <w:r w:rsidRPr="003A104F">
        <w:rPr>
          <w:lang w:val="en-US"/>
        </w:rPr>
        <w:t xml:space="preserve"> </w:t>
      </w:r>
      <w:proofErr w:type="spellStart"/>
      <w:r w:rsidRPr="003A104F">
        <w:rPr>
          <w:lang w:val="en-US"/>
        </w:rPr>
        <w:t>karar</w:t>
      </w:r>
      <w:proofErr w:type="spellEnd"/>
      <w:r w:rsidRPr="003A104F">
        <w:rPr>
          <w:lang w:val="en-US"/>
        </w:rPr>
        <w:t xml:space="preserve"> alma </w:t>
      </w:r>
      <w:proofErr w:type="spellStart"/>
      <w:r w:rsidRPr="003A104F">
        <w:rPr>
          <w:lang w:val="en-US"/>
        </w:rPr>
        <w:t>sürecinin</w:t>
      </w:r>
      <w:proofErr w:type="spellEnd"/>
      <w:r w:rsidRPr="003A104F">
        <w:rPr>
          <w:lang w:val="en-US"/>
        </w:rPr>
        <w:t xml:space="preserve"> </w:t>
      </w:r>
      <w:proofErr w:type="spellStart"/>
      <w:r w:rsidRPr="003A104F">
        <w:rPr>
          <w:lang w:val="en-US"/>
        </w:rPr>
        <w:t>nadiren</w:t>
      </w:r>
      <w:proofErr w:type="spellEnd"/>
      <w:r w:rsidRPr="003A104F">
        <w:rPr>
          <w:lang w:val="en-US"/>
        </w:rPr>
        <w:t xml:space="preserve"> </w:t>
      </w:r>
      <w:proofErr w:type="spellStart"/>
      <w:r w:rsidRPr="003A104F">
        <w:rPr>
          <w:lang w:val="en-US"/>
        </w:rPr>
        <w:t>kabul</w:t>
      </w:r>
      <w:proofErr w:type="spellEnd"/>
      <w:r w:rsidRPr="003A104F">
        <w:rPr>
          <w:lang w:val="en-US"/>
        </w:rPr>
        <w:t xml:space="preserve"> </w:t>
      </w:r>
      <w:proofErr w:type="spellStart"/>
      <w:r w:rsidRPr="003A104F">
        <w:rPr>
          <w:lang w:val="en-US"/>
        </w:rPr>
        <w:t>edilen</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neredeyse</w:t>
      </w:r>
      <w:proofErr w:type="spellEnd"/>
      <w:r w:rsidRPr="003A104F">
        <w:rPr>
          <w:lang w:val="en-US"/>
        </w:rPr>
        <w:t xml:space="preserve"> </w:t>
      </w:r>
      <w:proofErr w:type="spellStart"/>
      <w:r w:rsidRPr="003A104F">
        <w:rPr>
          <w:lang w:val="en-US"/>
        </w:rPr>
        <w:t>hiç</w:t>
      </w:r>
      <w:proofErr w:type="spellEnd"/>
      <w:r w:rsidRPr="003A104F">
        <w:rPr>
          <w:lang w:val="en-US"/>
        </w:rPr>
        <w:t xml:space="preserve"> </w:t>
      </w:r>
      <w:proofErr w:type="spellStart"/>
      <w:r w:rsidRPr="003A104F">
        <w:rPr>
          <w:lang w:val="en-US"/>
        </w:rPr>
        <w:t>analiz</w:t>
      </w:r>
      <w:proofErr w:type="spellEnd"/>
      <w:r w:rsidRPr="003A104F">
        <w:rPr>
          <w:lang w:val="en-US"/>
        </w:rPr>
        <w:t xml:space="preserve"> </w:t>
      </w:r>
      <w:proofErr w:type="spellStart"/>
      <w:r w:rsidRPr="003A104F">
        <w:rPr>
          <w:lang w:val="en-US"/>
        </w:rPr>
        <w:t>edilmeyen</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özelliği</w:t>
      </w:r>
      <w:proofErr w:type="spellEnd"/>
      <w:r w:rsidRPr="003A104F">
        <w:rPr>
          <w:lang w:val="en-US"/>
        </w:rPr>
        <w:t xml:space="preserve">, </w:t>
      </w:r>
      <w:proofErr w:type="spellStart"/>
      <w:r w:rsidRPr="003A104F">
        <w:rPr>
          <w:lang w:val="en-US"/>
        </w:rPr>
        <w:t>çoğu</w:t>
      </w:r>
      <w:proofErr w:type="spellEnd"/>
      <w:r w:rsidRPr="003A104F">
        <w:rPr>
          <w:lang w:val="en-US"/>
        </w:rPr>
        <w:t xml:space="preserve"> </w:t>
      </w:r>
      <w:proofErr w:type="spellStart"/>
      <w:r w:rsidRPr="003A104F">
        <w:rPr>
          <w:lang w:val="en-US"/>
        </w:rPr>
        <w:t>insanın</w:t>
      </w:r>
      <w:proofErr w:type="spellEnd"/>
      <w:r w:rsidRPr="003A104F">
        <w:rPr>
          <w:lang w:val="en-US"/>
        </w:rPr>
        <w:t xml:space="preserve"> Yüksek </w:t>
      </w:r>
      <w:proofErr w:type="spellStart"/>
      <w:r w:rsidRPr="003A104F">
        <w:rPr>
          <w:lang w:val="en-US"/>
        </w:rPr>
        <w:t>Mahkeme</w:t>
      </w:r>
      <w:proofErr w:type="spellEnd"/>
      <w:r w:rsidRPr="003A104F">
        <w:rPr>
          <w:lang w:val="en-US"/>
        </w:rPr>
        <w:t xml:space="preserve"> </w:t>
      </w:r>
      <w:proofErr w:type="spellStart"/>
      <w:r w:rsidRPr="003A104F">
        <w:rPr>
          <w:lang w:val="en-US"/>
        </w:rPr>
        <w:t>görüşlerini</w:t>
      </w:r>
      <w:proofErr w:type="spellEnd"/>
      <w:r w:rsidRPr="003A104F">
        <w:rPr>
          <w:lang w:val="en-US"/>
        </w:rPr>
        <w:t xml:space="preserve"> </w:t>
      </w:r>
      <w:proofErr w:type="spellStart"/>
      <w:r w:rsidRPr="003A104F">
        <w:rPr>
          <w:lang w:val="en-US"/>
        </w:rPr>
        <w:t>doğrudan</w:t>
      </w:r>
      <w:proofErr w:type="spellEnd"/>
      <w:r w:rsidRPr="003A104F">
        <w:rPr>
          <w:lang w:val="en-US"/>
        </w:rPr>
        <w:t xml:space="preserve"> </w:t>
      </w:r>
      <w:proofErr w:type="spellStart"/>
      <w:r w:rsidRPr="003A104F">
        <w:rPr>
          <w:lang w:val="en-US"/>
        </w:rPr>
        <w:t>deneyimlememesi</w:t>
      </w:r>
      <w:proofErr w:type="spellEnd"/>
      <w:r w:rsidRPr="003A104F">
        <w:rPr>
          <w:lang w:val="en-US"/>
        </w:rPr>
        <w:t xml:space="preserve">, </w:t>
      </w:r>
      <w:proofErr w:type="spellStart"/>
      <w:r w:rsidRPr="003A104F">
        <w:rPr>
          <w:lang w:val="en-US"/>
        </w:rPr>
        <w:t>bunun</w:t>
      </w:r>
      <w:proofErr w:type="spellEnd"/>
      <w:r w:rsidRPr="003A104F">
        <w:rPr>
          <w:lang w:val="en-US"/>
        </w:rPr>
        <w:t xml:space="preserve"> </w:t>
      </w:r>
      <w:proofErr w:type="spellStart"/>
      <w:r w:rsidRPr="003A104F">
        <w:rPr>
          <w:lang w:val="en-US"/>
        </w:rPr>
        <w:t>yerine</w:t>
      </w:r>
      <w:proofErr w:type="spellEnd"/>
      <w:r w:rsidRPr="003A104F">
        <w:rPr>
          <w:lang w:val="en-US"/>
        </w:rPr>
        <w:t xml:space="preserve"> </w:t>
      </w:r>
      <w:proofErr w:type="spellStart"/>
      <w:r w:rsidRPr="003A104F">
        <w:rPr>
          <w:lang w:val="en-US"/>
        </w:rPr>
        <w:t>içeriğini</w:t>
      </w:r>
      <w:proofErr w:type="spellEnd"/>
      <w:r w:rsidRPr="003A104F">
        <w:rPr>
          <w:lang w:val="en-US"/>
        </w:rPr>
        <w:t xml:space="preserve"> </w:t>
      </w:r>
      <w:proofErr w:type="spellStart"/>
      <w:r w:rsidRPr="003A104F">
        <w:rPr>
          <w:lang w:val="en-US"/>
        </w:rPr>
        <w:t>farklı</w:t>
      </w:r>
      <w:proofErr w:type="spellEnd"/>
      <w:r w:rsidRPr="003A104F">
        <w:rPr>
          <w:lang w:val="en-US"/>
        </w:rPr>
        <w:t xml:space="preserve"> </w:t>
      </w:r>
      <w:proofErr w:type="spellStart"/>
      <w:r w:rsidRPr="003A104F">
        <w:rPr>
          <w:lang w:val="en-US"/>
        </w:rPr>
        <w:t>kaynaklar</w:t>
      </w:r>
      <w:proofErr w:type="spellEnd"/>
      <w:r w:rsidRPr="003A104F">
        <w:rPr>
          <w:lang w:val="en-US"/>
        </w:rPr>
        <w:t xml:space="preserve"> </w:t>
      </w:r>
      <w:proofErr w:type="spellStart"/>
      <w:r w:rsidRPr="003A104F">
        <w:rPr>
          <w:lang w:val="en-US"/>
        </w:rPr>
        <w:t>aracılığıyla</w:t>
      </w:r>
      <w:proofErr w:type="spellEnd"/>
      <w:r w:rsidRPr="003A104F">
        <w:rPr>
          <w:lang w:val="en-US"/>
        </w:rPr>
        <w:t xml:space="preserve"> </w:t>
      </w:r>
      <w:proofErr w:type="spellStart"/>
      <w:r w:rsidRPr="003A104F">
        <w:rPr>
          <w:lang w:val="en-US"/>
        </w:rPr>
        <w:t>edinmesidir</w:t>
      </w:r>
      <w:proofErr w:type="spellEnd"/>
      <w:r w:rsidRPr="003A104F">
        <w:rPr>
          <w:lang w:val="en-US"/>
        </w:rPr>
        <w:t xml:space="preserve">. Bu </w:t>
      </w:r>
      <w:proofErr w:type="spellStart"/>
      <w:r w:rsidRPr="003A104F">
        <w:rPr>
          <w:lang w:val="en-US"/>
        </w:rPr>
        <w:t>kaynaklar</w:t>
      </w:r>
      <w:proofErr w:type="spellEnd"/>
      <w:r w:rsidRPr="003A104F">
        <w:rPr>
          <w:lang w:val="en-US"/>
        </w:rPr>
        <w:t xml:space="preserve"> </w:t>
      </w:r>
      <w:proofErr w:type="spellStart"/>
      <w:r w:rsidRPr="003A104F">
        <w:rPr>
          <w:lang w:val="en-US"/>
        </w:rPr>
        <w:t>arasında</w:t>
      </w:r>
      <w:proofErr w:type="spellEnd"/>
      <w:r w:rsidRPr="003A104F">
        <w:rPr>
          <w:lang w:val="en-US"/>
        </w:rPr>
        <w:t xml:space="preserve"> </w:t>
      </w:r>
      <w:proofErr w:type="spellStart"/>
      <w:r w:rsidRPr="003A104F">
        <w:rPr>
          <w:lang w:val="en-US"/>
        </w:rPr>
        <w:t>Mahkeme’nin</w:t>
      </w:r>
      <w:proofErr w:type="spellEnd"/>
      <w:r w:rsidRPr="003A104F">
        <w:rPr>
          <w:lang w:val="en-US"/>
        </w:rPr>
        <w:t xml:space="preserve"> </w:t>
      </w:r>
      <w:proofErr w:type="spellStart"/>
      <w:r w:rsidRPr="003A104F">
        <w:rPr>
          <w:lang w:val="en-US"/>
        </w:rPr>
        <w:t>merdivenlerinde</w:t>
      </w:r>
      <w:proofErr w:type="spellEnd"/>
      <w:r w:rsidRPr="003A104F">
        <w:rPr>
          <w:lang w:val="en-US"/>
        </w:rPr>
        <w:t xml:space="preserve"> </w:t>
      </w:r>
      <w:proofErr w:type="spellStart"/>
      <w:r w:rsidRPr="003A104F">
        <w:rPr>
          <w:lang w:val="en-US"/>
        </w:rPr>
        <w:t>yapılan</w:t>
      </w:r>
      <w:proofErr w:type="spellEnd"/>
      <w:r w:rsidRPr="003A104F">
        <w:rPr>
          <w:lang w:val="en-US"/>
        </w:rPr>
        <w:t xml:space="preserve"> </w:t>
      </w:r>
      <w:proofErr w:type="spellStart"/>
      <w:r w:rsidRPr="003A104F">
        <w:rPr>
          <w:lang w:val="en-US"/>
        </w:rPr>
        <w:t>karşıt</w:t>
      </w:r>
      <w:proofErr w:type="spellEnd"/>
      <w:r w:rsidRPr="003A104F">
        <w:rPr>
          <w:lang w:val="en-US"/>
        </w:rPr>
        <w:t xml:space="preserve"> </w:t>
      </w:r>
      <w:proofErr w:type="spellStart"/>
      <w:r w:rsidRPr="003A104F">
        <w:rPr>
          <w:lang w:val="en-US"/>
        </w:rPr>
        <w:t>basın</w:t>
      </w:r>
      <w:proofErr w:type="spellEnd"/>
      <w:r w:rsidRPr="003A104F">
        <w:rPr>
          <w:lang w:val="en-US"/>
        </w:rPr>
        <w:t xml:space="preserve"> </w:t>
      </w:r>
      <w:proofErr w:type="spellStart"/>
      <w:r w:rsidRPr="003A104F">
        <w:rPr>
          <w:lang w:val="en-US"/>
        </w:rPr>
        <w:t>açıklamaları</w:t>
      </w:r>
      <w:proofErr w:type="spellEnd"/>
      <w:r w:rsidRPr="003A104F">
        <w:rPr>
          <w:lang w:val="en-US"/>
        </w:rPr>
        <w:t xml:space="preserve">, </w:t>
      </w:r>
      <w:proofErr w:type="spellStart"/>
      <w:r w:rsidRPr="003A104F">
        <w:rPr>
          <w:lang w:val="en-US"/>
        </w:rPr>
        <w:t>televizyon</w:t>
      </w:r>
      <w:proofErr w:type="spellEnd"/>
      <w:r w:rsidRPr="003A104F">
        <w:rPr>
          <w:lang w:val="en-US"/>
        </w:rPr>
        <w:t xml:space="preserve"> </w:t>
      </w:r>
      <w:proofErr w:type="spellStart"/>
      <w:r w:rsidRPr="003A104F">
        <w:rPr>
          <w:lang w:val="en-US"/>
        </w:rPr>
        <w:t>yorumcuları</w:t>
      </w:r>
      <w:proofErr w:type="spellEnd"/>
      <w:r w:rsidRPr="003A104F">
        <w:rPr>
          <w:lang w:val="en-US"/>
        </w:rPr>
        <w:t xml:space="preserve">, </w:t>
      </w:r>
      <w:proofErr w:type="spellStart"/>
      <w:r w:rsidRPr="003A104F">
        <w:rPr>
          <w:lang w:val="en-US"/>
        </w:rPr>
        <w:t>politikacılar</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çıkar</w:t>
      </w:r>
      <w:proofErr w:type="spellEnd"/>
      <w:r w:rsidRPr="003A104F">
        <w:rPr>
          <w:lang w:val="en-US"/>
        </w:rPr>
        <w:t xml:space="preserve"> </w:t>
      </w:r>
      <w:proofErr w:type="spellStart"/>
      <w:r w:rsidRPr="003A104F">
        <w:rPr>
          <w:lang w:val="en-US"/>
        </w:rPr>
        <w:t>grupları</w:t>
      </w:r>
      <w:proofErr w:type="spellEnd"/>
      <w:r w:rsidRPr="003A104F">
        <w:rPr>
          <w:lang w:val="en-US"/>
        </w:rPr>
        <w:t xml:space="preserve"> </w:t>
      </w:r>
      <w:proofErr w:type="spellStart"/>
      <w:r w:rsidRPr="003A104F">
        <w:rPr>
          <w:lang w:val="en-US"/>
        </w:rPr>
        <w:t>tarafından</w:t>
      </w:r>
      <w:proofErr w:type="spellEnd"/>
      <w:r w:rsidRPr="003A104F">
        <w:rPr>
          <w:lang w:val="en-US"/>
        </w:rPr>
        <w:t xml:space="preserve"> </w:t>
      </w:r>
      <w:proofErr w:type="spellStart"/>
      <w:r w:rsidRPr="003A104F">
        <w:rPr>
          <w:lang w:val="en-US"/>
        </w:rPr>
        <w:t>yayımlanan</w:t>
      </w:r>
      <w:proofErr w:type="spellEnd"/>
      <w:r w:rsidRPr="003A104F">
        <w:rPr>
          <w:lang w:val="en-US"/>
        </w:rPr>
        <w:t xml:space="preserve"> </w:t>
      </w:r>
      <w:proofErr w:type="spellStart"/>
      <w:r w:rsidRPr="003A104F">
        <w:rPr>
          <w:lang w:val="en-US"/>
        </w:rPr>
        <w:t>basın</w:t>
      </w:r>
      <w:proofErr w:type="spellEnd"/>
      <w:r w:rsidRPr="003A104F">
        <w:rPr>
          <w:lang w:val="en-US"/>
        </w:rPr>
        <w:t xml:space="preserve"> </w:t>
      </w:r>
      <w:proofErr w:type="spellStart"/>
      <w:r w:rsidRPr="003A104F">
        <w:rPr>
          <w:lang w:val="en-US"/>
        </w:rPr>
        <w:t>bültenleri</w:t>
      </w:r>
      <w:proofErr w:type="spellEnd"/>
      <w:r w:rsidRPr="003A104F">
        <w:rPr>
          <w:lang w:val="en-US"/>
        </w:rPr>
        <w:t xml:space="preserve">, </w:t>
      </w:r>
      <w:proofErr w:type="spellStart"/>
      <w:r w:rsidRPr="003A104F">
        <w:rPr>
          <w:lang w:val="en-US"/>
        </w:rPr>
        <w:t>gazetecilik</w:t>
      </w:r>
      <w:proofErr w:type="spellEnd"/>
      <w:r w:rsidRPr="003A104F">
        <w:rPr>
          <w:lang w:val="en-US"/>
        </w:rPr>
        <w:t xml:space="preserve"> </w:t>
      </w:r>
      <w:proofErr w:type="spellStart"/>
      <w:r w:rsidRPr="003A104F">
        <w:rPr>
          <w:lang w:val="en-US"/>
        </w:rPr>
        <w:t>raporları</w:t>
      </w:r>
      <w:proofErr w:type="spellEnd"/>
      <w:r w:rsidRPr="003A104F">
        <w:rPr>
          <w:lang w:val="en-US"/>
        </w:rPr>
        <w:t xml:space="preserve"> </w:t>
      </w:r>
      <w:proofErr w:type="spellStart"/>
      <w:r w:rsidRPr="003A104F">
        <w:rPr>
          <w:lang w:val="en-US"/>
        </w:rPr>
        <w:t>veya</w:t>
      </w:r>
      <w:proofErr w:type="spellEnd"/>
      <w:r w:rsidRPr="003A104F">
        <w:rPr>
          <w:lang w:val="en-US"/>
        </w:rPr>
        <w:t xml:space="preserve"> blog </w:t>
      </w:r>
      <w:proofErr w:type="spellStart"/>
      <w:r w:rsidRPr="003A104F">
        <w:rPr>
          <w:lang w:val="en-US"/>
        </w:rPr>
        <w:t>yazıları</w:t>
      </w:r>
      <w:proofErr w:type="spellEnd"/>
      <w:r w:rsidRPr="003A104F">
        <w:rPr>
          <w:lang w:val="en-US"/>
        </w:rPr>
        <w:t xml:space="preserve"> </w:t>
      </w:r>
      <w:proofErr w:type="spellStart"/>
      <w:r w:rsidRPr="003A104F">
        <w:rPr>
          <w:lang w:val="en-US"/>
        </w:rPr>
        <w:t>yer</w:t>
      </w:r>
      <w:proofErr w:type="spellEnd"/>
      <w:r w:rsidRPr="003A104F">
        <w:rPr>
          <w:lang w:val="en-US"/>
        </w:rPr>
        <w:t xml:space="preserve"> </w:t>
      </w:r>
      <w:r w:rsidRPr="003A104F">
        <w:rPr>
          <w:lang w:val="en-US"/>
        </w:rPr>
        <w:lastRenderedPageBreak/>
        <w:t>almaktadır.¹¹²</w:t>
      </w:r>
      <w:r>
        <w:rPr>
          <w:lang w:val="en-US"/>
        </w:rPr>
        <w:t xml:space="preserve"> </w:t>
      </w:r>
      <w:r>
        <w:rPr>
          <w:rStyle w:val="FootnoteReference"/>
          <w:lang w:val="en-US"/>
        </w:rPr>
        <w:footnoteReference w:id="112"/>
      </w:r>
      <w:r>
        <w:rPr>
          <w:lang w:val="en-US"/>
        </w:rPr>
        <w:t xml:space="preserve"> </w:t>
      </w:r>
      <w:proofErr w:type="spellStart"/>
      <w:r w:rsidRPr="003A104F">
        <w:rPr>
          <w:lang w:val="en-US"/>
        </w:rPr>
        <w:t>Kamuoyundaki</w:t>
      </w:r>
      <w:proofErr w:type="spellEnd"/>
      <w:r w:rsidRPr="003A104F">
        <w:rPr>
          <w:lang w:val="en-US"/>
        </w:rPr>
        <w:t xml:space="preserve"> </w:t>
      </w:r>
      <w:proofErr w:type="spellStart"/>
      <w:r w:rsidRPr="003A104F">
        <w:rPr>
          <w:lang w:val="en-US"/>
        </w:rPr>
        <w:t>bireyler</w:t>
      </w:r>
      <w:proofErr w:type="spellEnd"/>
      <w:r w:rsidRPr="003A104F">
        <w:rPr>
          <w:lang w:val="en-US"/>
        </w:rPr>
        <w:t xml:space="preserve">, her </w:t>
      </w:r>
      <w:proofErr w:type="spellStart"/>
      <w:r w:rsidRPr="003A104F">
        <w:rPr>
          <w:lang w:val="en-US"/>
        </w:rPr>
        <w:t>bir</w:t>
      </w:r>
      <w:proofErr w:type="spellEnd"/>
      <w:r w:rsidRPr="003A104F">
        <w:rPr>
          <w:lang w:val="en-US"/>
        </w:rPr>
        <w:t xml:space="preserve"> </w:t>
      </w:r>
      <w:proofErr w:type="spellStart"/>
      <w:r w:rsidRPr="003A104F">
        <w:rPr>
          <w:lang w:val="en-US"/>
        </w:rPr>
        <w:t>görüşün</w:t>
      </w:r>
      <w:proofErr w:type="spellEnd"/>
      <w:r w:rsidRPr="003A104F">
        <w:rPr>
          <w:lang w:val="en-US"/>
        </w:rPr>
        <w:t xml:space="preserve"> ne </w:t>
      </w:r>
      <w:proofErr w:type="spellStart"/>
      <w:r w:rsidRPr="003A104F">
        <w:rPr>
          <w:lang w:val="en-US"/>
        </w:rPr>
        <w:t>söylediği</w:t>
      </w:r>
      <w:proofErr w:type="spellEnd"/>
      <w:r w:rsidRPr="003A104F">
        <w:rPr>
          <w:lang w:val="en-US"/>
        </w:rPr>
        <w:t xml:space="preserve">, </w:t>
      </w:r>
      <w:proofErr w:type="spellStart"/>
      <w:r w:rsidRPr="003A104F">
        <w:rPr>
          <w:lang w:val="en-US"/>
        </w:rPr>
        <w:t>sonuçlarının</w:t>
      </w:r>
      <w:proofErr w:type="spellEnd"/>
      <w:r w:rsidRPr="003A104F">
        <w:rPr>
          <w:lang w:val="en-US"/>
        </w:rPr>
        <w:t xml:space="preserve"> ne </w:t>
      </w:r>
      <w:proofErr w:type="spellStart"/>
      <w:r w:rsidRPr="003A104F">
        <w:rPr>
          <w:lang w:val="en-US"/>
        </w:rPr>
        <w:t>olduğu</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kendilerini</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konuda</w:t>
      </w:r>
      <w:proofErr w:type="spellEnd"/>
      <w:r w:rsidRPr="003A104F">
        <w:rPr>
          <w:lang w:val="en-US"/>
        </w:rPr>
        <w:t xml:space="preserve"> </w:t>
      </w:r>
      <w:proofErr w:type="spellStart"/>
      <w:r w:rsidRPr="003A104F">
        <w:rPr>
          <w:lang w:val="en-US"/>
        </w:rPr>
        <w:t>nasıl</w:t>
      </w:r>
      <w:proofErr w:type="spellEnd"/>
      <w:r w:rsidRPr="003A104F">
        <w:rPr>
          <w:lang w:val="en-US"/>
        </w:rPr>
        <w:t xml:space="preserve"> </w:t>
      </w:r>
      <w:proofErr w:type="spellStart"/>
      <w:r w:rsidRPr="003A104F">
        <w:rPr>
          <w:lang w:val="en-US"/>
        </w:rPr>
        <w:t>hissetmeleri</w:t>
      </w:r>
      <w:proofErr w:type="spellEnd"/>
      <w:r w:rsidRPr="003A104F">
        <w:rPr>
          <w:lang w:val="en-US"/>
        </w:rPr>
        <w:t xml:space="preserve"> </w:t>
      </w:r>
      <w:proofErr w:type="spellStart"/>
      <w:r w:rsidRPr="003A104F">
        <w:rPr>
          <w:lang w:val="en-US"/>
        </w:rPr>
        <w:t>gerektiği</w:t>
      </w:r>
      <w:proofErr w:type="spellEnd"/>
      <w:r w:rsidRPr="003A104F">
        <w:rPr>
          <w:lang w:val="en-US"/>
        </w:rPr>
        <w:t xml:space="preserve"> </w:t>
      </w:r>
      <w:proofErr w:type="spellStart"/>
      <w:r w:rsidRPr="003A104F">
        <w:rPr>
          <w:lang w:val="en-US"/>
        </w:rPr>
        <w:t>konusundaki</w:t>
      </w:r>
      <w:proofErr w:type="spellEnd"/>
      <w:r w:rsidRPr="003A104F">
        <w:rPr>
          <w:lang w:val="en-US"/>
        </w:rPr>
        <w:t xml:space="preserve"> </w:t>
      </w:r>
      <w:proofErr w:type="spellStart"/>
      <w:r w:rsidRPr="003A104F">
        <w:rPr>
          <w:lang w:val="en-US"/>
        </w:rPr>
        <w:t>algılarını</w:t>
      </w:r>
      <w:proofErr w:type="spellEnd"/>
      <w:r w:rsidRPr="003A104F">
        <w:rPr>
          <w:lang w:val="en-US"/>
        </w:rPr>
        <w:t xml:space="preserve">, </w:t>
      </w:r>
      <w:proofErr w:type="spellStart"/>
      <w:r w:rsidRPr="003A104F">
        <w:rPr>
          <w:lang w:val="en-US"/>
        </w:rPr>
        <w:t>metni</w:t>
      </w:r>
      <w:proofErr w:type="spellEnd"/>
      <w:r w:rsidRPr="003A104F">
        <w:rPr>
          <w:lang w:val="en-US"/>
        </w:rPr>
        <w:t xml:space="preserve"> </w:t>
      </w:r>
      <w:proofErr w:type="spellStart"/>
      <w:r w:rsidRPr="003A104F">
        <w:rPr>
          <w:lang w:val="en-US"/>
        </w:rPr>
        <w:t>doğrudan</w:t>
      </w:r>
      <w:proofErr w:type="spellEnd"/>
      <w:r w:rsidRPr="003A104F">
        <w:rPr>
          <w:lang w:val="en-US"/>
        </w:rPr>
        <w:t xml:space="preserve"> </w:t>
      </w:r>
      <w:proofErr w:type="spellStart"/>
      <w:r w:rsidRPr="003A104F">
        <w:rPr>
          <w:lang w:val="en-US"/>
        </w:rPr>
        <w:t>inceleyerek</w:t>
      </w:r>
      <w:proofErr w:type="spellEnd"/>
      <w:r w:rsidRPr="003A104F">
        <w:rPr>
          <w:lang w:val="en-US"/>
        </w:rPr>
        <w:t xml:space="preserve"> </w:t>
      </w:r>
      <w:proofErr w:type="spellStart"/>
      <w:r w:rsidRPr="003A104F">
        <w:rPr>
          <w:lang w:val="en-US"/>
        </w:rPr>
        <w:t>değil</w:t>
      </w:r>
      <w:proofErr w:type="spellEnd"/>
      <w:r w:rsidRPr="003A104F">
        <w:rPr>
          <w:lang w:val="en-US"/>
        </w:rPr>
        <w:t xml:space="preserve">; </w:t>
      </w:r>
      <w:proofErr w:type="spellStart"/>
      <w:r w:rsidRPr="003A104F">
        <w:rPr>
          <w:lang w:val="en-US"/>
        </w:rPr>
        <w:t>bunun</w:t>
      </w:r>
      <w:proofErr w:type="spellEnd"/>
      <w:r w:rsidRPr="003A104F">
        <w:rPr>
          <w:lang w:val="en-US"/>
        </w:rPr>
        <w:t xml:space="preserve"> </w:t>
      </w:r>
      <w:proofErr w:type="spellStart"/>
      <w:r w:rsidRPr="003A104F">
        <w:rPr>
          <w:lang w:val="en-US"/>
        </w:rPr>
        <w:t>yerine</w:t>
      </w:r>
      <w:proofErr w:type="spellEnd"/>
      <w:r w:rsidRPr="003A104F">
        <w:rPr>
          <w:lang w:val="en-US"/>
        </w:rPr>
        <w:t xml:space="preserve">, </w:t>
      </w:r>
      <w:proofErr w:type="spellStart"/>
      <w:r w:rsidRPr="003A104F">
        <w:rPr>
          <w:lang w:val="en-US"/>
        </w:rPr>
        <w:t>aracılık</w:t>
      </w:r>
      <w:proofErr w:type="spellEnd"/>
      <w:r w:rsidRPr="003A104F">
        <w:rPr>
          <w:lang w:val="en-US"/>
        </w:rPr>
        <w:t xml:space="preserve"> </w:t>
      </w:r>
      <w:proofErr w:type="spellStart"/>
      <w:r w:rsidRPr="003A104F">
        <w:rPr>
          <w:lang w:val="en-US"/>
        </w:rPr>
        <w:t>eden</w:t>
      </w:r>
      <w:proofErr w:type="spellEnd"/>
      <w:r w:rsidRPr="003A104F">
        <w:rPr>
          <w:lang w:val="en-US"/>
        </w:rPr>
        <w:t xml:space="preserve"> </w:t>
      </w:r>
      <w:proofErr w:type="spellStart"/>
      <w:r w:rsidRPr="003A104F">
        <w:rPr>
          <w:lang w:val="en-US"/>
        </w:rPr>
        <w:t>kaynaklar</w:t>
      </w:r>
      <w:proofErr w:type="spellEnd"/>
      <w:r w:rsidRPr="003A104F">
        <w:rPr>
          <w:lang w:val="en-US"/>
        </w:rPr>
        <w:t xml:space="preserve"> </w:t>
      </w:r>
      <w:proofErr w:type="spellStart"/>
      <w:r w:rsidRPr="003A104F">
        <w:rPr>
          <w:lang w:val="en-US"/>
        </w:rPr>
        <w:t>tarafından</w:t>
      </w:r>
      <w:proofErr w:type="spellEnd"/>
      <w:r w:rsidRPr="003A104F">
        <w:rPr>
          <w:lang w:val="en-US"/>
        </w:rPr>
        <w:t xml:space="preserve"> </w:t>
      </w:r>
      <w:proofErr w:type="spellStart"/>
      <w:r w:rsidRPr="003A104F">
        <w:rPr>
          <w:lang w:val="en-US"/>
        </w:rPr>
        <w:t>düzenlenen</w:t>
      </w:r>
      <w:proofErr w:type="spellEnd"/>
      <w:r w:rsidRPr="003A104F">
        <w:rPr>
          <w:lang w:val="en-US"/>
        </w:rPr>
        <w:t xml:space="preserve"> </w:t>
      </w:r>
      <w:proofErr w:type="spellStart"/>
      <w:r w:rsidRPr="003A104F">
        <w:rPr>
          <w:lang w:val="en-US"/>
        </w:rPr>
        <w:t>özetler</w:t>
      </w:r>
      <w:proofErr w:type="spellEnd"/>
      <w:r w:rsidRPr="003A104F">
        <w:rPr>
          <w:lang w:val="en-US"/>
        </w:rPr>
        <w:t xml:space="preserve">, </w:t>
      </w:r>
      <w:proofErr w:type="spellStart"/>
      <w:r w:rsidRPr="003A104F">
        <w:rPr>
          <w:lang w:val="en-US"/>
        </w:rPr>
        <w:t>analizler</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alıntılar</w:t>
      </w:r>
      <w:proofErr w:type="spellEnd"/>
      <w:r w:rsidRPr="003A104F">
        <w:rPr>
          <w:lang w:val="en-US"/>
        </w:rPr>
        <w:t xml:space="preserve"> </w:t>
      </w:r>
      <w:proofErr w:type="spellStart"/>
      <w:r w:rsidRPr="003A104F">
        <w:rPr>
          <w:lang w:val="en-US"/>
        </w:rPr>
        <w:t>üzerinden</w:t>
      </w:r>
      <w:proofErr w:type="spellEnd"/>
      <w:r w:rsidRPr="003A104F">
        <w:rPr>
          <w:lang w:val="en-US"/>
        </w:rPr>
        <w:t xml:space="preserve"> </w:t>
      </w:r>
      <w:proofErr w:type="spellStart"/>
      <w:r w:rsidRPr="003A104F">
        <w:rPr>
          <w:lang w:val="en-US"/>
        </w:rPr>
        <w:t>şekillendirmektedir</w:t>
      </w:r>
      <w:proofErr w:type="spellEnd"/>
      <w:r w:rsidRPr="003A104F">
        <w:rPr>
          <w:lang w:val="en-US"/>
        </w:rPr>
        <w:t>.</w:t>
      </w:r>
    </w:p>
    <w:p w14:paraId="449D9651" w14:textId="36AD3700" w:rsidR="003A104F" w:rsidRPr="003A104F" w:rsidRDefault="003A104F" w:rsidP="003A104F">
      <w:pPr>
        <w:rPr>
          <w:lang w:val="en-US"/>
        </w:rPr>
      </w:pPr>
      <w:r w:rsidRPr="003A104F">
        <w:rPr>
          <w:lang w:val="en-US"/>
        </w:rPr>
        <w:t xml:space="preserve">Bu </w:t>
      </w:r>
      <w:proofErr w:type="spellStart"/>
      <w:r w:rsidRPr="003A104F">
        <w:rPr>
          <w:lang w:val="en-US"/>
        </w:rPr>
        <w:t>olgu</w:t>
      </w:r>
      <w:proofErr w:type="spellEnd"/>
      <w:r w:rsidRPr="003A104F">
        <w:rPr>
          <w:lang w:val="en-US"/>
        </w:rPr>
        <w:t xml:space="preserve">, </w:t>
      </w:r>
      <w:proofErr w:type="spellStart"/>
      <w:r w:rsidRPr="003A104F">
        <w:rPr>
          <w:lang w:val="en-US"/>
        </w:rPr>
        <w:t>yalnızca</w:t>
      </w:r>
      <w:proofErr w:type="spellEnd"/>
      <w:r w:rsidRPr="003A104F">
        <w:rPr>
          <w:lang w:val="en-US"/>
        </w:rPr>
        <w:t xml:space="preserve"> </w:t>
      </w:r>
      <w:proofErr w:type="spellStart"/>
      <w:r w:rsidRPr="003A104F">
        <w:rPr>
          <w:lang w:val="en-US"/>
        </w:rPr>
        <w:t>ilginç</w:t>
      </w:r>
      <w:proofErr w:type="spellEnd"/>
      <w:r w:rsidRPr="003A104F">
        <w:rPr>
          <w:lang w:val="en-US"/>
        </w:rPr>
        <w:t xml:space="preserve"> (</w:t>
      </w:r>
      <w:proofErr w:type="spellStart"/>
      <w:r w:rsidRPr="003A104F">
        <w:rPr>
          <w:lang w:val="en-US"/>
        </w:rPr>
        <w:t>veya</w:t>
      </w:r>
      <w:proofErr w:type="spellEnd"/>
      <w:r w:rsidRPr="003A104F">
        <w:rPr>
          <w:lang w:val="en-US"/>
        </w:rPr>
        <w:t xml:space="preserve"> </w:t>
      </w:r>
      <w:proofErr w:type="spellStart"/>
      <w:r w:rsidRPr="003A104F">
        <w:rPr>
          <w:lang w:val="en-US"/>
        </w:rPr>
        <w:t>rahatsız</w:t>
      </w:r>
      <w:proofErr w:type="spellEnd"/>
      <w:r w:rsidRPr="003A104F">
        <w:rPr>
          <w:lang w:val="en-US"/>
        </w:rPr>
        <w:t xml:space="preserve"> </w:t>
      </w:r>
      <w:proofErr w:type="spellStart"/>
      <w:r w:rsidRPr="003A104F">
        <w:rPr>
          <w:lang w:val="en-US"/>
        </w:rPr>
        <w:t>edici</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yan</w:t>
      </w:r>
      <w:proofErr w:type="spellEnd"/>
      <w:r w:rsidRPr="003A104F">
        <w:rPr>
          <w:lang w:val="en-US"/>
        </w:rPr>
        <w:t xml:space="preserve"> </w:t>
      </w:r>
      <w:proofErr w:type="spellStart"/>
      <w:r w:rsidRPr="003A104F">
        <w:rPr>
          <w:lang w:val="en-US"/>
        </w:rPr>
        <w:t>unsur</w:t>
      </w:r>
      <w:proofErr w:type="spellEnd"/>
      <w:r w:rsidRPr="003A104F">
        <w:rPr>
          <w:lang w:val="en-US"/>
        </w:rPr>
        <w:t xml:space="preserve"> </w:t>
      </w:r>
      <w:proofErr w:type="spellStart"/>
      <w:r w:rsidRPr="003A104F">
        <w:rPr>
          <w:lang w:val="en-US"/>
        </w:rPr>
        <w:t>olarak</w:t>
      </w:r>
      <w:proofErr w:type="spellEnd"/>
      <w:r w:rsidRPr="003A104F">
        <w:rPr>
          <w:lang w:val="en-US"/>
        </w:rPr>
        <w:t xml:space="preserve"> </w:t>
      </w:r>
      <w:proofErr w:type="spellStart"/>
      <w:r w:rsidRPr="003A104F">
        <w:rPr>
          <w:lang w:val="en-US"/>
        </w:rPr>
        <w:t>görülebilirdi</w:t>
      </w:r>
      <w:proofErr w:type="spellEnd"/>
      <w:r w:rsidRPr="003A104F">
        <w:rPr>
          <w:lang w:val="en-US"/>
        </w:rPr>
        <w:t xml:space="preserve">, </w:t>
      </w:r>
      <w:proofErr w:type="spellStart"/>
      <w:r w:rsidRPr="003A104F">
        <w:rPr>
          <w:lang w:val="en-US"/>
        </w:rPr>
        <w:t>ancak</w:t>
      </w:r>
      <w:proofErr w:type="spellEnd"/>
      <w:r w:rsidRPr="003A104F">
        <w:rPr>
          <w:lang w:val="en-US"/>
        </w:rPr>
        <w:t xml:space="preserve"> </w:t>
      </w:r>
      <w:proofErr w:type="spellStart"/>
      <w:r w:rsidRPr="003A104F">
        <w:rPr>
          <w:lang w:val="en-US"/>
        </w:rPr>
        <w:t>iki</w:t>
      </w:r>
      <w:proofErr w:type="spellEnd"/>
      <w:r w:rsidRPr="003A104F">
        <w:rPr>
          <w:lang w:val="en-US"/>
        </w:rPr>
        <w:t xml:space="preserve"> </w:t>
      </w:r>
      <w:proofErr w:type="spellStart"/>
      <w:r w:rsidRPr="003A104F">
        <w:rPr>
          <w:lang w:val="en-US"/>
        </w:rPr>
        <w:t>temel</w:t>
      </w:r>
      <w:proofErr w:type="spellEnd"/>
      <w:r w:rsidRPr="003A104F">
        <w:rPr>
          <w:lang w:val="en-US"/>
        </w:rPr>
        <w:t xml:space="preserve"> </w:t>
      </w:r>
      <w:proofErr w:type="spellStart"/>
      <w:r w:rsidRPr="003A104F">
        <w:rPr>
          <w:lang w:val="en-US"/>
        </w:rPr>
        <w:t>neden</w:t>
      </w:r>
      <w:proofErr w:type="spellEnd"/>
      <w:r w:rsidRPr="003A104F">
        <w:rPr>
          <w:lang w:val="en-US"/>
        </w:rPr>
        <w:t xml:space="preserve"> </w:t>
      </w:r>
      <w:proofErr w:type="spellStart"/>
      <w:r w:rsidRPr="003A104F">
        <w:rPr>
          <w:lang w:val="en-US"/>
        </w:rPr>
        <w:t>bunu</w:t>
      </w:r>
      <w:proofErr w:type="spellEnd"/>
      <w:r w:rsidRPr="003A104F">
        <w:rPr>
          <w:lang w:val="en-US"/>
        </w:rPr>
        <w:t xml:space="preserve"> </w:t>
      </w:r>
      <w:proofErr w:type="spellStart"/>
      <w:r w:rsidRPr="003A104F">
        <w:rPr>
          <w:lang w:val="en-US"/>
        </w:rPr>
        <w:t>daha</w:t>
      </w:r>
      <w:proofErr w:type="spellEnd"/>
      <w:r w:rsidRPr="003A104F">
        <w:rPr>
          <w:lang w:val="en-US"/>
        </w:rPr>
        <w:t xml:space="preserve"> </w:t>
      </w:r>
      <w:proofErr w:type="spellStart"/>
      <w:r w:rsidRPr="003A104F">
        <w:rPr>
          <w:lang w:val="en-US"/>
        </w:rPr>
        <w:t>önemli</w:t>
      </w:r>
      <w:proofErr w:type="spellEnd"/>
      <w:r w:rsidRPr="003A104F">
        <w:rPr>
          <w:lang w:val="en-US"/>
        </w:rPr>
        <w:t xml:space="preserve"> </w:t>
      </w:r>
      <w:proofErr w:type="spellStart"/>
      <w:r w:rsidRPr="003A104F">
        <w:rPr>
          <w:lang w:val="en-US"/>
        </w:rPr>
        <w:t>hâle</w:t>
      </w:r>
      <w:proofErr w:type="spellEnd"/>
      <w:r w:rsidRPr="003A104F">
        <w:rPr>
          <w:lang w:val="en-US"/>
        </w:rPr>
        <w:t xml:space="preserve"> </w:t>
      </w:r>
      <w:proofErr w:type="spellStart"/>
      <w:r w:rsidRPr="003A104F">
        <w:rPr>
          <w:lang w:val="en-US"/>
        </w:rPr>
        <w:t>getirmektedir</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görüşün</w:t>
      </w:r>
      <w:proofErr w:type="spellEnd"/>
      <w:r w:rsidRPr="003A104F">
        <w:rPr>
          <w:lang w:val="en-US"/>
        </w:rPr>
        <w:t xml:space="preserve"> </w:t>
      </w:r>
      <w:proofErr w:type="spellStart"/>
      <w:r w:rsidRPr="003A104F">
        <w:rPr>
          <w:lang w:val="en-US"/>
        </w:rPr>
        <w:t>algısının</w:t>
      </w:r>
      <w:proofErr w:type="spellEnd"/>
      <w:r w:rsidRPr="003A104F">
        <w:rPr>
          <w:lang w:val="en-US"/>
        </w:rPr>
        <w:t xml:space="preserve">, </w:t>
      </w:r>
      <w:proofErr w:type="spellStart"/>
      <w:r w:rsidRPr="003A104F">
        <w:rPr>
          <w:lang w:val="en-US"/>
        </w:rPr>
        <w:t>onun</w:t>
      </w:r>
      <w:proofErr w:type="spellEnd"/>
      <w:r w:rsidRPr="003A104F">
        <w:rPr>
          <w:lang w:val="en-US"/>
        </w:rPr>
        <w:t xml:space="preserve"> </w:t>
      </w:r>
      <w:proofErr w:type="spellStart"/>
      <w:r w:rsidRPr="003A104F">
        <w:rPr>
          <w:lang w:val="en-US"/>
        </w:rPr>
        <w:t>uygulanması</w:t>
      </w:r>
      <w:proofErr w:type="spellEnd"/>
      <w:r w:rsidRPr="003A104F">
        <w:rPr>
          <w:lang w:val="en-US"/>
        </w:rPr>
        <w:t xml:space="preserve">, </w:t>
      </w:r>
      <w:proofErr w:type="spellStart"/>
      <w:r w:rsidRPr="003A104F">
        <w:rPr>
          <w:lang w:val="en-US"/>
        </w:rPr>
        <w:t>yargısal</w:t>
      </w:r>
      <w:proofErr w:type="spellEnd"/>
      <w:r w:rsidRPr="003A104F">
        <w:rPr>
          <w:lang w:val="en-US"/>
        </w:rPr>
        <w:t xml:space="preserve"> </w:t>
      </w:r>
      <w:proofErr w:type="spellStart"/>
      <w:r w:rsidRPr="003A104F">
        <w:rPr>
          <w:lang w:val="en-US"/>
        </w:rPr>
        <w:t>icrası</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yasama</w:t>
      </w:r>
      <w:proofErr w:type="spellEnd"/>
      <w:r w:rsidRPr="003A104F">
        <w:rPr>
          <w:lang w:val="en-US"/>
        </w:rPr>
        <w:t xml:space="preserve"> </w:t>
      </w:r>
      <w:proofErr w:type="spellStart"/>
      <w:r w:rsidRPr="003A104F">
        <w:rPr>
          <w:lang w:val="en-US"/>
        </w:rPr>
        <w:t>tepkisi</w:t>
      </w:r>
      <w:proofErr w:type="spellEnd"/>
      <w:r w:rsidRPr="003A104F">
        <w:rPr>
          <w:lang w:val="en-US"/>
        </w:rPr>
        <w:t xml:space="preserve"> </w:t>
      </w:r>
      <w:proofErr w:type="spellStart"/>
      <w:r w:rsidRPr="003A104F">
        <w:rPr>
          <w:lang w:val="en-US"/>
        </w:rPr>
        <w:t>üzerindeki</w:t>
      </w:r>
      <w:proofErr w:type="spellEnd"/>
      <w:r w:rsidRPr="003A104F">
        <w:rPr>
          <w:lang w:val="en-US"/>
        </w:rPr>
        <w:t xml:space="preserve"> </w:t>
      </w:r>
      <w:proofErr w:type="spellStart"/>
      <w:r w:rsidRPr="003A104F">
        <w:rPr>
          <w:lang w:val="en-US"/>
        </w:rPr>
        <w:t>merkezi</w:t>
      </w:r>
      <w:proofErr w:type="spellEnd"/>
      <w:r w:rsidRPr="003A104F">
        <w:rPr>
          <w:lang w:val="en-US"/>
        </w:rPr>
        <w:t xml:space="preserve"> </w:t>
      </w:r>
      <w:proofErr w:type="spellStart"/>
      <w:r w:rsidRPr="003A104F">
        <w:rPr>
          <w:lang w:val="en-US"/>
        </w:rPr>
        <w:t>rolü</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gerçeğin</w:t>
      </w:r>
      <w:proofErr w:type="spellEnd"/>
      <w:r w:rsidRPr="003A104F">
        <w:rPr>
          <w:lang w:val="en-US"/>
        </w:rPr>
        <w:t xml:space="preserve"> </w:t>
      </w:r>
      <w:proofErr w:type="spellStart"/>
      <w:r w:rsidRPr="003A104F">
        <w:rPr>
          <w:lang w:val="en-US"/>
        </w:rPr>
        <w:t>bilinmesinin</w:t>
      </w:r>
      <w:proofErr w:type="spellEnd"/>
      <w:r w:rsidRPr="003A104F">
        <w:rPr>
          <w:lang w:val="en-US"/>
        </w:rPr>
        <w:t xml:space="preserve">, Yüksek </w:t>
      </w:r>
      <w:proofErr w:type="spellStart"/>
      <w:r w:rsidRPr="003A104F">
        <w:rPr>
          <w:lang w:val="en-US"/>
        </w:rPr>
        <w:t>Mahkeme</w:t>
      </w:r>
      <w:proofErr w:type="spellEnd"/>
      <w:r w:rsidRPr="003A104F">
        <w:rPr>
          <w:lang w:val="en-US"/>
        </w:rPr>
        <w:t xml:space="preserve"> </w:t>
      </w:r>
      <w:proofErr w:type="spellStart"/>
      <w:r w:rsidRPr="003A104F">
        <w:rPr>
          <w:lang w:val="en-US"/>
        </w:rPr>
        <w:t>görüşlerinin</w:t>
      </w:r>
      <w:proofErr w:type="spellEnd"/>
      <w:r w:rsidRPr="003A104F">
        <w:rPr>
          <w:lang w:val="en-US"/>
        </w:rPr>
        <w:t xml:space="preserve"> </w:t>
      </w:r>
      <w:proofErr w:type="spellStart"/>
      <w:r w:rsidRPr="003A104F">
        <w:rPr>
          <w:lang w:val="en-US"/>
        </w:rPr>
        <w:t>biçimini</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içeriğini</w:t>
      </w:r>
      <w:proofErr w:type="spellEnd"/>
      <w:r w:rsidRPr="003A104F">
        <w:rPr>
          <w:lang w:val="en-US"/>
        </w:rPr>
        <w:t xml:space="preserve"> </w:t>
      </w:r>
      <w:proofErr w:type="spellStart"/>
      <w:r w:rsidRPr="003A104F">
        <w:rPr>
          <w:lang w:val="en-US"/>
        </w:rPr>
        <w:t>etkileyen</w:t>
      </w:r>
      <w:proofErr w:type="spellEnd"/>
      <w:r w:rsidRPr="003A104F">
        <w:rPr>
          <w:lang w:val="en-US"/>
        </w:rPr>
        <w:t xml:space="preserve"> </w:t>
      </w:r>
      <w:proofErr w:type="spellStart"/>
      <w:r w:rsidRPr="003A104F">
        <w:rPr>
          <w:lang w:val="en-US"/>
        </w:rPr>
        <w:t>geri</w:t>
      </w:r>
      <w:proofErr w:type="spellEnd"/>
      <w:r w:rsidRPr="003A104F">
        <w:rPr>
          <w:lang w:val="en-US"/>
        </w:rPr>
        <w:t xml:space="preserve"> </w:t>
      </w:r>
      <w:proofErr w:type="spellStart"/>
      <w:r w:rsidRPr="003A104F">
        <w:rPr>
          <w:lang w:val="en-US"/>
        </w:rPr>
        <w:t>bildirim</w:t>
      </w:r>
      <w:proofErr w:type="spellEnd"/>
      <w:r w:rsidRPr="003A104F">
        <w:rPr>
          <w:lang w:val="en-US"/>
        </w:rPr>
        <w:t xml:space="preserve"> </w:t>
      </w:r>
      <w:proofErr w:type="spellStart"/>
      <w:r w:rsidRPr="003A104F">
        <w:rPr>
          <w:lang w:val="en-US"/>
        </w:rPr>
        <w:t>döngüsü</w:t>
      </w:r>
      <w:proofErr w:type="spellEnd"/>
      <w:r w:rsidRPr="003A104F">
        <w:rPr>
          <w:lang w:val="en-US"/>
        </w:rPr>
        <w:t>.</w:t>
      </w:r>
      <w:r>
        <w:rPr>
          <w:lang w:val="en-US"/>
        </w:rPr>
        <w:t xml:space="preserve"> </w:t>
      </w:r>
      <w:r w:rsidRPr="003A104F">
        <w:rPr>
          <w:lang w:val="en-US"/>
        </w:rPr>
        <w:t xml:space="preserve">İlk </w:t>
      </w:r>
      <w:proofErr w:type="spellStart"/>
      <w:r w:rsidRPr="003A104F">
        <w:rPr>
          <w:lang w:val="en-US"/>
        </w:rPr>
        <w:t>noktadan</w:t>
      </w:r>
      <w:proofErr w:type="spellEnd"/>
      <w:r w:rsidRPr="003A104F">
        <w:rPr>
          <w:lang w:val="en-US"/>
        </w:rPr>
        <w:t xml:space="preserve"> </w:t>
      </w:r>
      <w:proofErr w:type="spellStart"/>
      <w:r w:rsidRPr="003A104F">
        <w:rPr>
          <w:lang w:val="en-US"/>
        </w:rPr>
        <w:t>başlarsak</w:t>
      </w:r>
      <w:proofErr w:type="spellEnd"/>
      <w:r w:rsidRPr="003A104F">
        <w:rPr>
          <w:lang w:val="en-US"/>
        </w:rPr>
        <w:t xml:space="preserve">, </w:t>
      </w:r>
      <w:proofErr w:type="spellStart"/>
      <w:r w:rsidRPr="003A104F">
        <w:rPr>
          <w:lang w:val="en-US"/>
        </w:rPr>
        <w:t>bilinçli</w:t>
      </w:r>
      <w:proofErr w:type="spellEnd"/>
      <w:r w:rsidRPr="003A104F">
        <w:rPr>
          <w:lang w:val="en-US"/>
        </w:rPr>
        <w:t xml:space="preserve"> </w:t>
      </w:r>
      <w:proofErr w:type="spellStart"/>
      <w:r w:rsidRPr="003A104F">
        <w:rPr>
          <w:lang w:val="en-US"/>
        </w:rPr>
        <w:t>dava</w:t>
      </w:r>
      <w:proofErr w:type="spellEnd"/>
      <w:r w:rsidRPr="003A104F">
        <w:rPr>
          <w:lang w:val="en-US"/>
        </w:rPr>
        <w:t xml:space="preserve"> </w:t>
      </w:r>
      <w:proofErr w:type="spellStart"/>
      <w:r w:rsidRPr="003A104F">
        <w:rPr>
          <w:lang w:val="en-US"/>
        </w:rPr>
        <w:t>tarafları</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toplumsal</w:t>
      </w:r>
      <w:proofErr w:type="spellEnd"/>
      <w:r w:rsidRPr="003A104F">
        <w:rPr>
          <w:lang w:val="en-US"/>
        </w:rPr>
        <w:t xml:space="preserve"> </w:t>
      </w:r>
      <w:proofErr w:type="spellStart"/>
      <w:r w:rsidRPr="003A104F">
        <w:rPr>
          <w:lang w:val="en-US"/>
        </w:rPr>
        <w:t>hareket</w:t>
      </w:r>
      <w:proofErr w:type="spellEnd"/>
      <w:r w:rsidRPr="003A104F">
        <w:rPr>
          <w:lang w:val="en-US"/>
        </w:rPr>
        <w:t xml:space="preserve"> </w:t>
      </w:r>
      <w:proofErr w:type="spellStart"/>
      <w:r w:rsidRPr="003A104F">
        <w:rPr>
          <w:lang w:val="en-US"/>
        </w:rPr>
        <w:t>avukatları</w:t>
      </w:r>
      <w:proofErr w:type="spellEnd"/>
      <w:r w:rsidRPr="003A104F">
        <w:rPr>
          <w:lang w:val="en-US"/>
        </w:rPr>
        <w:t xml:space="preserve"> </w:t>
      </w:r>
      <w:proofErr w:type="spellStart"/>
      <w:r w:rsidRPr="003A104F">
        <w:rPr>
          <w:lang w:val="en-US"/>
        </w:rPr>
        <w:t>uzun</w:t>
      </w:r>
      <w:proofErr w:type="spellEnd"/>
      <w:r w:rsidRPr="003A104F">
        <w:rPr>
          <w:lang w:val="en-US"/>
        </w:rPr>
        <w:t xml:space="preserve"> </w:t>
      </w:r>
      <w:proofErr w:type="spellStart"/>
      <w:r w:rsidRPr="003A104F">
        <w:rPr>
          <w:lang w:val="en-US"/>
        </w:rPr>
        <w:t>zamandır</w:t>
      </w:r>
      <w:proofErr w:type="spellEnd"/>
      <w:r w:rsidRPr="003A104F">
        <w:rPr>
          <w:lang w:val="en-US"/>
        </w:rPr>
        <w:t xml:space="preserve"> </w:t>
      </w:r>
      <w:proofErr w:type="spellStart"/>
      <w:r w:rsidRPr="003A104F">
        <w:rPr>
          <w:lang w:val="en-US"/>
        </w:rPr>
        <w:t>anayasal</w:t>
      </w:r>
      <w:proofErr w:type="spellEnd"/>
      <w:r w:rsidRPr="003A104F">
        <w:rPr>
          <w:lang w:val="en-US"/>
        </w:rPr>
        <w:t xml:space="preserve"> </w:t>
      </w:r>
      <w:proofErr w:type="spellStart"/>
      <w:r w:rsidRPr="003A104F">
        <w:rPr>
          <w:lang w:val="en-US"/>
        </w:rPr>
        <w:t>değişimin</w:t>
      </w:r>
      <w:proofErr w:type="spellEnd"/>
      <w:r w:rsidRPr="003A104F">
        <w:rPr>
          <w:lang w:val="en-US"/>
        </w:rPr>
        <w:t xml:space="preserve"> </w:t>
      </w:r>
      <w:proofErr w:type="spellStart"/>
      <w:r w:rsidRPr="003A104F">
        <w:rPr>
          <w:lang w:val="en-US"/>
        </w:rPr>
        <w:t>yalnızca</w:t>
      </w:r>
      <w:proofErr w:type="spellEnd"/>
      <w:r w:rsidRPr="003A104F">
        <w:rPr>
          <w:lang w:val="en-US"/>
        </w:rPr>
        <w:t xml:space="preserve"> Yüksek </w:t>
      </w:r>
      <w:proofErr w:type="spellStart"/>
      <w:r w:rsidRPr="003A104F">
        <w:rPr>
          <w:lang w:val="en-US"/>
        </w:rPr>
        <w:t>Mahkeme</w:t>
      </w:r>
      <w:proofErr w:type="spellEnd"/>
      <w:r w:rsidRPr="003A104F">
        <w:rPr>
          <w:lang w:val="en-US"/>
        </w:rPr>
        <w:t xml:space="preserve"> </w:t>
      </w:r>
      <w:proofErr w:type="spellStart"/>
      <w:r w:rsidRPr="003A104F">
        <w:rPr>
          <w:lang w:val="en-US"/>
        </w:rPr>
        <w:t>zaferleriyle</w:t>
      </w:r>
      <w:proofErr w:type="spellEnd"/>
      <w:r w:rsidRPr="003A104F">
        <w:rPr>
          <w:lang w:val="en-US"/>
        </w:rPr>
        <w:t xml:space="preserve"> </w:t>
      </w:r>
      <w:proofErr w:type="spellStart"/>
      <w:r w:rsidRPr="003A104F">
        <w:rPr>
          <w:lang w:val="en-US"/>
        </w:rPr>
        <w:t>değil</w:t>
      </w:r>
      <w:proofErr w:type="spellEnd"/>
      <w:r w:rsidRPr="003A104F">
        <w:rPr>
          <w:lang w:val="en-US"/>
        </w:rPr>
        <w:t xml:space="preserve">, </w:t>
      </w:r>
      <w:proofErr w:type="spellStart"/>
      <w:r w:rsidRPr="003A104F">
        <w:rPr>
          <w:lang w:val="en-US"/>
        </w:rPr>
        <w:t>aynı</w:t>
      </w:r>
      <w:proofErr w:type="spellEnd"/>
      <w:r w:rsidRPr="003A104F">
        <w:rPr>
          <w:lang w:val="en-US"/>
        </w:rPr>
        <w:t xml:space="preserve"> </w:t>
      </w:r>
      <w:proofErr w:type="spellStart"/>
      <w:r w:rsidRPr="003A104F">
        <w:rPr>
          <w:lang w:val="en-US"/>
        </w:rPr>
        <w:t>zamanda</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kararların</w:t>
      </w:r>
      <w:proofErr w:type="spellEnd"/>
      <w:r w:rsidRPr="003A104F">
        <w:rPr>
          <w:lang w:val="en-US"/>
        </w:rPr>
        <w:t xml:space="preserve"> alt </w:t>
      </w:r>
      <w:proofErr w:type="spellStart"/>
      <w:r w:rsidRPr="003A104F">
        <w:rPr>
          <w:lang w:val="en-US"/>
        </w:rPr>
        <w:t>mahkeme</w:t>
      </w:r>
      <w:proofErr w:type="spellEnd"/>
      <w:r w:rsidRPr="003A104F">
        <w:rPr>
          <w:lang w:val="en-US"/>
        </w:rPr>
        <w:t xml:space="preserve"> </w:t>
      </w:r>
      <w:proofErr w:type="spellStart"/>
      <w:r w:rsidRPr="003A104F">
        <w:rPr>
          <w:lang w:val="en-US"/>
        </w:rPr>
        <w:t>yargıçları</w:t>
      </w:r>
      <w:proofErr w:type="spellEnd"/>
      <w:r w:rsidRPr="003A104F">
        <w:rPr>
          <w:lang w:val="en-US"/>
        </w:rPr>
        <w:t xml:space="preserve">, </w:t>
      </w:r>
      <w:proofErr w:type="spellStart"/>
      <w:r w:rsidRPr="003A104F">
        <w:rPr>
          <w:lang w:val="en-US"/>
        </w:rPr>
        <w:t>seçilmiş</w:t>
      </w:r>
      <w:proofErr w:type="spellEnd"/>
      <w:r w:rsidRPr="003A104F">
        <w:rPr>
          <w:lang w:val="en-US"/>
        </w:rPr>
        <w:t xml:space="preserve"> </w:t>
      </w:r>
      <w:proofErr w:type="spellStart"/>
      <w:r w:rsidRPr="003A104F">
        <w:rPr>
          <w:lang w:val="en-US"/>
        </w:rPr>
        <w:t>yetkililer</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genel</w:t>
      </w:r>
      <w:proofErr w:type="spellEnd"/>
      <w:r w:rsidRPr="003A104F">
        <w:rPr>
          <w:lang w:val="en-US"/>
        </w:rPr>
        <w:t xml:space="preserve"> </w:t>
      </w:r>
      <w:proofErr w:type="spellStart"/>
      <w:r w:rsidRPr="003A104F">
        <w:rPr>
          <w:lang w:val="en-US"/>
        </w:rPr>
        <w:t>kamuoyu</w:t>
      </w:r>
      <w:proofErr w:type="spellEnd"/>
      <w:r w:rsidRPr="003A104F">
        <w:rPr>
          <w:lang w:val="en-US"/>
        </w:rPr>
        <w:t xml:space="preserve"> </w:t>
      </w:r>
      <w:proofErr w:type="spellStart"/>
      <w:r w:rsidRPr="003A104F">
        <w:rPr>
          <w:lang w:val="en-US"/>
        </w:rPr>
        <w:t>tarafından</w:t>
      </w:r>
      <w:proofErr w:type="spellEnd"/>
      <w:r w:rsidRPr="003A104F">
        <w:rPr>
          <w:lang w:val="en-US"/>
        </w:rPr>
        <w:t xml:space="preserve"> </w:t>
      </w:r>
      <w:proofErr w:type="spellStart"/>
      <w:r w:rsidRPr="003A104F">
        <w:rPr>
          <w:lang w:val="en-US"/>
        </w:rPr>
        <w:t>geniş</w:t>
      </w:r>
      <w:proofErr w:type="spellEnd"/>
      <w:r w:rsidRPr="003A104F">
        <w:rPr>
          <w:lang w:val="en-US"/>
        </w:rPr>
        <w:t xml:space="preserve"> </w:t>
      </w:r>
      <w:proofErr w:type="spellStart"/>
      <w:r w:rsidRPr="003A104F">
        <w:rPr>
          <w:lang w:val="en-US"/>
        </w:rPr>
        <w:t>anlamda</w:t>
      </w:r>
      <w:proofErr w:type="spellEnd"/>
      <w:r w:rsidRPr="003A104F">
        <w:rPr>
          <w:lang w:val="en-US"/>
        </w:rPr>
        <w:t xml:space="preserve"> </w:t>
      </w:r>
      <w:proofErr w:type="spellStart"/>
      <w:r w:rsidRPr="003A104F">
        <w:rPr>
          <w:lang w:val="en-US"/>
        </w:rPr>
        <w:t>anlaşılmasını</w:t>
      </w:r>
      <w:proofErr w:type="spellEnd"/>
      <w:r w:rsidRPr="003A104F">
        <w:rPr>
          <w:lang w:val="en-US"/>
        </w:rPr>
        <w:t xml:space="preserve">, </w:t>
      </w:r>
      <w:proofErr w:type="spellStart"/>
      <w:r w:rsidRPr="003A104F">
        <w:rPr>
          <w:lang w:val="en-US"/>
        </w:rPr>
        <w:t>bağlayıcı</w:t>
      </w:r>
      <w:proofErr w:type="spellEnd"/>
      <w:r w:rsidRPr="003A104F">
        <w:rPr>
          <w:lang w:val="en-US"/>
        </w:rPr>
        <w:t xml:space="preserve"> </w:t>
      </w:r>
      <w:proofErr w:type="spellStart"/>
      <w:r w:rsidRPr="003A104F">
        <w:rPr>
          <w:lang w:val="en-US"/>
        </w:rPr>
        <w:t>olarak</w:t>
      </w:r>
      <w:proofErr w:type="spellEnd"/>
      <w:r w:rsidRPr="003A104F">
        <w:rPr>
          <w:lang w:val="en-US"/>
        </w:rPr>
        <w:t xml:space="preserve"> </w:t>
      </w:r>
      <w:proofErr w:type="spellStart"/>
      <w:r w:rsidRPr="003A104F">
        <w:rPr>
          <w:lang w:val="en-US"/>
        </w:rPr>
        <w:t>kabul</w:t>
      </w:r>
      <w:proofErr w:type="spellEnd"/>
      <w:r w:rsidRPr="003A104F">
        <w:rPr>
          <w:lang w:val="en-US"/>
        </w:rPr>
        <w:t xml:space="preserve"> </w:t>
      </w:r>
      <w:proofErr w:type="spellStart"/>
      <w:r w:rsidRPr="003A104F">
        <w:rPr>
          <w:lang w:val="en-US"/>
        </w:rPr>
        <w:t>edilmesini</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etkin</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şekilde</w:t>
      </w:r>
      <w:proofErr w:type="spellEnd"/>
      <w:r w:rsidRPr="003A104F">
        <w:rPr>
          <w:lang w:val="en-US"/>
        </w:rPr>
        <w:t xml:space="preserve"> </w:t>
      </w:r>
      <w:proofErr w:type="spellStart"/>
      <w:r w:rsidRPr="003A104F">
        <w:rPr>
          <w:lang w:val="en-US"/>
        </w:rPr>
        <w:t>uygulanmasını</w:t>
      </w:r>
      <w:proofErr w:type="spellEnd"/>
      <w:r w:rsidRPr="003A104F">
        <w:rPr>
          <w:lang w:val="en-US"/>
        </w:rPr>
        <w:t xml:space="preserve"> </w:t>
      </w:r>
      <w:proofErr w:type="spellStart"/>
      <w:r w:rsidRPr="003A104F">
        <w:rPr>
          <w:lang w:val="en-US"/>
        </w:rPr>
        <w:t>teşvik</w:t>
      </w:r>
      <w:proofErr w:type="spellEnd"/>
      <w:r w:rsidRPr="003A104F">
        <w:rPr>
          <w:lang w:val="en-US"/>
        </w:rPr>
        <w:t xml:space="preserve"> </w:t>
      </w:r>
      <w:proofErr w:type="spellStart"/>
      <w:r w:rsidRPr="003A104F">
        <w:rPr>
          <w:lang w:val="en-US"/>
        </w:rPr>
        <w:t>eden</w:t>
      </w:r>
      <w:proofErr w:type="spellEnd"/>
      <w:r w:rsidRPr="003A104F">
        <w:rPr>
          <w:lang w:val="en-US"/>
        </w:rPr>
        <w:t xml:space="preserve"> </w:t>
      </w:r>
      <w:proofErr w:type="spellStart"/>
      <w:r w:rsidRPr="003A104F">
        <w:rPr>
          <w:lang w:val="en-US"/>
        </w:rPr>
        <w:t>veya</w:t>
      </w:r>
      <w:proofErr w:type="spellEnd"/>
      <w:r w:rsidRPr="003A104F">
        <w:rPr>
          <w:lang w:val="en-US"/>
        </w:rPr>
        <w:t xml:space="preserve"> </w:t>
      </w:r>
      <w:proofErr w:type="spellStart"/>
      <w:r w:rsidRPr="003A104F">
        <w:rPr>
          <w:lang w:val="en-US"/>
        </w:rPr>
        <w:t>zorlayan</w:t>
      </w:r>
      <w:proofErr w:type="spellEnd"/>
      <w:r w:rsidRPr="003A104F">
        <w:rPr>
          <w:lang w:val="en-US"/>
        </w:rPr>
        <w:t xml:space="preserve"> </w:t>
      </w:r>
      <w:proofErr w:type="spellStart"/>
      <w:r w:rsidRPr="003A104F">
        <w:rPr>
          <w:lang w:val="en-US"/>
        </w:rPr>
        <w:t>toplumsal</w:t>
      </w:r>
      <w:proofErr w:type="spellEnd"/>
      <w:r w:rsidRPr="003A104F">
        <w:rPr>
          <w:lang w:val="en-US"/>
        </w:rPr>
        <w:t xml:space="preserve"> </w:t>
      </w:r>
      <w:proofErr w:type="spellStart"/>
      <w:r w:rsidRPr="003A104F">
        <w:rPr>
          <w:lang w:val="en-US"/>
        </w:rPr>
        <w:t>koşulların</w:t>
      </w:r>
      <w:proofErr w:type="spellEnd"/>
      <w:r w:rsidRPr="003A104F">
        <w:rPr>
          <w:lang w:val="en-US"/>
        </w:rPr>
        <w:t xml:space="preserve"> </w:t>
      </w:r>
      <w:proofErr w:type="spellStart"/>
      <w:r w:rsidRPr="003A104F">
        <w:rPr>
          <w:lang w:val="en-US"/>
        </w:rPr>
        <w:t>yaratılmasını</w:t>
      </w:r>
      <w:proofErr w:type="spellEnd"/>
      <w:r w:rsidRPr="003A104F">
        <w:rPr>
          <w:lang w:val="en-US"/>
        </w:rPr>
        <w:t xml:space="preserve"> da </w:t>
      </w:r>
      <w:proofErr w:type="spellStart"/>
      <w:r w:rsidRPr="003A104F">
        <w:rPr>
          <w:lang w:val="en-US"/>
        </w:rPr>
        <w:t>gerektirdiğini</w:t>
      </w:r>
      <w:proofErr w:type="spellEnd"/>
      <w:r w:rsidRPr="003A104F">
        <w:rPr>
          <w:lang w:val="en-US"/>
        </w:rPr>
        <w:t xml:space="preserve"> anlamışlardır.¹¹³</w:t>
      </w:r>
      <w:r>
        <w:rPr>
          <w:lang w:val="en-US"/>
        </w:rPr>
        <w:t xml:space="preserve"> </w:t>
      </w:r>
      <w:r>
        <w:rPr>
          <w:rStyle w:val="FootnoteReference"/>
          <w:lang w:val="en-US"/>
        </w:rPr>
        <w:footnoteReference w:id="113"/>
      </w:r>
      <w:r>
        <w:rPr>
          <w:lang w:val="en-US"/>
        </w:rPr>
        <w:t xml:space="preserve"> </w:t>
      </w:r>
      <w:r w:rsidRPr="003A104F">
        <w:rPr>
          <w:lang w:val="en-US"/>
        </w:rPr>
        <w:t xml:space="preserve">Bu </w:t>
      </w:r>
      <w:proofErr w:type="spellStart"/>
      <w:r w:rsidRPr="003A104F">
        <w:rPr>
          <w:lang w:val="en-US"/>
        </w:rPr>
        <w:t>doğrultuda</w:t>
      </w:r>
      <w:proofErr w:type="spellEnd"/>
      <w:r w:rsidRPr="003A104F">
        <w:rPr>
          <w:lang w:val="en-US"/>
        </w:rPr>
        <w:t xml:space="preserve">, Yüksek </w:t>
      </w:r>
      <w:proofErr w:type="spellStart"/>
      <w:r w:rsidRPr="003A104F">
        <w:rPr>
          <w:lang w:val="en-US"/>
        </w:rPr>
        <w:t>Mahkeme</w:t>
      </w:r>
      <w:proofErr w:type="spellEnd"/>
      <w:r w:rsidRPr="003A104F">
        <w:rPr>
          <w:lang w:val="en-US"/>
        </w:rPr>
        <w:t xml:space="preserve"> </w:t>
      </w:r>
      <w:proofErr w:type="spellStart"/>
      <w:r w:rsidRPr="003A104F">
        <w:rPr>
          <w:lang w:val="en-US"/>
        </w:rPr>
        <w:t>kararlarıyla</w:t>
      </w:r>
      <w:proofErr w:type="spellEnd"/>
      <w:r w:rsidRPr="003A104F">
        <w:rPr>
          <w:lang w:val="en-US"/>
        </w:rPr>
        <w:t xml:space="preserve"> </w:t>
      </w:r>
      <w:proofErr w:type="spellStart"/>
      <w:r w:rsidRPr="003A104F">
        <w:rPr>
          <w:lang w:val="en-US"/>
        </w:rPr>
        <w:t>yakından</w:t>
      </w:r>
      <w:proofErr w:type="spellEnd"/>
      <w:r w:rsidRPr="003A104F">
        <w:rPr>
          <w:lang w:val="en-US"/>
        </w:rPr>
        <w:t xml:space="preserve"> </w:t>
      </w:r>
      <w:proofErr w:type="spellStart"/>
      <w:r w:rsidRPr="003A104F">
        <w:rPr>
          <w:lang w:val="en-US"/>
        </w:rPr>
        <w:t>ilgilenen</w:t>
      </w:r>
      <w:proofErr w:type="spellEnd"/>
      <w:r w:rsidRPr="003A104F">
        <w:rPr>
          <w:lang w:val="en-US"/>
        </w:rPr>
        <w:t xml:space="preserve"> </w:t>
      </w:r>
      <w:proofErr w:type="spellStart"/>
      <w:r w:rsidRPr="003A104F">
        <w:rPr>
          <w:lang w:val="en-US"/>
        </w:rPr>
        <w:t>örgütler</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bireyler</w:t>
      </w:r>
      <w:proofErr w:type="spellEnd"/>
      <w:r w:rsidRPr="003A104F">
        <w:rPr>
          <w:lang w:val="en-US"/>
        </w:rPr>
        <w:t xml:space="preserve">, </w:t>
      </w:r>
      <w:proofErr w:type="spellStart"/>
      <w:r w:rsidRPr="003A104F">
        <w:rPr>
          <w:lang w:val="en-US"/>
        </w:rPr>
        <w:t>en</w:t>
      </w:r>
      <w:proofErr w:type="spellEnd"/>
      <w:r w:rsidRPr="003A104F">
        <w:rPr>
          <w:lang w:val="en-US"/>
        </w:rPr>
        <w:t xml:space="preserve"> </w:t>
      </w:r>
      <w:proofErr w:type="spellStart"/>
      <w:r w:rsidRPr="003A104F">
        <w:rPr>
          <w:lang w:val="en-US"/>
        </w:rPr>
        <w:t>az</w:t>
      </w:r>
      <w:proofErr w:type="spellEnd"/>
      <w:r w:rsidRPr="003A104F">
        <w:rPr>
          <w:lang w:val="en-US"/>
        </w:rPr>
        <w:t xml:space="preserve"> </w:t>
      </w:r>
      <w:proofErr w:type="spellStart"/>
      <w:r w:rsidRPr="003A104F">
        <w:rPr>
          <w:lang w:val="en-US"/>
        </w:rPr>
        <w:t>yetmiş</w:t>
      </w:r>
      <w:proofErr w:type="spellEnd"/>
      <w:r w:rsidRPr="003A104F">
        <w:rPr>
          <w:lang w:val="en-US"/>
        </w:rPr>
        <w:t xml:space="preserve"> </w:t>
      </w:r>
      <w:proofErr w:type="spellStart"/>
      <w:r w:rsidRPr="003A104F">
        <w:rPr>
          <w:lang w:val="en-US"/>
        </w:rPr>
        <w:t>beş</w:t>
      </w:r>
      <w:proofErr w:type="spellEnd"/>
      <w:r w:rsidRPr="003A104F">
        <w:rPr>
          <w:lang w:val="en-US"/>
        </w:rPr>
        <w:t xml:space="preserve"> </w:t>
      </w:r>
      <w:proofErr w:type="spellStart"/>
      <w:r w:rsidRPr="003A104F">
        <w:rPr>
          <w:lang w:val="en-US"/>
        </w:rPr>
        <w:t>yıldır</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kararların</w:t>
      </w:r>
      <w:proofErr w:type="spellEnd"/>
      <w:r w:rsidRPr="003A104F">
        <w:rPr>
          <w:lang w:val="en-US"/>
        </w:rPr>
        <w:t xml:space="preserve"> </w:t>
      </w:r>
      <w:proofErr w:type="spellStart"/>
      <w:r w:rsidRPr="003A104F">
        <w:rPr>
          <w:lang w:val="en-US"/>
        </w:rPr>
        <w:t>içeriğini</w:t>
      </w:r>
      <w:proofErr w:type="spellEnd"/>
      <w:r w:rsidRPr="003A104F">
        <w:rPr>
          <w:lang w:val="en-US"/>
        </w:rPr>
        <w:t xml:space="preserve">, </w:t>
      </w:r>
      <w:proofErr w:type="spellStart"/>
      <w:r w:rsidRPr="003A104F">
        <w:rPr>
          <w:lang w:val="en-US"/>
        </w:rPr>
        <w:t>sonuçlarını</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doğruluğunu</w:t>
      </w:r>
      <w:proofErr w:type="spellEnd"/>
      <w:r w:rsidRPr="003A104F">
        <w:rPr>
          <w:lang w:val="en-US"/>
        </w:rPr>
        <w:t xml:space="preserve"> </w:t>
      </w:r>
      <w:proofErr w:type="spellStart"/>
      <w:r w:rsidRPr="003A104F">
        <w:rPr>
          <w:lang w:val="en-US"/>
        </w:rPr>
        <w:t>kamuoyunda</w:t>
      </w:r>
      <w:proofErr w:type="spellEnd"/>
      <w:r w:rsidRPr="003A104F">
        <w:rPr>
          <w:lang w:val="en-US"/>
        </w:rPr>
        <w:t xml:space="preserve"> </w:t>
      </w:r>
      <w:proofErr w:type="spellStart"/>
      <w:r w:rsidRPr="003A104F">
        <w:rPr>
          <w:lang w:val="en-US"/>
        </w:rPr>
        <w:t>kontrol</w:t>
      </w:r>
      <w:proofErr w:type="spellEnd"/>
      <w:r w:rsidRPr="003A104F">
        <w:rPr>
          <w:lang w:val="en-US"/>
        </w:rPr>
        <w:t xml:space="preserve"> </w:t>
      </w:r>
      <w:proofErr w:type="spellStart"/>
      <w:r w:rsidRPr="003A104F">
        <w:rPr>
          <w:lang w:val="en-US"/>
        </w:rPr>
        <w:t>etmeye</w:t>
      </w:r>
      <w:proofErr w:type="spellEnd"/>
      <w:r w:rsidRPr="003A104F">
        <w:rPr>
          <w:lang w:val="en-US"/>
        </w:rPr>
        <w:t xml:space="preserve"> çalışmaktadır.¹¹⁴</w:t>
      </w:r>
      <w:r>
        <w:rPr>
          <w:lang w:val="en-US"/>
        </w:rPr>
        <w:t xml:space="preserve"> </w:t>
      </w:r>
      <w:r>
        <w:rPr>
          <w:rStyle w:val="FootnoteReference"/>
          <w:lang w:val="en-US"/>
        </w:rPr>
        <w:footnoteReference w:id="114"/>
      </w:r>
      <w:r w:rsidRPr="003A104F">
        <w:rPr>
          <w:lang w:val="en-US"/>
        </w:rPr>
        <w:t xml:space="preserve"> Son </w:t>
      </w:r>
      <w:proofErr w:type="spellStart"/>
      <w:r w:rsidRPr="003A104F">
        <w:rPr>
          <w:lang w:val="en-US"/>
        </w:rPr>
        <w:t>yıllarda</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tür</w:t>
      </w:r>
      <w:proofErr w:type="spellEnd"/>
      <w:r w:rsidRPr="003A104F">
        <w:rPr>
          <w:lang w:val="en-US"/>
        </w:rPr>
        <w:t xml:space="preserve"> </w:t>
      </w:r>
      <w:proofErr w:type="spellStart"/>
      <w:r w:rsidRPr="003A104F">
        <w:rPr>
          <w:lang w:val="en-US"/>
        </w:rPr>
        <w:t>uygulamalar</w:t>
      </w:r>
      <w:proofErr w:type="spellEnd"/>
      <w:r w:rsidRPr="003A104F">
        <w:rPr>
          <w:lang w:val="en-US"/>
        </w:rPr>
        <w:t xml:space="preserve"> </w:t>
      </w:r>
      <w:proofErr w:type="spellStart"/>
      <w:r w:rsidRPr="003A104F">
        <w:rPr>
          <w:lang w:val="en-US"/>
        </w:rPr>
        <w:t>daha</w:t>
      </w:r>
      <w:proofErr w:type="spellEnd"/>
      <w:r w:rsidRPr="003A104F">
        <w:rPr>
          <w:lang w:val="en-US"/>
        </w:rPr>
        <w:t xml:space="preserve"> </w:t>
      </w:r>
      <w:proofErr w:type="spellStart"/>
      <w:r w:rsidRPr="003A104F">
        <w:rPr>
          <w:lang w:val="en-US"/>
        </w:rPr>
        <w:t>yaygın</w:t>
      </w:r>
      <w:proofErr w:type="spellEnd"/>
      <w:r w:rsidRPr="003A104F">
        <w:rPr>
          <w:lang w:val="en-US"/>
        </w:rPr>
        <w:t xml:space="preserve"> </w:t>
      </w:r>
      <w:proofErr w:type="spellStart"/>
      <w:r w:rsidRPr="003A104F">
        <w:rPr>
          <w:lang w:val="en-US"/>
        </w:rPr>
        <w:t>hâle</w:t>
      </w:r>
      <w:proofErr w:type="spellEnd"/>
      <w:r w:rsidRPr="003A104F">
        <w:rPr>
          <w:lang w:val="en-US"/>
        </w:rPr>
        <w:t xml:space="preserve"> </w:t>
      </w:r>
      <w:proofErr w:type="spellStart"/>
      <w:r w:rsidRPr="003A104F">
        <w:rPr>
          <w:lang w:val="en-US"/>
        </w:rPr>
        <w:t>gelmiştir</w:t>
      </w:r>
      <w:proofErr w:type="spellEnd"/>
      <w:r w:rsidRPr="003A104F">
        <w:rPr>
          <w:lang w:val="en-US"/>
        </w:rPr>
        <w:t xml:space="preserve">; </w:t>
      </w:r>
      <w:proofErr w:type="spellStart"/>
      <w:r w:rsidRPr="003A104F">
        <w:rPr>
          <w:lang w:val="en-US"/>
        </w:rPr>
        <w:t>sosyal</w:t>
      </w:r>
      <w:proofErr w:type="spellEnd"/>
      <w:r w:rsidRPr="003A104F">
        <w:rPr>
          <w:lang w:val="en-US"/>
        </w:rPr>
        <w:t xml:space="preserve"> </w:t>
      </w:r>
      <w:proofErr w:type="spellStart"/>
      <w:r w:rsidRPr="003A104F">
        <w:rPr>
          <w:lang w:val="en-US"/>
        </w:rPr>
        <w:t>medyanın</w:t>
      </w:r>
      <w:proofErr w:type="spellEnd"/>
      <w:r w:rsidRPr="003A104F">
        <w:rPr>
          <w:lang w:val="en-US"/>
        </w:rPr>
        <w:t xml:space="preserve">, </w:t>
      </w:r>
      <w:proofErr w:type="spellStart"/>
      <w:r w:rsidRPr="003A104F">
        <w:rPr>
          <w:lang w:val="en-US"/>
        </w:rPr>
        <w:t>kablolu</w:t>
      </w:r>
      <w:proofErr w:type="spellEnd"/>
      <w:r w:rsidRPr="003A104F">
        <w:rPr>
          <w:lang w:val="en-US"/>
        </w:rPr>
        <w:t xml:space="preserve"> </w:t>
      </w:r>
      <w:proofErr w:type="spellStart"/>
      <w:r w:rsidRPr="003A104F">
        <w:rPr>
          <w:lang w:val="en-US"/>
        </w:rPr>
        <w:t>televizyonun</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çevrimiçi</w:t>
      </w:r>
      <w:proofErr w:type="spellEnd"/>
      <w:r w:rsidRPr="003A104F">
        <w:rPr>
          <w:lang w:val="en-US"/>
        </w:rPr>
        <w:t xml:space="preserve"> </w:t>
      </w:r>
      <w:proofErr w:type="spellStart"/>
      <w:r w:rsidRPr="003A104F">
        <w:rPr>
          <w:lang w:val="en-US"/>
        </w:rPr>
        <w:t>bilgi</w:t>
      </w:r>
      <w:proofErr w:type="spellEnd"/>
      <w:r w:rsidRPr="003A104F">
        <w:rPr>
          <w:lang w:val="en-US"/>
        </w:rPr>
        <w:t xml:space="preserve"> </w:t>
      </w:r>
      <w:proofErr w:type="spellStart"/>
      <w:r w:rsidRPr="003A104F">
        <w:rPr>
          <w:lang w:val="en-US"/>
        </w:rPr>
        <w:t>kaynaklarının</w:t>
      </w:r>
      <w:proofErr w:type="spellEnd"/>
      <w:r w:rsidRPr="003A104F">
        <w:rPr>
          <w:lang w:val="en-US"/>
        </w:rPr>
        <w:t xml:space="preserve"> </w:t>
      </w:r>
      <w:proofErr w:type="spellStart"/>
      <w:r w:rsidRPr="003A104F">
        <w:rPr>
          <w:lang w:val="en-US"/>
        </w:rPr>
        <w:t>çoğalması</w:t>
      </w:r>
      <w:proofErr w:type="spellEnd"/>
      <w:r w:rsidRPr="003A104F">
        <w:rPr>
          <w:lang w:val="en-US"/>
        </w:rPr>
        <w:t xml:space="preserve">, </w:t>
      </w:r>
      <w:proofErr w:type="spellStart"/>
      <w:r w:rsidRPr="003A104F">
        <w:rPr>
          <w:lang w:val="en-US"/>
        </w:rPr>
        <w:t>mahkeme</w:t>
      </w:r>
      <w:proofErr w:type="spellEnd"/>
      <w:r w:rsidRPr="003A104F">
        <w:rPr>
          <w:lang w:val="en-US"/>
        </w:rPr>
        <w:t xml:space="preserve"> </w:t>
      </w:r>
      <w:proofErr w:type="spellStart"/>
      <w:r w:rsidRPr="003A104F">
        <w:rPr>
          <w:lang w:val="en-US"/>
        </w:rPr>
        <w:t>kararlarını</w:t>
      </w:r>
      <w:proofErr w:type="spellEnd"/>
      <w:r w:rsidRPr="003A104F">
        <w:rPr>
          <w:lang w:val="en-US"/>
        </w:rPr>
        <w:t xml:space="preserve"> </w:t>
      </w:r>
      <w:proofErr w:type="spellStart"/>
      <w:r w:rsidRPr="003A104F">
        <w:rPr>
          <w:lang w:val="en-US"/>
        </w:rPr>
        <w:t>yorumlayan</w:t>
      </w:r>
      <w:proofErr w:type="spellEnd"/>
      <w:r w:rsidRPr="003A104F">
        <w:rPr>
          <w:lang w:val="en-US"/>
        </w:rPr>
        <w:t xml:space="preserve"> </w:t>
      </w:r>
      <w:proofErr w:type="spellStart"/>
      <w:r w:rsidRPr="003A104F">
        <w:rPr>
          <w:lang w:val="en-US"/>
        </w:rPr>
        <w:t>anlatılar</w:t>
      </w:r>
      <w:proofErr w:type="spellEnd"/>
      <w:r w:rsidRPr="003A104F">
        <w:rPr>
          <w:lang w:val="en-US"/>
        </w:rPr>
        <w:t xml:space="preserve"> </w:t>
      </w:r>
      <w:proofErr w:type="spellStart"/>
      <w:r w:rsidRPr="003A104F">
        <w:rPr>
          <w:lang w:val="en-US"/>
        </w:rPr>
        <w:t>oluşturma</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hedeflenmiş</w:t>
      </w:r>
      <w:proofErr w:type="spellEnd"/>
      <w:r w:rsidRPr="003A104F">
        <w:rPr>
          <w:lang w:val="en-US"/>
        </w:rPr>
        <w:t xml:space="preserve"> </w:t>
      </w:r>
      <w:proofErr w:type="spellStart"/>
      <w:r w:rsidRPr="003A104F">
        <w:rPr>
          <w:lang w:val="en-US"/>
        </w:rPr>
        <w:t>değerlendirmeler</w:t>
      </w:r>
      <w:proofErr w:type="spellEnd"/>
      <w:r w:rsidRPr="003A104F">
        <w:rPr>
          <w:lang w:val="en-US"/>
        </w:rPr>
        <w:t xml:space="preserve"> </w:t>
      </w:r>
      <w:proofErr w:type="spellStart"/>
      <w:r w:rsidRPr="003A104F">
        <w:rPr>
          <w:lang w:val="en-US"/>
        </w:rPr>
        <w:t>sunma</w:t>
      </w:r>
      <w:proofErr w:type="spellEnd"/>
      <w:r w:rsidRPr="003A104F">
        <w:rPr>
          <w:lang w:val="en-US"/>
        </w:rPr>
        <w:t xml:space="preserve"> </w:t>
      </w:r>
      <w:proofErr w:type="spellStart"/>
      <w:r w:rsidRPr="003A104F">
        <w:rPr>
          <w:lang w:val="en-US"/>
        </w:rPr>
        <w:t>imkânlarını</w:t>
      </w:r>
      <w:proofErr w:type="spellEnd"/>
      <w:r w:rsidRPr="003A104F">
        <w:rPr>
          <w:lang w:val="en-US"/>
        </w:rPr>
        <w:t xml:space="preserve"> </w:t>
      </w:r>
      <w:proofErr w:type="spellStart"/>
      <w:r w:rsidRPr="003A104F">
        <w:rPr>
          <w:lang w:val="en-US"/>
        </w:rPr>
        <w:t>artırmıştır</w:t>
      </w:r>
      <w:proofErr w:type="spellEnd"/>
      <w:r w:rsidRPr="003A104F">
        <w:rPr>
          <w:lang w:val="en-US"/>
        </w:rPr>
        <w:t xml:space="preserve">. </w:t>
      </w:r>
      <w:proofErr w:type="spellStart"/>
      <w:r w:rsidRPr="003A104F">
        <w:rPr>
          <w:lang w:val="en-US"/>
        </w:rPr>
        <w:t>Aynı</w:t>
      </w:r>
      <w:proofErr w:type="spellEnd"/>
      <w:r w:rsidRPr="003A104F">
        <w:rPr>
          <w:lang w:val="en-US"/>
        </w:rPr>
        <w:t xml:space="preserve"> </w:t>
      </w:r>
      <w:proofErr w:type="spellStart"/>
      <w:r w:rsidRPr="003A104F">
        <w:rPr>
          <w:lang w:val="en-US"/>
        </w:rPr>
        <w:t>zamanda</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süreçler</w:t>
      </w:r>
      <w:proofErr w:type="spellEnd"/>
      <w:r w:rsidRPr="003A104F">
        <w:rPr>
          <w:lang w:val="en-US"/>
        </w:rPr>
        <w:t xml:space="preserve"> </w:t>
      </w:r>
      <w:proofErr w:type="spellStart"/>
      <w:r w:rsidRPr="003A104F">
        <w:rPr>
          <w:lang w:val="en-US"/>
        </w:rPr>
        <w:t>daha</w:t>
      </w:r>
      <w:proofErr w:type="spellEnd"/>
      <w:r w:rsidRPr="003A104F">
        <w:rPr>
          <w:lang w:val="en-US"/>
        </w:rPr>
        <w:t xml:space="preserve"> </w:t>
      </w:r>
      <w:proofErr w:type="spellStart"/>
      <w:r w:rsidRPr="003A104F">
        <w:rPr>
          <w:lang w:val="en-US"/>
        </w:rPr>
        <w:t>kurumsallaşmış</w:t>
      </w:r>
      <w:proofErr w:type="spellEnd"/>
      <w:r w:rsidRPr="003A104F">
        <w:rPr>
          <w:lang w:val="en-US"/>
        </w:rPr>
        <w:t xml:space="preserve"> </w:t>
      </w:r>
      <w:proofErr w:type="spellStart"/>
      <w:r w:rsidRPr="003A104F">
        <w:rPr>
          <w:lang w:val="en-US"/>
        </w:rPr>
        <w:t>hâle</w:t>
      </w:r>
      <w:proofErr w:type="spellEnd"/>
      <w:r w:rsidRPr="003A104F">
        <w:rPr>
          <w:lang w:val="en-US"/>
        </w:rPr>
        <w:t xml:space="preserve"> </w:t>
      </w:r>
      <w:proofErr w:type="spellStart"/>
      <w:r w:rsidRPr="003A104F">
        <w:rPr>
          <w:lang w:val="en-US"/>
        </w:rPr>
        <w:t>gelmiştir</w:t>
      </w:r>
      <w:proofErr w:type="spellEnd"/>
      <w:r w:rsidRPr="003A104F">
        <w:rPr>
          <w:lang w:val="en-US"/>
        </w:rPr>
        <w:t xml:space="preserve">; </w:t>
      </w:r>
      <w:proofErr w:type="spellStart"/>
      <w:r w:rsidRPr="003A104F">
        <w:rPr>
          <w:lang w:val="en-US"/>
        </w:rPr>
        <w:t>medya</w:t>
      </w:r>
      <w:proofErr w:type="spellEnd"/>
      <w:r w:rsidRPr="003A104F">
        <w:rPr>
          <w:lang w:val="en-US"/>
        </w:rPr>
        <w:t xml:space="preserve"> </w:t>
      </w:r>
      <w:proofErr w:type="spellStart"/>
      <w:r w:rsidRPr="003A104F">
        <w:rPr>
          <w:lang w:val="en-US"/>
        </w:rPr>
        <w:t>kaynakları</w:t>
      </w:r>
      <w:proofErr w:type="spellEnd"/>
      <w:r w:rsidRPr="003A104F">
        <w:rPr>
          <w:lang w:val="en-US"/>
        </w:rPr>
        <w:t xml:space="preserve">, </w:t>
      </w:r>
      <w:proofErr w:type="spellStart"/>
      <w:r w:rsidRPr="003A104F">
        <w:rPr>
          <w:lang w:val="en-US"/>
        </w:rPr>
        <w:t>Mahkeme’nin</w:t>
      </w:r>
      <w:proofErr w:type="spellEnd"/>
      <w:r w:rsidRPr="003A104F">
        <w:rPr>
          <w:lang w:val="en-US"/>
        </w:rPr>
        <w:t xml:space="preserve"> </w:t>
      </w:r>
      <w:proofErr w:type="spellStart"/>
      <w:r w:rsidRPr="003A104F">
        <w:rPr>
          <w:lang w:val="en-US"/>
        </w:rPr>
        <w:t>merdivenlerinde</w:t>
      </w:r>
      <w:proofErr w:type="spellEnd"/>
      <w:r w:rsidRPr="003A104F">
        <w:rPr>
          <w:lang w:val="en-US"/>
        </w:rPr>
        <w:t xml:space="preserve"> </w:t>
      </w:r>
      <w:proofErr w:type="spellStart"/>
      <w:r w:rsidRPr="003A104F">
        <w:rPr>
          <w:lang w:val="en-US"/>
        </w:rPr>
        <w:t>yapılan</w:t>
      </w:r>
      <w:proofErr w:type="spellEnd"/>
      <w:r w:rsidRPr="003A104F">
        <w:rPr>
          <w:lang w:val="en-US"/>
        </w:rPr>
        <w:t xml:space="preserve"> </w:t>
      </w:r>
      <w:proofErr w:type="spellStart"/>
      <w:r w:rsidRPr="003A104F">
        <w:rPr>
          <w:lang w:val="en-US"/>
        </w:rPr>
        <w:t>karşıt</w:t>
      </w:r>
      <w:proofErr w:type="spellEnd"/>
      <w:r w:rsidRPr="003A104F">
        <w:rPr>
          <w:lang w:val="en-US"/>
        </w:rPr>
        <w:t xml:space="preserve"> </w:t>
      </w:r>
      <w:proofErr w:type="spellStart"/>
      <w:r w:rsidRPr="003A104F">
        <w:rPr>
          <w:lang w:val="en-US"/>
        </w:rPr>
        <w:t>basın</w:t>
      </w:r>
      <w:proofErr w:type="spellEnd"/>
      <w:r w:rsidRPr="003A104F">
        <w:rPr>
          <w:lang w:val="en-US"/>
        </w:rPr>
        <w:t xml:space="preserve"> </w:t>
      </w:r>
      <w:proofErr w:type="spellStart"/>
      <w:r w:rsidRPr="003A104F">
        <w:rPr>
          <w:lang w:val="en-US"/>
        </w:rPr>
        <w:t>açıklamalarını</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önemli</w:t>
      </w:r>
      <w:proofErr w:type="spellEnd"/>
      <w:r w:rsidRPr="003A104F">
        <w:rPr>
          <w:lang w:val="en-US"/>
        </w:rPr>
        <w:t xml:space="preserve"> </w:t>
      </w:r>
      <w:proofErr w:type="spellStart"/>
      <w:r w:rsidRPr="003A104F">
        <w:rPr>
          <w:lang w:val="en-US"/>
        </w:rPr>
        <w:t>davalarda</w:t>
      </w:r>
      <w:proofErr w:type="spellEnd"/>
      <w:r w:rsidRPr="003A104F">
        <w:rPr>
          <w:lang w:val="en-US"/>
        </w:rPr>
        <w:t xml:space="preserve"> </w:t>
      </w:r>
      <w:proofErr w:type="spellStart"/>
      <w:r w:rsidRPr="003A104F">
        <w:rPr>
          <w:lang w:val="en-US"/>
        </w:rPr>
        <w:t>sözlü</w:t>
      </w:r>
      <w:proofErr w:type="spellEnd"/>
      <w:r w:rsidRPr="003A104F">
        <w:rPr>
          <w:lang w:val="en-US"/>
        </w:rPr>
        <w:t xml:space="preserve"> </w:t>
      </w:r>
      <w:proofErr w:type="spellStart"/>
      <w:r w:rsidRPr="003A104F">
        <w:rPr>
          <w:lang w:val="en-US"/>
        </w:rPr>
        <w:t>duruşmalar</w:t>
      </w:r>
      <w:proofErr w:type="spellEnd"/>
      <w:r w:rsidRPr="003A104F">
        <w:rPr>
          <w:lang w:val="en-US"/>
        </w:rPr>
        <w:t xml:space="preserve"> </w:t>
      </w:r>
      <w:proofErr w:type="spellStart"/>
      <w:r w:rsidRPr="003A104F">
        <w:rPr>
          <w:lang w:val="en-US"/>
        </w:rPr>
        <w:t>ile</w:t>
      </w:r>
      <w:proofErr w:type="spellEnd"/>
      <w:r w:rsidRPr="003A104F">
        <w:rPr>
          <w:lang w:val="en-US"/>
        </w:rPr>
        <w:t xml:space="preserve"> </w:t>
      </w:r>
      <w:proofErr w:type="spellStart"/>
      <w:r w:rsidRPr="003A104F">
        <w:rPr>
          <w:lang w:val="en-US"/>
        </w:rPr>
        <w:t>karar</w:t>
      </w:r>
      <w:proofErr w:type="spellEnd"/>
      <w:r w:rsidRPr="003A104F">
        <w:rPr>
          <w:lang w:val="en-US"/>
        </w:rPr>
        <w:t xml:space="preserve"> </w:t>
      </w:r>
      <w:proofErr w:type="spellStart"/>
      <w:r w:rsidRPr="003A104F">
        <w:rPr>
          <w:lang w:val="en-US"/>
        </w:rPr>
        <w:t>açıklamalarının</w:t>
      </w:r>
      <w:proofErr w:type="spellEnd"/>
      <w:r w:rsidRPr="003A104F">
        <w:rPr>
          <w:lang w:val="en-US"/>
        </w:rPr>
        <w:t xml:space="preserve"> </w:t>
      </w:r>
      <w:proofErr w:type="spellStart"/>
      <w:r w:rsidRPr="003A104F">
        <w:rPr>
          <w:lang w:val="en-US"/>
        </w:rPr>
        <w:t>hemen</w:t>
      </w:r>
      <w:proofErr w:type="spellEnd"/>
      <w:r w:rsidRPr="003A104F">
        <w:rPr>
          <w:lang w:val="en-US"/>
        </w:rPr>
        <w:t xml:space="preserve"> </w:t>
      </w:r>
      <w:proofErr w:type="spellStart"/>
      <w:r w:rsidRPr="003A104F">
        <w:rPr>
          <w:lang w:val="en-US"/>
        </w:rPr>
        <w:t>ardından</w:t>
      </w:r>
      <w:proofErr w:type="spellEnd"/>
      <w:r w:rsidRPr="003A104F">
        <w:rPr>
          <w:lang w:val="en-US"/>
        </w:rPr>
        <w:t xml:space="preserve"> </w:t>
      </w:r>
      <w:proofErr w:type="spellStart"/>
      <w:r w:rsidRPr="003A104F">
        <w:rPr>
          <w:lang w:val="en-US"/>
        </w:rPr>
        <w:t>ticaret</w:t>
      </w:r>
      <w:proofErr w:type="spellEnd"/>
      <w:r w:rsidRPr="003A104F">
        <w:rPr>
          <w:lang w:val="en-US"/>
        </w:rPr>
        <w:t xml:space="preserve"> </w:t>
      </w:r>
      <w:proofErr w:type="spellStart"/>
      <w:r w:rsidRPr="003A104F">
        <w:rPr>
          <w:lang w:val="en-US"/>
        </w:rPr>
        <w:t>grupları</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savunucu</w:t>
      </w:r>
      <w:proofErr w:type="spellEnd"/>
      <w:r w:rsidRPr="003A104F">
        <w:rPr>
          <w:lang w:val="en-US"/>
        </w:rPr>
        <w:t xml:space="preserve"> </w:t>
      </w:r>
      <w:proofErr w:type="spellStart"/>
      <w:r w:rsidRPr="003A104F">
        <w:rPr>
          <w:lang w:val="en-US"/>
        </w:rPr>
        <w:t>örgütlerden</w:t>
      </w:r>
      <w:proofErr w:type="spellEnd"/>
      <w:r w:rsidRPr="003A104F">
        <w:rPr>
          <w:lang w:val="en-US"/>
        </w:rPr>
        <w:t xml:space="preserve"> </w:t>
      </w:r>
      <w:proofErr w:type="spellStart"/>
      <w:r w:rsidRPr="003A104F">
        <w:rPr>
          <w:lang w:val="en-US"/>
        </w:rPr>
        <w:t>gelen</w:t>
      </w:r>
      <w:proofErr w:type="spellEnd"/>
      <w:r w:rsidRPr="003A104F">
        <w:rPr>
          <w:lang w:val="en-US"/>
        </w:rPr>
        <w:t xml:space="preserve"> </w:t>
      </w:r>
      <w:proofErr w:type="spellStart"/>
      <w:r w:rsidRPr="003A104F">
        <w:rPr>
          <w:lang w:val="en-US"/>
        </w:rPr>
        <w:t>basın</w:t>
      </w:r>
      <w:proofErr w:type="spellEnd"/>
      <w:r w:rsidRPr="003A104F">
        <w:rPr>
          <w:lang w:val="en-US"/>
        </w:rPr>
        <w:t xml:space="preserve"> </w:t>
      </w:r>
      <w:proofErr w:type="spellStart"/>
      <w:r w:rsidRPr="003A104F">
        <w:rPr>
          <w:lang w:val="en-US"/>
        </w:rPr>
        <w:t>açıklamalarını</w:t>
      </w:r>
      <w:proofErr w:type="spellEnd"/>
      <w:r w:rsidRPr="003A104F">
        <w:rPr>
          <w:lang w:val="en-US"/>
        </w:rPr>
        <w:t xml:space="preserve"> </w:t>
      </w:r>
      <w:proofErr w:type="spellStart"/>
      <w:r w:rsidRPr="003A104F">
        <w:rPr>
          <w:lang w:val="en-US"/>
        </w:rPr>
        <w:t>artık</w:t>
      </w:r>
      <w:proofErr w:type="spellEnd"/>
      <w:r w:rsidRPr="003A104F">
        <w:rPr>
          <w:lang w:val="en-US"/>
        </w:rPr>
        <w:t xml:space="preserve"> rutin </w:t>
      </w:r>
      <w:proofErr w:type="spellStart"/>
      <w:r w:rsidRPr="003A104F">
        <w:rPr>
          <w:lang w:val="en-US"/>
        </w:rPr>
        <w:t>olarak</w:t>
      </w:r>
      <w:proofErr w:type="spellEnd"/>
      <w:r w:rsidRPr="003A104F">
        <w:rPr>
          <w:lang w:val="en-US"/>
        </w:rPr>
        <w:t xml:space="preserve"> </w:t>
      </w:r>
      <w:proofErr w:type="spellStart"/>
      <w:r w:rsidRPr="003A104F">
        <w:rPr>
          <w:lang w:val="en-US"/>
        </w:rPr>
        <w:t>beklemektedir</w:t>
      </w:r>
      <w:proofErr w:type="spellEnd"/>
      <w:r w:rsidRPr="003A104F">
        <w:rPr>
          <w:lang w:val="en-US"/>
        </w:rPr>
        <w:t>.</w:t>
      </w:r>
    </w:p>
    <w:p w14:paraId="6FF51839" w14:textId="77777777" w:rsidR="00DE65CF" w:rsidRDefault="003A104F" w:rsidP="00DE65CF">
      <w:pPr>
        <w:rPr>
          <w:lang w:val="en-US"/>
        </w:rPr>
      </w:pPr>
      <w:r w:rsidRPr="003A104F">
        <w:rPr>
          <w:lang w:val="en-US"/>
        </w:rPr>
        <w:t xml:space="preserve">Son </w:t>
      </w:r>
      <w:proofErr w:type="spellStart"/>
      <w:r w:rsidRPr="003A104F">
        <w:rPr>
          <w:lang w:val="en-US"/>
        </w:rPr>
        <w:t>yıllarda</w:t>
      </w:r>
      <w:proofErr w:type="spellEnd"/>
      <w:r w:rsidRPr="003A104F">
        <w:rPr>
          <w:lang w:val="en-US"/>
        </w:rPr>
        <w:t xml:space="preserve"> </w:t>
      </w:r>
      <w:proofErr w:type="spellStart"/>
      <w:r w:rsidRPr="003A104F">
        <w:rPr>
          <w:lang w:val="en-US"/>
        </w:rPr>
        <w:t>yüksek</w:t>
      </w:r>
      <w:proofErr w:type="spellEnd"/>
      <w:r w:rsidRPr="003A104F">
        <w:rPr>
          <w:lang w:val="en-US"/>
        </w:rPr>
        <w:t xml:space="preserve"> </w:t>
      </w:r>
      <w:proofErr w:type="spellStart"/>
      <w:r w:rsidRPr="003A104F">
        <w:rPr>
          <w:lang w:val="en-US"/>
        </w:rPr>
        <w:t>profilli</w:t>
      </w:r>
      <w:proofErr w:type="spellEnd"/>
      <w:r w:rsidRPr="003A104F">
        <w:rPr>
          <w:lang w:val="en-US"/>
        </w:rPr>
        <w:t xml:space="preserve"> </w:t>
      </w:r>
      <w:proofErr w:type="spellStart"/>
      <w:r w:rsidRPr="003A104F">
        <w:rPr>
          <w:lang w:val="en-US"/>
        </w:rPr>
        <w:t>davalarda</w:t>
      </w:r>
      <w:proofErr w:type="spellEnd"/>
      <w:r w:rsidRPr="003A104F">
        <w:rPr>
          <w:lang w:val="en-US"/>
        </w:rPr>
        <w:t xml:space="preserve"> </w:t>
      </w:r>
      <w:proofErr w:type="spellStart"/>
      <w:r w:rsidRPr="003A104F">
        <w:rPr>
          <w:lang w:val="en-US"/>
        </w:rPr>
        <w:t>yaşanan</w:t>
      </w:r>
      <w:proofErr w:type="spellEnd"/>
      <w:r w:rsidRPr="003A104F">
        <w:rPr>
          <w:lang w:val="en-US"/>
        </w:rPr>
        <w:t xml:space="preserve"> </w:t>
      </w:r>
      <w:proofErr w:type="spellStart"/>
      <w:r w:rsidRPr="003A104F">
        <w:rPr>
          <w:lang w:val="en-US"/>
        </w:rPr>
        <w:t>deneyimler</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tarihsel</w:t>
      </w:r>
      <w:proofErr w:type="spellEnd"/>
      <w:r w:rsidRPr="003A104F">
        <w:rPr>
          <w:lang w:val="en-US"/>
        </w:rPr>
        <w:t xml:space="preserve"> </w:t>
      </w:r>
      <w:proofErr w:type="spellStart"/>
      <w:r w:rsidRPr="003A104F">
        <w:rPr>
          <w:lang w:val="en-US"/>
        </w:rPr>
        <w:t>süreci</w:t>
      </w:r>
      <w:proofErr w:type="spellEnd"/>
      <w:r w:rsidRPr="003A104F">
        <w:rPr>
          <w:lang w:val="en-US"/>
        </w:rPr>
        <w:t xml:space="preserve"> </w:t>
      </w:r>
      <w:proofErr w:type="spellStart"/>
      <w:r w:rsidRPr="003A104F">
        <w:rPr>
          <w:lang w:val="en-US"/>
        </w:rPr>
        <w:t>daha</w:t>
      </w:r>
      <w:proofErr w:type="spellEnd"/>
      <w:r w:rsidRPr="003A104F">
        <w:rPr>
          <w:lang w:val="en-US"/>
        </w:rPr>
        <w:t xml:space="preserve"> da </w:t>
      </w:r>
      <w:proofErr w:type="spellStart"/>
      <w:r w:rsidRPr="003A104F">
        <w:rPr>
          <w:lang w:val="en-US"/>
        </w:rPr>
        <w:t>belirgin</w:t>
      </w:r>
      <w:proofErr w:type="spellEnd"/>
      <w:r w:rsidRPr="003A104F">
        <w:rPr>
          <w:lang w:val="en-US"/>
        </w:rPr>
        <w:t xml:space="preserve"> </w:t>
      </w:r>
      <w:proofErr w:type="spellStart"/>
      <w:r w:rsidRPr="003A104F">
        <w:rPr>
          <w:lang w:val="en-US"/>
        </w:rPr>
        <w:t>hâle</w:t>
      </w:r>
      <w:proofErr w:type="spellEnd"/>
      <w:r w:rsidRPr="003A104F">
        <w:rPr>
          <w:lang w:val="en-US"/>
        </w:rPr>
        <w:t xml:space="preserve"> </w:t>
      </w:r>
      <w:proofErr w:type="spellStart"/>
      <w:r w:rsidRPr="003A104F">
        <w:rPr>
          <w:lang w:val="en-US"/>
        </w:rPr>
        <w:t>getirmektedir</w:t>
      </w:r>
      <w:proofErr w:type="spellEnd"/>
      <w:r w:rsidRPr="003A104F">
        <w:rPr>
          <w:lang w:val="en-US"/>
        </w:rPr>
        <w:t xml:space="preserve">. </w:t>
      </w:r>
      <w:r w:rsidRPr="003A104F">
        <w:rPr>
          <w:i/>
          <w:iCs/>
          <w:lang w:val="en-US"/>
        </w:rPr>
        <w:t>Grutter v. Bollinger</w:t>
      </w:r>
      <w:r w:rsidRPr="003A104F">
        <w:rPr>
          <w:lang w:val="en-US"/>
        </w:rPr>
        <w:t>¹¹⁵</w:t>
      </w:r>
      <w:r w:rsidRPr="003A104F">
        <w:rPr>
          <w:lang w:val="en-US"/>
        </w:rPr>
        <w:t xml:space="preserve"> </w:t>
      </w:r>
      <w:r w:rsidRPr="003A104F">
        <w:rPr>
          <w:rStyle w:val="FootnoteReference"/>
          <w:lang w:val="en-US"/>
        </w:rPr>
        <w:footnoteReference w:id="115"/>
      </w:r>
      <w:r w:rsidRPr="003A104F">
        <w:rPr>
          <w:lang w:val="en-US"/>
        </w:rPr>
        <w:t xml:space="preserve"> </w:t>
      </w:r>
      <w:proofErr w:type="spellStart"/>
      <w:r w:rsidRPr="003A104F">
        <w:rPr>
          <w:lang w:val="en-US"/>
        </w:rPr>
        <w:t>davasında</w:t>
      </w:r>
      <w:proofErr w:type="spellEnd"/>
      <w:r w:rsidRPr="003A104F">
        <w:rPr>
          <w:lang w:val="en-US"/>
        </w:rPr>
        <w:t xml:space="preserve">, Michigan </w:t>
      </w:r>
      <w:proofErr w:type="spellStart"/>
      <w:r w:rsidRPr="003A104F">
        <w:rPr>
          <w:lang w:val="en-US"/>
        </w:rPr>
        <w:t>Üniversitesi’nin</w:t>
      </w:r>
      <w:proofErr w:type="spellEnd"/>
      <w:r w:rsidRPr="003A104F">
        <w:rPr>
          <w:lang w:val="en-US"/>
        </w:rPr>
        <w:t xml:space="preserve"> </w:t>
      </w:r>
      <w:proofErr w:type="spellStart"/>
      <w:r w:rsidRPr="003A104F">
        <w:rPr>
          <w:lang w:val="en-US"/>
        </w:rPr>
        <w:t>pozitif</w:t>
      </w:r>
      <w:proofErr w:type="spellEnd"/>
      <w:r w:rsidRPr="003A104F">
        <w:rPr>
          <w:lang w:val="en-US"/>
        </w:rPr>
        <w:t xml:space="preserve"> </w:t>
      </w:r>
      <w:proofErr w:type="spellStart"/>
      <w:r w:rsidRPr="003A104F">
        <w:rPr>
          <w:lang w:val="en-US"/>
        </w:rPr>
        <w:t>ayrımcılık</w:t>
      </w:r>
      <w:proofErr w:type="spellEnd"/>
      <w:r w:rsidRPr="003A104F">
        <w:rPr>
          <w:lang w:val="en-US"/>
        </w:rPr>
        <w:t xml:space="preserve"> (affirmative action) </w:t>
      </w:r>
      <w:proofErr w:type="spellStart"/>
      <w:r w:rsidRPr="003A104F">
        <w:rPr>
          <w:lang w:val="en-US"/>
        </w:rPr>
        <w:t>politikasına</w:t>
      </w:r>
      <w:proofErr w:type="spellEnd"/>
      <w:r w:rsidRPr="003A104F">
        <w:rPr>
          <w:lang w:val="en-US"/>
        </w:rPr>
        <w:t xml:space="preserve"> </w:t>
      </w:r>
      <w:proofErr w:type="spellStart"/>
      <w:r w:rsidRPr="003A104F">
        <w:rPr>
          <w:lang w:val="en-US"/>
        </w:rPr>
        <w:t>ilişkin</w:t>
      </w:r>
      <w:proofErr w:type="spellEnd"/>
      <w:r w:rsidRPr="003A104F">
        <w:rPr>
          <w:lang w:val="en-US"/>
        </w:rPr>
        <w:t xml:space="preserve"> </w:t>
      </w:r>
      <w:proofErr w:type="spellStart"/>
      <w:r w:rsidRPr="003A104F">
        <w:rPr>
          <w:lang w:val="en-US"/>
        </w:rPr>
        <w:t>iki</w:t>
      </w:r>
      <w:proofErr w:type="spellEnd"/>
      <w:r w:rsidRPr="003A104F">
        <w:rPr>
          <w:lang w:val="en-US"/>
        </w:rPr>
        <w:t xml:space="preserve"> </w:t>
      </w:r>
      <w:proofErr w:type="spellStart"/>
      <w:r w:rsidRPr="003A104F">
        <w:rPr>
          <w:lang w:val="en-US"/>
        </w:rPr>
        <w:t>davadan</w:t>
      </w:r>
      <w:proofErr w:type="spellEnd"/>
      <w:r w:rsidRPr="003A104F">
        <w:rPr>
          <w:lang w:val="en-US"/>
        </w:rPr>
        <w:t xml:space="preserve"> </w:t>
      </w:r>
      <w:proofErr w:type="spellStart"/>
      <w:r w:rsidRPr="003A104F">
        <w:rPr>
          <w:lang w:val="en-US"/>
        </w:rPr>
        <w:t>biri</w:t>
      </w:r>
      <w:proofErr w:type="spellEnd"/>
      <w:r w:rsidRPr="003A104F">
        <w:rPr>
          <w:lang w:val="en-US"/>
        </w:rPr>
        <w:t xml:space="preserve"> </w:t>
      </w:r>
      <w:proofErr w:type="spellStart"/>
      <w:r w:rsidRPr="003A104F">
        <w:rPr>
          <w:lang w:val="en-US"/>
        </w:rPr>
        <w:t>olan</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olayda</w:t>
      </w:r>
      <w:proofErr w:type="spellEnd"/>
      <w:r w:rsidRPr="003A104F">
        <w:rPr>
          <w:lang w:val="en-US"/>
        </w:rPr>
        <w:t xml:space="preserve">, </w:t>
      </w:r>
      <w:proofErr w:type="spellStart"/>
      <w:r w:rsidRPr="003A104F">
        <w:rPr>
          <w:lang w:val="en-US"/>
        </w:rPr>
        <w:t>karşı</w:t>
      </w:r>
      <w:proofErr w:type="spellEnd"/>
      <w:r w:rsidRPr="003A104F">
        <w:rPr>
          <w:lang w:val="en-US"/>
        </w:rPr>
        <w:t xml:space="preserve"> oy </w:t>
      </w:r>
      <w:proofErr w:type="spellStart"/>
      <w:r w:rsidRPr="003A104F">
        <w:rPr>
          <w:lang w:val="en-US"/>
        </w:rPr>
        <w:t>yazan</w:t>
      </w:r>
      <w:proofErr w:type="spellEnd"/>
      <w:r w:rsidRPr="003A104F">
        <w:rPr>
          <w:lang w:val="en-US"/>
        </w:rPr>
        <w:t xml:space="preserve"> </w:t>
      </w:r>
      <w:proofErr w:type="spellStart"/>
      <w:r w:rsidRPr="003A104F">
        <w:rPr>
          <w:lang w:val="en-US"/>
        </w:rPr>
        <w:t>Yargıçlar</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pozitif</w:t>
      </w:r>
      <w:proofErr w:type="spellEnd"/>
      <w:r w:rsidRPr="003A104F">
        <w:rPr>
          <w:lang w:val="en-US"/>
        </w:rPr>
        <w:t xml:space="preserve"> </w:t>
      </w:r>
      <w:proofErr w:type="spellStart"/>
      <w:r w:rsidRPr="003A104F">
        <w:rPr>
          <w:lang w:val="en-US"/>
        </w:rPr>
        <w:t>ayrımcılığa</w:t>
      </w:r>
      <w:proofErr w:type="spellEnd"/>
      <w:r w:rsidRPr="003A104F">
        <w:rPr>
          <w:lang w:val="en-US"/>
        </w:rPr>
        <w:t xml:space="preserve"> </w:t>
      </w:r>
      <w:proofErr w:type="spellStart"/>
      <w:r w:rsidRPr="003A104F">
        <w:rPr>
          <w:lang w:val="en-US"/>
        </w:rPr>
        <w:t>karşı</w:t>
      </w:r>
      <w:proofErr w:type="spellEnd"/>
      <w:r w:rsidRPr="003A104F">
        <w:rPr>
          <w:lang w:val="en-US"/>
        </w:rPr>
        <w:t xml:space="preserve"> </w:t>
      </w:r>
      <w:proofErr w:type="spellStart"/>
      <w:r w:rsidRPr="003A104F">
        <w:rPr>
          <w:lang w:val="en-US"/>
        </w:rPr>
        <w:t>olanlar</w:t>
      </w:r>
      <w:proofErr w:type="spellEnd"/>
      <w:r w:rsidRPr="003A104F">
        <w:rPr>
          <w:lang w:val="en-US"/>
        </w:rPr>
        <w:t xml:space="preserve">, </w:t>
      </w:r>
      <w:r w:rsidRPr="003A104F">
        <w:rPr>
          <w:rStyle w:val="FootnoteReference"/>
          <w:lang w:val="en-US"/>
        </w:rPr>
        <w:footnoteReference w:id="116"/>
      </w:r>
      <w:r w:rsidRPr="003A104F">
        <w:rPr>
          <w:lang w:val="en-US"/>
        </w:rPr>
        <w:t xml:space="preserve"> </w:t>
      </w:r>
      <w:proofErr w:type="spellStart"/>
      <w:r w:rsidRPr="003A104F">
        <w:rPr>
          <w:lang w:val="en-US"/>
        </w:rPr>
        <w:t>dikkatsizce</w:t>
      </w:r>
      <w:proofErr w:type="spellEnd"/>
      <w:r w:rsidRPr="003A104F">
        <w:rPr>
          <w:lang w:val="en-US"/>
        </w:rPr>
        <w:t xml:space="preserve"> </w:t>
      </w:r>
      <w:proofErr w:type="spellStart"/>
      <w:r w:rsidRPr="003A104F">
        <w:rPr>
          <w:lang w:val="en-US"/>
        </w:rPr>
        <w:t>hazırlanan</w:t>
      </w:r>
      <w:proofErr w:type="spellEnd"/>
      <w:r w:rsidRPr="003A104F">
        <w:rPr>
          <w:lang w:val="en-US"/>
        </w:rPr>
        <w:t xml:space="preserve"> ilk </w:t>
      </w:r>
      <w:proofErr w:type="spellStart"/>
      <w:r w:rsidRPr="003A104F">
        <w:rPr>
          <w:lang w:val="en-US"/>
        </w:rPr>
        <w:t>basın</w:t>
      </w:r>
      <w:proofErr w:type="spellEnd"/>
      <w:r w:rsidRPr="003A104F">
        <w:rPr>
          <w:lang w:val="en-US"/>
        </w:rPr>
        <w:t xml:space="preserve"> </w:t>
      </w:r>
      <w:proofErr w:type="spellStart"/>
      <w:r w:rsidRPr="003A104F">
        <w:rPr>
          <w:lang w:val="en-US"/>
        </w:rPr>
        <w:t>raporlarının</w:t>
      </w:r>
      <w:proofErr w:type="spellEnd"/>
      <w:r w:rsidRPr="003A104F">
        <w:rPr>
          <w:lang w:val="en-US"/>
        </w:rPr>
        <w:t xml:space="preserve"> da </w:t>
      </w:r>
      <w:proofErr w:type="spellStart"/>
      <w:r w:rsidRPr="003A104F">
        <w:rPr>
          <w:lang w:val="en-US"/>
        </w:rPr>
        <w:t>etkisiyle</w:t>
      </w:r>
      <w:proofErr w:type="spellEnd"/>
      <w:r w:rsidRPr="003A104F">
        <w:rPr>
          <w:lang w:val="en-US"/>
        </w:rPr>
        <w:t xml:space="preserve">, </w:t>
      </w:r>
      <w:proofErr w:type="spellStart"/>
      <w:r w:rsidRPr="003A104F">
        <w:rPr>
          <w:lang w:val="en-US"/>
        </w:rPr>
        <w:t>kamuoyunda</w:t>
      </w:r>
      <w:proofErr w:type="spellEnd"/>
      <w:r w:rsidRPr="003A104F">
        <w:rPr>
          <w:lang w:val="en-US"/>
        </w:rPr>
        <w:t xml:space="preserve"> </w:t>
      </w:r>
      <w:proofErr w:type="spellStart"/>
      <w:r w:rsidRPr="003A104F">
        <w:rPr>
          <w:lang w:val="en-US"/>
        </w:rPr>
        <w:t>Yargıç</w:t>
      </w:r>
      <w:proofErr w:type="spellEnd"/>
      <w:r w:rsidRPr="003A104F">
        <w:rPr>
          <w:lang w:val="en-US"/>
        </w:rPr>
        <w:t xml:space="preserve"> </w:t>
      </w:r>
      <w:proofErr w:type="spellStart"/>
      <w:r w:rsidRPr="003A104F">
        <w:rPr>
          <w:lang w:val="en-US"/>
        </w:rPr>
        <w:t>O’Connor’ın</w:t>
      </w:r>
      <w:proofErr w:type="spellEnd"/>
      <w:r w:rsidRPr="003A104F">
        <w:rPr>
          <w:lang w:val="en-US"/>
        </w:rPr>
        <w:t xml:space="preserve"> </w:t>
      </w:r>
      <w:proofErr w:type="spellStart"/>
      <w:r w:rsidRPr="003A104F">
        <w:rPr>
          <w:lang w:val="en-US"/>
        </w:rPr>
        <w:t>görüşünde</w:t>
      </w:r>
      <w:proofErr w:type="spellEnd"/>
      <w:r w:rsidRPr="003A104F">
        <w:rPr>
          <w:lang w:val="en-US"/>
        </w:rPr>
        <w:t xml:space="preserve"> </w:t>
      </w:r>
      <w:proofErr w:type="spellStart"/>
      <w:r w:rsidRPr="003A104F">
        <w:rPr>
          <w:lang w:val="en-US"/>
        </w:rPr>
        <w:t>açık</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bitiş</w:t>
      </w:r>
      <w:proofErr w:type="spellEnd"/>
      <w:r w:rsidRPr="003A104F">
        <w:rPr>
          <w:lang w:val="en-US"/>
        </w:rPr>
        <w:t xml:space="preserve"> </w:t>
      </w:r>
      <w:proofErr w:type="spellStart"/>
      <w:r w:rsidRPr="003A104F">
        <w:rPr>
          <w:lang w:val="en-US"/>
        </w:rPr>
        <w:t>tarihi</w:t>
      </w:r>
      <w:proofErr w:type="spellEnd"/>
      <w:r w:rsidRPr="003A104F">
        <w:rPr>
          <w:lang w:val="en-US"/>
        </w:rPr>
        <w:t xml:space="preserve">" (sunset provision) </w:t>
      </w:r>
      <w:proofErr w:type="spellStart"/>
      <w:r w:rsidRPr="003A104F">
        <w:rPr>
          <w:lang w:val="en-US"/>
        </w:rPr>
        <w:t>bulunduğu</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nedenle</w:t>
      </w:r>
      <w:proofErr w:type="spellEnd"/>
      <w:r w:rsidRPr="003A104F">
        <w:rPr>
          <w:lang w:val="en-US"/>
        </w:rPr>
        <w:t xml:space="preserve"> </w:t>
      </w:r>
      <w:proofErr w:type="spellStart"/>
      <w:r w:rsidRPr="003A104F">
        <w:rPr>
          <w:lang w:val="en-US"/>
        </w:rPr>
        <w:t>pozitif</w:t>
      </w:r>
      <w:proofErr w:type="spellEnd"/>
      <w:r w:rsidRPr="003A104F">
        <w:rPr>
          <w:lang w:val="en-US"/>
        </w:rPr>
        <w:t xml:space="preserve"> </w:t>
      </w:r>
      <w:proofErr w:type="spellStart"/>
      <w:r w:rsidRPr="003A104F">
        <w:rPr>
          <w:lang w:val="en-US"/>
        </w:rPr>
        <w:t>ayrımcılığın</w:t>
      </w:r>
      <w:proofErr w:type="spellEnd"/>
      <w:r w:rsidRPr="003A104F">
        <w:rPr>
          <w:lang w:val="en-US"/>
        </w:rPr>
        <w:t xml:space="preserve"> </w:t>
      </w:r>
      <w:proofErr w:type="spellStart"/>
      <w:r w:rsidRPr="003A104F">
        <w:rPr>
          <w:lang w:val="en-US"/>
        </w:rPr>
        <w:t>yirmi</w:t>
      </w:r>
      <w:proofErr w:type="spellEnd"/>
      <w:r w:rsidRPr="003A104F">
        <w:rPr>
          <w:lang w:val="en-US"/>
        </w:rPr>
        <w:t xml:space="preserve"> </w:t>
      </w:r>
      <w:proofErr w:type="spellStart"/>
      <w:r w:rsidRPr="003A104F">
        <w:rPr>
          <w:lang w:val="en-US"/>
        </w:rPr>
        <w:t>beş</w:t>
      </w:r>
      <w:proofErr w:type="spellEnd"/>
      <w:r w:rsidRPr="003A104F">
        <w:rPr>
          <w:lang w:val="en-US"/>
        </w:rPr>
        <w:t xml:space="preserve"> </w:t>
      </w:r>
      <w:proofErr w:type="spellStart"/>
      <w:r w:rsidRPr="003A104F">
        <w:rPr>
          <w:lang w:val="en-US"/>
        </w:rPr>
        <w:t>yıl</w:t>
      </w:r>
      <w:proofErr w:type="spellEnd"/>
      <w:r w:rsidRPr="003A104F">
        <w:rPr>
          <w:lang w:val="en-US"/>
        </w:rPr>
        <w:t xml:space="preserve"> </w:t>
      </w:r>
      <w:proofErr w:type="spellStart"/>
      <w:r w:rsidRPr="003A104F">
        <w:rPr>
          <w:lang w:val="en-US"/>
        </w:rPr>
        <w:t>içinde</w:t>
      </w:r>
      <w:proofErr w:type="spellEnd"/>
      <w:r w:rsidRPr="003A104F">
        <w:rPr>
          <w:lang w:val="en-US"/>
        </w:rPr>
        <w:t xml:space="preserve"> </w:t>
      </w:r>
      <w:proofErr w:type="spellStart"/>
      <w:r w:rsidRPr="003A104F">
        <w:rPr>
          <w:lang w:val="en-US"/>
        </w:rPr>
        <w:t>anayasaya</w:t>
      </w:r>
      <w:proofErr w:type="spellEnd"/>
      <w:r w:rsidRPr="003A104F">
        <w:rPr>
          <w:lang w:val="en-US"/>
        </w:rPr>
        <w:t xml:space="preserve"> </w:t>
      </w:r>
      <w:proofErr w:type="spellStart"/>
      <w:r w:rsidRPr="003A104F">
        <w:rPr>
          <w:lang w:val="en-US"/>
        </w:rPr>
        <w:t>aykırı</w:t>
      </w:r>
      <w:proofErr w:type="spellEnd"/>
      <w:r w:rsidRPr="003A104F">
        <w:rPr>
          <w:lang w:val="en-US"/>
        </w:rPr>
        <w:t xml:space="preserve"> </w:t>
      </w:r>
      <w:proofErr w:type="spellStart"/>
      <w:r w:rsidRPr="003A104F">
        <w:rPr>
          <w:lang w:val="en-US"/>
        </w:rPr>
        <w:t>hâle</w:t>
      </w:r>
      <w:proofErr w:type="spellEnd"/>
      <w:r w:rsidRPr="003A104F">
        <w:rPr>
          <w:lang w:val="en-US"/>
        </w:rPr>
        <w:t xml:space="preserve"> </w:t>
      </w:r>
      <w:proofErr w:type="spellStart"/>
      <w:r w:rsidRPr="003A104F">
        <w:rPr>
          <w:lang w:val="en-US"/>
        </w:rPr>
        <w:t>geleceği</w:t>
      </w:r>
      <w:proofErr w:type="spellEnd"/>
      <w:r w:rsidRPr="003A104F">
        <w:rPr>
          <w:lang w:val="en-US"/>
        </w:rPr>
        <w:t xml:space="preserve"> </w:t>
      </w:r>
      <w:proofErr w:type="spellStart"/>
      <w:r w:rsidRPr="003A104F">
        <w:rPr>
          <w:lang w:val="en-US"/>
        </w:rPr>
        <w:t>yönünde</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algı</w:t>
      </w:r>
      <w:proofErr w:type="spellEnd"/>
      <w:r w:rsidRPr="003A104F">
        <w:rPr>
          <w:lang w:val="en-US"/>
        </w:rPr>
        <w:t xml:space="preserve"> </w:t>
      </w:r>
      <w:proofErr w:type="spellStart"/>
      <w:r w:rsidRPr="003A104F">
        <w:rPr>
          <w:lang w:val="en-US"/>
        </w:rPr>
        <w:t>oluşturmuştur</w:t>
      </w:r>
      <w:proofErr w:type="spellEnd"/>
      <w:r w:rsidRPr="003A104F">
        <w:rPr>
          <w:lang w:val="en-US"/>
        </w:rPr>
        <w:t xml:space="preserve">. </w:t>
      </w:r>
      <w:proofErr w:type="spellStart"/>
      <w:r w:rsidRPr="003A104F">
        <w:rPr>
          <w:lang w:val="en-US"/>
        </w:rPr>
        <w:t>Oysa</w:t>
      </w:r>
      <w:proofErr w:type="spellEnd"/>
      <w:r w:rsidRPr="003A104F">
        <w:rPr>
          <w:lang w:val="en-US"/>
        </w:rPr>
        <w:t xml:space="preserve">, </w:t>
      </w:r>
      <w:proofErr w:type="spellStart"/>
      <w:r w:rsidRPr="003A104F">
        <w:rPr>
          <w:lang w:val="en-US"/>
        </w:rPr>
        <w:t>büyük</w:t>
      </w:r>
      <w:proofErr w:type="spellEnd"/>
      <w:r w:rsidRPr="003A104F">
        <w:rPr>
          <w:lang w:val="en-US"/>
        </w:rPr>
        <w:t xml:space="preserve"> </w:t>
      </w:r>
      <w:proofErr w:type="spellStart"/>
      <w:r w:rsidRPr="003A104F">
        <w:rPr>
          <w:lang w:val="en-US"/>
        </w:rPr>
        <w:t>olasılıkla</w:t>
      </w:r>
      <w:proofErr w:type="spellEnd"/>
      <w:r w:rsidRPr="003A104F">
        <w:rPr>
          <w:lang w:val="en-US"/>
        </w:rPr>
        <w:t xml:space="preserve">, </w:t>
      </w:r>
      <w:proofErr w:type="spellStart"/>
      <w:r w:rsidRPr="003A104F">
        <w:rPr>
          <w:lang w:val="en-US"/>
        </w:rPr>
        <w:t>O’Connor’ın</w:t>
      </w:r>
      <w:proofErr w:type="spellEnd"/>
      <w:r w:rsidRPr="003A104F">
        <w:rPr>
          <w:lang w:val="en-US"/>
        </w:rPr>
        <w:t xml:space="preserve"> </w:t>
      </w:r>
      <w:proofErr w:type="spellStart"/>
      <w:r w:rsidRPr="003A104F">
        <w:rPr>
          <w:lang w:val="en-US"/>
        </w:rPr>
        <w:t>görüşü</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tür</w:t>
      </w:r>
      <w:proofErr w:type="spellEnd"/>
      <w:r w:rsidRPr="003A104F">
        <w:rPr>
          <w:lang w:val="en-US"/>
        </w:rPr>
        <w:t xml:space="preserve"> </w:t>
      </w:r>
      <w:proofErr w:type="spellStart"/>
      <w:r w:rsidRPr="003A104F">
        <w:rPr>
          <w:lang w:val="en-US"/>
        </w:rPr>
        <w:t>ayrıcalıkların</w:t>
      </w:r>
      <w:proofErr w:type="spellEnd"/>
      <w:r w:rsidRPr="003A104F">
        <w:rPr>
          <w:lang w:val="en-US"/>
        </w:rPr>
        <w:t xml:space="preserve"> "</w:t>
      </w:r>
      <w:proofErr w:type="spellStart"/>
      <w:r w:rsidRPr="003A104F">
        <w:rPr>
          <w:lang w:val="en-US"/>
        </w:rPr>
        <w:t>artık</w:t>
      </w:r>
      <w:proofErr w:type="spellEnd"/>
      <w:r w:rsidRPr="003A104F">
        <w:rPr>
          <w:lang w:val="en-US"/>
        </w:rPr>
        <w:t xml:space="preserve"> </w:t>
      </w:r>
      <w:proofErr w:type="spellStart"/>
      <w:r w:rsidRPr="003A104F">
        <w:rPr>
          <w:lang w:val="en-US"/>
        </w:rPr>
        <w:t>gerekli</w:t>
      </w:r>
      <w:proofErr w:type="spellEnd"/>
      <w:r w:rsidRPr="003A104F">
        <w:rPr>
          <w:lang w:val="en-US"/>
        </w:rPr>
        <w:t xml:space="preserve"> </w:t>
      </w:r>
      <w:proofErr w:type="spellStart"/>
      <w:r w:rsidRPr="003A104F">
        <w:rPr>
          <w:lang w:val="en-US"/>
        </w:rPr>
        <w:t>olmayacağı</w:t>
      </w:r>
      <w:proofErr w:type="spellEnd"/>
      <w:r w:rsidRPr="003A104F">
        <w:rPr>
          <w:lang w:val="en-US"/>
        </w:rPr>
        <w:t xml:space="preserve">" </w:t>
      </w:r>
      <w:proofErr w:type="spellStart"/>
      <w:r w:rsidRPr="003A104F">
        <w:rPr>
          <w:lang w:val="en-US"/>
        </w:rPr>
        <w:t>yönünde</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öngörü</w:t>
      </w:r>
      <w:proofErr w:type="spellEnd"/>
      <w:r w:rsidRPr="003A104F">
        <w:rPr>
          <w:lang w:val="en-US"/>
        </w:rPr>
        <w:t xml:space="preserve"> içermektedir.¹¹⁷</w:t>
      </w:r>
      <w:r w:rsidRPr="003A104F">
        <w:rPr>
          <w:lang w:val="en-US"/>
        </w:rPr>
        <w:t xml:space="preserve"> </w:t>
      </w:r>
      <w:r w:rsidRPr="003A104F">
        <w:rPr>
          <w:rStyle w:val="FootnoteReference"/>
          <w:lang w:val="en-US"/>
        </w:rPr>
        <w:footnoteReference w:id="117"/>
      </w:r>
      <w:r w:rsidRPr="003A104F">
        <w:rPr>
          <w:lang w:val="en-US"/>
        </w:rPr>
        <w:t xml:space="preserve"> </w:t>
      </w:r>
      <w:r w:rsidRPr="003A104F">
        <w:rPr>
          <w:lang w:val="en-US"/>
        </w:rPr>
        <w:t xml:space="preserve">Benzer </w:t>
      </w:r>
      <w:proofErr w:type="spellStart"/>
      <w:r w:rsidRPr="003A104F">
        <w:rPr>
          <w:lang w:val="en-US"/>
        </w:rPr>
        <w:t>şekilde</w:t>
      </w:r>
      <w:proofErr w:type="spellEnd"/>
      <w:r w:rsidRPr="003A104F">
        <w:rPr>
          <w:lang w:val="en-US"/>
        </w:rPr>
        <w:t xml:space="preserve">, </w:t>
      </w:r>
      <w:r w:rsidRPr="003A104F">
        <w:rPr>
          <w:i/>
          <w:iCs/>
          <w:lang w:val="en-US"/>
        </w:rPr>
        <w:t>Kelo v. City of New London</w:t>
      </w:r>
      <w:r w:rsidRPr="003A104F">
        <w:rPr>
          <w:lang w:val="en-US"/>
        </w:rPr>
        <w:t xml:space="preserve">¹¹⁸ </w:t>
      </w:r>
      <w:r>
        <w:rPr>
          <w:rStyle w:val="FootnoteReference"/>
          <w:lang w:val="en-US"/>
        </w:rPr>
        <w:lastRenderedPageBreak/>
        <w:footnoteReference w:id="118"/>
      </w:r>
      <w:proofErr w:type="spellStart"/>
      <w:r w:rsidRPr="003A104F">
        <w:rPr>
          <w:lang w:val="en-US"/>
        </w:rPr>
        <w:t>ve</w:t>
      </w:r>
      <w:proofErr w:type="spellEnd"/>
      <w:r w:rsidRPr="003A104F">
        <w:rPr>
          <w:lang w:val="en-US"/>
        </w:rPr>
        <w:t xml:space="preserve"> *Ledbetter v. Goodyear Tire &amp; Rubber Co.*¹¹⁹</w:t>
      </w:r>
      <w:r>
        <w:rPr>
          <w:lang w:val="en-US"/>
        </w:rPr>
        <w:t xml:space="preserve"> </w:t>
      </w:r>
      <w:r>
        <w:rPr>
          <w:rStyle w:val="FootnoteReference"/>
          <w:lang w:val="en-US"/>
        </w:rPr>
        <w:footnoteReference w:id="119"/>
      </w:r>
      <w:r w:rsidRPr="003A104F">
        <w:rPr>
          <w:lang w:val="en-US"/>
        </w:rPr>
        <w:t xml:space="preserve"> </w:t>
      </w:r>
      <w:proofErr w:type="spellStart"/>
      <w:r w:rsidRPr="003A104F">
        <w:rPr>
          <w:lang w:val="en-US"/>
        </w:rPr>
        <w:t>davalarında</w:t>
      </w:r>
      <w:proofErr w:type="spellEnd"/>
      <w:r w:rsidRPr="003A104F">
        <w:rPr>
          <w:lang w:val="en-US"/>
        </w:rPr>
        <w:t xml:space="preserve">, </w:t>
      </w:r>
      <w:proofErr w:type="spellStart"/>
      <w:r w:rsidRPr="003A104F">
        <w:rPr>
          <w:lang w:val="en-US"/>
        </w:rPr>
        <w:t>Mahkeme’nin</w:t>
      </w:r>
      <w:proofErr w:type="spellEnd"/>
      <w:r w:rsidRPr="003A104F">
        <w:rPr>
          <w:lang w:val="en-US"/>
        </w:rPr>
        <w:t xml:space="preserve"> </w:t>
      </w:r>
      <w:proofErr w:type="spellStart"/>
      <w:r w:rsidRPr="003A104F">
        <w:rPr>
          <w:lang w:val="en-US"/>
        </w:rPr>
        <w:t>kararlarına</w:t>
      </w:r>
      <w:proofErr w:type="spellEnd"/>
      <w:r w:rsidRPr="003A104F">
        <w:rPr>
          <w:lang w:val="en-US"/>
        </w:rPr>
        <w:t xml:space="preserve"> </w:t>
      </w:r>
      <w:proofErr w:type="spellStart"/>
      <w:r w:rsidRPr="003A104F">
        <w:rPr>
          <w:lang w:val="en-US"/>
        </w:rPr>
        <w:t>karşı</w:t>
      </w:r>
      <w:proofErr w:type="spellEnd"/>
      <w:r w:rsidRPr="003A104F">
        <w:rPr>
          <w:lang w:val="en-US"/>
        </w:rPr>
        <w:t xml:space="preserve"> </w:t>
      </w:r>
      <w:proofErr w:type="spellStart"/>
      <w:r w:rsidRPr="003A104F">
        <w:rPr>
          <w:lang w:val="en-US"/>
        </w:rPr>
        <w:t>çıkanlar</w:t>
      </w:r>
      <w:proofErr w:type="spellEnd"/>
      <w:r w:rsidRPr="003A104F">
        <w:rPr>
          <w:lang w:val="en-US"/>
        </w:rPr>
        <w:t xml:space="preserve">—hem </w:t>
      </w:r>
      <w:proofErr w:type="spellStart"/>
      <w:r w:rsidRPr="003A104F">
        <w:rPr>
          <w:lang w:val="en-US"/>
        </w:rPr>
        <w:t>Mahkeme</w:t>
      </w:r>
      <w:proofErr w:type="spellEnd"/>
      <w:r w:rsidRPr="003A104F">
        <w:rPr>
          <w:lang w:val="en-US"/>
        </w:rPr>
        <w:t xml:space="preserve"> </w:t>
      </w:r>
      <w:proofErr w:type="spellStart"/>
      <w:r w:rsidRPr="003A104F">
        <w:rPr>
          <w:lang w:val="en-US"/>
        </w:rPr>
        <w:t>içinde</w:t>
      </w:r>
      <w:proofErr w:type="spellEnd"/>
      <w:r w:rsidRPr="003A104F">
        <w:rPr>
          <w:lang w:val="en-US"/>
        </w:rPr>
        <w:t xml:space="preserve"> hem de </w:t>
      </w:r>
      <w:proofErr w:type="spellStart"/>
      <w:r w:rsidRPr="003A104F">
        <w:rPr>
          <w:lang w:val="en-US"/>
        </w:rPr>
        <w:t>dışında</w:t>
      </w:r>
      <w:proofErr w:type="spellEnd"/>
      <w:r w:rsidRPr="003A104F">
        <w:rPr>
          <w:lang w:val="en-US"/>
        </w:rPr>
        <w:t>—</w:t>
      </w:r>
      <w:proofErr w:type="spellStart"/>
      <w:r w:rsidRPr="003A104F">
        <w:rPr>
          <w:lang w:val="en-US"/>
        </w:rPr>
        <w:t>kararların</w:t>
      </w:r>
      <w:proofErr w:type="spellEnd"/>
      <w:r w:rsidRPr="003A104F">
        <w:rPr>
          <w:lang w:val="en-US"/>
        </w:rPr>
        <w:t xml:space="preserve"> </w:t>
      </w:r>
      <w:proofErr w:type="spellStart"/>
      <w:r w:rsidRPr="003A104F">
        <w:rPr>
          <w:lang w:val="en-US"/>
        </w:rPr>
        <w:t>içeriğine</w:t>
      </w:r>
      <w:proofErr w:type="spellEnd"/>
      <w:r w:rsidRPr="003A104F">
        <w:rPr>
          <w:lang w:val="en-US"/>
        </w:rPr>
        <w:t xml:space="preserve"> </w:t>
      </w:r>
      <w:proofErr w:type="spellStart"/>
      <w:r w:rsidRPr="003A104F">
        <w:rPr>
          <w:lang w:val="en-US"/>
        </w:rPr>
        <w:t>ilişkin</w:t>
      </w:r>
      <w:proofErr w:type="spellEnd"/>
      <w:r w:rsidRPr="003A104F">
        <w:rPr>
          <w:lang w:val="en-US"/>
        </w:rPr>
        <w:t xml:space="preserve"> </w:t>
      </w:r>
      <w:proofErr w:type="spellStart"/>
      <w:r w:rsidRPr="003A104F">
        <w:rPr>
          <w:lang w:val="en-US"/>
        </w:rPr>
        <w:t>tartışmalı</w:t>
      </w:r>
      <w:proofErr w:type="spellEnd"/>
      <w:r w:rsidRPr="003A104F">
        <w:rPr>
          <w:lang w:val="en-US"/>
        </w:rPr>
        <w:t xml:space="preserve"> </w:t>
      </w:r>
      <w:proofErr w:type="spellStart"/>
      <w:r w:rsidRPr="003A104F">
        <w:rPr>
          <w:lang w:val="en-US"/>
        </w:rPr>
        <w:t>anlatılar</w:t>
      </w:r>
      <w:proofErr w:type="spellEnd"/>
      <w:r w:rsidRPr="003A104F">
        <w:rPr>
          <w:lang w:val="en-US"/>
        </w:rPr>
        <w:t xml:space="preserve"> </w:t>
      </w:r>
      <w:proofErr w:type="spellStart"/>
      <w:r w:rsidRPr="003A104F">
        <w:rPr>
          <w:lang w:val="en-US"/>
        </w:rPr>
        <w:t>oluşturarak</w:t>
      </w:r>
      <w:proofErr w:type="spellEnd"/>
      <w:r w:rsidRPr="003A104F">
        <w:rPr>
          <w:lang w:val="en-US"/>
        </w:rPr>
        <w:t xml:space="preserve">, </w:t>
      </w:r>
      <w:proofErr w:type="spellStart"/>
      <w:r w:rsidRPr="003A104F">
        <w:rPr>
          <w:lang w:val="en-US"/>
        </w:rPr>
        <w:t>kamuoyunda</w:t>
      </w:r>
      <w:proofErr w:type="spellEnd"/>
      <w:r w:rsidRPr="003A104F">
        <w:rPr>
          <w:lang w:val="en-US"/>
        </w:rPr>
        <w:t xml:space="preserve"> </w:t>
      </w:r>
      <w:proofErr w:type="spellStart"/>
      <w:r w:rsidRPr="003A104F">
        <w:rPr>
          <w:lang w:val="en-US"/>
        </w:rPr>
        <w:t>güçlü</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muhalefet</w:t>
      </w:r>
      <w:proofErr w:type="spellEnd"/>
      <w:r w:rsidRPr="003A104F">
        <w:rPr>
          <w:lang w:val="en-US"/>
        </w:rPr>
        <w:t xml:space="preserve"> </w:t>
      </w:r>
      <w:proofErr w:type="spellStart"/>
      <w:r w:rsidRPr="003A104F">
        <w:rPr>
          <w:lang w:val="en-US"/>
        </w:rPr>
        <w:t>oluşturmuş</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kararların</w:t>
      </w:r>
      <w:proofErr w:type="spellEnd"/>
      <w:r w:rsidRPr="003A104F">
        <w:rPr>
          <w:lang w:val="en-US"/>
        </w:rPr>
        <w:t xml:space="preserve"> </w:t>
      </w:r>
      <w:proofErr w:type="spellStart"/>
      <w:r w:rsidRPr="003A104F">
        <w:rPr>
          <w:lang w:val="en-US"/>
        </w:rPr>
        <w:t>etkilerini</w:t>
      </w:r>
      <w:proofErr w:type="spellEnd"/>
      <w:r w:rsidRPr="003A104F">
        <w:rPr>
          <w:lang w:val="en-US"/>
        </w:rPr>
        <w:t xml:space="preserve"> </w:t>
      </w:r>
      <w:proofErr w:type="spellStart"/>
      <w:r w:rsidRPr="003A104F">
        <w:rPr>
          <w:lang w:val="en-US"/>
        </w:rPr>
        <w:t>hafifletmeye</w:t>
      </w:r>
      <w:proofErr w:type="spellEnd"/>
      <w:r w:rsidRPr="003A104F">
        <w:rPr>
          <w:lang w:val="en-US"/>
        </w:rPr>
        <w:t xml:space="preserve"> </w:t>
      </w:r>
      <w:proofErr w:type="spellStart"/>
      <w:r w:rsidRPr="003A104F">
        <w:rPr>
          <w:lang w:val="en-US"/>
        </w:rPr>
        <w:t>yönelik</w:t>
      </w:r>
      <w:proofErr w:type="spellEnd"/>
      <w:r w:rsidRPr="003A104F">
        <w:rPr>
          <w:lang w:val="en-US"/>
        </w:rPr>
        <w:t xml:space="preserve"> </w:t>
      </w:r>
      <w:proofErr w:type="spellStart"/>
      <w:r w:rsidRPr="003A104F">
        <w:rPr>
          <w:lang w:val="en-US"/>
        </w:rPr>
        <w:t>yasama</w:t>
      </w:r>
      <w:proofErr w:type="spellEnd"/>
      <w:r w:rsidRPr="003A104F">
        <w:rPr>
          <w:lang w:val="en-US"/>
        </w:rPr>
        <w:t xml:space="preserve"> </w:t>
      </w:r>
      <w:proofErr w:type="spellStart"/>
      <w:r w:rsidRPr="003A104F">
        <w:rPr>
          <w:lang w:val="en-US"/>
        </w:rPr>
        <w:t>reformlarını</w:t>
      </w:r>
      <w:proofErr w:type="spellEnd"/>
      <w:r w:rsidRPr="003A104F">
        <w:rPr>
          <w:lang w:val="en-US"/>
        </w:rPr>
        <w:t xml:space="preserve"> </w:t>
      </w:r>
      <w:proofErr w:type="spellStart"/>
      <w:r w:rsidRPr="003A104F">
        <w:rPr>
          <w:lang w:val="en-US"/>
        </w:rPr>
        <w:t>teşvik</w:t>
      </w:r>
      <w:proofErr w:type="spellEnd"/>
      <w:r w:rsidRPr="003A104F">
        <w:rPr>
          <w:lang w:val="en-US"/>
        </w:rPr>
        <w:t xml:space="preserve"> etmiştir.¹²⁰</w:t>
      </w:r>
      <w:r>
        <w:rPr>
          <w:lang w:val="en-US"/>
        </w:rPr>
        <w:t xml:space="preserve"> </w:t>
      </w:r>
      <w:r>
        <w:rPr>
          <w:rStyle w:val="FootnoteReference"/>
          <w:lang w:val="en-US"/>
        </w:rPr>
        <w:footnoteReference w:id="120"/>
      </w:r>
      <w:r>
        <w:rPr>
          <w:lang w:val="en-US"/>
        </w:rPr>
        <w:t xml:space="preserve"> </w:t>
      </w:r>
      <w:r w:rsidRPr="003A104F">
        <w:rPr>
          <w:lang w:val="en-US"/>
        </w:rPr>
        <w:t xml:space="preserve">Belki de </w:t>
      </w:r>
      <w:proofErr w:type="spellStart"/>
      <w:r w:rsidRPr="003A104F">
        <w:rPr>
          <w:lang w:val="en-US"/>
        </w:rPr>
        <w:t>en</w:t>
      </w:r>
      <w:proofErr w:type="spellEnd"/>
      <w:r w:rsidRPr="003A104F">
        <w:rPr>
          <w:lang w:val="en-US"/>
        </w:rPr>
        <w:t xml:space="preserve"> </w:t>
      </w:r>
      <w:proofErr w:type="spellStart"/>
      <w:r w:rsidRPr="003A104F">
        <w:rPr>
          <w:lang w:val="en-US"/>
        </w:rPr>
        <w:t>kaygı</w:t>
      </w:r>
      <w:proofErr w:type="spellEnd"/>
      <w:r w:rsidRPr="003A104F">
        <w:rPr>
          <w:lang w:val="en-US"/>
        </w:rPr>
        <w:t xml:space="preserve"> </w:t>
      </w:r>
      <w:proofErr w:type="spellStart"/>
      <w:r w:rsidRPr="003A104F">
        <w:rPr>
          <w:lang w:val="en-US"/>
        </w:rPr>
        <w:t>verici</w:t>
      </w:r>
      <w:proofErr w:type="spellEnd"/>
      <w:r w:rsidRPr="003A104F">
        <w:rPr>
          <w:lang w:val="en-US"/>
        </w:rPr>
        <w:t xml:space="preserve"> </w:t>
      </w:r>
      <w:proofErr w:type="spellStart"/>
      <w:r w:rsidRPr="003A104F">
        <w:rPr>
          <w:lang w:val="en-US"/>
        </w:rPr>
        <w:t>olan</w:t>
      </w:r>
      <w:proofErr w:type="spellEnd"/>
      <w:r w:rsidRPr="003A104F">
        <w:rPr>
          <w:lang w:val="en-US"/>
        </w:rPr>
        <w:t xml:space="preserve"> durum, </w:t>
      </w:r>
      <w:r w:rsidRPr="003A104F">
        <w:rPr>
          <w:i/>
          <w:iCs/>
          <w:lang w:val="en-US"/>
        </w:rPr>
        <w:t>Lawrence v. Texas</w:t>
      </w:r>
      <w:r w:rsidRPr="003A104F">
        <w:rPr>
          <w:lang w:val="en-US"/>
        </w:rPr>
        <w:t>¹²¹</w:t>
      </w:r>
      <w:r w:rsidR="00DE65CF">
        <w:rPr>
          <w:lang w:val="en-US"/>
        </w:rPr>
        <w:t xml:space="preserve"> </w:t>
      </w:r>
      <w:r w:rsidR="00DE65CF">
        <w:rPr>
          <w:rStyle w:val="FootnoteReference"/>
          <w:lang w:val="en-US"/>
        </w:rPr>
        <w:footnoteReference w:id="121"/>
      </w:r>
      <w:r w:rsidRPr="003A104F">
        <w:rPr>
          <w:lang w:val="en-US"/>
        </w:rPr>
        <w:t xml:space="preserve"> </w:t>
      </w:r>
      <w:proofErr w:type="spellStart"/>
      <w:r w:rsidRPr="003A104F">
        <w:rPr>
          <w:lang w:val="en-US"/>
        </w:rPr>
        <w:t>kararının</w:t>
      </w:r>
      <w:proofErr w:type="spellEnd"/>
      <w:r w:rsidRPr="003A104F">
        <w:rPr>
          <w:lang w:val="en-US"/>
        </w:rPr>
        <w:t xml:space="preserve"> </w:t>
      </w:r>
      <w:proofErr w:type="spellStart"/>
      <w:r w:rsidRPr="003A104F">
        <w:rPr>
          <w:lang w:val="en-US"/>
        </w:rPr>
        <w:t>ardından</w:t>
      </w:r>
      <w:proofErr w:type="spellEnd"/>
      <w:r w:rsidRPr="003A104F">
        <w:rPr>
          <w:lang w:val="en-US"/>
        </w:rPr>
        <w:t xml:space="preserve"> </w:t>
      </w:r>
      <w:proofErr w:type="spellStart"/>
      <w:r w:rsidRPr="003A104F">
        <w:rPr>
          <w:lang w:val="en-US"/>
        </w:rPr>
        <w:t>yaşanmıştır</w:t>
      </w:r>
      <w:proofErr w:type="spellEnd"/>
      <w:r w:rsidRPr="003A104F">
        <w:rPr>
          <w:lang w:val="en-US"/>
        </w:rPr>
        <w:t xml:space="preserve">. Bu </w:t>
      </w:r>
      <w:proofErr w:type="spellStart"/>
      <w:r w:rsidRPr="003A104F">
        <w:rPr>
          <w:lang w:val="en-US"/>
        </w:rPr>
        <w:t>karara</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genel</w:t>
      </w:r>
      <w:proofErr w:type="spellEnd"/>
      <w:r w:rsidRPr="003A104F">
        <w:rPr>
          <w:lang w:val="en-US"/>
        </w:rPr>
        <w:t xml:space="preserve"> </w:t>
      </w:r>
      <w:proofErr w:type="spellStart"/>
      <w:r w:rsidRPr="003A104F">
        <w:rPr>
          <w:lang w:val="en-US"/>
        </w:rPr>
        <w:t>olarak</w:t>
      </w:r>
      <w:proofErr w:type="spellEnd"/>
      <w:r w:rsidRPr="003A104F">
        <w:rPr>
          <w:lang w:val="en-US"/>
        </w:rPr>
        <w:t xml:space="preserve"> </w:t>
      </w:r>
      <w:proofErr w:type="spellStart"/>
      <w:r w:rsidRPr="003A104F">
        <w:rPr>
          <w:b/>
          <w:bCs/>
          <w:lang w:val="en-US"/>
        </w:rPr>
        <w:t>eşcinsel</w:t>
      </w:r>
      <w:proofErr w:type="spellEnd"/>
      <w:r w:rsidRPr="003A104F">
        <w:rPr>
          <w:b/>
          <w:bCs/>
          <w:lang w:val="en-US"/>
        </w:rPr>
        <w:t xml:space="preserve"> </w:t>
      </w:r>
      <w:proofErr w:type="spellStart"/>
      <w:r w:rsidRPr="003A104F">
        <w:rPr>
          <w:b/>
          <w:bCs/>
          <w:lang w:val="en-US"/>
        </w:rPr>
        <w:t>haklarına</w:t>
      </w:r>
      <w:proofErr w:type="spellEnd"/>
      <w:r w:rsidRPr="003A104F">
        <w:rPr>
          <w:lang w:val="en-US"/>
        </w:rPr>
        <w:t xml:space="preserve"> </w:t>
      </w:r>
      <w:proofErr w:type="spellStart"/>
      <w:r w:rsidRPr="003A104F">
        <w:rPr>
          <w:lang w:val="en-US"/>
        </w:rPr>
        <w:t>karşı</w:t>
      </w:r>
      <w:proofErr w:type="spellEnd"/>
      <w:r w:rsidRPr="003A104F">
        <w:rPr>
          <w:lang w:val="en-US"/>
        </w:rPr>
        <w:t xml:space="preserve"> </w:t>
      </w:r>
      <w:proofErr w:type="spellStart"/>
      <w:r w:rsidRPr="003A104F">
        <w:rPr>
          <w:lang w:val="en-US"/>
        </w:rPr>
        <w:t>olanlar</w:t>
      </w:r>
      <w:proofErr w:type="spellEnd"/>
      <w:r w:rsidRPr="003A104F">
        <w:rPr>
          <w:lang w:val="en-US"/>
        </w:rPr>
        <w:t xml:space="preserve">, </w:t>
      </w:r>
      <w:proofErr w:type="spellStart"/>
      <w:r w:rsidRPr="003A104F">
        <w:rPr>
          <w:lang w:val="en-US"/>
        </w:rPr>
        <w:t>Yargıç</w:t>
      </w:r>
      <w:proofErr w:type="spellEnd"/>
      <w:r w:rsidRPr="003A104F">
        <w:rPr>
          <w:lang w:val="en-US"/>
        </w:rPr>
        <w:t xml:space="preserve"> </w:t>
      </w:r>
      <w:proofErr w:type="spellStart"/>
      <w:r w:rsidRPr="003A104F">
        <w:rPr>
          <w:lang w:val="en-US"/>
        </w:rPr>
        <w:t>Kennedy’nin</w:t>
      </w:r>
      <w:proofErr w:type="spellEnd"/>
      <w:r w:rsidRPr="003A104F">
        <w:rPr>
          <w:lang w:val="en-US"/>
        </w:rPr>
        <w:t xml:space="preserve"> </w:t>
      </w:r>
      <w:proofErr w:type="spellStart"/>
      <w:r w:rsidRPr="003A104F">
        <w:rPr>
          <w:lang w:val="en-US"/>
        </w:rPr>
        <w:t>çoğunluk</w:t>
      </w:r>
      <w:proofErr w:type="spellEnd"/>
      <w:r w:rsidRPr="003A104F">
        <w:rPr>
          <w:lang w:val="en-US"/>
        </w:rPr>
        <w:t xml:space="preserve"> </w:t>
      </w:r>
      <w:proofErr w:type="spellStart"/>
      <w:r w:rsidRPr="003A104F">
        <w:rPr>
          <w:lang w:val="en-US"/>
        </w:rPr>
        <w:t>görüşündeki</w:t>
      </w:r>
      <w:proofErr w:type="spellEnd"/>
      <w:r w:rsidRPr="003A104F">
        <w:rPr>
          <w:lang w:val="en-US"/>
        </w:rPr>
        <w:t xml:space="preserve"> </w:t>
      </w:r>
      <w:proofErr w:type="spellStart"/>
      <w:r w:rsidRPr="003A104F">
        <w:rPr>
          <w:lang w:val="en-US"/>
        </w:rPr>
        <w:t>belirsizliklerden</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Yargıç</w:t>
      </w:r>
      <w:proofErr w:type="spellEnd"/>
      <w:r w:rsidRPr="003A104F">
        <w:rPr>
          <w:lang w:val="en-US"/>
        </w:rPr>
        <w:t xml:space="preserve"> </w:t>
      </w:r>
      <w:proofErr w:type="spellStart"/>
      <w:r w:rsidRPr="003A104F">
        <w:rPr>
          <w:lang w:val="en-US"/>
        </w:rPr>
        <w:t>Scalia’nın</w:t>
      </w:r>
      <w:proofErr w:type="spellEnd"/>
      <w:r w:rsidRPr="003A104F">
        <w:rPr>
          <w:lang w:val="en-US"/>
        </w:rPr>
        <w:t xml:space="preserve"> </w:t>
      </w:r>
      <w:proofErr w:type="spellStart"/>
      <w:r w:rsidRPr="003A104F">
        <w:rPr>
          <w:lang w:val="en-US"/>
        </w:rPr>
        <w:t>karar</w:t>
      </w:r>
      <w:proofErr w:type="spellEnd"/>
      <w:r w:rsidRPr="003A104F">
        <w:rPr>
          <w:lang w:val="en-US"/>
        </w:rPr>
        <w:t xml:space="preserve"> </w:t>
      </w:r>
      <w:proofErr w:type="spellStart"/>
      <w:r w:rsidRPr="003A104F">
        <w:rPr>
          <w:lang w:val="en-US"/>
        </w:rPr>
        <w:t>hakkındaki</w:t>
      </w:r>
      <w:proofErr w:type="spellEnd"/>
      <w:r w:rsidRPr="003A104F">
        <w:rPr>
          <w:lang w:val="en-US"/>
        </w:rPr>
        <w:t xml:space="preserve"> </w:t>
      </w:r>
      <w:proofErr w:type="spellStart"/>
      <w:r w:rsidRPr="003A104F">
        <w:rPr>
          <w:lang w:val="en-US"/>
        </w:rPr>
        <w:t>yorumlarına</w:t>
      </w:r>
      <w:proofErr w:type="spellEnd"/>
      <w:r w:rsidRPr="003A104F">
        <w:rPr>
          <w:lang w:val="en-US"/>
        </w:rPr>
        <w:t xml:space="preserve"> </w:t>
      </w:r>
      <w:proofErr w:type="spellStart"/>
      <w:r w:rsidRPr="003A104F">
        <w:rPr>
          <w:lang w:val="en-US"/>
        </w:rPr>
        <w:t>doğrudan</w:t>
      </w:r>
      <w:proofErr w:type="spellEnd"/>
      <w:r w:rsidRPr="003A104F">
        <w:rPr>
          <w:lang w:val="en-US"/>
        </w:rPr>
        <w:t xml:space="preserve"> </w:t>
      </w:r>
      <w:proofErr w:type="spellStart"/>
      <w:r w:rsidRPr="003A104F">
        <w:rPr>
          <w:lang w:val="en-US"/>
        </w:rPr>
        <w:t>yanıt</w:t>
      </w:r>
      <w:proofErr w:type="spellEnd"/>
      <w:r w:rsidRPr="003A104F">
        <w:rPr>
          <w:lang w:val="en-US"/>
        </w:rPr>
        <w:t xml:space="preserve"> </w:t>
      </w:r>
      <w:proofErr w:type="spellStart"/>
      <w:r w:rsidRPr="003A104F">
        <w:rPr>
          <w:lang w:val="en-US"/>
        </w:rPr>
        <w:t>vermemesinden</w:t>
      </w:r>
      <w:proofErr w:type="spellEnd"/>
      <w:r w:rsidRPr="003A104F">
        <w:rPr>
          <w:lang w:val="en-US"/>
        </w:rPr>
        <w:t xml:space="preserve"> </w:t>
      </w:r>
      <w:proofErr w:type="spellStart"/>
      <w:r w:rsidRPr="003A104F">
        <w:rPr>
          <w:lang w:val="en-US"/>
        </w:rPr>
        <w:t>faydalanarak</w:t>
      </w:r>
      <w:proofErr w:type="spellEnd"/>
      <w:r w:rsidRPr="003A104F">
        <w:rPr>
          <w:lang w:val="en-US"/>
        </w:rPr>
        <w:t xml:space="preserve">, alt </w:t>
      </w:r>
      <w:proofErr w:type="spellStart"/>
      <w:r w:rsidRPr="003A104F">
        <w:rPr>
          <w:lang w:val="en-US"/>
        </w:rPr>
        <w:t>mahkeme</w:t>
      </w:r>
      <w:proofErr w:type="spellEnd"/>
      <w:r w:rsidRPr="003A104F">
        <w:rPr>
          <w:lang w:val="en-US"/>
        </w:rPr>
        <w:t xml:space="preserve"> </w:t>
      </w:r>
      <w:proofErr w:type="spellStart"/>
      <w:r w:rsidRPr="003A104F">
        <w:rPr>
          <w:lang w:val="en-US"/>
        </w:rPr>
        <w:t>yargıçlarını</w:t>
      </w:r>
      <w:proofErr w:type="spellEnd"/>
      <w:r w:rsidRPr="003A104F">
        <w:rPr>
          <w:lang w:val="en-US"/>
        </w:rPr>
        <w:t xml:space="preserve"> </w:t>
      </w:r>
      <w:proofErr w:type="spellStart"/>
      <w:r w:rsidRPr="003A104F">
        <w:rPr>
          <w:lang w:val="en-US"/>
        </w:rPr>
        <w:t>bu</w:t>
      </w:r>
      <w:proofErr w:type="spellEnd"/>
      <w:r w:rsidRPr="003A104F">
        <w:rPr>
          <w:lang w:val="en-US"/>
        </w:rPr>
        <w:t xml:space="preserve"> </w:t>
      </w:r>
      <w:proofErr w:type="spellStart"/>
      <w:r w:rsidRPr="003A104F">
        <w:rPr>
          <w:lang w:val="en-US"/>
        </w:rPr>
        <w:t>kararı</w:t>
      </w:r>
      <w:proofErr w:type="spellEnd"/>
      <w:r w:rsidRPr="003A104F">
        <w:rPr>
          <w:lang w:val="en-US"/>
        </w:rPr>
        <w:t xml:space="preserve"> son </w:t>
      </w:r>
      <w:proofErr w:type="spellStart"/>
      <w:r w:rsidRPr="003A104F">
        <w:rPr>
          <w:lang w:val="en-US"/>
        </w:rPr>
        <w:t>derece</w:t>
      </w:r>
      <w:proofErr w:type="spellEnd"/>
      <w:r w:rsidRPr="003A104F">
        <w:rPr>
          <w:lang w:val="en-US"/>
        </w:rPr>
        <w:t xml:space="preserve"> </w:t>
      </w:r>
      <w:proofErr w:type="spellStart"/>
      <w:r w:rsidRPr="003A104F">
        <w:rPr>
          <w:lang w:val="en-US"/>
        </w:rPr>
        <w:t>dar</w:t>
      </w:r>
      <w:proofErr w:type="spellEnd"/>
      <w:r w:rsidRPr="003A104F">
        <w:rPr>
          <w:lang w:val="en-US"/>
        </w:rPr>
        <w:t xml:space="preserve"> </w:t>
      </w:r>
      <w:proofErr w:type="spellStart"/>
      <w:r w:rsidRPr="003A104F">
        <w:rPr>
          <w:lang w:val="en-US"/>
        </w:rPr>
        <w:t>bir</w:t>
      </w:r>
      <w:proofErr w:type="spellEnd"/>
      <w:r w:rsidRPr="003A104F">
        <w:rPr>
          <w:lang w:val="en-US"/>
        </w:rPr>
        <w:t xml:space="preserve"> </w:t>
      </w:r>
      <w:proofErr w:type="spellStart"/>
      <w:r w:rsidRPr="003A104F">
        <w:rPr>
          <w:lang w:val="en-US"/>
        </w:rPr>
        <w:t>çerçevede</w:t>
      </w:r>
      <w:proofErr w:type="spellEnd"/>
      <w:r w:rsidRPr="003A104F">
        <w:rPr>
          <w:lang w:val="en-US"/>
        </w:rPr>
        <w:t xml:space="preserve"> </w:t>
      </w:r>
      <w:proofErr w:type="spellStart"/>
      <w:r w:rsidRPr="003A104F">
        <w:rPr>
          <w:lang w:val="en-US"/>
        </w:rPr>
        <w:t>yorumlamaya</w:t>
      </w:r>
      <w:proofErr w:type="spellEnd"/>
      <w:r w:rsidRPr="003A104F">
        <w:rPr>
          <w:lang w:val="en-US"/>
        </w:rPr>
        <w:t xml:space="preserve"> </w:t>
      </w:r>
      <w:proofErr w:type="spellStart"/>
      <w:r w:rsidRPr="003A104F">
        <w:rPr>
          <w:lang w:val="en-US"/>
        </w:rPr>
        <w:t>yönlendirmiştir</w:t>
      </w:r>
      <w:proofErr w:type="spellEnd"/>
      <w:r w:rsidRPr="003A104F">
        <w:rPr>
          <w:lang w:val="en-US"/>
        </w:rPr>
        <w:t xml:space="preserve">. Bunun </w:t>
      </w:r>
      <w:proofErr w:type="spellStart"/>
      <w:r w:rsidRPr="003A104F">
        <w:rPr>
          <w:lang w:val="en-US"/>
        </w:rPr>
        <w:t>sonucunda</w:t>
      </w:r>
      <w:proofErr w:type="spellEnd"/>
      <w:r w:rsidRPr="003A104F">
        <w:rPr>
          <w:lang w:val="en-US"/>
        </w:rPr>
        <w:t xml:space="preserve">, </w:t>
      </w:r>
      <w:proofErr w:type="spellStart"/>
      <w:r w:rsidRPr="003A104F">
        <w:rPr>
          <w:lang w:val="en-US"/>
        </w:rPr>
        <w:t>kararın</w:t>
      </w:r>
      <w:proofErr w:type="spellEnd"/>
      <w:r w:rsidRPr="003A104F">
        <w:rPr>
          <w:lang w:val="en-US"/>
        </w:rPr>
        <w:t xml:space="preserve"> </w:t>
      </w:r>
      <w:proofErr w:type="spellStart"/>
      <w:r w:rsidRPr="003A104F">
        <w:rPr>
          <w:lang w:val="en-US"/>
        </w:rPr>
        <w:t>temel</w:t>
      </w:r>
      <w:proofErr w:type="spellEnd"/>
      <w:r w:rsidRPr="003A104F">
        <w:rPr>
          <w:lang w:val="en-US"/>
        </w:rPr>
        <w:t xml:space="preserve"> </w:t>
      </w:r>
      <w:proofErr w:type="spellStart"/>
      <w:r w:rsidRPr="003A104F">
        <w:rPr>
          <w:lang w:val="en-US"/>
        </w:rPr>
        <w:t>ilkeleri</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dili</w:t>
      </w:r>
      <w:proofErr w:type="spellEnd"/>
      <w:r w:rsidRPr="003A104F">
        <w:rPr>
          <w:lang w:val="en-US"/>
        </w:rPr>
        <w:t xml:space="preserve"> </w:t>
      </w:r>
      <w:proofErr w:type="spellStart"/>
      <w:r w:rsidRPr="003A104F">
        <w:rPr>
          <w:lang w:val="en-US"/>
        </w:rPr>
        <w:t>büyük</w:t>
      </w:r>
      <w:proofErr w:type="spellEnd"/>
      <w:r w:rsidRPr="003A104F">
        <w:rPr>
          <w:lang w:val="en-US"/>
        </w:rPr>
        <w:t xml:space="preserve"> </w:t>
      </w:r>
      <w:proofErr w:type="spellStart"/>
      <w:r w:rsidRPr="003A104F">
        <w:rPr>
          <w:lang w:val="en-US"/>
        </w:rPr>
        <w:t>ölçüde</w:t>
      </w:r>
      <w:proofErr w:type="spellEnd"/>
      <w:r w:rsidRPr="003A104F">
        <w:rPr>
          <w:lang w:val="en-US"/>
        </w:rPr>
        <w:t xml:space="preserve"> </w:t>
      </w:r>
      <w:proofErr w:type="spellStart"/>
      <w:r w:rsidRPr="003A104F">
        <w:rPr>
          <w:lang w:val="en-US"/>
        </w:rPr>
        <w:t>göz</w:t>
      </w:r>
      <w:proofErr w:type="spellEnd"/>
      <w:r w:rsidRPr="003A104F">
        <w:rPr>
          <w:lang w:val="en-US"/>
        </w:rPr>
        <w:t xml:space="preserve"> </w:t>
      </w:r>
      <w:proofErr w:type="spellStart"/>
      <w:r w:rsidRPr="003A104F">
        <w:rPr>
          <w:lang w:val="en-US"/>
        </w:rPr>
        <w:t>ardı</w:t>
      </w:r>
      <w:proofErr w:type="spellEnd"/>
      <w:r w:rsidRPr="003A104F">
        <w:rPr>
          <w:lang w:val="en-US"/>
        </w:rPr>
        <w:t xml:space="preserve"> </w:t>
      </w:r>
      <w:proofErr w:type="spellStart"/>
      <w:r w:rsidRPr="003A104F">
        <w:rPr>
          <w:lang w:val="en-US"/>
        </w:rPr>
        <w:t>edilmiş</w:t>
      </w:r>
      <w:proofErr w:type="spellEnd"/>
      <w:r w:rsidRPr="003A104F">
        <w:rPr>
          <w:lang w:val="en-US"/>
        </w:rPr>
        <w:t xml:space="preserve"> </w:t>
      </w:r>
      <w:proofErr w:type="spellStart"/>
      <w:r w:rsidRPr="003A104F">
        <w:rPr>
          <w:lang w:val="en-US"/>
        </w:rPr>
        <w:t>ve</w:t>
      </w:r>
      <w:proofErr w:type="spellEnd"/>
      <w:r w:rsidRPr="003A104F">
        <w:rPr>
          <w:lang w:val="en-US"/>
        </w:rPr>
        <w:t xml:space="preserve"> </w:t>
      </w:r>
      <w:proofErr w:type="spellStart"/>
      <w:r w:rsidRPr="003A104F">
        <w:rPr>
          <w:lang w:val="en-US"/>
        </w:rPr>
        <w:t>içtihat</w:t>
      </w:r>
      <w:proofErr w:type="spellEnd"/>
      <w:r w:rsidRPr="003A104F">
        <w:rPr>
          <w:lang w:val="en-US"/>
        </w:rPr>
        <w:t xml:space="preserve"> </w:t>
      </w:r>
      <w:proofErr w:type="spellStart"/>
      <w:r w:rsidRPr="003A104F">
        <w:rPr>
          <w:lang w:val="en-US"/>
        </w:rPr>
        <w:t>değeri</w:t>
      </w:r>
      <w:proofErr w:type="spellEnd"/>
      <w:r w:rsidRPr="003A104F">
        <w:rPr>
          <w:lang w:val="en-US"/>
        </w:rPr>
        <w:t xml:space="preserve"> </w:t>
      </w:r>
      <w:proofErr w:type="spellStart"/>
      <w:r w:rsidRPr="003A104F">
        <w:rPr>
          <w:lang w:val="en-US"/>
        </w:rPr>
        <w:t>önemli</w:t>
      </w:r>
      <w:proofErr w:type="spellEnd"/>
      <w:r w:rsidRPr="003A104F">
        <w:rPr>
          <w:lang w:val="en-US"/>
        </w:rPr>
        <w:t xml:space="preserve"> </w:t>
      </w:r>
      <w:proofErr w:type="spellStart"/>
      <w:r w:rsidRPr="003A104F">
        <w:rPr>
          <w:lang w:val="en-US"/>
        </w:rPr>
        <w:t>ölçüde</w:t>
      </w:r>
      <w:proofErr w:type="spellEnd"/>
      <w:r w:rsidRPr="003A104F">
        <w:rPr>
          <w:lang w:val="en-US"/>
        </w:rPr>
        <w:t xml:space="preserve"> zayıflatılmıştır.¹²²</w:t>
      </w:r>
      <w:r w:rsidR="00DE65CF">
        <w:rPr>
          <w:lang w:val="en-US"/>
        </w:rPr>
        <w:t xml:space="preserve"> </w:t>
      </w:r>
      <w:r w:rsidR="00DE65CF">
        <w:rPr>
          <w:rStyle w:val="FootnoteReference"/>
          <w:lang w:val="en-US"/>
        </w:rPr>
        <w:footnoteReference w:id="122"/>
      </w:r>
    </w:p>
    <w:p w14:paraId="3A3B2B07" w14:textId="62161607" w:rsidR="003A104F" w:rsidRDefault="00DE65CF" w:rsidP="00DE65CF">
      <w:pPr>
        <w:rPr>
          <w:lang w:val="en-US"/>
        </w:rPr>
      </w:pPr>
      <w:r w:rsidRPr="00DE65CF">
        <w:rPr>
          <w:lang w:val="en-US"/>
        </w:rPr>
        <w:t xml:space="preserve">Bu </w:t>
      </w:r>
      <w:proofErr w:type="spellStart"/>
      <w:r w:rsidRPr="00DE65CF">
        <w:rPr>
          <w:lang w:val="en-US"/>
        </w:rPr>
        <w:t>örneklerin</w:t>
      </w:r>
      <w:proofErr w:type="spellEnd"/>
      <w:r w:rsidRPr="00DE65CF">
        <w:rPr>
          <w:lang w:val="en-US"/>
        </w:rPr>
        <w:t xml:space="preserve"> de </w:t>
      </w:r>
      <w:proofErr w:type="spellStart"/>
      <w:r w:rsidRPr="00DE65CF">
        <w:rPr>
          <w:lang w:val="en-US"/>
        </w:rPr>
        <w:t>gösterdiği</w:t>
      </w:r>
      <w:proofErr w:type="spellEnd"/>
      <w:r w:rsidRPr="00DE65CF">
        <w:rPr>
          <w:lang w:val="en-US"/>
        </w:rPr>
        <w:t xml:space="preserve"> </w:t>
      </w:r>
      <w:proofErr w:type="spellStart"/>
      <w:r w:rsidRPr="00DE65CF">
        <w:rPr>
          <w:lang w:val="en-US"/>
        </w:rPr>
        <w:t>gibi</w:t>
      </w:r>
      <w:proofErr w:type="spellEnd"/>
      <w:r w:rsidRPr="00DE65CF">
        <w:rPr>
          <w:lang w:val="en-US"/>
        </w:rPr>
        <w:t xml:space="preserve">, Yüksek </w:t>
      </w:r>
      <w:proofErr w:type="spellStart"/>
      <w:r w:rsidRPr="00DE65CF">
        <w:rPr>
          <w:lang w:val="en-US"/>
        </w:rPr>
        <w:t>Mahkeme</w:t>
      </w:r>
      <w:proofErr w:type="spellEnd"/>
      <w:r w:rsidRPr="00DE65CF">
        <w:rPr>
          <w:lang w:val="en-US"/>
        </w:rPr>
        <w:t xml:space="preserve"> </w:t>
      </w:r>
      <w:proofErr w:type="spellStart"/>
      <w:r w:rsidRPr="00DE65CF">
        <w:rPr>
          <w:lang w:val="en-US"/>
        </w:rPr>
        <w:t>kararlarına</w:t>
      </w:r>
      <w:proofErr w:type="spellEnd"/>
      <w:r w:rsidRPr="00DE65CF">
        <w:rPr>
          <w:lang w:val="en-US"/>
        </w:rPr>
        <w:t xml:space="preserve"> </w:t>
      </w:r>
      <w:proofErr w:type="spellStart"/>
      <w:r w:rsidRPr="00DE65CF">
        <w:rPr>
          <w:lang w:val="en-US"/>
        </w:rPr>
        <w:t>ilişkin</w:t>
      </w:r>
      <w:proofErr w:type="spellEnd"/>
      <w:r w:rsidRPr="00DE65CF">
        <w:rPr>
          <w:lang w:val="en-US"/>
        </w:rPr>
        <w:t xml:space="preserve"> </w:t>
      </w:r>
      <w:proofErr w:type="spellStart"/>
      <w:r w:rsidRPr="00DE65CF">
        <w:rPr>
          <w:lang w:val="en-US"/>
        </w:rPr>
        <w:t>popüler</w:t>
      </w:r>
      <w:proofErr w:type="spellEnd"/>
      <w:r w:rsidRPr="00DE65CF">
        <w:rPr>
          <w:lang w:val="en-US"/>
        </w:rPr>
        <w:t xml:space="preserve"> </w:t>
      </w:r>
      <w:proofErr w:type="spellStart"/>
      <w:r w:rsidRPr="00DE65CF">
        <w:rPr>
          <w:lang w:val="en-US"/>
        </w:rPr>
        <w:t>anlatıları</w:t>
      </w:r>
      <w:proofErr w:type="spellEnd"/>
      <w:r w:rsidRPr="00DE65CF">
        <w:rPr>
          <w:lang w:val="en-US"/>
        </w:rPr>
        <w:t xml:space="preserve"> </w:t>
      </w:r>
      <w:proofErr w:type="spellStart"/>
      <w:r w:rsidRPr="00DE65CF">
        <w:rPr>
          <w:lang w:val="en-US"/>
        </w:rPr>
        <w:t>şekillendirmeye</w:t>
      </w:r>
      <w:proofErr w:type="spellEnd"/>
      <w:r w:rsidRPr="00DE65CF">
        <w:rPr>
          <w:lang w:val="en-US"/>
        </w:rPr>
        <w:t xml:space="preserve"> </w:t>
      </w:r>
      <w:proofErr w:type="spellStart"/>
      <w:r w:rsidRPr="00DE65CF">
        <w:rPr>
          <w:lang w:val="en-US"/>
        </w:rPr>
        <w:t>yönelik</w:t>
      </w:r>
      <w:proofErr w:type="spellEnd"/>
      <w:r w:rsidRPr="00DE65CF">
        <w:rPr>
          <w:lang w:val="en-US"/>
        </w:rPr>
        <w:t xml:space="preserve"> </w:t>
      </w:r>
      <w:proofErr w:type="spellStart"/>
      <w:r w:rsidRPr="00DE65CF">
        <w:rPr>
          <w:lang w:val="en-US"/>
        </w:rPr>
        <w:t>başarılı</w:t>
      </w:r>
      <w:proofErr w:type="spellEnd"/>
      <w:r w:rsidRPr="00DE65CF">
        <w:rPr>
          <w:lang w:val="en-US"/>
        </w:rPr>
        <w:t xml:space="preserve"> </w:t>
      </w:r>
      <w:proofErr w:type="spellStart"/>
      <w:r w:rsidRPr="00DE65CF">
        <w:rPr>
          <w:lang w:val="en-US"/>
        </w:rPr>
        <w:t>girişimler</w:t>
      </w:r>
      <w:proofErr w:type="spellEnd"/>
      <w:r w:rsidRPr="00DE65CF">
        <w:rPr>
          <w:lang w:val="en-US"/>
        </w:rPr>
        <w:t xml:space="preserve">, </w:t>
      </w:r>
      <w:proofErr w:type="spellStart"/>
      <w:r w:rsidRPr="00DE65CF">
        <w:rPr>
          <w:lang w:val="en-US"/>
        </w:rPr>
        <w:t>çoğu</w:t>
      </w:r>
      <w:proofErr w:type="spellEnd"/>
      <w:r w:rsidRPr="00DE65CF">
        <w:rPr>
          <w:lang w:val="en-US"/>
        </w:rPr>
        <w:t xml:space="preserve"> zaman </w:t>
      </w:r>
      <w:proofErr w:type="spellStart"/>
      <w:r w:rsidRPr="00DE65CF">
        <w:rPr>
          <w:lang w:val="en-US"/>
        </w:rPr>
        <w:t>karşı</w:t>
      </w:r>
      <w:proofErr w:type="spellEnd"/>
      <w:r w:rsidRPr="00DE65CF">
        <w:rPr>
          <w:lang w:val="en-US"/>
        </w:rPr>
        <w:t xml:space="preserve"> oy </w:t>
      </w:r>
      <w:proofErr w:type="spellStart"/>
      <w:r w:rsidRPr="00DE65CF">
        <w:rPr>
          <w:lang w:val="en-US"/>
        </w:rPr>
        <w:t>yazan</w:t>
      </w:r>
      <w:proofErr w:type="spellEnd"/>
      <w:r w:rsidRPr="00DE65CF">
        <w:rPr>
          <w:lang w:val="en-US"/>
        </w:rPr>
        <w:t xml:space="preserve"> </w:t>
      </w:r>
      <w:proofErr w:type="spellStart"/>
      <w:r w:rsidRPr="00DE65CF">
        <w:rPr>
          <w:lang w:val="en-US"/>
        </w:rPr>
        <w:t>Yargıçlar</w:t>
      </w:r>
      <w:proofErr w:type="spellEnd"/>
      <w:r w:rsidRPr="00DE65CF">
        <w:rPr>
          <w:lang w:val="en-US"/>
        </w:rPr>
        <w:t xml:space="preserve"> </w:t>
      </w:r>
      <w:proofErr w:type="spellStart"/>
      <w:r w:rsidRPr="00DE65CF">
        <w:rPr>
          <w:lang w:val="en-US"/>
        </w:rPr>
        <w:t>tarafından</w:t>
      </w:r>
      <w:proofErr w:type="spellEnd"/>
      <w:r w:rsidRPr="00DE65CF">
        <w:rPr>
          <w:lang w:val="en-US"/>
        </w:rPr>
        <w:t xml:space="preserve"> </w:t>
      </w:r>
      <w:proofErr w:type="spellStart"/>
      <w:r w:rsidRPr="00DE65CF">
        <w:rPr>
          <w:lang w:val="en-US"/>
        </w:rPr>
        <w:t>desteklenmekte</w:t>
      </w:r>
      <w:proofErr w:type="spellEnd"/>
      <w:r w:rsidRPr="00DE65CF">
        <w:rPr>
          <w:lang w:val="en-US"/>
        </w:rPr>
        <w:t xml:space="preserve"> </w:t>
      </w:r>
      <w:proofErr w:type="spellStart"/>
      <w:r w:rsidRPr="00DE65CF">
        <w:rPr>
          <w:lang w:val="en-US"/>
        </w:rPr>
        <w:t>veya</w:t>
      </w:r>
      <w:proofErr w:type="spellEnd"/>
      <w:r w:rsidRPr="00DE65CF">
        <w:rPr>
          <w:lang w:val="en-US"/>
        </w:rPr>
        <w:t xml:space="preserve"> </w:t>
      </w:r>
      <w:proofErr w:type="spellStart"/>
      <w:r w:rsidRPr="00DE65CF">
        <w:rPr>
          <w:lang w:val="en-US"/>
        </w:rPr>
        <w:t>hatta</w:t>
      </w:r>
      <w:proofErr w:type="spellEnd"/>
      <w:r w:rsidRPr="00DE65CF">
        <w:rPr>
          <w:lang w:val="en-US"/>
        </w:rPr>
        <w:t xml:space="preserve"> </w:t>
      </w:r>
      <w:proofErr w:type="spellStart"/>
      <w:r w:rsidRPr="00DE65CF">
        <w:rPr>
          <w:lang w:val="en-US"/>
        </w:rPr>
        <w:t>doğrudan</w:t>
      </w:r>
      <w:proofErr w:type="spellEnd"/>
      <w:r w:rsidRPr="00DE65CF">
        <w:rPr>
          <w:lang w:val="en-US"/>
        </w:rPr>
        <w:t xml:space="preserve"> </w:t>
      </w:r>
      <w:proofErr w:type="spellStart"/>
      <w:r w:rsidRPr="00DE65CF">
        <w:rPr>
          <w:lang w:val="en-US"/>
        </w:rPr>
        <w:t>onlar</w:t>
      </w:r>
      <w:proofErr w:type="spellEnd"/>
      <w:r w:rsidRPr="00DE65CF">
        <w:rPr>
          <w:lang w:val="en-US"/>
        </w:rPr>
        <w:t xml:space="preserve"> </w:t>
      </w:r>
      <w:proofErr w:type="spellStart"/>
      <w:r w:rsidRPr="00DE65CF">
        <w:rPr>
          <w:lang w:val="en-US"/>
        </w:rPr>
        <w:t>tarafından</w:t>
      </w:r>
      <w:proofErr w:type="spellEnd"/>
      <w:r w:rsidRPr="00DE65CF">
        <w:rPr>
          <w:lang w:val="en-US"/>
        </w:rPr>
        <w:t xml:space="preserve"> </w:t>
      </w:r>
      <w:proofErr w:type="spellStart"/>
      <w:r w:rsidRPr="00DE65CF">
        <w:rPr>
          <w:lang w:val="en-US"/>
        </w:rPr>
        <w:t>teşvik</w:t>
      </w:r>
      <w:proofErr w:type="spellEnd"/>
      <w:r w:rsidRPr="00DE65CF">
        <w:rPr>
          <w:lang w:val="en-US"/>
        </w:rPr>
        <w:t xml:space="preserve"> </w:t>
      </w:r>
      <w:proofErr w:type="spellStart"/>
      <w:r w:rsidRPr="00DE65CF">
        <w:rPr>
          <w:lang w:val="en-US"/>
        </w:rPr>
        <w:t>edilmektedir</w:t>
      </w:r>
      <w:proofErr w:type="spellEnd"/>
      <w:r w:rsidRPr="00DE65CF">
        <w:rPr>
          <w:lang w:val="en-US"/>
        </w:rPr>
        <w:t xml:space="preserve">. Bu </w:t>
      </w:r>
      <w:proofErr w:type="spellStart"/>
      <w:r w:rsidRPr="00DE65CF">
        <w:rPr>
          <w:lang w:val="en-US"/>
        </w:rPr>
        <w:t>Yargıçlar</w:t>
      </w:r>
      <w:proofErr w:type="spellEnd"/>
      <w:r w:rsidRPr="00DE65CF">
        <w:rPr>
          <w:lang w:val="en-US"/>
        </w:rPr>
        <w:t xml:space="preserve">, </w:t>
      </w:r>
      <w:proofErr w:type="spellStart"/>
      <w:r w:rsidRPr="00DE65CF">
        <w:rPr>
          <w:lang w:val="en-US"/>
        </w:rPr>
        <w:t>kamuoyunun</w:t>
      </w:r>
      <w:proofErr w:type="spellEnd"/>
      <w:r w:rsidRPr="00DE65CF">
        <w:rPr>
          <w:lang w:val="en-US"/>
        </w:rPr>
        <w:t xml:space="preserve"> </w:t>
      </w:r>
      <w:proofErr w:type="spellStart"/>
      <w:r w:rsidRPr="00DE65CF">
        <w:rPr>
          <w:lang w:val="en-US"/>
        </w:rPr>
        <w:t>algısını</w:t>
      </w:r>
      <w:proofErr w:type="spellEnd"/>
      <w:r w:rsidRPr="00DE65CF">
        <w:rPr>
          <w:lang w:val="en-US"/>
        </w:rPr>
        <w:t xml:space="preserve">, </w:t>
      </w:r>
      <w:proofErr w:type="spellStart"/>
      <w:r w:rsidRPr="00DE65CF">
        <w:rPr>
          <w:lang w:val="en-US"/>
        </w:rPr>
        <w:t>kararların</w:t>
      </w:r>
      <w:proofErr w:type="spellEnd"/>
      <w:r w:rsidRPr="00DE65CF">
        <w:rPr>
          <w:lang w:val="en-US"/>
        </w:rPr>
        <w:t xml:space="preserve"> </w:t>
      </w:r>
      <w:proofErr w:type="spellStart"/>
      <w:r w:rsidRPr="00DE65CF">
        <w:rPr>
          <w:lang w:val="en-US"/>
        </w:rPr>
        <w:t>uygulanmasını</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Mahkeme’nin</w:t>
      </w:r>
      <w:proofErr w:type="spellEnd"/>
      <w:r w:rsidRPr="00DE65CF">
        <w:rPr>
          <w:lang w:val="en-US"/>
        </w:rPr>
        <w:t xml:space="preserve"> </w:t>
      </w:r>
      <w:proofErr w:type="spellStart"/>
      <w:r w:rsidRPr="00DE65CF">
        <w:rPr>
          <w:lang w:val="en-US"/>
        </w:rPr>
        <w:t>hükümlerinin</w:t>
      </w:r>
      <w:proofErr w:type="spellEnd"/>
      <w:r w:rsidRPr="00DE65CF">
        <w:rPr>
          <w:lang w:val="en-US"/>
        </w:rPr>
        <w:t xml:space="preserve"> </w:t>
      </w:r>
      <w:proofErr w:type="spellStart"/>
      <w:r w:rsidRPr="00DE65CF">
        <w:rPr>
          <w:lang w:val="en-US"/>
        </w:rPr>
        <w:t>uzun</w:t>
      </w:r>
      <w:proofErr w:type="spellEnd"/>
      <w:r w:rsidRPr="00DE65CF">
        <w:rPr>
          <w:lang w:val="en-US"/>
        </w:rPr>
        <w:t xml:space="preserve"> </w:t>
      </w:r>
      <w:proofErr w:type="spellStart"/>
      <w:r w:rsidRPr="00DE65CF">
        <w:rPr>
          <w:lang w:val="en-US"/>
        </w:rPr>
        <w:t>vadeli</w:t>
      </w:r>
      <w:proofErr w:type="spellEnd"/>
      <w:r w:rsidRPr="00DE65CF">
        <w:rPr>
          <w:lang w:val="en-US"/>
        </w:rPr>
        <w:t xml:space="preserve"> </w:t>
      </w:r>
      <w:proofErr w:type="spellStart"/>
      <w:r w:rsidRPr="00DE65CF">
        <w:rPr>
          <w:lang w:val="en-US"/>
        </w:rPr>
        <w:t>geçerliliğini</w:t>
      </w:r>
      <w:proofErr w:type="spellEnd"/>
      <w:r w:rsidRPr="00DE65CF">
        <w:rPr>
          <w:lang w:val="en-US"/>
        </w:rPr>
        <w:t xml:space="preserve"> </w:t>
      </w:r>
      <w:proofErr w:type="spellStart"/>
      <w:r w:rsidRPr="00DE65CF">
        <w:rPr>
          <w:lang w:val="en-US"/>
        </w:rPr>
        <w:t>etkilemek</w:t>
      </w:r>
      <w:proofErr w:type="spellEnd"/>
      <w:r w:rsidRPr="00DE65CF">
        <w:rPr>
          <w:lang w:val="en-US"/>
        </w:rPr>
        <w:t xml:space="preserve"> </w:t>
      </w:r>
      <w:proofErr w:type="spellStart"/>
      <w:r w:rsidRPr="00DE65CF">
        <w:rPr>
          <w:lang w:val="en-US"/>
        </w:rPr>
        <w:t>amacıyla</w:t>
      </w:r>
      <w:proofErr w:type="spellEnd"/>
      <w:r w:rsidRPr="00DE65CF">
        <w:rPr>
          <w:lang w:val="en-US"/>
        </w:rPr>
        <w:t xml:space="preserve"> </w:t>
      </w:r>
      <w:proofErr w:type="spellStart"/>
      <w:r w:rsidRPr="00DE65CF">
        <w:rPr>
          <w:lang w:val="en-US"/>
        </w:rPr>
        <w:t>anlatılar</w:t>
      </w:r>
      <w:proofErr w:type="spellEnd"/>
      <w:r w:rsidRPr="00DE65CF">
        <w:rPr>
          <w:lang w:val="en-US"/>
        </w:rPr>
        <w:t xml:space="preserve"> </w:t>
      </w:r>
      <w:proofErr w:type="spellStart"/>
      <w:r w:rsidRPr="00DE65CF">
        <w:rPr>
          <w:lang w:val="en-US"/>
        </w:rPr>
        <w:t>oluşturmakta</w:t>
      </w:r>
      <w:proofErr w:type="spellEnd"/>
      <w:r w:rsidRPr="00DE65CF">
        <w:rPr>
          <w:lang w:val="en-US"/>
        </w:rPr>
        <w:t xml:space="preserve">, </w:t>
      </w:r>
      <w:proofErr w:type="spellStart"/>
      <w:r w:rsidRPr="00DE65CF">
        <w:rPr>
          <w:lang w:val="en-US"/>
        </w:rPr>
        <w:t>imgeler</w:t>
      </w:r>
      <w:proofErr w:type="spellEnd"/>
      <w:r w:rsidRPr="00DE65CF">
        <w:rPr>
          <w:lang w:val="en-US"/>
        </w:rPr>
        <w:t xml:space="preserve"> </w:t>
      </w:r>
      <w:proofErr w:type="spellStart"/>
      <w:r w:rsidRPr="00DE65CF">
        <w:rPr>
          <w:lang w:val="en-US"/>
        </w:rPr>
        <w:t>kullanmakta</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çoğunluk</w:t>
      </w:r>
      <w:proofErr w:type="spellEnd"/>
      <w:r w:rsidRPr="00DE65CF">
        <w:rPr>
          <w:lang w:val="en-US"/>
        </w:rPr>
        <w:t xml:space="preserve"> </w:t>
      </w:r>
      <w:proofErr w:type="spellStart"/>
      <w:r w:rsidRPr="00DE65CF">
        <w:rPr>
          <w:lang w:val="en-US"/>
        </w:rPr>
        <w:t>görüşlerini</w:t>
      </w:r>
      <w:proofErr w:type="spellEnd"/>
      <w:r w:rsidRPr="00DE65CF">
        <w:rPr>
          <w:lang w:val="en-US"/>
        </w:rPr>
        <w:t xml:space="preserve"> </w:t>
      </w:r>
      <w:proofErr w:type="spellStart"/>
      <w:r w:rsidRPr="00DE65CF">
        <w:rPr>
          <w:lang w:val="en-US"/>
        </w:rPr>
        <w:t>yansıtan</w:t>
      </w:r>
      <w:proofErr w:type="spellEnd"/>
      <w:r w:rsidRPr="00DE65CF">
        <w:rPr>
          <w:lang w:val="en-US"/>
        </w:rPr>
        <w:t xml:space="preserve"> </w:t>
      </w:r>
      <w:proofErr w:type="spellStart"/>
      <w:r w:rsidRPr="00DE65CF">
        <w:rPr>
          <w:lang w:val="en-US"/>
        </w:rPr>
        <w:t>betimlemeler</w:t>
      </w:r>
      <w:proofErr w:type="spellEnd"/>
      <w:r w:rsidRPr="00DE65CF">
        <w:rPr>
          <w:lang w:val="en-US"/>
        </w:rPr>
        <w:t xml:space="preserve"> </w:t>
      </w:r>
      <w:proofErr w:type="spellStart"/>
      <w:r w:rsidRPr="00DE65CF">
        <w:rPr>
          <w:lang w:val="en-US"/>
        </w:rPr>
        <w:t>yapmaktadır</w:t>
      </w:r>
      <w:proofErr w:type="spellEnd"/>
      <w:r w:rsidRPr="00DE65CF">
        <w:rPr>
          <w:lang w:val="en-US"/>
        </w:rPr>
        <w:t xml:space="preserve">. </w:t>
      </w:r>
      <w:proofErr w:type="spellStart"/>
      <w:r w:rsidRPr="00DE65CF">
        <w:rPr>
          <w:lang w:val="en-US"/>
        </w:rPr>
        <w:t>Yargıçlar</w:t>
      </w:r>
      <w:proofErr w:type="spellEnd"/>
      <w:r w:rsidRPr="00DE65CF">
        <w:rPr>
          <w:lang w:val="en-US"/>
        </w:rPr>
        <w:t xml:space="preserve">, </w:t>
      </w:r>
      <w:proofErr w:type="spellStart"/>
      <w:r w:rsidRPr="00DE65CF">
        <w:rPr>
          <w:lang w:val="en-US"/>
        </w:rPr>
        <w:t>kamuoyunun</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basının</w:t>
      </w:r>
      <w:proofErr w:type="spellEnd"/>
      <w:r w:rsidRPr="00DE65CF">
        <w:rPr>
          <w:lang w:val="en-US"/>
        </w:rPr>
        <w:t xml:space="preserve"> </w:t>
      </w:r>
      <w:proofErr w:type="spellStart"/>
      <w:r w:rsidRPr="00DE65CF">
        <w:rPr>
          <w:lang w:val="en-US"/>
        </w:rPr>
        <w:t>dikkatini</w:t>
      </w:r>
      <w:proofErr w:type="spellEnd"/>
      <w:r w:rsidRPr="00DE65CF">
        <w:rPr>
          <w:lang w:val="en-US"/>
        </w:rPr>
        <w:t xml:space="preserve"> </w:t>
      </w:r>
      <w:proofErr w:type="spellStart"/>
      <w:r w:rsidRPr="00DE65CF">
        <w:rPr>
          <w:lang w:val="en-US"/>
        </w:rPr>
        <w:t>çekmek</w:t>
      </w:r>
      <w:proofErr w:type="spellEnd"/>
      <w:r w:rsidRPr="00DE65CF">
        <w:rPr>
          <w:lang w:val="en-US"/>
        </w:rPr>
        <w:t xml:space="preserve"> </w:t>
      </w:r>
      <w:proofErr w:type="spellStart"/>
      <w:r w:rsidRPr="00DE65CF">
        <w:rPr>
          <w:lang w:val="en-US"/>
        </w:rPr>
        <w:t>için</w:t>
      </w:r>
      <w:proofErr w:type="spellEnd"/>
      <w:r w:rsidRPr="00DE65CF">
        <w:rPr>
          <w:lang w:val="en-US"/>
        </w:rPr>
        <w:t xml:space="preserve"> </w:t>
      </w:r>
      <w:proofErr w:type="spellStart"/>
      <w:r w:rsidRPr="00DE65CF">
        <w:rPr>
          <w:lang w:val="en-US"/>
        </w:rPr>
        <w:t>söylemi</w:t>
      </w:r>
      <w:proofErr w:type="spellEnd"/>
      <w:r w:rsidRPr="00DE65CF">
        <w:rPr>
          <w:lang w:val="en-US"/>
        </w:rPr>
        <w:t xml:space="preserve"> </w:t>
      </w:r>
      <w:proofErr w:type="spellStart"/>
      <w:r w:rsidRPr="00DE65CF">
        <w:rPr>
          <w:lang w:val="en-US"/>
        </w:rPr>
        <w:t>nasıl</w:t>
      </w:r>
      <w:proofErr w:type="spellEnd"/>
      <w:r w:rsidRPr="00DE65CF">
        <w:rPr>
          <w:lang w:val="en-US"/>
        </w:rPr>
        <w:t xml:space="preserve"> </w:t>
      </w:r>
      <w:proofErr w:type="spellStart"/>
      <w:r w:rsidRPr="00DE65CF">
        <w:rPr>
          <w:lang w:val="en-US"/>
        </w:rPr>
        <w:t>yükselteceklerini</w:t>
      </w:r>
      <w:proofErr w:type="spellEnd"/>
      <w:r w:rsidRPr="00DE65CF">
        <w:rPr>
          <w:lang w:val="en-US"/>
        </w:rPr>
        <w:t xml:space="preserve"> </w:t>
      </w:r>
      <w:proofErr w:type="spellStart"/>
      <w:r w:rsidRPr="00DE65CF">
        <w:rPr>
          <w:lang w:val="en-US"/>
        </w:rPr>
        <w:t>veya</w:t>
      </w:r>
      <w:proofErr w:type="spellEnd"/>
      <w:r w:rsidRPr="00DE65CF">
        <w:rPr>
          <w:lang w:val="en-US"/>
        </w:rPr>
        <w:t xml:space="preserve"> </w:t>
      </w:r>
      <w:proofErr w:type="spellStart"/>
      <w:r w:rsidRPr="00DE65CF">
        <w:rPr>
          <w:lang w:val="en-US"/>
        </w:rPr>
        <w:t>imgeleri</w:t>
      </w:r>
      <w:proofErr w:type="spellEnd"/>
      <w:r w:rsidRPr="00DE65CF">
        <w:rPr>
          <w:lang w:val="en-US"/>
        </w:rPr>
        <w:t xml:space="preserve"> </w:t>
      </w:r>
      <w:proofErr w:type="spellStart"/>
      <w:r w:rsidRPr="00DE65CF">
        <w:rPr>
          <w:lang w:val="en-US"/>
        </w:rPr>
        <w:t>nasıl</w:t>
      </w:r>
      <w:proofErr w:type="spellEnd"/>
      <w:r w:rsidRPr="00DE65CF">
        <w:rPr>
          <w:lang w:val="en-US"/>
        </w:rPr>
        <w:t xml:space="preserve"> </w:t>
      </w:r>
      <w:proofErr w:type="spellStart"/>
      <w:r w:rsidRPr="00DE65CF">
        <w:rPr>
          <w:lang w:val="en-US"/>
        </w:rPr>
        <w:t>değiştireceklerini</w:t>
      </w:r>
      <w:proofErr w:type="spellEnd"/>
      <w:r w:rsidRPr="00DE65CF">
        <w:rPr>
          <w:lang w:val="en-US"/>
        </w:rPr>
        <w:t xml:space="preserve"> </w:t>
      </w:r>
      <w:proofErr w:type="spellStart"/>
      <w:r w:rsidRPr="00DE65CF">
        <w:rPr>
          <w:lang w:val="en-US"/>
        </w:rPr>
        <w:t>çok</w:t>
      </w:r>
      <w:proofErr w:type="spellEnd"/>
      <w:r w:rsidRPr="00DE65CF">
        <w:rPr>
          <w:lang w:val="en-US"/>
        </w:rPr>
        <w:t xml:space="preserve"> iyi </w:t>
      </w:r>
      <w:proofErr w:type="spellStart"/>
      <w:r w:rsidRPr="00DE65CF">
        <w:rPr>
          <w:lang w:val="en-US"/>
        </w:rPr>
        <w:t>bilmekte</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sıklıkla</w:t>
      </w:r>
      <w:proofErr w:type="spellEnd"/>
      <w:r w:rsidRPr="00DE65CF">
        <w:rPr>
          <w:lang w:val="en-US"/>
        </w:rPr>
        <w:t xml:space="preserve"> </w:t>
      </w:r>
      <w:proofErr w:type="spellStart"/>
      <w:r w:rsidRPr="00DE65CF">
        <w:rPr>
          <w:lang w:val="en-US"/>
        </w:rPr>
        <w:t>bu</w:t>
      </w:r>
      <w:proofErr w:type="spellEnd"/>
      <w:r w:rsidRPr="00DE65CF">
        <w:rPr>
          <w:lang w:val="en-US"/>
        </w:rPr>
        <w:t xml:space="preserve"> </w:t>
      </w:r>
      <w:proofErr w:type="spellStart"/>
      <w:r w:rsidRPr="00DE65CF">
        <w:rPr>
          <w:lang w:val="en-US"/>
        </w:rPr>
        <w:t>yöntemleri</w:t>
      </w:r>
      <w:proofErr w:type="spellEnd"/>
      <w:r w:rsidRPr="00DE65CF">
        <w:rPr>
          <w:lang w:val="en-US"/>
        </w:rPr>
        <w:t xml:space="preserve"> </w:t>
      </w:r>
      <w:proofErr w:type="spellStart"/>
      <w:r w:rsidRPr="00DE65CF">
        <w:rPr>
          <w:lang w:val="en-US"/>
        </w:rPr>
        <w:t>etkili</w:t>
      </w:r>
      <w:proofErr w:type="spellEnd"/>
      <w:r w:rsidRPr="00DE65CF">
        <w:rPr>
          <w:lang w:val="en-US"/>
        </w:rPr>
        <w:t xml:space="preserve"> </w:t>
      </w:r>
      <w:proofErr w:type="spellStart"/>
      <w:r w:rsidRPr="00DE65CF">
        <w:rPr>
          <w:lang w:val="en-US"/>
        </w:rPr>
        <w:t>bir</w:t>
      </w:r>
      <w:proofErr w:type="spellEnd"/>
      <w:r w:rsidRPr="00DE65CF">
        <w:rPr>
          <w:lang w:val="en-US"/>
        </w:rPr>
        <w:t xml:space="preserve"> </w:t>
      </w:r>
      <w:proofErr w:type="spellStart"/>
      <w:r w:rsidRPr="00DE65CF">
        <w:rPr>
          <w:lang w:val="en-US"/>
        </w:rPr>
        <w:t>şekilde</w:t>
      </w:r>
      <w:proofErr w:type="spellEnd"/>
      <w:r w:rsidRPr="00DE65CF">
        <w:rPr>
          <w:lang w:val="en-US"/>
        </w:rPr>
        <w:t xml:space="preserve"> kullanmaktadır.¹²³</w:t>
      </w:r>
      <w:r>
        <w:rPr>
          <w:lang w:val="en-US"/>
        </w:rPr>
        <w:t xml:space="preserve">  </w:t>
      </w:r>
      <w:r>
        <w:rPr>
          <w:rStyle w:val="FootnoteReference"/>
          <w:lang w:val="en-US"/>
        </w:rPr>
        <w:footnoteReference w:id="123"/>
      </w:r>
      <w:r>
        <w:rPr>
          <w:lang w:val="en-US"/>
        </w:rPr>
        <w:t xml:space="preserve"> </w:t>
      </w:r>
      <w:r w:rsidRPr="00DE65CF">
        <w:rPr>
          <w:lang w:val="en-US"/>
        </w:rPr>
        <w:t xml:space="preserve">Bu </w:t>
      </w:r>
      <w:proofErr w:type="spellStart"/>
      <w:r w:rsidRPr="00DE65CF">
        <w:rPr>
          <w:lang w:val="en-US"/>
        </w:rPr>
        <w:t>eğilim</w:t>
      </w:r>
      <w:proofErr w:type="spellEnd"/>
      <w:r w:rsidRPr="00DE65CF">
        <w:rPr>
          <w:lang w:val="en-US"/>
        </w:rPr>
        <w:t xml:space="preserve"> </w:t>
      </w:r>
      <w:proofErr w:type="spellStart"/>
      <w:r w:rsidRPr="00DE65CF">
        <w:rPr>
          <w:lang w:val="en-US"/>
        </w:rPr>
        <w:t>yalnızca</w:t>
      </w:r>
      <w:proofErr w:type="spellEnd"/>
      <w:r w:rsidRPr="00DE65CF">
        <w:rPr>
          <w:lang w:val="en-US"/>
        </w:rPr>
        <w:t xml:space="preserve"> </w:t>
      </w:r>
      <w:proofErr w:type="spellStart"/>
      <w:r w:rsidRPr="00DE65CF">
        <w:rPr>
          <w:lang w:val="en-US"/>
        </w:rPr>
        <w:t>karşı</w:t>
      </w:r>
      <w:proofErr w:type="spellEnd"/>
      <w:r w:rsidRPr="00DE65CF">
        <w:rPr>
          <w:lang w:val="en-US"/>
        </w:rPr>
        <w:t xml:space="preserve"> oy </w:t>
      </w:r>
      <w:proofErr w:type="spellStart"/>
      <w:r w:rsidRPr="00DE65CF">
        <w:rPr>
          <w:lang w:val="en-US"/>
        </w:rPr>
        <w:t>yazan</w:t>
      </w:r>
      <w:proofErr w:type="spellEnd"/>
      <w:r w:rsidRPr="00DE65CF">
        <w:rPr>
          <w:lang w:val="en-US"/>
        </w:rPr>
        <w:t xml:space="preserve"> </w:t>
      </w:r>
      <w:proofErr w:type="spellStart"/>
      <w:r w:rsidRPr="00DE65CF">
        <w:rPr>
          <w:lang w:val="en-US"/>
        </w:rPr>
        <w:t>Yargıçlarla</w:t>
      </w:r>
      <w:proofErr w:type="spellEnd"/>
      <w:r w:rsidRPr="00DE65CF">
        <w:rPr>
          <w:lang w:val="en-US"/>
        </w:rPr>
        <w:t xml:space="preserve"> </w:t>
      </w:r>
      <w:proofErr w:type="spellStart"/>
      <w:r w:rsidRPr="00DE65CF">
        <w:rPr>
          <w:lang w:val="en-US"/>
        </w:rPr>
        <w:t>sınırlı</w:t>
      </w:r>
      <w:proofErr w:type="spellEnd"/>
      <w:r w:rsidRPr="00DE65CF">
        <w:rPr>
          <w:lang w:val="en-US"/>
        </w:rPr>
        <w:t xml:space="preserve"> </w:t>
      </w:r>
      <w:proofErr w:type="spellStart"/>
      <w:r w:rsidRPr="00DE65CF">
        <w:rPr>
          <w:lang w:val="en-US"/>
        </w:rPr>
        <w:t>değildir</w:t>
      </w:r>
      <w:proofErr w:type="spellEnd"/>
      <w:r w:rsidRPr="00DE65CF">
        <w:rPr>
          <w:lang w:val="en-US"/>
        </w:rPr>
        <w:t xml:space="preserve">; </w:t>
      </w:r>
      <w:proofErr w:type="spellStart"/>
      <w:r w:rsidRPr="00DE65CF">
        <w:rPr>
          <w:lang w:val="en-US"/>
        </w:rPr>
        <w:t>çoğunluk</w:t>
      </w:r>
      <w:proofErr w:type="spellEnd"/>
      <w:r w:rsidRPr="00DE65CF">
        <w:rPr>
          <w:lang w:val="en-US"/>
        </w:rPr>
        <w:t xml:space="preserve"> </w:t>
      </w:r>
      <w:proofErr w:type="spellStart"/>
      <w:r w:rsidRPr="00DE65CF">
        <w:rPr>
          <w:lang w:val="en-US"/>
        </w:rPr>
        <w:t>görüşünü</w:t>
      </w:r>
      <w:proofErr w:type="spellEnd"/>
      <w:r w:rsidRPr="00DE65CF">
        <w:rPr>
          <w:lang w:val="en-US"/>
        </w:rPr>
        <w:t xml:space="preserve"> </w:t>
      </w:r>
      <w:proofErr w:type="spellStart"/>
      <w:r w:rsidRPr="00DE65CF">
        <w:rPr>
          <w:lang w:val="en-US"/>
        </w:rPr>
        <w:t>kaleme</w:t>
      </w:r>
      <w:proofErr w:type="spellEnd"/>
      <w:r w:rsidRPr="00DE65CF">
        <w:rPr>
          <w:lang w:val="en-US"/>
        </w:rPr>
        <w:t xml:space="preserve"> </w:t>
      </w:r>
      <w:proofErr w:type="spellStart"/>
      <w:r w:rsidRPr="00DE65CF">
        <w:rPr>
          <w:lang w:val="en-US"/>
        </w:rPr>
        <w:t>alan</w:t>
      </w:r>
      <w:proofErr w:type="spellEnd"/>
      <w:r w:rsidRPr="00DE65CF">
        <w:rPr>
          <w:lang w:val="en-US"/>
        </w:rPr>
        <w:t xml:space="preserve"> </w:t>
      </w:r>
      <w:proofErr w:type="spellStart"/>
      <w:r w:rsidRPr="00DE65CF">
        <w:rPr>
          <w:lang w:val="en-US"/>
        </w:rPr>
        <w:t>Yargıçlar</w:t>
      </w:r>
      <w:proofErr w:type="spellEnd"/>
      <w:r w:rsidRPr="00DE65CF">
        <w:rPr>
          <w:lang w:val="en-US"/>
        </w:rPr>
        <w:t xml:space="preserve"> da </w:t>
      </w:r>
      <w:proofErr w:type="spellStart"/>
      <w:r w:rsidRPr="00DE65CF">
        <w:rPr>
          <w:lang w:val="en-US"/>
        </w:rPr>
        <w:t>Mahkeme</w:t>
      </w:r>
      <w:proofErr w:type="spellEnd"/>
      <w:r w:rsidRPr="00DE65CF">
        <w:rPr>
          <w:lang w:val="en-US"/>
        </w:rPr>
        <w:t xml:space="preserve"> </w:t>
      </w:r>
      <w:proofErr w:type="spellStart"/>
      <w:r w:rsidRPr="00DE65CF">
        <w:rPr>
          <w:lang w:val="en-US"/>
        </w:rPr>
        <w:t>kararlarının</w:t>
      </w:r>
      <w:proofErr w:type="spellEnd"/>
      <w:r w:rsidRPr="00DE65CF">
        <w:rPr>
          <w:lang w:val="en-US"/>
        </w:rPr>
        <w:t xml:space="preserve"> </w:t>
      </w:r>
      <w:proofErr w:type="spellStart"/>
      <w:r w:rsidRPr="00DE65CF">
        <w:rPr>
          <w:lang w:val="en-US"/>
        </w:rPr>
        <w:t>nasıl</w:t>
      </w:r>
      <w:proofErr w:type="spellEnd"/>
      <w:r w:rsidRPr="00DE65CF">
        <w:rPr>
          <w:lang w:val="en-US"/>
        </w:rPr>
        <w:t xml:space="preserve"> </w:t>
      </w:r>
      <w:proofErr w:type="spellStart"/>
      <w:r w:rsidRPr="00DE65CF">
        <w:rPr>
          <w:lang w:val="en-US"/>
        </w:rPr>
        <w:t>algılanacağını</w:t>
      </w:r>
      <w:proofErr w:type="spellEnd"/>
      <w:r w:rsidRPr="00DE65CF">
        <w:rPr>
          <w:lang w:val="en-US"/>
        </w:rPr>
        <w:t xml:space="preserve"> </w:t>
      </w:r>
      <w:proofErr w:type="spellStart"/>
      <w:r w:rsidRPr="00DE65CF">
        <w:rPr>
          <w:lang w:val="en-US"/>
        </w:rPr>
        <w:t>etkileme</w:t>
      </w:r>
      <w:proofErr w:type="spellEnd"/>
      <w:r w:rsidRPr="00DE65CF">
        <w:rPr>
          <w:lang w:val="en-US"/>
        </w:rPr>
        <w:t xml:space="preserve"> </w:t>
      </w:r>
      <w:proofErr w:type="spellStart"/>
      <w:r w:rsidRPr="00DE65CF">
        <w:rPr>
          <w:lang w:val="en-US"/>
        </w:rPr>
        <w:t>arzusu</w:t>
      </w:r>
      <w:proofErr w:type="spellEnd"/>
      <w:r w:rsidRPr="00DE65CF">
        <w:rPr>
          <w:lang w:val="en-US"/>
        </w:rPr>
        <w:t xml:space="preserve"> </w:t>
      </w:r>
      <w:proofErr w:type="spellStart"/>
      <w:r w:rsidRPr="00DE65CF">
        <w:rPr>
          <w:lang w:val="en-US"/>
        </w:rPr>
        <w:t>taşımakta</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bu</w:t>
      </w:r>
      <w:proofErr w:type="spellEnd"/>
      <w:r w:rsidRPr="00DE65CF">
        <w:rPr>
          <w:lang w:val="en-US"/>
        </w:rPr>
        <w:t xml:space="preserve"> </w:t>
      </w:r>
      <w:proofErr w:type="spellStart"/>
      <w:r w:rsidRPr="00DE65CF">
        <w:rPr>
          <w:lang w:val="en-US"/>
        </w:rPr>
        <w:t>doğrultuda</w:t>
      </w:r>
      <w:proofErr w:type="spellEnd"/>
      <w:r w:rsidRPr="00DE65CF">
        <w:rPr>
          <w:lang w:val="en-US"/>
        </w:rPr>
        <w:t xml:space="preserve"> </w:t>
      </w:r>
      <w:proofErr w:type="spellStart"/>
      <w:r w:rsidRPr="00DE65CF">
        <w:rPr>
          <w:lang w:val="en-US"/>
        </w:rPr>
        <w:t>kritik</w:t>
      </w:r>
      <w:proofErr w:type="spellEnd"/>
      <w:r w:rsidRPr="00DE65CF">
        <w:rPr>
          <w:lang w:val="en-US"/>
        </w:rPr>
        <w:t xml:space="preserve"> </w:t>
      </w:r>
      <w:proofErr w:type="spellStart"/>
      <w:r w:rsidRPr="00DE65CF">
        <w:rPr>
          <w:lang w:val="en-US"/>
        </w:rPr>
        <w:t>anlatısal</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söylemsel</w:t>
      </w:r>
      <w:proofErr w:type="spellEnd"/>
      <w:r w:rsidRPr="00DE65CF">
        <w:rPr>
          <w:lang w:val="en-US"/>
        </w:rPr>
        <w:t xml:space="preserve"> </w:t>
      </w:r>
      <w:proofErr w:type="spellStart"/>
      <w:r w:rsidRPr="00DE65CF">
        <w:rPr>
          <w:lang w:val="en-US"/>
        </w:rPr>
        <w:t>tercihler</w:t>
      </w:r>
      <w:proofErr w:type="spellEnd"/>
      <w:r w:rsidRPr="00DE65CF">
        <w:rPr>
          <w:lang w:val="en-US"/>
        </w:rPr>
        <w:t xml:space="preserve"> </w:t>
      </w:r>
      <w:proofErr w:type="spellStart"/>
      <w:r w:rsidRPr="00DE65CF">
        <w:rPr>
          <w:lang w:val="en-US"/>
        </w:rPr>
        <w:t>yapmakta</w:t>
      </w:r>
      <w:proofErr w:type="spellEnd"/>
      <w:r w:rsidRPr="00DE65CF">
        <w:rPr>
          <w:lang w:val="en-US"/>
        </w:rPr>
        <w:t xml:space="preserve"> </w:t>
      </w:r>
      <w:proofErr w:type="spellStart"/>
      <w:r w:rsidRPr="00DE65CF">
        <w:rPr>
          <w:lang w:val="en-US"/>
        </w:rPr>
        <w:t>ya</w:t>
      </w:r>
      <w:proofErr w:type="spellEnd"/>
      <w:r w:rsidRPr="00DE65CF">
        <w:rPr>
          <w:lang w:val="en-US"/>
        </w:rPr>
        <w:t xml:space="preserve"> da </w:t>
      </w:r>
      <w:proofErr w:type="spellStart"/>
      <w:r w:rsidRPr="00DE65CF">
        <w:rPr>
          <w:lang w:val="en-US"/>
        </w:rPr>
        <w:t>geniş</w:t>
      </w:r>
      <w:proofErr w:type="spellEnd"/>
      <w:r w:rsidRPr="00DE65CF">
        <w:rPr>
          <w:lang w:val="en-US"/>
        </w:rPr>
        <w:t xml:space="preserve"> </w:t>
      </w:r>
      <w:proofErr w:type="spellStart"/>
      <w:r w:rsidRPr="00DE65CF">
        <w:rPr>
          <w:lang w:val="en-US"/>
        </w:rPr>
        <w:t>bir</w:t>
      </w:r>
      <w:proofErr w:type="spellEnd"/>
      <w:r w:rsidRPr="00DE65CF">
        <w:rPr>
          <w:lang w:val="en-US"/>
        </w:rPr>
        <w:t xml:space="preserve"> </w:t>
      </w:r>
      <w:proofErr w:type="spellStart"/>
      <w:r w:rsidRPr="00DE65CF">
        <w:rPr>
          <w:lang w:val="en-US"/>
        </w:rPr>
        <w:t>kitleyi</w:t>
      </w:r>
      <w:proofErr w:type="spellEnd"/>
      <w:r w:rsidRPr="00DE65CF">
        <w:rPr>
          <w:lang w:val="en-US"/>
        </w:rPr>
        <w:t xml:space="preserve"> </w:t>
      </w:r>
      <w:proofErr w:type="spellStart"/>
      <w:r w:rsidRPr="00DE65CF">
        <w:rPr>
          <w:lang w:val="en-US"/>
        </w:rPr>
        <w:t>hedefleyerek</w:t>
      </w:r>
      <w:proofErr w:type="spellEnd"/>
      <w:r w:rsidRPr="00DE65CF">
        <w:rPr>
          <w:lang w:val="en-US"/>
        </w:rPr>
        <w:t xml:space="preserve"> hangi </w:t>
      </w:r>
      <w:proofErr w:type="spellStart"/>
      <w:r w:rsidRPr="00DE65CF">
        <w:rPr>
          <w:lang w:val="en-US"/>
        </w:rPr>
        <w:t>kaynakları</w:t>
      </w:r>
      <w:proofErr w:type="spellEnd"/>
      <w:r w:rsidRPr="00DE65CF">
        <w:rPr>
          <w:lang w:val="en-US"/>
        </w:rPr>
        <w:t xml:space="preserve"> </w:t>
      </w:r>
      <w:proofErr w:type="spellStart"/>
      <w:r w:rsidRPr="00DE65CF">
        <w:rPr>
          <w:lang w:val="en-US"/>
        </w:rPr>
        <w:t>alıntılayacaklarını</w:t>
      </w:r>
      <w:proofErr w:type="spellEnd"/>
      <w:r w:rsidRPr="00DE65CF">
        <w:rPr>
          <w:lang w:val="en-US"/>
        </w:rPr>
        <w:t xml:space="preserve"> belirlemektedir.¹²⁴ </w:t>
      </w:r>
      <w:r>
        <w:rPr>
          <w:rStyle w:val="FootnoteReference"/>
          <w:lang w:val="en-US"/>
        </w:rPr>
        <w:footnoteReference w:id="124"/>
      </w:r>
      <w:r>
        <w:rPr>
          <w:lang w:val="en-US"/>
        </w:rPr>
        <w:t xml:space="preserve"> </w:t>
      </w:r>
      <w:proofErr w:type="spellStart"/>
      <w:r w:rsidRPr="00DE65CF">
        <w:rPr>
          <w:lang w:val="en-US"/>
        </w:rPr>
        <w:t>Yargıçlar</w:t>
      </w:r>
      <w:proofErr w:type="spellEnd"/>
      <w:r w:rsidRPr="00DE65CF">
        <w:rPr>
          <w:lang w:val="en-US"/>
        </w:rPr>
        <w:t xml:space="preserve"> </w:t>
      </w:r>
      <w:proofErr w:type="spellStart"/>
      <w:r w:rsidRPr="00DE65CF">
        <w:rPr>
          <w:lang w:val="en-US"/>
        </w:rPr>
        <w:t>tarih</w:t>
      </w:r>
      <w:proofErr w:type="spellEnd"/>
      <w:r w:rsidRPr="00DE65CF">
        <w:rPr>
          <w:lang w:val="en-US"/>
        </w:rPr>
        <w:t xml:space="preserve"> </w:t>
      </w:r>
      <w:proofErr w:type="spellStart"/>
      <w:r w:rsidRPr="00DE65CF">
        <w:rPr>
          <w:lang w:val="en-US"/>
        </w:rPr>
        <w:t>boyunca</w:t>
      </w:r>
      <w:proofErr w:type="spellEnd"/>
      <w:r w:rsidRPr="00DE65CF">
        <w:rPr>
          <w:lang w:val="en-US"/>
        </w:rPr>
        <w:t xml:space="preserve"> </w:t>
      </w:r>
      <w:proofErr w:type="spellStart"/>
      <w:r w:rsidRPr="00DE65CF">
        <w:rPr>
          <w:lang w:val="en-US"/>
        </w:rPr>
        <w:t>bu</w:t>
      </w:r>
      <w:proofErr w:type="spellEnd"/>
      <w:r w:rsidRPr="00DE65CF">
        <w:rPr>
          <w:lang w:val="en-US"/>
        </w:rPr>
        <w:t xml:space="preserve"> </w:t>
      </w:r>
      <w:proofErr w:type="spellStart"/>
      <w:r w:rsidRPr="00DE65CF">
        <w:rPr>
          <w:lang w:val="en-US"/>
        </w:rPr>
        <w:t>tür</w:t>
      </w:r>
      <w:proofErr w:type="spellEnd"/>
      <w:r w:rsidRPr="00DE65CF">
        <w:rPr>
          <w:lang w:val="en-US"/>
        </w:rPr>
        <w:t xml:space="preserve"> </w:t>
      </w:r>
      <w:proofErr w:type="spellStart"/>
      <w:r w:rsidRPr="00DE65CF">
        <w:rPr>
          <w:lang w:val="en-US"/>
        </w:rPr>
        <w:t>taktiklere</w:t>
      </w:r>
      <w:proofErr w:type="spellEnd"/>
      <w:r w:rsidRPr="00DE65CF">
        <w:rPr>
          <w:lang w:val="en-US"/>
        </w:rPr>
        <w:t xml:space="preserve"> </w:t>
      </w:r>
      <w:proofErr w:type="spellStart"/>
      <w:r w:rsidRPr="00DE65CF">
        <w:rPr>
          <w:lang w:val="en-US"/>
        </w:rPr>
        <w:t>başvurmuştur</w:t>
      </w:r>
      <w:proofErr w:type="spellEnd"/>
      <w:r w:rsidRPr="00DE65CF">
        <w:rPr>
          <w:lang w:val="en-US"/>
        </w:rPr>
        <w:t xml:space="preserve">; </w:t>
      </w:r>
      <w:proofErr w:type="spellStart"/>
      <w:r w:rsidRPr="00DE65CF">
        <w:rPr>
          <w:lang w:val="en-US"/>
        </w:rPr>
        <w:t>örneğin</w:t>
      </w:r>
      <w:proofErr w:type="spellEnd"/>
      <w:r w:rsidRPr="00DE65CF">
        <w:rPr>
          <w:lang w:val="en-US"/>
        </w:rPr>
        <w:t xml:space="preserve">, </w:t>
      </w:r>
      <w:r w:rsidRPr="00DE65CF">
        <w:rPr>
          <w:i/>
          <w:iCs/>
          <w:lang w:val="en-US"/>
        </w:rPr>
        <w:t>Marbury v. Madison</w:t>
      </w:r>
      <w:r w:rsidRPr="00DE65CF">
        <w:rPr>
          <w:lang w:val="en-US"/>
        </w:rPr>
        <w:t>¹²⁵</w:t>
      </w:r>
      <w:r>
        <w:rPr>
          <w:lang w:val="en-US"/>
        </w:rPr>
        <w:t xml:space="preserve"> </w:t>
      </w:r>
      <w:r>
        <w:rPr>
          <w:rStyle w:val="FootnoteReference"/>
          <w:lang w:val="en-US"/>
        </w:rPr>
        <w:footnoteReference w:id="125"/>
      </w:r>
      <w:r w:rsidRPr="00DE65CF">
        <w:rPr>
          <w:lang w:val="en-US"/>
        </w:rPr>
        <w:t xml:space="preserve"> </w:t>
      </w:r>
      <w:proofErr w:type="spellStart"/>
      <w:r w:rsidRPr="00DE65CF">
        <w:rPr>
          <w:lang w:val="en-US"/>
        </w:rPr>
        <w:t>kararında</w:t>
      </w:r>
      <w:proofErr w:type="spellEnd"/>
      <w:r w:rsidRPr="00DE65CF">
        <w:rPr>
          <w:lang w:val="en-US"/>
        </w:rPr>
        <w:t xml:space="preserve"> Baş </w:t>
      </w:r>
      <w:proofErr w:type="spellStart"/>
      <w:r w:rsidRPr="00DE65CF">
        <w:rPr>
          <w:lang w:val="en-US"/>
        </w:rPr>
        <w:t>Yargıç</w:t>
      </w:r>
      <w:proofErr w:type="spellEnd"/>
      <w:r w:rsidRPr="00DE65CF">
        <w:rPr>
          <w:lang w:val="en-US"/>
        </w:rPr>
        <w:t xml:space="preserve"> John </w:t>
      </w:r>
      <w:proofErr w:type="spellStart"/>
      <w:r w:rsidRPr="00DE65CF">
        <w:rPr>
          <w:lang w:val="en-US"/>
        </w:rPr>
        <w:t>Marshall’ın</w:t>
      </w:r>
      <w:proofErr w:type="spellEnd"/>
      <w:r w:rsidRPr="00DE65CF">
        <w:rPr>
          <w:lang w:val="en-US"/>
        </w:rPr>
        <w:t xml:space="preserve"> </w:t>
      </w:r>
      <w:proofErr w:type="spellStart"/>
      <w:r w:rsidRPr="00DE65CF">
        <w:rPr>
          <w:lang w:val="en-US"/>
        </w:rPr>
        <w:t>görüşünü</w:t>
      </w:r>
      <w:proofErr w:type="spellEnd"/>
      <w:r w:rsidRPr="00DE65CF">
        <w:rPr>
          <w:lang w:val="en-US"/>
        </w:rPr>
        <w:t xml:space="preserve"> </w:t>
      </w:r>
      <w:proofErr w:type="spellStart"/>
      <w:r w:rsidRPr="00DE65CF">
        <w:rPr>
          <w:lang w:val="en-US"/>
        </w:rPr>
        <w:t>titizlikle</w:t>
      </w:r>
      <w:proofErr w:type="spellEnd"/>
      <w:r w:rsidRPr="00DE65CF">
        <w:rPr>
          <w:lang w:val="en-US"/>
        </w:rPr>
        <w:t xml:space="preserve"> </w:t>
      </w:r>
      <w:proofErr w:type="spellStart"/>
      <w:r w:rsidRPr="00DE65CF">
        <w:rPr>
          <w:lang w:val="en-US"/>
        </w:rPr>
        <w:t>şekillendirmesi</w:t>
      </w:r>
      <w:proofErr w:type="spellEnd"/>
      <w:r w:rsidRPr="00DE65CF">
        <w:rPr>
          <w:lang w:val="en-US"/>
        </w:rPr>
        <w:t xml:space="preserve"> </w:t>
      </w:r>
      <w:proofErr w:type="spellStart"/>
      <w:r w:rsidRPr="00DE65CF">
        <w:rPr>
          <w:lang w:val="en-US"/>
        </w:rPr>
        <w:t>veya</w:t>
      </w:r>
      <w:proofErr w:type="spellEnd"/>
      <w:r w:rsidRPr="00DE65CF">
        <w:rPr>
          <w:lang w:val="en-US"/>
        </w:rPr>
        <w:t xml:space="preserve"> </w:t>
      </w:r>
      <w:r w:rsidRPr="00DE65CF">
        <w:rPr>
          <w:i/>
          <w:iCs/>
          <w:lang w:val="en-US"/>
        </w:rPr>
        <w:t>Brown v. Board of Education</w:t>
      </w:r>
      <w:r w:rsidRPr="00DE65CF">
        <w:rPr>
          <w:lang w:val="en-US"/>
        </w:rPr>
        <w:t>¹²⁶</w:t>
      </w:r>
      <w:r>
        <w:rPr>
          <w:lang w:val="en-US"/>
        </w:rPr>
        <w:t xml:space="preserve"> </w:t>
      </w:r>
      <w:r>
        <w:rPr>
          <w:rStyle w:val="FootnoteReference"/>
          <w:lang w:val="en-US"/>
        </w:rPr>
        <w:footnoteReference w:id="126"/>
      </w:r>
      <w:r w:rsidRPr="00DE65CF">
        <w:rPr>
          <w:lang w:val="en-US"/>
        </w:rPr>
        <w:t xml:space="preserve"> </w:t>
      </w:r>
      <w:proofErr w:type="spellStart"/>
      <w:r w:rsidRPr="00DE65CF">
        <w:rPr>
          <w:lang w:val="en-US"/>
        </w:rPr>
        <w:t>kararında</w:t>
      </w:r>
      <w:proofErr w:type="spellEnd"/>
      <w:r w:rsidRPr="00DE65CF">
        <w:rPr>
          <w:lang w:val="en-US"/>
        </w:rPr>
        <w:t xml:space="preserve"> Baş </w:t>
      </w:r>
      <w:proofErr w:type="spellStart"/>
      <w:r w:rsidRPr="00DE65CF">
        <w:rPr>
          <w:lang w:val="en-US"/>
        </w:rPr>
        <w:t>Yargıç</w:t>
      </w:r>
      <w:proofErr w:type="spellEnd"/>
      <w:r w:rsidRPr="00DE65CF">
        <w:rPr>
          <w:lang w:val="en-US"/>
        </w:rPr>
        <w:t xml:space="preserve"> Earl </w:t>
      </w:r>
      <w:proofErr w:type="spellStart"/>
      <w:r w:rsidRPr="00DE65CF">
        <w:rPr>
          <w:lang w:val="en-US"/>
        </w:rPr>
        <w:t>Warren’ın</w:t>
      </w:r>
      <w:proofErr w:type="spellEnd"/>
      <w:r w:rsidRPr="00DE65CF">
        <w:rPr>
          <w:lang w:val="en-US"/>
        </w:rPr>
        <w:t xml:space="preserve"> </w:t>
      </w:r>
      <w:proofErr w:type="spellStart"/>
      <w:r w:rsidRPr="00DE65CF">
        <w:rPr>
          <w:lang w:val="en-US"/>
        </w:rPr>
        <w:t>görüşünü</w:t>
      </w:r>
      <w:proofErr w:type="spellEnd"/>
      <w:r w:rsidRPr="00DE65CF">
        <w:rPr>
          <w:lang w:val="en-US"/>
        </w:rPr>
        <w:t xml:space="preserve"> </w:t>
      </w:r>
      <w:proofErr w:type="spellStart"/>
      <w:r w:rsidRPr="00DE65CF">
        <w:rPr>
          <w:lang w:val="en-US"/>
        </w:rPr>
        <w:t>daha</w:t>
      </w:r>
      <w:proofErr w:type="spellEnd"/>
      <w:r w:rsidRPr="00DE65CF">
        <w:rPr>
          <w:lang w:val="en-US"/>
        </w:rPr>
        <w:t xml:space="preserve"> </w:t>
      </w:r>
      <w:proofErr w:type="spellStart"/>
      <w:r w:rsidRPr="00DE65CF">
        <w:rPr>
          <w:lang w:val="en-US"/>
        </w:rPr>
        <w:t>sade</w:t>
      </w:r>
      <w:proofErr w:type="spellEnd"/>
      <w:r w:rsidRPr="00DE65CF">
        <w:rPr>
          <w:lang w:val="en-US"/>
        </w:rPr>
        <w:t xml:space="preserve"> </w:t>
      </w:r>
      <w:proofErr w:type="spellStart"/>
      <w:r w:rsidRPr="00DE65CF">
        <w:rPr>
          <w:lang w:val="en-US"/>
        </w:rPr>
        <w:t>bir</w:t>
      </w:r>
      <w:proofErr w:type="spellEnd"/>
      <w:r w:rsidRPr="00DE65CF">
        <w:rPr>
          <w:lang w:val="en-US"/>
        </w:rPr>
        <w:t xml:space="preserve"> </w:t>
      </w:r>
      <w:proofErr w:type="spellStart"/>
      <w:r w:rsidRPr="00DE65CF">
        <w:rPr>
          <w:lang w:val="en-US"/>
        </w:rPr>
        <w:t>anlatımla</w:t>
      </w:r>
      <w:proofErr w:type="spellEnd"/>
      <w:r w:rsidRPr="00DE65CF">
        <w:rPr>
          <w:lang w:val="en-US"/>
        </w:rPr>
        <w:t xml:space="preserve"> </w:t>
      </w:r>
      <w:proofErr w:type="spellStart"/>
      <w:r w:rsidRPr="00DE65CF">
        <w:rPr>
          <w:lang w:val="en-US"/>
        </w:rPr>
        <w:t>sunmayı</w:t>
      </w:r>
      <w:proofErr w:type="spellEnd"/>
      <w:r w:rsidRPr="00DE65CF">
        <w:rPr>
          <w:lang w:val="en-US"/>
        </w:rPr>
        <w:t xml:space="preserve"> </w:t>
      </w:r>
      <w:proofErr w:type="spellStart"/>
      <w:r w:rsidRPr="00DE65CF">
        <w:rPr>
          <w:lang w:val="en-US"/>
        </w:rPr>
        <w:t>bilinçli</w:t>
      </w:r>
      <w:proofErr w:type="spellEnd"/>
      <w:r w:rsidRPr="00DE65CF">
        <w:rPr>
          <w:lang w:val="en-US"/>
        </w:rPr>
        <w:t xml:space="preserve"> </w:t>
      </w:r>
      <w:proofErr w:type="spellStart"/>
      <w:r w:rsidRPr="00DE65CF">
        <w:rPr>
          <w:lang w:val="en-US"/>
        </w:rPr>
        <w:t>olarak</w:t>
      </w:r>
      <w:proofErr w:type="spellEnd"/>
      <w:r w:rsidRPr="00DE65CF">
        <w:rPr>
          <w:lang w:val="en-US"/>
        </w:rPr>
        <w:t xml:space="preserve"> </w:t>
      </w:r>
      <w:proofErr w:type="spellStart"/>
      <w:r w:rsidRPr="00DE65CF">
        <w:rPr>
          <w:lang w:val="en-US"/>
        </w:rPr>
        <w:t>tercih</w:t>
      </w:r>
      <w:proofErr w:type="spellEnd"/>
      <w:r w:rsidRPr="00DE65CF">
        <w:rPr>
          <w:lang w:val="en-US"/>
        </w:rPr>
        <w:t xml:space="preserve"> </w:t>
      </w:r>
      <w:proofErr w:type="spellStart"/>
      <w:r w:rsidRPr="00DE65CF">
        <w:rPr>
          <w:lang w:val="en-US"/>
        </w:rPr>
        <w:t>etmesi</w:t>
      </w:r>
      <w:proofErr w:type="spellEnd"/>
      <w:r w:rsidRPr="00DE65CF">
        <w:rPr>
          <w:lang w:val="en-US"/>
        </w:rPr>
        <w:t xml:space="preserve"> buna </w:t>
      </w:r>
      <w:proofErr w:type="spellStart"/>
      <w:r w:rsidRPr="00DE65CF">
        <w:rPr>
          <w:lang w:val="en-US"/>
        </w:rPr>
        <w:t>örnektir</w:t>
      </w:r>
      <w:proofErr w:type="spellEnd"/>
      <w:r w:rsidRPr="00DE65CF">
        <w:rPr>
          <w:lang w:val="en-US"/>
        </w:rPr>
        <w:t>.</w:t>
      </w:r>
      <w:r>
        <w:rPr>
          <w:lang w:val="en-US"/>
        </w:rPr>
        <w:t xml:space="preserve"> </w:t>
      </w:r>
      <w:proofErr w:type="spellStart"/>
      <w:r w:rsidRPr="00DE65CF">
        <w:rPr>
          <w:lang w:val="en-US"/>
        </w:rPr>
        <w:t>Ancak</w:t>
      </w:r>
      <w:proofErr w:type="spellEnd"/>
      <w:r w:rsidRPr="00DE65CF">
        <w:rPr>
          <w:lang w:val="en-US"/>
        </w:rPr>
        <w:t xml:space="preserve">, </w:t>
      </w:r>
      <w:proofErr w:type="spellStart"/>
      <w:r w:rsidRPr="00DE65CF">
        <w:rPr>
          <w:lang w:val="en-US"/>
        </w:rPr>
        <w:t>çağdaş</w:t>
      </w:r>
      <w:proofErr w:type="spellEnd"/>
      <w:r w:rsidRPr="00DE65CF">
        <w:rPr>
          <w:lang w:val="en-US"/>
        </w:rPr>
        <w:t xml:space="preserve"> </w:t>
      </w:r>
      <w:proofErr w:type="spellStart"/>
      <w:r w:rsidRPr="00DE65CF">
        <w:rPr>
          <w:lang w:val="en-US"/>
        </w:rPr>
        <w:t>anayasal</w:t>
      </w:r>
      <w:proofErr w:type="spellEnd"/>
      <w:r w:rsidRPr="00DE65CF">
        <w:rPr>
          <w:lang w:val="en-US"/>
        </w:rPr>
        <w:t xml:space="preserve"> </w:t>
      </w:r>
      <w:proofErr w:type="spellStart"/>
      <w:r w:rsidRPr="00DE65CF">
        <w:rPr>
          <w:lang w:val="en-US"/>
        </w:rPr>
        <w:t>kültürdeki</w:t>
      </w:r>
      <w:proofErr w:type="spellEnd"/>
      <w:r w:rsidRPr="00DE65CF">
        <w:rPr>
          <w:lang w:val="en-US"/>
        </w:rPr>
        <w:t xml:space="preserve"> </w:t>
      </w:r>
      <w:proofErr w:type="spellStart"/>
      <w:r w:rsidRPr="00DE65CF">
        <w:rPr>
          <w:lang w:val="en-US"/>
        </w:rPr>
        <w:t>değişimler</w:t>
      </w:r>
      <w:proofErr w:type="spellEnd"/>
      <w:r w:rsidRPr="00DE65CF">
        <w:rPr>
          <w:lang w:val="en-US"/>
        </w:rPr>
        <w:t xml:space="preserve">, </w:t>
      </w:r>
      <w:proofErr w:type="spellStart"/>
      <w:r w:rsidRPr="00DE65CF">
        <w:rPr>
          <w:lang w:val="en-US"/>
        </w:rPr>
        <w:t>Yargıçların</w:t>
      </w:r>
      <w:proofErr w:type="spellEnd"/>
      <w:r w:rsidRPr="00DE65CF">
        <w:rPr>
          <w:lang w:val="en-US"/>
        </w:rPr>
        <w:t xml:space="preserve"> </w:t>
      </w:r>
      <w:proofErr w:type="spellStart"/>
      <w:r w:rsidRPr="00DE65CF">
        <w:rPr>
          <w:lang w:val="en-US"/>
        </w:rPr>
        <w:t>teşvik</w:t>
      </w:r>
      <w:proofErr w:type="spellEnd"/>
      <w:r w:rsidRPr="00DE65CF">
        <w:rPr>
          <w:lang w:val="en-US"/>
        </w:rPr>
        <w:t xml:space="preserve"> </w:t>
      </w:r>
      <w:proofErr w:type="spellStart"/>
      <w:r w:rsidRPr="00DE65CF">
        <w:rPr>
          <w:lang w:val="en-US"/>
        </w:rPr>
        <w:t>mekanizmalarını</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muhtemelen</w:t>
      </w:r>
      <w:proofErr w:type="spellEnd"/>
      <w:r w:rsidRPr="00DE65CF">
        <w:rPr>
          <w:lang w:val="en-US"/>
        </w:rPr>
        <w:t xml:space="preserve"> </w:t>
      </w:r>
      <w:proofErr w:type="spellStart"/>
      <w:r w:rsidRPr="00DE65CF">
        <w:rPr>
          <w:lang w:val="en-US"/>
        </w:rPr>
        <w:t>uygulamalarını</w:t>
      </w:r>
      <w:proofErr w:type="spellEnd"/>
      <w:r w:rsidRPr="00DE65CF">
        <w:rPr>
          <w:lang w:val="en-US"/>
        </w:rPr>
        <w:t xml:space="preserve"> </w:t>
      </w:r>
      <w:proofErr w:type="spellStart"/>
      <w:r w:rsidRPr="00DE65CF">
        <w:rPr>
          <w:lang w:val="en-US"/>
        </w:rPr>
        <w:t>ince</w:t>
      </w:r>
      <w:proofErr w:type="spellEnd"/>
      <w:r w:rsidRPr="00DE65CF">
        <w:rPr>
          <w:lang w:val="en-US"/>
        </w:rPr>
        <w:t xml:space="preserve"> </w:t>
      </w:r>
      <w:proofErr w:type="spellStart"/>
      <w:r w:rsidRPr="00DE65CF">
        <w:rPr>
          <w:lang w:val="en-US"/>
        </w:rPr>
        <w:t>bir</w:t>
      </w:r>
      <w:proofErr w:type="spellEnd"/>
      <w:r w:rsidRPr="00DE65CF">
        <w:rPr>
          <w:lang w:val="en-US"/>
        </w:rPr>
        <w:t xml:space="preserve"> </w:t>
      </w:r>
      <w:proofErr w:type="spellStart"/>
      <w:r w:rsidRPr="00DE65CF">
        <w:rPr>
          <w:lang w:val="en-US"/>
        </w:rPr>
        <w:t>şekilde</w:t>
      </w:r>
      <w:proofErr w:type="spellEnd"/>
      <w:r w:rsidRPr="00DE65CF">
        <w:rPr>
          <w:lang w:val="en-US"/>
        </w:rPr>
        <w:t xml:space="preserve"> </w:t>
      </w:r>
      <w:proofErr w:type="spellStart"/>
      <w:r w:rsidRPr="00DE65CF">
        <w:rPr>
          <w:lang w:val="en-US"/>
        </w:rPr>
        <w:t>dönüştürmüştür</w:t>
      </w:r>
      <w:proofErr w:type="spellEnd"/>
      <w:r w:rsidRPr="00DE65CF">
        <w:rPr>
          <w:lang w:val="en-US"/>
        </w:rPr>
        <w:t xml:space="preserve">. En </w:t>
      </w:r>
      <w:proofErr w:type="spellStart"/>
      <w:r w:rsidRPr="00DE65CF">
        <w:rPr>
          <w:lang w:val="en-US"/>
        </w:rPr>
        <w:t>azından</w:t>
      </w:r>
      <w:proofErr w:type="spellEnd"/>
      <w:r w:rsidRPr="00DE65CF">
        <w:rPr>
          <w:lang w:val="en-US"/>
        </w:rPr>
        <w:t xml:space="preserve"> </w:t>
      </w:r>
      <w:proofErr w:type="spellStart"/>
      <w:r w:rsidRPr="00DE65CF">
        <w:rPr>
          <w:lang w:val="en-US"/>
        </w:rPr>
        <w:t>genel</w:t>
      </w:r>
      <w:proofErr w:type="spellEnd"/>
      <w:r w:rsidRPr="00DE65CF">
        <w:rPr>
          <w:lang w:val="en-US"/>
        </w:rPr>
        <w:t xml:space="preserve"> </w:t>
      </w:r>
      <w:proofErr w:type="spellStart"/>
      <w:r w:rsidRPr="00DE65CF">
        <w:rPr>
          <w:lang w:val="en-US"/>
        </w:rPr>
        <w:t>bir</w:t>
      </w:r>
      <w:proofErr w:type="spellEnd"/>
      <w:r w:rsidRPr="00DE65CF">
        <w:rPr>
          <w:lang w:val="en-US"/>
        </w:rPr>
        <w:t xml:space="preserve"> </w:t>
      </w:r>
      <w:proofErr w:type="spellStart"/>
      <w:r w:rsidRPr="00DE65CF">
        <w:rPr>
          <w:lang w:val="en-US"/>
        </w:rPr>
        <w:t>izlenim</w:t>
      </w:r>
      <w:proofErr w:type="spellEnd"/>
      <w:r w:rsidRPr="00DE65CF">
        <w:rPr>
          <w:lang w:val="en-US"/>
        </w:rPr>
        <w:t xml:space="preserve"> </w:t>
      </w:r>
      <w:proofErr w:type="spellStart"/>
      <w:r w:rsidRPr="00DE65CF">
        <w:rPr>
          <w:lang w:val="en-US"/>
        </w:rPr>
        <w:t>olarak</w:t>
      </w:r>
      <w:proofErr w:type="spellEnd"/>
      <w:r w:rsidRPr="00DE65CF">
        <w:rPr>
          <w:lang w:val="en-US"/>
        </w:rPr>
        <w:t xml:space="preserve">, </w:t>
      </w:r>
      <w:proofErr w:type="spellStart"/>
      <w:r w:rsidRPr="00DE65CF">
        <w:rPr>
          <w:lang w:val="en-US"/>
        </w:rPr>
        <w:t>günümüz</w:t>
      </w:r>
      <w:proofErr w:type="spellEnd"/>
      <w:r w:rsidRPr="00DE65CF">
        <w:rPr>
          <w:lang w:val="en-US"/>
        </w:rPr>
        <w:t xml:space="preserve"> </w:t>
      </w:r>
      <w:proofErr w:type="spellStart"/>
      <w:r w:rsidRPr="00DE65CF">
        <w:rPr>
          <w:lang w:val="en-US"/>
        </w:rPr>
        <w:t>Mahkemesi</w:t>
      </w:r>
      <w:proofErr w:type="spellEnd"/>
      <w:r w:rsidRPr="00DE65CF">
        <w:rPr>
          <w:lang w:val="en-US"/>
        </w:rPr>
        <w:t xml:space="preserve">, </w:t>
      </w:r>
      <w:proofErr w:type="spellStart"/>
      <w:r w:rsidRPr="00DE65CF">
        <w:rPr>
          <w:lang w:val="en-US"/>
        </w:rPr>
        <w:t>görüşlerinin</w:t>
      </w:r>
      <w:proofErr w:type="spellEnd"/>
      <w:r w:rsidRPr="00DE65CF">
        <w:rPr>
          <w:lang w:val="en-US"/>
        </w:rPr>
        <w:t xml:space="preserve"> </w:t>
      </w:r>
      <w:proofErr w:type="spellStart"/>
      <w:r w:rsidRPr="00DE65CF">
        <w:rPr>
          <w:lang w:val="en-US"/>
        </w:rPr>
        <w:t>doğrudan</w:t>
      </w:r>
      <w:proofErr w:type="spellEnd"/>
      <w:r w:rsidRPr="00DE65CF">
        <w:rPr>
          <w:lang w:val="en-US"/>
        </w:rPr>
        <w:t xml:space="preserve"> </w:t>
      </w:r>
      <w:proofErr w:type="spellStart"/>
      <w:r w:rsidRPr="00DE65CF">
        <w:rPr>
          <w:lang w:val="en-US"/>
        </w:rPr>
        <w:t>genel</w:t>
      </w:r>
      <w:proofErr w:type="spellEnd"/>
      <w:r w:rsidRPr="00DE65CF">
        <w:rPr>
          <w:lang w:val="en-US"/>
        </w:rPr>
        <w:t xml:space="preserve"> </w:t>
      </w:r>
      <w:proofErr w:type="spellStart"/>
      <w:r w:rsidRPr="00DE65CF">
        <w:rPr>
          <w:lang w:val="en-US"/>
        </w:rPr>
        <w:t>kamuoyuna</w:t>
      </w:r>
      <w:proofErr w:type="spellEnd"/>
      <w:r w:rsidRPr="00DE65CF">
        <w:rPr>
          <w:lang w:val="en-US"/>
        </w:rPr>
        <w:t xml:space="preserve"> </w:t>
      </w:r>
      <w:proofErr w:type="spellStart"/>
      <w:r w:rsidRPr="00DE65CF">
        <w:rPr>
          <w:lang w:val="en-US"/>
        </w:rPr>
        <w:t>değil</w:t>
      </w:r>
      <w:proofErr w:type="spellEnd"/>
      <w:r w:rsidRPr="00DE65CF">
        <w:rPr>
          <w:lang w:val="en-US"/>
        </w:rPr>
        <w:t xml:space="preserve">, </w:t>
      </w:r>
      <w:proofErr w:type="spellStart"/>
      <w:r w:rsidRPr="00DE65CF">
        <w:rPr>
          <w:lang w:val="en-US"/>
        </w:rPr>
        <w:t>öncelikli</w:t>
      </w:r>
      <w:proofErr w:type="spellEnd"/>
      <w:r w:rsidRPr="00DE65CF">
        <w:rPr>
          <w:lang w:val="en-US"/>
        </w:rPr>
        <w:t xml:space="preserve"> </w:t>
      </w:r>
      <w:proofErr w:type="spellStart"/>
      <w:r w:rsidRPr="00DE65CF">
        <w:rPr>
          <w:lang w:val="en-US"/>
        </w:rPr>
        <w:t>olarak</w:t>
      </w:r>
      <w:proofErr w:type="spellEnd"/>
      <w:r w:rsidRPr="00DE65CF">
        <w:rPr>
          <w:lang w:val="en-US"/>
        </w:rPr>
        <w:t xml:space="preserve"> </w:t>
      </w:r>
      <w:proofErr w:type="spellStart"/>
      <w:r w:rsidRPr="00DE65CF">
        <w:rPr>
          <w:lang w:val="en-US"/>
        </w:rPr>
        <w:t>gazeteciler</w:t>
      </w:r>
      <w:proofErr w:type="spellEnd"/>
      <w:r w:rsidRPr="00DE65CF">
        <w:rPr>
          <w:lang w:val="en-US"/>
        </w:rPr>
        <w:t xml:space="preserve">, blog </w:t>
      </w:r>
      <w:proofErr w:type="spellStart"/>
      <w:r w:rsidRPr="00DE65CF">
        <w:rPr>
          <w:lang w:val="en-US"/>
        </w:rPr>
        <w:t>yazarları</w:t>
      </w:r>
      <w:proofErr w:type="spellEnd"/>
      <w:r w:rsidRPr="00DE65CF">
        <w:rPr>
          <w:lang w:val="en-US"/>
        </w:rPr>
        <w:t xml:space="preserve">, </w:t>
      </w:r>
      <w:proofErr w:type="spellStart"/>
      <w:r w:rsidRPr="00DE65CF">
        <w:rPr>
          <w:lang w:val="en-US"/>
        </w:rPr>
        <w:t>savunucular</w:t>
      </w:r>
      <w:proofErr w:type="spellEnd"/>
      <w:r w:rsidRPr="00DE65CF">
        <w:rPr>
          <w:lang w:val="en-US"/>
        </w:rPr>
        <w:t xml:space="preserve"> </w:t>
      </w:r>
      <w:proofErr w:type="spellStart"/>
      <w:r w:rsidRPr="00DE65CF">
        <w:rPr>
          <w:lang w:val="en-US"/>
        </w:rPr>
        <w:t>ve</w:t>
      </w:r>
      <w:proofErr w:type="spellEnd"/>
      <w:r w:rsidRPr="00DE65CF">
        <w:rPr>
          <w:lang w:val="en-US"/>
        </w:rPr>
        <w:t xml:space="preserve"> </w:t>
      </w:r>
      <w:proofErr w:type="spellStart"/>
      <w:r w:rsidRPr="00DE65CF">
        <w:rPr>
          <w:lang w:val="en-US"/>
        </w:rPr>
        <w:t>akademisyenler</w:t>
      </w:r>
      <w:proofErr w:type="spellEnd"/>
      <w:r w:rsidRPr="00DE65CF">
        <w:rPr>
          <w:lang w:val="en-US"/>
        </w:rPr>
        <w:t xml:space="preserve"> </w:t>
      </w:r>
      <w:proofErr w:type="spellStart"/>
      <w:r w:rsidRPr="00DE65CF">
        <w:rPr>
          <w:lang w:val="en-US"/>
        </w:rPr>
        <w:t>gibi</w:t>
      </w:r>
      <w:proofErr w:type="spellEnd"/>
      <w:r w:rsidRPr="00DE65CF">
        <w:rPr>
          <w:lang w:val="en-US"/>
        </w:rPr>
        <w:t xml:space="preserve"> </w:t>
      </w:r>
      <w:proofErr w:type="spellStart"/>
      <w:r w:rsidRPr="00DE65CF">
        <w:rPr>
          <w:lang w:val="en-US"/>
        </w:rPr>
        <w:t>çeşitli</w:t>
      </w:r>
      <w:proofErr w:type="spellEnd"/>
      <w:r w:rsidRPr="00DE65CF">
        <w:rPr>
          <w:lang w:val="en-US"/>
        </w:rPr>
        <w:t xml:space="preserve"> </w:t>
      </w:r>
      <w:proofErr w:type="spellStart"/>
      <w:r w:rsidRPr="00DE65CF">
        <w:rPr>
          <w:lang w:val="en-US"/>
        </w:rPr>
        <w:t>kanaat</w:t>
      </w:r>
      <w:proofErr w:type="spellEnd"/>
      <w:r w:rsidRPr="00DE65CF">
        <w:rPr>
          <w:lang w:val="en-US"/>
        </w:rPr>
        <w:t xml:space="preserve"> </w:t>
      </w:r>
      <w:proofErr w:type="spellStart"/>
      <w:r w:rsidRPr="00DE65CF">
        <w:rPr>
          <w:lang w:val="en-US"/>
        </w:rPr>
        <w:t>önderlerine</w:t>
      </w:r>
      <w:proofErr w:type="spellEnd"/>
      <w:r w:rsidRPr="00DE65CF">
        <w:rPr>
          <w:lang w:val="en-US"/>
        </w:rPr>
        <w:t xml:space="preserve"> </w:t>
      </w:r>
      <w:proofErr w:type="spellStart"/>
      <w:r w:rsidRPr="00DE65CF">
        <w:rPr>
          <w:lang w:val="en-US"/>
        </w:rPr>
        <w:t>hitap</w:t>
      </w:r>
      <w:proofErr w:type="spellEnd"/>
      <w:r w:rsidRPr="00DE65CF">
        <w:rPr>
          <w:lang w:val="en-US"/>
        </w:rPr>
        <w:t xml:space="preserve"> </w:t>
      </w:r>
      <w:proofErr w:type="spellStart"/>
      <w:r w:rsidRPr="00DE65CF">
        <w:rPr>
          <w:lang w:val="en-US"/>
        </w:rPr>
        <w:t>ettiğinin</w:t>
      </w:r>
      <w:proofErr w:type="spellEnd"/>
      <w:r w:rsidRPr="00DE65CF">
        <w:rPr>
          <w:lang w:val="en-US"/>
        </w:rPr>
        <w:t xml:space="preserve"> </w:t>
      </w:r>
      <w:proofErr w:type="spellStart"/>
      <w:r w:rsidRPr="00DE65CF">
        <w:rPr>
          <w:lang w:val="en-US"/>
        </w:rPr>
        <w:t>daha</w:t>
      </w:r>
      <w:proofErr w:type="spellEnd"/>
      <w:r w:rsidRPr="00DE65CF">
        <w:rPr>
          <w:lang w:val="en-US"/>
        </w:rPr>
        <w:t xml:space="preserve"> </w:t>
      </w:r>
      <w:proofErr w:type="spellStart"/>
      <w:r w:rsidRPr="00DE65CF">
        <w:rPr>
          <w:lang w:val="en-US"/>
        </w:rPr>
        <w:t>fazla</w:t>
      </w:r>
      <w:proofErr w:type="spellEnd"/>
      <w:r w:rsidRPr="00DE65CF">
        <w:rPr>
          <w:lang w:val="en-US"/>
        </w:rPr>
        <w:t xml:space="preserve"> </w:t>
      </w:r>
      <w:proofErr w:type="spellStart"/>
      <w:r w:rsidRPr="00DE65CF">
        <w:rPr>
          <w:lang w:val="en-US"/>
        </w:rPr>
        <w:t>farkında</w:t>
      </w:r>
      <w:proofErr w:type="spellEnd"/>
      <w:r w:rsidRPr="00DE65CF">
        <w:rPr>
          <w:lang w:val="en-US"/>
        </w:rPr>
        <w:t xml:space="preserve"> </w:t>
      </w:r>
      <w:proofErr w:type="spellStart"/>
      <w:r w:rsidRPr="00DE65CF">
        <w:rPr>
          <w:lang w:val="en-US"/>
        </w:rPr>
        <w:t>görünmektedir</w:t>
      </w:r>
      <w:proofErr w:type="spellEnd"/>
      <w:r w:rsidRPr="00DE65CF">
        <w:rPr>
          <w:lang w:val="en-US"/>
        </w:rPr>
        <w:t xml:space="preserve">. Bu </w:t>
      </w:r>
      <w:proofErr w:type="spellStart"/>
      <w:r w:rsidRPr="00DE65CF">
        <w:rPr>
          <w:lang w:val="en-US"/>
        </w:rPr>
        <w:t>gruplar</w:t>
      </w:r>
      <w:proofErr w:type="spellEnd"/>
      <w:r w:rsidRPr="00DE65CF">
        <w:rPr>
          <w:lang w:val="en-US"/>
        </w:rPr>
        <w:t xml:space="preserve">, </w:t>
      </w:r>
      <w:proofErr w:type="spellStart"/>
      <w:r w:rsidRPr="00DE65CF">
        <w:rPr>
          <w:lang w:val="en-US"/>
        </w:rPr>
        <w:t>Mahkeme’nin</w:t>
      </w:r>
      <w:proofErr w:type="spellEnd"/>
      <w:r w:rsidRPr="00DE65CF">
        <w:rPr>
          <w:lang w:val="en-US"/>
        </w:rPr>
        <w:t xml:space="preserve"> </w:t>
      </w:r>
      <w:proofErr w:type="spellStart"/>
      <w:r w:rsidRPr="00DE65CF">
        <w:rPr>
          <w:lang w:val="en-US"/>
        </w:rPr>
        <w:t>kararlarını</w:t>
      </w:r>
      <w:proofErr w:type="spellEnd"/>
      <w:r w:rsidRPr="00DE65CF">
        <w:rPr>
          <w:lang w:val="en-US"/>
        </w:rPr>
        <w:t xml:space="preserve"> </w:t>
      </w:r>
      <w:proofErr w:type="spellStart"/>
      <w:r w:rsidRPr="00DE65CF">
        <w:rPr>
          <w:lang w:val="en-US"/>
        </w:rPr>
        <w:t>kamuoyunun</w:t>
      </w:r>
      <w:proofErr w:type="spellEnd"/>
      <w:r w:rsidRPr="00DE65CF">
        <w:rPr>
          <w:lang w:val="en-US"/>
        </w:rPr>
        <w:t xml:space="preserve"> </w:t>
      </w:r>
      <w:proofErr w:type="spellStart"/>
      <w:r w:rsidRPr="00DE65CF">
        <w:rPr>
          <w:lang w:val="en-US"/>
        </w:rPr>
        <w:t>tüketimine</w:t>
      </w:r>
      <w:proofErr w:type="spellEnd"/>
      <w:r w:rsidRPr="00DE65CF">
        <w:rPr>
          <w:lang w:val="en-US"/>
        </w:rPr>
        <w:t xml:space="preserve"> </w:t>
      </w:r>
      <w:proofErr w:type="spellStart"/>
      <w:r w:rsidRPr="00DE65CF">
        <w:rPr>
          <w:lang w:val="en-US"/>
        </w:rPr>
        <w:t>uygun</w:t>
      </w:r>
      <w:proofErr w:type="spellEnd"/>
      <w:r w:rsidRPr="00DE65CF">
        <w:rPr>
          <w:lang w:val="en-US"/>
        </w:rPr>
        <w:t xml:space="preserve"> </w:t>
      </w:r>
      <w:proofErr w:type="spellStart"/>
      <w:r w:rsidRPr="00DE65CF">
        <w:rPr>
          <w:lang w:val="en-US"/>
        </w:rPr>
        <w:t>hâle</w:t>
      </w:r>
      <w:proofErr w:type="spellEnd"/>
      <w:r w:rsidRPr="00DE65CF">
        <w:rPr>
          <w:lang w:val="en-US"/>
        </w:rPr>
        <w:t xml:space="preserve"> </w:t>
      </w:r>
      <w:proofErr w:type="spellStart"/>
      <w:r w:rsidRPr="00DE65CF">
        <w:rPr>
          <w:lang w:val="en-US"/>
        </w:rPr>
        <w:t>getirerek</w:t>
      </w:r>
      <w:proofErr w:type="spellEnd"/>
      <w:r w:rsidRPr="00DE65CF">
        <w:rPr>
          <w:lang w:val="en-US"/>
        </w:rPr>
        <w:t xml:space="preserve"> </w:t>
      </w:r>
      <w:proofErr w:type="spellStart"/>
      <w:r w:rsidRPr="00DE65CF">
        <w:rPr>
          <w:lang w:val="en-US"/>
        </w:rPr>
        <w:t>geniş</w:t>
      </w:r>
      <w:proofErr w:type="spellEnd"/>
      <w:r w:rsidRPr="00DE65CF">
        <w:rPr>
          <w:lang w:val="en-US"/>
        </w:rPr>
        <w:t xml:space="preserve"> </w:t>
      </w:r>
      <w:proofErr w:type="spellStart"/>
      <w:r w:rsidRPr="00DE65CF">
        <w:rPr>
          <w:lang w:val="en-US"/>
        </w:rPr>
        <w:t>kitlelere</w:t>
      </w:r>
      <w:proofErr w:type="spellEnd"/>
      <w:r w:rsidRPr="00DE65CF">
        <w:rPr>
          <w:lang w:val="en-US"/>
        </w:rPr>
        <w:t xml:space="preserve"> </w:t>
      </w:r>
      <w:proofErr w:type="spellStart"/>
      <w:r w:rsidRPr="00DE65CF">
        <w:rPr>
          <w:lang w:val="en-US"/>
        </w:rPr>
        <w:t>aktarmaktadır</w:t>
      </w:r>
      <w:proofErr w:type="spellEnd"/>
      <w:r w:rsidRPr="00DE65CF">
        <w:rPr>
          <w:lang w:val="en-US"/>
        </w:rPr>
        <w:t>.</w:t>
      </w:r>
      <w:r>
        <w:rPr>
          <w:lang w:val="en-US"/>
        </w:rPr>
        <w:t xml:space="preserve"> [1099-1100]</w:t>
      </w:r>
    </w:p>
    <w:p w14:paraId="59162837" w14:textId="77777777" w:rsidR="00DE65CF" w:rsidRDefault="00DE65CF" w:rsidP="00DE65CF">
      <w:pPr>
        <w:pStyle w:val="Heading5"/>
        <w:rPr>
          <w:lang w:val="en-US"/>
        </w:rPr>
      </w:pPr>
      <w:proofErr w:type="spellStart"/>
      <w:r w:rsidRPr="00DE65CF">
        <w:rPr>
          <w:lang w:val="en-US"/>
        </w:rPr>
        <w:lastRenderedPageBreak/>
        <w:t>Giderek</w:t>
      </w:r>
      <w:proofErr w:type="spellEnd"/>
      <w:r w:rsidRPr="00DE65CF">
        <w:rPr>
          <w:lang w:val="en-US"/>
        </w:rPr>
        <w:t xml:space="preserve"> </w:t>
      </w:r>
      <w:proofErr w:type="spellStart"/>
      <w:r w:rsidRPr="00DE65CF">
        <w:rPr>
          <w:lang w:val="en-US"/>
        </w:rPr>
        <w:t>Partizanlaşan</w:t>
      </w:r>
      <w:proofErr w:type="spellEnd"/>
      <w:r w:rsidRPr="00DE65CF">
        <w:rPr>
          <w:lang w:val="en-US"/>
        </w:rPr>
        <w:t xml:space="preserve"> Alt </w:t>
      </w:r>
      <w:proofErr w:type="spellStart"/>
      <w:r w:rsidRPr="00DE65CF">
        <w:rPr>
          <w:lang w:val="en-US"/>
        </w:rPr>
        <w:t>Mahkeme</w:t>
      </w:r>
      <w:proofErr w:type="spellEnd"/>
      <w:r w:rsidRPr="00DE65CF">
        <w:rPr>
          <w:lang w:val="en-US"/>
        </w:rPr>
        <w:t xml:space="preserve"> Atama </w:t>
      </w:r>
      <w:proofErr w:type="spellStart"/>
      <w:r w:rsidRPr="00DE65CF">
        <w:rPr>
          <w:lang w:val="en-US"/>
        </w:rPr>
        <w:t>Süreçleri</w:t>
      </w:r>
      <w:proofErr w:type="spellEnd"/>
      <w:r w:rsidRPr="00DE65CF">
        <w:rPr>
          <w:lang w:val="en-US"/>
        </w:rPr>
        <w:t xml:space="preserve">, </w:t>
      </w:r>
      <w:proofErr w:type="spellStart"/>
      <w:r w:rsidRPr="00DE65CF">
        <w:rPr>
          <w:lang w:val="en-US"/>
        </w:rPr>
        <w:t>İnternetin</w:t>
      </w:r>
      <w:proofErr w:type="spellEnd"/>
      <w:r w:rsidRPr="00DE65CF">
        <w:rPr>
          <w:lang w:val="en-US"/>
        </w:rPr>
        <w:t xml:space="preserve"> </w:t>
      </w:r>
      <w:proofErr w:type="spellStart"/>
      <w:r w:rsidRPr="00DE65CF">
        <w:rPr>
          <w:lang w:val="en-US"/>
        </w:rPr>
        <w:t>Büyümesi</w:t>
      </w:r>
      <w:proofErr w:type="spellEnd"/>
      <w:r w:rsidRPr="00DE65CF">
        <w:rPr>
          <w:lang w:val="en-US"/>
        </w:rPr>
        <w:t xml:space="preserve"> </w:t>
      </w:r>
      <w:proofErr w:type="spellStart"/>
      <w:r w:rsidRPr="00DE65CF">
        <w:rPr>
          <w:lang w:val="en-US"/>
        </w:rPr>
        <w:t>ve</w:t>
      </w:r>
      <w:proofErr w:type="spellEnd"/>
      <w:r w:rsidRPr="00DE65CF">
        <w:rPr>
          <w:lang w:val="en-US"/>
        </w:rPr>
        <w:t xml:space="preserve"> Artan </w:t>
      </w:r>
      <w:proofErr w:type="spellStart"/>
      <w:r w:rsidRPr="00DE65CF">
        <w:rPr>
          <w:lang w:val="en-US"/>
        </w:rPr>
        <w:t>Stratejik</w:t>
      </w:r>
      <w:proofErr w:type="spellEnd"/>
      <w:r w:rsidRPr="00DE65CF">
        <w:rPr>
          <w:lang w:val="en-US"/>
        </w:rPr>
        <w:t xml:space="preserve"> </w:t>
      </w:r>
      <w:proofErr w:type="spellStart"/>
      <w:r w:rsidRPr="00DE65CF">
        <w:rPr>
          <w:lang w:val="en-US"/>
        </w:rPr>
        <w:t>Yetkinlik</w:t>
      </w:r>
      <w:proofErr w:type="spellEnd"/>
    </w:p>
    <w:p w14:paraId="63E93BD7" w14:textId="6DE21A88" w:rsidR="00DE65CF" w:rsidRPr="00E32006" w:rsidRDefault="00E32006" w:rsidP="00E32006">
      <w:pPr>
        <w:rPr>
          <w:rFonts w:eastAsia="Times New Roman" w:cs="Times New Roman"/>
          <w:szCs w:val="24"/>
          <w:lang w:val="en-US"/>
        </w:rPr>
      </w:pPr>
      <w:proofErr w:type="spellStart"/>
      <w:r w:rsidRPr="00E32006">
        <w:rPr>
          <w:rFonts w:eastAsia="Times New Roman" w:cs="Times New Roman"/>
          <w:szCs w:val="24"/>
          <w:lang w:val="en-US"/>
        </w:rPr>
        <w:t>Anayasa</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teorisinin</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anayasal</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karar</w:t>
      </w:r>
      <w:proofErr w:type="spellEnd"/>
      <w:r w:rsidRPr="00E32006">
        <w:rPr>
          <w:rFonts w:eastAsia="Times New Roman" w:cs="Times New Roman"/>
          <w:szCs w:val="24"/>
          <w:lang w:val="en-US"/>
        </w:rPr>
        <w:t xml:space="preserve"> alma </w:t>
      </w:r>
      <w:proofErr w:type="spellStart"/>
      <w:r w:rsidRPr="00E32006">
        <w:rPr>
          <w:rFonts w:eastAsia="Times New Roman" w:cs="Times New Roman"/>
          <w:szCs w:val="24"/>
          <w:lang w:val="en-US"/>
        </w:rPr>
        <w:t>kültüründeki</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evrimleri</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göz</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ardı</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ettiğinde</w:t>
      </w:r>
      <w:proofErr w:type="spellEnd"/>
      <w:r w:rsidRPr="00E32006">
        <w:rPr>
          <w:rFonts w:eastAsia="Times New Roman" w:cs="Times New Roman"/>
          <w:szCs w:val="24"/>
          <w:lang w:val="en-US"/>
        </w:rPr>
        <w:t xml:space="preserve"> </w:t>
      </w:r>
      <w:proofErr w:type="spellStart"/>
      <w:r w:rsidRPr="00E32006">
        <w:rPr>
          <w:rFonts w:eastAsia="Times New Roman" w:cs="Times New Roman"/>
          <w:szCs w:val="24"/>
          <w:lang w:val="en-US"/>
        </w:rPr>
        <w:t>karşılaştığı</w:t>
      </w:r>
      <w:proofErr w:type="spellEnd"/>
      <w:r w:rsidRPr="00E32006">
        <w:rPr>
          <w:rFonts w:eastAsia="Times New Roman" w:cs="Times New Roman"/>
          <w:szCs w:val="24"/>
          <w:lang w:val="en-US"/>
        </w:rPr>
        <w:t xml:space="preserve"> </w:t>
      </w:r>
      <w:proofErr w:type="spellStart"/>
      <w:r w:rsidRPr="00E32006">
        <w:rPr>
          <w:lang w:val="en-US"/>
        </w:rPr>
        <w:t>tehlikeyi</w:t>
      </w:r>
      <w:proofErr w:type="spellEnd"/>
      <w:r w:rsidRPr="00E32006">
        <w:rPr>
          <w:lang w:val="en-US"/>
        </w:rPr>
        <w:t xml:space="preserve"> </w:t>
      </w:r>
      <w:proofErr w:type="spellStart"/>
      <w:r w:rsidRPr="00E32006">
        <w:rPr>
          <w:lang w:val="en-US"/>
        </w:rPr>
        <w:t>belki</w:t>
      </w:r>
      <w:proofErr w:type="spellEnd"/>
      <w:r w:rsidRPr="00E32006">
        <w:rPr>
          <w:lang w:val="en-US"/>
        </w:rPr>
        <w:t xml:space="preserve"> de </w:t>
      </w:r>
      <w:proofErr w:type="spellStart"/>
      <w:r w:rsidRPr="00E32006">
        <w:rPr>
          <w:lang w:val="en-US"/>
        </w:rPr>
        <w:t>en</w:t>
      </w:r>
      <w:proofErr w:type="spellEnd"/>
      <w:r w:rsidRPr="00E32006">
        <w:rPr>
          <w:lang w:val="en-US"/>
        </w:rPr>
        <w:t xml:space="preserve"> iyi </w:t>
      </w:r>
      <w:proofErr w:type="spellStart"/>
      <w:r w:rsidRPr="00E32006">
        <w:rPr>
          <w:lang w:val="en-US"/>
        </w:rPr>
        <w:t>gösteren</w:t>
      </w:r>
      <w:proofErr w:type="spellEnd"/>
      <w:r w:rsidRPr="00E32006">
        <w:rPr>
          <w:lang w:val="en-US"/>
        </w:rPr>
        <w:t xml:space="preserve"> </w:t>
      </w:r>
      <w:proofErr w:type="spellStart"/>
      <w:r w:rsidRPr="00E32006">
        <w:rPr>
          <w:lang w:val="en-US"/>
        </w:rPr>
        <w:t>olay</w:t>
      </w:r>
      <w:proofErr w:type="spellEnd"/>
      <w:r w:rsidRPr="00E32006">
        <w:rPr>
          <w:lang w:val="en-US"/>
        </w:rPr>
        <w:t xml:space="preserve">, ana </w:t>
      </w:r>
      <w:proofErr w:type="spellStart"/>
      <w:r w:rsidRPr="00E32006">
        <w:rPr>
          <w:lang w:val="en-US"/>
        </w:rPr>
        <w:t>akım</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hukukçularının</w:t>
      </w:r>
      <w:proofErr w:type="spellEnd"/>
      <w:r w:rsidRPr="00E32006">
        <w:rPr>
          <w:lang w:val="en-US"/>
        </w:rPr>
        <w:t xml:space="preserve"> Patient Protection and Affordable Care Act¹²⁷</w:t>
      </w:r>
      <w:r>
        <w:rPr>
          <w:lang w:val="en-US"/>
        </w:rPr>
        <w:t xml:space="preserve"> </w:t>
      </w:r>
      <w:r>
        <w:rPr>
          <w:rStyle w:val="FootnoteReference"/>
          <w:lang w:val="en-US"/>
        </w:rPr>
        <w:footnoteReference w:id="127"/>
      </w:r>
      <w:r w:rsidRPr="00E32006">
        <w:rPr>
          <w:lang w:val="en-US"/>
        </w:rPr>
        <w:t xml:space="preserve"> </w:t>
      </w:r>
      <w:proofErr w:type="spellStart"/>
      <w:r w:rsidRPr="00E32006">
        <w:rPr>
          <w:lang w:val="en-US"/>
        </w:rPr>
        <w:t>kapsamında</w:t>
      </w:r>
      <w:proofErr w:type="spellEnd"/>
      <w:r w:rsidRPr="00E32006">
        <w:rPr>
          <w:lang w:val="en-US"/>
        </w:rPr>
        <w:t xml:space="preserve"> </w:t>
      </w:r>
      <w:proofErr w:type="spellStart"/>
      <w:r w:rsidRPr="00E32006">
        <w:rPr>
          <w:lang w:val="en-US"/>
        </w:rPr>
        <w:t>yer</w:t>
      </w:r>
      <w:proofErr w:type="spellEnd"/>
      <w:r w:rsidRPr="00E32006">
        <w:rPr>
          <w:lang w:val="en-US"/>
        </w:rPr>
        <w:t xml:space="preserve"> </w:t>
      </w:r>
      <w:proofErr w:type="spellStart"/>
      <w:r w:rsidRPr="00E32006">
        <w:rPr>
          <w:lang w:val="en-US"/>
        </w:rPr>
        <w:t>alan</w:t>
      </w:r>
      <w:proofErr w:type="spellEnd"/>
      <w:r w:rsidRPr="00E32006">
        <w:rPr>
          <w:lang w:val="en-US"/>
        </w:rPr>
        <w:t xml:space="preserve"> </w:t>
      </w:r>
      <w:proofErr w:type="spellStart"/>
      <w:r w:rsidRPr="00E32006">
        <w:rPr>
          <w:lang w:val="en-US"/>
        </w:rPr>
        <w:t>bireysel</w:t>
      </w:r>
      <w:proofErr w:type="spellEnd"/>
      <w:r w:rsidRPr="00E32006">
        <w:rPr>
          <w:lang w:val="en-US"/>
        </w:rPr>
        <w:t xml:space="preserve"> </w:t>
      </w:r>
      <w:proofErr w:type="spellStart"/>
      <w:r w:rsidRPr="00E32006">
        <w:rPr>
          <w:lang w:val="en-US"/>
        </w:rPr>
        <w:t>sağlık</w:t>
      </w:r>
      <w:proofErr w:type="spellEnd"/>
      <w:r w:rsidRPr="00E32006">
        <w:rPr>
          <w:lang w:val="en-US"/>
        </w:rPr>
        <w:t xml:space="preserve"> </w:t>
      </w:r>
      <w:proofErr w:type="spellStart"/>
      <w:r w:rsidRPr="00E32006">
        <w:rPr>
          <w:lang w:val="en-US"/>
        </w:rPr>
        <w:t>sigortası</w:t>
      </w:r>
      <w:proofErr w:type="spellEnd"/>
      <w:r w:rsidRPr="00E32006">
        <w:rPr>
          <w:lang w:val="en-US"/>
        </w:rPr>
        <w:t xml:space="preserve"> </w:t>
      </w:r>
      <w:proofErr w:type="spellStart"/>
      <w:r w:rsidRPr="00E32006">
        <w:rPr>
          <w:lang w:val="en-US"/>
        </w:rPr>
        <w:t>zorunluluğunun</w:t>
      </w:r>
      <w:proofErr w:type="spellEnd"/>
      <w:r w:rsidRPr="00E32006">
        <w:rPr>
          <w:lang w:val="en-US"/>
        </w:rPr>
        <w:t xml:space="preserve"> </w:t>
      </w:r>
      <w:proofErr w:type="spellStart"/>
      <w:r w:rsidRPr="00E32006">
        <w:rPr>
          <w:lang w:val="en-US"/>
        </w:rPr>
        <w:t>Kongre’nin</w:t>
      </w:r>
      <w:proofErr w:type="spellEnd"/>
      <w:r w:rsidRPr="00E32006">
        <w:rPr>
          <w:lang w:val="en-US"/>
        </w:rPr>
        <w:t xml:space="preserve"> Madde I </w:t>
      </w:r>
      <w:proofErr w:type="spellStart"/>
      <w:r w:rsidRPr="00E32006">
        <w:rPr>
          <w:lang w:val="en-US"/>
        </w:rPr>
        <w:t>yetkilerini</w:t>
      </w:r>
      <w:proofErr w:type="spellEnd"/>
      <w:r w:rsidRPr="00E32006">
        <w:rPr>
          <w:lang w:val="en-US"/>
        </w:rPr>
        <w:t xml:space="preserve"> </w:t>
      </w:r>
      <w:proofErr w:type="spellStart"/>
      <w:r w:rsidRPr="00E32006">
        <w:rPr>
          <w:lang w:val="en-US"/>
        </w:rPr>
        <w:t>aştığı</w:t>
      </w:r>
      <w:proofErr w:type="spellEnd"/>
      <w:r w:rsidRPr="00E32006">
        <w:rPr>
          <w:lang w:val="en-US"/>
        </w:rPr>
        <w:t xml:space="preserve"> </w:t>
      </w:r>
      <w:proofErr w:type="spellStart"/>
      <w:r w:rsidRPr="00E32006">
        <w:rPr>
          <w:lang w:val="en-US"/>
        </w:rPr>
        <w:t>yönündeki</w:t>
      </w:r>
      <w:proofErr w:type="spellEnd"/>
      <w:r w:rsidRPr="00E32006">
        <w:rPr>
          <w:lang w:val="en-US"/>
        </w:rPr>
        <w:t xml:space="preserve"> </w:t>
      </w:r>
      <w:proofErr w:type="spellStart"/>
      <w:r w:rsidRPr="00E32006">
        <w:rPr>
          <w:lang w:val="en-US"/>
        </w:rPr>
        <w:t>iddiayı</w:t>
      </w:r>
      <w:proofErr w:type="spellEnd"/>
      <w:r w:rsidRPr="00E32006">
        <w:rPr>
          <w:lang w:val="en-US"/>
        </w:rPr>
        <w:t xml:space="preserve"> </w:t>
      </w:r>
      <w:proofErr w:type="spellStart"/>
      <w:r w:rsidRPr="00E32006">
        <w:rPr>
          <w:lang w:val="en-US"/>
        </w:rPr>
        <w:t>ciddiye</w:t>
      </w:r>
      <w:proofErr w:type="spellEnd"/>
      <w:r w:rsidRPr="00E32006">
        <w:rPr>
          <w:lang w:val="en-US"/>
        </w:rPr>
        <w:t xml:space="preserve"> </w:t>
      </w:r>
      <w:proofErr w:type="spellStart"/>
      <w:r w:rsidRPr="00E32006">
        <w:rPr>
          <w:lang w:val="en-US"/>
        </w:rPr>
        <w:t>almaktaki</w:t>
      </w:r>
      <w:proofErr w:type="spellEnd"/>
      <w:r w:rsidRPr="00E32006">
        <w:rPr>
          <w:lang w:val="en-US"/>
        </w:rPr>
        <w:t xml:space="preserve"> başarısızlığıdır.¹²⁸</w:t>
      </w:r>
      <w:r>
        <w:rPr>
          <w:lang w:val="en-US"/>
        </w:rPr>
        <w:t xml:space="preserve"> </w:t>
      </w:r>
      <w:r>
        <w:rPr>
          <w:rStyle w:val="FootnoteReference"/>
          <w:lang w:val="en-US"/>
        </w:rPr>
        <w:footnoteReference w:id="128"/>
      </w:r>
      <w:r w:rsidRPr="00E32006">
        <w:t xml:space="preserve"> </w:t>
      </w:r>
      <w:r w:rsidRPr="00E32006">
        <w:rPr>
          <w:lang w:val="en-US"/>
        </w:rPr>
        <w:t xml:space="preserve">Bu </w:t>
      </w:r>
      <w:proofErr w:type="spellStart"/>
      <w:r w:rsidRPr="00E32006">
        <w:rPr>
          <w:lang w:val="en-US"/>
        </w:rPr>
        <w:t>itirazın</w:t>
      </w:r>
      <w:proofErr w:type="spellEnd"/>
      <w:r w:rsidRPr="00E32006">
        <w:rPr>
          <w:lang w:val="en-US"/>
        </w:rPr>
        <w:t xml:space="preserve"> </w:t>
      </w:r>
      <w:proofErr w:type="spellStart"/>
      <w:r w:rsidRPr="00E32006">
        <w:rPr>
          <w:lang w:val="en-US"/>
        </w:rPr>
        <w:t>duyurulmasından</w:t>
      </w:r>
      <w:proofErr w:type="spellEnd"/>
      <w:r w:rsidRPr="00E32006">
        <w:rPr>
          <w:lang w:val="en-US"/>
        </w:rPr>
        <w:t xml:space="preserve"> </w:t>
      </w:r>
      <w:proofErr w:type="spellStart"/>
      <w:r w:rsidRPr="00E32006">
        <w:rPr>
          <w:lang w:val="en-US"/>
        </w:rPr>
        <w:t>sonraki</w:t>
      </w:r>
      <w:proofErr w:type="spellEnd"/>
      <w:r w:rsidRPr="00E32006">
        <w:rPr>
          <w:lang w:val="en-US"/>
        </w:rPr>
        <w:t xml:space="preserve"> ilk </w:t>
      </w:r>
      <w:proofErr w:type="spellStart"/>
      <w:r w:rsidRPr="00E32006">
        <w:rPr>
          <w:lang w:val="en-US"/>
        </w:rPr>
        <w:t>haftalarda</w:t>
      </w:r>
      <w:proofErr w:type="spellEnd"/>
      <w:r w:rsidRPr="00E32006">
        <w:rPr>
          <w:lang w:val="en-US"/>
        </w:rPr>
        <w:t xml:space="preserve">, ana </w:t>
      </w:r>
      <w:proofErr w:type="spellStart"/>
      <w:r w:rsidRPr="00E32006">
        <w:rPr>
          <w:lang w:val="en-US"/>
        </w:rPr>
        <w:t>akım</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hukukçuları</w:t>
      </w:r>
      <w:proofErr w:type="spellEnd"/>
      <w:r w:rsidRPr="00E32006">
        <w:rPr>
          <w:lang w:val="en-US"/>
        </w:rPr>
        <w:t xml:space="preserve"> </w:t>
      </w:r>
      <w:proofErr w:type="spellStart"/>
      <w:r w:rsidRPr="00E32006">
        <w:rPr>
          <w:lang w:val="en-US"/>
        </w:rPr>
        <w:t>arasında</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iddianın</w:t>
      </w:r>
      <w:proofErr w:type="spellEnd"/>
      <w:r w:rsidRPr="00E32006">
        <w:rPr>
          <w:lang w:val="en-US"/>
        </w:rPr>
        <w:t xml:space="preserve"> </w:t>
      </w:r>
      <w:proofErr w:type="spellStart"/>
      <w:r w:rsidRPr="00E32006">
        <w:rPr>
          <w:lang w:val="en-US"/>
        </w:rPr>
        <w:t>başarılı</w:t>
      </w:r>
      <w:proofErr w:type="spellEnd"/>
      <w:r w:rsidRPr="00E32006">
        <w:rPr>
          <w:lang w:val="en-US"/>
        </w:rPr>
        <w:t xml:space="preserve"> </w:t>
      </w:r>
      <w:proofErr w:type="spellStart"/>
      <w:r w:rsidRPr="00E32006">
        <w:rPr>
          <w:lang w:val="en-US"/>
        </w:rPr>
        <w:t>olma</w:t>
      </w:r>
      <w:proofErr w:type="spellEnd"/>
      <w:r w:rsidRPr="00E32006">
        <w:rPr>
          <w:lang w:val="en-US"/>
        </w:rPr>
        <w:t xml:space="preserve"> </w:t>
      </w:r>
      <w:proofErr w:type="spellStart"/>
      <w:r w:rsidRPr="00E32006">
        <w:rPr>
          <w:lang w:val="en-US"/>
        </w:rPr>
        <w:t>ihtimalini</w:t>
      </w:r>
      <w:proofErr w:type="spellEnd"/>
      <w:r w:rsidRPr="00E32006">
        <w:rPr>
          <w:lang w:val="en-US"/>
        </w:rPr>
        <w:t xml:space="preserve"> </w:t>
      </w:r>
      <w:proofErr w:type="spellStart"/>
      <w:r w:rsidRPr="00E32006">
        <w:rPr>
          <w:lang w:val="en-US"/>
        </w:rPr>
        <w:t>küçümsemeyen</w:t>
      </w:r>
      <w:proofErr w:type="spellEnd"/>
      <w:r w:rsidRPr="00E32006">
        <w:rPr>
          <w:lang w:val="en-US"/>
        </w:rPr>
        <w:t xml:space="preserve"> </w:t>
      </w:r>
      <w:proofErr w:type="spellStart"/>
      <w:r w:rsidRPr="00E32006">
        <w:rPr>
          <w:lang w:val="en-US"/>
        </w:rPr>
        <w:t>birini</w:t>
      </w:r>
      <w:proofErr w:type="spellEnd"/>
      <w:r w:rsidRPr="00E32006">
        <w:rPr>
          <w:lang w:val="en-US"/>
        </w:rPr>
        <w:t xml:space="preserve"> </w:t>
      </w:r>
      <w:proofErr w:type="spellStart"/>
      <w:r w:rsidRPr="00E32006">
        <w:rPr>
          <w:lang w:val="en-US"/>
        </w:rPr>
        <w:t>bulmak</w:t>
      </w:r>
      <w:proofErr w:type="spellEnd"/>
      <w:r w:rsidRPr="00E32006">
        <w:rPr>
          <w:lang w:val="en-US"/>
        </w:rPr>
        <w:t xml:space="preserve"> </w:t>
      </w:r>
      <w:proofErr w:type="spellStart"/>
      <w:r w:rsidRPr="00E32006">
        <w:rPr>
          <w:lang w:val="en-US"/>
        </w:rPr>
        <w:t>neredeyse</w:t>
      </w:r>
      <w:proofErr w:type="spellEnd"/>
      <w:r w:rsidRPr="00E32006">
        <w:rPr>
          <w:lang w:val="en-US"/>
        </w:rPr>
        <w:t xml:space="preserve"> </w:t>
      </w:r>
      <w:proofErr w:type="spellStart"/>
      <w:r w:rsidRPr="00E32006">
        <w:rPr>
          <w:lang w:val="en-US"/>
        </w:rPr>
        <w:t>imkânsızdı</w:t>
      </w:r>
      <w:proofErr w:type="spellEnd"/>
      <w:r w:rsidRPr="00E32006">
        <w:rPr>
          <w:lang w:val="en-US"/>
        </w:rPr>
        <w:t xml:space="preserve">; </w:t>
      </w:r>
      <w:proofErr w:type="spellStart"/>
      <w:r w:rsidRPr="00E32006">
        <w:rPr>
          <w:lang w:val="en-US"/>
        </w:rPr>
        <w:t>hatta</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hukuk</w:t>
      </w:r>
      <w:proofErr w:type="spellEnd"/>
      <w:r w:rsidRPr="00E32006">
        <w:rPr>
          <w:lang w:val="en-US"/>
        </w:rPr>
        <w:t xml:space="preserve"> </w:t>
      </w:r>
      <w:proofErr w:type="spellStart"/>
      <w:r w:rsidRPr="00E32006">
        <w:rPr>
          <w:lang w:val="en-US"/>
        </w:rPr>
        <w:t>fakültesi</w:t>
      </w:r>
      <w:proofErr w:type="spellEnd"/>
      <w:r w:rsidRPr="00E32006">
        <w:rPr>
          <w:lang w:val="en-US"/>
        </w:rPr>
        <w:t xml:space="preserve">, </w:t>
      </w:r>
      <w:proofErr w:type="spellStart"/>
      <w:r w:rsidRPr="00E32006">
        <w:rPr>
          <w:lang w:val="en-US"/>
        </w:rPr>
        <w:t>konuyla</w:t>
      </w:r>
      <w:proofErr w:type="spellEnd"/>
      <w:r w:rsidRPr="00E32006">
        <w:rPr>
          <w:lang w:val="en-US"/>
        </w:rPr>
        <w:t xml:space="preserve"> </w:t>
      </w:r>
      <w:proofErr w:type="spellStart"/>
      <w:r w:rsidRPr="00E32006">
        <w:rPr>
          <w:lang w:val="en-US"/>
        </w:rPr>
        <w:t>ilgili</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tartışma</w:t>
      </w:r>
      <w:proofErr w:type="spellEnd"/>
      <w:r w:rsidRPr="00E32006">
        <w:rPr>
          <w:lang w:val="en-US"/>
        </w:rPr>
        <w:t xml:space="preserve"> </w:t>
      </w:r>
      <w:proofErr w:type="spellStart"/>
      <w:r w:rsidRPr="00E32006">
        <w:rPr>
          <w:lang w:val="en-US"/>
        </w:rPr>
        <w:t>düzenleyemeyeceklerini</w:t>
      </w:r>
      <w:proofErr w:type="spellEnd"/>
      <w:r w:rsidRPr="00E32006">
        <w:rPr>
          <w:lang w:val="en-US"/>
        </w:rPr>
        <w:t xml:space="preserve"> </w:t>
      </w:r>
      <w:proofErr w:type="spellStart"/>
      <w:r w:rsidRPr="00E32006">
        <w:rPr>
          <w:lang w:val="en-US"/>
        </w:rPr>
        <w:t>çünkü</w:t>
      </w:r>
      <w:proofErr w:type="spellEnd"/>
      <w:r w:rsidRPr="00E32006">
        <w:rPr>
          <w:lang w:val="en-US"/>
        </w:rPr>
        <w:t xml:space="preserve"> </w:t>
      </w:r>
      <w:proofErr w:type="spellStart"/>
      <w:r w:rsidRPr="00E32006">
        <w:rPr>
          <w:lang w:val="en-US"/>
        </w:rPr>
        <w:t>karşı</w:t>
      </w:r>
      <w:proofErr w:type="spellEnd"/>
      <w:r w:rsidRPr="00E32006">
        <w:rPr>
          <w:lang w:val="en-US"/>
        </w:rPr>
        <w:t xml:space="preserve"> </w:t>
      </w:r>
      <w:proofErr w:type="spellStart"/>
      <w:r w:rsidRPr="00E32006">
        <w:rPr>
          <w:lang w:val="en-US"/>
        </w:rPr>
        <w:t>tarafı</w:t>
      </w:r>
      <w:proofErr w:type="spellEnd"/>
      <w:r w:rsidRPr="00E32006">
        <w:rPr>
          <w:lang w:val="en-US"/>
        </w:rPr>
        <w:t xml:space="preserve"> </w:t>
      </w:r>
      <w:proofErr w:type="spellStart"/>
      <w:r w:rsidRPr="00E32006">
        <w:rPr>
          <w:lang w:val="en-US"/>
        </w:rPr>
        <w:t>savunacak</w:t>
      </w:r>
      <w:proofErr w:type="spellEnd"/>
      <w:r w:rsidRPr="00E32006">
        <w:rPr>
          <w:lang w:val="en-US"/>
        </w:rPr>
        <w:t xml:space="preserve"> </w:t>
      </w:r>
      <w:proofErr w:type="spellStart"/>
      <w:r w:rsidRPr="00E32006">
        <w:rPr>
          <w:lang w:val="en-US"/>
        </w:rPr>
        <w:t>kimseyi</w:t>
      </w:r>
      <w:proofErr w:type="spellEnd"/>
      <w:r w:rsidRPr="00E32006">
        <w:rPr>
          <w:lang w:val="en-US"/>
        </w:rPr>
        <w:t xml:space="preserve"> </w:t>
      </w:r>
      <w:proofErr w:type="spellStart"/>
      <w:r w:rsidRPr="00E32006">
        <w:rPr>
          <w:lang w:val="en-US"/>
        </w:rPr>
        <w:t>bulamadıklarını</w:t>
      </w:r>
      <w:proofErr w:type="spellEnd"/>
      <w:r w:rsidRPr="00E32006">
        <w:rPr>
          <w:lang w:val="en-US"/>
        </w:rPr>
        <w:t xml:space="preserve"> </w:t>
      </w:r>
      <w:proofErr w:type="spellStart"/>
      <w:r w:rsidRPr="00E32006">
        <w:rPr>
          <w:lang w:val="en-US"/>
        </w:rPr>
        <w:t>açıklayarak</w:t>
      </w:r>
      <w:proofErr w:type="spellEnd"/>
      <w:r w:rsidRPr="00E32006">
        <w:rPr>
          <w:lang w:val="en-US"/>
        </w:rPr>
        <w:t xml:space="preserve"> </w:t>
      </w:r>
      <w:proofErr w:type="spellStart"/>
      <w:r w:rsidRPr="00E32006">
        <w:rPr>
          <w:lang w:val="en-US"/>
        </w:rPr>
        <w:t>ün</w:t>
      </w:r>
      <w:proofErr w:type="spellEnd"/>
      <w:r w:rsidRPr="00E32006">
        <w:rPr>
          <w:lang w:val="en-US"/>
        </w:rPr>
        <w:t xml:space="preserve"> kazandı.¹²⁹</w:t>
      </w:r>
      <w:r>
        <w:rPr>
          <w:lang w:val="en-US"/>
        </w:rPr>
        <w:t xml:space="preserve"> </w:t>
      </w:r>
      <w:r>
        <w:rPr>
          <w:rStyle w:val="FootnoteReference"/>
          <w:lang w:val="en-US"/>
        </w:rPr>
        <w:footnoteReference w:id="129"/>
      </w:r>
      <w:r w:rsidRPr="00E32006">
        <w:rPr>
          <w:lang w:val="en-US"/>
        </w:rPr>
        <w:t xml:space="preserve"> </w:t>
      </w:r>
      <w:proofErr w:type="spellStart"/>
      <w:r w:rsidRPr="00E32006">
        <w:rPr>
          <w:lang w:val="en-US"/>
        </w:rPr>
        <w:t>Nihayetinde</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düzenlemenin</w:t>
      </w:r>
      <w:proofErr w:type="spellEnd"/>
      <w:r w:rsidRPr="00E32006">
        <w:rPr>
          <w:lang w:val="en-US"/>
        </w:rPr>
        <w:t xml:space="preserve"> </w:t>
      </w:r>
      <w:proofErr w:type="spellStart"/>
      <w:r w:rsidRPr="00E32006">
        <w:rPr>
          <w:lang w:val="en-US"/>
        </w:rPr>
        <w:t>anayasaya</w:t>
      </w:r>
      <w:proofErr w:type="spellEnd"/>
      <w:r w:rsidRPr="00E32006">
        <w:rPr>
          <w:lang w:val="en-US"/>
        </w:rPr>
        <w:t xml:space="preserve"> </w:t>
      </w:r>
      <w:proofErr w:type="spellStart"/>
      <w:r w:rsidRPr="00E32006">
        <w:rPr>
          <w:lang w:val="en-US"/>
        </w:rPr>
        <w:t>aykırılığını</w:t>
      </w:r>
      <w:proofErr w:type="spellEnd"/>
      <w:r w:rsidRPr="00E32006">
        <w:rPr>
          <w:lang w:val="en-US"/>
        </w:rPr>
        <w:t xml:space="preserve"> </w:t>
      </w:r>
      <w:proofErr w:type="spellStart"/>
      <w:r w:rsidRPr="00E32006">
        <w:rPr>
          <w:lang w:val="en-US"/>
        </w:rPr>
        <w:t>güçlü</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şekilde</w:t>
      </w:r>
      <w:proofErr w:type="spellEnd"/>
      <w:r w:rsidRPr="00E32006">
        <w:rPr>
          <w:lang w:val="en-US"/>
        </w:rPr>
        <w:t xml:space="preserve"> </w:t>
      </w:r>
      <w:proofErr w:type="spellStart"/>
      <w:r w:rsidRPr="00E32006">
        <w:rPr>
          <w:lang w:val="en-US"/>
        </w:rPr>
        <w:t>savunan</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grup</w:t>
      </w:r>
      <w:proofErr w:type="spellEnd"/>
      <w:r w:rsidRPr="00E32006">
        <w:rPr>
          <w:lang w:val="en-US"/>
        </w:rPr>
        <w:t xml:space="preserve"> </w:t>
      </w:r>
      <w:proofErr w:type="spellStart"/>
      <w:r w:rsidRPr="00E32006">
        <w:rPr>
          <w:lang w:val="en-US"/>
        </w:rPr>
        <w:t>akademisyen</w:t>
      </w:r>
      <w:proofErr w:type="spellEnd"/>
      <w:r w:rsidRPr="00E32006">
        <w:rPr>
          <w:lang w:val="en-US"/>
        </w:rPr>
        <w:t xml:space="preserve"> (</w:t>
      </w:r>
      <w:proofErr w:type="spellStart"/>
      <w:r w:rsidRPr="00E32006">
        <w:rPr>
          <w:lang w:val="en-US"/>
        </w:rPr>
        <w:t>aşağıda</w:t>
      </w:r>
      <w:proofErr w:type="spellEnd"/>
      <w:r w:rsidRPr="00E32006">
        <w:rPr>
          <w:lang w:val="en-US"/>
        </w:rPr>
        <w:t xml:space="preserve"> </w:t>
      </w:r>
      <w:proofErr w:type="spellStart"/>
      <w:r w:rsidRPr="00E32006">
        <w:rPr>
          <w:lang w:val="en-US"/>
        </w:rPr>
        <w:t>tartışılacaktır</w:t>
      </w:r>
      <w:proofErr w:type="spellEnd"/>
      <w:r w:rsidRPr="00E32006">
        <w:rPr>
          <w:lang w:val="en-US"/>
        </w:rPr>
        <w:t xml:space="preserve">) </w:t>
      </w:r>
      <w:proofErr w:type="spellStart"/>
      <w:r w:rsidRPr="00E32006">
        <w:rPr>
          <w:lang w:val="en-US"/>
        </w:rPr>
        <w:t>ortaya</w:t>
      </w:r>
      <w:proofErr w:type="spellEnd"/>
      <w:r w:rsidRPr="00E32006">
        <w:rPr>
          <w:lang w:val="en-US"/>
        </w:rPr>
        <w:t xml:space="preserve"> </w:t>
      </w:r>
      <w:proofErr w:type="spellStart"/>
      <w:r w:rsidRPr="00E32006">
        <w:rPr>
          <w:lang w:val="en-US"/>
        </w:rPr>
        <w:t>çıkmış</w:t>
      </w:r>
      <w:proofErr w:type="spellEnd"/>
      <w:r w:rsidRPr="00E32006">
        <w:rPr>
          <w:lang w:val="en-US"/>
        </w:rPr>
        <w:t xml:space="preserve"> </w:t>
      </w:r>
      <w:proofErr w:type="spellStart"/>
      <w:r w:rsidRPr="00E32006">
        <w:rPr>
          <w:lang w:val="en-US"/>
        </w:rPr>
        <w:t>olsa</w:t>
      </w:r>
      <w:proofErr w:type="spellEnd"/>
      <w:r w:rsidRPr="00E32006">
        <w:rPr>
          <w:lang w:val="en-US"/>
        </w:rPr>
        <w:t xml:space="preserve"> da, </w:t>
      </w:r>
      <w:proofErr w:type="spellStart"/>
      <w:r w:rsidRPr="00E32006">
        <w:rPr>
          <w:lang w:val="en-US"/>
        </w:rPr>
        <w:t>anayasa</w:t>
      </w:r>
      <w:proofErr w:type="spellEnd"/>
      <w:r w:rsidRPr="00E32006">
        <w:rPr>
          <w:lang w:val="en-US"/>
        </w:rPr>
        <w:t xml:space="preserve"> </w:t>
      </w:r>
      <w:proofErr w:type="spellStart"/>
      <w:r w:rsidRPr="00E32006">
        <w:rPr>
          <w:lang w:val="en-US"/>
        </w:rPr>
        <w:t>hukuku</w:t>
      </w:r>
      <w:proofErr w:type="spellEnd"/>
      <w:r w:rsidRPr="00E32006">
        <w:rPr>
          <w:lang w:val="en-US"/>
        </w:rPr>
        <w:t xml:space="preserve"> </w:t>
      </w:r>
      <w:proofErr w:type="spellStart"/>
      <w:r w:rsidRPr="00E32006">
        <w:rPr>
          <w:lang w:val="en-US"/>
        </w:rPr>
        <w:t>profesörlerinin</w:t>
      </w:r>
      <w:proofErr w:type="spellEnd"/>
      <w:r w:rsidRPr="00E32006">
        <w:rPr>
          <w:lang w:val="en-US"/>
        </w:rPr>
        <w:t xml:space="preserve"> </w:t>
      </w:r>
      <w:proofErr w:type="spellStart"/>
      <w:r w:rsidRPr="00E32006">
        <w:rPr>
          <w:lang w:val="en-US"/>
        </w:rPr>
        <w:t>büyük</w:t>
      </w:r>
      <w:proofErr w:type="spellEnd"/>
      <w:r w:rsidRPr="00E32006">
        <w:rPr>
          <w:lang w:val="en-US"/>
        </w:rPr>
        <w:t xml:space="preserve"> </w:t>
      </w:r>
      <w:proofErr w:type="spellStart"/>
      <w:r w:rsidRPr="00E32006">
        <w:rPr>
          <w:lang w:val="en-US"/>
        </w:rPr>
        <w:t>çoğunluğu</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itirazı</w:t>
      </w:r>
      <w:proofErr w:type="spellEnd"/>
      <w:r w:rsidRPr="00E32006">
        <w:rPr>
          <w:lang w:val="en-US"/>
        </w:rPr>
        <w:t xml:space="preserve"> </w:t>
      </w:r>
      <w:proofErr w:type="spellStart"/>
      <w:r w:rsidRPr="00E32006">
        <w:rPr>
          <w:lang w:val="en-US"/>
        </w:rPr>
        <w:t>mantıksız</w:t>
      </w:r>
      <w:proofErr w:type="spellEnd"/>
      <w:r w:rsidRPr="00E32006">
        <w:rPr>
          <w:lang w:val="en-US"/>
        </w:rPr>
        <w:t xml:space="preserve"> </w:t>
      </w:r>
      <w:proofErr w:type="spellStart"/>
      <w:r w:rsidRPr="00E32006">
        <w:rPr>
          <w:lang w:val="en-US"/>
        </w:rPr>
        <w:t>veya</w:t>
      </w:r>
      <w:proofErr w:type="spellEnd"/>
      <w:r w:rsidRPr="00E32006">
        <w:rPr>
          <w:lang w:val="en-US"/>
        </w:rPr>
        <w:t xml:space="preserve"> </w:t>
      </w:r>
      <w:proofErr w:type="spellStart"/>
      <w:r w:rsidRPr="00E32006">
        <w:rPr>
          <w:lang w:val="en-US"/>
        </w:rPr>
        <w:t>hatta</w:t>
      </w:r>
      <w:proofErr w:type="spellEnd"/>
      <w:r w:rsidRPr="00E32006">
        <w:rPr>
          <w:lang w:val="en-US"/>
        </w:rPr>
        <w:t xml:space="preserve"> </w:t>
      </w:r>
      <w:proofErr w:type="spellStart"/>
      <w:r w:rsidRPr="00E32006">
        <w:rPr>
          <w:lang w:val="en-US"/>
        </w:rPr>
        <w:t>gülünç</w:t>
      </w:r>
      <w:proofErr w:type="spellEnd"/>
      <w:r w:rsidRPr="00E32006">
        <w:rPr>
          <w:lang w:val="en-US"/>
        </w:rPr>
        <w:t xml:space="preserve"> </w:t>
      </w:r>
      <w:proofErr w:type="spellStart"/>
      <w:r w:rsidRPr="00E32006">
        <w:rPr>
          <w:lang w:val="en-US"/>
        </w:rPr>
        <w:t>olarak</w:t>
      </w:r>
      <w:proofErr w:type="spellEnd"/>
      <w:r w:rsidRPr="00E32006">
        <w:rPr>
          <w:lang w:val="en-US"/>
        </w:rPr>
        <w:t xml:space="preserve"> </w:t>
      </w:r>
      <w:proofErr w:type="spellStart"/>
      <w:r w:rsidRPr="00E32006">
        <w:rPr>
          <w:lang w:val="en-US"/>
        </w:rPr>
        <w:t>değerlendirmeye</w:t>
      </w:r>
      <w:proofErr w:type="spellEnd"/>
      <w:r w:rsidRPr="00E32006">
        <w:rPr>
          <w:lang w:val="en-US"/>
        </w:rPr>
        <w:t xml:space="preserve"> </w:t>
      </w:r>
      <w:proofErr w:type="spellStart"/>
      <w:r w:rsidRPr="00E32006">
        <w:rPr>
          <w:lang w:val="en-US"/>
        </w:rPr>
        <w:t>devam</w:t>
      </w:r>
      <w:proofErr w:type="spellEnd"/>
      <w:r w:rsidRPr="00E32006">
        <w:rPr>
          <w:lang w:val="en-US"/>
        </w:rPr>
        <w:t xml:space="preserve"> </w:t>
      </w:r>
      <w:proofErr w:type="spellStart"/>
      <w:r w:rsidRPr="00E32006">
        <w:rPr>
          <w:lang w:val="en-US"/>
        </w:rPr>
        <w:t>etti</w:t>
      </w:r>
      <w:proofErr w:type="spellEnd"/>
      <w:r w:rsidRPr="00E32006">
        <w:rPr>
          <w:lang w:val="en-US"/>
        </w:rPr>
        <w:t>.</w:t>
      </w:r>
      <w:r w:rsidRPr="00E32006">
        <w:t xml:space="preserve"> </w:t>
      </w:r>
      <w:r w:rsidRPr="00E32006">
        <w:rPr>
          <w:lang w:val="en-US"/>
        </w:rPr>
        <w:t xml:space="preserve">Alt </w:t>
      </w:r>
      <w:proofErr w:type="spellStart"/>
      <w:r w:rsidRPr="00E32006">
        <w:rPr>
          <w:lang w:val="en-US"/>
        </w:rPr>
        <w:t>mahkemeler</w:t>
      </w:r>
      <w:proofErr w:type="spellEnd"/>
      <w:r w:rsidRPr="00E32006">
        <w:rPr>
          <w:lang w:val="en-US"/>
        </w:rPr>
        <w:t xml:space="preserve"> </w:t>
      </w:r>
      <w:proofErr w:type="spellStart"/>
      <w:r w:rsidRPr="00E32006">
        <w:rPr>
          <w:lang w:val="en-US"/>
        </w:rPr>
        <w:t>konuya</w:t>
      </w:r>
      <w:proofErr w:type="spellEnd"/>
      <w:r w:rsidRPr="00E32006">
        <w:rPr>
          <w:lang w:val="en-US"/>
        </w:rPr>
        <w:t xml:space="preserve"> </w:t>
      </w:r>
      <w:proofErr w:type="spellStart"/>
      <w:r w:rsidRPr="00E32006">
        <w:rPr>
          <w:lang w:val="en-US"/>
        </w:rPr>
        <w:t>ilişkin</w:t>
      </w:r>
      <w:proofErr w:type="spellEnd"/>
      <w:r w:rsidRPr="00E32006">
        <w:rPr>
          <w:lang w:val="en-US"/>
        </w:rPr>
        <w:t xml:space="preserve"> </w:t>
      </w:r>
      <w:proofErr w:type="spellStart"/>
      <w:r w:rsidRPr="00E32006">
        <w:rPr>
          <w:lang w:val="en-US"/>
        </w:rPr>
        <w:t>kararlarında</w:t>
      </w:r>
      <w:proofErr w:type="spellEnd"/>
      <w:r w:rsidRPr="00E32006">
        <w:rPr>
          <w:lang w:val="en-US"/>
        </w:rPr>
        <w:t xml:space="preserve"> </w:t>
      </w:r>
      <w:proofErr w:type="spellStart"/>
      <w:r w:rsidRPr="00E32006">
        <w:rPr>
          <w:lang w:val="en-US"/>
        </w:rPr>
        <w:t>neredeyse</w:t>
      </w:r>
      <w:proofErr w:type="spellEnd"/>
      <w:r w:rsidRPr="00E32006">
        <w:rPr>
          <w:lang w:val="en-US"/>
        </w:rPr>
        <w:t xml:space="preserve"> </w:t>
      </w:r>
      <w:proofErr w:type="spellStart"/>
      <w:r w:rsidRPr="00E32006">
        <w:rPr>
          <w:lang w:val="en-US"/>
        </w:rPr>
        <w:t>eşit</w:t>
      </w:r>
      <w:proofErr w:type="spellEnd"/>
      <w:r w:rsidRPr="00E32006">
        <w:rPr>
          <w:lang w:val="en-US"/>
        </w:rPr>
        <w:t xml:space="preserve"> </w:t>
      </w:r>
      <w:proofErr w:type="spellStart"/>
      <w:r w:rsidRPr="00E32006">
        <w:rPr>
          <w:lang w:val="en-US"/>
        </w:rPr>
        <w:t>şekilde</w:t>
      </w:r>
      <w:proofErr w:type="spellEnd"/>
      <w:r w:rsidRPr="00E32006">
        <w:rPr>
          <w:lang w:val="en-US"/>
        </w:rPr>
        <w:t xml:space="preserve"> </w:t>
      </w:r>
      <w:proofErr w:type="spellStart"/>
      <w:r w:rsidRPr="00E32006">
        <w:rPr>
          <w:lang w:val="en-US"/>
        </w:rPr>
        <w:t>bölündüğünde</w:t>
      </w:r>
      <w:proofErr w:type="spellEnd"/>
      <w:r w:rsidRPr="00E32006">
        <w:rPr>
          <w:lang w:val="en-US"/>
        </w:rPr>
        <w:t xml:space="preserve">, ana </w:t>
      </w:r>
      <w:proofErr w:type="spellStart"/>
      <w:r w:rsidRPr="00E32006">
        <w:rPr>
          <w:lang w:val="en-US"/>
        </w:rPr>
        <w:t>akım</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hukukçuları</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gelişmeleri</w:t>
      </w:r>
      <w:proofErr w:type="spellEnd"/>
      <w:r w:rsidRPr="00E32006">
        <w:rPr>
          <w:lang w:val="en-US"/>
        </w:rPr>
        <w:t xml:space="preserve"> </w:t>
      </w:r>
      <w:proofErr w:type="spellStart"/>
      <w:r w:rsidRPr="00E32006">
        <w:rPr>
          <w:lang w:val="en-US"/>
        </w:rPr>
        <w:t>ancak</w:t>
      </w:r>
      <w:proofErr w:type="spellEnd"/>
      <w:r w:rsidRPr="00E32006">
        <w:rPr>
          <w:lang w:val="en-US"/>
        </w:rPr>
        <w:t xml:space="preserve"> </w:t>
      </w:r>
      <w:proofErr w:type="spellStart"/>
      <w:r w:rsidRPr="00E32006">
        <w:rPr>
          <w:lang w:val="en-US"/>
        </w:rPr>
        <w:t>kısmen</w:t>
      </w:r>
      <w:proofErr w:type="spellEnd"/>
      <w:r w:rsidRPr="00E32006">
        <w:rPr>
          <w:lang w:val="en-US"/>
        </w:rPr>
        <w:t xml:space="preserve"> </w:t>
      </w:r>
      <w:proofErr w:type="spellStart"/>
      <w:r w:rsidRPr="00E32006">
        <w:rPr>
          <w:lang w:val="en-US"/>
        </w:rPr>
        <w:t>dikkate</w:t>
      </w:r>
      <w:proofErr w:type="spellEnd"/>
      <w:r w:rsidRPr="00E32006">
        <w:rPr>
          <w:lang w:val="en-US"/>
        </w:rPr>
        <w:t xml:space="preserve"> </w:t>
      </w:r>
      <w:proofErr w:type="spellStart"/>
      <w:r w:rsidRPr="00E32006">
        <w:rPr>
          <w:lang w:val="en-US"/>
        </w:rPr>
        <w:t>aldı</w:t>
      </w:r>
      <w:proofErr w:type="spellEnd"/>
      <w:r w:rsidRPr="00E32006">
        <w:rPr>
          <w:lang w:val="en-US"/>
        </w:rPr>
        <w:t xml:space="preserve"> </w:t>
      </w:r>
      <w:proofErr w:type="spellStart"/>
      <w:r w:rsidRPr="00E32006">
        <w:rPr>
          <w:lang w:val="en-US"/>
        </w:rPr>
        <w:t>ve</w:t>
      </w:r>
      <w:proofErr w:type="spellEnd"/>
      <w:r w:rsidRPr="00E32006">
        <w:rPr>
          <w:lang w:val="en-US"/>
        </w:rPr>
        <w:t xml:space="preserve"> Yüksek </w:t>
      </w:r>
      <w:proofErr w:type="spellStart"/>
      <w:r w:rsidRPr="00E32006">
        <w:rPr>
          <w:lang w:val="en-US"/>
        </w:rPr>
        <w:t>Mahkeme’nin</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iddiayı</w:t>
      </w:r>
      <w:proofErr w:type="spellEnd"/>
      <w:r w:rsidRPr="00E32006">
        <w:rPr>
          <w:lang w:val="en-US"/>
        </w:rPr>
        <w:t xml:space="preserve"> </w:t>
      </w:r>
      <w:proofErr w:type="spellStart"/>
      <w:r w:rsidRPr="00E32006">
        <w:rPr>
          <w:lang w:val="en-US"/>
        </w:rPr>
        <w:t>büyük</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çoğunlukla</w:t>
      </w:r>
      <w:proofErr w:type="spellEnd"/>
      <w:r w:rsidRPr="00E32006">
        <w:rPr>
          <w:lang w:val="en-US"/>
        </w:rPr>
        <w:t xml:space="preserve"> </w:t>
      </w:r>
      <w:proofErr w:type="spellStart"/>
      <w:r w:rsidRPr="00E32006">
        <w:rPr>
          <w:lang w:val="en-US"/>
        </w:rPr>
        <w:t>reddedeceğini</w:t>
      </w:r>
      <w:proofErr w:type="spellEnd"/>
      <w:r w:rsidRPr="00E32006">
        <w:rPr>
          <w:lang w:val="en-US"/>
        </w:rPr>
        <w:t xml:space="preserve"> </w:t>
      </w:r>
      <w:proofErr w:type="spellStart"/>
      <w:r w:rsidRPr="00E32006">
        <w:rPr>
          <w:lang w:val="en-US"/>
        </w:rPr>
        <w:t>hâlâ</w:t>
      </w:r>
      <w:proofErr w:type="spellEnd"/>
      <w:r w:rsidRPr="00E32006">
        <w:rPr>
          <w:lang w:val="en-US"/>
        </w:rPr>
        <w:t xml:space="preserve"> </w:t>
      </w:r>
      <w:proofErr w:type="spellStart"/>
      <w:r w:rsidRPr="00E32006">
        <w:rPr>
          <w:lang w:val="en-US"/>
        </w:rPr>
        <w:t>beklemeye</w:t>
      </w:r>
      <w:proofErr w:type="spellEnd"/>
      <w:r w:rsidRPr="00E32006">
        <w:rPr>
          <w:lang w:val="en-US"/>
        </w:rPr>
        <w:t xml:space="preserve"> </w:t>
      </w:r>
      <w:proofErr w:type="spellStart"/>
      <w:r w:rsidRPr="00E32006">
        <w:rPr>
          <w:lang w:val="en-US"/>
        </w:rPr>
        <w:t>devam</w:t>
      </w:r>
      <w:proofErr w:type="spellEnd"/>
      <w:r w:rsidRPr="00E32006">
        <w:rPr>
          <w:lang w:val="en-US"/>
        </w:rPr>
        <w:t xml:space="preserve"> </w:t>
      </w:r>
      <w:proofErr w:type="spellStart"/>
      <w:r w:rsidRPr="00E32006">
        <w:rPr>
          <w:lang w:val="en-US"/>
        </w:rPr>
        <w:t>etti</w:t>
      </w:r>
      <w:proofErr w:type="spellEnd"/>
      <w:r w:rsidRPr="00E32006">
        <w:rPr>
          <w:lang w:val="en-US"/>
        </w:rPr>
        <w:t xml:space="preserve">. </w:t>
      </w:r>
      <w:proofErr w:type="spellStart"/>
      <w:r w:rsidRPr="00E32006">
        <w:rPr>
          <w:lang w:val="en-US"/>
        </w:rPr>
        <w:t>Ancak</w:t>
      </w:r>
      <w:proofErr w:type="spellEnd"/>
      <w:r w:rsidRPr="00E32006">
        <w:rPr>
          <w:lang w:val="en-US"/>
        </w:rPr>
        <w:t xml:space="preserve"> </w:t>
      </w:r>
      <w:proofErr w:type="spellStart"/>
      <w:r w:rsidRPr="00E32006">
        <w:rPr>
          <w:lang w:val="en-US"/>
        </w:rPr>
        <w:t>Mahkeme</w:t>
      </w:r>
      <w:proofErr w:type="spellEnd"/>
      <w:r w:rsidRPr="00E32006">
        <w:rPr>
          <w:lang w:val="en-US"/>
        </w:rPr>
        <w:t xml:space="preserve"> </w:t>
      </w:r>
      <w:proofErr w:type="spellStart"/>
      <w:r w:rsidRPr="00E32006">
        <w:rPr>
          <w:lang w:val="en-US"/>
        </w:rPr>
        <w:t>kararını</w:t>
      </w:r>
      <w:proofErr w:type="spellEnd"/>
      <w:r w:rsidRPr="00E32006">
        <w:rPr>
          <w:lang w:val="en-US"/>
        </w:rPr>
        <w:t xml:space="preserve"> açıkladığında¹³⁰</w:t>
      </w:r>
      <w:r>
        <w:rPr>
          <w:lang w:val="en-US"/>
        </w:rPr>
        <w:t xml:space="preserve"> </w:t>
      </w:r>
      <w:r>
        <w:rPr>
          <w:rStyle w:val="FootnoteReference"/>
          <w:lang w:val="en-US"/>
        </w:rPr>
        <w:footnoteReference w:id="130"/>
      </w:r>
      <w:r>
        <w:rPr>
          <w:lang w:val="en-US"/>
        </w:rPr>
        <w:t xml:space="preserve"> </w:t>
      </w:r>
      <w:r w:rsidRPr="00E32006">
        <w:rPr>
          <w:lang w:val="en-US"/>
        </w:rPr>
        <w:t>—</w:t>
      </w:r>
      <w:proofErr w:type="spellStart"/>
      <w:r w:rsidRPr="00E32006">
        <w:rPr>
          <w:lang w:val="en-US"/>
        </w:rPr>
        <w:t>zorunluluğun</w:t>
      </w:r>
      <w:proofErr w:type="spellEnd"/>
      <w:r w:rsidRPr="00E32006">
        <w:rPr>
          <w:lang w:val="en-US"/>
        </w:rPr>
        <w:t xml:space="preserve"> </w:t>
      </w:r>
      <w:proofErr w:type="spellStart"/>
      <w:r w:rsidRPr="00E32006">
        <w:rPr>
          <w:lang w:val="en-US"/>
        </w:rPr>
        <w:t>gerçekten</w:t>
      </w:r>
      <w:proofErr w:type="spellEnd"/>
      <w:r w:rsidRPr="00E32006">
        <w:rPr>
          <w:lang w:val="en-US"/>
        </w:rPr>
        <w:t xml:space="preserve"> de </w:t>
      </w:r>
      <w:proofErr w:type="spellStart"/>
      <w:r w:rsidRPr="00E32006">
        <w:rPr>
          <w:lang w:val="en-US"/>
        </w:rPr>
        <w:t>Kongre’nin</w:t>
      </w:r>
      <w:proofErr w:type="spellEnd"/>
      <w:r w:rsidRPr="00E32006">
        <w:rPr>
          <w:lang w:val="en-US"/>
        </w:rPr>
        <w:t xml:space="preserve"> Ticaret </w:t>
      </w:r>
      <w:proofErr w:type="spellStart"/>
      <w:r w:rsidRPr="00E32006">
        <w:rPr>
          <w:lang w:val="en-US"/>
        </w:rPr>
        <w:t>Maddesi</w:t>
      </w:r>
      <w:proofErr w:type="spellEnd"/>
      <w:r w:rsidRPr="00E32006">
        <w:rPr>
          <w:lang w:val="en-US"/>
        </w:rPr>
        <w:t xml:space="preserve"> (Commerce Clause) </w:t>
      </w:r>
      <w:proofErr w:type="spellStart"/>
      <w:r w:rsidRPr="00E32006">
        <w:rPr>
          <w:lang w:val="en-US"/>
        </w:rPr>
        <w:t>yetkisini</w:t>
      </w:r>
      <w:proofErr w:type="spellEnd"/>
      <w:r w:rsidRPr="00E32006">
        <w:rPr>
          <w:lang w:val="en-US"/>
        </w:rPr>
        <w:t xml:space="preserve"> </w:t>
      </w:r>
      <w:proofErr w:type="spellStart"/>
      <w:r w:rsidRPr="00E32006">
        <w:rPr>
          <w:lang w:val="en-US"/>
        </w:rPr>
        <w:t>aştığını</w:t>
      </w:r>
      <w:proofErr w:type="spellEnd"/>
      <w:r w:rsidRPr="00E32006">
        <w:rPr>
          <w:lang w:val="en-US"/>
        </w:rPr>
        <w:t xml:space="preserve"> </w:t>
      </w:r>
      <w:proofErr w:type="spellStart"/>
      <w:r w:rsidRPr="00E32006">
        <w:rPr>
          <w:lang w:val="en-US"/>
        </w:rPr>
        <w:t>tespit</w:t>
      </w:r>
      <w:proofErr w:type="spellEnd"/>
      <w:r w:rsidRPr="00E32006">
        <w:rPr>
          <w:lang w:val="en-US"/>
        </w:rPr>
        <w:t xml:space="preserve"> </w:t>
      </w:r>
      <w:proofErr w:type="spellStart"/>
      <w:r w:rsidRPr="00E32006">
        <w:rPr>
          <w:lang w:val="en-US"/>
        </w:rPr>
        <w:t>ederek</w:t>
      </w:r>
      <w:proofErr w:type="spellEnd"/>
      <w:r w:rsidRPr="00E32006">
        <w:rPr>
          <w:lang w:val="en-US"/>
        </w:rPr>
        <w:t xml:space="preserve">, </w:t>
      </w:r>
      <w:proofErr w:type="spellStart"/>
      <w:r w:rsidRPr="00E32006">
        <w:rPr>
          <w:lang w:val="en-US"/>
        </w:rPr>
        <w:t>yalnızca</w:t>
      </w:r>
      <w:proofErr w:type="spellEnd"/>
      <w:r w:rsidRPr="00E32006">
        <w:rPr>
          <w:lang w:val="en-US"/>
        </w:rPr>
        <w:t xml:space="preserve"> </w:t>
      </w:r>
      <w:proofErr w:type="spellStart"/>
      <w:r w:rsidRPr="00E32006">
        <w:rPr>
          <w:lang w:val="en-US"/>
        </w:rPr>
        <w:t>Vergilendirme</w:t>
      </w:r>
      <w:proofErr w:type="spellEnd"/>
      <w:r w:rsidRPr="00E32006">
        <w:rPr>
          <w:lang w:val="en-US"/>
        </w:rPr>
        <w:t xml:space="preserve"> </w:t>
      </w:r>
      <w:proofErr w:type="spellStart"/>
      <w:r w:rsidRPr="00E32006">
        <w:rPr>
          <w:lang w:val="en-US"/>
        </w:rPr>
        <w:t>Yetkisi</w:t>
      </w:r>
      <w:proofErr w:type="spellEnd"/>
      <w:r w:rsidRPr="00E32006">
        <w:rPr>
          <w:lang w:val="en-US"/>
        </w:rPr>
        <w:t xml:space="preserve"> (Taxing Clause) </w:t>
      </w:r>
      <w:proofErr w:type="spellStart"/>
      <w:r w:rsidRPr="00E32006">
        <w:rPr>
          <w:lang w:val="en-US"/>
        </w:rPr>
        <w:t>kapsamında</w:t>
      </w:r>
      <w:proofErr w:type="spellEnd"/>
      <w:r w:rsidRPr="00E32006">
        <w:rPr>
          <w:lang w:val="en-US"/>
        </w:rPr>
        <w:t xml:space="preserve"> </w:t>
      </w:r>
      <w:proofErr w:type="spellStart"/>
      <w:r w:rsidRPr="00E32006">
        <w:rPr>
          <w:lang w:val="en-US"/>
        </w:rPr>
        <w:t>geçerli</w:t>
      </w:r>
      <w:proofErr w:type="spellEnd"/>
      <w:r w:rsidRPr="00E32006">
        <w:rPr>
          <w:lang w:val="en-US"/>
        </w:rPr>
        <w:t xml:space="preserve"> </w:t>
      </w:r>
      <w:proofErr w:type="spellStart"/>
      <w:r w:rsidRPr="00E32006">
        <w:rPr>
          <w:lang w:val="en-US"/>
        </w:rPr>
        <w:t>olduğu</w:t>
      </w:r>
      <w:proofErr w:type="spellEnd"/>
      <w:r w:rsidRPr="00E32006">
        <w:rPr>
          <w:lang w:val="en-US"/>
        </w:rPr>
        <w:t xml:space="preserve"> </w:t>
      </w:r>
      <w:proofErr w:type="spellStart"/>
      <w:r w:rsidRPr="00E32006">
        <w:rPr>
          <w:lang w:val="en-US"/>
        </w:rPr>
        <w:t>sonucuna</w:t>
      </w:r>
      <w:proofErr w:type="spellEnd"/>
      <w:r w:rsidRPr="00E32006">
        <w:rPr>
          <w:lang w:val="en-US"/>
        </w:rPr>
        <w:t xml:space="preserve">, son </w:t>
      </w:r>
      <w:proofErr w:type="spellStart"/>
      <w:r w:rsidRPr="00E32006">
        <w:rPr>
          <w:lang w:val="en-US"/>
        </w:rPr>
        <w:t>anda</w:t>
      </w:r>
      <w:proofErr w:type="spellEnd"/>
      <w:r w:rsidRPr="00E32006">
        <w:rPr>
          <w:lang w:val="en-US"/>
        </w:rPr>
        <w:t xml:space="preserve"> </w:t>
      </w:r>
      <w:proofErr w:type="spellStart"/>
      <w:r w:rsidRPr="00E32006">
        <w:rPr>
          <w:lang w:val="en-US"/>
        </w:rPr>
        <w:t>fikrini</w:t>
      </w:r>
      <w:proofErr w:type="spellEnd"/>
      <w:r w:rsidRPr="00E32006">
        <w:rPr>
          <w:lang w:val="en-US"/>
        </w:rPr>
        <w:t xml:space="preserve"> </w:t>
      </w:r>
      <w:proofErr w:type="spellStart"/>
      <w:r w:rsidRPr="00E32006">
        <w:rPr>
          <w:lang w:val="en-US"/>
        </w:rPr>
        <w:t>değiştiren</w:t>
      </w:r>
      <w:proofErr w:type="spellEnd"/>
      <w:r w:rsidRPr="00E32006">
        <w:rPr>
          <w:lang w:val="en-US"/>
        </w:rPr>
        <w:t xml:space="preserve"> Baş Yargıç’ın¹³¹ </w:t>
      </w:r>
      <w:r>
        <w:rPr>
          <w:rStyle w:val="FootnoteReference"/>
          <w:lang w:val="en-US"/>
        </w:rPr>
        <w:footnoteReference w:id="131"/>
      </w:r>
      <w:r>
        <w:rPr>
          <w:lang w:val="en-US"/>
        </w:rPr>
        <w:t xml:space="preserve">  </w:t>
      </w:r>
      <w:r w:rsidRPr="00E32006">
        <w:rPr>
          <w:lang w:val="en-US"/>
        </w:rPr>
        <w:t xml:space="preserve"> </w:t>
      </w:r>
      <w:proofErr w:type="spellStart"/>
      <w:r w:rsidRPr="00E32006">
        <w:rPr>
          <w:lang w:val="en-US"/>
        </w:rPr>
        <w:t>oyu</w:t>
      </w:r>
      <w:proofErr w:type="spellEnd"/>
      <w:r w:rsidRPr="00E32006">
        <w:rPr>
          <w:lang w:val="en-US"/>
        </w:rPr>
        <w:t xml:space="preserve"> </w:t>
      </w:r>
      <w:proofErr w:type="spellStart"/>
      <w:r w:rsidRPr="00E32006">
        <w:rPr>
          <w:lang w:val="en-US"/>
        </w:rPr>
        <w:t>sayesinde</w:t>
      </w:r>
      <w:proofErr w:type="spellEnd"/>
      <w:r w:rsidRPr="00E32006">
        <w:rPr>
          <w:lang w:val="en-US"/>
        </w:rPr>
        <w:t xml:space="preserve"> </w:t>
      </w:r>
      <w:proofErr w:type="spellStart"/>
      <w:r w:rsidRPr="00E32006">
        <w:rPr>
          <w:lang w:val="en-US"/>
        </w:rPr>
        <w:t>varıldığında</w:t>
      </w:r>
      <w:proofErr w:type="spellEnd"/>
      <w:r w:rsidRPr="00E32006">
        <w:rPr>
          <w:lang w:val="en-US"/>
        </w:rPr>
        <w:t>—</w:t>
      </w:r>
      <w:proofErr w:type="spellStart"/>
      <w:r w:rsidRPr="00E32006">
        <w:rPr>
          <w:lang w:val="en-US"/>
        </w:rPr>
        <w:t>sözde</w:t>
      </w:r>
      <w:proofErr w:type="spellEnd"/>
      <w:r w:rsidRPr="00E32006">
        <w:rPr>
          <w:lang w:val="en-US"/>
        </w:rPr>
        <w:t xml:space="preserve"> </w:t>
      </w:r>
      <w:proofErr w:type="spellStart"/>
      <w:r w:rsidRPr="00E32006">
        <w:rPr>
          <w:lang w:val="en-US"/>
        </w:rPr>
        <w:t>uzmanların</w:t>
      </w:r>
      <w:proofErr w:type="spellEnd"/>
      <w:r w:rsidRPr="00E32006">
        <w:rPr>
          <w:lang w:val="en-US"/>
        </w:rPr>
        <w:t xml:space="preserve"> </w:t>
      </w:r>
      <w:proofErr w:type="spellStart"/>
      <w:r w:rsidRPr="00E32006">
        <w:rPr>
          <w:lang w:val="en-US"/>
        </w:rPr>
        <w:t>çoğu</w:t>
      </w:r>
      <w:proofErr w:type="spellEnd"/>
      <w:r w:rsidRPr="00E32006">
        <w:rPr>
          <w:lang w:val="en-US"/>
        </w:rPr>
        <w:t xml:space="preserve"> </w:t>
      </w:r>
      <w:proofErr w:type="spellStart"/>
      <w:r w:rsidRPr="00E32006">
        <w:rPr>
          <w:lang w:val="en-US"/>
        </w:rPr>
        <w:t>büyük</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yanılgı</w:t>
      </w:r>
      <w:proofErr w:type="spellEnd"/>
      <w:r w:rsidRPr="00E32006">
        <w:rPr>
          <w:lang w:val="en-US"/>
        </w:rPr>
        <w:t xml:space="preserve"> </w:t>
      </w:r>
      <w:proofErr w:type="spellStart"/>
      <w:r w:rsidRPr="00E32006">
        <w:rPr>
          <w:lang w:val="en-US"/>
        </w:rPr>
        <w:t>içinde</w:t>
      </w:r>
      <w:proofErr w:type="spellEnd"/>
      <w:r w:rsidRPr="00E32006">
        <w:rPr>
          <w:lang w:val="en-US"/>
        </w:rPr>
        <w:t xml:space="preserve"> </w:t>
      </w:r>
      <w:proofErr w:type="spellStart"/>
      <w:r w:rsidRPr="00E32006">
        <w:rPr>
          <w:lang w:val="en-US"/>
        </w:rPr>
        <w:t>olduklarını</w:t>
      </w:r>
      <w:proofErr w:type="spellEnd"/>
      <w:r w:rsidRPr="00E32006">
        <w:rPr>
          <w:lang w:val="en-US"/>
        </w:rPr>
        <w:t xml:space="preserve"> </w:t>
      </w:r>
      <w:proofErr w:type="spellStart"/>
      <w:r w:rsidRPr="00E32006">
        <w:rPr>
          <w:lang w:val="en-US"/>
        </w:rPr>
        <w:t>kabul</w:t>
      </w:r>
      <w:proofErr w:type="spellEnd"/>
      <w:r w:rsidRPr="00E32006">
        <w:rPr>
          <w:lang w:val="en-US"/>
        </w:rPr>
        <w:t xml:space="preserve"> </w:t>
      </w:r>
      <w:proofErr w:type="spellStart"/>
      <w:r w:rsidRPr="00E32006">
        <w:rPr>
          <w:lang w:val="en-US"/>
        </w:rPr>
        <w:t>etmek</w:t>
      </w:r>
      <w:proofErr w:type="spellEnd"/>
      <w:r w:rsidRPr="00E32006">
        <w:rPr>
          <w:lang w:val="en-US"/>
        </w:rPr>
        <w:t xml:space="preserve"> </w:t>
      </w:r>
      <w:proofErr w:type="spellStart"/>
      <w:r w:rsidRPr="00E32006">
        <w:rPr>
          <w:lang w:val="en-US"/>
        </w:rPr>
        <w:t>zorunda</w:t>
      </w:r>
      <w:proofErr w:type="spellEnd"/>
      <w:r w:rsidRPr="00E32006">
        <w:rPr>
          <w:lang w:val="en-US"/>
        </w:rPr>
        <w:t xml:space="preserve"> </w:t>
      </w:r>
      <w:proofErr w:type="spellStart"/>
      <w:r w:rsidRPr="00E32006">
        <w:rPr>
          <w:lang w:val="en-US"/>
        </w:rPr>
        <w:t>kaldı</w:t>
      </w:r>
      <w:proofErr w:type="spellEnd"/>
      <w:r w:rsidRPr="00E32006">
        <w:rPr>
          <w:lang w:val="en-US"/>
        </w:rPr>
        <w:t>.</w:t>
      </w:r>
      <w:r w:rsidRPr="00E32006">
        <w:t xml:space="preserve"> [1100 - 1101]</w:t>
      </w:r>
    </w:p>
    <w:p w14:paraId="4E910EEF" w14:textId="57FD2A0E" w:rsidR="00E32006" w:rsidRDefault="00E32006" w:rsidP="00E32006">
      <w:pPr>
        <w:rPr>
          <w:lang w:val="en-US"/>
        </w:rPr>
      </w:pPr>
      <w:r w:rsidRPr="00E32006">
        <w:rPr>
          <w:lang w:val="en-US"/>
        </w:rPr>
        <w:t xml:space="preserve">Medya, </w:t>
      </w:r>
      <w:proofErr w:type="spellStart"/>
      <w:r w:rsidRPr="00E32006">
        <w:rPr>
          <w:lang w:val="en-US"/>
        </w:rPr>
        <w:t>akademi</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geniş</w:t>
      </w:r>
      <w:proofErr w:type="spellEnd"/>
      <w:r w:rsidRPr="00E32006">
        <w:rPr>
          <w:lang w:val="en-US"/>
        </w:rPr>
        <w:t xml:space="preserve"> </w:t>
      </w:r>
      <w:proofErr w:type="spellStart"/>
      <w:r w:rsidRPr="00E32006">
        <w:rPr>
          <w:lang w:val="en-US"/>
        </w:rPr>
        <w:t>siyasi</w:t>
      </w:r>
      <w:proofErr w:type="spellEnd"/>
      <w:r w:rsidRPr="00E32006">
        <w:rPr>
          <w:lang w:val="en-US"/>
        </w:rPr>
        <w:t xml:space="preserve"> </w:t>
      </w:r>
      <w:proofErr w:type="spellStart"/>
      <w:r w:rsidRPr="00E32006">
        <w:rPr>
          <w:lang w:val="en-US"/>
        </w:rPr>
        <w:t>çevrelerde</w:t>
      </w:r>
      <w:proofErr w:type="spellEnd"/>
      <w:r w:rsidRPr="00E32006">
        <w:rPr>
          <w:lang w:val="en-US"/>
        </w:rPr>
        <w:t xml:space="preserve">, </w:t>
      </w:r>
      <w:proofErr w:type="spellStart"/>
      <w:r w:rsidRPr="00E32006">
        <w:rPr>
          <w:lang w:val="en-US"/>
        </w:rPr>
        <w:t>Mahkeme’nin</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itirazı</w:t>
      </w:r>
      <w:proofErr w:type="spellEnd"/>
      <w:r w:rsidRPr="00E32006">
        <w:rPr>
          <w:lang w:val="en-US"/>
        </w:rPr>
        <w:t xml:space="preserve"> </w:t>
      </w:r>
      <w:proofErr w:type="spellStart"/>
      <w:r w:rsidRPr="00E32006">
        <w:rPr>
          <w:lang w:val="en-US"/>
        </w:rPr>
        <w:t>kabul</w:t>
      </w:r>
      <w:proofErr w:type="spellEnd"/>
      <w:r w:rsidRPr="00E32006">
        <w:rPr>
          <w:lang w:val="en-US"/>
        </w:rPr>
        <w:t xml:space="preserve"> </w:t>
      </w:r>
      <w:proofErr w:type="spellStart"/>
      <w:r w:rsidRPr="00E32006">
        <w:rPr>
          <w:lang w:val="en-US"/>
        </w:rPr>
        <w:t>edeceğini</w:t>
      </w:r>
      <w:proofErr w:type="spellEnd"/>
      <w:r w:rsidRPr="00E32006">
        <w:rPr>
          <w:lang w:val="en-US"/>
        </w:rPr>
        <w:t xml:space="preserve"> </w:t>
      </w:r>
      <w:proofErr w:type="spellStart"/>
      <w:r w:rsidRPr="00E32006">
        <w:rPr>
          <w:lang w:val="en-US"/>
        </w:rPr>
        <w:t>savunan</w:t>
      </w:r>
      <w:proofErr w:type="spellEnd"/>
      <w:r w:rsidRPr="00E32006">
        <w:rPr>
          <w:lang w:val="en-US"/>
        </w:rPr>
        <w:t xml:space="preserve"> </w:t>
      </w:r>
      <w:proofErr w:type="spellStart"/>
      <w:r w:rsidRPr="00E32006">
        <w:rPr>
          <w:lang w:val="en-US"/>
        </w:rPr>
        <w:t>veya</w:t>
      </w:r>
      <w:proofErr w:type="spellEnd"/>
      <w:r w:rsidRPr="00E32006">
        <w:rPr>
          <w:lang w:val="en-US"/>
        </w:rPr>
        <w:t xml:space="preserve"> </w:t>
      </w:r>
      <w:proofErr w:type="spellStart"/>
      <w:r w:rsidRPr="00E32006">
        <w:rPr>
          <w:lang w:val="en-US"/>
        </w:rPr>
        <w:t>öngörenler</w:t>
      </w:r>
      <w:proofErr w:type="spellEnd"/>
      <w:r w:rsidRPr="00E32006">
        <w:rPr>
          <w:lang w:val="en-US"/>
        </w:rPr>
        <w:t xml:space="preserve">, </w:t>
      </w:r>
      <w:proofErr w:type="spellStart"/>
      <w:r w:rsidRPr="00E32006">
        <w:rPr>
          <w:lang w:val="en-US"/>
        </w:rPr>
        <w:t>haklı</w:t>
      </w:r>
      <w:proofErr w:type="spellEnd"/>
      <w:r w:rsidRPr="00E32006">
        <w:rPr>
          <w:lang w:val="en-US"/>
        </w:rPr>
        <w:t xml:space="preserve"> </w:t>
      </w:r>
      <w:proofErr w:type="spellStart"/>
      <w:r w:rsidRPr="00E32006">
        <w:rPr>
          <w:lang w:val="en-US"/>
        </w:rPr>
        <w:t>olarak</w:t>
      </w:r>
      <w:proofErr w:type="spellEnd"/>
      <w:r w:rsidRPr="00E32006">
        <w:rPr>
          <w:lang w:val="en-US"/>
        </w:rPr>
        <w:t xml:space="preserve"> </w:t>
      </w:r>
      <w:proofErr w:type="spellStart"/>
      <w:r w:rsidRPr="00E32006">
        <w:rPr>
          <w:lang w:val="en-US"/>
        </w:rPr>
        <w:t>sözde</w:t>
      </w:r>
      <w:proofErr w:type="spellEnd"/>
      <w:r w:rsidRPr="00E32006">
        <w:rPr>
          <w:lang w:val="en-US"/>
        </w:rPr>
        <w:t xml:space="preserve"> </w:t>
      </w:r>
      <w:proofErr w:type="spellStart"/>
      <w:r w:rsidRPr="00E32006">
        <w:rPr>
          <w:lang w:val="en-US"/>
        </w:rPr>
        <w:t>uzmanlık</w:t>
      </w:r>
      <w:proofErr w:type="spellEnd"/>
      <w:r w:rsidRPr="00E32006">
        <w:rPr>
          <w:lang w:val="en-US"/>
        </w:rPr>
        <w:t xml:space="preserve"> </w:t>
      </w:r>
      <w:proofErr w:type="spellStart"/>
      <w:r w:rsidRPr="00E32006">
        <w:rPr>
          <w:lang w:val="en-US"/>
        </w:rPr>
        <w:t>alanımızdaki</w:t>
      </w:r>
      <w:proofErr w:type="spellEnd"/>
      <w:r w:rsidRPr="00E32006">
        <w:rPr>
          <w:lang w:val="en-US"/>
        </w:rPr>
        <w:t xml:space="preserve"> </w:t>
      </w:r>
      <w:proofErr w:type="spellStart"/>
      <w:r w:rsidRPr="00E32006">
        <w:rPr>
          <w:lang w:val="en-US"/>
        </w:rPr>
        <w:t>başarısızlığımızdan</w:t>
      </w:r>
      <w:proofErr w:type="spellEnd"/>
      <w:r w:rsidRPr="00E32006">
        <w:rPr>
          <w:lang w:val="en-US"/>
        </w:rPr>
        <w:t xml:space="preserve"> </w:t>
      </w:r>
      <w:proofErr w:type="spellStart"/>
      <w:r w:rsidRPr="00E32006">
        <w:rPr>
          <w:lang w:val="en-US"/>
        </w:rPr>
        <w:t>dolayı</w:t>
      </w:r>
      <w:proofErr w:type="spellEnd"/>
      <w:r w:rsidRPr="00E32006">
        <w:rPr>
          <w:lang w:val="en-US"/>
        </w:rPr>
        <w:t xml:space="preserve"> </w:t>
      </w:r>
      <w:proofErr w:type="spellStart"/>
      <w:r w:rsidRPr="00E32006">
        <w:rPr>
          <w:lang w:val="en-US"/>
        </w:rPr>
        <w:t>bizleri</w:t>
      </w:r>
      <w:proofErr w:type="spellEnd"/>
      <w:r w:rsidRPr="00E32006">
        <w:rPr>
          <w:lang w:val="en-US"/>
        </w:rPr>
        <w:t xml:space="preserve"> </w:t>
      </w:r>
      <w:proofErr w:type="spellStart"/>
      <w:r w:rsidRPr="00E32006">
        <w:rPr>
          <w:lang w:val="en-US"/>
        </w:rPr>
        <w:t>hesap</w:t>
      </w:r>
      <w:proofErr w:type="spellEnd"/>
      <w:r w:rsidRPr="00E32006">
        <w:rPr>
          <w:lang w:val="en-US"/>
        </w:rPr>
        <w:t xml:space="preserve"> </w:t>
      </w:r>
      <w:proofErr w:type="spellStart"/>
      <w:r w:rsidRPr="00E32006">
        <w:rPr>
          <w:lang w:val="en-US"/>
        </w:rPr>
        <w:t>vermeye</w:t>
      </w:r>
      <w:proofErr w:type="spellEnd"/>
      <w:r w:rsidRPr="00E32006">
        <w:rPr>
          <w:lang w:val="en-US"/>
        </w:rPr>
        <w:t xml:space="preserve"> </w:t>
      </w:r>
      <w:proofErr w:type="spellStart"/>
      <w:r w:rsidRPr="00E32006">
        <w:rPr>
          <w:lang w:val="en-US"/>
        </w:rPr>
        <w:t>çağırdılar</w:t>
      </w:r>
      <w:proofErr w:type="spellEnd"/>
      <w:r w:rsidRPr="00E32006">
        <w:rPr>
          <w:lang w:val="en-US"/>
        </w:rPr>
        <w:t xml:space="preserve">. </w:t>
      </w:r>
      <w:proofErr w:type="spellStart"/>
      <w:r w:rsidRPr="00E32006">
        <w:rPr>
          <w:lang w:val="en-US"/>
        </w:rPr>
        <w:t>Eleştirilerinin</w:t>
      </w:r>
      <w:proofErr w:type="spellEnd"/>
      <w:r w:rsidRPr="00E32006">
        <w:rPr>
          <w:lang w:val="en-US"/>
        </w:rPr>
        <w:t xml:space="preserve"> </w:t>
      </w:r>
      <w:proofErr w:type="spellStart"/>
      <w:r w:rsidRPr="00E32006">
        <w:rPr>
          <w:lang w:val="en-US"/>
        </w:rPr>
        <w:t>merkezinde</w:t>
      </w:r>
      <w:proofErr w:type="spellEnd"/>
      <w:r w:rsidRPr="00E32006">
        <w:rPr>
          <w:lang w:val="en-US"/>
        </w:rPr>
        <w:t xml:space="preserve">, liberal </w:t>
      </w:r>
      <w:proofErr w:type="spellStart"/>
      <w:r w:rsidRPr="00E32006">
        <w:rPr>
          <w:lang w:val="en-US"/>
        </w:rPr>
        <w:t>eğilimli</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hukuku</w:t>
      </w:r>
      <w:proofErr w:type="spellEnd"/>
      <w:r w:rsidRPr="00E32006">
        <w:rPr>
          <w:lang w:val="en-US"/>
        </w:rPr>
        <w:t xml:space="preserve"> </w:t>
      </w:r>
      <w:proofErr w:type="spellStart"/>
      <w:r w:rsidRPr="00E32006">
        <w:rPr>
          <w:lang w:val="en-US"/>
        </w:rPr>
        <w:t>profesörlerinin</w:t>
      </w:r>
      <w:proofErr w:type="spellEnd"/>
      <w:r w:rsidRPr="00E32006">
        <w:rPr>
          <w:lang w:val="en-US"/>
        </w:rPr>
        <w:t xml:space="preserve"> </w:t>
      </w:r>
      <w:proofErr w:type="spellStart"/>
      <w:r w:rsidRPr="00E32006">
        <w:rPr>
          <w:lang w:val="en-US"/>
        </w:rPr>
        <w:t>ya</w:t>
      </w:r>
      <w:proofErr w:type="spellEnd"/>
      <w:r w:rsidRPr="00E32006">
        <w:rPr>
          <w:lang w:val="en-US"/>
        </w:rPr>
        <w:t xml:space="preserve"> </w:t>
      </w:r>
      <w:proofErr w:type="spellStart"/>
      <w:r w:rsidRPr="00E32006">
        <w:rPr>
          <w:lang w:val="en-US"/>
        </w:rPr>
        <w:t>kasıtlı</w:t>
      </w:r>
      <w:proofErr w:type="spellEnd"/>
      <w:r w:rsidRPr="00E32006">
        <w:rPr>
          <w:lang w:val="en-US"/>
        </w:rPr>
        <w:t xml:space="preserve"> </w:t>
      </w:r>
      <w:proofErr w:type="spellStart"/>
      <w:r w:rsidRPr="00E32006">
        <w:rPr>
          <w:lang w:val="en-US"/>
        </w:rPr>
        <w:t>olarak</w:t>
      </w:r>
      <w:proofErr w:type="spellEnd"/>
      <w:r w:rsidRPr="00E32006">
        <w:rPr>
          <w:lang w:val="en-US"/>
        </w:rPr>
        <w:t xml:space="preserve"> </w:t>
      </w:r>
      <w:proofErr w:type="spellStart"/>
      <w:r w:rsidRPr="00E32006">
        <w:rPr>
          <w:lang w:val="en-US"/>
        </w:rPr>
        <w:t>mevcut</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hukukunu</w:t>
      </w:r>
      <w:proofErr w:type="spellEnd"/>
      <w:r w:rsidRPr="00E32006">
        <w:rPr>
          <w:lang w:val="en-US"/>
        </w:rPr>
        <w:t xml:space="preserve"> </w:t>
      </w:r>
      <w:proofErr w:type="spellStart"/>
      <w:r w:rsidRPr="00E32006">
        <w:rPr>
          <w:lang w:val="en-US"/>
        </w:rPr>
        <w:t>çarpıttıkları</w:t>
      </w:r>
      <w:proofErr w:type="spellEnd"/>
      <w:r w:rsidRPr="00E32006">
        <w:rPr>
          <w:lang w:val="en-US"/>
        </w:rPr>
        <w:t xml:space="preserve"> (</w:t>
      </w:r>
      <w:proofErr w:type="spellStart"/>
      <w:r w:rsidRPr="00E32006">
        <w:rPr>
          <w:lang w:val="en-US"/>
        </w:rPr>
        <w:t>Kongre’nin</w:t>
      </w:r>
      <w:proofErr w:type="spellEnd"/>
      <w:r w:rsidRPr="00E32006">
        <w:rPr>
          <w:lang w:val="en-US"/>
        </w:rPr>
        <w:t xml:space="preserve"> </w:t>
      </w:r>
      <w:proofErr w:type="spellStart"/>
      <w:r w:rsidRPr="00E32006">
        <w:rPr>
          <w:lang w:val="en-US"/>
        </w:rPr>
        <w:t>yetki</w:t>
      </w:r>
      <w:proofErr w:type="spellEnd"/>
      <w:r w:rsidRPr="00E32006">
        <w:rPr>
          <w:lang w:val="en-US"/>
        </w:rPr>
        <w:t xml:space="preserve"> </w:t>
      </w:r>
      <w:proofErr w:type="spellStart"/>
      <w:r w:rsidRPr="00E32006">
        <w:rPr>
          <w:lang w:val="en-US"/>
        </w:rPr>
        <w:t>iddialarını</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sıkı</w:t>
      </w:r>
      <w:proofErr w:type="spellEnd"/>
      <w:r w:rsidRPr="00E32006">
        <w:rPr>
          <w:lang w:val="en-US"/>
        </w:rPr>
        <w:t xml:space="preserve"> </w:t>
      </w:r>
      <w:proofErr w:type="spellStart"/>
      <w:r w:rsidRPr="00E32006">
        <w:rPr>
          <w:lang w:val="en-US"/>
        </w:rPr>
        <w:t>denetleyen</w:t>
      </w:r>
      <w:proofErr w:type="spellEnd"/>
      <w:r w:rsidRPr="00E32006">
        <w:rPr>
          <w:lang w:val="en-US"/>
        </w:rPr>
        <w:t xml:space="preserve"> son </w:t>
      </w:r>
      <w:proofErr w:type="spellStart"/>
      <w:r w:rsidRPr="00E32006">
        <w:rPr>
          <w:lang w:val="en-US"/>
        </w:rPr>
        <w:t>kararları</w:t>
      </w:r>
      <w:proofErr w:type="spellEnd"/>
      <w:r w:rsidRPr="00E32006">
        <w:rPr>
          <w:lang w:val="en-US"/>
        </w:rPr>
        <w:t xml:space="preserve"> </w:t>
      </w:r>
      <w:proofErr w:type="spellStart"/>
      <w:r w:rsidRPr="00E32006">
        <w:rPr>
          <w:lang w:val="en-US"/>
        </w:rPr>
        <w:t>yeterince</w:t>
      </w:r>
      <w:proofErr w:type="spellEnd"/>
      <w:r w:rsidRPr="00E32006">
        <w:rPr>
          <w:lang w:val="en-US"/>
        </w:rPr>
        <w:t xml:space="preserve"> </w:t>
      </w:r>
      <w:proofErr w:type="spellStart"/>
      <w:r w:rsidRPr="00E32006">
        <w:rPr>
          <w:lang w:val="en-US"/>
        </w:rPr>
        <w:t>dikkate</w:t>
      </w:r>
      <w:proofErr w:type="spellEnd"/>
      <w:r w:rsidRPr="00E32006">
        <w:rPr>
          <w:lang w:val="en-US"/>
        </w:rPr>
        <w:t xml:space="preserve"> </w:t>
      </w:r>
      <w:proofErr w:type="spellStart"/>
      <w:r w:rsidRPr="00E32006">
        <w:rPr>
          <w:lang w:val="en-US"/>
        </w:rPr>
        <w:t>almadıkları</w:t>
      </w:r>
      <w:proofErr w:type="spellEnd"/>
      <w:r w:rsidRPr="00E32006">
        <w:rPr>
          <w:lang w:val="en-US"/>
        </w:rPr>
        <w:t xml:space="preserve">) </w:t>
      </w:r>
      <w:proofErr w:type="spellStart"/>
      <w:r w:rsidRPr="00E32006">
        <w:rPr>
          <w:lang w:val="en-US"/>
        </w:rPr>
        <w:t>ya</w:t>
      </w:r>
      <w:proofErr w:type="spellEnd"/>
      <w:r w:rsidRPr="00E32006">
        <w:rPr>
          <w:lang w:val="en-US"/>
        </w:rPr>
        <w:t xml:space="preserve"> da </w:t>
      </w:r>
      <w:proofErr w:type="spellStart"/>
      <w:r w:rsidRPr="00E32006">
        <w:rPr>
          <w:lang w:val="en-US"/>
        </w:rPr>
        <w:t>bilinçsizce</w:t>
      </w:r>
      <w:proofErr w:type="spellEnd"/>
      <w:r w:rsidRPr="00E32006">
        <w:rPr>
          <w:lang w:val="en-US"/>
        </w:rPr>
        <w:t xml:space="preserve"> </w:t>
      </w:r>
      <w:proofErr w:type="spellStart"/>
      <w:r w:rsidRPr="00E32006">
        <w:rPr>
          <w:lang w:val="en-US"/>
        </w:rPr>
        <w:t>kendi</w:t>
      </w:r>
      <w:proofErr w:type="spellEnd"/>
      <w:r w:rsidRPr="00E32006">
        <w:rPr>
          <w:lang w:val="en-US"/>
        </w:rPr>
        <w:t xml:space="preserve"> </w:t>
      </w:r>
      <w:proofErr w:type="spellStart"/>
      <w:r w:rsidRPr="00E32006">
        <w:rPr>
          <w:lang w:val="en-US"/>
        </w:rPr>
        <w:t>anayasal</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siyasi</w:t>
      </w:r>
      <w:proofErr w:type="spellEnd"/>
      <w:r w:rsidRPr="00E32006">
        <w:rPr>
          <w:lang w:val="en-US"/>
        </w:rPr>
        <w:t xml:space="preserve"> </w:t>
      </w:r>
      <w:proofErr w:type="spellStart"/>
      <w:r w:rsidRPr="00E32006">
        <w:rPr>
          <w:lang w:val="en-US"/>
        </w:rPr>
        <w:t>görüşlerini</w:t>
      </w:r>
      <w:proofErr w:type="spellEnd"/>
      <w:r w:rsidRPr="00E32006">
        <w:rPr>
          <w:lang w:val="en-US"/>
        </w:rPr>
        <w:t xml:space="preserve"> </w:t>
      </w:r>
      <w:proofErr w:type="spellStart"/>
      <w:r w:rsidRPr="00E32006">
        <w:rPr>
          <w:lang w:val="en-US"/>
        </w:rPr>
        <w:t>Mahkeme’nin</w:t>
      </w:r>
      <w:proofErr w:type="spellEnd"/>
      <w:r w:rsidRPr="00E32006">
        <w:rPr>
          <w:lang w:val="en-US"/>
        </w:rPr>
        <w:t xml:space="preserve"> </w:t>
      </w:r>
      <w:proofErr w:type="spellStart"/>
      <w:r w:rsidRPr="00E32006">
        <w:rPr>
          <w:lang w:val="en-US"/>
        </w:rPr>
        <w:t>görüşleriyle</w:t>
      </w:r>
      <w:proofErr w:type="spellEnd"/>
      <w:r w:rsidRPr="00E32006">
        <w:rPr>
          <w:lang w:val="en-US"/>
        </w:rPr>
        <w:t xml:space="preserve"> </w:t>
      </w:r>
      <w:proofErr w:type="spellStart"/>
      <w:r w:rsidRPr="00E32006">
        <w:rPr>
          <w:lang w:val="en-US"/>
        </w:rPr>
        <w:t>karıştırdıkları</w:t>
      </w:r>
      <w:proofErr w:type="spellEnd"/>
      <w:r w:rsidRPr="00E32006">
        <w:rPr>
          <w:lang w:val="en-US"/>
        </w:rPr>
        <w:t xml:space="preserve"> </w:t>
      </w:r>
      <w:proofErr w:type="spellStart"/>
      <w:r w:rsidRPr="00E32006">
        <w:rPr>
          <w:lang w:val="en-US"/>
        </w:rPr>
        <w:t>iddiası</w:t>
      </w:r>
      <w:proofErr w:type="spellEnd"/>
      <w:r w:rsidRPr="00E32006">
        <w:rPr>
          <w:lang w:val="en-US"/>
        </w:rPr>
        <w:t xml:space="preserve"> </w:t>
      </w:r>
      <w:proofErr w:type="spellStart"/>
      <w:r w:rsidRPr="00E32006">
        <w:rPr>
          <w:lang w:val="en-US"/>
        </w:rPr>
        <w:t>yer</w:t>
      </w:r>
      <w:proofErr w:type="spellEnd"/>
      <w:r w:rsidRPr="00E32006">
        <w:rPr>
          <w:lang w:val="en-US"/>
        </w:rPr>
        <w:t xml:space="preserve"> almaktaydı.¹³²</w:t>
      </w:r>
      <w:r>
        <w:rPr>
          <w:lang w:val="en-US"/>
        </w:rPr>
        <w:t xml:space="preserve"> </w:t>
      </w:r>
      <w:r>
        <w:rPr>
          <w:rStyle w:val="FootnoteReference"/>
          <w:lang w:val="en-US"/>
        </w:rPr>
        <w:footnoteReference w:id="132"/>
      </w:r>
    </w:p>
    <w:p w14:paraId="5D7B60AC" w14:textId="2CF63FFA" w:rsidR="00E32006" w:rsidRDefault="00E32006" w:rsidP="00E32006">
      <w:pPr>
        <w:rPr>
          <w:lang w:val="en-US"/>
        </w:rPr>
      </w:pPr>
      <w:proofErr w:type="spellStart"/>
      <w:r w:rsidRPr="00E32006">
        <w:rPr>
          <w:lang w:val="en-US"/>
        </w:rPr>
        <w:t>Bununla</w:t>
      </w:r>
      <w:proofErr w:type="spellEnd"/>
      <w:r w:rsidRPr="00E32006">
        <w:rPr>
          <w:lang w:val="en-US"/>
        </w:rPr>
        <w:t xml:space="preserve"> </w:t>
      </w:r>
      <w:proofErr w:type="spellStart"/>
      <w:r w:rsidRPr="00E32006">
        <w:rPr>
          <w:lang w:val="en-US"/>
        </w:rPr>
        <w:t>birlikte</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makalenin</w:t>
      </w:r>
      <w:proofErr w:type="spellEnd"/>
      <w:r w:rsidRPr="00E32006">
        <w:rPr>
          <w:lang w:val="en-US"/>
        </w:rPr>
        <w:t xml:space="preserve"> </w:t>
      </w:r>
      <w:proofErr w:type="spellStart"/>
      <w:r w:rsidRPr="00E32006">
        <w:rPr>
          <w:lang w:val="en-US"/>
        </w:rPr>
        <w:t>metodolojisi</w:t>
      </w:r>
      <w:proofErr w:type="spellEnd"/>
      <w:r w:rsidRPr="00E32006">
        <w:rPr>
          <w:lang w:val="en-US"/>
        </w:rPr>
        <w:t xml:space="preserve"> </w:t>
      </w:r>
      <w:proofErr w:type="spellStart"/>
      <w:r w:rsidRPr="00E32006">
        <w:rPr>
          <w:lang w:val="en-US"/>
        </w:rPr>
        <w:t>farklı</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yorum</w:t>
      </w:r>
      <w:proofErr w:type="spellEnd"/>
      <w:r w:rsidRPr="00E32006">
        <w:rPr>
          <w:lang w:val="en-US"/>
        </w:rPr>
        <w:t xml:space="preserve"> </w:t>
      </w:r>
      <w:proofErr w:type="spellStart"/>
      <w:r w:rsidRPr="00E32006">
        <w:rPr>
          <w:lang w:val="en-US"/>
        </w:rPr>
        <w:t>önermektedir</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hukuku</w:t>
      </w:r>
      <w:proofErr w:type="spellEnd"/>
      <w:r w:rsidRPr="00E32006">
        <w:rPr>
          <w:lang w:val="en-US"/>
        </w:rPr>
        <w:t xml:space="preserve"> </w:t>
      </w:r>
      <w:proofErr w:type="spellStart"/>
      <w:r w:rsidRPr="00E32006">
        <w:rPr>
          <w:lang w:val="en-US"/>
        </w:rPr>
        <w:t>akademisi</w:t>
      </w:r>
      <w:proofErr w:type="spellEnd"/>
      <w:r w:rsidRPr="00E32006">
        <w:rPr>
          <w:lang w:val="en-US"/>
        </w:rPr>
        <w:t xml:space="preserve">, </w:t>
      </w:r>
      <w:proofErr w:type="spellStart"/>
      <w:r w:rsidRPr="00E32006">
        <w:rPr>
          <w:lang w:val="en-US"/>
        </w:rPr>
        <w:t>mevcut</w:t>
      </w:r>
      <w:proofErr w:type="spellEnd"/>
      <w:r w:rsidRPr="00E32006">
        <w:rPr>
          <w:lang w:val="en-US"/>
        </w:rPr>
        <w:t xml:space="preserve"> </w:t>
      </w:r>
      <w:proofErr w:type="spellStart"/>
      <w:r w:rsidRPr="00E32006">
        <w:rPr>
          <w:lang w:val="en-US"/>
        </w:rPr>
        <w:t>anayasa</w:t>
      </w:r>
      <w:proofErr w:type="spellEnd"/>
      <w:r w:rsidRPr="00E32006">
        <w:rPr>
          <w:lang w:val="en-US"/>
        </w:rPr>
        <w:t xml:space="preserve"> </w:t>
      </w:r>
      <w:proofErr w:type="spellStart"/>
      <w:r w:rsidRPr="00E32006">
        <w:rPr>
          <w:lang w:val="en-US"/>
        </w:rPr>
        <w:t>hukukunu</w:t>
      </w:r>
      <w:proofErr w:type="spellEnd"/>
      <w:r w:rsidRPr="00E32006">
        <w:rPr>
          <w:lang w:val="en-US"/>
        </w:rPr>
        <w:t xml:space="preserve"> </w:t>
      </w:r>
      <w:proofErr w:type="spellStart"/>
      <w:r w:rsidRPr="00E32006">
        <w:rPr>
          <w:lang w:val="en-US"/>
        </w:rPr>
        <w:t>yanlış</w:t>
      </w:r>
      <w:proofErr w:type="spellEnd"/>
      <w:r w:rsidRPr="00E32006">
        <w:rPr>
          <w:lang w:val="en-US"/>
        </w:rPr>
        <w:t xml:space="preserve"> </w:t>
      </w:r>
      <w:proofErr w:type="spellStart"/>
      <w:r w:rsidRPr="00E32006">
        <w:rPr>
          <w:lang w:val="en-US"/>
        </w:rPr>
        <w:t>okumaktan</w:t>
      </w:r>
      <w:proofErr w:type="spellEnd"/>
      <w:r w:rsidRPr="00E32006">
        <w:rPr>
          <w:lang w:val="en-US"/>
        </w:rPr>
        <w:t xml:space="preserve"> </w:t>
      </w:r>
      <w:proofErr w:type="spellStart"/>
      <w:r w:rsidRPr="00E32006">
        <w:rPr>
          <w:lang w:val="en-US"/>
        </w:rPr>
        <w:t>ziyade</w:t>
      </w:r>
      <w:proofErr w:type="spellEnd"/>
      <w:r w:rsidRPr="00E32006">
        <w:rPr>
          <w:lang w:val="en-US"/>
        </w:rPr>
        <w:t xml:space="preserve">, </w:t>
      </w:r>
      <w:proofErr w:type="spellStart"/>
      <w:r w:rsidRPr="00E32006">
        <w:rPr>
          <w:lang w:val="en-US"/>
        </w:rPr>
        <w:t>evrilen</w:t>
      </w:r>
      <w:proofErr w:type="spellEnd"/>
      <w:r w:rsidRPr="00E32006">
        <w:rPr>
          <w:lang w:val="en-US"/>
        </w:rPr>
        <w:t xml:space="preserve"> </w:t>
      </w:r>
      <w:proofErr w:type="spellStart"/>
      <w:r w:rsidRPr="00E32006">
        <w:rPr>
          <w:lang w:val="en-US"/>
        </w:rPr>
        <w:t>anayasal</w:t>
      </w:r>
      <w:proofErr w:type="spellEnd"/>
      <w:r w:rsidRPr="00E32006">
        <w:rPr>
          <w:lang w:val="en-US"/>
        </w:rPr>
        <w:t xml:space="preserve"> </w:t>
      </w:r>
      <w:proofErr w:type="spellStart"/>
      <w:r w:rsidRPr="00E32006">
        <w:rPr>
          <w:lang w:val="en-US"/>
        </w:rPr>
        <w:t>kültürümüzü</w:t>
      </w:r>
      <w:proofErr w:type="spellEnd"/>
      <w:r w:rsidRPr="00E32006">
        <w:rPr>
          <w:lang w:val="en-US"/>
        </w:rPr>
        <w:t xml:space="preserve"> </w:t>
      </w:r>
      <w:proofErr w:type="spellStart"/>
      <w:r w:rsidRPr="00E32006">
        <w:rPr>
          <w:lang w:val="en-US"/>
        </w:rPr>
        <w:t>yanlış</w:t>
      </w:r>
      <w:proofErr w:type="spellEnd"/>
      <w:r w:rsidRPr="00E32006">
        <w:rPr>
          <w:lang w:val="en-US"/>
        </w:rPr>
        <w:t xml:space="preserve"> </w:t>
      </w:r>
      <w:proofErr w:type="spellStart"/>
      <w:r w:rsidRPr="00E32006">
        <w:rPr>
          <w:lang w:val="en-US"/>
        </w:rPr>
        <w:t>okumuştur</w:t>
      </w:r>
      <w:proofErr w:type="spellEnd"/>
      <w:r w:rsidRPr="00E32006">
        <w:rPr>
          <w:lang w:val="en-US"/>
        </w:rPr>
        <w:t>.</w:t>
      </w:r>
      <w:r>
        <w:rPr>
          <w:lang w:val="en-US"/>
        </w:rPr>
        <w:t xml:space="preserve"> </w:t>
      </w:r>
      <w:proofErr w:type="spellStart"/>
      <w:r w:rsidRPr="00E32006">
        <w:rPr>
          <w:lang w:val="en-US"/>
        </w:rPr>
        <w:t>Anayasal</w:t>
      </w:r>
      <w:proofErr w:type="spellEnd"/>
      <w:r w:rsidRPr="00E32006">
        <w:rPr>
          <w:lang w:val="en-US"/>
        </w:rPr>
        <w:t xml:space="preserve"> </w:t>
      </w:r>
      <w:proofErr w:type="spellStart"/>
      <w:r w:rsidRPr="00E32006">
        <w:rPr>
          <w:lang w:val="en-US"/>
        </w:rPr>
        <w:t>karar</w:t>
      </w:r>
      <w:proofErr w:type="spellEnd"/>
      <w:r w:rsidRPr="00E32006">
        <w:rPr>
          <w:lang w:val="en-US"/>
        </w:rPr>
        <w:t xml:space="preserve"> alma </w:t>
      </w:r>
      <w:proofErr w:type="spellStart"/>
      <w:r w:rsidRPr="00E32006">
        <w:rPr>
          <w:lang w:val="en-US"/>
        </w:rPr>
        <w:t>süreçlerimizi</w:t>
      </w:r>
      <w:proofErr w:type="spellEnd"/>
      <w:r w:rsidRPr="00E32006">
        <w:rPr>
          <w:lang w:val="en-US"/>
        </w:rPr>
        <w:t xml:space="preserve"> </w:t>
      </w:r>
      <w:proofErr w:type="spellStart"/>
      <w:r w:rsidRPr="00E32006">
        <w:rPr>
          <w:lang w:val="en-US"/>
        </w:rPr>
        <w:t>yöneten</w:t>
      </w:r>
      <w:proofErr w:type="spellEnd"/>
      <w:r w:rsidRPr="00E32006">
        <w:rPr>
          <w:lang w:val="en-US"/>
        </w:rPr>
        <w:t xml:space="preserve"> </w:t>
      </w:r>
      <w:proofErr w:type="spellStart"/>
      <w:r w:rsidRPr="00E32006">
        <w:rPr>
          <w:lang w:val="en-US"/>
        </w:rPr>
        <w:t>kurumlar</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normlar</w:t>
      </w:r>
      <w:proofErr w:type="spellEnd"/>
      <w:r w:rsidRPr="00E32006">
        <w:rPr>
          <w:lang w:val="en-US"/>
        </w:rPr>
        <w:t xml:space="preserve"> </w:t>
      </w:r>
      <w:proofErr w:type="spellStart"/>
      <w:r w:rsidRPr="00E32006">
        <w:rPr>
          <w:lang w:val="en-US"/>
        </w:rPr>
        <w:t>bağlamında</w:t>
      </w:r>
      <w:proofErr w:type="spellEnd"/>
      <w:r w:rsidRPr="00E32006">
        <w:rPr>
          <w:lang w:val="en-US"/>
        </w:rPr>
        <w:t xml:space="preserve"> </w:t>
      </w:r>
      <w:proofErr w:type="spellStart"/>
      <w:r w:rsidRPr="00E32006">
        <w:rPr>
          <w:lang w:val="en-US"/>
        </w:rPr>
        <w:t>birkaç</w:t>
      </w:r>
      <w:proofErr w:type="spellEnd"/>
      <w:r w:rsidRPr="00E32006">
        <w:rPr>
          <w:lang w:val="en-US"/>
        </w:rPr>
        <w:t xml:space="preserve"> </w:t>
      </w:r>
      <w:proofErr w:type="spellStart"/>
      <w:r w:rsidRPr="00E32006">
        <w:rPr>
          <w:lang w:val="en-US"/>
        </w:rPr>
        <w:lastRenderedPageBreak/>
        <w:t>önemli</w:t>
      </w:r>
      <w:proofErr w:type="spellEnd"/>
      <w:r w:rsidRPr="00E32006">
        <w:rPr>
          <w:lang w:val="en-US"/>
        </w:rPr>
        <w:t xml:space="preserve"> </w:t>
      </w:r>
      <w:proofErr w:type="spellStart"/>
      <w:r w:rsidRPr="00E32006">
        <w:rPr>
          <w:lang w:val="en-US"/>
        </w:rPr>
        <w:t>eğilim</w:t>
      </w:r>
      <w:proofErr w:type="spellEnd"/>
      <w:r w:rsidRPr="00E32006">
        <w:rPr>
          <w:lang w:val="en-US"/>
        </w:rPr>
        <w:t xml:space="preserve">—modern </w:t>
      </w:r>
      <w:proofErr w:type="spellStart"/>
      <w:r w:rsidRPr="00E32006">
        <w:rPr>
          <w:lang w:val="en-US"/>
        </w:rPr>
        <w:t>anayasa</w:t>
      </w:r>
      <w:proofErr w:type="spellEnd"/>
      <w:r w:rsidRPr="00E32006">
        <w:rPr>
          <w:lang w:val="en-US"/>
        </w:rPr>
        <w:t xml:space="preserve"> </w:t>
      </w:r>
      <w:proofErr w:type="spellStart"/>
      <w:r w:rsidRPr="00E32006">
        <w:rPr>
          <w:lang w:val="en-US"/>
        </w:rPr>
        <w:t>teorisi</w:t>
      </w:r>
      <w:proofErr w:type="spellEnd"/>
      <w:r w:rsidRPr="00E32006">
        <w:rPr>
          <w:lang w:val="en-US"/>
        </w:rPr>
        <w:t xml:space="preserve"> </w:t>
      </w:r>
      <w:proofErr w:type="spellStart"/>
      <w:r w:rsidRPr="00E32006">
        <w:rPr>
          <w:lang w:val="en-US"/>
        </w:rPr>
        <w:t>tarafından</w:t>
      </w:r>
      <w:proofErr w:type="spellEnd"/>
      <w:r w:rsidRPr="00E32006">
        <w:rPr>
          <w:lang w:val="en-US"/>
        </w:rPr>
        <w:t xml:space="preserve"> </w:t>
      </w:r>
      <w:proofErr w:type="spellStart"/>
      <w:r w:rsidRPr="00E32006">
        <w:rPr>
          <w:lang w:val="en-US"/>
        </w:rPr>
        <w:t>kabul</w:t>
      </w:r>
      <w:proofErr w:type="spellEnd"/>
      <w:r w:rsidRPr="00E32006">
        <w:rPr>
          <w:lang w:val="en-US"/>
        </w:rPr>
        <w:t xml:space="preserve"> </w:t>
      </w:r>
      <w:proofErr w:type="spellStart"/>
      <w:r w:rsidRPr="00E32006">
        <w:rPr>
          <w:lang w:val="en-US"/>
        </w:rPr>
        <w:t>edilmek</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yana</w:t>
      </w:r>
      <w:proofErr w:type="spellEnd"/>
      <w:r w:rsidRPr="00E32006">
        <w:rPr>
          <w:lang w:val="en-US"/>
        </w:rPr>
        <w:t xml:space="preserve">, </w:t>
      </w:r>
      <w:proofErr w:type="spellStart"/>
      <w:r w:rsidRPr="00E32006">
        <w:rPr>
          <w:lang w:val="en-US"/>
        </w:rPr>
        <w:t>neredeyse</w:t>
      </w:r>
      <w:proofErr w:type="spellEnd"/>
      <w:r w:rsidRPr="00E32006">
        <w:rPr>
          <w:lang w:val="en-US"/>
        </w:rPr>
        <w:t xml:space="preserve"> </w:t>
      </w:r>
      <w:proofErr w:type="spellStart"/>
      <w:r w:rsidRPr="00E32006">
        <w:rPr>
          <w:lang w:val="en-US"/>
        </w:rPr>
        <w:t>hiç</w:t>
      </w:r>
      <w:proofErr w:type="spellEnd"/>
      <w:r w:rsidRPr="00E32006">
        <w:rPr>
          <w:lang w:val="en-US"/>
        </w:rPr>
        <w:t xml:space="preserve"> </w:t>
      </w:r>
      <w:proofErr w:type="spellStart"/>
      <w:r w:rsidRPr="00E32006">
        <w:rPr>
          <w:lang w:val="en-US"/>
        </w:rPr>
        <w:t>dikkate</w:t>
      </w:r>
      <w:proofErr w:type="spellEnd"/>
      <w:r w:rsidRPr="00E32006">
        <w:rPr>
          <w:lang w:val="en-US"/>
        </w:rPr>
        <w:t xml:space="preserve"> </w:t>
      </w:r>
      <w:proofErr w:type="spellStart"/>
      <w:r w:rsidRPr="00E32006">
        <w:rPr>
          <w:lang w:val="en-US"/>
        </w:rPr>
        <w:t>alınmamış</w:t>
      </w:r>
      <w:proofErr w:type="spellEnd"/>
      <w:r w:rsidRPr="00E32006">
        <w:rPr>
          <w:lang w:val="en-US"/>
        </w:rPr>
        <w:t xml:space="preserve"> </w:t>
      </w:r>
      <w:proofErr w:type="spellStart"/>
      <w:r w:rsidRPr="00E32006">
        <w:rPr>
          <w:lang w:val="en-US"/>
        </w:rPr>
        <w:t>olan</w:t>
      </w:r>
      <w:proofErr w:type="spellEnd"/>
      <w:r w:rsidRPr="00E32006">
        <w:rPr>
          <w:lang w:val="en-US"/>
        </w:rPr>
        <w:t xml:space="preserve"> </w:t>
      </w:r>
      <w:proofErr w:type="spellStart"/>
      <w:r w:rsidRPr="00E32006">
        <w:rPr>
          <w:lang w:val="en-US"/>
        </w:rPr>
        <w:t>bu</w:t>
      </w:r>
      <w:proofErr w:type="spellEnd"/>
      <w:r w:rsidRPr="00E32006">
        <w:rPr>
          <w:lang w:val="en-US"/>
        </w:rPr>
        <w:t xml:space="preserve"> </w:t>
      </w:r>
      <w:proofErr w:type="spellStart"/>
      <w:r w:rsidRPr="00E32006">
        <w:rPr>
          <w:lang w:val="en-US"/>
        </w:rPr>
        <w:t>eğilimler</w:t>
      </w:r>
      <w:proofErr w:type="spellEnd"/>
      <w:r w:rsidRPr="00E32006">
        <w:rPr>
          <w:lang w:val="en-US"/>
        </w:rPr>
        <w:t>—</w:t>
      </w:r>
      <w:proofErr w:type="spellStart"/>
      <w:r w:rsidRPr="00E32006">
        <w:rPr>
          <w:lang w:val="en-US"/>
        </w:rPr>
        <w:t>bu</w:t>
      </w:r>
      <w:proofErr w:type="spellEnd"/>
      <w:r w:rsidRPr="00E32006">
        <w:rPr>
          <w:lang w:val="en-US"/>
        </w:rPr>
        <w:t xml:space="preserve"> </w:t>
      </w:r>
      <w:proofErr w:type="spellStart"/>
      <w:r w:rsidRPr="00E32006">
        <w:rPr>
          <w:lang w:val="en-US"/>
        </w:rPr>
        <w:t>itirazın</w:t>
      </w:r>
      <w:proofErr w:type="spellEnd"/>
      <w:r w:rsidRPr="00E32006">
        <w:rPr>
          <w:lang w:val="en-US"/>
        </w:rPr>
        <w:t xml:space="preserve"> </w:t>
      </w:r>
      <w:proofErr w:type="spellStart"/>
      <w:r w:rsidRPr="00E32006">
        <w:rPr>
          <w:lang w:val="en-US"/>
        </w:rPr>
        <w:t>gelişebileceği</w:t>
      </w:r>
      <w:proofErr w:type="spellEnd"/>
      <w:r w:rsidRPr="00E32006">
        <w:rPr>
          <w:lang w:val="en-US"/>
        </w:rPr>
        <w:t xml:space="preserve"> </w:t>
      </w:r>
      <w:proofErr w:type="spellStart"/>
      <w:r w:rsidRPr="00E32006">
        <w:rPr>
          <w:lang w:val="en-US"/>
        </w:rPr>
        <w:t>toplumsal</w:t>
      </w:r>
      <w:proofErr w:type="spellEnd"/>
      <w:r w:rsidRPr="00E32006">
        <w:rPr>
          <w:lang w:val="en-US"/>
        </w:rPr>
        <w:t xml:space="preserve"> </w:t>
      </w:r>
      <w:proofErr w:type="spellStart"/>
      <w:r w:rsidRPr="00E32006">
        <w:rPr>
          <w:lang w:val="en-US"/>
        </w:rPr>
        <w:t>koşulları</w:t>
      </w:r>
      <w:proofErr w:type="spellEnd"/>
      <w:r w:rsidRPr="00E32006">
        <w:rPr>
          <w:lang w:val="en-US"/>
        </w:rPr>
        <w:t xml:space="preserve"> </w:t>
      </w:r>
      <w:proofErr w:type="spellStart"/>
      <w:r w:rsidRPr="00E32006">
        <w:rPr>
          <w:lang w:val="en-US"/>
        </w:rPr>
        <w:t>yaratmıştır</w:t>
      </w:r>
      <w:proofErr w:type="spellEnd"/>
      <w:r w:rsidRPr="00E32006">
        <w:rPr>
          <w:lang w:val="en-US"/>
        </w:rPr>
        <w:t>.</w:t>
      </w:r>
    </w:p>
    <w:p w14:paraId="2BF347C9" w14:textId="0E169D07" w:rsidR="00E32006" w:rsidRDefault="00E32006" w:rsidP="00E32006">
      <w:pPr>
        <w:rPr>
          <w:lang w:val="en-US"/>
        </w:rPr>
      </w:pPr>
      <w:r w:rsidRPr="00E32006">
        <w:rPr>
          <w:lang w:val="en-US"/>
        </w:rPr>
        <w:t xml:space="preserve">Bu </w:t>
      </w:r>
      <w:proofErr w:type="spellStart"/>
      <w:r w:rsidRPr="00E32006">
        <w:rPr>
          <w:lang w:val="en-US"/>
        </w:rPr>
        <w:t>eğilimlerin</w:t>
      </w:r>
      <w:proofErr w:type="spellEnd"/>
      <w:r w:rsidRPr="00E32006">
        <w:rPr>
          <w:lang w:val="en-US"/>
        </w:rPr>
        <w:t xml:space="preserve"> </w:t>
      </w:r>
      <w:proofErr w:type="spellStart"/>
      <w:r w:rsidRPr="00E32006">
        <w:rPr>
          <w:lang w:val="en-US"/>
        </w:rPr>
        <w:t>başında</w:t>
      </w:r>
      <w:proofErr w:type="spellEnd"/>
      <w:r w:rsidRPr="00E32006">
        <w:rPr>
          <w:lang w:val="en-US"/>
        </w:rPr>
        <w:t xml:space="preserve">, alt federal </w:t>
      </w:r>
      <w:proofErr w:type="spellStart"/>
      <w:r w:rsidRPr="00E32006">
        <w:rPr>
          <w:lang w:val="en-US"/>
        </w:rPr>
        <w:t>mahkemelere</w:t>
      </w:r>
      <w:proofErr w:type="spellEnd"/>
      <w:r w:rsidRPr="00E32006">
        <w:rPr>
          <w:lang w:val="en-US"/>
        </w:rPr>
        <w:t xml:space="preserve"> </w:t>
      </w:r>
      <w:proofErr w:type="spellStart"/>
      <w:r w:rsidRPr="00E32006">
        <w:rPr>
          <w:lang w:val="en-US"/>
        </w:rPr>
        <w:t>yargıç</w:t>
      </w:r>
      <w:proofErr w:type="spellEnd"/>
      <w:r w:rsidRPr="00E32006">
        <w:rPr>
          <w:lang w:val="en-US"/>
        </w:rPr>
        <w:t xml:space="preserve"> </w:t>
      </w:r>
      <w:proofErr w:type="spellStart"/>
      <w:r w:rsidRPr="00E32006">
        <w:rPr>
          <w:lang w:val="en-US"/>
        </w:rPr>
        <w:t>seçme</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onaylama</w:t>
      </w:r>
      <w:proofErr w:type="spellEnd"/>
      <w:r w:rsidRPr="00E32006">
        <w:rPr>
          <w:lang w:val="en-US"/>
        </w:rPr>
        <w:t xml:space="preserve"> </w:t>
      </w:r>
      <w:proofErr w:type="spellStart"/>
      <w:r w:rsidRPr="00E32006">
        <w:rPr>
          <w:lang w:val="en-US"/>
        </w:rPr>
        <w:t>sürecinin</w:t>
      </w:r>
      <w:proofErr w:type="spellEnd"/>
      <w:r w:rsidRPr="00E32006">
        <w:rPr>
          <w:lang w:val="en-US"/>
        </w:rPr>
        <w:t xml:space="preserve"> </w:t>
      </w:r>
      <w:proofErr w:type="spellStart"/>
      <w:r w:rsidRPr="00E32006">
        <w:rPr>
          <w:lang w:val="en-US"/>
        </w:rPr>
        <w:t>giderek</w:t>
      </w:r>
      <w:proofErr w:type="spellEnd"/>
      <w:r w:rsidRPr="00E32006">
        <w:rPr>
          <w:lang w:val="en-US"/>
        </w:rPr>
        <w:t xml:space="preserve"> </w:t>
      </w:r>
      <w:proofErr w:type="spellStart"/>
      <w:r w:rsidRPr="00E32006">
        <w:rPr>
          <w:lang w:val="en-US"/>
        </w:rPr>
        <w:t>daha</w:t>
      </w:r>
      <w:proofErr w:type="spellEnd"/>
      <w:r w:rsidRPr="00E32006">
        <w:rPr>
          <w:lang w:val="en-US"/>
        </w:rPr>
        <w:t xml:space="preserve"> partizan </w:t>
      </w:r>
      <w:proofErr w:type="spellStart"/>
      <w:r w:rsidRPr="00E32006">
        <w:rPr>
          <w:lang w:val="en-US"/>
        </w:rPr>
        <w:t>bir</w:t>
      </w:r>
      <w:proofErr w:type="spellEnd"/>
      <w:r w:rsidRPr="00E32006">
        <w:rPr>
          <w:lang w:val="en-US"/>
        </w:rPr>
        <w:t xml:space="preserve"> </w:t>
      </w:r>
      <w:proofErr w:type="spellStart"/>
      <w:r w:rsidRPr="00E32006">
        <w:rPr>
          <w:lang w:val="en-US"/>
        </w:rPr>
        <w:t>hâl</w:t>
      </w:r>
      <w:proofErr w:type="spellEnd"/>
      <w:r w:rsidRPr="00E32006">
        <w:rPr>
          <w:lang w:val="en-US"/>
        </w:rPr>
        <w:t xml:space="preserve"> </w:t>
      </w:r>
      <w:proofErr w:type="spellStart"/>
      <w:r w:rsidRPr="00E32006">
        <w:rPr>
          <w:lang w:val="en-US"/>
        </w:rPr>
        <w:t>alması</w:t>
      </w:r>
      <w:proofErr w:type="spellEnd"/>
      <w:r w:rsidRPr="00E32006">
        <w:rPr>
          <w:lang w:val="en-US"/>
        </w:rPr>
        <w:t xml:space="preserve"> </w:t>
      </w:r>
      <w:proofErr w:type="spellStart"/>
      <w:r w:rsidRPr="00E32006">
        <w:rPr>
          <w:lang w:val="en-US"/>
        </w:rPr>
        <w:t>gelmektedir</w:t>
      </w:r>
      <w:proofErr w:type="spellEnd"/>
      <w:r w:rsidRPr="00E32006">
        <w:rPr>
          <w:lang w:val="en-US"/>
        </w:rPr>
        <w:t xml:space="preserve">. Daha </w:t>
      </w:r>
      <w:proofErr w:type="spellStart"/>
      <w:r w:rsidRPr="00E32006">
        <w:rPr>
          <w:lang w:val="en-US"/>
        </w:rPr>
        <w:t>yakın</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geçmişe</w:t>
      </w:r>
      <w:proofErr w:type="spellEnd"/>
      <w:r w:rsidRPr="00E32006">
        <w:rPr>
          <w:lang w:val="en-US"/>
        </w:rPr>
        <w:t xml:space="preserve"> </w:t>
      </w:r>
      <w:proofErr w:type="spellStart"/>
      <w:r w:rsidRPr="00E32006">
        <w:rPr>
          <w:lang w:val="en-US"/>
        </w:rPr>
        <w:t>kadar</w:t>
      </w:r>
      <w:proofErr w:type="spellEnd"/>
      <w:r w:rsidRPr="00E32006">
        <w:rPr>
          <w:lang w:val="en-US"/>
        </w:rPr>
        <w:t xml:space="preserve">, </w:t>
      </w:r>
      <w:proofErr w:type="spellStart"/>
      <w:r w:rsidRPr="00E32006">
        <w:rPr>
          <w:lang w:val="en-US"/>
        </w:rPr>
        <w:t>yaklaşık</w:t>
      </w:r>
      <w:proofErr w:type="spellEnd"/>
      <w:r w:rsidRPr="00E32006">
        <w:rPr>
          <w:lang w:val="en-US"/>
        </w:rPr>
        <w:t xml:space="preserve"> </w:t>
      </w:r>
      <w:proofErr w:type="spellStart"/>
      <w:r w:rsidRPr="00E32006">
        <w:rPr>
          <w:lang w:val="en-US"/>
        </w:rPr>
        <w:t>kırk</w:t>
      </w:r>
      <w:proofErr w:type="spellEnd"/>
      <w:r w:rsidRPr="00E32006">
        <w:rPr>
          <w:lang w:val="en-US"/>
        </w:rPr>
        <w:t xml:space="preserve"> </w:t>
      </w:r>
      <w:proofErr w:type="spellStart"/>
      <w:r w:rsidRPr="00E32006">
        <w:rPr>
          <w:lang w:val="en-US"/>
        </w:rPr>
        <w:t>yıl</w:t>
      </w:r>
      <w:proofErr w:type="spellEnd"/>
      <w:r w:rsidRPr="00E32006">
        <w:rPr>
          <w:lang w:val="en-US"/>
        </w:rPr>
        <w:t xml:space="preserve"> </w:t>
      </w:r>
      <w:proofErr w:type="spellStart"/>
      <w:r w:rsidRPr="00E32006">
        <w:rPr>
          <w:lang w:val="en-US"/>
        </w:rPr>
        <w:t>öncesine</w:t>
      </w:r>
      <w:proofErr w:type="spellEnd"/>
      <w:r w:rsidRPr="00E32006">
        <w:rPr>
          <w:lang w:val="en-US"/>
        </w:rPr>
        <w:t xml:space="preserve"> </w:t>
      </w:r>
      <w:proofErr w:type="spellStart"/>
      <w:r w:rsidRPr="00E32006">
        <w:rPr>
          <w:lang w:val="en-US"/>
        </w:rPr>
        <w:t>kadar</w:t>
      </w:r>
      <w:proofErr w:type="spellEnd"/>
      <w:r w:rsidRPr="00E32006">
        <w:rPr>
          <w:lang w:val="en-US"/>
        </w:rPr>
        <w:t xml:space="preserve">, federal </w:t>
      </w:r>
      <w:proofErr w:type="spellStart"/>
      <w:r w:rsidRPr="00E32006">
        <w:rPr>
          <w:lang w:val="en-US"/>
        </w:rPr>
        <w:t>temyiz</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bölge</w:t>
      </w:r>
      <w:proofErr w:type="spellEnd"/>
      <w:r w:rsidRPr="00E32006">
        <w:rPr>
          <w:lang w:val="en-US"/>
        </w:rPr>
        <w:t xml:space="preserve"> </w:t>
      </w:r>
      <w:proofErr w:type="spellStart"/>
      <w:r w:rsidRPr="00E32006">
        <w:rPr>
          <w:lang w:val="en-US"/>
        </w:rPr>
        <w:t>mahkemelerine</w:t>
      </w:r>
      <w:proofErr w:type="spellEnd"/>
      <w:r w:rsidRPr="00E32006">
        <w:rPr>
          <w:lang w:val="en-US"/>
        </w:rPr>
        <w:t xml:space="preserve"> </w:t>
      </w:r>
      <w:proofErr w:type="spellStart"/>
      <w:r w:rsidRPr="00E32006">
        <w:rPr>
          <w:lang w:val="en-US"/>
        </w:rPr>
        <w:t>yapılan</w:t>
      </w:r>
      <w:proofErr w:type="spellEnd"/>
      <w:r w:rsidRPr="00E32006">
        <w:rPr>
          <w:lang w:val="en-US"/>
        </w:rPr>
        <w:t xml:space="preserve"> </w:t>
      </w:r>
      <w:proofErr w:type="spellStart"/>
      <w:r w:rsidRPr="00E32006">
        <w:rPr>
          <w:lang w:val="en-US"/>
        </w:rPr>
        <w:t>atamaları</w:t>
      </w:r>
      <w:proofErr w:type="spellEnd"/>
      <w:r w:rsidRPr="00E32006">
        <w:rPr>
          <w:lang w:val="en-US"/>
        </w:rPr>
        <w:t xml:space="preserve"> </w:t>
      </w:r>
      <w:proofErr w:type="spellStart"/>
      <w:r w:rsidRPr="00E32006">
        <w:rPr>
          <w:lang w:val="en-US"/>
        </w:rPr>
        <w:t>siyasallaştırmayı</w:t>
      </w:r>
      <w:proofErr w:type="spellEnd"/>
      <w:r w:rsidRPr="00E32006">
        <w:rPr>
          <w:lang w:val="en-US"/>
        </w:rPr>
        <w:t xml:space="preserve"> </w:t>
      </w:r>
      <w:proofErr w:type="spellStart"/>
      <w:r w:rsidRPr="00E32006">
        <w:rPr>
          <w:lang w:val="en-US"/>
        </w:rPr>
        <w:t>önleyen</w:t>
      </w:r>
      <w:proofErr w:type="spellEnd"/>
      <w:r w:rsidRPr="00E32006">
        <w:rPr>
          <w:lang w:val="en-US"/>
        </w:rPr>
        <w:t xml:space="preserve"> </w:t>
      </w:r>
      <w:proofErr w:type="spellStart"/>
      <w:r w:rsidRPr="00E32006">
        <w:rPr>
          <w:lang w:val="en-US"/>
        </w:rPr>
        <w:t>normlar</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kurumsal</w:t>
      </w:r>
      <w:proofErr w:type="spellEnd"/>
      <w:r w:rsidRPr="00E32006">
        <w:rPr>
          <w:lang w:val="en-US"/>
        </w:rPr>
        <w:t xml:space="preserve"> </w:t>
      </w:r>
      <w:proofErr w:type="spellStart"/>
      <w:r w:rsidRPr="00E32006">
        <w:rPr>
          <w:lang w:val="en-US"/>
        </w:rPr>
        <w:t>düzenlemeler</w:t>
      </w:r>
      <w:proofErr w:type="spellEnd"/>
      <w:r w:rsidRPr="00E32006">
        <w:rPr>
          <w:lang w:val="en-US"/>
        </w:rPr>
        <w:t xml:space="preserve"> </w:t>
      </w:r>
      <w:proofErr w:type="spellStart"/>
      <w:r w:rsidRPr="00E32006">
        <w:rPr>
          <w:lang w:val="en-US"/>
        </w:rPr>
        <w:t>mevcuttu</w:t>
      </w:r>
      <w:proofErr w:type="spellEnd"/>
      <w:r w:rsidRPr="00E32006">
        <w:rPr>
          <w:lang w:val="en-US"/>
        </w:rPr>
        <w:t xml:space="preserve">. </w:t>
      </w:r>
      <w:proofErr w:type="spellStart"/>
      <w:r w:rsidRPr="00E32006">
        <w:rPr>
          <w:lang w:val="en-US"/>
        </w:rPr>
        <w:t>Başkanlar</w:t>
      </w:r>
      <w:proofErr w:type="spellEnd"/>
      <w:r w:rsidRPr="00E32006">
        <w:rPr>
          <w:lang w:val="en-US"/>
        </w:rPr>
        <w:t xml:space="preserve">, </w:t>
      </w:r>
      <w:proofErr w:type="spellStart"/>
      <w:r w:rsidRPr="00E32006">
        <w:rPr>
          <w:lang w:val="en-US"/>
        </w:rPr>
        <w:t>potansiyel</w:t>
      </w:r>
      <w:proofErr w:type="spellEnd"/>
      <w:r w:rsidRPr="00E32006">
        <w:rPr>
          <w:lang w:val="en-US"/>
        </w:rPr>
        <w:t xml:space="preserve"> </w:t>
      </w:r>
      <w:proofErr w:type="spellStart"/>
      <w:r w:rsidRPr="00E32006">
        <w:rPr>
          <w:lang w:val="en-US"/>
        </w:rPr>
        <w:t>adayları</w:t>
      </w:r>
      <w:proofErr w:type="spellEnd"/>
      <w:r w:rsidRPr="00E32006">
        <w:rPr>
          <w:lang w:val="en-US"/>
        </w:rPr>
        <w:t xml:space="preserve"> </w:t>
      </w:r>
      <w:proofErr w:type="spellStart"/>
      <w:r w:rsidRPr="00E32006">
        <w:rPr>
          <w:lang w:val="en-US"/>
        </w:rPr>
        <w:t>belirleme</w:t>
      </w:r>
      <w:proofErr w:type="spellEnd"/>
      <w:r w:rsidRPr="00E32006">
        <w:rPr>
          <w:lang w:val="en-US"/>
        </w:rPr>
        <w:t xml:space="preserve"> </w:t>
      </w:r>
      <w:proofErr w:type="spellStart"/>
      <w:r w:rsidRPr="00E32006">
        <w:rPr>
          <w:lang w:val="en-US"/>
        </w:rPr>
        <w:t>konusunda</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çok</w:t>
      </w:r>
      <w:proofErr w:type="spellEnd"/>
      <w:r w:rsidRPr="00E32006">
        <w:rPr>
          <w:lang w:val="en-US"/>
        </w:rPr>
        <w:t xml:space="preserve"> </w:t>
      </w:r>
      <w:proofErr w:type="spellStart"/>
      <w:r w:rsidRPr="00E32006">
        <w:rPr>
          <w:lang w:val="en-US"/>
        </w:rPr>
        <w:t>Senatörlere</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diğer</w:t>
      </w:r>
      <w:proofErr w:type="spellEnd"/>
      <w:r w:rsidRPr="00E32006">
        <w:rPr>
          <w:lang w:val="en-US"/>
        </w:rPr>
        <w:t xml:space="preserve"> </w:t>
      </w:r>
      <w:proofErr w:type="spellStart"/>
      <w:r w:rsidRPr="00E32006">
        <w:rPr>
          <w:lang w:val="en-US"/>
        </w:rPr>
        <w:t>seçilmiş</w:t>
      </w:r>
      <w:proofErr w:type="spellEnd"/>
      <w:r w:rsidRPr="00E32006">
        <w:rPr>
          <w:lang w:val="en-US"/>
        </w:rPr>
        <w:t xml:space="preserve"> </w:t>
      </w:r>
      <w:proofErr w:type="spellStart"/>
      <w:r w:rsidRPr="00E32006">
        <w:rPr>
          <w:lang w:val="en-US"/>
        </w:rPr>
        <w:t>yetkililere</w:t>
      </w:r>
      <w:proofErr w:type="spellEnd"/>
      <w:r w:rsidRPr="00E32006">
        <w:rPr>
          <w:lang w:val="en-US"/>
        </w:rPr>
        <w:t xml:space="preserve"> </w:t>
      </w:r>
      <w:proofErr w:type="spellStart"/>
      <w:r w:rsidRPr="00E32006">
        <w:rPr>
          <w:lang w:val="en-US"/>
        </w:rPr>
        <w:t>güvenmekteydi</w:t>
      </w:r>
      <w:proofErr w:type="spellEnd"/>
      <w:r w:rsidRPr="00E32006">
        <w:rPr>
          <w:lang w:val="en-US"/>
        </w:rPr>
        <w:t xml:space="preserve"> (</w:t>
      </w:r>
      <w:proofErr w:type="spellStart"/>
      <w:r w:rsidRPr="00E32006">
        <w:rPr>
          <w:lang w:val="en-US"/>
        </w:rPr>
        <w:t>özellikle</w:t>
      </w:r>
      <w:proofErr w:type="spellEnd"/>
      <w:r w:rsidRPr="00E32006">
        <w:rPr>
          <w:lang w:val="en-US"/>
        </w:rPr>
        <w:t xml:space="preserve"> </w:t>
      </w:r>
      <w:proofErr w:type="spellStart"/>
      <w:r w:rsidRPr="00E32006">
        <w:rPr>
          <w:lang w:val="en-US"/>
        </w:rPr>
        <w:t>Bölge</w:t>
      </w:r>
      <w:proofErr w:type="spellEnd"/>
      <w:r w:rsidRPr="00E32006">
        <w:rPr>
          <w:lang w:val="en-US"/>
        </w:rPr>
        <w:t xml:space="preserve"> </w:t>
      </w:r>
      <w:proofErr w:type="spellStart"/>
      <w:r w:rsidRPr="00E32006">
        <w:rPr>
          <w:lang w:val="en-US"/>
        </w:rPr>
        <w:t>Mahkemeleri</w:t>
      </w:r>
      <w:proofErr w:type="spellEnd"/>
      <w:r w:rsidRPr="00E32006">
        <w:rPr>
          <w:lang w:val="en-US"/>
        </w:rPr>
        <w:t xml:space="preserve"> </w:t>
      </w:r>
      <w:proofErr w:type="spellStart"/>
      <w:r w:rsidRPr="00E32006">
        <w:rPr>
          <w:lang w:val="en-US"/>
        </w:rPr>
        <w:t>için</w:t>
      </w:r>
      <w:proofErr w:type="spellEnd"/>
      <w:r w:rsidRPr="00E32006">
        <w:rPr>
          <w:lang w:val="en-US"/>
        </w:rPr>
        <w:t xml:space="preserve">); </w:t>
      </w:r>
      <w:proofErr w:type="spellStart"/>
      <w:r w:rsidRPr="00E32006">
        <w:rPr>
          <w:lang w:val="en-US"/>
        </w:rPr>
        <w:t>aynı</w:t>
      </w:r>
      <w:proofErr w:type="spellEnd"/>
      <w:r w:rsidRPr="00E32006">
        <w:rPr>
          <w:lang w:val="en-US"/>
        </w:rPr>
        <w:t xml:space="preserve"> </w:t>
      </w:r>
      <w:proofErr w:type="spellStart"/>
      <w:r w:rsidRPr="00E32006">
        <w:rPr>
          <w:lang w:val="en-US"/>
        </w:rPr>
        <w:t>eyaletten</w:t>
      </w:r>
      <w:proofErr w:type="spellEnd"/>
      <w:r w:rsidRPr="00E32006">
        <w:rPr>
          <w:lang w:val="en-US"/>
        </w:rPr>
        <w:t xml:space="preserve"> </w:t>
      </w:r>
      <w:proofErr w:type="spellStart"/>
      <w:r w:rsidRPr="00E32006">
        <w:rPr>
          <w:lang w:val="en-US"/>
        </w:rPr>
        <w:t>gelen</w:t>
      </w:r>
      <w:proofErr w:type="spellEnd"/>
      <w:r w:rsidRPr="00E32006">
        <w:rPr>
          <w:lang w:val="en-US"/>
        </w:rPr>
        <w:t xml:space="preserve"> </w:t>
      </w:r>
      <w:proofErr w:type="spellStart"/>
      <w:r w:rsidRPr="00E32006">
        <w:rPr>
          <w:lang w:val="en-US"/>
        </w:rPr>
        <w:t>farklı</w:t>
      </w:r>
      <w:proofErr w:type="spellEnd"/>
      <w:r w:rsidRPr="00E32006">
        <w:rPr>
          <w:lang w:val="en-US"/>
        </w:rPr>
        <w:t xml:space="preserve"> </w:t>
      </w:r>
      <w:proofErr w:type="spellStart"/>
      <w:r w:rsidRPr="00E32006">
        <w:rPr>
          <w:lang w:val="en-US"/>
        </w:rPr>
        <w:t>partilere</w:t>
      </w:r>
      <w:proofErr w:type="spellEnd"/>
      <w:r w:rsidRPr="00E32006">
        <w:rPr>
          <w:lang w:val="en-US"/>
        </w:rPr>
        <w:t xml:space="preserve"> </w:t>
      </w:r>
      <w:proofErr w:type="spellStart"/>
      <w:r w:rsidRPr="00E32006">
        <w:rPr>
          <w:lang w:val="en-US"/>
        </w:rPr>
        <w:t>mensup</w:t>
      </w:r>
      <w:proofErr w:type="spellEnd"/>
      <w:r w:rsidRPr="00E32006">
        <w:rPr>
          <w:lang w:val="en-US"/>
        </w:rPr>
        <w:t xml:space="preserve"> </w:t>
      </w:r>
      <w:proofErr w:type="spellStart"/>
      <w:r w:rsidRPr="00E32006">
        <w:rPr>
          <w:lang w:val="en-US"/>
        </w:rPr>
        <w:t>Senatörler</w:t>
      </w:r>
      <w:proofErr w:type="spellEnd"/>
      <w:r w:rsidRPr="00E32006">
        <w:rPr>
          <w:lang w:val="en-US"/>
        </w:rPr>
        <w:t xml:space="preserve">, </w:t>
      </w:r>
      <w:proofErr w:type="spellStart"/>
      <w:r w:rsidRPr="00E32006">
        <w:rPr>
          <w:lang w:val="en-US"/>
        </w:rPr>
        <w:t>uygun</w:t>
      </w:r>
      <w:proofErr w:type="spellEnd"/>
      <w:r w:rsidRPr="00E32006">
        <w:rPr>
          <w:lang w:val="en-US"/>
        </w:rPr>
        <w:t xml:space="preserve"> </w:t>
      </w:r>
      <w:proofErr w:type="spellStart"/>
      <w:r w:rsidRPr="00E32006">
        <w:rPr>
          <w:lang w:val="en-US"/>
        </w:rPr>
        <w:t>adayları</w:t>
      </w:r>
      <w:proofErr w:type="spellEnd"/>
      <w:r w:rsidRPr="00E32006">
        <w:rPr>
          <w:lang w:val="en-US"/>
        </w:rPr>
        <w:t xml:space="preserve"> </w:t>
      </w:r>
      <w:proofErr w:type="spellStart"/>
      <w:r w:rsidRPr="00E32006">
        <w:rPr>
          <w:lang w:val="en-US"/>
        </w:rPr>
        <w:t>müzakere</w:t>
      </w:r>
      <w:proofErr w:type="spellEnd"/>
      <w:r w:rsidRPr="00E32006">
        <w:rPr>
          <w:lang w:val="en-US"/>
        </w:rPr>
        <w:t xml:space="preserve"> </w:t>
      </w:r>
      <w:proofErr w:type="spellStart"/>
      <w:r w:rsidRPr="00E32006">
        <w:rPr>
          <w:lang w:val="en-US"/>
        </w:rPr>
        <w:t>etmek</w:t>
      </w:r>
      <w:proofErr w:type="spellEnd"/>
      <w:r w:rsidRPr="00E32006">
        <w:rPr>
          <w:lang w:val="en-US"/>
        </w:rPr>
        <w:t xml:space="preserve"> </w:t>
      </w:r>
      <w:proofErr w:type="spellStart"/>
      <w:r w:rsidRPr="00E32006">
        <w:rPr>
          <w:lang w:val="en-US"/>
        </w:rPr>
        <w:t>için</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yakın</w:t>
      </w:r>
      <w:proofErr w:type="spellEnd"/>
      <w:r w:rsidRPr="00E32006">
        <w:rPr>
          <w:lang w:val="en-US"/>
        </w:rPr>
        <w:t xml:space="preserve"> </w:t>
      </w:r>
      <w:proofErr w:type="spellStart"/>
      <w:r w:rsidRPr="00E32006">
        <w:rPr>
          <w:lang w:val="en-US"/>
        </w:rPr>
        <w:t>iş</w:t>
      </w:r>
      <w:proofErr w:type="spellEnd"/>
      <w:r w:rsidRPr="00E32006">
        <w:rPr>
          <w:lang w:val="en-US"/>
        </w:rPr>
        <w:t xml:space="preserve"> </w:t>
      </w:r>
      <w:proofErr w:type="spellStart"/>
      <w:r w:rsidRPr="00E32006">
        <w:rPr>
          <w:lang w:val="en-US"/>
        </w:rPr>
        <w:t>birliği</w:t>
      </w:r>
      <w:proofErr w:type="spellEnd"/>
      <w:r w:rsidRPr="00E32006">
        <w:rPr>
          <w:lang w:val="en-US"/>
        </w:rPr>
        <w:t xml:space="preserve"> </w:t>
      </w:r>
      <w:proofErr w:type="spellStart"/>
      <w:r w:rsidRPr="00E32006">
        <w:rPr>
          <w:lang w:val="en-US"/>
        </w:rPr>
        <w:t>yapmaktaydı</w:t>
      </w:r>
      <w:proofErr w:type="spellEnd"/>
      <w:r w:rsidRPr="00E32006">
        <w:rPr>
          <w:lang w:val="en-US"/>
        </w:rPr>
        <w:t xml:space="preserve">; </w:t>
      </w:r>
      <w:proofErr w:type="spellStart"/>
      <w:r w:rsidRPr="00E32006">
        <w:rPr>
          <w:lang w:val="en-US"/>
        </w:rPr>
        <w:t>Başkanlar</w:t>
      </w:r>
      <w:proofErr w:type="spellEnd"/>
      <w:r w:rsidRPr="00E32006">
        <w:rPr>
          <w:lang w:val="en-US"/>
        </w:rPr>
        <w:t xml:space="preserve">, </w:t>
      </w:r>
      <w:proofErr w:type="spellStart"/>
      <w:r w:rsidRPr="00E32006">
        <w:rPr>
          <w:lang w:val="en-US"/>
        </w:rPr>
        <w:t>adaylarını</w:t>
      </w:r>
      <w:proofErr w:type="spellEnd"/>
      <w:r w:rsidRPr="00E32006">
        <w:rPr>
          <w:lang w:val="en-US"/>
        </w:rPr>
        <w:t xml:space="preserve"> </w:t>
      </w:r>
      <w:proofErr w:type="spellStart"/>
      <w:r w:rsidRPr="00E32006">
        <w:rPr>
          <w:lang w:val="en-US"/>
        </w:rPr>
        <w:t>seçerken</w:t>
      </w:r>
      <w:proofErr w:type="spellEnd"/>
      <w:r w:rsidRPr="00E32006">
        <w:rPr>
          <w:lang w:val="en-US"/>
        </w:rPr>
        <w:t xml:space="preserve"> </w:t>
      </w:r>
      <w:proofErr w:type="spellStart"/>
      <w:r w:rsidRPr="00E32006">
        <w:rPr>
          <w:lang w:val="en-US"/>
        </w:rPr>
        <w:t>ideolojik</w:t>
      </w:r>
      <w:proofErr w:type="spellEnd"/>
      <w:r w:rsidRPr="00E32006">
        <w:rPr>
          <w:lang w:val="en-US"/>
        </w:rPr>
        <w:t xml:space="preserve"> </w:t>
      </w:r>
      <w:proofErr w:type="spellStart"/>
      <w:r w:rsidRPr="00E32006">
        <w:rPr>
          <w:lang w:val="en-US"/>
        </w:rPr>
        <w:t>saflıktan</w:t>
      </w:r>
      <w:proofErr w:type="spellEnd"/>
      <w:r w:rsidRPr="00E32006">
        <w:rPr>
          <w:lang w:val="en-US"/>
        </w:rPr>
        <w:t xml:space="preserve"> </w:t>
      </w:r>
      <w:proofErr w:type="spellStart"/>
      <w:r w:rsidRPr="00E32006">
        <w:rPr>
          <w:lang w:val="en-US"/>
        </w:rPr>
        <w:t>ziyade</w:t>
      </w:r>
      <w:proofErr w:type="spellEnd"/>
      <w:r w:rsidRPr="00E32006">
        <w:rPr>
          <w:lang w:val="en-US"/>
        </w:rPr>
        <w:t xml:space="preserve"> </w:t>
      </w:r>
      <w:proofErr w:type="spellStart"/>
      <w:r w:rsidRPr="00E32006">
        <w:rPr>
          <w:lang w:val="en-US"/>
        </w:rPr>
        <w:t>sadık</w:t>
      </w:r>
      <w:proofErr w:type="spellEnd"/>
      <w:r w:rsidRPr="00E32006">
        <w:rPr>
          <w:lang w:val="en-US"/>
        </w:rPr>
        <w:t xml:space="preserve"> </w:t>
      </w:r>
      <w:proofErr w:type="spellStart"/>
      <w:r w:rsidRPr="00E32006">
        <w:rPr>
          <w:lang w:val="en-US"/>
        </w:rPr>
        <w:t>müttefikleri</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bağışçıları</w:t>
      </w:r>
      <w:proofErr w:type="spellEnd"/>
      <w:r w:rsidRPr="00E32006">
        <w:rPr>
          <w:lang w:val="en-US"/>
        </w:rPr>
        <w:t xml:space="preserve"> </w:t>
      </w:r>
      <w:proofErr w:type="spellStart"/>
      <w:r w:rsidRPr="00E32006">
        <w:rPr>
          <w:lang w:val="en-US"/>
        </w:rPr>
        <w:t>ödüllendirmeye</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fazla</w:t>
      </w:r>
      <w:proofErr w:type="spellEnd"/>
      <w:r w:rsidRPr="00E32006">
        <w:rPr>
          <w:lang w:val="en-US"/>
        </w:rPr>
        <w:t xml:space="preserve"> </w:t>
      </w:r>
      <w:proofErr w:type="spellStart"/>
      <w:r w:rsidRPr="00E32006">
        <w:rPr>
          <w:lang w:val="en-US"/>
        </w:rPr>
        <w:t>önem</w:t>
      </w:r>
      <w:proofErr w:type="spellEnd"/>
      <w:r w:rsidRPr="00E32006">
        <w:rPr>
          <w:lang w:val="en-US"/>
        </w:rPr>
        <w:t xml:space="preserve"> </w:t>
      </w:r>
      <w:proofErr w:type="spellStart"/>
      <w:r w:rsidRPr="00E32006">
        <w:rPr>
          <w:lang w:val="en-US"/>
        </w:rPr>
        <w:t>vermekteydi</w:t>
      </w:r>
      <w:proofErr w:type="spellEnd"/>
      <w:r w:rsidRPr="00E32006">
        <w:rPr>
          <w:lang w:val="en-US"/>
        </w:rPr>
        <w:t xml:space="preserve">; </w:t>
      </w:r>
      <w:proofErr w:type="spellStart"/>
      <w:r w:rsidRPr="00E32006">
        <w:rPr>
          <w:lang w:val="en-US"/>
        </w:rPr>
        <w:t>Senatörler</w:t>
      </w:r>
      <w:proofErr w:type="spellEnd"/>
      <w:r w:rsidRPr="00E32006">
        <w:rPr>
          <w:lang w:val="en-US"/>
        </w:rPr>
        <w:t xml:space="preserve"> </w:t>
      </w:r>
      <w:proofErr w:type="spellStart"/>
      <w:r w:rsidRPr="00E32006">
        <w:rPr>
          <w:lang w:val="en-US"/>
        </w:rPr>
        <w:t>ise</w:t>
      </w:r>
      <w:proofErr w:type="spellEnd"/>
      <w:r w:rsidRPr="00E32006">
        <w:rPr>
          <w:lang w:val="en-US"/>
        </w:rPr>
        <w:t xml:space="preserve">, </w:t>
      </w:r>
      <w:proofErr w:type="spellStart"/>
      <w:r w:rsidRPr="00E32006">
        <w:rPr>
          <w:lang w:val="en-US"/>
        </w:rPr>
        <w:t>ideolojik</w:t>
      </w:r>
      <w:proofErr w:type="spellEnd"/>
      <w:r w:rsidRPr="00E32006">
        <w:rPr>
          <w:lang w:val="en-US"/>
        </w:rPr>
        <w:t xml:space="preserve"> </w:t>
      </w:r>
      <w:proofErr w:type="spellStart"/>
      <w:r w:rsidRPr="00E32006">
        <w:rPr>
          <w:lang w:val="en-US"/>
        </w:rPr>
        <w:t>nedenlerle</w:t>
      </w:r>
      <w:proofErr w:type="spellEnd"/>
      <w:r w:rsidRPr="00E32006">
        <w:rPr>
          <w:lang w:val="en-US"/>
        </w:rPr>
        <w:t xml:space="preserve"> </w:t>
      </w:r>
      <w:proofErr w:type="spellStart"/>
      <w:r w:rsidRPr="00E32006">
        <w:rPr>
          <w:lang w:val="en-US"/>
        </w:rPr>
        <w:t>adaylara</w:t>
      </w:r>
      <w:proofErr w:type="spellEnd"/>
      <w:r w:rsidRPr="00E32006">
        <w:rPr>
          <w:lang w:val="en-US"/>
        </w:rPr>
        <w:t xml:space="preserve"> </w:t>
      </w:r>
      <w:proofErr w:type="spellStart"/>
      <w:r w:rsidRPr="00E32006">
        <w:rPr>
          <w:lang w:val="en-US"/>
        </w:rPr>
        <w:t>karşı</w:t>
      </w:r>
      <w:proofErr w:type="spellEnd"/>
      <w:r w:rsidRPr="00E32006">
        <w:rPr>
          <w:lang w:val="en-US"/>
        </w:rPr>
        <w:t xml:space="preserve"> </w:t>
      </w:r>
      <w:proofErr w:type="spellStart"/>
      <w:r w:rsidRPr="00E32006">
        <w:rPr>
          <w:lang w:val="en-US"/>
        </w:rPr>
        <w:t>çıkmaya</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az</w:t>
      </w:r>
      <w:proofErr w:type="spellEnd"/>
      <w:r w:rsidRPr="00E32006">
        <w:rPr>
          <w:lang w:val="en-US"/>
        </w:rPr>
        <w:t xml:space="preserve"> meyilliydi.¹³³</w:t>
      </w:r>
      <w:r>
        <w:rPr>
          <w:lang w:val="en-US"/>
        </w:rPr>
        <w:t xml:space="preserve"> </w:t>
      </w:r>
      <w:r>
        <w:rPr>
          <w:rStyle w:val="FootnoteReference"/>
          <w:lang w:val="en-US"/>
        </w:rPr>
        <w:footnoteReference w:id="133"/>
      </w:r>
      <w:r>
        <w:rPr>
          <w:lang w:val="en-US"/>
        </w:rPr>
        <w:t xml:space="preserve"> </w:t>
      </w:r>
      <w:r w:rsidRPr="00E32006">
        <w:rPr>
          <w:lang w:val="en-US"/>
        </w:rPr>
        <w:t xml:space="preserve">Bu </w:t>
      </w:r>
      <w:proofErr w:type="spellStart"/>
      <w:r w:rsidRPr="00E32006">
        <w:rPr>
          <w:lang w:val="en-US"/>
        </w:rPr>
        <w:t>normlar</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kurumsal</w:t>
      </w:r>
      <w:proofErr w:type="spellEnd"/>
      <w:r w:rsidRPr="00E32006">
        <w:rPr>
          <w:lang w:val="en-US"/>
        </w:rPr>
        <w:t xml:space="preserve"> </w:t>
      </w:r>
      <w:proofErr w:type="spellStart"/>
      <w:r w:rsidRPr="00E32006">
        <w:rPr>
          <w:lang w:val="en-US"/>
        </w:rPr>
        <w:t>düzenlemeler</w:t>
      </w:r>
      <w:proofErr w:type="spellEnd"/>
      <w:r w:rsidRPr="00E32006">
        <w:rPr>
          <w:lang w:val="en-US"/>
        </w:rPr>
        <w:t xml:space="preserve"> </w:t>
      </w:r>
      <w:proofErr w:type="spellStart"/>
      <w:r w:rsidRPr="00E32006">
        <w:rPr>
          <w:lang w:val="en-US"/>
        </w:rPr>
        <w:t>tamamen</w:t>
      </w:r>
      <w:proofErr w:type="spellEnd"/>
      <w:r w:rsidRPr="00E32006">
        <w:rPr>
          <w:lang w:val="en-US"/>
        </w:rPr>
        <w:t xml:space="preserve"> </w:t>
      </w:r>
      <w:proofErr w:type="spellStart"/>
      <w:r w:rsidRPr="00E32006">
        <w:rPr>
          <w:lang w:val="en-US"/>
        </w:rPr>
        <w:t>ortadan</w:t>
      </w:r>
      <w:proofErr w:type="spellEnd"/>
      <w:r w:rsidRPr="00E32006">
        <w:rPr>
          <w:lang w:val="en-US"/>
        </w:rPr>
        <w:t xml:space="preserve"> </w:t>
      </w:r>
      <w:proofErr w:type="spellStart"/>
      <w:r w:rsidRPr="00E32006">
        <w:rPr>
          <w:lang w:val="en-US"/>
        </w:rPr>
        <w:t>kalkmamış</w:t>
      </w:r>
      <w:proofErr w:type="spellEnd"/>
      <w:r w:rsidRPr="00E32006">
        <w:rPr>
          <w:lang w:val="en-US"/>
        </w:rPr>
        <w:t xml:space="preserve"> </w:t>
      </w:r>
      <w:proofErr w:type="spellStart"/>
      <w:r w:rsidRPr="00E32006">
        <w:rPr>
          <w:lang w:val="en-US"/>
        </w:rPr>
        <w:t>olsa</w:t>
      </w:r>
      <w:proofErr w:type="spellEnd"/>
      <w:r w:rsidRPr="00E32006">
        <w:rPr>
          <w:lang w:val="en-US"/>
        </w:rPr>
        <w:t xml:space="preserve"> da </w:t>
      </w:r>
      <w:proofErr w:type="spellStart"/>
      <w:r w:rsidRPr="00E32006">
        <w:rPr>
          <w:lang w:val="en-US"/>
        </w:rPr>
        <w:t>zayıflamış</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bunun</w:t>
      </w:r>
      <w:proofErr w:type="spellEnd"/>
      <w:r w:rsidRPr="00E32006">
        <w:rPr>
          <w:lang w:val="en-US"/>
        </w:rPr>
        <w:t xml:space="preserve"> </w:t>
      </w:r>
      <w:proofErr w:type="spellStart"/>
      <w:r w:rsidRPr="00E32006">
        <w:rPr>
          <w:lang w:val="en-US"/>
        </w:rPr>
        <w:t>yerine</w:t>
      </w:r>
      <w:proofErr w:type="spellEnd"/>
      <w:r w:rsidRPr="00E32006">
        <w:rPr>
          <w:lang w:val="en-US"/>
        </w:rPr>
        <w:t xml:space="preserve"> </w:t>
      </w:r>
      <w:proofErr w:type="spellStart"/>
      <w:r w:rsidRPr="00E32006">
        <w:rPr>
          <w:lang w:val="en-US"/>
        </w:rPr>
        <w:t>ters</w:t>
      </w:r>
      <w:proofErr w:type="spellEnd"/>
      <w:r w:rsidRPr="00E32006">
        <w:rPr>
          <w:lang w:val="en-US"/>
        </w:rPr>
        <w:t xml:space="preserve"> </w:t>
      </w:r>
      <w:proofErr w:type="spellStart"/>
      <w:r w:rsidRPr="00E32006">
        <w:rPr>
          <w:lang w:val="en-US"/>
        </w:rPr>
        <w:t>yönde</w:t>
      </w:r>
      <w:proofErr w:type="spellEnd"/>
      <w:r w:rsidRPr="00E32006">
        <w:rPr>
          <w:lang w:val="en-US"/>
        </w:rPr>
        <w:t xml:space="preserve"> </w:t>
      </w:r>
      <w:proofErr w:type="spellStart"/>
      <w:r w:rsidRPr="00E32006">
        <w:rPr>
          <w:lang w:val="en-US"/>
        </w:rPr>
        <w:t>etkiler</w:t>
      </w:r>
      <w:proofErr w:type="spellEnd"/>
      <w:r w:rsidRPr="00E32006">
        <w:rPr>
          <w:lang w:val="en-US"/>
        </w:rPr>
        <w:t xml:space="preserve"> </w:t>
      </w:r>
      <w:proofErr w:type="spellStart"/>
      <w:r w:rsidRPr="00E32006">
        <w:rPr>
          <w:lang w:val="en-US"/>
        </w:rPr>
        <w:t>yaratan</w:t>
      </w:r>
      <w:proofErr w:type="spellEnd"/>
      <w:r w:rsidRPr="00E32006">
        <w:rPr>
          <w:lang w:val="en-US"/>
        </w:rPr>
        <w:t xml:space="preserve"> yeni </w:t>
      </w:r>
      <w:proofErr w:type="spellStart"/>
      <w:r w:rsidRPr="00E32006">
        <w:rPr>
          <w:lang w:val="en-US"/>
        </w:rPr>
        <w:t>düzenlemeler</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beklentiler</w:t>
      </w:r>
      <w:proofErr w:type="spellEnd"/>
      <w:r w:rsidRPr="00E32006">
        <w:rPr>
          <w:lang w:val="en-US"/>
        </w:rPr>
        <w:t xml:space="preserve"> </w:t>
      </w:r>
      <w:proofErr w:type="spellStart"/>
      <w:r w:rsidRPr="00E32006">
        <w:rPr>
          <w:lang w:val="en-US"/>
        </w:rPr>
        <w:t>eklenmiştir</w:t>
      </w:r>
      <w:proofErr w:type="spellEnd"/>
      <w:r w:rsidRPr="00E32006">
        <w:rPr>
          <w:lang w:val="en-US"/>
        </w:rPr>
        <w:t xml:space="preserve">. </w:t>
      </w:r>
      <w:proofErr w:type="spellStart"/>
      <w:r w:rsidRPr="00E32006">
        <w:rPr>
          <w:lang w:val="en-US"/>
        </w:rPr>
        <w:t>Özellikle</w:t>
      </w:r>
      <w:proofErr w:type="spellEnd"/>
      <w:r w:rsidRPr="00E32006">
        <w:rPr>
          <w:lang w:val="en-US"/>
        </w:rPr>
        <w:t xml:space="preserve"> Beyaz Saray, </w:t>
      </w:r>
      <w:proofErr w:type="spellStart"/>
      <w:r w:rsidRPr="00E32006">
        <w:rPr>
          <w:lang w:val="en-US"/>
        </w:rPr>
        <w:t>önce</w:t>
      </w:r>
      <w:proofErr w:type="spellEnd"/>
      <w:r w:rsidRPr="00E32006">
        <w:rPr>
          <w:lang w:val="en-US"/>
        </w:rPr>
        <w:t xml:space="preserve"> 1980’lerde </w:t>
      </w:r>
      <w:proofErr w:type="spellStart"/>
      <w:r w:rsidRPr="00E32006">
        <w:rPr>
          <w:lang w:val="en-US"/>
        </w:rPr>
        <w:t>temyiz</w:t>
      </w:r>
      <w:proofErr w:type="spellEnd"/>
      <w:r w:rsidRPr="00E32006">
        <w:rPr>
          <w:lang w:val="en-US"/>
        </w:rPr>
        <w:t xml:space="preserve"> </w:t>
      </w:r>
      <w:proofErr w:type="spellStart"/>
      <w:r w:rsidRPr="00E32006">
        <w:rPr>
          <w:lang w:val="en-US"/>
        </w:rPr>
        <w:t>mahkemesi</w:t>
      </w:r>
      <w:proofErr w:type="spellEnd"/>
      <w:r w:rsidRPr="00E32006">
        <w:rPr>
          <w:lang w:val="en-US"/>
        </w:rPr>
        <w:t xml:space="preserve"> </w:t>
      </w:r>
      <w:proofErr w:type="spellStart"/>
      <w:r w:rsidRPr="00E32006">
        <w:rPr>
          <w:lang w:val="en-US"/>
        </w:rPr>
        <w:t>adaylarını</w:t>
      </w:r>
      <w:proofErr w:type="spellEnd"/>
      <w:r w:rsidRPr="00E32006">
        <w:rPr>
          <w:lang w:val="en-US"/>
        </w:rPr>
        <w:t xml:space="preserve"> </w:t>
      </w:r>
      <w:proofErr w:type="spellStart"/>
      <w:r w:rsidRPr="00E32006">
        <w:rPr>
          <w:lang w:val="en-US"/>
        </w:rPr>
        <w:t>belirleme</w:t>
      </w:r>
      <w:proofErr w:type="spellEnd"/>
      <w:r w:rsidRPr="00E32006">
        <w:rPr>
          <w:lang w:val="en-US"/>
        </w:rPr>
        <w:t xml:space="preserve"> </w:t>
      </w:r>
      <w:proofErr w:type="spellStart"/>
      <w:r w:rsidRPr="00E32006">
        <w:rPr>
          <w:lang w:val="en-US"/>
        </w:rPr>
        <w:t>sürecinde</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sonra</w:t>
      </w:r>
      <w:proofErr w:type="spellEnd"/>
      <w:r w:rsidRPr="00E32006">
        <w:rPr>
          <w:lang w:val="en-US"/>
        </w:rPr>
        <w:t xml:space="preserve"> </w:t>
      </w:r>
      <w:proofErr w:type="spellStart"/>
      <w:r w:rsidRPr="00E32006">
        <w:rPr>
          <w:lang w:val="en-US"/>
        </w:rPr>
        <w:t>yakın</w:t>
      </w:r>
      <w:proofErr w:type="spellEnd"/>
      <w:r w:rsidRPr="00E32006">
        <w:rPr>
          <w:lang w:val="en-US"/>
        </w:rPr>
        <w:t xml:space="preserve"> </w:t>
      </w:r>
      <w:proofErr w:type="spellStart"/>
      <w:r w:rsidRPr="00E32006">
        <w:rPr>
          <w:lang w:val="en-US"/>
        </w:rPr>
        <w:t>dönemde</w:t>
      </w:r>
      <w:proofErr w:type="spellEnd"/>
      <w:r w:rsidRPr="00E32006">
        <w:rPr>
          <w:lang w:val="en-US"/>
        </w:rPr>
        <w:t xml:space="preserve"> </w:t>
      </w:r>
      <w:proofErr w:type="spellStart"/>
      <w:r w:rsidRPr="00E32006">
        <w:rPr>
          <w:lang w:val="en-US"/>
        </w:rPr>
        <w:t>bölge</w:t>
      </w:r>
      <w:proofErr w:type="spellEnd"/>
      <w:r w:rsidRPr="00E32006">
        <w:rPr>
          <w:lang w:val="en-US"/>
        </w:rPr>
        <w:t xml:space="preserve"> </w:t>
      </w:r>
      <w:proofErr w:type="spellStart"/>
      <w:r w:rsidRPr="00E32006">
        <w:rPr>
          <w:lang w:val="en-US"/>
        </w:rPr>
        <w:t>mahkemesi</w:t>
      </w:r>
      <w:proofErr w:type="spellEnd"/>
      <w:r w:rsidRPr="00E32006">
        <w:rPr>
          <w:lang w:val="en-US"/>
        </w:rPr>
        <w:t xml:space="preserve"> </w:t>
      </w:r>
      <w:proofErr w:type="spellStart"/>
      <w:r w:rsidRPr="00E32006">
        <w:rPr>
          <w:lang w:val="en-US"/>
        </w:rPr>
        <w:t>adayları</w:t>
      </w:r>
      <w:proofErr w:type="spellEnd"/>
      <w:r w:rsidRPr="00E32006">
        <w:rPr>
          <w:lang w:val="en-US"/>
        </w:rPr>
        <w:t xml:space="preserve"> </w:t>
      </w:r>
      <w:proofErr w:type="spellStart"/>
      <w:r w:rsidRPr="00E32006">
        <w:rPr>
          <w:lang w:val="en-US"/>
        </w:rPr>
        <w:t>sürecinde</w:t>
      </w:r>
      <w:proofErr w:type="spellEnd"/>
      <w:r w:rsidRPr="00E32006">
        <w:rPr>
          <w:lang w:val="en-US"/>
        </w:rPr>
        <w:t xml:space="preserve"> </w:t>
      </w:r>
      <w:proofErr w:type="spellStart"/>
      <w:r w:rsidRPr="00E32006">
        <w:rPr>
          <w:lang w:val="en-US"/>
        </w:rPr>
        <w:t>çok</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aktif</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rol</w:t>
      </w:r>
      <w:proofErr w:type="spellEnd"/>
      <w:r w:rsidRPr="00E32006">
        <w:rPr>
          <w:lang w:val="en-US"/>
        </w:rPr>
        <w:t xml:space="preserve"> </w:t>
      </w:r>
      <w:proofErr w:type="spellStart"/>
      <w:r w:rsidRPr="00E32006">
        <w:rPr>
          <w:lang w:val="en-US"/>
        </w:rPr>
        <w:t>üstlenmiştir</w:t>
      </w:r>
      <w:proofErr w:type="spellEnd"/>
      <w:r w:rsidRPr="00E32006">
        <w:rPr>
          <w:lang w:val="en-US"/>
        </w:rPr>
        <w:t xml:space="preserve">. </w:t>
      </w:r>
      <w:proofErr w:type="spellStart"/>
      <w:r w:rsidRPr="00E32006">
        <w:rPr>
          <w:lang w:val="en-US"/>
        </w:rPr>
        <w:t>Seçmen</w:t>
      </w:r>
      <w:proofErr w:type="spellEnd"/>
      <w:r w:rsidRPr="00E32006">
        <w:rPr>
          <w:lang w:val="en-US"/>
        </w:rPr>
        <w:t xml:space="preserve"> </w:t>
      </w:r>
      <w:proofErr w:type="spellStart"/>
      <w:r w:rsidRPr="00E32006">
        <w:rPr>
          <w:lang w:val="en-US"/>
        </w:rPr>
        <w:t>grupları</w:t>
      </w:r>
      <w:proofErr w:type="spellEnd"/>
      <w:r w:rsidRPr="00E32006">
        <w:rPr>
          <w:lang w:val="en-US"/>
        </w:rPr>
        <w:t xml:space="preserve">, alt </w:t>
      </w:r>
      <w:proofErr w:type="spellStart"/>
      <w:r w:rsidRPr="00E32006">
        <w:rPr>
          <w:lang w:val="en-US"/>
        </w:rPr>
        <w:t>mahkemelere</w:t>
      </w:r>
      <w:proofErr w:type="spellEnd"/>
      <w:r w:rsidRPr="00E32006">
        <w:rPr>
          <w:lang w:val="en-US"/>
        </w:rPr>
        <w:t xml:space="preserve"> </w:t>
      </w:r>
      <w:proofErr w:type="spellStart"/>
      <w:r w:rsidRPr="00E32006">
        <w:rPr>
          <w:lang w:val="en-US"/>
        </w:rPr>
        <w:t>yapılan</w:t>
      </w:r>
      <w:proofErr w:type="spellEnd"/>
      <w:r w:rsidRPr="00E32006">
        <w:rPr>
          <w:lang w:val="en-US"/>
        </w:rPr>
        <w:t xml:space="preserve"> </w:t>
      </w:r>
      <w:proofErr w:type="spellStart"/>
      <w:r w:rsidRPr="00E32006">
        <w:rPr>
          <w:lang w:val="en-US"/>
        </w:rPr>
        <w:t>atamaların</w:t>
      </w:r>
      <w:proofErr w:type="spellEnd"/>
      <w:r w:rsidRPr="00E32006">
        <w:rPr>
          <w:lang w:val="en-US"/>
        </w:rPr>
        <w:t xml:space="preserve"> </w:t>
      </w:r>
      <w:proofErr w:type="spellStart"/>
      <w:r w:rsidRPr="00E32006">
        <w:rPr>
          <w:lang w:val="en-US"/>
        </w:rPr>
        <w:t>sonuçları</w:t>
      </w:r>
      <w:proofErr w:type="spellEnd"/>
      <w:r w:rsidRPr="00E32006">
        <w:rPr>
          <w:lang w:val="en-US"/>
        </w:rPr>
        <w:t xml:space="preserve"> </w:t>
      </w:r>
      <w:proofErr w:type="spellStart"/>
      <w:r w:rsidRPr="00E32006">
        <w:rPr>
          <w:lang w:val="en-US"/>
        </w:rPr>
        <w:t>konusunda</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bilinçli</w:t>
      </w:r>
      <w:proofErr w:type="spellEnd"/>
      <w:r w:rsidRPr="00E32006">
        <w:rPr>
          <w:lang w:val="en-US"/>
        </w:rPr>
        <w:t xml:space="preserve"> </w:t>
      </w:r>
      <w:proofErr w:type="spellStart"/>
      <w:r w:rsidRPr="00E32006">
        <w:rPr>
          <w:lang w:val="en-US"/>
        </w:rPr>
        <w:t>hâle</w:t>
      </w:r>
      <w:proofErr w:type="spellEnd"/>
      <w:r w:rsidRPr="00E32006">
        <w:rPr>
          <w:lang w:val="en-US"/>
        </w:rPr>
        <w:t xml:space="preserve"> </w:t>
      </w:r>
      <w:proofErr w:type="spellStart"/>
      <w:r w:rsidRPr="00E32006">
        <w:rPr>
          <w:lang w:val="en-US"/>
        </w:rPr>
        <w:t>gelmiş</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adayların</w:t>
      </w:r>
      <w:proofErr w:type="spellEnd"/>
      <w:r w:rsidRPr="00E32006">
        <w:rPr>
          <w:lang w:val="en-US"/>
        </w:rPr>
        <w:t xml:space="preserve"> </w:t>
      </w:r>
      <w:proofErr w:type="spellStart"/>
      <w:r w:rsidRPr="00E32006">
        <w:rPr>
          <w:lang w:val="en-US"/>
        </w:rPr>
        <w:t>hukuki</w:t>
      </w:r>
      <w:proofErr w:type="spellEnd"/>
      <w:r w:rsidRPr="00E32006">
        <w:rPr>
          <w:lang w:val="en-US"/>
        </w:rPr>
        <w:t xml:space="preserve"> </w:t>
      </w:r>
      <w:proofErr w:type="spellStart"/>
      <w:r w:rsidRPr="00E32006">
        <w:rPr>
          <w:lang w:val="en-US"/>
        </w:rPr>
        <w:t>ve</w:t>
      </w:r>
      <w:proofErr w:type="spellEnd"/>
      <w:r w:rsidRPr="00E32006">
        <w:rPr>
          <w:lang w:val="en-US"/>
        </w:rPr>
        <w:t>/</w:t>
      </w:r>
      <w:proofErr w:type="spellStart"/>
      <w:r w:rsidRPr="00E32006">
        <w:rPr>
          <w:lang w:val="en-US"/>
        </w:rPr>
        <w:t>veya</w:t>
      </w:r>
      <w:proofErr w:type="spellEnd"/>
      <w:r w:rsidRPr="00E32006">
        <w:rPr>
          <w:lang w:val="en-US"/>
        </w:rPr>
        <w:t xml:space="preserve"> </w:t>
      </w:r>
      <w:proofErr w:type="spellStart"/>
      <w:r w:rsidRPr="00E32006">
        <w:rPr>
          <w:lang w:val="en-US"/>
        </w:rPr>
        <w:t>siyasi</w:t>
      </w:r>
      <w:proofErr w:type="spellEnd"/>
      <w:r w:rsidRPr="00E32006">
        <w:rPr>
          <w:lang w:val="en-US"/>
        </w:rPr>
        <w:t xml:space="preserve"> </w:t>
      </w:r>
      <w:proofErr w:type="spellStart"/>
      <w:r w:rsidRPr="00E32006">
        <w:rPr>
          <w:lang w:val="en-US"/>
        </w:rPr>
        <w:t>değerlerini</w:t>
      </w:r>
      <w:proofErr w:type="spellEnd"/>
      <w:r w:rsidRPr="00E32006">
        <w:rPr>
          <w:lang w:val="en-US"/>
        </w:rPr>
        <w:t xml:space="preserve"> </w:t>
      </w:r>
      <w:proofErr w:type="spellStart"/>
      <w:r w:rsidRPr="00E32006">
        <w:rPr>
          <w:lang w:val="en-US"/>
        </w:rPr>
        <w:t>paylaşmaları</w:t>
      </w:r>
      <w:proofErr w:type="spellEnd"/>
      <w:r w:rsidRPr="00E32006">
        <w:rPr>
          <w:lang w:val="en-US"/>
        </w:rPr>
        <w:t xml:space="preserve"> </w:t>
      </w:r>
      <w:proofErr w:type="spellStart"/>
      <w:r w:rsidRPr="00E32006">
        <w:rPr>
          <w:lang w:val="en-US"/>
        </w:rPr>
        <w:t>konusunda</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ısrarcı</w:t>
      </w:r>
      <w:proofErr w:type="spellEnd"/>
      <w:r w:rsidRPr="00E32006">
        <w:rPr>
          <w:lang w:val="en-US"/>
        </w:rPr>
        <w:t xml:space="preserve"> </w:t>
      </w:r>
      <w:proofErr w:type="spellStart"/>
      <w:r w:rsidRPr="00E32006">
        <w:rPr>
          <w:lang w:val="en-US"/>
        </w:rPr>
        <w:t>olmuştur</w:t>
      </w:r>
      <w:proofErr w:type="spellEnd"/>
      <w:r w:rsidRPr="00E32006">
        <w:rPr>
          <w:lang w:val="en-US"/>
        </w:rPr>
        <w:t xml:space="preserve">. </w:t>
      </w:r>
      <w:proofErr w:type="spellStart"/>
      <w:r w:rsidRPr="00E32006">
        <w:rPr>
          <w:lang w:val="en-US"/>
        </w:rPr>
        <w:t>Ayrıca</w:t>
      </w:r>
      <w:proofErr w:type="spellEnd"/>
      <w:r w:rsidRPr="00E32006">
        <w:rPr>
          <w:lang w:val="en-US"/>
        </w:rPr>
        <w:t xml:space="preserve"> Beyaz Saray </w:t>
      </w:r>
      <w:proofErr w:type="spellStart"/>
      <w:r w:rsidRPr="00E32006">
        <w:rPr>
          <w:lang w:val="en-US"/>
        </w:rPr>
        <w:t>ve</w:t>
      </w:r>
      <w:proofErr w:type="spellEnd"/>
      <w:r w:rsidRPr="00E32006">
        <w:rPr>
          <w:lang w:val="en-US"/>
        </w:rPr>
        <w:t xml:space="preserve"> Senato, </w:t>
      </w:r>
      <w:proofErr w:type="spellStart"/>
      <w:r w:rsidRPr="00E32006">
        <w:rPr>
          <w:lang w:val="en-US"/>
        </w:rPr>
        <w:t>adayları</w:t>
      </w:r>
      <w:proofErr w:type="spellEnd"/>
      <w:r w:rsidRPr="00E32006">
        <w:rPr>
          <w:lang w:val="en-US"/>
        </w:rPr>
        <w:t xml:space="preserve"> </w:t>
      </w:r>
      <w:proofErr w:type="spellStart"/>
      <w:r w:rsidRPr="00E32006">
        <w:rPr>
          <w:lang w:val="en-US"/>
        </w:rPr>
        <w:t>atama</w:t>
      </w:r>
      <w:proofErr w:type="spellEnd"/>
      <w:r w:rsidRPr="00E32006">
        <w:rPr>
          <w:lang w:val="en-US"/>
        </w:rPr>
        <w:t xml:space="preserve"> </w:t>
      </w:r>
      <w:proofErr w:type="spellStart"/>
      <w:r w:rsidRPr="00E32006">
        <w:rPr>
          <w:lang w:val="en-US"/>
        </w:rPr>
        <w:t>ve</w:t>
      </w:r>
      <w:proofErr w:type="spellEnd"/>
      <w:r w:rsidRPr="00E32006">
        <w:rPr>
          <w:lang w:val="en-US"/>
        </w:rPr>
        <w:t xml:space="preserve"> </w:t>
      </w:r>
      <w:proofErr w:type="spellStart"/>
      <w:r w:rsidRPr="00E32006">
        <w:rPr>
          <w:lang w:val="en-US"/>
        </w:rPr>
        <w:t>onaylama</w:t>
      </w:r>
      <w:proofErr w:type="spellEnd"/>
      <w:r w:rsidRPr="00E32006">
        <w:rPr>
          <w:lang w:val="en-US"/>
        </w:rPr>
        <w:t xml:space="preserve"> </w:t>
      </w:r>
      <w:proofErr w:type="spellStart"/>
      <w:r w:rsidRPr="00E32006">
        <w:rPr>
          <w:lang w:val="en-US"/>
        </w:rPr>
        <w:t>süreçlerinde</w:t>
      </w:r>
      <w:proofErr w:type="spellEnd"/>
      <w:r w:rsidRPr="00E32006">
        <w:rPr>
          <w:lang w:val="en-US"/>
        </w:rPr>
        <w:t xml:space="preserve">, </w:t>
      </w:r>
      <w:proofErr w:type="spellStart"/>
      <w:r w:rsidRPr="00E32006">
        <w:rPr>
          <w:lang w:val="en-US"/>
        </w:rPr>
        <w:t>adayların</w:t>
      </w:r>
      <w:proofErr w:type="spellEnd"/>
      <w:r w:rsidRPr="00E32006">
        <w:rPr>
          <w:lang w:val="en-US"/>
        </w:rPr>
        <w:t xml:space="preserve"> </w:t>
      </w:r>
      <w:proofErr w:type="spellStart"/>
      <w:r w:rsidRPr="00E32006">
        <w:rPr>
          <w:lang w:val="en-US"/>
        </w:rPr>
        <w:t>öngörülen</w:t>
      </w:r>
      <w:proofErr w:type="spellEnd"/>
      <w:r w:rsidRPr="00E32006">
        <w:rPr>
          <w:lang w:val="en-US"/>
        </w:rPr>
        <w:t xml:space="preserve"> </w:t>
      </w:r>
      <w:proofErr w:type="spellStart"/>
      <w:r w:rsidRPr="00E32006">
        <w:rPr>
          <w:lang w:val="en-US"/>
        </w:rPr>
        <w:t>hukuki</w:t>
      </w:r>
      <w:proofErr w:type="spellEnd"/>
      <w:r w:rsidRPr="00E32006">
        <w:rPr>
          <w:lang w:val="en-US"/>
        </w:rPr>
        <w:t xml:space="preserve"> </w:t>
      </w:r>
      <w:proofErr w:type="spellStart"/>
      <w:r w:rsidRPr="00E32006">
        <w:rPr>
          <w:lang w:val="en-US"/>
        </w:rPr>
        <w:t>yaklaşımlarını</w:t>
      </w:r>
      <w:proofErr w:type="spellEnd"/>
      <w:r w:rsidRPr="00E32006">
        <w:rPr>
          <w:lang w:val="en-US"/>
        </w:rPr>
        <w:t xml:space="preserve"> </w:t>
      </w:r>
      <w:proofErr w:type="spellStart"/>
      <w:r w:rsidRPr="00E32006">
        <w:rPr>
          <w:lang w:val="en-US"/>
        </w:rPr>
        <w:t>daha</w:t>
      </w:r>
      <w:proofErr w:type="spellEnd"/>
      <w:r w:rsidRPr="00E32006">
        <w:rPr>
          <w:lang w:val="en-US"/>
        </w:rPr>
        <w:t xml:space="preserve"> </w:t>
      </w:r>
      <w:proofErr w:type="spellStart"/>
      <w:r w:rsidRPr="00E32006">
        <w:rPr>
          <w:lang w:val="en-US"/>
        </w:rPr>
        <w:t>açık</w:t>
      </w:r>
      <w:proofErr w:type="spellEnd"/>
      <w:r w:rsidRPr="00E32006">
        <w:rPr>
          <w:lang w:val="en-US"/>
        </w:rPr>
        <w:t xml:space="preserve"> </w:t>
      </w:r>
      <w:proofErr w:type="spellStart"/>
      <w:r w:rsidRPr="00E32006">
        <w:rPr>
          <w:lang w:val="en-US"/>
        </w:rPr>
        <w:t>bir</w:t>
      </w:r>
      <w:proofErr w:type="spellEnd"/>
      <w:r w:rsidRPr="00E32006">
        <w:rPr>
          <w:lang w:val="en-US"/>
        </w:rPr>
        <w:t xml:space="preserve"> </w:t>
      </w:r>
      <w:proofErr w:type="spellStart"/>
      <w:r w:rsidRPr="00E32006">
        <w:rPr>
          <w:lang w:val="en-US"/>
        </w:rPr>
        <w:t>şekilde</w:t>
      </w:r>
      <w:proofErr w:type="spellEnd"/>
      <w:r w:rsidRPr="00E32006">
        <w:rPr>
          <w:lang w:val="en-US"/>
        </w:rPr>
        <w:t xml:space="preserve"> </w:t>
      </w:r>
      <w:proofErr w:type="spellStart"/>
      <w:r w:rsidRPr="00E32006">
        <w:rPr>
          <w:lang w:val="en-US"/>
        </w:rPr>
        <w:t>dikkate</w:t>
      </w:r>
      <w:proofErr w:type="spellEnd"/>
      <w:r w:rsidRPr="00E32006">
        <w:rPr>
          <w:lang w:val="en-US"/>
        </w:rPr>
        <w:t xml:space="preserve"> </w:t>
      </w:r>
      <w:proofErr w:type="spellStart"/>
      <w:r w:rsidRPr="00E32006">
        <w:rPr>
          <w:lang w:val="en-US"/>
        </w:rPr>
        <w:t>almaya</w:t>
      </w:r>
      <w:proofErr w:type="spellEnd"/>
      <w:r w:rsidRPr="00E32006">
        <w:rPr>
          <w:lang w:val="en-US"/>
        </w:rPr>
        <w:t xml:space="preserve"> başlamıştır.¹³⁴</w:t>
      </w:r>
      <w:r>
        <w:rPr>
          <w:lang w:val="en-US"/>
        </w:rPr>
        <w:t xml:space="preserve"> </w:t>
      </w:r>
      <w:r>
        <w:rPr>
          <w:rStyle w:val="FootnoteReference"/>
          <w:lang w:val="en-US"/>
        </w:rPr>
        <w:footnoteReference w:id="134"/>
      </w:r>
    </w:p>
    <w:p w14:paraId="7CE1EEAF" w14:textId="129C22B6" w:rsidR="006A7E73" w:rsidRDefault="006A7E73" w:rsidP="006A7E73">
      <w:pPr>
        <w:rPr>
          <w:lang w:val="en-US"/>
        </w:rPr>
      </w:pPr>
      <w:proofErr w:type="spellStart"/>
      <w:r w:rsidRPr="006A7E73">
        <w:rPr>
          <w:lang w:val="en-US"/>
        </w:rPr>
        <w:t>Mahkemelerle</w:t>
      </w:r>
      <w:proofErr w:type="spellEnd"/>
      <w:r w:rsidRPr="006A7E73">
        <w:rPr>
          <w:lang w:val="en-US"/>
        </w:rPr>
        <w:t xml:space="preserve"> </w:t>
      </w:r>
      <w:proofErr w:type="spellStart"/>
      <w:r w:rsidRPr="006A7E73">
        <w:rPr>
          <w:lang w:val="en-US"/>
        </w:rPr>
        <w:t>ilgili</w:t>
      </w:r>
      <w:proofErr w:type="spellEnd"/>
      <w:r w:rsidRPr="006A7E73">
        <w:rPr>
          <w:lang w:val="en-US"/>
        </w:rPr>
        <w:t xml:space="preserve"> </w:t>
      </w:r>
      <w:proofErr w:type="spellStart"/>
      <w:r w:rsidRPr="006A7E73">
        <w:rPr>
          <w:lang w:val="en-US"/>
        </w:rPr>
        <w:t>basın</w:t>
      </w:r>
      <w:proofErr w:type="spellEnd"/>
      <w:r w:rsidRPr="006A7E73">
        <w:rPr>
          <w:lang w:val="en-US"/>
        </w:rPr>
        <w:t xml:space="preserve"> </w:t>
      </w:r>
      <w:proofErr w:type="spellStart"/>
      <w:r w:rsidRPr="006A7E73">
        <w:rPr>
          <w:lang w:val="en-US"/>
        </w:rPr>
        <w:t>haberleri</w:t>
      </w:r>
      <w:proofErr w:type="spellEnd"/>
      <w:r w:rsidRPr="006A7E73">
        <w:rPr>
          <w:lang w:val="en-US"/>
        </w:rPr>
        <w:t xml:space="preserve">, </w:t>
      </w:r>
      <w:proofErr w:type="spellStart"/>
      <w:r w:rsidRPr="006A7E73">
        <w:rPr>
          <w:lang w:val="en-US"/>
        </w:rPr>
        <w:t>temyiz</w:t>
      </w:r>
      <w:proofErr w:type="spellEnd"/>
      <w:r w:rsidRPr="006A7E73">
        <w:rPr>
          <w:lang w:val="en-US"/>
        </w:rPr>
        <w:t xml:space="preserve"> </w:t>
      </w:r>
      <w:proofErr w:type="spellStart"/>
      <w:r w:rsidRPr="006A7E73">
        <w:rPr>
          <w:lang w:val="en-US"/>
        </w:rPr>
        <w:t>mahkemesi</w:t>
      </w:r>
      <w:proofErr w:type="spellEnd"/>
      <w:r w:rsidRPr="006A7E73">
        <w:rPr>
          <w:lang w:val="en-US"/>
        </w:rPr>
        <w:t xml:space="preserve"> </w:t>
      </w:r>
      <w:proofErr w:type="spellStart"/>
      <w:r w:rsidRPr="006A7E73">
        <w:rPr>
          <w:lang w:val="en-US"/>
        </w:rPr>
        <w:t>atamalarındaki</w:t>
      </w:r>
      <w:proofErr w:type="spellEnd"/>
      <w:r w:rsidRPr="006A7E73">
        <w:rPr>
          <w:lang w:val="en-US"/>
        </w:rPr>
        <w:t xml:space="preserve"> </w:t>
      </w:r>
      <w:proofErr w:type="spellStart"/>
      <w:r w:rsidRPr="006A7E73">
        <w:rPr>
          <w:lang w:val="en-US"/>
        </w:rPr>
        <w:t>giderek</w:t>
      </w:r>
      <w:proofErr w:type="spellEnd"/>
      <w:r w:rsidRPr="006A7E73">
        <w:rPr>
          <w:lang w:val="en-US"/>
        </w:rPr>
        <w:t xml:space="preserve"> </w:t>
      </w:r>
      <w:proofErr w:type="spellStart"/>
      <w:r w:rsidRPr="006A7E73">
        <w:rPr>
          <w:lang w:val="en-US"/>
        </w:rPr>
        <w:t>artan</w:t>
      </w:r>
      <w:proofErr w:type="spellEnd"/>
      <w:r w:rsidRPr="006A7E73">
        <w:rPr>
          <w:lang w:val="en-US"/>
        </w:rPr>
        <w:t xml:space="preserve"> partizan </w:t>
      </w:r>
      <w:proofErr w:type="spellStart"/>
      <w:r w:rsidRPr="006A7E73">
        <w:rPr>
          <w:lang w:val="en-US"/>
        </w:rPr>
        <w:t>tonu</w:t>
      </w:r>
      <w:proofErr w:type="spellEnd"/>
      <w:r w:rsidRPr="006A7E73">
        <w:rPr>
          <w:lang w:val="en-US"/>
        </w:rPr>
        <w:t xml:space="preserve"> hem </w:t>
      </w:r>
      <w:proofErr w:type="spellStart"/>
      <w:r w:rsidRPr="006A7E73">
        <w:rPr>
          <w:lang w:val="en-US"/>
        </w:rPr>
        <w:t>yansıtmış</w:t>
      </w:r>
      <w:proofErr w:type="spellEnd"/>
      <w:r w:rsidRPr="006A7E73">
        <w:rPr>
          <w:lang w:val="en-US"/>
        </w:rPr>
        <w:t xml:space="preserve"> hem de </w:t>
      </w:r>
      <w:proofErr w:type="spellStart"/>
      <w:r w:rsidRPr="006A7E73">
        <w:rPr>
          <w:lang w:val="en-US"/>
        </w:rPr>
        <w:t>körüklemiştir</w:t>
      </w:r>
      <w:proofErr w:type="spellEnd"/>
      <w:r w:rsidRPr="006A7E73">
        <w:rPr>
          <w:lang w:val="en-US"/>
        </w:rPr>
        <w:t xml:space="preserve">. </w:t>
      </w:r>
      <w:proofErr w:type="spellStart"/>
      <w:r w:rsidRPr="006A7E73">
        <w:rPr>
          <w:lang w:val="en-US"/>
        </w:rPr>
        <w:t>Örneğin</w:t>
      </w:r>
      <w:proofErr w:type="spellEnd"/>
      <w:r w:rsidRPr="006A7E73">
        <w:rPr>
          <w:lang w:val="en-US"/>
        </w:rPr>
        <w:t xml:space="preserve">, alt </w:t>
      </w:r>
      <w:proofErr w:type="spellStart"/>
      <w:r w:rsidRPr="006A7E73">
        <w:rPr>
          <w:lang w:val="en-US"/>
        </w:rPr>
        <w:t>mahkemelerin</w:t>
      </w:r>
      <w:proofErr w:type="spellEnd"/>
      <w:r w:rsidRPr="006A7E73">
        <w:rPr>
          <w:lang w:val="en-US"/>
        </w:rPr>
        <w:t xml:space="preserve"> </w:t>
      </w:r>
      <w:proofErr w:type="spellStart"/>
      <w:r w:rsidRPr="006A7E73">
        <w:rPr>
          <w:lang w:val="en-US"/>
        </w:rPr>
        <w:t>kararlarını</w:t>
      </w:r>
      <w:proofErr w:type="spellEnd"/>
      <w:r w:rsidRPr="006A7E73">
        <w:rPr>
          <w:lang w:val="en-US"/>
        </w:rPr>
        <w:t xml:space="preserve"> </w:t>
      </w:r>
      <w:proofErr w:type="spellStart"/>
      <w:r w:rsidRPr="006A7E73">
        <w:rPr>
          <w:lang w:val="en-US"/>
        </w:rPr>
        <w:t>rapor</w:t>
      </w:r>
      <w:proofErr w:type="spellEnd"/>
      <w:r w:rsidRPr="006A7E73">
        <w:rPr>
          <w:lang w:val="en-US"/>
        </w:rPr>
        <w:t xml:space="preserve"> </w:t>
      </w:r>
      <w:proofErr w:type="spellStart"/>
      <w:r w:rsidRPr="006A7E73">
        <w:rPr>
          <w:lang w:val="en-US"/>
        </w:rPr>
        <w:t>ederken</w:t>
      </w:r>
      <w:proofErr w:type="spellEnd"/>
      <w:r w:rsidRPr="006A7E73">
        <w:rPr>
          <w:lang w:val="en-US"/>
        </w:rPr>
        <w:t xml:space="preserve">, </w:t>
      </w:r>
      <w:proofErr w:type="spellStart"/>
      <w:r w:rsidRPr="006A7E73">
        <w:rPr>
          <w:lang w:val="en-US"/>
        </w:rPr>
        <w:t>sistematik</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kararı</w:t>
      </w:r>
      <w:proofErr w:type="spellEnd"/>
      <w:r w:rsidRPr="006A7E73">
        <w:rPr>
          <w:lang w:val="en-US"/>
        </w:rPr>
        <w:t xml:space="preserve"> </w:t>
      </w:r>
      <w:proofErr w:type="spellStart"/>
      <w:r w:rsidRPr="006A7E73">
        <w:rPr>
          <w:lang w:val="en-US"/>
        </w:rPr>
        <w:t>veren</w:t>
      </w:r>
      <w:proofErr w:type="spellEnd"/>
      <w:r w:rsidRPr="006A7E73">
        <w:rPr>
          <w:lang w:val="en-US"/>
        </w:rPr>
        <w:t xml:space="preserve"> </w:t>
      </w:r>
      <w:proofErr w:type="spellStart"/>
      <w:r w:rsidRPr="006A7E73">
        <w:rPr>
          <w:lang w:val="en-US"/>
        </w:rPr>
        <w:t>yargıçların</w:t>
      </w:r>
      <w:proofErr w:type="spellEnd"/>
      <w:r w:rsidRPr="006A7E73">
        <w:rPr>
          <w:lang w:val="en-US"/>
        </w:rPr>
        <w:t xml:space="preserve"> hangi Başkan </w:t>
      </w:r>
      <w:proofErr w:type="spellStart"/>
      <w:r w:rsidRPr="006A7E73">
        <w:rPr>
          <w:lang w:val="en-US"/>
        </w:rPr>
        <w:t>tarafından</w:t>
      </w:r>
      <w:proofErr w:type="spellEnd"/>
      <w:r w:rsidRPr="006A7E73">
        <w:rPr>
          <w:lang w:val="en-US"/>
        </w:rPr>
        <w:t xml:space="preserve"> </w:t>
      </w:r>
      <w:proofErr w:type="spellStart"/>
      <w:r w:rsidRPr="006A7E73">
        <w:rPr>
          <w:lang w:val="en-US"/>
        </w:rPr>
        <w:t>atandığını</w:t>
      </w:r>
      <w:proofErr w:type="spellEnd"/>
      <w:r w:rsidRPr="006A7E73">
        <w:rPr>
          <w:lang w:val="en-US"/>
        </w:rPr>
        <w:t xml:space="preserve"> </w:t>
      </w:r>
      <w:proofErr w:type="spellStart"/>
      <w:r w:rsidRPr="006A7E73">
        <w:rPr>
          <w:lang w:val="en-US"/>
        </w:rPr>
        <w:t>belirtmek</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eğilimin</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parçası</w:t>
      </w:r>
      <w:proofErr w:type="spellEnd"/>
      <w:r w:rsidRPr="006A7E73">
        <w:rPr>
          <w:lang w:val="en-US"/>
        </w:rPr>
        <w:t xml:space="preserve"> olmuştur.¹³⁵</w:t>
      </w:r>
      <w:r>
        <w:rPr>
          <w:lang w:val="en-US"/>
        </w:rPr>
        <w:t xml:space="preserve"> </w:t>
      </w:r>
      <w:r>
        <w:rPr>
          <w:rStyle w:val="FootnoteReference"/>
          <w:lang w:val="en-US"/>
        </w:rPr>
        <w:footnoteReference w:id="135"/>
      </w:r>
      <w:r w:rsidRPr="006A7E73">
        <w:rPr>
          <w:lang w:val="en-US"/>
        </w:rPr>
        <w:t xml:space="preserve"> </w:t>
      </w:r>
      <w:proofErr w:type="spellStart"/>
      <w:r w:rsidRPr="006A7E73">
        <w:rPr>
          <w:lang w:val="en-US"/>
        </w:rPr>
        <w:t>Birçok</w:t>
      </w:r>
      <w:proofErr w:type="spellEnd"/>
      <w:r w:rsidRPr="006A7E73">
        <w:rPr>
          <w:lang w:val="en-US"/>
        </w:rPr>
        <w:t xml:space="preserve"> </w:t>
      </w:r>
      <w:proofErr w:type="spellStart"/>
      <w:r w:rsidRPr="006A7E73">
        <w:rPr>
          <w:lang w:val="en-US"/>
        </w:rPr>
        <w:t>yargıç</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bazen</w:t>
      </w:r>
      <w:proofErr w:type="spellEnd"/>
      <w:r w:rsidRPr="006A7E73">
        <w:rPr>
          <w:lang w:val="en-US"/>
        </w:rPr>
        <w:t xml:space="preserve"> </w:t>
      </w:r>
      <w:proofErr w:type="spellStart"/>
      <w:r w:rsidRPr="006A7E73">
        <w:rPr>
          <w:lang w:val="en-US"/>
        </w:rPr>
        <w:t>akademisyenler</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tür</w:t>
      </w:r>
      <w:proofErr w:type="spellEnd"/>
      <w:r w:rsidRPr="006A7E73">
        <w:rPr>
          <w:lang w:val="en-US"/>
        </w:rPr>
        <w:t xml:space="preserve"> </w:t>
      </w:r>
      <w:proofErr w:type="spellStart"/>
      <w:r w:rsidRPr="006A7E73">
        <w:rPr>
          <w:lang w:val="en-US"/>
        </w:rPr>
        <w:t>referansları</w:t>
      </w:r>
      <w:proofErr w:type="spellEnd"/>
      <w:r w:rsidRPr="006A7E73">
        <w:rPr>
          <w:lang w:val="en-US"/>
        </w:rPr>
        <w:t xml:space="preserve"> </w:t>
      </w:r>
      <w:proofErr w:type="spellStart"/>
      <w:r w:rsidRPr="006A7E73">
        <w:rPr>
          <w:lang w:val="en-US"/>
        </w:rPr>
        <w:t>indirgemeci</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eleştirse</w:t>
      </w:r>
      <w:proofErr w:type="spellEnd"/>
      <w:r w:rsidRPr="006A7E73">
        <w:rPr>
          <w:lang w:val="en-US"/>
        </w:rPr>
        <w:t xml:space="preserve"> de,¹³⁶</w:t>
      </w:r>
      <w:r>
        <w:rPr>
          <w:lang w:val="en-US"/>
        </w:rPr>
        <w:t xml:space="preserve"> </w:t>
      </w:r>
      <w:r>
        <w:rPr>
          <w:rStyle w:val="FootnoteReference"/>
          <w:lang w:val="en-US"/>
        </w:rPr>
        <w:footnoteReference w:id="136"/>
      </w:r>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bilgiler</w:t>
      </w:r>
      <w:proofErr w:type="spellEnd"/>
      <w:r w:rsidRPr="006A7E73">
        <w:rPr>
          <w:lang w:val="en-US"/>
        </w:rPr>
        <w:t xml:space="preserve">, </w:t>
      </w:r>
      <w:proofErr w:type="spellStart"/>
      <w:r w:rsidRPr="006A7E73">
        <w:rPr>
          <w:lang w:val="en-US"/>
        </w:rPr>
        <w:t>gazeteciler</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genel</w:t>
      </w:r>
      <w:proofErr w:type="spellEnd"/>
      <w:r w:rsidRPr="006A7E73">
        <w:rPr>
          <w:lang w:val="en-US"/>
        </w:rPr>
        <w:t xml:space="preserve"> </w:t>
      </w:r>
      <w:proofErr w:type="spellStart"/>
      <w:r w:rsidRPr="006A7E73">
        <w:rPr>
          <w:lang w:val="en-US"/>
        </w:rPr>
        <w:t>kamuoyu</w:t>
      </w:r>
      <w:proofErr w:type="spellEnd"/>
      <w:r w:rsidRPr="006A7E73">
        <w:rPr>
          <w:lang w:val="en-US"/>
        </w:rPr>
        <w:t xml:space="preserve"> </w:t>
      </w:r>
      <w:proofErr w:type="spellStart"/>
      <w:r w:rsidRPr="006A7E73">
        <w:rPr>
          <w:lang w:val="en-US"/>
        </w:rPr>
        <w:t>tarafından</w:t>
      </w:r>
      <w:proofErr w:type="spellEnd"/>
      <w:r w:rsidRPr="006A7E73">
        <w:rPr>
          <w:lang w:val="en-US"/>
        </w:rPr>
        <w:t xml:space="preserve"> </w:t>
      </w:r>
      <w:proofErr w:type="spellStart"/>
      <w:r w:rsidRPr="006A7E73">
        <w:rPr>
          <w:lang w:val="en-US"/>
        </w:rPr>
        <w:t>çağdaş</w:t>
      </w:r>
      <w:proofErr w:type="spellEnd"/>
      <w:r w:rsidRPr="006A7E73">
        <w:rPr>
          <w:lang w:val="en-US"/>
        </w:rPr>
        <w:t xml:space="preserve"> </w:t>
      </w:r>
      <w:proofErr w:type="spellStart"/>
      <w:r w:rsidRPr="006A7E73">
        <w:rPr>
          <w:lang w:val="en-US"/>
        </w:rPr>
        <w:t>yargı</w:t>
      </w:r>
      <w:proofErr w:type="spellEnd"/>
      <w:r w:rsidRPr="006A7E73">
        <w:rPr>
          <w:lang w:val="en-US"/>
        </w:rPr>
        <w:t xml:space="preserve"> </w:t>
      </w:r>
      <w:proofErr w:type="spellStart"/>
      <w:r w:rsidRPr="006A7E73">
        <w:rPr>
          <w:lang w:val="en-US"/>
        </w:rPr>
        <w:t>kararlarını</w:t>
      </w:r>
      <w:proofErr w:type="spellEnd"/>
      <w:r w:rsidRPr="006A7E73">
        <w:rPr>
          <w:lang w:val="en-US"/>
        </w:rPr>
        <w:t xml:space="preserve"> </w:t>
      </w:r>
      <w:proofErr w:type="spellStart"/>
      <w:r w:rsidRPr="006A7E73">
        <w:rPr>
          <w:lang w:val="en-US"/>
        </w:rPr>
        <w:t>değerlendirmede</w:t>
      </w:r>
      <w:proofErr w:type="spellEnd"/>
      <w:r w:rsidRPr="006A7E73">
        <w:rPr>
          <w:lang w:val="en-US"/>
        </w:rPr>
        <w:t xml:space="preserve"> </w:t>
      </w:r>
      <w:proofErr w:type="spellStart"/>
      <w:r w:rsidRPr="006A7E73">
        <w:rPr>
          <w:lang w:val="en-US"/>
        </w:rPr>
        <w:t>anlamlı</w:t>
      </w:r>
      <w:proofErr w:type="spellEnd"/>
      <w:r w:rsidRPr="006A7E73">
        <w:rPr>
          <w:lang w:val="en-US"/>
        </w:rPr>
        <w:t xml:space="preserve"> </w:t>
      </w:r>
      <w:proofErr w:type="spellStart"/>
      <w:r w:rsidRPr="006A7E73">
        <w:rPr>
          <w:lang w:val="en-US"/>
        </w:rPr>
        <w:t>görülen</w:t>
      </w:r>
      <w:proofErr w:type="spellEnd"/>
      <w:r w:rsidRPr="006A7E73">
        <w:rPr>
          <w:lang w:val="en-US"/>
        </w:rPr>
        <w:t xml:space="preserve"> </w:t>
      </w:r>
      <w:proofErr w:type="spellStart"/>
      <w:r w:rsidRPr="006A7E73">
        <w:rPr>
          <w:lang w:val="en-US"/>
        </w:rPr>
        <w:t>kısa</w:t>
      </w:r>
      <w:proofErr w:type="spellEnd"/>
      <w:r w:rsidRPr="006A7E73">
        <w:rPr>
          <w:lang w:val="en-US"/>
        </w:rPr>
        <w:t xml:space="preserve"> </w:t>
      </w:r>
      <w:proofErr w:type="spellStart"/>
      <w:r w:rsidRPr="006A7E73">
        <w:rPr>
          <w:lang w:val="en-US"/>
        </w:rPr>
        <w:t>bilgiler</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algılanmaktadır</w:t>
      </w:r>
      <w:proofErr w:type="spellEnd"/>
      <w:r w:rsidRPr="006A7E73">
        <w:rPr>
          <w:lang w:val="en-US"/>
        </w:rPr>
        <w:t>.</w:t>
      </w:r>
      <w:r w:rsidRPr="006A7E73">
        <w:rPr>
          <w:lang w:val="en-US"/>
        </w:rPr>
        <w:t xml:space="preserve"> </w:t>
      </w:r>
      <w:r w:rsidRPr="006A7E73">
        <w:rPr>
          <w:lang w:val="en-US"/>
        </w:rPr>
        <w:t xml:space="preserve">Partizan </w:t>
      </w:r>
      <w:proofErr w:type="spellStart"/>
      <w:r w:rsidRPr="006A7E73">
        <w:rPr>
          <w:lang w:val="en-US"/>
        </w:rPr>
        <w:t>kimlikler</w:t>
      </w:r>
      <w:proofErr w:type="spellEnd"/>
      <w:r w:rsidRPr="006A7E73">
        <w:rPr>
          <w:lang w:val="en-US"/>
        </w:rPr>
        <w:t xml:space="preserve"> </w:t>
      </w:r>
      <w:proofErr w:type="spellStart"/>
      <w:r w:rsidRPr="006A7E73">
        <w:rPr>
          <w:lang w:val="en-US"/>
        </w:rPr>
        <w:t>yalnızca</w:t>
      </w:r>
      <w:proofErr w:type="spellEnd"/>
      <w:r w:rsidRPr="006A7E73">
        <w:rPr>
          <w:lang w:val="en-US"/>
        </w:rPr>
        <w:t xml:space="preserve"> </w:t>
      </w:r>
      <w:proofErr w:type="spellStart"/>
      <w:r w:rsidRPr="006A7E73">
        <w:rPr>
          <w:lang w:val="en-US"/>
        </w:rPr>
        <w:t>bireysel</w:t>
      </w:r>
      <w:proofErr w:type="spellEnd"/>
      <w:r w:rsidRPr="006A7E73">
        <w:rPr>
          <w:lang w:val="en-US"/>
        </w:rPr>
        <w:t xml:space="preserve"> </w:t>
      </w:r>
      <w:proofErr w:type="spellStart"/>
      <w:r w:rsidRPr="006A7E73">
        <w:rPr>
          <w:lang w:val="en-US"/>
        </w:rPr>
        <w:t>yargıçlara</w:t>
      </w:r>
      <w:proofErr w:type="spellEnd"/>
      <w:r w:rsidRPr="006A7E73">
        <w:rPr>
          <w:lang w:val="en-US"/>
        </w:rPr>
        <w:t xml:space="preserve"> </w:t>
      </w:r>
      <w:proofErr w:type="spellStart"/>
      <w:r w:rsidRPr="006A7E73">
        <w:rPr>
          <w:lang w:val="en-US"/>
        </w:rPr>
        <w:t>atfedilmemektedir</w:t>
      </w:r>
      <w:proofErr w:type="spellEnd"/>
      <w:r w:rsidRPr="006A7E73">
        <w:rPr>
          <w:lang w:val="en-US"/>
        </w:rPr>
        <w:t xml:space="preserve">; son </w:t>
      </w:r>
      <w:proofErr w:type="spellStart"/>
      <w:r w:rsidRPr="006A7E73">
        <w:rPr>
          <w:lang w:val="en-US"/>
        </w:rPr>
        <w:t>birkaç</w:t>
      </w:r>
      <w:proofErr w:type="spellEnd"/>
      <w:r w:rsidRPr="006A7E73">
        <w:rPr>
          <w:lang w:val="en-US"/>
        </w:rPr>
        <w:t xml:space="preserve"> on </w:t>
      </w:r>
      <w:proofErr w:type="spellStart"/>
      <w:r w:rsidRPr="006A7E73">
        <w:rPr>
          <w:lang w:val="en-US"/>
        </w:rPr>
        <w:t>yılda</w:t>
      </w:r>
      <w:proofErr w:type="spellEnd"/>
      <w:r w:rsidRPr="006A7E73">
        <w:rPr>
          <w:lang w:val="en-US"/>
        </w:rPr>
        <w:t xml:space="preserve">, </w:t>
      </w:r>
      <w:proofErr w:type="spellStart"/>
      <w:r w:rsidRPr="006A7E73">
        <w:rPr>
          <w:lang w:val="en-US"/>
        </w:rPr>
        <w:t>Dokuzuncu</w:t>
      </w:r>
      <w:proofErr w:type="spellEnd"/>
      <w:r w:rsidRPr="006A7E73">
        <w:rPr>
          <w:lang w:val="en-US"/>
        </w:rPr>
        <w:t xml:space="preserve"> Daire (Ninth Circuit) “</w:t>
      </w:r>
      <w:proofErr w:type="spellStart"/>
      <w:r w:rsidRPr="006A7E73">
        <w:rPr>
          <w:lang w:val="en-US"/>
        </w:rPr>
        <w:t>kontrolden</w:t>
      </w:r>
      <w:proofErr w:type="spellEnd"/>
      <w:r w:rsidRPr="006A7E73">
        <w:rPr>
          <w:lang w:val="en-US"/>
        </w:rPr>
        <w:t xml:space="preserve"> </w:t>
      </w:r>
      <w:proofErr w:type="spellStart"/>
      <w:r w:rsidRPr="006A7E73">
        <w:rPr>
          <w:lang w:val="en-US"/>
        </w:rPr>
        <w:t>çıkmış</w:t>
      </w:r>
      <w:proofErr w:type="spellEnd"/>
      <w:r w:rsidRPr="006A7E73">
        <w:rPr>
          <w:lang w:val="en-US"/>
        </w:rPr>
        <w:t xml:space="preserve"> </w:t>
      </w:r>
      <w:proofErr w:type="spellStart"/>
      <w:r w:rsidRPr="006A7E73">
        <w:rPr>
          <w:lang w:val="en-US"/>
        </w:rPr>
        <w:t>solcular</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Dördüncü</w:t>
      </w:r>
      <w:proofErr w:type="spellEnd"/>
      <w:r w:rsidRPr="006A7E73">
        <w:rPr>
          <w:lang w:val="en-US"/>
        </w:rPr>
        <w:t xml:space="preserve"> Daire (Fourth Circuit) </w:t>
      </w:r>
      <w:proofErr w:type="spellStart"/>
      <w:r w:rsidRPr="006A7E73">
        <w:rPr>
          <w:lang w:val="en-US"/>
        </w:rPr>
        <w:t>ise</w:t>
      </w:r>
      <w:proofErr w:type="spellEnd"/>
      <w:r w:rsidRPr="006A7E73">
        <w:rPr>
          <w:lang w:val="en-US"/>
        </w:rPr>
        <w:t xml:space="preserve"> “</w:t>
      </w:r>
      <w:proofErr w:type="spellStart"/>
      <w:r w:rsidRPr="006A7E73">
        <w:rPr>
          <w:lang w:val="en-US"/>
        </w:rPr>
        <w:t>anayasal</w:t>
      </w:r>
      <w:proofErr w:type="spellEnd"/>
      <w:r w:rsidRPr="006A7E73">
        <w:rPr>
          <w:lang w:val="en-US"/>
        </w:rPr>
        <w:t xml:space="preserve"> </w:t>
      </w:r>
      <w:proofErr w:type="spellStart"/>
      <w:r w:rsidRPr="006A7E73">
        <w:rPr>
          <w:lang w:val="en-US"/>
        </w:rPr>
        <w:t>Neandertaller</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tasvir</w:t>
      </w:r>
      <w:proofErr w:type="spellEnd"/>
      <w:r w:rsidRPr="006A7E73">
        <w:rPr>
          <w:lang w:val="en-US"/>
        </w:rPr>
        <w:t xml:space="preserve"> </w:t>
      </w:r>
      <w:proofErr w:type="spellStart"/>
      <w:r w:rsidRPr="006A7E73">
        <w:rPr>
          <w:lang w:val="en-US"/>
        </w:rPr>
        <w:t>edilmiştir</w:t>
      </w:r>
      <w:proofErr w:type="spellEnd"/>
      <w:r w:rsidRPr="006A7E73">
        <w:rPr>
          <w:lang w:val="en-US"/>
        </w:rPr>
        <w:t xml:space="preserve">. Bu </w:t>
      </w:r>
      <w:proofErr w:type="spellStart"/>
      <w:r w:rsidRPr="006A7E73">
        <w:rPr>
          <w:lang w:val="en-US"/>
        </w:rPr>
        <w:t>algılar</w:t>
      </w:r>
      <w:proofErr w:type="spellEnd"/>
      <w:r w:rsidRPr="006A7E73">
        <w:rPr>
          <w:lang w:val="en-US"/>
        </w:rPr>
        <w:t xml:space="preserve">, </w:t>
      </w:r>
      <w:proofErr w:type="spellStart"/>
      <w:r w:rsidRPr="006A7E73">
        <w:rPr>
          <w:lang w:val="en-US"/>
        </w:rPr>
        <w:t>televizyon</w:t>
      </w:r>
      <w:proofErr w:type="spellEnd"/>
      <w:r w:rsidRPr="006A7E73">
        <w:rPr>
          <w:lang w:val="en-US"/>
        </w:rPr>
        <w:t xml:space="preserve"> </w:t>
      </w:r>
      <w:proofErr w:type="spellStart"/>
      <w:r w:rsidRPr="006A7E73">
        <w:rPr>
          <w:lang w:val="en-US"/>
        </w:rPr>
        <w:t>yorumcularının</w:t>
      </w:r>
      <w:proofErr w:type="spellEnd"/>
      <w:r w:rsidRPr="006A7E73">
        <w:rPr>
          <w:lang w:val="en-US"/>
        </w:rPr>
        <w:t xml:space="preserve"> </w:t>
      </w:r>
      <w:proofErr w:type="spellStart"/>
      <w:r w:rsidRPr="006A7E73">
        <w:rPr>
          <w:lang w:val="en-US"/>
        </w:rPr>
        <w:t>açıklamaları</w:t>
      </w:r>
      <w:proofErr w:type="spellEnd"/>
      <w:r w:rsidRPr="006A7E73">
        <w:rPr>
          <w:lang w:val="en-US"/>
        </w:rPr>
        <w:t xml:space="preserve">, blog </w:t>
      </w:r>
      <w:proofErr w:type="spellStart"/>
      <w:r w:rsidRPr="006A7E73">
        <w:rPr>
          <w:lang w:val="en-US"/>
        </w:rPr>
        <w:t>yazarlarının</w:t>
      </w:r>
      <w:proofErr w:type="spellEnd"/>
      <w:r w:rsidRPr="006A7E73">
        <w:rPr>
          <w:lang w:val="en-US"/>
        </w:rPr>
        <w:t xml:space="preserve"> </w:t>
      </w:r>
      <w:proofErr w:type="spellStart"/>
      <w:r w:rsidRPr="006A7E73">
        <w:rPr>
          <w:lang w:val="en-US"/>
        </w:rPr>
        <w:t>sürekli</w:t>
      </w:r>
      <w:proofErr w:type="spellEnd"/>
      <w:r w:rsidRPr="006A7E73">
        <w:rPr>
          <w:lang w:val="en-US"/>
        </w:rPr>
        <w:t xml:space="preserve"> </w:t>
      </w:r>
      <w:proofErr w:type="spellStart"/>
      <w:r w:rsidRPr="006A7E73">
        <w:rPr>
          <w:lang w:val="en-US"/>
        </w:rPr>
        <w:t>vurgulamaları</w:t>
      </w:r>
      <w:proofErr w:type="spellEnd"/>
      <w:r w:rsidRPr="006A7E73">
        <w:rPr>
          <w:lang w:val="en-US"/>
        </w:rPr>
        <w:t xml:space="preserve"> </w:t>
      </w:r>
      <w:proofErr w:type="spellStart"/>
      <w:r w:rsidRPr="006A7E73">
        <w:rPr>
          <w:lang w:val="en-US"/>
        </w:rPr>
        <w:t>ve</w:t>
      </w:r>
      <w:proofErr w:type="spellEnd"/>
      <w:r w:rsidRPr="006A7E73">
        <w:rPr>
          <w:lang w:val="en-US"/>
        </w:rPr>
        <w:t xml:space="preserve"> zaman </w:t>
      </w:r>
      <w:proofErr w:type="spellStart"/>
      <w:r w:rsidRPr="006A7E73">
        <w:rPr>
          <w:lang w:val="en-US"/>
        </w:rPr>
        <w:t>zaman</w:t>
      </w:r>
      <w:proofErr w:type="spellEnd"/>
      <w:r w:rsidRPr="006A7E73">
        <w:rPr>
          <w:lang w:val="en-US"/>
        </w:rPr>
        <w:t xml:space="preserve"> </w:t>
      </w:r>
      <w:proofErr w:type="spellStart"/>
      <w:r w:rsidRPr="006A7E73">
        <w:rPr>
          <w:lang w:val="en-US"/>
        </w:rPr>
        <w:t>yayınlanan</w:t>
      </w:r>
      <w:proofErr w:type="spellEnd"/>
      <w:r w:rsidRPr="006A7E73">
        <w:rPr>
          <w:lang w:val="en-US"/>
        </w:rPr>
        <w:t xml:space="preserve"> </w:t>
      </w:r>
      <w:proofErr w:type="spellStart"/>
      <w:r w:rsidRPr="006A7E73">
        <w:rPr>
          <w:lang w:val="en-US"/>
        </w:rPr>
        <w:t>uzun</w:t>
      </w:r>
      <w:proofErr w:type="spellEnd"/>
      <w:r w:rsidRPr="006A7E73">
        <w:rPr>
          <w:lang w:val="en-US"/>
        </w:rPr>
        <w:t xml:space="preserve"> </w:t>
      </w:r>
      <w:proofErr w:type="spellStart"/>
      <w:r w:rsidRPr="006A7E73">
        <w:rPr>
          <w:lang w:val="en-US"/>
        </w:rPr>
        <w:t>gazetecilik</w:t>
      </w:r>
      <w:proofErr w:type="spellEnd"/>
      <w:r w:rsidRPr="006A7E73">
        <w:rPr>
          <w:lang w:val="en-US"/>
        </w:rPr>
        <w:t xml:space="preserve"> </w:t>
      </w:r>
      <w:proofErr w:type="spellStart"/>
      <w:r w:rsidRPr="006A7E73">
        <w:rPr>
          <w:lang w:val="en-US"/>
        </w:rPr>
        <w:t>analizleri</w:t>
      </w:r>
      <w:proofErr w:type="spellEnd"/>
      <w:r w:rsidRPr="006A7E73">
        <w:rPr>
          <w:lang w:val="en-US"/>
        </w:rPr>
        <w:t xml:space="preserve"> </w:t>
      </w:r>
      <w:proofErr w:type="spellStart"/>
      <w:r w:rsidRPr="006A7E73">
        <w:rPr>
          <w:lang w:val="en-US"/>
        </w:rPr>
        <w:t>aracılığıyla</w:t>
      </w:r>
      <w:proofErr w:type="spellEnd"/>
      <w:r w:rsidRPr="006A7E73">
        <w:rPr>
          <w:lang w:val="en-US"/>
        </w:rPr>
        <w:t xml:space="preserve"> </w:t>
      </w:r>
      <w:proofErr w:type="spellStart"/>
      <w:r w:rsidRPr="006A7E73">
        <w:rPr>
          <w:lang w:val="en-US"/>
        </w:rPr>
        <w:t>kamu</w:t>
      </w:r>
      <w:proofErr w:type="spellEnd"/>
      <w:r w:rsidRPr="006A7E73">
        <w:rPr>
          <w:lang w:val="en-US"/>
        </w:rPr>
        <w:t xml:space="preserve"> </w:t>
      </w:r>
      <w:proofErr w:type="spellStart"/>
      <w:r w:rsidRPr="006A7E73">
        <w:rPr>
          <w:lang w:val="en-US"/>
        </w:rPr>
        <w:t>bilincine</w:t>
      </w:r>
      <w:proofErr w:type="spellEnd"/>
      <w:r w:rsidRPr="006A7E73">
        <w:rPr>
          <w:lang w:val="en-US"/>
        </w:rPr>
        <w:t xml:space="preserve"> yerleşmiştir.¹³⁷</w:t>
      </w:r>
      <w:r w:rsidRPr="006A7E73">
        <w:rPr>
          <w:lang w:val="en-US"/>
        </w:rPr>
        <w:t xml:space="preserve"> </w:t>
      </w:r>
      <w:r>
        <w:rPr>
          <w:rStyle w:val="FootnoteReference"/>
          <w:lang w:val="en-US"/>
        </w:rPr>
        <w:footnoteReference w:id="137"/>
      </w:r>
      <w:r>
        <w:rPr>
          <w:lang w:val="en-US"/>
        </w:rPr>
        <w:t xml:space="preserve"> </w:t>
      </w:r>
      <w:r w:rsidRPr="006A7E73">
        <w:rPr>
          <w:lang w:val="en-US"/>
        </w:rPr>
        <w:t>[1102 - 1103]</w:t>
      </w:r>
    </w:p>
    <w:p w14:paraId="35ED3E54" w14:textId="73C3B942" w:rsidR="006A7E73" w:rsidRDefault="006A7E73" w:rsidP="006A7E73">
      <w:pPr>
        <w:rPr>
          <w:lang w:val="en-US"/>
        </w:rPr>
      </w:pPr>
      <w:r w:rsidRPr="006A7E73">
        <w:rPr>
          <w:lang w:val="en-US"/>
        </w:rPr>
        <w:lastRenderedPageBreak/>
        <w:t xml:space="preserve">Bu </w:t>
      </w:r>
      <w:proofErr w:type="spellStart"/>
      <w:r w:rsidRPr="006A7E73">
        <w:rPr>
          <w:lang w:val="en-US"/>
        </w:rPr>
        <w:t>etkinin</w:t>
      </w:r>
      <w:proofErr w:type="spellEnd"/>
      <w:r w:rsidRPr="006A7E73">
        <w:rPr>
          <w:lang w:val="en-US"/>
        </w:rPr>
        <w:t xml:space="preserve"> </w:t>
      </w:r>
      <w:proofErr w:type="spellStart"/>
      <w:r w:rsidRPr="006A7E73">
        <w:rPr>
          <w:lang w:val="en-US"/>
        </w:rPr>
        <w:t>ağırlığı</w:t>
      </w:r>
      <w:proofErr w:type="spellEnd"/>
      <w:r w:rsidRPr="006A7E73">
        <w:rPr>
          <w:lang w:val="en-US"/>
        </w:rPr>
        <w:t xml:space="preserve"> </w:t>
      </w:r>
      <w:proofErr w:type="spellStart"/>
      <w:r w:rsidRPr="006A7E73">
        <w:rPr>
          <w:lang w:val="en-US"/>
        </w:rPr>
        <w:t>spekülasyona</w:t>
      </w:r>
      <w:proofErr w:type="spellEnd"/>
      <w:r w:rsidRPr="006A7E73">
        <w:rPr>
          <w:lang w:val="en-US"/>
        </w:rPr>
        <w:t xml:space="preserve"> </w:t>
      </w:r>
      <w:proofErr w:type="spellStart"/>
      <w:r w:rsidRPr="006A7E73">
        <w:rPr>
          <w:lang w:val="en-US"/>
        </w:rPr>
        <w:t>açık</w:t>
      </w:r>
      <w:proofErr w:type="spellEnd"/>
      <w:r w:rsidRPr="006A7E73">
        <w:rPr>
          <w:lang w:val="en-US"/>
        </w:rPr>
        <w:t xml:space="preserve"> </w:t>
      </w:r>
      <w:proofErr w:type="spellStart"/>
      <w:r w:rsidRPr="006A7E73">
        <w:rPr>
          <w:lang w:val="en-US"/>
        </w:rPr>
        <w:t>olsa</w:t>
      </w:r>
      <w:proofErr w:type="spellEnd"/>
      <w:r w:rsidRPr="006A7E73">
        <w:rPr>
          <w:lang w:val="en-US"/>
        </w:rPr>
        <w:t xml:space="preserve"> da, alt </w:t>
      </w:r>
      <w:proofErr w:type="spellStart"/>
      <w:r w:rsidRPr="006A7E73">
        <w:rPr>
          <w:lang w:val="en-US"/>
        </w:rPr>
        <w:t>mahkemelerin</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üyelerinin</w:t>
      </w:r>
      <w:proofErr w:type="spellEnd"/>
      <w:r w:rsidRPr="006A7E73">
        <w:rPr>
          <w:lang w:val="en-US"/>
        </w:rPr>
        <w:t xml:space="preserve"> </w:t>
      </w:r>
      <w:proofErr w:type="spellStart"/>
      <w:r w:rsidRPr="006A7E73">
        <w:rPr>
          <w:lang w:val="en-US"/>
        </w:rPr>
        <w:t>belirli</w:t>
      </w:r>
      <w:proofErr w:type="spellEnd"/>
      <w:r w:rsidRPr="006A7E73">
        <w:rPr>
          <w:lang w:val="en-US"/>
        </w:rPr>
        <w:t xml:space="preserve"> </w:t>
      </w:r>
      <w:proofErr w:type="spellStart"/>
      <w:r w:rsidRPr="006A7E73">
        <w:rPr>
          <w:lang w:val="en-US"/>
        </w:rPr>
        <w:t>bir</w:t>
      </w:r>
      <w:proofErr w:type="spellEnd"/>
      <w:r w:rsidRPr="006A7E73">
        <w:rPr>
          <w:lang w:val="en-US"/>
        </w:rPr>
        <w:t xml:space="preserve"> partizan </w:t>
      </w:r>
      <w:proofErr w:type="spellStart"/>
      <w:r w:rsidRPr="006A7E73">
        <w:rPr>
          <w:lang w:val="en-US"/>
        </w:rPr>
        <w:t>yönelime</w:t>
      </w:r>
      <w:proofErr w:type="spellEnd"/>
      <w:r w:rsidRPr="006A7E73">
        <w:rPr>
          <w:lang w:val="en-US"/>
        </w:rPr>
        <w:t xml:space="preserve"> </w:t>
      </w:r>
      <w:proofErr w:type="spellStart"/>
      <w:r w:rsidRPr="006A7E73">
        <w:rPr>
          <w:lang w:val="en-US"/>
        </w:rPr>
        <w:t>sahip</w:t>
      </w:r>
      <w:proofErr w:type="spellEnd"/>
      <w:r w:rsidRPr="006A7E73">
        <w:rPr>
          <w:lang w:val="en-US"/>
        </w:rPr>
        <w:t xml:space="preserve"> </w:t>
      </w:r>
      <w:proofErr w:type="spellStart"/>
      <w:r w:rsidRPr="006A7E73">
        <w:rPr>
          <w:lang w:val="en-US"/>
        </w:rPr>
        <w:t>olduğuna</w:t>
      </w:r>
      <w:proofErr w:type="spellEnd"/>
      <w:r w:rsidRPr="006A7E73">
        <w:rPr>
          <w:lang w:val="en-US"/>
        </w:rPr>
        <w:t xml:space="preserve"> </w:t>
      </w:r>
      <w:proofErr w:type="spellStart"/>
      <w:r w:rsidRPr="006A7E73">
        <w:rPr>
          <w:lang w:val="en-US"/>
        </w:rPr>
        <w:t>dair</w:t>
      </w:r>
      <w:proofErr w:type="spellEnd"/>
      <w:r w:rsidRPr="006A7E73">
        <w:rPr>
          <w:lang w:val="en-US"/>
        </w:rPr>
        <w:t xml:space="preserve"> </w:t>
      </w:r>
      <w:proofErr w:type="spellStart"/>
      <w:r w:rsidRPr="006A7E73">
        <w:rPr>
          <w:lang w:val="en-US"/>
        </w:rPr>
        <w:t>artan</w:t>
      </w:r>
      <w:proofErr w:type="spellEnd"/>
      <w:r w:rsidRPr="006A7E73">
        <w:rPr>
          <w:lang w:val="en-US"/>
        </w:rPr>
        <w:t xml:space="preserve"> </w:t>
      </w:r>
      <w:proofErr w:type="spellStart"/>
      <w:r w:rsidRPr="006A7E73">
        <w:rPr>
          <w:lang w:val="en-US"/>
        </w:rPr>
        <w:t>ilgi</w:t>
      </w:r>
      <w:proofErr w:type="spellEnd"/>
      <w:r w:rsidRPr="006A7E73">
        <w:rPr>
          <w:lang w:val="en-US"/>
        </w:rPr>
        <w:t xml:space="preserve">, Yüksek </w:t>
      </w:r>
      <w:proofErr w:type="spellStart"/>
      <w:r w:rsidRPr="006A7E73">
        <w:rPr>
          <w:lang w:val="en-US"/>
        </w:rPr>
        <w:t>Mahkeme</w:t>
      </w:r>
      <w:proofErr w:type="spellEnd"/>
      <w:r w:rsidRPr="006A7E73">
        <w:rPr>
          <w:lang w:val="en-US"/>
        </w:rPr>
        <w:t xml:space="preserve"> </w:t>
      </w:r>
      <w:proofErr w:type="spellStart"/>
      <w:r w:rsidRPr="006A7E73">
        <w:rPr>
          <w:lang w:val="en-US"/>
        </w:rPr>
        <w:t>Yargıçlarının</w:t>
      </w:r>
      <w:proofErr w:type="spellEnd"/>
      <w:r w:rsidRPr="006A7E73">
        <w:rPr>
          <w:lang w:val="en-US"/>
        </w:rPr>
        <w:t xml:space="preserve">, </w:t>
      </w:r>
      <w:proofErr w:type="spellStart"/>
      <w:r w:rsidRPr="006A7E73">
        <w:rPr>
          <w:lang w:val="en-US"/>
        </w:rPr>
        <w:t>diğer</w:t>
      </w:r>
      <w:proofErr w:type="spellEnd"/>
      <w:r w:rsidRPr="006A7E73">
        <w:rPr>
          <w:lang w:val="en-US"/>
        </w:rPr>
        <w:t xml:space="preserve"> federal </w:t>
      </w:r>
      <w:proofErr w:type="spellStart"/>
      <w:r w:rsidRPr="006A7E73">
        <w:rPr>
          <w:lang w:val="en-US"/>
        </w:rPr>
        <w:t>yargıçların</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hukuk</w:t>
      </w:r>
      <w:proofErr w:type="spellEnd"/>
      <w:r w:rsidRPr="006A7E73">
        <w:rPr>
          <w:lang w:val="en-US"/>
        </w:rPr>
        <w:t xml:space="preserve"> </w:t>
      </w:r>
      <w:proofErr w:type="spellStart"/>
      <w:r w:rsidRPr="006A7E73">
        <w:rPr>
          <w:lang w:val="en-US"/>
        </w:rPr>
        <w:t>katiplerinin</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mahkemelerin</w:t>
      </w:r>
      <w:proofErr w:type="spellEnd"/>
      <w:r w:rsidRPr="006A7E73">
        <w:rPr>
          <w:lang w:val="en-US"/>
        </w:rPr>
        <w:t xml:space="preserve"> </w:t>
      </w:r>
      <w:proofErr w:type="spellStart"/>
      <w:r w:rsidRPr="006A7E73">
        <w:rPr>
          <w:lang w:val="en-US"/>
        </w:rPr>
        <w:t>kararlarını</w:t>
      </w:r>
      <w:proofErr w:type="spellEnd"/>
      <w:r w:rsidRPr="006A7E73">
        <w:rPr>
          <w:lang w:val="en-US"/>
        </w:rPr>
        <w:t xml:space="preserve"> </w:t>
      </w:r>
      <w:proofErr w:type="spellStart"/>
      <w:r w:rsidRPr="006A7E73">
        <w:rPr>
          <w:lang w:val="en-US"/>
        </w:rPr>
        <w:t>nasıl</w:t>
      </w:r>
      <w:proofErr w:type="spellEnd"/>
      <w:r w:rsidRPr="006A7E73">
        <w:rPr>
          <w:lang w:val="en-US"/>
        </w:rPr>
        <w:t xml:space="preserve"> </w:t>
      </w:r>
      <w:proofErr w:type="spellStart"/>
      <w:r w:rsidRPr="006A7E73">
        <w:rPr>
          <w:lang w:val="en-US"/>
        </w:rPr>
        <w:t>algıladıklarını</w:t>
      </w:r>
      <w:proofErr w:type="spellEnd"/>
      <w:r w:rsidRPr="006A7E73">
        <w:rPr>
          <w:lang w:val="en-US"/>
        </w:rPr>
        <w:t xml:space="preserve"> </w:t>
      </w:r>
      <w:proofErr w:type="spellStart"/>
      <w:r w:rsidRPr="006A7E73">
        <w:rPr>
          <w:lang w:val="en-US"/>
        </w:rPr>
        <w:t>etkilemektedir</w:t>
      </w:r>
      <w:proofErr w:type="spellEnd"/>
      <w:r w:rsidRPr="006A7E73">
        <w:rPr>
          <w:lang w:val="en-US"/>
        </w:rPr>
        <w:t xml:space="preserve">. </w:t>
      </w:r>
      <w:proofErr w:type="spellStart"/>
      <w:r w:rsidRPr="006A7E73">
        <w:rPr>
          <w:lang w:val="en-US"/>
        </w:rPr>
        <w:t>Yargıç</w:t>
      </w:r>
      <w:proofErr w:type="spellEnd"/>
      <w:r w:rsidRPr="006A7E73">
        <w:rPr>
          <w:lang w:val="en-US"/>
        </w:rPr>
        <w:t xml:space="preserve"> </w:t>
      </w:r>
      <w:proofErr w:type="spellStart"/>
      <w:r w:rsidRPr="006A7E73">
        <w:rPr>
          <w:lang w:val="en-US"/>
        </w:rPr>
        <w:t>seçme</w:t>
      </w:r>
      <w:proofErr w:type="spellEnd"/>
      <w:r w:rsidRPr="006A7E73">
        <w:rPr>
          <w:lang w:val="en-US"/>
        </w:rPr>
        <w:t xml:space="preserve"> </w:t>
      </w:r>
      <w:proofErr w:type="spellStart"/>
      <w:r w:rsidRPr="006A7E73">
        <w:rPr>
          <w:lang w:val="en-US"/>
        </w:rPr>
        <w:t>sürecinde</w:t>
      </w:r>
      <w:proofErr w:type="spellEnd"/>
      <w:r w:rsidRPr="006A7E73">
        <w:rPr>
          <w:lang w:val="en-US"/>
        </w:rPr>
        <w:t xml:space="preserve"> partizan </w:t>
      </w:r>
      <w:proofErr w:type="spellStart"/>
      <w:r w:rsidRPr="006A7E73">
        <w:rPr>
          <w:lang w:val="en-US"/>
        </w:rPr>
        <w:t>unsurların</w:t>
      </w:r>
      <w:proofErr w:type="spellEnd"/>
      <w:r w:rsidRPr="006A7E73">
        <w:rPr>
          <w:lang w:val="en-US"/>
        </w:rPr>
        <w:t xml:space="preserve"> </w:t>
      </w:r>
      <w:proofErr w:type="spellStart"/>
      <w:r w:rsidRPr="006A7E73">
        <w:rPr>
          <w:lang w:val="en-US"/>
        </w:rPr>
        <w:t>giderek</w:t>
      </w:r>
      <w:proofErr w:type="spellEnd"/>
      <w:r w:rsidRPr="006A7E73">
        <w:rPr>
          <w:lang w:val="en-US"/>
        </w:rPr>
        <w:t xml:space="preserve"> </w:t>
      </w:r>
      <w:proofErr w:type="spellStart"/>
      <w:r w:rsidRPr="006A7E73">
        <w:rPr>
          <w:lang w:val="en-US"/>
        </w:rPr>
        <w:t>daha</w:t>
      </w:r>
      <w:proofErr w:type="spellEnd"/>
      <w:r w:rsidRPr="006A7E73">
        <w:rPr>
          <w:lang w:val="en-US"/>
        </w:rPr>
        <w:t xml:space="preserve"> </w:t>
      </w:r>
      <w:proofErr w:type="spellStart"/>
      <w:r w:rsidRPr="006A7E73">
        <w:rPr>
          <w:lang w:val="en-US"/>
        </w:rPr>
        <w:t>güçlü</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rol</w:t>
      </w:r>
      <w:proofErr w:type="spellEnd"/>
      <w:r w:rsidRPr="006A7E73">
        <w:rPr>
          <w:lang w:val="en-US"/>
        </w:rPr>
        <w:t xml:space="preserve"> </w:t>
      </w:r>
      <w:proofErr w:type="spellStart"/>
      <w:r w:rsidRPr="006A7E73">
        <w:rPr>
          <w:lang w:val="en-US"/>
        </w:rPr>
        <w:t>oynaması</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kamuoyunun</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süreci</w:t>
      </w:r>
      <w:proofErr w:type="spellEnd"/>
      <w:r w:rsidRPr="006A7E73">
        <w:rPr>
          <w:lang w:val="en-US"/>
        </w:rPr>
        <w:t xml:space="preserve"> </w:t>
      </w:r>
      <w:proofErr w:type="spellStart"/>
      <w:r w:rsidRPr="006A7E73">
        <w:rPr>
          <w:lang w:val="en-US"/>
        </w:rPr>
        <w:t>artan</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şekilde</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çerçevede</w:t>
      </w:r>
      <w:proofErr w:type="spellEnd"/>
      <w:r w:rsidRPr="006A7E73">
        <w:rPr>
          <w:lang w:val="en-US"/>
        </w:rPr>
        <w:t xml:space="preserve"> </w:t>
      </w:r>
      <w:proofErr w:type="spellStart"/>
      <w:r w:rsidRPr="006A7E73">
        <w:rPr>
          <w:lang w:val="en-US"/>
        </w:rPr>
        <w:t>görmesi</w:t>
      </w:r>
      <w:proofErr w:type="spellEnd"/>
      <w:r w:rsidRPr="006A7E73">
        <w:rPr>
          <w:lang w:val="en-US"/>
        </w:rPr>
        <w:t xml:space="preserve">, </w:t>
      </w:r>
      <w:proofErr w:type="spellStart"/>
      <w:r w:rsidRPr="006A7E73">
        <w:rPr>
          <w:lang w:val="en-US"/>
        </w:rPr>
        <w:t>hukuk</w:t>
      </w:r>
      <w:proofErr w:type="spellEnd"/>
      <w:r w:rsidRPr="006A7E73">
        <w:rPr>
          <w:lang w:val="en-US"/>
        </w:rPr>
        <w:t xml:space="preserve"> </w:t>
      </w:r>
      <w:proofErr w:type="spellStart"/>
      <w:r w:rsidRPr="006A7E73">
        <w:rPr>
          <w:lang w:val="en-US"/>
        </w:rPr>
        <w:t>camiasındaki</w:t>
      </w:r>
      <w:proofErr w:type="spellEnd"/>
      <w:r w:rsidRPr="006A7E73">
        <w:rPr>
          <w:lang w:val="en-US"/>
        </w:rPr>
        <w:t xml:space="preserve"> </w:t>
      </w:r>
      <w:proofErr w:type="spellStart"/>
      <w:r w:rsidRPr="006A7E73">
        <w:rPr>
          <w:lang w:val="en-US"/>
        </w:rPr>
        <w:t>bireylerin</w:t>
      </w:r>
      <w:proofErr w:type="spellEnd"/>
      <w:r w:rsidRPr="006A7E73">
        <w:rPr>
          <w:lang w:val="en-US"/>
        </w:rPr>
        <w:t xml:space="preserve"> </w:t>
      </w:r>
      <w:proofErr w:type="spellStart"/>
      <w:r w:rsidRPr="006A7E73">
        <w:rPr>
          <w:lang w:val="en-US"/>
        </w:rPr>
        <w:t>kendilerini</w:t>
      </w:r>
      <w:proofErr w:type="spellEnd"/>
      <w:r w:rsidRPr="006A7E73">
        <w:rPr>
          <w:lang w:val="en-US"/>
        </w:rPr>
        <w:t xml:space="preserve"> </w:t>
      </w:r>
      <w:proofErr w:type="spellStart"/>
      <w:r w:rsidRPr="006A7E73">
        <w:rPr>
          <w:lang w:val="en-US"/>
        </w:rPr>
        <w:t>belirli</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tarafın</w:t>
      </w:r>
      <w:proofErr w:type="spellEnd"/>
      <w:r w:rsidRPr="006A7E73">
        <w:rPr>
          <w:lang w:val="en-US"/>
        </w:rPr>
        <w:t xml:space="preserve"> </w:t>
      </w:r>
      <w:proofErr w:type="spellStart"/>
      <w:r w:rsidRPr="006A7E73">
        <w:rPr>
          <w:lang w:val="en-US"/>
        </w:rPr>
        <w:t>üyesi</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görme</w:t>
      </w:r>
      <w:proofErr w:type="spellEnd"/>
      <w:r w:rsidRPr="006A7E73">
        <w:rPr>
          <w:lang w:val="en-US"/>
        </w:rPr>
        <w:t xml:space="preserve"> </w:t>
      </w:r>
      <w:proofErr w:type="spellStart"/>
      <w:r w:rsidRPr="006A7E73">
        <w:rPr>
          <w:lang w:val="en-US"/>
        </w:rPr>
        <w:t>eğilimini</w:t>
      </w:r>
      <w:proofErr w:type="spellEnd"/>
      <w:r w:rsidRPr="006A7E73">
        <w:rPr>
          <w:lang w:val="en-US"/>
        </w:rPr>
        <w:t xml:space="preserve"> </w:t>
      </w:r>
      <w:proofErr w:type="spellStart"/>
      <w:r w:rsidRPr="006A7E73">
        <w:rPr>
          <w:lang w:val="en-US"/>
        </w:rPr>
        <w:t>artırmaktadır</w:t>
      </w:r>
      <w:proofErr w:type="spellEnd"/>
      <w:r w:rsidRPr="006A7E73">
        <w:rPr>
          <w:lang w:val="en-US"/>
        </w:rPr>
        <w:t>.</w:t>
      </w:r>
      <w:r w:rsidRPr="006A7E73">
        <w:rPr>
          <w:lang w:val="en-US"/>
        </w:rPr>
        <w:t xml:space="preserve"> </w:t>
      </w:r>
      <w:r w:rsidRPr="006A7E73">
        <w:rPr>
          <w:lang w:val="en-US"/>
        </w:rPr>
        <w:t xml:space="preserve">Bir </w:t>
      </w:r>
      <w:proofErr w:type="spellStart"/>
      <w:r w:rsidRPr="006A7E73">
        <w:rPr>
          <w:lang w:val="en-US"/>
        </w:rPr>
        <w:t>kişi</w:t>
      </w:r>
      <w:proofErr w:type="spellEnd"/>
      <w:r w:rsidRPr="006A7E73">
        <w:rPr>
          <w:lang w:val="en-US"/>
        </w:rPr>
        <w:t>—</w:t>
      </w:r>
      <w:proofErr w:type="spellStart"/>
      <w:r w:rsidRPr="006A7E73">
        <w:rPr>
          <w:lang w:val="en-US"/>
        </w:rPr>
        <w:t>bilinçli</w:t>
      </w:r>
      <w:proofErr w:type="spellEnd"/>
      <w:r w:rsidRPr="006A7E73">
        <w:rPr>
          <w:lang w:val="en-US"/>
        </w:rPr>
        <w:t xml:space="preserve"> </w:t>
      </w:r>
      <w:proofErr w:type="spellStart"/>
      <w:r w:rsidRPr="006A7E73">
        <w:rPr>
          <w:lang w:val="en-US"/>
        </w:rPr>
        <w:t>veya</w:t>
      </w:r>
      <w:proofErr w:type="spellEnd"/>
      <w:r w:rsidRPr="006A7E73">
        <w:rPr>
          <w:lang w:val="en-US"/>
        </w:rPr>
        <w:t xml:space="preserve"> </w:t>
      </w:r>
      <w:proofErr w:type="spellStart"/>
      <w:r w:rsidRPr="006A7E73">
        <w:rPr>
          <w:lang w:val="en-US"/>
        </w:rPr>
        <w:t>bilinçsiz</w:t>
      </w:r>
      <w:proofErr w:type="spellEnd"/>
      <w:r w:rsidRPr="006A7E73">
        <w:rPr>
          <w:lang w:val="en-US"/>
        </w:rPr>
        <w:t xml:space="preserve"> </w:t>
      </w:r>
      <w:proofErr w:type="spellStart"/>
      <w:r w:rsidRPr="006A7E73">
        <w:rPr>
          <w:lang w:val="en-US"/>
        </w:rPr>
        <w:t>olarak</w:t>
      </w:r>
      <w:proofErr w:type="spellEnd"/>
      <w:r w:rsidRPr="006A7E73">
        <w:rPr>
          <w:lang w:val="en-US"/>
        </w:rPr>
        <w:t xml:space="preserve">—federal </w:t>
      </w:r>
      <w:proofErr w:type="spellStart"/>
      <w:r w:rsidRPr="006A7E73">
        <w:rPr>
          <w:lang w:val="en-US"/>
        </w:rPr>
        <w:t>yargıda</w:t>
      </w:r>
      <w:proofErr w:type="spellEnd"/>
      <w:r w:rsidRPr="006A7E73">
        <w:rPr>
          <w:lang w:val="en-US"/>
        </w:rPr>
        <w:t xml:space="preserve"> </w:t>
      </w:r>
      <w:proofErr w:type="spellStart"/>
      <w:r w:rsidRPr="006A7E73">
        <w:rPr>
          <w:lang w:val="en-US"/>
        </w:rPr>
        <w:t>müttefiklerini</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karşıtlarını</w:t>
      </w:r>
      <w:proofErr w:type="spellEnd"/>
      <w:r w:rsidRPr="006A7E73">
        <w:rPr>
          <w:lang w:val="en-US"/>
        </w:rPr>
        <w:t xml:space="preserve"> </w:t>
      </w:r>
      <w:proofErr w:type="spellStart"/>
      <w:r w:rsidRPr="006A7E73">
        <w:rPr>
          <w:lang w:val="en-US"/>
        </w:rPr>
        <w:t>belirlediğinde</w:t>
      </w:r>
      <w:proofErr w:type="spellEnd"/>
      <w:r w:rsidRPr="006A7E73">
        <w:rPr>
          <w:lang w:val="en-US"/>
        </w:rPr>
        <w:t xml:space="preserve">, </w:t>
      </w:r>
      <w:proofErr w:type="spellStart"/>
      <w:r w:rsidRPr="006A7E73">
        <w:rPr>
          <w:lang w:val="en-US"/>
        </w:rPr>
        <w:t>bilişsel</w:t>
      </w:r>
      <w:proofErr w:type="spellEnd"/>
      <w:r w:rsidRPr="006A7E73">
        <w:rPr>
          <w:lang w:val="en-US"/>
        </w:rPr>
        <w:t xml:space="preserve"> </w:t>
      </w:r>
      <w:proofErr w:type="spellStart"/>
      <w:r w:rsidRPr="006A7E73">
        <w:rPr>
          <w:lang w:val="en-US"/>
        </w:rPr>
        <w:t>önyargılar</w:t>
      </w:r>
      <w:proofErr w:type="spellEnd"/>
      <w:r w:rsidRPr="006A7E73">
        <w:rPr>
          <w:lang w:val="en-US"/>
        </w:rPr>
        <w:t xml:space="preserve"> </w:t>
      </w:r>
      <w:proofErr w:type="spellStart"/>
      <w:r w:rsidRPr="006A7E73">
        <w:rPr>
          <w:lang w:val="en-US"/>
        </w:rPr>
        <w:t>devreye</w:t>
      </w:r>
      <w:proofErr w:type="spellEnd"/>
      <w:r w:rsidRPr="006A7E73">
        <w:rPr>
          <w:lang w:val="en-US"/>
        </w:rPr>
        <w:t xml:space="preserve"> </w:t>
      </w:r>
      <w:proofErr w:type="spellStart"/>
      <w:r w:rsidRPr="006A7E73">
        <w:rPr>
          <w:lang w:val="en-US"/>
        </w:rPr>
        <w:t>girerek</w:t>
      </w:r>
      <w:proofErr w:type="spellEnd"/>
      <w:r w:rsidRPr="006A7E73">
        <w:rPr>
          <w:lang w:val="en-US"/>
        </w:rPr>
        <w:t xml:space="preserve"> </w:t>
      </w:r>
      <w:proofErr w:type="spellStart"/>
      <w:r w:rsidRPr="006A7E73">
        <w:rPr>
          <w:lang w:val="en-US"/>
        </w:rPr>
        <w:t>bazı</w:t>
      </w:r>
      <w:proofErr w:type="spellEnd"/>
      <w:r w:rsidRPr="006A7E73">
        <w:rPr>
          <w:lang w:val="en-US"/>
        </w:rPr>
        <w:t xml:space="preserve"> </w:t>
      </w:r>
      <w:proofErr w:type="spellStart"/>
      <w:r w:rsidRPr="006A7E73">
        <w:rPr>
          <w:lang w:val="en-US"/>
        </w:rPr>
        <w:t>yargıçların</w:t>
      </w:r>
      <w:proofErr w:type="spellEnd"/>
      <w:r w:rsidRPr="006A7E73">
        <w:rPr>
          <w:lang w:val="en-US"/>
        </w:rPr>
        <w:t xml:space="preserve"> </w:t>
      </w:r>
      <w:proofErr w:type="spellStart"/>
      <w:r w:rsidRPr="006A7E73">
        <w:rPr>
          <w:lang w:val="en-US"/>
        </w:rPr>
        <w:t>veya</w:t>
      </w:r>
      <w:proofErr w:type="spellEnd"/>
      <w:r w:rsidRPr="006A7E73">
        <w:rPr>
          <w:lang w:val="en-US"/>
        </w:rPr>
        <w:t xml:space="preserve"> </w:t>
      </w:r>
      <w:proofErr w:type="spellStart"/>
      <w:r w:rsidRPr="006A7E73">
        <w:rPr>
          <w:lang w:val="en-US"/>
        </w:rPr>
        <w:t>mahkemelerin</w:t>
      </w:r>
      <w:proofErr w:type="spellEnd"/>
      <w:r w:rsidRPr="006A7E73">
        <w:rPr>
          <w:lang w:val="en-US"/>
        </w:rPr>
        <w:t xml:space="preserve"> </w:t>
      </w:r>
      <w:proofErr w:type="spellStart"/>
      <w:r w:rsidRPr="006A7E73">
        <w:rPr>
          <w:lang w:val="en-US"/>
        </w:rPr>
        <w:t>kararlarına</w:t>
      </w:r>
      <w:proofErr w:type="spellEnd"/>
      <w:r w:rsidRPr="006A7E73">
        <w:rPr>
          <w:lang w:val="en-US"/>
        </w:rPr>
        <w:t xml:space="preserve"> </w:t>
      </w:r>
      <w:proofErr w:type="spellStart"/>
      <w:r w:rsidRPr="006A7E73">
        <w:rPr>
          <w:lang w:val="en-US"/>
        </w:rPr>
        <w:t>daha</w:t>
      </w:r>
      <w:proofErr w:type="spellEnd"/>
      <w:r w:rsidRPr="006A7E73">
        <w:rPr>
          <w:lang w:val="en-US"/>
        </w:rPr>
        <w:t xml:space="preserve"> </w:t>
      </w:r>
      <w:proofErr w:type="spellStart"/>
      <w:r w:rsidRPr="006A7E73">
        <w:rPr>
          <w:lang w:val="en-US"/>
        </w:rPr>
        <w:t>fazla</w:t>
      </w:r>
      <w:proofErr w:type="spellEnd"/>
      <w:r w:rsidRPr="006A7E73">
        <w:rPr>
          <w:lang w:val="en-US"/>
        </w:rPr>
        <w:t xml:space="preserve"> </w:t>
      </w:r>
      <w:proofErr w:type="spellStart"/>
      <w:r w:rsidRPr="006A7E73">
        <w:rPr>
          <w:lang w:val="en-US"/>
        </w:rPr>
        <w:t>veya</w:t>
      </w:r>
      <w:proofErr w:type="spellEnd"/>
      <w:r w:rsidRPr="006A7E73">
        <w:rPr>
          <w:lang w:val="en-US"/>
        </w:rPr>
        <w:t xml:space="preserve"> </w:t>
      </w:r>
      <w:proofErr w:type="spellStart"/>
      <w:r w:rsidRPr="006A7E73">
        <w:rPr>
          <w:lang w:val="en-US"/>
        </w:rPr>
        <w:t>daha</w:t>
      </w:r>
      <w:proofErr w:type="spellEnd"/>
      <w:r w:rsidRPr="006A7E73">
        <w:rPr>
          <w:lang w:val="en-US"/>
        </w:rPr>
        <w:t xml:space="preserve"> </w:t>
      </w:r>
      <w:proofErr w:type="spellStart"/>
      <w:r w:rsidRPr="006A7E73">
        <w:rPr>
          <w:lang w:val="en-US"/>
        </w:rPr>
        <w:t>az</w:t>
      </w:r>
      <w:proofErr w:type="spellEnd"/>
      <w:r w:rsidRPr="006A7E73">
        <w:rPr>
          <w:lang w:val="en-US"/>
        </w:rPr>
        <w:t xml:space="preserve"> </w:t>
      </w:r>
      <w:proofErr w:type="spellStart"/>
      <w:r w:rsidRPr="006A7E73">
        <w:rPr>
          <w:lang w:val="en-US"/>
        </w:rPr>
        <w:t>ağırlık</w:t>
      </w:r>
      <w:proofErr w:type="spellEnd"/>
      <w:r w:rsidRPr="006A7E73">
        <w:rPr>
          <w:lang w:val="en-US"/>
        </w:rPr>
        <w:t xml:space="preserve"> </w:t>
      </w:r>
      <w:proofErr w:type="spellStart"/>
      <w:r w:rsidRPr="006A7E73">
        <w:rPr>
          <w:lang w:val="en-US"/>
        </w:rPr>
        <w:t>verilmesine</w:t>
      </w:r>
      <w:proofErr w:type="spellEnd"/>
      <w:r w:rsidRPr="006A7E73">
        <w:rPr>
          <w:lang w:val="en-US"/>
        </w:rPr>
        <w:t xml:space="preserve"> </w:t>
      </w:r>
      <w:proofErr w:type="spellStart"/>
      <w:r w:rsidRPr="006A7E73">
        <w:rPr>
          <w:lang w:val="en-US"/>
        </w:rPr>
        <w:t>neden</w:t>
      </w:r>
      <w:proofErr w:type="spellEnd"/>
      <w:r w:rsidRPr="006A7E73">
        <w:rPr>
          <w:lang w:val="en-US"/>
        </w:rPr>
        <w:t xml:space="preserve"> </w:t>
      </w:r>
      <w:proofErr w:type="spellStart"/>
      <w:r w:rsidRPr="006A7E73">
        <w:rPr>
          <w:lang w:val="en-US"/>
        </w:rPr>
        <w:t>olmaktadır</w:t>
      </w:r>
      <w:proofErr w:type="spellEnd"/>
      <w:r w:rsidRPr="006A7E73">
        <w:rPr>
          <w:lang w:val="en-US"/>
        </w:rPr>
        <w:t xml:space="preserve">. </w:t>
      </w:r>
      <w:proofErr w:type="spellStart"/>
      <w:r w:rsidRPr="006A7E73">
        <w:rPr>
          <w:lang w:val="en-US"/>
        </w:rPr>
        <w:t>Ampirik</w:t>
      </w:r>
      <w:proofErr w:type="spellEnd"/>
      <w:r w:rsidRPr="006A7E73">
        <w:rPr>
          <w:lang w:val="en-US"/>
        </w:rPr>
        <w:t xml:space="preserve"> </w:t>
      </w:r>
      <w:proofErr w:type="spellStart"/>
      <w:r w:rsidRPr="006A7E73">
        <w:rPr>
          <w:lang w:val="en-US"/>
        </w:rPr>
        <w:t>çalışmalar</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etkilerin</w:t>
      </w:r>
      <w:proofErr w:type="spellEnd"/>
      <w:r w:rsidRPr="006A7E73">
        <w:rPr>
          <w:lang w:val="en-US"/>
        </w:rPr>
        <w:t xml:space="preserve"> </w:t>
      </w:r>
      <w:proofErr w:type="spellStart"/>
      <w:r w:rsidRPr="006A7E73">
        <w:rPr>
          <w:lang w:val="en-US"/>
        </w:rPr>
        <w:t>farklı</w:t>
      </w:r>
      <w:proofErr w:type="spellEnd"/>
      <w:r w:rsidRPr="006A7E73">
        <w:rPr>
          <w:lang w:val="en-US"/>
        </w:rPr>
        <w:t xml:space="preserve"> </w:t>
      </w:r>
      <w:proofErr w:type="spellStart"/>
      <w:r w:rsidRPr="006A7E73">
        <w:rPr>
          <w:lang w:val="en-US"/>
        </w:rPr>
        <w:t>mahkemelerde</w:t>
      </w:r>
      <w:proofErr w:type="spellEnd"/>
      <w:r w:rsidRPr="006A7E73">
        <w:rPr>
          <w:lang w:val="en-US"/>
        </w:rPr>
        <w:t xml:space="preserve"> </w:t>
      </w:r>
      <w:proofErr w:type="spellStart"/>
      <w:r w:rsidRPr="006A7E73">
        <w:rPr>
          <w:lang w:val="en-US"/>
        </w:rPr>
        <w:t>farklı</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karmaşık</w:t>
      </w:r>
      <w:proofErr w:type="spellEnd"/>
      <w:r w:rsidRPr="006A7E73">
        <w:rPr>
          <w:lang w:val="en-US"/>
        </w:rPr>
        <w:t xml:space="preserve"> </w:t>
      </w:r>
      <w:proofErr w:type="spellStart"/>
      <w:r w:rsidRPr="006A7E73">
        <w:rPr>
          <w:lang w:val="en-US"/>
        </w:rPr>
        <w:t>biçimlerde</w:t>
      </w:r>
      <w:proofErr w:type="spellEnd"/>
      <w:r w:rsidRPr="006A7E73">
        <w:rPr>
          <w:lang w:val="en-US"/>
        </w:rPr>
        <w:t xml:space="preserve"> </w:t>
      </w:r>
      <w:proofErr w:type="spellStart"/>
      <w:r w:rsidRPr="006A7E73">
        <w:rPr>
          <w:lang w:val="en-US"/>
        </w:rPr>
        <w:t>ortaya</w:t>
      </w:r>
      <w:proofErr w:type="spellEnd"/>
      <w:r w:rsidRPr="006A7E73">
        <w:rPr>
          <w:lang w:val="en-US"/>
        </w:rPr>
        <w:t xml:space="preserve"> </w:t>
      </w:r>
      <w:proofErr w:type="spellStart"/>
      <w:r w:rsidRPr="006A7E73">
        <w:rPr>
          <w:lang w:val="en-US"/>
        </w:rPr>
        <w:t>çıktığını</w:t>
      </w:r>
      <w:proofErr w:type="spellEnd"/>
      <w:r w:rsidRPr="006A7E73">
        <w:rPr>
          <w:lang w:val="en-US"/>
        </w:rPr>
        <w:t xml:space="preserve"> </w:t>
      </w:r>
      <w:proofErr w:type="spellStart"/>
      <w:r w:rsidRPr="006A7E73">
        <w:rPr>
          <w:lang w:val="en-US"/>
        </w:rPr>
        <w:t>göstermiştir</w:t>
      </w:r>
      <w:proofErr w:type="spellEnd"/>
      <w:r w:rsidRPr="006A7E73">
        <w:rPr>
          <w:lang w:val="en-US"/>
        </w:rPr>
        <w:t xml:space="preserve">; </w:t>
      </w:r>
      <w:proofErr w:type="spellStart"/>
      <w:r w:rsidRPr="006A7E73">
        <w:rPr>
          <w:lang w:val="en-US"/>
        </w:rPr>
        <w:t>ancak</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çalışmaların</w:t>
      </w:r>
      <w:proofErr w:type="spellEnd"/>
      <w:r w:rsidRPr="006A7E73">
        <w:rPr>
          <w:lang w:val="en-US"/>
        </w:rPr>
        <w:t xml:space="preserve"> </w:t>
      </w:r>
      <w:proofErr w:type="spellStart"/>
      <w:r w:rsidRPr="006A7E73">
        <w:rPr>
          <w:lang w:val="en-US"/>
        </w:rPr>
        <w:t>neredeyse</w:t>
      </w:r>
      <w:proofErr w:type="spellEnd"/>
      <w:r w:rsidRPr="006A7E73">
        <w:rPr>
          <w:lang w:val="en-US"/>
        </w:rPr>
        <w:t xml:space="preserve"> </w:t>
      </w:r>
      <w:proofErr w:type="spellStart"/>
      <w:r w:rsidRPr="006A7E73">
        <w:rPr>
          <w:lang w:val="en-US"/>
        </w:rPr>
        <w:t>tamamı</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tür</w:t>
      </w:r>
      <w:proofErr w:type="spellEnd"/>
      <w:r w:rsidRPr="006A7E73">
        <w:rPr>
          <w:lang w:val="en-US"/>
        </w:rPr>
        <w:t xml:space="preserve"> </w:t>
      </w:r>
      <w:proofErr w:type="spellStart"/>
      <w:r w:rsidRPr="006A7E73">
        <w:rPr>
          <w:lang w:val="en-US"/>
        </w:rPr>
        <w:t>önyargıların</w:t>
      </w:r>
      <w:proofErr w:type="spellEnd"/>
      <w:r w:rsidRPr="006A7E73">
        <w:rPr>
          <w:lang w:val="en-US"/>
        </w:rPr>
        <w:t xml:space="preserve"> </w:t>
      </w:r>
      <w:proofErr w:type="spellStart"/>
      <w:r w:rsidRPr="006A7E73">
        <w:rPr>
          <w:lang w:val="en-US"/>
        </w:rPr>
        <w:t>varlığını</w:t>
      </w:r>
      <w:proofErr w:type="spellEnd"/>
      <w:r w:rsidRPr="006A7E73">
        <w:rPr>
          <w:lang w:val="en-US"/>
        </w:rPr>
        <w:t xml:space="preserve"> </w:t>
      </w:r>
      <w:proofErr w:type="spellStart"/>
      <w:r w:rsidRPr="006A7E73">
        <w:rPr>
          <w:lang w:val="en-US"/>
        </w:rPr>
        <w:t>kabul</w:t>
      </w:r>
      <w:proofErr w:type="spellEnd"/>
      <w:r w:rsidRPr="006A7E73">
        <w:rPr>
          <w:lang w:val="en-US"/>
        </w:rPr>
        <w:t xml:space="preserve"> etmektedir.¹³⁸</w:t>
      </w:r>
      <w:r w:rsidRPr="006A7E73">
        <w:rPr>
          <w:lang w:val="en-US"/>
        </w:rPr>
        <w:t xml:space="preserve"> </w:t>
      </w:r>
      <w:r w:rsidRPr="006A7E73">
        <w:rPr>
          <w:rStyle w:val="FootnoteReference"/>
          <w:lang w:val="en-US"/>
        </w:rPr>
        <w:footnoteReference w:id="138"/>
      </w:r>
      <w:r w:rsidRPr="006A7E73">
        <w:rPr>
          <w:lang w:val="en-US"/>
        </w:rPr>
        <w:t xml:space="preserve"> </w:t>
      </w:r>
      <w:r w:rsidRPr="006A7E73">
        <w:rPr>
          <w:lang w:val="en-US"/>
        </w:rPr>
        <w:t xml:space="preserve">En </w:t>
      </w:r>
      <w:proofErr w:type="spellStart"/>
      <w:r w:rsidRPr="006A7E73">
        <w:rPr>
          <w:lang w:val="en-US"/>
        </w:rPr>
        <w:t>temel</w:t>
      </w:r>
      <w:proofErr w:type="spellEnd"/>
      <w:r w:rsidRPr="006A7E73">
        <w:rPr>
          <w:lang w:val="en-US"/>
        </w:rPr>
        <w:t xml:space="preserve"> </w:t>
      </w:r>
      <w:proofErr w:type="spellStart"/>
      <w:r w:rsidRPr="006A7E73">
        <w:rPr>
          <w:lang w:val="en-US"/>
        </w:rPr>
        <w:t>düzeyde</w:t>
      </w:r>
      <w:proofErr w:type="spellEnd"/>
      <w:r w:rsidRPr="006A7E73">
        <w:rPr>
          <w:lang w:val="en-US"/>
        </w:rPr>
        <w:t xml:space="preserve">, </w:t>
      </w:r>
      <w:proofErr w:type="spellStart"/>
      <w:r w:rsidRPr="006A7E73">
        <w:rPr>
          <w:lang w:val="en-US"/>
        </w:rPr>
        <w:t>bu</w:t>
      </w:r>
      <w:proofErr w:type="spellEnd"/>
      <w:r w:rsidRPr="006A7E73">
        <w:rPr>
          <w:lang w:val="en-US"/>
        </w:rPr>
        <w:t xml:space="preserve"> partizan </w:t>
      </w:r>
      <w:proofErr w:type="spellStart"/>
      <w:r w:rsidRPr="006A7E73">
        <w:rPr>
          <w:lang w:val="en-US"/>
        </w:rPr>
        <w:t>takım</w:t>
      </w:r>
      <w:proofErr w:type="spellEnd"/>
      <w:r w:rsidRPr="006A7E73">
        <w:rPr>
          <w:lang w:val="en-US"/>
        </w:rPr>
        <w:t xml:space="preserve"> </w:t>
      </w:r>
      <w:proofErr w:type="spellStart"/>
      <w:r w:rsidRPr="006A7E73">
        <w:rPr>
          <w:lang w:val="en-US"/>
        </w:rPr>
        <w:t>aidiyeti</w:t>
      </w:r>
      <w:proofErr w:type="spellEnd"/>
      <w:r w:rsidRPr="006A7E73">
        <w:rPr>
          <w:lang w:val="en-US"/>
        </w:rPr>
        <w:t xml:space="preserve"> </w:t>
      </w:r>
      <w:proofErr w:type="spellStart"/>
      <w:r w:rsidRPr="006A7E73">
        <w:rPr>
          <w:lang w:val="en-US"/>
        </w:rPr>
        <w:t>hissinin</w:t>
      </w:r>
      <w:proofErr w:type="spellEnd"/>
      <w:r w:rsidRPr="006A7E73">
        <w:rPr>
          <w:lang w:val="en-US"/>
        </w:rPr>
        <w:t xml:space="preserve"> </w:t>
      </w:r>
      <w:proofErr w:type="spellStart"/>
      <w:r w:rsidRPr="006A7E73">
        <w:rPr>
          <w:lang w:val="en-US"/>
        </w:rPr>
        <w:t>etkisi</w:t>
      </w:r>
      <w:proofErr w:type="spellEnd"/>
      <w:r w:rsidRPr="006A7E73">
        <w:rPr>
          <w:lang w:val="en-US"/>
        </w:rPr>
        <w:t xml:space="preserve">, Yüksek </w:t>
      </w:r>
      <w:proofErr w:type="spellStart"/>
      <w:r w:rsidRPr="006A7E73">
        <w:rPr>
          <w:lang w:val="en-US"/>
        </w:rPr>
        <w:t>Mahkeme’nin</w:t>
      </w:r>
      <w:proofErr w:type="spellEnd"/>
      <w:r w:rsidRPr="006A7E73">
        <w:rPr>
          <w:lang w:val="en-US"/>
        </w:rPr>
        <w:t xml:space="preserve"> </w:t>
      </w:r>
      <w:proofErr w:type="spellStart"/>
      <w:r w:rsidRPr="006A7E73">
        <w:rPr>
          <w:lang w:val="en-US"/>
        </w:rPr>
        <w:t>Dokuzuncu</w:t>
      </w:r>
      <w:proofErr w:type="spellEnd"/>
      <w:r w:rsidRPr="006A7E73">
        <w:rPr>
          <w:lang w:val="en-US"/>
        </w:rPr>
        <w:t xml:space="preserve"> </w:t>
      </w:r>
      <w:proofErr w:type="spellStart"/>
      <w:r w:rsidRPr="006A7E73">
        <w:rPr>
          <w:lang w:val="en-US"/>
        </w:rPr>
        <w:t>Daire’nin</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daha</w:t>
      </w:r>
      <w:proofErr w:type="spellEnd"/>
      <w:r w:rsidRPr="006A7E73">
        <w:rPr>
          <w:lang w:val="en-US"/>
        </w:rPr>
        <w:t xml:space="preserve"> </w:t>
      </w:r>
      <w:proofErr w:type="spellStart"/>
      <w:r w:rsidRPr="006A7E73">
        <w:rPr>
          <w:lang w:val="en-US"/>
        </w:rPr>
        <w:t>az</w:t>
      </w:r>
      <w:proofErr w:type="spellEnd"/>
      <w:r w:rsidRPr="006A7E73">
        <w:rPr>
          <w:lang w:val="en-US"/>
        </w:rPr>
        <w:t xml:space="preserve"> </w:t>
      </w:r>
      <w:proofErr w:type="spellStart"/>
      <w:r w:rsidRPr="006A7E73">
        <w:rPr>
          <w:lang w:val="en-US"/>
        </w:rPr>
        <w:t>ölçüde</w:t>
      </w:r>
      <w:proofErr w:type="spellEnd"/>
      <w:r w:rsidRPr="006A7E73">
        <w:rPr>
          <w:lang w:val="en-US"/>
        </w:rPr>
        <w:t xml:space="preserve"> </w:t>
      </w:r>
      <w:proofErr w:type="spellStart"/>
      <w:r w:rsidRPr="006A7E73">
        <w:rPr>
          <w:lang w:val="en-US"/>
        </w:rPr>
        <w:t>birkaç</w:t>
      </w:r>
      <w:proofErr w:type="spellEnd"/>
      <w:r w:rsidRPr="006A7E73">
        <w:rPr>
          <w:lang w:val="en-US"/>
        </w:rPr>
        <w:t xml:space="preserve"> </w:t>
      </w:r>
      <w:proofErr w:type="spellStart"/>
      <w:r w:rsidRPr="006A7E73">
        <w:rPr>
          <w:lang w:val="en-US"/>
        </w:rPr>
        <w:t>diğer</w:t>
      </w:r>
      <w:proofErr w:type="spellEnd"/>
      <w:r w:rsidRPr="006A7E73">
        <w:rPr>
          <w:lang w:val="en-US"/>
        </w:rPr>
        <w:t xml:space="preserve"> </w:t>
      </w:r>
      <w:proofErr w:type="spellStart"/>
      <w:r w:rsidRPr="006A7E73">
        <w:rPr>
          <w:lang w:val="en-US"/>
        </w:rPr>
        <w:t>Dairenin</w:t>
      </w:r>
      <w:proofErr w:type="spellEnd"/>
      <w:r w:rsidRPr="006A7E73">
        <w:rPr>
          <w:lang w:val="en-US"/>
        </w:rPr>
        <w:t xml:space="preserve">) </w:t>
      </w:r>
      <w:proofErr w:type="spellStart"/>
      <w:r w:rsidRPr="006A7E73">
        <w:rPr>
          <w:lang w:val="en-US"/>
        </w:rPr>
        <w:t>kararlarını</w:t>
      </w:r>
      <w:proofErr w:type="spellEnd"/>
      <w:r w:rsidRPr="006A7E73">
        <w:rPr>
          <w:lang w:val="en-US"/>
        </w:rPr>
        <w:t xml:space="preserve"> </w:t>
      </w:r>
      <w:proofErr w:type="spellStart"/>
      <w:r w:rsidRPr="006A7E73">
        <w:rPr>
          <w:lang w:val="en-US"/>
        </w:rPr>
        <w:t>olağan</w:t>
      </w:r>
      <w:proofErr w:type="spellEnd"/>
      <w:r w:rsidRPr="006A7E73">
        <w:rPr>
          <w:lang w:val="en-US"/>
        </w:rPr>
        <w:t xml:space="preserve"> </w:t>
      </w:r>
      <w:proofErr w:type="spellStart"/>
      <w:r w:rsidRPr="006A7E73">
        <w:rPr>
          <w:lang w:val="en-US"/>
        </w:rPr>
        <w:t>dışı</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şekilde</w:t>
      </w:r>
      <w:proofErr w:type="spellEnd"/>
      <w:r w:rsidRPr="006A7E73">
        <w:rPr>
          <w:lang w:val="en-US"/>
        </w:rPr>
        <w:t xml:space="preserve"> </w:t>
      </w:r>
      <w:proofErr w:type="spellStart"/>
      <w:r w:rsidRPr="006A7E73">
        <w:rPr>
          <w:lang w:val="en-US"/>
        </w:rPr>
        <w:t>özet</w:t>
      </w:r>
      <w:proofErr w:type="spellEnd"/>
      <w:r w:rsidRPr="006A7E73">
        <w:rPr>
          <w:lang w:val="en-US"/>
        </w:rPr>
        <w:t xml:space="preserve"> </w:t>
      </w:r>
      <w:proofErr w:type="spellStart"/>
      <w:r w:rsidRPr="006A7E73">
        <w:rPr>
          <w:lang w:val="en-US"/>
        </w:rPr>
        <w:t>kararlarla</w:t>
      </w:r>
      <w:proofErr w:type="spellEnd"/>
      <w:r w:rsidRPr="006A7E73">
        <w:rPr>
          <w:lang w:val="en-US"/>
        </w:rPr>
        <w:t xml:space="preserve"> </w:t>
      </w:r>
      <w:proofErr w:type="spellStart"/>
      <w:r w:rsidRPr="006A7E73">
        <w:rPr>
          <w:lang w:val="en-US"/>
        </w:rPr>
        <w:t>bozma</w:t>
      </w:r>
      <w:proofErr w:type="spellEnd"/>
      <w:r w:rsidRPr="006A7E73">
        <w:rPr>
          <w:lang w:val="en-US"/>
        </w:rPr>
        <w:t xml:space="preserve"> </w:t>
      </w:r>
      <w:proofErr w:type="spellStart"/>
      <w:r w:rsidRPr="006A7E73">
        <w:rPr>
          <w:lang w:val="en-US"/>
        </w:rPr>
        <w:t>veya</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kararları</w:t>
      </w:r>
      <w:proofErr w:type="spellEnd"/>
      <w:r w:rsidRPr="006A7E73">
        <w:rPr>
          <w:lang w:val="en-US"/>
        </w:rPr>
        <w:t xml:space="preserve"> </w:t>
      </w:r>
      <w:proofErr w:type="spellStart"/>
      <w:r w:rsidRPr="006A7E73">
        <w:rPr>
          <w:lang w:val="en-US"/>
        </w:rPr>
        <w:t>incelemek</w:t>
      </w:r>
      <w:proofErr w:type="spellEnd"/>
      <w:r w:rsidRPr="006A7E73">
        <w:rPr>
          <w:lang w:val="en-US"/>
        </w:rPr>
        <w:t xml:space="preserve"> </w:t>
      </w:r>
      <w:proofErr w:type="spellStart"/>
      <w:r w:rsidRPr="006A7E73">
        <w:rPr>
          <w:lang w:val="en-US"/>
        </w:rPr>
        <w:t>üzere</w:t>
      </w:r>
      <w:proofErr w:type="spellEnd"/>
      <w:r w:rsidRPr="006A7E73">
        <w:rPr>
          <w:lang w:val="en-US"/>
        </w:rPr>
        <w:t xml:space="preserve"> certiorari (cert) </w:t>
      </w:r>
      <w:proofErr w:type="spellStart"/>
      <w:r w:rsidRPr="006A7E73">
        <w:rPr>
          <w:lang w:val="en-US"/>
        </w:rPr>
        <w:t>verme</w:t>
      </w:r>
      <w:proofErr w:type="spellEnd"/>
      <w:r w:rsidRPr="006A7E73">
        <w:rPr>
          <w:lang w:val="en-US"/>
        </w:rPr>
        <w:t xml:space="preserve"> </w:t>
      </w:r>
      <w:proofErr w:type="spellStart"/>
      <w:r w:rsidRPr="006A7E73">
        <w:rPr>
          <w:lang w:val="en-US"/>
        </w:rPr>
        <w:t>eğiliminde</w:t>
      </w:r>
      <w:proofErr w:type="spellEnd"/>
      <w:r w:rsidRPr="006A7E73">
        <w:rPr>
          <w:lang w:val="en-US"/>
        </w:rPr>
        <w:t xml:space="preserve"> </w:t>
      </w:r>
      <w:proofErr w:type="spellStart"/>
      <w:r w:rsidRPr="006A7E73">
        <w:rPr>
          <w:lang w:val="en-US"/>
        </w:rPr>
        <w:t>görülebilmektedir</w:t>
      </w:r>
      <w:proofErr w:type="spellEnd"/>
      <w:r w:rsidRPr="006A7E73">
        <w:rPr>
          <w:lang w:val="en-US"/>
        </w:rPr>
        <w:t xml:space="preserve">. </w:t>
      </w:r>
      <w:proofErr w:type="spellStart"/>
      <w:r w:rsidRPr="006A7E73">
        <w:rPr>
          <w:lang w:val="en-US"/>
        </w:rPr>
        <w:t>Normalde</w:t>
      </w:r>
      <w:proofErr w:type="spellEnd"/>
      <w:r w:rsidRPr="006A7E73">
        <w:rPr>
          <w:lang w:val="en-US"/>
        </w:rPr>
        <w:t xml:space="preserve"> </w:t>
      </w:r>
      <w:proofErr w:type="spellStart"/>
      <w:r w:rsidRPr="006A7E73">
        <w:rPr>
          <w:lang w:val="en-US"/>
        </w:rPr>
        <w:t>Mahkeme’nin</w:t>
      </w:r>
      <w:proofErr w:type="spellEnd"/>
      <w:r w:rsidRPr="006A7E73">
        <w:rPr>
          <w:lang w:val="en-US"/>
        </w:rPr>
        <w:t xml:space="preserve"> </w:t>
      </w:r>
      <w:proofErr w:type="spellStart"/>
      <w:r w:rsidRPr="006A7E73">
        <w:rPr>
          <w:lang w:val="en-US"/>
        </w:rPr>
        <w:t>incelemeye</w:t>
      </w:r>
      <w:proofErr w:type="spellEnd"/>
      <w:r w:rsidRPr="006A7E73">
        <w:rPr>
          <w:lang w:val="en-US"/>
        </w:rPr>
        <w:t xml:space="preserve"> </w:t>
      </w:r>
      <w:proofErr w:type="spellStart"/>
      <w:r w:rsidRPr="006A7E73">
        <w:rPr>
          <w:lang w:val="en-US"/>
        </w:rPr>
        <w:t>değer</w:t>
      </w:r>
      <w:proofErr w:type="spellEnd"/>
      <w:r w:rsidRPr="006A7E73">
        <w:rPr>
          <w:lang w:val="en-US"/>
        </w:rPr>
        <w:t xml:space="preserve"> </w:t>
      </w:r>
      <w:proofErr w:type="spellStart"/>
      <w:r w:rsidRPr="006A7E73">
        <w:rPr>
          <w:lang w:val="en-US"/>
        </w:rPr>
        <w:t>bulmayacağı</w:t>
      </w:r>
      <w:proofErr w:type="spellEnd"/>
      <w:r w:rsidRPr="006A7E73">
        <w:rPr>
          <w:lang w:val="en-US"/>
        </w:rPr>
        <w:t xml:space="preserve"> </w:t>
      </w:r>
      <w:proofErr w:type="spellStart"/>
      <w:r w:rsidRPr="006A7E73">
        <w:rPr>
          <w:lang w:val="en-US"/>
        </w:rPr>
        <w:t>konular</w:t>
      </w:r>
      <w:proofErr w:type="spellEnd"/>
      <w:r w:rsidRPr="006A7E73">
        <w:rPr>
          <w:lang w:val="en-US"/>
        </w:rPr>
        <w:t xml:space="preserve"> </w:t>
      </w:r>
      <w:proofErr w:type="spellStart"/>
      <w:r w:rsidRPr="006A7E73">
        <w:rPr>
          <w:lang w:val="en-US"/>
        </w:rPr>
        <w:t>hakkında</w:t>
      </w:r>
      <w:proofErr w:type="spellEnd"/>
      <w:r w:rsidRPr="006A7E73">
        <w:rPr>
          <w:lang w:val="en-US"/>
        </w:rPr>
        <w:t xml:space="preserve"> bile </w:t>
      </w:r>
      <w:proofErr w:type="spellStart"/>
      <w:r w:rsidRPr="006A7E73">
        <w:rPr>
          <w:lang w:val="en-US"/>
        </w:rPr>
        <w:t>bu</w:t>
      </w:r>
      <w:proofErr w:type="spellEnd"/>
      <w:r w:rsidRPr="006A7E73">
        <w:rPr>
          <w:lang w:val="en-US"/>
        </w:rPr>
        <w:t xml:space="preserve"> </w:t>
      </w:r>
      <w:proofErr w:type="spellStart"/>
      <w:r w:rsidRPr="006A7E73">
        <w:rPr>
          <w:lang w:val="en-US"/>
        </w:rPr>
        <w:t>eğilim</w:t>
      </w:r>
      <w:proofErr w:type="spellEnd"/>
      <w:r w:rsidRPr="006A7E73">
        <w:rPr>
          <w:lang w:val="en-US"/>
        </w:rPr>
        <w:t xml:space="preserve"> gözlemlenmektedir.¹³⁹</w:t>
      </w:r>
      <w:r w:rsidRPr="006A7E73">
        <w:rPr>
          <w:lang w:val="en-US"/>
        </w:rPr>
        <w:t xml:space="preserve"> </w:t>
      </w:r>
      <w:r w:rsidRPr="006A7E73">
        <w:rPr>
          <w:rStyle w:val="FootnoteReference"/>
          <w:lang w:val="en-US"/>
        </w:rPr>
        <w:footnoteReference w:id="139"/>
      </w:r>
    </w:p>
    <w:p w14:paraId="10E8F9FE" w14:textId="403AA4F2" w:rsidR="006A7E73" w:rsidRDefault="006A7E73" w:rsidP="006A7E73">
      <w:pPr>
        <w:rPr>
          <w:lang w:val="en-US"/>
        </w:rPr>
      </w:pPr>
      <w:r w:rsidRPr="006A7E73">
        <w:rPr>
          <w:lang w:val="en-US"/>
        </w:rPr>
        <w:t xml:space="preserve">Alt </w:t>
      </w:r>
      <w:proofErr w:type="spellStart"/>
      <w:r w:rsidRPr="006A7E73">
        <w:rPr>
          <w:lang w:val="en-US"/>
        </w:rPr>
        <w:t>mahkemelerdeki</w:t>
      </w:r>
      <w:proofErr w:type="spellEnd"/>
      <w:r w:rsidRPr="006A7E73">
        <w:rPr>
          <w:lang w:val="en-US"/>
        </w:rPr>
        <w:t xml:space="preserve"> </w:t>
      </w:r>
      <w:proofErr w:type="spellStart"/>
      <w:r w:rsidRPr="006A7E73">
        <w:rPr>
          <w:lang w:val="en-US"/>
        </w:rPr>
        <w:t>artan</w:t>
      </w:r>
      <w:proofErr w:type="spellEnd"/>
      <w:r w:rsidRPr="006A7E73">
        <w:rPr>
          <w:lang w:val="en-US"/>
        </w:rPr>
        <w:t xml:space="preserve"> </w:t>
      </w:r>
      <w:proofErr w:type="spellStart"/>
      <w:r w:rsidRPr="006A7E73">
        <w:rPr>
          <w:lang w:val="en-US"/>
        </w:rPr>
        <w:t>partizanlık</w:t>
      </w:r>
      <w:proofErr w:type="spellEnd"/>
      <w:r w:rsidRPr="006A7E73">
        <w:rPr>
          <w:lang w:val="en-US"/>
        </w:rPr>
        <w:t xml:space="preserve">, </w:t>
      </w:r>
      <w:proofErr w:type="spellStart"/>
      <w:r w:rsidRPr="006A7E73">
        <w:rPr>
          <w:lang w:val="en-US"/>
        </w:rPr>
        <w:t>bireysel</w:t>
      </w:r>
      <w:proofErr w:type="spellEnd"/>
      <w:r w:rsidRPr="006A7E73">
        <w:rPr>
          <w:lang w:val="en-US"/>
        </w:rPr>
        <w:t xml:space="preserve"> </w:t>
      </w:r>
      <w:proofErr w:type="spellStart"/>
      <w:r w:rsidRPr="006A7E73">
        <w:rPr>
          <w:lang w:val="en-US"/>
        </w:rPr>
        <w:t>sağlık</w:t>
      </w:r>
      <w:proofErr w:type="spellEnd"/>
      <w:r w:rsidRPr="006A7E73">
        <w:rPr>
          <w:lang w:val="en-US"/>
        </w:rPr>
        <w:t xml:space="preserve"> </w:t>
      </w:r>
      <w:proofErr w:type="spellStart"/>
      <w:r w:rsidRPr="006A7E73">
        <w:rPr>
          <w:lang w:val="en-US"/>
        </w:rPr>
        <w:t>sigortası</w:t>
      </w:r>
      <w:proofErr w:type="spellEnd"/>
      <w:r w:rsidRPr="006A7E73">
        <w:rPr>
          <w:lang w:val="en-US"/>
        </w:rPr>
        <w:t xml:space="preserve"> </w:t>
      </w:r>
      <w:proofErr w:type="spellStart"/>
      <w:r w:rsidRPr="006A7E73">
        <w:rPr>
          <w:lang w:val="en-US"/>
        </w:rPr>
        <w:t>zorunluluğuna</w:t>
      </w:r>
      <w:proofErr w:type="spellEnd"/>
      <w:r w:rsidRPr="006A7E73">
        <w:rPr>
          <w:lang w:val="en-US"/>
        </w:rPr>
        <w:t xml:space="preserve"> </w:t>
      </w:r>
      <w:proofErr w:type="spellStart"/>
      <w:r w:rsidRPr="006A7E73">
        <w:rPr>
          <w:lang w:val="en-US"/>
        </w:rPr>
        <w:t>ilişkin</w:t>
      </w:r>
      <w:proofErr w:type="spellEnd"/>
      <w:r w:rsidRPr="006A7E73">
        <w:rPr>
          <w:lang w:val="en-US"/>
        </w:rPr>
        <w:t xml:space="preserve"> </w:t>
      </w:r>
      <w:proofErr w:type="spellStart"/>
      <w:r w:rsidRPr="006A7E73">
        <w:rPr>
          <w:lang w:val="en-US"/>
        </w:rPr>
        <w:t>davanın</w:t>
      </w:r>
      <w:proofErr w:type="spellEnd"/>
      <w:r w:rsidRPr="006A7E73">
        <w:rPr>
          <w:lang w:val="en-US"/>
        </w:rPr>
        <w:t xml:space="preserve"> </w:t>
      </w:r>
      <w:proofErr w:type="spellStart"/>
      <w:r w:rsidRPr="006A7E73">
        <w:rPr>
          <w:lang w:val="en-US"/>
        </w:rPr>
        <w:t>seyrinde</w:t>
      </w:r>
      <w:proofErr w:type="spellEnd"/>
      <w:r w:rsidRPr="006A7E73">
        <w:rPr>
          <w:lang w:val="en-US"/>
        </w:rPr>
        <w:t xml:space="preserve"> </w:t>
      </w:r>
      <w:proofErr w:type="spellStart"/>
      <w:r w:rsidRPr="006A7E73">
        <w:rPr>
          <w:lang w:val="en-US"/>
        </w:rPr>
        <w:t>önemli</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rol</w:t>
      </w:r>
      <w:proofErr w:type="spellEnd"/>
      <w:r w:rsidRPr="006A7E73">
        <w:rPr>
          <w:lang w:val="en-US"/>
        </w:rPr>
        <w:t xml:space="preserve"> </w:t>
      </w:r>
      <w:proofErr w:type="spellStart"/>
      <w:r w:rsidRPr="006A7E73">
        <w:rPr>
          <w:lang w:val="en-US"/>
        </w:rPr>
        <w:t>oynamış</w:t>
      </w:r>
      <w:proofErr w:type="spellEnd"/>
      <w:r w:rsidRPr="006A7E73">
        <w:rPr>
          <w:lang w:val="en-US"/>
        </w:rPr>
        <w:t xml:space="preserve"> </w:t>
      </w:r>
      <w:proofErr w:type="spellStart"/>
      <w:r w:rsidRPr="006A7E73">
        <w:rPr>
          <w:lang w:val="en-US"/>
        </w:rPr>
        <w:t>olabilir</w:t>
      </w:r>
      <w:proofErr w:type="spellEnd"/>
      <w:r w:rsidRPr="006A7E73">
        <w:rPr>
          <w:lang w:val="en-US"/>
        </w:rPr>
        <w:t xml:space="preserve">. Alt </w:t>
      </w:r>
      <w:proofErr w:type="spellStart"/>
      <w:r w:rsidRPr="006A7E73">
        <w:rPr>
          <w:lang w:val="en-US"/>
        </w:rPr>
        <w:t>mahkeme</w:t>
      </w:r>
      <w:proofErr w:type="spellEnd"/>
      <w:r w:rsidRPr="006A7E73">
        <w:rPr>
          <w:lang w:val="en-US"/>
        </w:rPr>
        <w:t xml:space="preserve"> </w:t>
      </w:r>
      <w:proofErr w:type="spellStart"/>
      <w:r w:rsidRPr="006A7E73">
        <w:rPr>
          <w:lang w:val="en-US"/>
        </w:rPr>
        <w:t>yargıçları</w:t>
      </w:r>
      <w:proofErr w:type="spellEnd"/>
      <w:r w:rsidRPr="006A7E73">
        <w:rPr>
          <w:lang w:val="en-US"/>
        </w:rPr>
        <w:t xml:space="preserve">, </w:t>
      </w:r>
      <w:proofErr w:type="spellStart"/>
      <w:r w:rsidRPr="006A7E73">
        <w:rPr>
          <w:lang w:val="en-US"/>
        </w:rPr>
        <w:t>davadaki</w:t>
      </w:r>
      <w:proofErr w:type="spellEnd"/>
      <w:r w:rsidRPr="006A7E73">
        <w:rPr>
          <w:lang w:val="en-US"/>
        </w:rPr>
        <w:t xml:space="preserve"> </w:t>
      </w:r>
      <w:proofErr w:type="spellStart"/>
      <w:r w:rsidRPr="006A7E73">
        <w:rPr>
          <w:lang w:val="en-US"/>
        </w:rPr>
        <w:t>anayasal</w:t>
      </w:r>
      <w:proofErr w:type="spellEnd"/>
      <w:r w:rsidRPr="006A7E73">
        <w:rPr>
          <w:lang w:val="en-US"/>
        </w:rPr>
        <w:t xml:space="preserve"> </w:t>
      </w:r>
      <w:proofErr w:type="spellStart"/>
      <w:r w:rsidRPr="006A7E73">
        <w:rPr>
          <w:lang w:val="en-US"/>
        </w:rPr>
        <w:t>argümanları</w:t>
      </w:r>
      <w:proofErr w:type="spellEnd"/>
      <w:r w:rsidRPr="006A7E73">
        <w:rPr>
          <w:lang w:val="en-US"/>
        </w:rPr>
        <w:t xml:space="preserve"> </w:t>
      </w:r>
      <w:proofErr w:type="spellStart"/>
      <w:r w:rsidRPr="006A7E73">
        <w:rPr>
          <w:lang w:val="en-US"/>
        </w:rPr>
        <w:t>değerlendirirken</w:t>
      </w:r>
      <w:proofErr w:type="spellEnd"/>
      <w:r w:rsidRPr="006A7E73">
        <w:rPr>
          <w:lang w:val="en-US"/>
        </w:rPr>
        <w:t xml:space="preserve">, </w:t>
      </w:r>
      <w:proofErr w:type="spellStart"/>
      <w:r w:rsidRPr="006A7E73">
        <w:rPr>
          <w:lang w:val="en-US"/>
        </w:rPr>
        <w:t>büyük</w:t>
      </w:r>
      <w:proofErr w:type="spellEnd"/>
      <w:r w:rsidRPr="006A7E73">
        <w:rPr>
          <w:lang w:val="en-US"/>
        </w:rPr>
        <w:t xml:space="preserve"> </w:t>
      </w:r>
      <w:proofErr w:type="spellStart"/>
      <w:r w:rsidRPr="006A7E73">
        <w:rPr>
          <w:lang w:val="en-US"/>
        </w:rPr>
        <w:t>ölçüde</w:t>
      </w:r>
      <w:proofErr w:type="spellEnd"/>
      <w:r w:rsidRPr="006A7E73">
        <w:rPr>
          <w:lang w:val="en-US"/>
        </w:rPr>
        <w:t xml:space="preserve"> partizan </w:t>
      </w:r>
      <w:proofErr w:type="spellStart"/>
      <w:r w:rsidRPr="006A7E73">
        <w:rPr>
          <w:lang w:val="en-US"/>
        </w:rPr>
        <w:t>bir</w:t>
      </w:r>
      <w:proofErr w:type="spellEnd"/>
      <w:r w:rsidRPr="006A7E73">
        <w:rPr>
          <w:lang w:val="en-US"/>
        </w:rPr>
        <w:t xml:space="preserve"> </w:t>
      </w:r>
      <w:proofErr w:type="spellStart"/>
      <w:r w:rsidRPr="006A7E73">
        <w:rPr>
          <w:lang w:val="en-US"/>
        </w:rPr>
        <w:t>onay</w:t>
      </w:r>
      <w:proofErr w:type="spellEnd"/>
      <w:r w:rsidRPr="006A7E73">
        <w:rPr>
          <w:lang w:val="en-US"/>
        </w:rPr>
        <w:t xml:space="preserve"> </w:t>
      </w:r>
      <w:proofErr w:type="spellStart"/>
      <w:r w:rsidRPr="006A7E73">
        <w:rPr>
          <w:lang w:val="en-US"/>
        </w:rPr>
        <w:t>sürecinden</w:t>
      </w:r>
      <w:proofErr w:type="spellEnd"/>
      <w:r w:rsidRPr="006A7E73">
        <w:rPr>
          <w:lang w:val="en-US"/>
        </w:rPr>
        <w:t xml:space="preserve"> </w:t>
      </w:r>
      <w:proofErr w:type="spellStart"/>
      <w:r w:rsidRPr="006A7E73">
        <w:rPr>
          <w:lang w:val="en-US"/>
        </w:rPr>
        <w:t>geçmiş</w:t>
      </w:r>
      <w:proofErr w:type="spellEnd"/>
      <w:r w:rsidRPr="006A7E73">
        <w:rPr>
          <w:lang w:val="en-US"/>
        </w:rPr>
        <w:t xml:space="preserve"> </w:t>
      </w:r>
      <w:proofErr w:type="spellStart"/>
      <w:r w:rsidRPr="006A7E73">
        <w:rPr>
          <w:lang w:val="en-US"/>
        </w:rPr>
        <w:t>kişiler</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hareket</w:t>
      </w:r>
      <w:proofErr w:type="spellEnd"/>
      <w:r w:rsidRPr="006A7E73">
        <w:rPr>
          <w:lang w:val="en-US"/>
        </w:rPr>
        <w:t xml:space="preserve"> </w:t>
      </w:r>
      <w:proofErr w:type="spellStart"/>
      <w:r w:rsidRPr="006A7E73">
        <w:rPr>
          <w:lang w:val="en-US"/>
        </w:rPr>
        <w:t>etmiş</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yargı</w:t>
      </w:r>
      <w:proofErr w:type="spellEnd"/>
      <w:r w:rsidRPr="006A7E73">
        <w:rPr>
          <w:lang w:val="en-US"/>
        </w:rPr>
        <w:t xml:space="preserve"> </w:t>
      </w:r>
      <w:proofErr w:type="spellStart"/>
      <w:r w:rsidRPr="006A7E73">
        <w:rPr>
          <w:lang w:val="en-US"/>
        </w:rPr>
        <w:t>siyasetinin</w:t>
      </w:r>
      <w:proofErr w:type="spellEnd"/>
      <w:r w:rsidRPr="006A7E73">
        <w:rPr>
          <w:lang w:val="en-US"/>
        </w:rPr>
        <w:t xml:space="preserve"> </w:t>
      </w:r>
      <w:proofErr w:type="spellStart"/>
      <w:r w:rsidRPr="006A7E73">
        <w:rPr>
          <w:lang w:val="en-US"/>
        </w:rPr>
        <w:t>giderek</w:t>
      </w:r>
      <w:proofErr w:type="spellEnd"/>
      <w:r w:rsidRPr="006A7E73">
        <w:rPr>
          <w:lang w:val="en-US"/>
        </w:rPr>
        <w:t xml:space="preserve"> </w:t>
      </w:r>
      <w:proofErr w:type="spellStart"/>
      <w:r w:rsidRPr="006A7E73">
        <w:rPr>
          <w:lang w:val="en-US"/>
        </w:rPr>
        <w:t>ideolojik</w:t>
      </w:r>
      <w:proofErr w:type="spellEnd"/>
      <w:r w:rsidRPr="006A7E73">
        <w:rPr>
          <w:lang w:val="en-US"/>
        </w:rPr>
        <w:t xml:space="preserve"> </w:t>
      </w:r>
      <w:proofErr w:type="spellStart"/>
      <w:r w:rsidRPr="006A7E73">
        <w:rPr>
          <w:lang w:val="en-US"/>
        </w:rPr>
        <w:t>terimlerle</w:t>
      </w:r>
      <w:proofErr w:type="spellEnd"/>
      <w:r w:rsidRPr="006A7E73">
        <w:rPr>
          <w:lang w:val="en-US"/>
        </w:rPr>
        <w:t xml:space="preserve"> </w:t>
      </w:r>
      <w:proofErr w:type="spellStart"/>
      <w:r w:rsidRPr="006A7E73">
        <w:rPr>
          <w:lang w:val="en-US"/>
        </w:rPr>
        <w:t>tanımlandığı</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kültürde</w:t>
      </w:r>
      <w:proofErr w:type="spellEnd"/>
      <w:r w:rsidRPr="006A7E73">
        <w:rPr>
          <w:lang w:val="en-US"/>
        </w:rPr>
        <w:t xml:space="preserve"> </w:t>
      </w:r>
      <w:proofErr w:type="spellStart"/>
      <w:r w:rsidRPr="006A7E73">
        <w:rPr>
          <w:lang w:val="en-US"/>
        </w:rPr>
        <w:t>karar</w:t>
      </w:r>
      <w:proofErr w:type="spellEnd"/>
      <w:r w:rsidRPr="006A7E73">
        <w:rPr>
          <w:lang w:val="en-US"/>
        </w:rPr>
        <w:t xml:space="preserve"> </w:t>
      </w:r>
      <w:proofErr w:type="spellStart"/>
      <w:r w:rsidRPr="006A7E73">
        <w:rPr>
          <w:lang w:val="en-US"/>
        </w:rPr>
        <w:t>vermiştir</w:t>
      </w:r>
      <w:proofErr w:type="spellEnd"/>
      <w:r w:rsidRPr="006A7E73">
        <w:rPr>
          <w:lang w:val="en-US"/>
        </w:rPr>
        <w:t>.</w:t>
      </w:r>
      <w:r>
        <w:rPr>
          <w:lang w:val="en-US"/>
        </w:rPr>
        <w:t xml:space="preserve"> </w:t>
      </w:r>
      <w:r w:rsidRPr="006A7E73">
        <w:rPr>
          <w:lang w:val="en-US"/>
        </w:rPr>
        <w:t xml:space="preserve">Bunun </w:t>
      </w:r>
      <w:proofErr w:type="spellStart"/>
      <w:r w:rsidRPr="006A7E73">
        <w:rPr>
          <w:lang w:val="en-US"/>
        </w:rPr>
        <w:t>yanı</w:t>
      </w:r>
      <w:proofErr w:type="spellEnd"/>
      <w:r w:rsidRPr="006A7E73">
        <w:rPr>
          <w:lang w:val="en-US"/>
        </w:rPr>
        <w:t xml:space="preserve"> </w:t>
      </w:r>
      <w:proofErr w:type="spellStart"/>
      <w:r w:rsidRPr="006A7E73">
        <w:rPr>
          <w:lang w:val="en-US"/>
        </w:rPr>
        <w:t>sıra</w:t>
      </w:r>
      <w:proofErr w:type="spellEnd"/>
      <w:r w:rsidRPr="006A7E73">
        <w:rPr>
          <w:lang w:val="en-US"/>
        </w:rPr>
        <w:t xml:space="preserve">, </w:t>
      </w:r>
      <w:proofErr w:type="spellStart"/>
      <w:r w:rsidRPr="006A7E73">
        <w:rPr>
          <w:lang w:val="en-US"/>
        </w:rPr>
        <w:t>dava</w:t>
      </w:r>
      <w:proofErr w:type="spellEnd"/>
      <w:r w:rsidRPr="006A7E73">
        <w:rPr>
          <w:lang w:val="en-US"/>
        </w:rPr>
        <w:t xml:space="preserve"> </w:t>
      </w:r>
      <w:proofErr w:type="spellStart"/>
      <w:r w:rsidRPr="006A7E73">
        <w:rPr>
          <w:lang w:val="en-US"/>
        </w:rPr>
        <w:t>başından</w:t>
      </w:r>
      <w:proofErr w:type="spellEnd"/>
      <w:r w:rsidRPr="006A7E73">
        <w:rPr>
          <w:lang w:val="en-US"/>
        </w:rPr>
        <w:t xml:space="preserve"> </w:t>
      </w:r>
      <w:proofErr w:type="spellStart"/>
      <w:r w:rsidRPr="006A7E73">
        <w:rPr>
          <w:lang w:val="en-US"/>
        </w:rPr>
        <w:t>sonuna</w:t>
      </w:r>
      <w:proofErr w:type="spellEnd"/>
      <w:r w:rsidRPr="006A7E73">
        <w:rPr>
          <w:lang w:val="en-US"/>
        </w:rPr>
        <w:t xml:space="preserve"> </w:t>
      </w:r>
      <w:proofErr w:type="spellStart"/>
      <w:r w:rsidRPr="006A7E73">
        <w:rPr>
          <w:lang w:val="en-US"/>
        </w:rPr>
        <w:t>kadar</w:t>
      </w:r>
      <w:proofErr w:type="spellEnd"/>
      <w:r w:rsidRPr="006A7E73">
        <w:rPr>
          <w:lang w:val="en-US"/>
        </w:rPr>
        <w:t xml:space="preserve"> partizan </w:t>
      </w:r>
      <w:proofErr w:type="spellStart"/>
      <w:r w:rsidRPr="006A7E73">
        <w:rPr>
          <w:lang w:val="en-US"/>
        </w:rPr>
        <w:t>bir</w:t>
      </w:r>
      <w:proofErr w:type="spellEnd"/>
      <w:r w:rsidRPr="006A7E73">
        <w:rPr>
          <w:lang w:val="en-US"/>
        </w:rPr>
        <w:t xml:space="preserve"> </w:t>
      </w:r>
      <w:proofErr w:type="spellStart"/>
      <w:r w:rsidRPr="006A7E73">
        <w:rPr>
          <w:lang w:val="en-US"/>
        </w:rPr>
        <w:t>kimlikle</w:t>
      </w:r>
      <w:proofErr w:type="spellEnd"/>
      <w:r w:rsidRPr="006A7E73">
        <w:rPr>
          <w:lang w:val="en-US"/>
        </w:rPr>
        <w:t xml:space="preserve"> </w:t>
      </w:r>
      <w:proofErr w:type="spellStart"/>
      <w:r w:rsidRPr="006A7E73">
        <w:rPr>
          <w:lang w:val="en-US"/>
        </w:rPr>
        <w:t>kodlanmıştı</w:t>
      </w:r>
      <w:proofErr w:type="spellEnd"/>
      <w:r w:rsidRPr="006A7E73">
        <w:rPr>
          <w:lang w:val="en-US"/>
        </w:rPr>
        <w:t xml:space="preserve">. Hem </w:t>
      </w:r>
      <w:proofErr w:type="spellStart"/>
      <w:r w:rsidRPr="006A7E73">
        <w:rPr>
          <w:lang w:val="en-US"/>
        </w:rPr>
        <w:t>politika</w:t>
      </w:r>
      <w:proofErr w:type="spellEnd"/>
      <w:r w:rsidRPr="006A7E73">
        <w:rPr>
          <w:lang w:val="en-US"/>
        </w:rPr>
        <w:t xml:space="preserve"> hem de </w:t>
      </w:r>
      <w:proofErr w:type="spellStart"/>
      <w:r w:rsidRPr="006A7E73">
        <w:rPr>
          <w:lang w:val="en-US"/>
        </w:rPr>
        <w:t>seçim</w:t>
      </w:r>
      <w:proofErr w:type="spellEnd"/>
      <w:r w:rsidRPr="006A7E73">
        <w:rPr>
          <w:lang w:val="en-US"/>
        </w:rPr>
        <w:t xml:space="preserve"> </w:t>
      </w:r>
      <w:proofErr w:type="spellStart"/>
      <w:r w:rsidRPr="006A7E73">
        <w:rPr>
          <w:lang w:val="en-US"/>
        </w:rPr>
        <w:t>açısından</w:t>
      </w:r>
      <w:proofErr w:type="spellEnd"/>
      <w:r w:rsidRPr="006A7E73">
        <w:rPr>
          <w:lang w:val="en-US"/>
        </w:rPr>
        <w:t xml:space="preserve">, </w:t>
      </w:r>
      <w:proofErr w:type="spellStart"/>
      <w:r w:rsidRPr="006A7E73">
        <w:rPr>
          <w:lang w:val="en-US"/>
        </w:rPr>
        <w:t>bu</w:t>
      </w:r>
      <w:proofErr w:type="spellEnd"/>
      <w:r w:rsidRPr="006A7E73">
        <w:rPr>
          <w:lang w:val="en-US"/>
        </w:rPr>
        <w:t xml:space="preserve"> </w:t>
      </w:r>
      <w:proofErr w:type="spellStart"/>
      <w:r w:rsidRPr="006A7E73">
        <w:rPr>
          <w:lang w:val="en-US"/>
        </w:rPr>
        <w:t>davanın</w:t>
      </w:r>
      <w:proofErr w:type="spellEnd"/>
      <w:r w:rsidRPr="006A7E73">
        <w:rPr>
          <w:lang w:val="en-US"/>
        </w:rPr>
        <w:t xml:space="preserve"> </w:t>
      </w:r>
      <w:proofErr w:type="spellStart"/>
      <w:r w:rsidRPr="006A7E73">
        <w:rPr>
          <w:lang w:val="en-US"/>
        </w:rPr>
        <w:t>sonuçları</w:t>
      </w:r>
      <w:proofErr w:type="spellEnd"/>
      <w:r w:rsidRPr="006A7E73">
        <w:rPr>
          <w:lang w:val="en-US"/>
        </w:rPr>
        <w:t xml:space="preserve"> her </w:t>
      </w:r>
      <w:proofErr w:type="spellStart"/>
      <w:r w:rsidRPr="006A7E73">
        <w:rPr>
          <w:lang w:val="en-US"/>
        </w:rPr>
        <w:t>iki</w:t>
      </w:r>
      <w:proofErr w:type="spellEnd"/>
      <w:r w:rsidRPr="006A7E73">
        <w:rPr>
          <w:lang w:val="en-US"/>
        </w:rPr>
        <w:t xml:space="preserve"> </w:t>
      </w:r>
      <w:proofErr w:type="spellStart"/>
      <w:r w:rsidRPr="006A7E73">
        <w:rPr>
          <w:lang w:val="en-US"/>
        </w:rPr>
        <w:t>siyasi</w:t>
      </w:r>
      <w:proofErr w:type="spellEnd"/>
      <w:r w:rsidRPr="006A7E73">
        <w:rPr>
          <w:lang w:val="en-US"/>
        </w:rPr>
        <w:t xml:space="preserve"> parti </w:t>
      </w:r>
      <w:proofErr w:type="spellStart"/>
      <w:r w:rsidRPr="006A7E73">
        <w:rPr>
          <w:lang w:val="en-US"/>
        </w:rPr>
        <w:t>için</w:t>
      </w:r>
      <w:proofErr w:type="spellEnd"/>
      <w:r w:rsidRPr="006A7E73">
        <w:rPr>
          <w:lang w:val="en-US"/>
        </w:rPr>
        <w:t xml:space="preserve"> de son </w:t>
      </w:r>
      <w:proofErr w:type="spellStart"/>
      <w:r w:rsidRPr="006A7E73">
        <w:rPr>
          <w:lang w:val="en-US"/>
        </w:rPr>
        <w:t>derece</w:t>
      </w:r>
      <w:proofErr w:type="spellEnd"/>
      <w:r w:rsidRPr="006A7E73">
        <w:rPr>
          <w:lang w:val="en-US"/>
        </w:rPr>
        <w:t xml:space="preserve"> </w:t>
      </w:r>
      <w:proofErr w:type="spellStart"/>
      <w:r w:rsidRPr="006A7E73">
        <w:rPr>
          <w:lang w:val="en-US"/>
        </w:rPr>
        <w:t>önemliydi</w:t>
      </w:r>
      <w:proofErr w:type="spellEnd"/>
      <w:r w:rsidRPr="006A7E73">
        <w:rPr>
          <w:lang w:val="en-US"/>
        </w:rPr>
        <w:t xml:space="preserve">. Davada </w:t>
      </w:r>
      <w:proofErr w:type="spellStart"/>
      <w:r w:rsidRPr="006A7E73">
        <w:rPr>
          <w:lang w:val="en-US"/>
        </w:rPr>
        <w:t>yer</w:t>
      </w:r>
      <w:proofErr w:type="spellEnd"/>
      <w:r w:rsidRPr="006A7E73">
        <w:rPr>
          <w:lang w:val="en-US"/>
        </w:rPr>
        <w:t xml:space="preserve"> </w:t>
      </w:r>
      <w:proofErr w:type="spellStart"/>
      <w:r w:rsidRPr="006A7E73">
        <w:rPr>
          <w:lang w:val="en-US"/>
        </w:rPr>
        <w:t>alan</w:t>
      </w:r>
      <w:proofErr w:type="spellEnd"/>
      <w:r w:rsidRPr="006A7E73">
        <w:rPr>
          <w:lang w:val="en-US"/>
        </w:rPr>
        <w:t xml:space="preserve"> </w:t>
      </w:r>
      <w:proofErr w:type="spellStart"/>
      <w:r w:rsidRPr="006A7E73">
        <w:rPr>
          <w:lang w:val="en-US"/>
        </w:rPr>
        <w:t>avukatlar</w:t>
      </w:r>
      <w:proofErr w:type="spellEnd"/>
      <w:r w:rsidRPr="006A7E73">
        <w:rPr>
          <w:lang w:val="en-US"/>
        </w:rPr>
        <w:t xml:space="preserve">, </w:t>
      </w:r>
      <w:proofErr w:type="spellStart"/>
      <w:r w:rsidRPr="006A7E73">
        <w:rPr>
          <w:lang w:val="en-US"/>
        </w:rPr>
        <w:t>akademisyenler</w:t>
      </w:r>
      <w:proofErr w:type="spellEnd"/>
      <w:r w:rsidRPr="006A7E73">
        <w:rPr>
          <w:lang w:val="en-US"/>
        </w:rPr>
        <w:t xml:space="preserve">, </w:t>
      </w:r>
      <w:proofErr w:type="spellStart"/>
      <w:r w:rsidRPr="006A7E73">
        <w:rPr>
          <w:lang w:val="en-US"/>
        </w:rPr>
        <w:t>stratejistler</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argümanların</w:t>
      </w:r>
      <w:proofErr w:type="spellEnd"/>
      <w:r w:rsidRPr="006A7E73">
        <w:rPr>
          <w:lang w:val="en-US"/>
        </w:rPr>
        <w:t xml:space="preserve"> </w:t>
      </w:r>
      <w:proofErr w:type="spellStart"/>
      <w:r w:rsidRPr="006A7E73">
        <w:rPr>
          <w:lang w:val="en-US"/>
        </w:rPr>
        <w:t>şekillenmesine</w:t>
      </w:r>
      <w:proofErr w:type="spellEnd"/>
      <w:r w:rsidRPr="006A7E73">
        <w:rPr>
          <w:lang w:val="en-US"/>
        </w:rPr>
        <w:t xml:space="preserve"> </w:t>
      </w:r>
      <w:proofErr w:type="spellStart"/>
      <w:r w:rsidRPr="006A7E73">
        <w:rPr>
          <w:lang w:val="en-US"/>
        </w:rPr>
        <w:t>katkıda</w:t>
      </w:r>
      <w:proofErr w:type="spellEnd"/>
      <w:r w:rsidRPr="006A7E73">
        <w:rPr>
          <w:lang w:val="en-US"/>
        </w:rPr>
        <w:t xml:space="preserve"> </w:t>
      </w:r>
      <w:proofErr w:type="spellStart"/>
      <w:r w:rsidRPr="006A7E73">
        <w:rPr>
          <w:lang w:val="en-US"/>
        </w:rPr>
        <w:t>bulunan</w:t>
      </w:r>
      <w:proofErr w:type="spellEnd"/>
      <w:r w:rsidRPr="006A7E73">
        <w:rPr>
          <w:lang w:val="en-US"/>
        </w:rPr>
        <w:t xml:space="preserve"> </w:t>
      </w:r>
      <w:proofErr w:type="spellStart"/>
      <w:r w:rsidRPr="006A7E73">
        <w:rPr>
          <w:lang w:val="en-US"/>
        </w:rPr>
        <w:t>kuruluşlar</w:t>
      </w:r>
      <w:proofErr w:type="spellEnd"/>
      <w:r w:rsidRPr="006A7E73">
        <w:rPr>
          <w:lang w:val="en-US"/>
        </w:rPr>
        <w:t xml:space="preserve"> </w:t>
      </w:r>
      <w:proofErr w:type="spellStart"/>
      <w:r w:rsidRPr="006A7E73">
        <w:rPr>
          <w:lang w:val="en-US"/>
        </w:rPr>
        <w:t>belirli</w:t>
      </w:r>
      <w:proofErr w:type="spellEnd"/>
      <w:r w:rsidRPr="006A7E73">
        <w:rPr>
          <w:lang w:val="en-US"/>
        </w:rPr>
        <w:t xml:space="preserve"> </w:t>
      </w:r>
      <w:proofErr w:type="spellStart"/>
      <w:r w:rsidRPr="006A7E73">
        <w:rPr>
          <w:lang w:val="en-US"/>
        </w:rPr>
        <w:t>siyasi</w:t>
      </w:r>
      <w:proofErr w:type="spellEnd"/>
      <w:r w:rsidRPr="006A7E73">
        <w:rPr>
          <w:lang w:val="en-US"/>
        </w:rPr>
        <w:t xml:space="preserve"> </w:t>
      </w:r>
      <w:proofErr w:type="spellStart"/>
      <w:r w:rsidRPr="006A7E73">
        <w:rPr>
          <w:lang w:val="en-US"/>
        </w:rPr>
        <w:t>görüşlerle</w:t>
      </w:r>
      <w:proofErr w:type="spellEnd"/>
      <w:r w:rsidRPr="006A7E73">
        <w:rPr>
          <w:lang w:val="en-US"/>
        </w:rPr>
        <w:t xml:space="preserve"> </w:t>
      </w:r>
      <w:proofErr w:type="spellStart"/>
      <w:r w:rsidRPr="006A7E73">
        <w:rPr>
          <w:lang w:val="en-US"/>
        </w:rPr>
        <w:t>yakından</w:t>
      </w:r>
      <w:proofErr w:type="spellEnd"/>
      <w:r w:rsidRPr="006A7E73">
        <w:rPr>
          <w:lang w:val="en-US"/>
        </w:rPr>
        <w:t xml:space="preserve"> ilişkilendirilmişti.¹⁴⁰</w:t>
      </w:r>
      <w:r>
        <w:rPr>
          <w:lang w:val="en-US"/>
        </w:rPr>
        <w:t xml:space="preserve"> </w:t>
      </w:r>
      <w:r>
        <w:rPr>
          <w:rStyle w:val="FootnoteReference"/>
          <w:lang w:val="en-US"/>
        </w:rPr>
        <w:footnoteReference w:id="140"/>
      </w:r>
      <w:r w:rsidRPr="006A7E73">
        <w:rPr>
          <w:lang w:val="en-US"/>
        </w:rPr>
        <w:t xml:space="preserve"> </w:t>
      </w:r>
      <w:proofErr w:type="spellStart"/>
      <w:r w:rsidRPr="006A7E73">
        <w:rPr>
          <w:lang w:val="en-US"/>
        </w:rPr>
        <w:t>Hukuken</w:t>
      </w:r>
      <w:proofErr w:type="spellEnd"/>
      <w:r w:rsidRPr="006A7E73">
        <w:rPr>
          <w:lang w:val="en-US"/>
        </w:rPr>
        <w:t xml:space="preserve"> </w:t>
      </w:r>
      <w:proofErr w:type="spellStart"/>
      <w:r w:rsidRPr="006A7E73">
        <w:rPr>
          <w:lang w:val="en-US"/>
        </w:rPr>
        <w:t>savunulabilir</w:t>
      </w:r>
      <w:proofErr w:type="spellEnd"/>
      <w:r w:rsidRPr="006A7E73">
        <w:rPr>
          <w:lang w:val="en-US"/>
        </w:rPr>
        <w:t xml:space="preserve"> </w:t>
      </w:r>
      <w:proofErr w:type="spellStart"/>
      <w:r w:rsidRPr="006A7E73">
        <w:rPr>
          <w:lang w:val="en-US"/>
        </w:rPr>
        <w:t>argümanların</w:t>
      </w:r>
      <w:proofErr w:type="spellEnd"/>
      <w:r w:rsidRPr="006A7E73">
        <w:rPr>
          <w:lang w:val="en-US"/>
        </w:rPr>
        <w:t xml:space="preserve"> her </w:t>
      </w:r>
      <w:proofErr w:type="spellStart"/>
      <w:r w:rsidRPr="006A7E73">
        <w:rPr>
          <w:lang w:val="en-US"/>
        </w:rPr>
        <w:t>iki</w:t>
      </w:r>
      <w:proofErr w:type="spellEnd"/>
      <w:r w:rsidRPr="006A7E73">
        <w:rPr>
          <w:lang w:val="en-US"/>
        </w:rPr>
        <w:t xml:space="preserve"> </w:t>
      </w:r>
      <w:proofErr w:type="spellStart"/>
      <w:r w:rsidRPr="006A7E73">
        <w:rPr>
          <w:lang w:val="en-US"/>
        </w:rPr>
        <w:t>taraf</w:t>
      </w:r>
      <w:proofErr w:type="spellEnd"/>
      <w:r w:rsidRPr="006A7E73">
        <w:rPr>
          <w:lang w:val="en-US"/>
        </w:rPr>
        <w:t xml:space="preserve"> </w:t>
      </w:r>
      <w:proofErr w:type="spellStart"/>
      <w:r w:rsidRPr="006A7E73">
        <w:rPr>
          <w:lang w:val="en-US"/>
        </w:rPr>
        <w:t>için</w:t>
      </w:r>
      <w:proofErr w:type="spellEnd"/>
      <w:r w:rsidRPr="006A7E73">
        <w:rPr>
          <w:lang w:val="en-US"/>
        </w:rPr>
        <w:t xml:space="preserve"> de </w:t>
      </w:r>
      <w:proofErr w:type="spellStart"/>
      <w:r w:rsidRPr="006A7E73">
        <w:rPr>
          <w:lang w:val="en-US"/>
        </w:rPr>
        <w:t>mevcut</w:t>
      </w:r>
      <w:proofErr w:type="spellEnd"/>
      <w:r w:rsidRPr="006A7E73">
        <w:rPr>
          <w:lang w:val="en-US"/>
        </w:rPr>
        <w:t xml:space="preserve"> </w:t>
      </w:r>
      <w:proofErr w:type="spellStart"/>
      <w:r w:rsidRPr="006A7E73">
        <w:rPr>
          <w:lang w:val="en-US"/>
        </w:rPr>
        <w:t>olduğu</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durumda</w:t>
      </w:r>
      <w:proofErr w:type="spellEnd"/>
      <w:r w:rsidRPr="006A7E73">
        <w:rPr>
          <w:lang w:val="en-US"/>
        </w:rPr>
        <w:t xml:space="preserve">, ilk </w:t>
      </w:r>
      <w:proofErr w:type="spellStart"/>
      <w:r w:rsidRPr="006A7E73">
        <w:rPr>
          <w:lang w:val="en-US"/>
        </w:rPr>
        <w:t>karar</w:t>
      </w:r>
      <w:proofErr w:type="spellEnd"/>
      <w:r w:rsidRPr="006A7E73">
        <w:rPr>
          <w:lang w:val="en-US"/>
        </w:rPr>
        <w:t xml:space="preserve"> </w:t>
      </w:r>
      <w:proofErr w:type="spellStart"/>
      <w:r w:rsidRPr="006A7E73">
        <w:rPr>
          <w:lang w:val="en-US"/>
        </w:rPr>
        <w:t>veren</w:t>
      </w:r>
      <w:proofErr w:type="spellEnd"/>
      <w:r w:rsidRPr="006A7E73">
        <w:rPr>
          <w:lang w:val="en-US"/>
        </w:rPr>
        <w:t xml:space="preserve"> </w:t>
      </w:r>
      <w:proofErr w:type="spellStart"/>
      <w:r w:rsidRPr="006A7E73">
        <w:rPr>
          <w:lang w:val="en-US"/>
        </w:rPr>
        <w:t>yargıçların</w:t>
      </w:r>
      <w:proofErr w:type="spellEnd"/>
      <w:r w:rsidRPr="006A7E73">
        <w:rPr>
          <w:lang w:val="en-US"/>
        </w:rPr>
        <w:t xml:space="preserve"> </w:t>
      </w:r>
      <w:proofErr w:type="spellStart"/>
      <w:r w:rsidRPr="006A7E73">
        <w:rPr>
          <w:lang w:val="en-US"/>
        </w:rPr>
        <w:t>katı</w:t>
      </w:r>
      <w:proofErr w:type="spellEnd"/>
      <w:r w:rsidRPr="006A7E73">
        <w:rPr>
          <w:lang w:val="en-US"/>
        </w:rPr>
        <w:t xml:space="preserve"> partizan </w:t>
      </w:r>
      <w:proofErr w:type="spellStart"/>
      <w:r w:rsidRPr="006A7E73">
        <w:rPr>
          <w:lang w:val="en-US"/>
        </w:rPr>
        <w:t>çizgilere</w:t>
      </w:r>
      <w:proofErr w:type="spellEnd"/>
      <w:r w:rsidRPr="006A7E73">
        <w:rPr>
          <w:lang w:val="en-US"/>
        </w:rPr>
        <w:t xml:space="preserve"> </w:t>
      </w:r>
      <w:proofErr w:type="spellStart"/>
      <w:r w:rsidRPr="006A7E73">
        <w:rPr>
          <w:lang w:val="en-US"/>
        </w:rPr>
        <w:t>göre</w:t>
      </w:r>
      <w:proofErr w:type="spellEnd"/>
      <w:r w:rsidRPr="006A7E73">
        <w:rPr>
          <w:lang w:val="en-US"/>
        </w:rPr>
        <w:t xml:space="preserve"> </w:t>
      </w:r>
      <w:proofErr w:type="spellStart"/>
      <w:r w:rsidRPr="006A7E73">
        <w:rPr>
          <w:lang w:val="en-US"/>
        </w:rPr>
        <w:t>bölünmesi</w:t>
      </w:r>
      <w:proofErr w:type="spellEnd"/>
      <w:r w:rsidRPr="006A7E73">
        <w:rPr>
          <w:lang w:val="en-US"/>
        </w:rPr>
        <w:t xml:space="preserve"> </w:t>
      </w:r>
      <w:proofErr w:type="spellStart"/>
      <w:r w:rsidRPr="006A7E73">
        <w:rPr>
          <w:lang w:val="en-US"/>
        </w:rPr>
        <w:t>şaşırtıcı</w:t>
      </w:r>
      <w:proofErr w:type="spellEnd"/>
      <w:r w:rsidRPr="006A7E73">
        <w:rPr>
          <w:lang w:val="en-US"/>
        </w:rPr>
        <w:t xml:space="preserve"> </w:t>
      </w:r>
      <w:proofErr w:type="spellStart"/>
      <w:r w:rsidRPr="006A7E73">
        <w:rPr>
          <w:lang w:val="en-US"/>
        </w:rPr>
        <w:t>değildir</w:t>
      </w:r>
      <w:proofErr w:type="spellEnd"/>
      <w:r w:rsidRPr="006A7E73">
        <w:rPr>
          <w:lang w:val="en-US"/>
        </w:rPr>
        <w:t>.</w:t>
      </w:r>
      <w:r>
        <w:rPr>
          <w:lang w:val="en-US"/>
        </w:rPr>
        <w:t xml:space="preserve"> </w:t>
      </w:r>
      <w:r w:rsidRPr="006A7E73">
        <w:rPr>
          <w:lang w:val="en-US"/>
        </w:rPr>
        <w:t xml:space="preserve">Bu </w:t>
      </w:r>
      <w:proofErr w:type="spellStart"/>
      <w:r w:rsidRPr="006A7E73">
        <w:rPr>
          <w:lang w:val="en-US"/>
        </w:rPr>
        <w:t>dinamik</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kez</w:t>
      </w:r>
      <w:proofErr w:type="spellEnd"/>
      <w:r w:rsidRPr="006A7E73">
        <w:rPr>
          <w:lang w:val="en-US"/>
        </w:rPr>
        <w:t xml:space="preserve"> </w:t>
      </w:r>
      <w:proofErr w:type="spellStart"/>
      <w:r w:rsidRPr="006A7E73">
        <w:rPr>
          <w:lang w:val="en-US"/>
        </w:rPr>
        <w:t>oluştuğunda</w:t>
      </w:r>
      <w:proofErr w:type="spellEnd"/>
      <w:r w:rsidRPr="006A7E73">
        <w:rPr>
          <w:lang w:val="en-US"/>
        </w:rPr>
        <w:t xml:space="preserve">, </w:t>
      </w:r>
      <w:proofErr w:type="spellStart"/>
      <w:r w:rsidRPr="006A7E73">
        <w:rPr>
          <w:lang w:val="en-US"/>
        </w:rPr>
        <w:t>sonraki</w:t>
      </w:r>
      <w:proofErr w:type="spellEnd"/>
      <w:r w:rsidRPr="006A7E73">
        <w:rPr>
          <w:lang w:val="en-US"/>
        </w:rPr>
        <w:t xml:space="preserve"> </w:t>
      </w:r>
      <w:proofErr w:type="spellStart"/>
      <w:r w:rsidRPr="006A7E73">
        <w:rPr>
          <w:lang w:val="en-US"/>
        </w:rPr>
        <w:t>aşamalarda</w:t>
      </w:r>
      <w:proofErr w:type="spellEnd"/>
      <w:r w:rsidRPr="006A7E73">
        <w:rPr>
          <w:lang w:val="en-US"/>
        </w:rPr>
        <w:t xml:space="preserve"> </w:t>
      </w:r>
      <w:proofErr w:type="spellStart"/>
      <w:r w:rsidRPr="006A7E73">
        <w:rPr>
          <w:lang w:val="en-US"/>
        </w:rPr>
        <w:t>davaya</w:t>
      </w:r>
      <w:proofErr w:type="spellEnd"/>
      <w:r w:rsidRPr="006A7E73">
        <w:rPr>
          <w:lang w:val="en-US"/>
        </w:rPr>
        <w:t xml:space="preserve"> </w:t>
      </w:r>
      <w:proofErr w:type="spellStart"/>
      <w:r w:rsidRPr="006A7E73">
        <w:rPr>
          <w:lang w:val="en-US"/>
        </w:rPr>
        <w:t>bakan</w:t>
      </w:r>
      <w:proofErr w:type="spellEnd"/>
      <w:r w:rsidRPr="006A7E73">
        <w:rPr>
          <w:lang w:val="en-US"/>
        </w:rPr>
        <w:t xml:space="preserve"> </w:t>
      </w:r>
      <w:proofErr w:type="spellStart"/>
      <w:r w:rsidRPr="006A7E73">
        <w:rPr>
          <w:lang w:val="en-US"/>
        </w:rPr>
        <w:t>yargıçlara</w:t>
      </w:r>
      <w:proofErr w:type="spellEnd"/>
      <w:r w:rsidRPr="006A7E73">
        <w:rPr>
          <w:lang w:val="en-US"/>
        </w:rPr>
        <w:t xml:space="preserve"> </w:t>
      </w:r>
      <w:proofErr w:type="spellStart"/>
      <w:r w:rsidRPr="006A7E73">
        <w:rPr>
          <w:lang w:val="en-US"/>
        </w:rPr>
        <w:t>yönelik</w:t>
      </w:r>
      <w:proofErr w:type="spellEnd"/>
      <w:r w:rsidRPr="006A7E73">
        <w:rPr>
          <w:lang w:val="en-US"/>
        </w:rPr>
        <w:t xml:space="preserve"> partizan </w:t>
      </w:r>
      <w:proofErr w:type="spellStart"/>
      <w:r w:rsidRPr="006A7E73">
        <w:rPr>
          <w:lang w:val="en-US"/>
        </w:rPr>
        <w:t>sinyalleri</w:t>
      </w:r>
      <w:proofErr w:type="spellEnd"/>
      <w:r w:rsidRPr="006A7E73">
        <w:rPr>
          <w:lang w:val="en-US"/>
        </w:rPr>
        <w:t xml:space="preserve"> </w:t>
      </w:r>
      <w:proofErr w:type="spellStart"/>
      <w:r w:rsidRPr="006A7E73">
        <w:rPr>
          <w:lang w:val="en-US"/>
        </w:rPr>
        <w:t>daha</w:t>
      </w:r>
      <w:proofErr w:type="spellEnd"/>
      <w:r w:rsidRPr="006A7E73">
        <w:rPr>
          <w:lang w:val="en-US"/>
        </w:rPr>
        <w:t xml:space="preserve"> da </w:t>
      </w:r>
      <w:proofErr w:type="spellStart"/>
      <w:r w:rsidRPr="006A7E73">
        <w:rPr>
          <w:lang w:val="en-US"/>
        </w:rPr>
        <w:t>arttı</w:t>
      </w:r>
      <w:proofErr w:type="spellEnd"/>
      <w:r w:rsidRPr="006A7E73">
        <w:rPr>
          <w:lang w:val="en-US"/>
        </w:rPr>
        <w:t xml:space="preserve">. Dava Yüksek </w:t>
      </w:r>
      <w:proofErr w:type="spellStart"/>
      <w:r w:rsidRPr="006A7E73">
        <w:rPr>
          <w:lang w:val="en-US"/>
        </w:rPr>
        <w:t>Mahkeme’ye</w:t>
      </w:r>
      <w:proofErr w:type="spellEnd"/>
      <w:r w:rsidRPr="006A7E73">
        <w:rPr>
          <w:lang w:val="en-US"/>
        </w:rPr>
        <w:t xml:space="preserve"> </w:t>
      </w:r>
      <w:proofErr w:type="spellStart"/>
      <w:r w:rsidRPr="006A7E73">
        <w:rPr>
          <w:lang w:val="en-US"/>
        </w:rPr>
        <w:t>ulaştığında</w:t>
      </w:r>
      <w:proofErr w:type="spellEnd"/>
      <w:r w:rsidRPr="006A7E73">
        <w:rPr>
          <w:lang w:val="en-US"/>
        </w:rPr>
        <w:t xml:space="preserve">, </w:t>
      </w:r>
      <w:proofErr w:type="spellStart"/>
      <w:r w:rsidRPr="006A7E73">
        <w:rPr>
          <w:lang w:val="en-US"/>
        </w:rPr>
        <w:t>temyiz</w:t>
      </w:r>
      <w:proofErr w:type="spellEnd"/>
      <w:r w:rsidRPr="006A7E73">
        <w:rPr>
          <w:lang w:val="en-US"/>
        </w:rPr>
        <w:t xml:space="preserve"> </w:t>
      </w:r>
      <w:proofErr w:type="spellStart"/>
      <w:r w:rsidRPr="006A7E73">
        <w:rPr>
          <w:lang w:val="en-US"/>
        </w:rPr>
        <w:t>aşamasında</w:t>
      </w:r>
      <w:proofErr w:type="spellEnd"/>
      <w:r w:rsidRPr="006A7E73">
        <w:rPr>
          <w:lang w:val="en-US"/>
        </w:rPr>
        <w:t xml:space="preserve"> </w:t>
      </w:r>
      <w:proofErr w:type="spellStart"/>
      <w:r w:rsidRPr="006A7E73">
        <w:rPr>
          <w:lang w:val="en-US"/>
        </w:rPr>
        <w:t>ortaya</w:t>
      </w:r>
      <w:proofErr w:type="spellEnd"/>
      <w:r w:rsidRPr="006A7E73">
        <w:rPr>
          <w:lang w:val="en-US"/>
        </w:rPr>
        <w:t xml:space="preserve"> </w:t>
      </w:r>
      <w:proofErr w:type="spellStart"/>
      <w:r w:rsidRPr="006A7E73">
        <w:rPr>
          <w:lang w:val="en-US"/>
        </w:rPr>
        <w:t>çıkan</w:t>
      </w:r>
      <w:proofErr w:type="spellEnd"/>
      <w:r w:rsidRPr="006A7E73">
        <w:rPr>
          <w:lang w:val="en-US"/>
        </w:rPr>
        <w:t xml:space="preserve"> </w:t>
      </w:r>
      <w:proofErr w:type="spellStart"/>
      <w:r w:rsidRPr="006A7E73">
        <w:rPr>
          <w:lang w:val="en-US"/>
        </w:rPr>
        <w:t>birkaç</w:t>
      </w:r>
      <w:proofErr w:type="spellEnd"/>
      <w:r w:rsidRPr="006A7E73">
        <w:rPr>
          <w:lang w:val="en-US"/>
        </w:rPr>
        <w:t xml:space="preserve"> </w:t>
      </w:r>
      <w:proofErr w:type="spellStart"/>
      <w:r w:rsidRPr="006A7E73">
        <w:rPr>
          <w:lang w:val="en-US"/>
        </w:rPr>
        <w:t>geç</w:t>
      </w:r>
      <w:proofErr w:type="spellEnd"/>
      <w:r w:rsidRPr="006A7E73">
        <w:rPr>
          <w:lang w:val="en-US"/>
        </w:rPr>
        <w:t xml:space="preserve"> </w:t>
      </w:r>
      <w:proofErr w:type="spellStart"/>
      <w:r w:rsidRPr="006A7E73">
        <w:rPr>
          <w:lang w:val="en-US"/>
        </w:rPr>
        <w:t>istisna</w:t>
      </w:r>
      <w:proofErr w:type="spellEnd"/>
      <w:r w:rsidRPr="006A7E73">
        <w:rPr>
          <w:lang w:val="en-US"/>
        </w:rPr>
        <w:t xml:space="preserve"> dışında,¹⁴¹</w:t>
      </w:r>
      <w:r w:rsidR="00364184">
        <w:rPr>
          <w:lang w:val="en-US"/>
        </w:rPr>
        <w:t xml:space="preserve"> </w:t>
      </w:r>
      <w:r w:rsidR="00364184">
        <w:rPr>
          <w:rStyle w:val="FootnoteReference"/>
          <w:lang w:val="en-US"/>
        </w:rPr>
        <w:footnoteReference w:id="141"/>
      </w:r>
      <w:r w:rsidRPr="006A7E73">
        <w:rPr>
          <w:lang w:val="en-US"/>
        </w:rPr>
        <w:t xml:space="preserve"> </w:t>
      </w:r>
      <w:proofErr w:type="spellStart"/>
      <w:r w:rsidRPr="006A7E73">
        <w:rPr>
          <w:lang w:val="en-US"/>
        </w:rPr>
        <w:t>Mahkeme</w:t>
      </w:r>
      <w:proofErr w:type="spellEnd"/>
      <w:r w:rsidRPr="006A7E73">
        <w:rPr>
          <w:lang w:val="en-US"/>
        </w:rPr>
        <w:t xml:space="preserve">, partizan </w:t>
      </w:r>
      <w:proofErr w:type="spellStart"/>
      <w:r w:rsidRPr="006A7E73">
        <w:rPr>
          <w:lang w:val="en-US"/>
        </w:rPr>
        <w:t>temellere</w:t>
      </w:r>
      <w:proofErr w:type="spellEnd"/>
      <w:r w:rsidRPr="006A7E73">
        <w:rPr>
          <w:lang w:val="en-US"/>
        </w:rPr>
        <w:t xml:space="preserve"> </w:t>
      </w:r>
      <w:proofErr w:type="spellStart"/>
      <w:r w:rsidRPr="006A7E73">
        <w:rPr>
          <w:lang w:val="en-US"/>
        </w:rPr>
        <w:t>dayalı</w:t>
      </w:r>
      <w:proofErr w:type="spellEnd"/>
      <w:r w:rsidRPr="006A7E73">
        <w:rPr>
          <w:lang w:val="en-US"/>
        </w:rPr>
        <w:t xml:space="preserve"> </w:t>
      </w:r>
      <w:proofErr w:type="spellStart"/>
      <w:r w:rsidRPr="006A7E73">
        <w:rPr>
          <w:lang w:val="en-US"/>
        </w:rPr>
        <w:t>olarak</w:t>
      </w:r>
      <w:proofErr w:type="spellEnd"/>
      <w:r w:rsidRPr="006A7E73">
        <w:rPr>
          <w:lang w:val="en-US"/>
        </w:rPr>
        <w:t xml:space="preserve"> </w:t>
      </w:r>
      <w:proofErr w:type="spellStart"/>
      <w:r w:rsidRPr="006A7E73">
        <w:rPr>
          <w:lang w:val="en-US"/>
        </w:rPr>
        <w:t>bölünmesi</w:t>
      </w:r>
      <w:proofErr w:type="spellEnd"/>
      <w:r w:rsidRPr="006A7E73">
        <w:rPr>
          <w:lang w:val="en-US"/>
        </w:rPr>
        <w:t xml:space="preserve"> </w:t>
      </w:r>
      <w:proofErr w:type="spellStart"/>
      <w:r w:rsidRPr="006A7E73">
        <w:rPr>
          <w:lang w:val="en-US"/>
        </w:rPr>
        <w:t>muhtemel</w:t>
      </w:r>
      <w:proofErr w:type="spellEnd"/>
      <w:r w:rsidRPr="006A7E73">
        <w:rPr>
          <w:lang w:val="en-US"/>
        </w:rPr>
        <w:t xml:space="preserve"> </w:t>
      </w:r>
      <w:proofErr w:type="spellStart"/>
      <w:r w:rsidRPr="006A7E73">
        <w:rPr>
          <w:lang w:val="en-US"/>
        </w:rPr>
        <w:t>ve</w:t>
      </w:r>
      <w:proofErr w:type="spellEnd"/>
      <w:r w:rsidRPr="006A7E73">
        <w:rPr>
          <w:lang w:val="en-US"/>
        </w:rPr>
        <w:t xml:space="preserve"> </w:t>
      </w:r>
      <w:proofErr w:type="spellStart"/>
      <w:r w:rsidRPr="006A7E73">
        <w:rPr>
          <w:lang w:val="en-US"/>
        </w:rPr>
        <w:t>çok</w:t>
      </w:r>
      <w:proofErr w:type="spellEnd"/>
      <w:r w:rsidRPr="006A7E73">
        <w:rPr>
          <w:lang w:val="en-US"/>
        </w:rPr>
        <w:t xml:space="preserve"> </w:t>
      </w:r>
      <w:proofErr w:type="spellStart"/>
      <w:r w:rsidRPr="006A7E73">
        <w:rPr>
          <w:lang w:val="en-US"/>
        </w:rPr>
        <w:t>yakın</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karar</w:t>
      </w:r>
      <w:proofErr w:type="spellEnd"/>
      <w:r w:rsidRPr="006A7E73">
        <w:rPr>
          <w:lang w:val="en-US"/>
        </w:rPr>
        <w:t xml:space="preserve"> </w:t>
      </w:r>
      <w:proofErr w:type="spellStart"/>
      <w:r w:rsidRPr="006A7E73">
        <w:rPr>
          <w:lang w:val="en-US"/>
        </w:rPr>
        <w:t>gerektiren</w:t>
      </w:r>
      <w:proofErr w:type="spellEnd"/>
      <w:r w:rsidRPr="006A7E73">
        <w:rPr>
          <w:lang w:val="en-US"/>
        </w:rPr>
        <w:t xml:space="preserve"> </w:t>
      </w:r>
      <w:proofErr w:type="spellStart"/>
      <w:r w:rsidRPr="006A7E73">
        <w:rPr>
          <w:lang w:val="en-US"/>
        </w:rPr>
        <w:t>bir</w:t>
      </w:r>
      <w:proofErr w:type="spellEnd"/>
      <w:r w:rsidRPr="006A7E73">
        <w:rPr>
          <w:lang w:val="en-US"/>
        </w:rPr>
        <w:t xml:space="preserve"> </w:t>
      </w:r>
      <w:proofErr w:type="spellStart"/>
      <w:r w:rsidRPr="006A7E73">
        <w:rPr>
          <w:lang w:val="en-US"/>
        </w:rPr>
        <w:t>meseleyle</w:t>
      </w:r>
      <w:proofErr w:type="spellEnd"/>
      <w:r w:rsidRPr="006A7E73">
        <w:rPr>
          <w:lang w:val="en-US"/>
        </w:rPr>
        <w:t xml:space="preserve"> </w:t>
      </w:r>
      <w:proofErr w:type="spellStart"/>
      <w:r w:rsidRPr="006A7E73">
        <w:rPr>
          <w:lang w:val="en-US"/>
        </w:rPr>
        <w:t>karşı</w:t>
      </w:r>
      <w:proofErr w:type="spellEnd"/>
      <w:r w:rsidRPr="006A7E73">
        <w:rPr>
          <w:lang w:val="en-US"/>
        </w:rPr>
        <w:t xml:space="preserve"> </w:t>
      </w:r>
      <w:proofErr w:type="spellStart"/>
      <w:r w:rsidRPr="006A7E73">
        <w:rPr>
          <w:lang w:val="en-US"/>
        </w:rPr>
        <w:t>karşıya</w:t>
      </w:r>
      <w:proofErr w:type="spellEnd"/>
      <w:r w:rsidRPr="006A7E73">
        <w:rPr>
          <w:lang w:val="en-US"/>
        </w:rPr>
        <w:t xml:space="preserve"> </w:t>
      </w:r>
      <w:proofErr w:type="spellStart"/>
      <w:r w:rsidRPr="006A7E73">
        <w:rPr>
          <w:lang w:val="en-US"/>
        </w:rPr>
        <w:t>kaldı</w:t>
      </w:r>
      <w:proofErr w:type="spellEnd"/>
      <w:r w:rsidRPr="006A7E73">
        <w:rPr>
          <w:lang w:val="en-US"/>
        </w:rPr>
        <w:t>.</w:t>
      </w:r>
      <w:r w:rsidR="00364184">
        <w:rPr>
          <w:lang w:val="en-US"/>
        </w:rPr>
        <w:t xml:space="preserve"> </w:t>
      </w:r>
    </w:p>
    <w:p w14:paraId="5923A52B" w14:textId="1E5D5695" w:rsidR="00364184" w:rsidRDefault="00364184" w:rsidP="00364184">
      <w:pPr>
        <w:rPr>
          <w:lang w:val="en-US"/>
        </w:rPr>
      </w:pPr>
      <w:r w:rsidRPr="00364184">
        <w:rPr>
          <w:lang w:val="en-US"/>
        </w:rPr>
        <w:t xml:space="preserve">Bu </w:t>
      </w:r>
      <w:proofErr w:type="spellStart"/>
      <w:r w:rsidRPr="00364184">
        <w:rPr>
          <w:lang w:val="en-US"/>
        </w:rPr>
        <w:t>dinamikler</w:t>
      </w:r>
      <w:proofErr w:type="spellEnd"/>
      <w:r w:rsidRPr="00364184">
        <w:rPr>
          <w:lang w:val="en-US"/>
        </w:rPr>
        <w:t xml:space="preserve">, </w:t>
      </w:r>
      <w:proofErr w:type="spellStart"/>
      <w:r w:rsidRPr="00364184">
        <w:rPr>
          <w:lang w:val="en-US"/>
        </w:rPr>
        <w:t>anayasal</w:t>
      </w:r>
      <w:proofErr w:type="spellEnd"/>
      <w:r w:rsidRPr="00364184">
        <w:rPr>
          <w:lang w:val="en-US"/>
        </w:rPr>
        <w:t xml:space="preserve"> </w:t>
      </w:r>
      <w:proofErr w:type="spellStart"/>
      <w:r w:rsidRPr="00364184">
        <w:rPr>
          <w:lang w:val="en-US"/>
        </w:rPr>
        <w:t>kültürümüzdeki</w:t>
      </w:r>
      <w:proofErr w:type="spellEnd"/>
      <w:r w:rsidRPr="00364184">
        <w:rPr>
          <w:lang w:val="en-US"/>
        </w:rPr>
        <w:t xml:space="preserve"> </w:t>
      </w:r>
      <w:proofErr w:type="spellStart"/>
      <w:r w:rsidRPr="00364184">
        <w:rPr>
          <w:lang w:val="en-US"/>
        </w:rPr>
        <w:t>diğer</w:t>
      </w:r>
      <w:proofErr w:type="spellEnd"/>
      <w:r w:rsidRPr="00364184">
        <w:rPr>
          <w:lang w:val="en-US"/>
        </w:rPr>
        <w:t xml:space="preserve"> yeni </w:t>
      </w:r>
      <w:proofErr w:type="spellStart"/>
      <w:r w:rsidRPr="00364184">
        <w:rPr>
          <w:lang w:val="en-US"/>
        </w:rPr>
        <w:t>gelişmeler</w:t>
      </w:r>
      <w:proofErr w:type="spellEnd"/>
      <w:r w:rsidRPr="00364184">
        <w:rPr>
          <w:lang w:val="en-US"/>
        </w:rPr>
        <w:t xml:space="preserve"> </w:t>
      </w:r>
      <w:proofErr w:type="spellStart"/>
      <w:r w:rsidRPr="00364184">
        <w:rPr>
          <w:lang w:val="en-US"/>
        </w:rPr>
        <w:t>olmasaydı</w:t>
      </w:r>
      <w:proofErr w:type="spellEnd"/>
      <w:r w:rsidRPr="00364184">
        <w:rPr>
          <w:lang w:val="en-US"/>
        </w:rPr>
        <w:t xml:space="preserve"> </w:t>
      </w:r>
      <w:proofErr w:type="spellStart"/>
      <w:r w:rsidRPr="00364184">
        <w:rPr>
          <w:lang w:val="en-US"/>
        </w:rPr>
        <w:t>muhtemelen</w:t>
      </w:r>
      <w:proofErr w:type="spellEnd"/>
      <w:r w:rsidRPr="00364184">
        <w:rPr>
          <w:lang w:val="en-US"/>
        </w:rPr>
        <w:t xml:space="preserve"> </w:t>
      </w:r>
      <w:proofErr w:type="spellStart"/>
      <w:r w:rsidRPr="00364184">
        <w:rPr>
          <w:lang w:val="en-US"/>
        </w:rPr>
        <w:t>etkisiz</w:t>
      </w:r>
      <w:proofErr w:type="spellEnd"/>
      <w:r w:rsidRPr="00364184">
        <w:rPr>
          <w:lang w:val="en-US"/>
        </w:rPr>
        <w:t xml:space="preserve"> </w:t>
      </w:r>
      <w:proofErr w:type="spellStart"/>
      <w:r w:rsidRPr="00364184">
        <w:rPr>
          <w:lang w:val="en-US"/>
        </w:rPr>
        <w:t>kalacaktı</w:t>
      </w:r>
      <w:proofErr w:type="spellEnd"/>
      <w:r w:rsidRPr="00364184">
        <w:rPr>
          <w:lang w:val="en-US"/>
        </w:rPr>
        <w:t xml:space="preserve">. </w:t>
      </w:r>
      <w:proofErr w:type="spellStart"/>
      <w:r w:rsidRPr="00364184">
        <w:rPr>
          <w:lang w:val="en-US"/>
        </w:rPr>
        <w:t>Ancak</w:t>
      </w:r>
      <w:proofErr w:type="spellEnd"/>
      <w:r w:rsidRPr="00364184">
        <w:rPr>
          <w:lang w:val="en-US"/>
        </w:rPr>
        <w:t xml:space="preserve">, </w:t>
      </w:r>
      <w:proofErr w:type="spellStart"/>
      <w:r w:rsidRPr="00364184">
        <w:rPr>
          <w:lang w:val="en-US"/>
        </w:rPr>
        <w:t>bireysel</w:t>
      </w:r>
      <w:proofErr w:type="spellEnd"/>
      <w:r w:rsidRPr="00364184">
        <w:rPr>
          <w:lang w:val="en-US"/>
        </w:rPr>
        <w:t xml:space="preserve"> </w:t>
      </w:r>
      <w:proofErr w:type="spellStart"/>
      <w:r w:rsidRPr="00364184">
        <w:rPr>
          <w:lang w:val="en-US"/>
        </w:rPr>
        <w:t>sağlık</w:t>
      </w:r>
      <w:proofErr w:type="spellEnd"/>
      <w:r w:rsidRPr="00364184">
        <w:rPr>
          <w:lang w:val="en-US"/>
        </w:rPr>
        <w:t xml:space="preserve"> </w:t>
      </w:r>
      <w:proofErr w:type="spellStart"/>
      <w:r w:rsidRPr="00364184">
        <w:rPr>
          <w:lang w:val="en-US"/>
        </w:rPr>
        <w:t>sigortası</w:t>
      </w:r>
      <w:proofErr w:type="spellEnd"/>
      <w:r w:rsidRPr="00364184">
        <w:rPr>
          <w:lang w:val="en-US"/>
        </w:rPr>
        <w:t xml:space="preserve"> </w:t>
      </w:r>
      <w:proofErr w:type="spellStart"/>
      <w:r w:rsidRPr="00364184">
        <w:rPr>
          <w:lang w:val="en-US"/>
        </w:rPr>
        <w:t>zorunluluğunun</w:t>
      </w:r>
      <w:proofErr w:type="spellEnd"/>
      <w:r w:rsidRPr="00364184">
        <w:rPr>
          <w:lang w:val="en-US"/>
        </w:rPr>
        <w:t xml:space="preserve"> </w:t>
      </w:r>
      <w:proofErr w:type="spellStart"/>
      <w:r w:rsidRPr="00364184">
        <w:rPr>
          <w:lang w:val="en-US"/>
        </w:rPr>
        <w:t>anayasaya</w:t>
      </w:r>
      <w:proofErr w:type="spellEnd"/>
      <w:r w:rsidRPr="00364184">
        <w:rPr>
          <w:lang w:val="en-US"/>
        </w:rPr>
        <w:t xml:space="preserve"> </w:t>
      </w:r>
      <w:proofErr w:type="spellStart"/>
      <w:r w:rsidRPr="00364184">
        <w:rPr>
          <w:lang w:val="en-US"/>
        </w:rPr>
        <w:t>aykırı</w:t>
      </w:r>
      <w:proofErr w:type="spellEnd"/>
      <w:r w:rsidRPr="00364184">
        <w:rPr>
          <w:lang w:val="en-US"/>
        </w:rPr>
        <w:t xml:space="preserve"> </w:t>
      </w:r>
      <w:proofErr w:type="spellStart"/>
      <w:r w:rsidRPr="00364184">
        <w:rPr>
          <w:lang w:val="en-US"/>
        </w:rPr>
        <w:t>olduğuna</w:t>
      </w:r>
      <w:proofErr w:type="spellEnd"/>
      <w:r w:rsidRPr="00364184">
        <w:rPr>
          <w:lang w:val="en-US"/>
        </w:rPr>
        <w:t xml:space="preserve"> </w:t>
      </w:r>
      <w:proofErr w:type="spellStart"/>
      <w:r w:rsidRPr="00364184">
        <w:rPr>
          <w:lang w:val="en-US"/>
        </w:rPr>
        <w:t>dair</w:t>
      </w:r>
      <w:proofErr w:type="spellEnd"/>
      <w:r w:rsidRPr="00364184">
        <w:rPr>
          <w:lang w:val="en-US"/>
        </w:rPr>
        <w:t xml:space="preserve"> </w:t>
      </w:r>
      <w:proofErr w:type="spellStart"/>
      <w:r w:rsidRPr="00364184">
        <w:rPr>
          <w:lang w:val="en-US"/>
        </w:rPr>
        <w:t>makul</w:t>
      </w:r>
      <w:proofErr w:type="spellEnd"/>
      <w:r w:rsidRPr="00364184">
        <w:rPr>
          <w:lang w:val="en-US"/>
        </w:rPr>
        <w:t xml:space="preserve"> </w:t>
      </w:r>
      <w:proofErr w:type="spellStart"/>
      <w:r w:rsidRPr="00364184">
        <w:rPr>
          <w:lang w:val="en-US"/>
        </w:rPr>
        <w:t>hukuki</w:t>
      </w:r>
      <w:proofErr w:type="spellEnd"/>
      <w:r w:rsidRPr="00364184">
        <w:rPr>
          <w:lang w:val="en-US"/>
        </w:rPr>
        <w:t xml:space="preserve"> </w:t>
      </w:r>
      <w:proofErr w:type="spellStart"/>
      <w:r w:rsidRPr="00364184">
        <w:rPr>
          <w:lang w:val="en-US"/>
        </w:rPr>
        <w:t>argümanların</w:t>
      </w:r>
      <w:proofErr w:type="spellEnd"/>
      <w:r w:rsidRPr="00364184">
        <w:rPr>
          <w:lang w:val="en-US"/>
        </w:rPr>
        <w:t xml:space="preserve"> </w:t>
      </w:r>
      <w:proofErr w:type="spellStart"/>
      <w:r w:rsidRPr="00364184">
        <w:rPr>
          <w:lang w:val="en-US"/>
        </w:rPr>
        <w:t>gelişmesine</w:t>
      </w:r>
      <w:proofErr w:type="spellEnd"/>
      <w:r w:rsidRPr="00364184">
        <w:rPr>
          <w:lang w:val="en-US"/>
        </w:rPr>
        <w:t xml:space="preserve"> </w:t>
      </w:r>
      <w:proofErr w:type="spellStart"/>
      <w:r w:rsidRPr="00364184">
        <w:rPr>
          <w:lang w:val="en-US"/>
        </w:rPr>
        <w:t>olanak</w:t>
      </w:r>
      <w:proofErr w:type="spellEnd"/>
      <w:r w:rsidRPr="00364184">
        <w:rPr>
          <w:lang w:val="en-US"/>
        </w:rPr>
        <w:t xml:space="preserve"> </w:t>
      </w:r>
      <w:proofErr w:type="spellStart"/>
      <w:r w:rsidRPr="00364184">
        <w:rPr>
          <w:lang w:val="en-US"/>
        </w:rPr>
        <w:t>sağlayan</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ortam</w:t>
      </w:r>
      <w:proofErr w:type="spellEnd"/>
      <w:r w:rsidRPr="00364184">
        <w:rPr>
          <w:lang w:val="en-US"/>
        </w:rPr>
        <w:t xml:space="preserve"> </w:t>
      </w:r>
      <w:proofErr w:type="spellStart"/>
      <w:r w:rsidRPr="00364184">
        <w:rPr>
          <w:lang w:val="en-US"/>
        </w:rPr>
        <w:t>mevcuttu</w:t>
      </w:r>
      <w:proofErr w:type="spellEnd"/>
      <w:r w:rsidRPr="00364184">
        <w:rPr>
          <w:lang w:val="en-US"/>
        </w:rPr>
        <w:t xml:space="preserve">. Son </w:t>
      </w:r>
      <w:proofErr w:type="spellStart"/>
      <w:r w:rsidRPr="00364184">
        <w:rPr>
          <w:lang w:val="en-US"/>
        </w:rPr>
        <w:t>dönemde</w:t>
      </w:r>
      <w:proofErr w:type="spellEnd"/>
      <w:r w:rsidRPr="00364184">
        <w:rPr>
          <w:lang w:val="en-US"/>
        </w:rPr>
        <w:t xml:space="preserve"> </w:t>
      </w:r>
      <w:proofErr w:type="spellStart"/>
      <w:r w:rsidRPr="00364184">
        <w:rPr>
          <w:lang w:val="en-US"/>
        </w:rPr>
        <w:t>yapılan</w:t>
      </w:r>
      <w:proofErr w:type="spellEnd"/>
      <w:r w:rsidRPr="00364184">
        <w:rPr>
          <w:lang w:val="en-US"/>
        </w:rPr>
        <w:t xml:space="preserve"> </w:t>
      </w:r>
      <w:proofErr w:type="spellStart"/>
      <w:r w:rsidRPr="00364184">
        <w:rPr>
          <w:lang w:val="en-US"/>
        </w:rPr>
        <w:t>bazı</w:t>
      </w:r>
      <w:proofErr w:type="spellEnd"/>
      <w:r w:rsidRPr="00364184">
        <w:rPr>
          <w:lang w:val="en-US"/>
        </w:rPr>
        <w:t xml:space="preserve"> </w:t>
      </w:r>
      <w:proofErr w:type="spellStart"/>
      <w:r w:rsidRPr="00364184">
        <w:rPr>
          <w:lang w:val="en-US"/>
        </w:rPr>
        <w:t>keskin</w:t>
      </w:r>
      <w:proofErr w:type="spellEnd"/>
      <w:r w:rsidRPr="00364184">
        <w:rPr>
          <w:lang w:val="en-US"/>
        </w:rPr>
        <w:t xml:space="preserve"> </w:t>
      </w:r>
      <w:proofErr w:type="spellStart"/>
      <w:r w:rsidRPr="00364184">
        <w:rPr>
          <w:lang w:val="en-US"/>
        </w:rPr>
        <w:t>analizlerin</w:t>
      </w:r>
      <w:proofErr w:type="spellEnd"/>
      <w:r w:rsidRPr="00364184">
        <w:rPr>
          <w:lang w:val="en-US"/>
        </w:rPr>
        <w:t xml:space="preserve"> </w:t>
      </w:r>
      <w:proofErr w:type="spellStart"/>
      <w:r w:rsidRPr="00364184">
        <w:rPr>
          <w:lang w:val="en-US"/>
        </w:rPr>
        <w:t>ortaya</w:t>
      </w:r>
      <w:proofErr w:type="spellEnd"/>
      <w:r w:rsidRPr="00364184">
        <w:rPr>
          <w:lang w:val="en-US"/>
        </w:rPr>
        <w:t xml:space="preserve"> </w:t>
      </w:r>
      <w:proofErr w:type="spellStart"/>
      <w:r w:rsidRPr="00364184">
        <w:rPr>
          <w:lang w:val="en-US"/>
        </w:rPr>
        <w:t>koyduğu</w:t>
      </w:r>
      <w:proofErr w:type="spellEnd"/>
      <w:r w:rsidRPr="00364184">
        <w:rPr>
          <w:lang w:val="en-US"/>
        </w:rPr>
        <w:t xml:space="preserve"> </w:t>
      </w:r>
      <w:proofErr w:type="spellStart"/>
      <w:r w:rsidRPr="00364184">
        <w:rPr>
          <w:lang w:val="en-US"/>
        </w:rPr>
        <w:t>üzere</w:t>
      </w:r>
      <w:proofErr w:type="spellEnd"/>
      <w:r w:rsidRPr="00364184">
        <w:rPr>
          <w:lang w:val="en-US"/>
        </w:rPr>
        <w:t xml:space="preserve">, </w:t>
      </w:r>
      <w:proofErr w:type="spellStart"/>
      <w:r w:rsidRPr="00364184">
        <w:rPr>
          <w:lang w:val="en-US"/>
        </w:rPr>
        <w:t>bu</w:t>
      </w:r>
      <w:proofErr w:type="spellEnd"/>
      <w:r w:rsidRPr="00364184">
        <w:rPr>
          <w:lang w:val="en-US"/>
        </w:rPr>
        <w:t xml:space="preserve"> </w:t>
      </w:r>
      <w:proofErr w:type="spellStart"/>
      <w:r w:rsidRPr="00364184">
        <w:rPr>
          <w:lang w:val="en-US"/>
        </w:rPr>
        <w:t>hukuki</w:t>
      </w:r>
      <w:proofErr w:type="spellEnd"/>
      <w:r w:rsidRPr="00364184">
        <w:rPr>
          <w:lang w:val="en-US"/>
        </w:rPr>
        <w:t xml:space="preserve"> </w:t>
      </w:r>
      <w:proofErr w:type="spellStart"/>
      <w:r w:rsidRPr="00364184">
        <w:rPr>
          <w:lang w:val="en-US"/>
        </w:rPr>
        <w:t>kampanya</w:t>
      </w:r>
      <w:proofErr w:type="spellEnd"/>
      <w:r w:rsidRPr="00364184">
        <w:rPr>
          <w:lang w:val="en-US"/>
        </w:rPr>
        <w:t xml:space="preserve">, </w:t>
      </w:r>
      <w:proofErr w:type="spellStart"/>
      <w:r w:rsidRPr="00364184">
        <w:rPr>
          <w:lang w:val="en-US"/>
        </w:rPr>
        <w:t>muhafazakâr</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liberteryen</w:t>
      </w:r>
      <w:proofErr w:type="spellEnd"/>
      <w:r w:rsidRPr="00364184">
        <w:rPr>
          <w:lang w:val="en-US"/>
        </w:rPr>
        <w:t xml:space="preserve"> </w:t>
      </w:r>
      <w:proofErr w:type="spellStart"/>
      <w:r w:rsidRPr="00364184">
        <w:rPr>
          <w:lang w:val="en-US"/>
        </w:rPr>
        <w:t>düşünce</w:t>
      </w:r>
      <w:proofErr w:type="spellEnd"/>
      <w:r w:rsidRPr="00364184">
        <w:rPr>
          <w:lang w:val="en-US"/>
        </w:rPr>
        <w:t xml:space="preserve"> </w:t>
      </w:r>
      <w:proofErr w:type="spellStart"/>
      <w:r w:rsidRPr="00364184">
        <w:rPr>
          <w:lang w:val="en-US"/>
        </w:rPr>
        <w:t>kuruluşları</w:t>
      </w:r>
      <w:proofErr w:type="spellEnd"/>
      <w:r w:rsidRPr="00364184">
        <w:rPr>
          <w:lang w:val="en-US"/>
        </w:rPr>
        <w:t xml:space="preserve">, </w:t>
      </w:r>
      <w:proofErr w:type="spellStart"/>
      <w:r w:rsidRPr="00364184">
        <w:rPr>
          <w:lang w:val="en-US"/>
        </w:rPr>
        <w:t>hukuk</w:t>
      </w:r>
      <w:proofErr w:type="spellEnd"/>
      <w:r w:rsidRPr="00364184">
        <w:rPr>
          <w:lang w:val="en-US"/>
        </w:rPr>
        <w:t xml:space="preserve"> </w:t>
      </w:r>
      <w:proofErr w:type="spellStart"/>
      <w:r w:rsidRPr="00364184">
        <w:rPr>
          <w:lang w:val="en-US"/>
        </w:rPr>
        <w:t>örgütleri</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sosyal</w:t>
      </w:r>
      <w:proofErr w:type="spellEnd"/>
      <w:r w:rsidRPr="00364184">
        <w:rPr>
          <w:lang w:val="en-US"/>
        </w:rPr>
        <w:t xml:space="preserve"> </w:t>
      </w:r>
      <w:proofErr w:type="spellStart"/>
      <w:r w:rsidRPr="00364184">
        <w:rPr>
          <w:lang w:val="en-US"/>
        </w:rPr>
        <w:t>ağlardan</w:t>
      </w:r>
      <w:proofErr w:type="spellEnd"/>
      <w:r w:rsidRPr="00364184">
        <w:rPr>
          <w:lang w:val="en-US"/>
        </w:rPr>
        <w:t xml:space="preserve"> </w:t>
      </w:r>
      <w:proofErr w:type="spellStart"/>
      <w:r w:rsidRPr="00364184">
        <w:rPr>
          <w:lang w:val="en-US"/>
        </w:rPr>
        <w:t>oluşan</w:t>
      </w:r>
      <w:proofErr w:type="spellEnd"/>
      <w:r w:rsidRPr="00364184">
        <w:rPr>
          <w:lang w:val="en-US"/>
        </w:rPr>
        <w:t xml:space="preserve"> </w:t>
      </w:r>
      <w:proofErr w:type="spellStart"/>
      <w:r w:rsidRPr="00364184">
        <w:rPr>
          <w:lang w:val="en-US"/>
        </w:rPr>
        <w:t>örtüşen</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ağ</w:t>
      </w:r>
      <w:proofErr w:type="spellEnd"/>
      <w:r w:rsidRPr="00364184">
        <w:rPr>
          <w:lang w:val="en-US"/>
        </w:rPr>
        <w:t xml:space="preserve"> </w:t>
      </w:r>
      <w:proofErr w:type="spellStart"/>
      <w:r w:rsidRPr="00364184">
        <w:rPr>
          <w:lang w:val="en-US"/>
        </w:rPr>
        <w:t>tarafından</w:t>
      </w:r>
      <w:proofErr w:type="spellEnd"/>
      <w:r w:rsidRPr="00364184">
        <w:rPr>
          <w:lang w:val="en-US"/>
        </w:rPr>
        <w:t xml:space="preserve"> </w:t>
      </w:r>
      <w:proofErr w:type="spellStart"/>
      <w:r w:rsidRPr="00364184">
        <w:rPr>
          <w:lang w:val="en-US"/>
        </w:rPr>
        <w:t>desteklenmiştir</w:t>
      </w:r>
      <w:proofErr w:type="spellEnd"/>
      <w:r w:rsidRPr="00364184">
        <w:rPr>
          <w:lang w:val="en-US"/>
        </w:rPr>
        <w:t xml:space="preserve">. Bu </w:t>
      </w:r>
      <w:proofErr w:type="spellStart"/>
      <w:r w:rsidRPr="00364184">
        <w:rPr>
          <w:lang w:val="en-US"/>
        </w:rPr>
        <w:t>ağ</w:t>
      </w:r>
      <w:proofErr w:type="spellEnd"/>
      <w:r w:rsidRPr="00364184">
        <w:rPr>
          <w:lang w:val="en-US"/>
        </w:rPr>
        <w:t xml:space="preserve">, </w:t>
      </w:r>
      <w:proofErr w:type="spellStart"/>
      <w:r w:rsidRPr="00364184">
        <w:rPr>
          <w:lang w:val="en-US"/>
        </w:rPr>
        <w:t>savunucuları</w:t>
      </w:r>
      <w:proofErr w:type="spellEnd"/>
      <w:r w:rsidRPr="00364184">
        <w:rPr>
          <w:lang w:val="en-US"/>
        </w:rPr>
        <w:t xml:space="preserve">, </w:t>
      </w:r>
      <w:proofErr w:type="spellStart"/>
      <w:r w:rsidRPr="00364184">
        <w:rPr>
          <w:lang w:val="en-US"/>
        </w:rPr>
        <w:t>akademisyenleri</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politika</w:t>
      </w:r>
      <w:proofErr w:type="spellEnd"/>
      <w:r w:rsidRPr="00364184">
        <w:rPr>
          <w:lang w:val="en-US"/>
        </w:rPr>
        <w:t xml:space="preserve"> </w:t>
      </w:r>
      <w:proofErr w:type="spellStart"/>
      <w:r w:rsidRPr="00364184">
        <w:rPr>
          <w:lang w:val="en-US"/>
        </w:rPr>
        <w:t>uzmanlarını</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araya</w:t>
      </w:r>
      <w:proofErr w:type="spellEnd"/>
      <w:r w:rsidRPr="00364184">
        <w:rPr>
          <w:lang w:val="en-US"/>
        </w:rPr>
        <w:t xml:space="preserve"> </w:t>
      </w:r>
      <w:proofErr w:type="spellStart"/>
      <w:r w:rsidRPr="00364184">
        <w:rPr>
          <w:lang w:val="en-US"/>
        </w:rPr>
        <w:t>getirerek</w:t>
      </w:r>
      <w:proofErr w:type="spellEnd"/>
      <w:r w:rsidRPr="00364184">
        <w:rPr>
          <w:lang w:val="en-US"/>
        </w:rPr>
        <w:t xml:space="preserve">, </w:t>
      </w:r>
      <w:proofErr w:type="spellStart"/>
      <w:r w:rsidRPr="00364184">
        <w:rPr>
          <w:lang w:val="en-US"/>
        </w:rPr>
        <w:t>bireysel</w:t>
      </w:r>
      <w:proofErr w:type="spellEnd"/>
      <w:r w:rsidRPr="00364184">
        <w:rPr>
          <w:lang w:val="en-US"/>
        </w:rPr>
        <w:t xml:space="preserve"> </w:t>
      </w:r>
      <w:proofErr w:type="spellStart"/>
      <w:r w:rsidRPr="00364184">
        <w:rPr>
          <w:lang w:val="en-US"/>
        </w:rPr>
        <w:t>sağlık</w:t>
      </w:r>
      <w:proofErr w:type="spellEnd"/>
      <w:r w:rsidRPr="00364184">
        <w:rPr>
          <w:lang w:val="en-US"/>
        </w:rPr>
        <w:t xml:space="preserve"> </w:t>
      </w:r>
      <w:proofErr w:type="spellStart"/>
      <w:r w:rsidRPr="00364184">
        <w:rPr>
          <w:lang w:val="en-US"/>
        </w:rPr>
        <w:t>sigortası</w:t>
      </w:r>
      <w:proofErr w:type="spellEnd"/>
      <w:r w:rsidRPr="00364184">
        <w:rPr>
          <w:lang w:val="en-US"/>
        </w:rPr>
        <w:t xml:space="preserve"> </w:t>
      </w:r>
      <w:proofErr w:type="spellStart"/>
      <w:r w:rsidRPr="00364184">
        <w:rPr>
          <w:lang w:val="en-US"/>
        </w:rPr>
        <w:t>zorunluluğunun</w:t>
      </w:r>
      <w:proofErr w:type="spellEnd"/>
      <w:r w:rsidRPr="00364184">
        <w:rPr>
          <w:lang w:val="en-US"/>
        </w:rPr>
        <w:t xml:space="preserve"> federal </w:t>
      </w:r>
      <w:proofErr w:type="spellStart"/>
      <w:r w:rsidRPr="00364184">
        <w:rPr>
          <w:lang w:val="en-US"/>
        </w:rPr>
        <w:t>yetki</w:t>
      </w:r>
      <w:proofErr w:type="spellEnd"/>
      <w:r w:rsidRPr="00364184">
        <w:rPr>
          <w:lang w:val="en-US"/>
        </w:rPr>
        <w:t xml:space="preserve"> </w:t>
      </w:r>
      <w:proofErr w:type="spellStart"/>
      <w:r w:rsidRPr="00364184">
        <w:rPr>
          <w:lang w:val="en-US"/>
        </w:rPr>
        <w:t>aşımı</w:t>
      </w:r>
      <w:proofErr w:type="spellEnd"/>
      <w:r w:rsidRPr="00364184">
        <w:rPr>
          <w:lang w:val="en-US"/>
        </w:rPr>
        <w:t xml:space="preserve"> </w:t>
      </w:r>
      <w:proofErr w:type="spellStart"/>
      <w:r w:rsidRPr="00364184">
        <w:rPr>
          <w:lang w:val="en-US"/>
        </w:rPr>
        <w:t>olduğu</w:t>
      </w:r>
      <w:proofErr w:type="spellEnd"/>
      <w:r w:rsidRPr="00364184">
        <w:rPr>
          <w:lang w:val="en-US"/>
        </w:rPr>
        <w:t xml:space="preserve"> </w:t>
      </w:r>
      <w:proofErr w:type="spellStart"/>
      <w:r w:rsidRPr="00364184">
        <w:rPr>
          <w:lang w:val="en-US"/>
        </w:rPr>
        <w:t>yönündeki</w:t>
      </w:r>
      <w:proofErr w:type="spellEnd"/>
      <w:r w:rsidRPr="00364184">
        <w:rPr>
          <w:lang w:val="en-US"/>
        </w:rPr>
        <w:t xml:space="preserve"> </w:t>
      </w:r>
      <w:proofErr w:type="spellStart"/>
      <w:r w:rsidRPr="00364184">
        <w:rPr>
          <w:lang w:val="en-US"/>
        </w:rPr>
        <w:t>sezgilerini</w:t>
      </w:r>
      <w:proofErr w:type="spellEnd"/>
      <w:r w:rsidRPr="00364184">
        <w:rPr>
          <w:lang w:val="en-US"/>
        </w:rPr>
        <w:t xml:space="preserve"> </w:t>
      </w:r>
      <w:proofErr w:type="spellStart"/>
      <w:r w:rsidRPr="00364184">
        <w:rPr>
          <w:lang w:val="en-US"/>
        </w:rPr>
        <w:t>potansiyel</w:t>
      </w:r>
      <w:proofErr w:type="spellEnd"/>
      <w:r w:rsidRPr="00364184">
        <w:rPr>
          <w:lang w:val="en-US"/>
        </w:rPr>
        <w:t xml:space="preserve"> </w:t>
      </w:r>
      <w:proofErr w:type="spellStart"/>
      <w:r w:rsidRPr="00364184">
        <w:rPr>
          <w:lang w:val="en-US"/>
        </w:rPr>
        <w:t>olarak</w:t>
      </w:r>
      <w:proofErr w:type="spellEnd"/>
      <w:r w:rsidRPr="00364184">
        <w:rPr>
          <w:lang w:val="en-US"/>
        </w:rPr>
        <w:t xml:space="preserve"> </w:t>
      </w:r>
      <w:proofErr w:type="spellStart"/>
      <w:r w:rsidRPr="00364184">
        <w:rPr>
          <w:lang w:val="en-US"/>
        </w:rPr>
        <w:t>ikna</w:t>
      </w:r>
      <w:proofErr w:type="spellEnd"/>
      <w:r w:rsidRPr="00364184">
        <w:rPr>
          <w:lang w:val="en-US"/>
        </w:rPr>
        <w:t xml:space="preserve"> </w:t>
      </w:r>
      <w:proofErr w:type="spellStart"/>
      <w:r w:rsidRPr="00364184">
        <w:rPr>
          <w:lang w:val="en-US"/>
        </w:rPr>
        <w:t>edici</w:t>
      </w:r>
      <w:proofErr w:type="spellEnd"/>
      <w:r w:rsidRPr="00364184">
        <w:rPr>
          <w:lang w:val="en-US"/>
        </w:rPr>
        <w:t xml:space="preserve"> </w:t>
      </w:r>
      <w:proofErr w:type="spellStart"/>
      <w:r w:rsidRPr="00364184">
        <w:rPr>
          <w:lang w:val="en-US"/>
        </w:rPr>
        <w:t>hukuki</w:t>
      </w:r>
      <w:proofErr w:type="spellEnd"/>
      <w:r w:rsidRPr="00364184">
        <w:rPr>
          <w:lang w:val="en-US"/>
        </w:rPr>
        <w:t xml:space="preserve"> </w:t>
      </w:r>
      <w:proofErr w:type="spellStart"/>
      <w:r w:rsidRPr="00364184">
        <w:rPr>
          <w:lang w:val="en-US"/>
        </w:rPr>
        <w:t>argümanlara</w:t>
      </w:r>
      <w:proofErr w:type="spellEnd"/>
      <w:r w:rsidRPr="00364184">
        <w:rPr>
          <w:lang w:val="en-US"/>
        </w:rPr>
        <w:t xml:space="preserve"> </w:t>
      </w:r>
      <w:proofErr w:type="spellStart"/>
      <w:r w:rsidRPr="00364184">
        <w:rPr>
          <w:lang w:val="en-US"/>
        </w:rPr>
        <w:t>dönüştürmenin</w:t>
      </w:r>
      <w:proofErr w:type="spellEnd"/>
      <w:r w:rsidRPr="00364184">
        <w:rPr>
          <w:lang w:val="en-US"/>
        </w:rPr>
        <w:t xml:space="preserve"> </w:t>
      </w:r>
      <w:proofErr w:type="spellStart"/>
      <w:r w:rsidRPr="00364184">
        <w:rPr>
          <w:lang w:val="en-US"/>
        </w:rPr>
        <w:t>yollarını</w:t>
      </w:r>
      <w:proofErr w:type="spellEnd"/>
      <w:r w:rsidRPr="00364184">
        <w:rPr>
          <w:lang w:val="en-US"/>
        </w:rPr>
        <w:t xml:space="preserve"> </w:t>
      </w:r>
      <w:proofErr w:type="spellStart"/>
      <w:r w:rsidRPr="00364184">
        <w:rPr>
          <w:lang w:val="en-US"/>
        </w:rPr>
        <w:t>tartışmalarına</w:t>
      </w:r>
      <w:proofErr w:type="spellEnd"/>
      <w:r w:rsidRPr="00364184">
        <w:rPr>
          <w:lang w:val="en-US"/>
        </w:rPr>
        <w:t xml:space="preserve"> </w:t>
      </w:r>
      <w:proofErr w:type="spellStart"/>
      <w:r w:rsidRPr="00364184">
        <w:rPr>
          <w:lang w:val="en-US"/>
        </w:rPr>
        <w:t>olanak</w:t>
      </w:r>
      <w:proofErr w:type="spellEnd"/>
      <w:r w:rsidRPr="00364184">
        <w:rPr>
          <w:lang w:val="en-US"/>
        </w:rPr>
        <w:t xml:space="preserve"> sağlamıştır.¹⁴²</w:t>
      </w:r>
      <w:r>
        <w:rPr>
          <w:lang w:val="en-US"/>
        </w:rPr>
        <w:t xml:space="preserve"> </w:t>
      </w:r>
      <w:r>
        <w:rPr>
          <w:rStyle w:val="FootnoteReference"/>
          <w:lang w:val="en-US"/>
        </w:rPr>
        <w:footnoteReference w:id="142"/>
      </w:r>
      <w:r>
        <w:rPr>
          <w:lang w:val="en-US"/>
        </w:rPr>
        <w:t xml:space="preserve"> </w:t>
      </w:r>
      <w:r w:rsidRPr="00364184">
        <w:rPr>
          <w:lang w:val="en-US"/>
        </w:rPr>
        <w:t xml:space="preserve">Bu </w:t>
      </w:r>
      <w:proofErr w:type="spellStart"/>
      <w:r w:rsidRPr="00364184">
        <w:rPr>
          <w:lang w:val="en-US"/>
        </w:rPr>
        <w:t>kampanya</w:t>
      </w:r>
      <w:proofErr w:type="spellEnd"/>
      <w:r w:rsidRPr="00364184">
        <w:rPr>
          <w:lang w:val="en-US"/>
        </w:rPr>
        <w:t xml:space="preserve">, </w:t>
      </w:r>
      <w:proofErr w:type="spellStart"/>
      <w:r w:rsidRPr="00364184">
        <w:rPr>
          <w:lang w:val="en-US"/>
        </w:rPr>
        <w:t>özellikle</w:t>
      </w:r>
      <w:proofErr w:type="spellEnd"/>
      <w:r w:rsidRPr="00364184">
        <w:rPr>
          <w:lang w:val="en-US"/>
        </w:rPr>
        <w:t xml:space="preserve"> </w:t>
      </w:r>
      <w:proofErr w:type="spellStart"/>
      <w:r w:rsidRPr="00364184">
        <w:rPr>
          <w:lang w:val="en-US"/>
        </w:rPr>
        <w:lastRenderedPageBreak/>
        <w:t>elektronik</w:t>
      </w:r>
      <w:proofErr w:type="spellEnd"/>
      <w:r w:rsidRPr="00364184">
        <w:rPr>
          <w:lang w:val="en-US"/>
        </w:rPr>
        <w:t xml:space="preserve"> </w:t>
      </w:r>
      <w:proofErr w:type="spellStart"/>
      <w:r w:rsidRPr="00364184">
        <w:rPr>
          <w:lang w:val="en-US"/>
        </w:rPr>
        <w:t>iletişim</w:t>
      </w:r>
      <w:proofErr w:type="spellEnd"/>
      <w:r w:rsidRPr="00364184">
        <w:rPr>
          <w:lang w:val="en-US"/>
        </w:rPr>
        <w:t xml:space="preserve"> </w:t>
      </w:r>
      <w:proofErr w:type="spellStart"/>
      <w:r w:rsidRPr="00364184">
        <w:rPr>
          <w:lang w:val="en-US"/>
        </w:rPr>
        <w:t>ve</w:t>
      </w:r>
      <w:proofErr w:type="spellEnd"/>
      <w:r w:rsidRPr="00364184">
        <w:rPr>
          <w:lang w:val="en-US"/>
        </w:rPr>
        <w:t xml:space="preserve"> blog </w:t>
      </w:r>
      <w:proofErr w:type="spellStart"/>
      <w:r w:rsidRPr="00364184">
        <w:rPr>
          <w:lang w:val="en-US"/>
        </w:rPr>
        <w:t>yazıları</w:t>
      </w:r>
      <w:proofErr w:type="spellEnd"/>
      <w:r w:rsidRPr="00364184">
        <w:rPr>
          <w:lang w:val="en-US"/>
        </w:rPr>
        <w:t xml:space="preserve"> </w:t>
      </w:r>
      <w:proofErr w:type="spellStart"/>
      <w:r w:rsidRPr="00364184">
        <w:rPr>
          <w:lang w:val="en-US"/>
        </w:rPr>
        <w:t>aracılığıyla</w:t>
      </w:r>
      <w:proofErr w:type="spellEnd"/>
      <w:r w:rsidRPr="00364184">
        <w:rPr>
          <w:lang w:val="en-US"/>
        </w:rPr>
        <w:t xml:space="preserve"> </w:t>
      </w:r>
      <w:proofErr w:type="spellStart"/>
      <w:r w:rsidRPr="00364184">
        <w:rPr>
          <w:lang w:val="en-US"/>
        </w:rPr>
        <w:t>gerçek</w:t>
      </w:r>
      <w:proofErr w:type="spellEnd"/>
      <w:r w:rsidRPr="00364184">
        <w:rPr>
          <w:lang w:val="en-US"/>
        </w:rPr>
        <w:t xml:space="preserve"> </w:t>
      </w:r>
      <w:proofErr w:type="spellStart"/>
      <w:r w:rsidRPr="00364184">
        <w:rPr>
          <w:lang w:val="en-US"/>
        </w:rPr>
        <w:t>zamanlı</w:t>
      </w:r>
      <w:proofErr w:type="spellEnd"/>
      <w:r w:rsidRPr="00364184">
        <w:rPr>
          <w:lang w:val="en-US"/>
        </w:rPr>
        <w:t xml:space="preserve"> </w:t>
      </w:r>
      <w:proofErr w:type="spellStart"/>
      <w:r w:rsidRPr="00364184">
        <w:rPr>
          <w:lang w:val="en-US"/>
        </w:rPr>
        <w:t>olarak</w:t>
      </w:r>
      <w:proofErr w:type="spellEnd"/>
      <w:r w:rsidRPr="00364184">
        <w:rPr>
          <w:lang w:val="en-US"/>
        </w:rPr>
        <w:t xml:space="preserve"> </w:t>
      </w:r>
      <w:proofErr w:type="spellStart"/>
      <w:r w:rsidRPr="00364184">
        <w:rPr>
          <w:lang w:val="en-US"/>
        </w:rPr>
        <w:t>argüman</w:t>
      </w:r>
      <w:proofErr w:type="spellEnd"/>
      <w:r w:rsidRPr="00364184">
        <w:rPr>
          <w:lang w:val="en-US"/>
        </w:rPr>
        <w:t xml:space="preserve"> </w:t>
      </w:r>
      <w:proofErr w:type="spellStart"/>
      <w:r w:rsidRPr="00364184">
        <w:rPr>
          <w:lang w:val="en-US"/>
        </w:rPr>
        <w:t>geliştirme</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ilgili</w:t>
      </w:r>
      <w:proofErr w:type="spellEnd"/>
      <w:r w:rsidRPr="00364184">
        <w:rPr>
          <w:lang w:val="en-US"/>
        </w:rPr>
        <w:t xml:space="preserve"> </w:t>
      </w:r>
      <w:proofErr w:type="spellStart"/>
      <w:r w:rsidRPr="00364184">
        <w:rPr>
          <w:lang w:val="en-US"/>
        </w:rPr>
        <w:t>topluluklardan</w:t>
      </w:r>
      <w:proofErr w:type="spellEnd"/>
      <w:r w:rsidRPr="00364184">
        <w:rPr>
          <w:lang w:val="en-US"/>
        </w:rPr>
        <w:t xml:space="preserve"> </w:t>
      </w:r>
      <w:proofErr w:type="spellStart"/>
      <w:r w:rsidRPr="00364184">
        <w:rPr>
          <w:lang w:val="en-US"/>
        </w:rPr>
        <w:t>hızlı</w:t>
      </w:r>
      <w:proofErr w:type="spellEnd"/>
      <w:r w:rsidRPr="00364184">
        <w:rPr>
          <w:lang w:val="en-US"/>
        </w:rPr>
        <w:t xml:space="preserve"> </w:t>
      </w:r>
      <w:proofErr w:type="spellStart"/>
      <w:r w:rsidRPr="00364184">
        <w:rPr>
          <w:lang w:val="en-US"/>
        </w:rPr>
        <w:t>geri</w:t>
      </w:r>
      <w:proofErr w:type="spellEnd"/>
      <w:r w:rsidRPr="00364184">
        <w:rPr>
          <w:lang w:val="en-US"/>
        </w:rPr>
        <w:t xml:space="preserve"> </w:t>
      </w:r>
      <w:proofErr w:type="spellStart"/>
      <w:r w:rsidRPr="00364184">
        <w:rPr>
          <w:lang w:val="en-US"/>
        </w:rPr>
        <w:t>bildirim</w:t>
      </w:r>
      <w:proofErr w:type="spellEnd"/>
      <w:r w:rsidRPr="00364184">
        <w:rPr>
          <w:lang w:val="en-US"/>
        </w:rPr>
        <w:t xml:space="preserve"> alma </w:t>
      </w:r>
      <w:proofErr w:type="spellStart"/>
      <w:r w:rsidRPr="00364184">
        <w:rPr>
          <w:lang w:val="en-US"/>
        </w:rPr>
        <w:t>fırsatlarına</w:t>
      </w:r>
      <w:proofErr w:type="spellEnd"/>
      <w:r w:rsidRPr="00364184">
        <w:rPr>
          <w:lang w:val="en-US"/>
        </w:rPr>
        <w:t xml:space="preserve"> </w:t>
      </w:r>
      <w:proofErr w:type="spellStart"/>
      <w:r w:rsidRPr="00364184">
        <w:rPr>
          <w:lang w:val="en-US"/>
        </w:rPr>
        <w:t>büyük</w:t>
      </w:r>
      <w:proofErr w:type="spellEnd"/>
      <w:r w:rsidRPr="00364184">
        <w:rPr>
          <w:lang w:val="en-US"/>
        </w:rPr>
        <w:t xml:space="preserve"> </w:t>
      </w:r>
      <w:proofErr w:type="spellStart"/>
      <w:r w:rsidRPr="00364184">
        <w:rPr>
          <w:lang w:val="en-US"/>
        </w:rPr>
        <w:t>ölçüde</w:t>
      </w:r>
      <w:proofErr w:type="spellEnd"/>
      <w:r w:rsidRPr="00364184">
        <w:rPr>
          <w:lang w:val="en-US"/>
        </w:rPr>
        <w:t xml:space="preserve"> </w:t>
      </w:r>
      <w:proofErr w:type="spellStart"/>
      <w:r w:rsidRPr="00364184">
        <w:rPr>
          <w:lang w:val="en-US"/>
        </w:rPr>
        <w:t>dayanmıştır</w:t>
      </w:r>
      <w:proofErr w:type="spellEnd"/>
      <w:r w:rsidRPr="00364184">
        <w:rPr>
          <w:lang w:val="en-US"/>
        </w:rPr>
        <w:t xml:space="preserve">. Sol, </w:t>
      </w:r>
      <w:proofErr w:type="spellStart"/>
      <w:r w:rsidRPr="00364184">
        <w:rPr>
          <w:lang w:val="en-US"/>
        </w:rPr>
        <w:t>merkez</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hatta</w:t>
      </w:r>
      <w:proofErr w:type="spellEnd"/>
      <w:r w:rsidRPr="00364184">
        <w:rPr>
          <w:lang w:val="en-US"/>
        </w:rPr>
        <w:t xml:space="preserve"> </w:t>
      </w:r>
      <w:proofErr w:type="spellStart"/>
      <w:r w:rsidRPr="00364184">
        <w:rPr>
          <w:lang w:val="en-US"/>
        </w:rPr>
        <w:t>sağ</w:t>
      </w:r>
      <w:proofErr w:type="spellEnd"/>
      <w:r w:rsidRPr="00364184">
        <w:rPr>
          <w:lang w:val="en-US"/>
        </w:rPr>
        <w:t xml:space="preserve"> </w:t>
      </w:r>
      <w:proofErr w:type="spellStart"/>
      <w:r w:rsidRPr="00364184">
        <w:rPr>
          <w:lang w:val="en-US"/>
        </w:rPr>
        <w:t>kesimden</w:t>
      </w:r>
      <w:proofErr w:type="spellEnd"/>
      <w:r w:rsidRPr="00364184">
        <w:rPr>
          <w:lang w:val="en-US"/>
        </w:rPr>
        <w:t xml:space="preserve"> </w:t>
      </w:r>
      <w:proofErr w:type="spellStart"/>
      <w:r w:rsidRPr="00364184">
        <w:rPr>
          <w:lang w:val="en-US"/>
        </w:rPr>
        <w:t>birçok</w:t>
      </w:r>
      <w:proofErr w:type="spellEnd"/>
      <w:r w:rsidRPr="00364184">
        <w:rPr>
          <w:lang w:val="en-US"/>
        </w:rPr>
        <w:t xml:space="preserve"> </w:t>
      </w:r>
      <w:proofErr w:type="spellStart"/>
      <w:r w:rsidRPr="00364184">
        <w:rPr>
          <w:lang w:val="en-US"/>
        </w:rPr>
        <w:t>geleneksel</w:t>
      </w:r>
      <w:proofErr w:type="spellEnd"/>
      <w:r w:rsidRPr="00364184">
        <w:rPr>
          <w:lang w:val="en-US"/>
        </w:rPr>
        <w:t xml:space="preserve"> </w:t>
      </w:r>
      <w:proofErr w:type="spellStart"/>
      <w:r w:rsidRPr="00364184">
        <w:rPr>
          <w:lang w:val="en-US"/>
        </w:rPr>
        <w:t>anayasa</w:t>
      </w:r>
      <w:proofErr w:type="spellEnd"/>
      <w:r w:rsidRPr="00364184">
        <w:rPr>
          <w:lang w:val="en-US"/>
        </w:rPr>
        <w:t xml:space="preserve"> </w:t>
      </w:r>
      <w:proofErr w:type="spellStart"/>
      <w:r w:rsidRPr="00364184">
        <w:rPr>
          <w:lang w:val="en-US"/>
        </w:rPr>
        <w:t>hukuku</w:t>
      </w:r>
      <w:proofErr w:type="spellEnd"/>
      <w:r w:rsidRPr="00364184">
        <w:rPr>
          <w:lang w:val="en-US"/>
        </w:rPr>
        <w:t xml:space="preserve"> </w:t>
      </w:r>
      <w:proofErr w:type="spellStart"/>
      <w:r w:rsidRPr="00364184">
        <w:rPr>
          <w:lang w:val="en-US"/>
        </w:rPr>
        <w:t>akademisyeni</w:t>
      </w:r>
      <w:proofErr w:type="spellEnd"/>
      <w:r w:rsidRPr="00364184">
        <w:rPr>
          <w:lang w:val="en-US"/>
        </w:rPr>
        <w:t xml:space="preserve"> </w:t>
      </w:r>
      <w:proofErr w:type="spellStart"/>
      <w:r w:rsidRPr="00364184">
        <w:rPr>
          <w:lang w:val="en-US"/>
        </w:rPr>
        <w:t>bu</w:t>
      </w:r>
      <w:proofErr w:type="spellEnd"/>
      <w:r w:rsidRPr="00364184">
        <w:rPr>
          <w:lang w:val="en-US"/>
        </w:rPr>
        <w:t xml:space="preserve"> </w:t>
      </w:r>
      <w:proofErr w:type="spellStart"/>
      <w:r w:rsidRPr="00364184">
        <w:rPr>
          <w:lang w:val="en-US"/>
        </w:rPr>
        <w:t>itirazı</w:t>
      </w:r>
      <w:proofErr w:type="spellEnd"/>
      <w:r w:rsidRPr="00364184">
        <w:rPr>
          <w:lang w:val="en-US"/>
        </w:rPr>
        <w:t xml:space="preserve"> "</w:t>
      </w:r>
      <w:proofErr w:type="spellStart"/>
      <w:r w:rsidRPr="00364184">
        <w:rPr>
          <w:lang w:val="en-US"/>
        </w:rPr>
        <w:t>normatif</w:t>
      </w:r>
      <w:proofErr w:type="spellEnd"/>
      <w:r w:rsidRPr="00364184">
        <w:rPr>
          <w:lang w:val="en-US"/>
        </w:rPr>
        <w:t xml:space="preserve"> </w:t>
      </w:r>
      <w:proofErr w:type="spellStart"/>
      <w:r w:rsidRPr="00364184">
        <w:rPr>
          <w:lang w:val="en-US"/>
        </w:rPr>
        <w:t>olarak</w:t>
      </w:r>
      <w:proofErr w:type="spellEnd"/>
      <w:r w:rsidRPr="00364184">
        <w:rPr>
          <w:lang w:val="en-US"/>
        </w:rPr>
        <w:t xml:space="preserve"> </w:t>
      </w:r>
      <w:proofErr w:type="spellStart"/>
      <w:r w:rsidRPr="00364184">
        <w:rPr>
          <w:lang w:val="en-US"/>
        </w:rPr>
        <w:t>boş</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içtihat</w:t>
      </w:r>
      <w:proofErr w:type="spellEnd"/>
      <w:r w:rsidRPr="00364184">
        <w:rPr>
          <w:lang w:val="en-US"/>
        </w:rPr>
        <w:t xml:space="preserve"> slalomu"¹⁴³</w:t>
      </w:r>
      <w:r>
        <w:rPr>
          <w:lang w:val="en-US"/>
        </w:rPr>
        <w:t xml:space="preserve"> </w:t>
      </w:r>
      <w:r>
        <w:rPr>
          <w:rStyle w:val="FootnoteReference"/>
          <w:lang w:val="en-US"/>
        </w:rPr>
        <w:footnoteReference w:id="143"/>
      </w:r>
      <w:r w:rsidRPr="00364184">
        <w:rPr>
          <w:lang w:val="en-US"/>
        </w:rPr>
        <w:t xml:space="preserve"> </w:t>
      </w:r>
      <w:proofErr w:type="spellStart"/>
      <w:r w:rsidRPr="00364184">
        <w:rPr>
          <w:lang w:val="en-US"/>
        </w:rPr>
        <w:t>olarak</w:t>
      </w:r>
      <w:proofErr w:type="spellEnd"/>
      <w:r w:rsidRPr="00364184">
        <w:rPr>
          <w:lang w:val="en-US"/>
        </w:rPr>
        <w:t xml:space="preserve"> </w:t>
      </w:r>
      <w:proofErr w:type="spellStart"/>
      <w:r w:rsidRPr="00364184">
        <w:rPr>
          <w:lang w:val="en-US"/>
        </w:rPr>
        <w:t>küçümserken</w:t>
      </w:r>
      <w:proofErr w:type="spellEnd"/>
      <w:r w:rsidRPr="00364184">
        <w:rPr>
          <w:lang w:val="en-US"/>
        </w:rPr>
        <w:t xml:space="preserve">, Randy Barnett </w:t>
      </w:r>
      <w:proofErr w:type="spellStart"/>
      <w:r w:rsidRPr="00364184">
        <w:rPr>
          <w:lang w:val="en-US"/>
        </w:rPr>
        <w:t>gibi</w:t>
      </w:r>
      <w:proofErr w:type="spellEnd"/>
      <w:r w:rsidRPr="00364184">
        <w:rPr>
          <w:lang w:val="en-US"/>
        </w:rPr>
        <w:t xml:space="preserve"> "</w:t>
      </w:r>
      <w:proofErr w:type="spellStart"/>
      <w:r w:rsidRPr="00364184">
        <w:rPr>
          <w:lang w:val="en-US"/>
        </w:rPr>
        <w:t>yorumlayıcı</w:t>
      </w:r>
      <w:proofErr w:type="spellEnd"/>
      <w:r w:rsidRPr="00364184">
        <w:rPr>
          <w:lang w:val="en-US"/>
        </w:rPr>
        <w:t xml:space="preserve"> </w:t>
      </w:r>
      <w:proofErr w:type="spellStart"/>
      <w:r w:rsidRPr="00364184">
        <w:rPr>
          <w:lang w:val="en-US"/>
        </w:rPr>
        <w:t>girişimciler</w:t>
      </w:r>
      <w:proofErr w:type="spellEnd"/>
      <w:r w:rsidRPr="00364184">
        <w:rPr>
          <w:lang w:val="en-US"/>
        </w:rPr>
        <w:t xml:space="preserve">," </w:t>
      </w:r>
      <w:proofErr w:type="spellStart"/>
      <w:r w:rsidRPr="00364184">
        <w:rPr>
          <w:lang w:val="en-US"/>
        </w:rPr>
        <w:t>zorunluluğun</w:t>
      </w:r>
      <w:proofErr w:type="spellEnd"/>
      <w:r w:rsidRPr="00364184">
        <w:rPr>
          <w:lang w:val="en-US"/>
        </w:rPr>
        <w:t xml:space="preserve"> federal </w:t>
      </w:r>
      <w:proofErr w:type="spellStart"/>
      <w:r w:rsidRPr="00364184">
        <w:rPr>
          <w:lang w:val="en-US"/>
        </w:rPr>
        <w:t>hükümetin</w:t>
      </w:r>
      <w:proofErr w:type="spellEnd"/>
      <w:r w:rsidRPr="00364184">
        <w:rPr>
          <w:lang w:val="en-US"/>
        </w:rPr>
        <w:t xml:space="preserve"> "</w:t>
      </w:r>
      <w:proofErr w:type="spellStart"/>
      <w:r w:rsidRPr="00364184">
        <w:rPr>
          <w:lang w:val="en-US"/>
        </w:rPr>
        <w:t>benzeri</w:t>
      </w:r>
      <w:proofErr w:type="spellEnd"/>
      <w:r w:rsidRPr="00364184">
        <w:rPr>
          <w:lang w:val="en-US"/>
        </w:rPr>
        <w:t xml:space="preserve"> </w:t>
      </w:r>
      <w:proofErr w:type="spellStart"/>
      <w:r w:rsidRPr="00364184">
        <w:rPr>
          <w:lang w:val="en-US"/>
        </w:rPr>
        <w:t>görülmemiş</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yetki</w:t>
      </w:r>
      <w:proofErr w:type="spellEnd"/>
      <w:r w:rsidRPr="00364184">
        <w:rPr>
          <w:lang w:val="en-US"/>
        </w:rPr>
        <w:t xml:space="preserve"> </w:t>
      </w:r>
      <w:proofErr w:type="spellStart"/>
      <w:r w:rsidRPr="00364184">
        <w:rPr>
          <w:lang w:val="en-US"/>
        </w:rPr>
        <w:t>kullanımı</w:t>
      </w:r>
      <w:proofErr w:type="spellEnd"/>
      <w:r w:rsidRPr="00364184">
        <w:rPr>
          <w:lang w:val="en-US"/>
        </w:rPr>
        <w:t xml:space="preserve"> </w:t>
      </w:r>
      <w:proofErr w:type="spellStart"/>
      <w:r w:rsidRPr="00364184">
        <w:rPr>
          <w:lang w:val="en-US"/>
        </w:rPr>
        <w:t>olduğu</w:t>
      </w:r>
      <w:proofErr w:type="spellEnd"/>
      <w:r w:rsidRPr="00364184">
        <w:rPr>
          <w:lang w:val="en-US"/>
        </w:rPr>
        <w:t xml:space="preserve"> </w:t>
      </w:r>
      <w:proofErr w:type="spellStart"/>
      <w:r w:rsidRPr="00364184">
        <w:rPr>
          <w:lang w:val="en-US"/>
        </w:rPr>
        <w:t>anlatısını</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bu</w:t>
      </w:r>
      <w:proofErr w:type="spellEnd"/>
      <w:r w:rsidRPr="00364184">
        <w:rPr>
          <w:lang w:val="en-US"/>
        </w:rPr>
        <w:t xml:space="preserve"> </w:t>
      </w:r>
      <w:proofErr w:type="spellStart"/>
      <w:r w:rsidRPr="00364184">
        <w:rPr>
          <w:lang w:val="en-US"/>
        </w:rPr>
        <w:t>anlatıyı</w:t>
      </w:r>
      <w:proofErr w:type="spellEnd"/>
      <w:r w:rsidRPr="00364184">
        <w:rPr>
          <w:lang w:val="en-US"/>
        </w:rPr>
        <w:t xml:space="preserve"> </w:t>
      </w:r>
      <w:proofErr w:type="spellStart"/>
      <w:r w:rsidRPr="00364184">
        <w:rPr>
          <w:lang w:val="en-US"/>
        </w:rPr>
        <w:t>destekleyecek</w:t>
      </w:r>
      <w:proofErr w:type="spellEnd"/>
      <w:r w:rsidRPr="00364184">
        <w:rPr>
          <w:lang w:val="en-US"/>
        </w:rPr>
        <w:t xml:space="preserve"> </w:t>
      </w:r>
      <w:proofErr w:type="spellStart"/>
      <w:r w:rsidRPr="00364184">
        <w:rPr>
          <w:lang w:val="en-US"/>
        </w:rPr>
        <w:t>doktrinsel</w:t>
      </w:r>
      <w:proofErr w:type="spellEnd"/>
      <w:r w:rsidRPr="00364184">
        <w:rPr>
          <w:lang w:val="en-US"/>
        </w:rPr>
        <w:t xml:space="preserve"> </w:t>
      </w:r>
      <w:proofErr w:type="spellStart"/>
      <w:r w:rsidRPr="00364184">
        <w:rPr>
          <w:lang w:val="en-US"/>
        </w:rPr>
        <w:t>argümanları</w:t>
      </w:r>
      <w:proofErr w:type="spellEnd"/>
      <w:r w:rsidRPr="00364184">
        <w:rPr>
          <w:lang w:val="en-US"/>
        </w:rPr>
        <w:t xml:space="preserve"> </w:t>
      </w:r>
      <w:proofErr w:type="spellStart"/>
      <w:r w:rsidRPr="00364184">
        <w:rPr>
          <w:lang w:val="en-US"/>
        </w:rPr>
        <w:t>geliştirmiştir</w:t>
      </w:r>
      <w:proofErr w:type="spellEnd"/>
      <w:r w:rsidRPr="00364184">
        <w:rPr>
          <w:lang w:val="en-US"/>
        </w:rPr>
        <w:t xml:space="preserve">. Bu </w:t>
      </w:r>
      <w:proofErr w:type="spellStart"/>
      <w:r w:rsidRPr="00364184">
        <w:rPr>
          <w:lang w:val="en-US"/>
        </w:rPr>
        <w:t>argümanlar</w:t>
      </w:r>
      <w:proofErr w:type="spellEnd"/>
      <w:r w:rsidRPr="00364184">
        <w:rPr>
          <w:lang w:val="en-US"/>
        </w:rPr>
        <w:t xml:space="preserve">, hem </w:t>
      </w:r>
      <w:proofErr w:type="spellStart"/>
      <w:r w:rsidRPr="00364184">
        <w:rPr>
          <w:lang w:val="en-US"/>
        </w:rPr>
        <w:t>kamuoyu</w:t>
      </w:r>
      <w:proofErr w:type="spellEnd"/>
      <w:r w:rsidRPr="00364184">
        <w:rPr>
          <w:lang w:val="en-US"/>
        </w:rPr>
        <w:t xml:space="preserve"> </w:t>
      </w:r>
      <w:proofErr w:type="spellStart"/>
      <w:r w:rsidRPr="00364184">
        <w:rPr>
          <w:lang w:val="en-US"/>
        </w:rPr>
        <w:t>muhalefetini</w:t>
      </w:r>
      <w:proofErr w:type="spellEnd"/>
      <w:r w:rsidRPr="00364184">
        <w:rPr>
          <w:lang w:val="en-US"/>
        </w:rPr>
        <w:t xml:space="preserve"> </w:t>
      </w:r>
      <w:proofErr w:type="spellStart"/>
      <w:r w:rsidRPr="00364184">
        <w:rPr>
          <w:lang w:val="en-US"/>
        </w:rPr>
        <w:t>harekete</w:t>
      </w:r>
      <w:proofErr w:type="spellEnd"/>
      <w:r w:rsidRPr="00364184">
        <w:rPr>
          <w:lang w:val="en-US"/>
        </w:rPr>
        <w:t xml:space="preserve"> </w:t>
      </w:r>
      <w:proofErr w:type="spellStart"/>
      <w:r w:rsidRPr="00364184">
        <w:rPr>
          <w:lang w:val="en-US"/>
        </w:rPr>
        <w:t>geçirmeyi</w:t>
      </w:r>
      <w:proofErr w:type="spellEnd"/>
      <w:r w:rsidRPr="00364184">
        <w:rPr>
          <w:lang w:val="en-US"/>
        </w:rPr>
        <w:t xml:space="preserve"> hem de </w:t>
      </w:r>
      <w:proofErr w:type="spellStart"/>
      <w:r w:rsidRPr="00364184">
        <w:rPr>
          <w:lang w:val="en-US"/>
        </w:rPr>
        <w:t>zaten</w:t>
      </w:r>
      <w:proofErr w:type="spellEnd"/>
      <w:r w:rsidRPr="00364184">
        <w:rPr>
          <w:lang w:val="en-US"/>
        </w:rPr>
        <w:t xml:space="preserve"> </w:t>
      </w:r>
      <w:proofErr w:type="spellStart"/>
      <w:r w:rsidRPr="00364184">
        <w:rPr>
          <w:lang w:val="en-US"/>
        </w:rPr>
        <w:t>sempatik</w:t>
      </w:r>
      <w:proofErr w:type="spellEnd"/>
      <w:r w:rsidRPr="00364184">
        <w:rPr>
          <w:lang w:val="en-US"/>
        </w:rPr>
        <w:t xml:space="preserve"> </w:t>
      </w:r>
      <w:proofErr w:type="spellStart"/>
      <w:r w:rsidRPr="00364184">
        <w:rPr>
          <w:lang w:val="en-US"/>
        </w:rPr>
        <w:t>olan</w:t>
      </w:r>
      <w:proofErr w:type="spellEnd"/>
      <w:r w:rsidRPr="00364184">
        <w:rPr>
          <w:lang w:val="en-US"/>
        </w:rPr>
        <w:t xml:space="preserve"> Yüksek </w:t>
      </w:r>
      <w:proofErr w:type="spellStart"/>
      <w:r w:rsidRPr="00364184">
        <w:rPr>
          <w:lang w:val="en-US"/>
        </w:rPr>
        <w:t>Mahkeme</w:t>
      </w:r>
      <w:proofErr w:type="spellEnd"/>
      <w:r w:rsidRPr="00364184">
        <w:rPr>
          <w:lang w:val="en-US"/>
        </w:rPr>
        <w:t xml:space="preserve"> </w:t>
      </w:r>
      <w:proofErr w:type="spellStart"/>
      <w:r w:rsidRPr="00364184">
        <w:rPr>
          <w:lang w:val="en-US"/>
        </w:rPr>
        <w:t>Yargıçlarını</w:t>
      </w:r>
      <w:proofErr w:type="spellEnd"/>
      <w:r w:rsidRPr="00364184">
        <w:rPr>
          <w:lang w:val="en-US"/>
        </w:rPr>
        <w:t xml:space="preserve">, </w:t>
      </w:r>
      <w:proofErr w:type="spellStart"/>
      <w:r w:rsidRPr="00364184">
        <w:rPr>
          <w:lang w:val="en-US"/>
        </w:rPr>
        <w:t>ulaşmak</w:t>
      </w:r>
      <w:proofErr w:type="spellEnd"/>
      <w:r w:rsidRPr="00364184">
        <w:rPr>
          <w:lang w:val="en-US"/>
        </w:rPr>
        <w:t xml:space="preserve"> </w:t>
      </w:r>
      <w:proofErr w:type="spellStart"/>
      <w:r w:rsidRPr="00364184">
        <w:rPr>
          <w:lang w:val="en-US"/>
        </w:rPr>
        <w:t>istedikleri</w:t>
      </w:r>
      <w:proofErr w:type="spellEnd"/>
      <w:r w:rsidRPr="00364184">
        <w:rPr>
          <w:lang w:val="en-US"/>
        </w:rPr>
        <w:t xml:space="preserve"> </w:t>
      </w:r>
      <w:proofErr w:type="spellStart"/>
      <w:r w:rsidRPr="00364184">
        <w:rPr>
          <w:lang w:val="en-US"/>
        </w:rPr>
        <w:t>sonuca</w:t>
      </w:r>
      <w:proofErr w:type="spellEnd"/>
      <w:r w:rsidRPr="00364184">
        <w:rPr>
          <w:lang w:val="en-US"/>
        </w:rPr>
        <w:t xml:space="preserve"> </w:t>
      </w:r>
      <w:proofErr w:type="spellStart"/>
      <w:r w:rsidRPr="00364184">
        <w:rPr>
          <w:lang w:val="en-US"/>
        </w:rPr>
        <w:t>makul</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şekilde</w:t>
      </w:r>
      <w:proofErr w:type="spellEnd"/>
      <w:r w:rsidRPr="00364184">
        <w:rPr>
          <w:lang w:val="en-US"/>
        </w:rPr>
        <w:t xml:space="preserve"> </w:t>
      </w:r>
      <w:proofErr w:type="spellStart"/>
      <w:r w:rsidRPr="00364184">
        <w:rPr>
          <w:lang w:val="en-US"/>
        </w:rPr>
        <w:t>varabileceklerine</w:t>
      </w:r>
      <w:proofErr w:type="spellEnd"/>
      <w:r w:rsidRPr="00364184">
        <w:rPr>
          <w:lang w:val="en-US"/>
        </w:rPr>
        <w:t xml:space="preserve"> </w:t>
      </w:r>
      <w:proofErr w:type="spellStart"/>
      <w:r w:rsidRPr="00364184">
        <w:rPr>
          <w:lang w:val="en-US"/>
        </w:rPr>
        <w:t>ikna</w:t>
      </w:r>
      <w:proofErr w:type="spellEnd"/>
      <w:r w:rsidRPr="00364184">
        <w:rPr>
          <w:lang w:val="en-US"/>
        </w:rPr>
        <w:t xml:space="preserve"> </w:t>
      </w:r>
      <w:proofErr w:type="spellStart"/>
      <w:r w:rsidRPr="00364184">
        <w:rPr>
          <w:lang w:val="en-US"/>
        </w:rPr>
        <w:t>etmeyi</w:t>
      </w:r>
      <w:proofErr w:type="spellEnd"/>
      <w:r w:rsidRPr="00364184">
        <w:rPr>
          <w:lang w:val="en-US"/>
        </w:rPr>
        <w:t xml:space="preserve"> amaçlamıştır.¹⁴⁴</w:t>
      </w:r>
      <w:r>
        <w:rPr>
          <w:lang w:val="en-US"/>
        </w:rPr>
        <w:t xml:space="preserve"> </w:t>
      </w:r>
      <w:r>
        <w:rPr>
          <w:rStyle w:val="FootnoteReference"/>
          <w:lang w:val="en-US"/>
        </w:rPr>
        <w:footnoteReference w:id="144"/>
      </w:r>
      <w:r>
        <w:rPr>
          <w:lang w:val="en-US"/>
        </w:rPr>
        <w:t xml:space="preserve"> [1104 - 1105]</w:t>
      </w:r>
    </w:p>
    <w:p w14:paraId="31B6A813" w14:textId="65B665A7" w:rsidR="00364184" w:rsidRDefault="00364184" w:rsidP="00364184">
      <w:pPr>
        <w:rPr>
          <w:lang w:val="en-US"/>
        </w:rPr>
      </w:pPr>
      <w:r w:rsidRPr="00364184">
        <w:rPr>
          <w:lang w:val="en-US"/>
        </w:rPr>
        <w:t xml:space="preserve">Bu </w:t>
      </w:r>
      <w:proofErr w:type="spellStart"/>
      <w:r w:rsidRPr="00364184">
        <w:rPr>
          <w:lang w:val="en-US"/>
        </w:rPr>
        <w:t>olay</w:t>
      </w:r>
      <w:proofErr w:type="spellEnd"/>
      <w:r w:rsidRPr="00364184">
        <w:rPr>
          <w:lang w:val="en-US"/>
        </w:rPr>
        <w:t xml:space="preserve"> </w:t>
      </w:r>
      <w:proofErr w:type="spellStart"/>
      <w:r w:rsidRPr="00364184">
        <w:rPr>
          <w:lang w:val="en-US"/>
        </w:rPr>
        <w:t>hakkında</w:t>
      </w:r>
      <w:proofErr w:type="spellEnd"/>
      <w:r w:rsidRPr="00364184">
        <w:rPr>
          <w:lang w:val="en-US"/>
        </w:rPr>
        <w:t xml:space="preserve"> </w:t>
      </w:r>
      <w:proofErr w:type="spellStart"/>
      <w:r w:rsidRPr="00364184">
        <w:rPr>
          <w:lang w:val="en-US"/>
        </w:rPr>
        <w:t>çok</w:t>
      </w:r>
      <w:proofErr w:type="spellEnd"/>
      <w:r w:rsidRPr="00364184">
        <w:rPr>
          <w:lang w:val="en-US"/>
        </w:rPr>
        <w:t xml:space="preserve"> </w:t>
      </w:r>
      <w:proofErr w:type="spellStart"/>
      <w:r w:rsidRPr="00364184">
        <w:rPr>
          <w:lang w:val="en-US"/>
        </w:rPr>
        <w:t>daha</w:t>
      </w:r>
      <w:proofErr w:type="spellEnd"/>
      <w:r w:rsidRPr="00364184">
        <w:rPr>
          <w:lang w:val="en-US"/>
        </w:rPr>
        <w:t xml:space="preserve"> </w:t>
      </w:r>
      <w:proofErr w:type="spellStart"/>
      <w:r w:rsidRPr="00364184">
        <w:rPr>
          <w:lang w:val="en-US"/>
        </w:rPr>
        <w:t>fazla</w:t>
      </w:r>
      <w:proofErr w:type="spellEnd"/>
      <w:r w:rsidRPr="00364184">
        <w:rPr>
          <w:lang w:val="en-US"/>
        </w:rPr>
        <w:t xml:space="preserve"> </w:t>
      </w:r>
      <w:proofErr w:type="spellStart"/>
      <w:r w:rsidRPr="00364184">
        <w:rPr>
          <w:lang w:val="en-US"/>
        </w:rPr>
        <w:t>şey</w:t>
      </w:r>
      <w:proofErr w:type="spellEnd"/>
      <w:r w:rsidRPr="00364184">
        <w:rPr>
          <w:lang w:val="en-US"/>
        </w:rPr>
        <w:t xml:space="preserve"> </w:t>
      </w:r>
      <w:proofErr w:type="spellStart"/>
      <w:r w:rsidRPr="00364184">
        <w:rPr>
          <w:lang w:val="en-US"/>
        </w:rPr>
        <w:t>söylenebilir</w:t>
      </w:r>
      <w:proofErr w:type="spellEnd"/>
      <w:r w:rsidRPr="00364184">
        <w:rPr>
          <w:lang w:val="en-US"/>
        </w:rPr>
        <w:t xml:space="preserve">, </w:t>
      </w:r>
      <w:proofErr w:type="spellStart"/>
      <w:r w:rsidRPr="00364184">
        <w:rPr>
          <w:lang w:val="en-US"/>
        </w:rPr>
        <w:t>ancak</w:t>
      </w:r>
      <w:proofErr w:type="spellEnd"/>
      <w:r w:rsidRPr="00364184">
        <w:rPr>
          <w:lang w:val="en-US"/>
        </w:rPr>
        <w:t xml:space="preserve"> </w:t>
      </w:r>
      <w:proofErr w:type="spellStart"/>
      <w:r w:rsidRPr="00364184">
        <w:rPr>
          <w:lang w:val="en-US"/>
        </w:rPr>
        <w:t>bu</w:t>
      </w:r>
      <w:proofErr w:type="spellEnd"/>
      <w:r w:rsidRPr="00364184">
        <w:rPr>
          <w:lang w:val="en-US"/>
        </w:rPr>
        <w:t xml:space="preserve"> </w:t>
      </w:r>
      <w:proofErr w:type="spellStart"/>
      <w:r w:rsidRPr="00364184">
        <w:rPr>
          <w:lang w:val="en-US"/>
        </w:rPr>
        <w:t>bölüm</w:t>
      </w:r>
      <w:proofErr w:type="spellEnd"/>
      <w:r w:rsidRPr="00364184">
        <w:rPr>
          <w:lang w:val="en-US"/>
        </w:rPr>
        <w:t xml:space="preserve"> </w:t>
      </w:r>
      <w:proofErr w:type="spellStart"/>
      <w:r w:rsidRPr="00364184">
        <w:rPr>
          <w:lang w:val="en-US"/>
        </w:rPr>
        <w:t>açısından</w:t>
      </w:r>
      <w:proofErr w:type="spellEnd"/>
      <w:r w:rsidRPr="00364184">
        <w:rPr>
          <w:lang w:val="en-US"/>
        </w:rPr>
        <w:t xml:space="preserve"> </w:t>
      </w:r>
      <w:proofErr w:type="spellStart"/>
      <w:r w:rsidRPr="00364184">
        <w:rPr>
          <w:lang w:val="en-US"/>
        </w:rPr>
        <w:t>temel</w:t>
      </w:r>
      <w:proofErr w:type="spellEnd"/>
      <w:r w:rsidRPr="00364184">
        <w:rPr>
          <w:lang w:val="en-US"/>
        </w:rPr>
        <w:t xml:space="preserve"> </w:t>
      </w:r>
      <w:proofErr w:type="spellStart"/>
      <w:r w:rsidRPr="00364184">
        <w:rPr>
          <w:lang w:val="en-US"/>
        </w:rPr>
        <w:t>nokta</w:t>
      </w:r>
      <w:proofErr w:type="spellEnd"/>
      <w:r w:rsidRPr="00364184">
        <w:rPr>
          <w:lang w:val="en-US"/>
        </w:rPr>
        <w:t xml:space="preserve"> </w:t>
      </w:r>
      <w:proofErr w:type="spellStart"/>
      <w:r w:rsidRPr="00364184">
        <w:rPr>
          <w:lang w:val="en-US"/>
        </w:rPr>
        <w:t>açıktır</w:t>
      </w:r>
      <w:proofErr w:type="spellEnd"/>
      <w:r w:rsidRPr="00364184">
        <w:rPr>
          <w:lang w:val="en-US"/>
        </w:rPr>
        <w:t xml:space="preserve">: Yeni </w:t>
      </w:r>
      <w:proofErr w:type="spellStart"/>
      <w:r w:rsidRPr="00364184">
        <w:rPr>
          <w:lang w:val="en-US"/>
        </w:rPr>
        <w:t>normların</w:t>
      </w:r>
      <w:proofErr w:type="spellEnd"/>
      <w:r w:rsidRPr="00364184">
        <w:rPr>
          <w:lang w:val="en-US"/>
        </w:rPr>
        <w:t xml:space="preserve">, </w:t>
      </w:r>
      <w:proofErr w:type="spellStart"/>
      <w:r w:rsidRPr="00364184">
        <w:rPr>
          <w:lang w:val="en-US"/>
        </w:rPr>
        <w:t>teknolojilerin</w:t>
      </w:r>
      <w:proofErr w:type="spellEnd"/>
      <w:r w:rsidRPr="00364184">
        <w:rPr>
          <w:lang w:val="en-US"/>
        </w:rPr>
        <w:t xml:space="preserve">, </w:t>
      </w:r>
      <w:proofErr w:type="spellStart"/>
      <w:r w:rsidRPr="00364184">
        <w:rPr>
          <w:lang w:val="en-US"/>
        </w:rPr>
        <w:t>düzenlemelerin</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ilişkilerin</w:t>
      </w:r>
      <w:proofErr w:type="spellEnd"/>
      <w:r w:rsidRPr="00364184">
        <w:rPr>
          <w:lang w:val="en-US"/>
        </w:rPr>
        <w:t xml:space="preserve"> </w:t>
      </w:r>
      <w:proofErr w:type="spellStart"/>
      <w:r w:rsidRPr="00364184">
        <w:rPr>
          <w:lang w:val="en-US"/>
        </w:rPr>
        <w:t>ortaya</w:t>
      </w:r>
      <w:proofErr w:type="spellEnd"/>
      <w:r w:rsidRPr="00364184">
        <w:rPr>
          <w:lang w:val="en-US"/>
        </w:rPr>
        <w:t xml:space="preserve"> </w:t>
      </w:r>
      <w:proofErr w:type="spellStart"/>
      <w:r w:rsidRPr="00364184">
        <w:rPr>
          <w:lang w:val="en-US"/>
        </w:rPr>
        <w:t>çıkışı</w:t>
      </w:r>
      <w:proofErr w:type="spellEnd"/>
      <w:r w:rsidRPr="00364184">
        <w:rPr>
          <w:lang w:val="en-US"/>
        </w:rPr>
        <w:t xml:space="preserve">, </w:t>
      </w:r>
      <w:proofErr w:type="spellStart"/>
      <w:r w:rsidRPr="00364184">
        <w:rPr>
          <w:lang w:val="en-US"/>
        </w:rPr>
        <w:t>anayasal</w:t>
      </w:r>
      <w:proofErr w:type="spellEnd"/>
      <w:r w:rsidRPr="00364184">
        <w:rPr>
          <w:lang w:val="en-US"/>
        </w:rPr>
        <w:t xml:space="preserve"> </w:t>
      </w:r>
      <w:proofErr w:type="spellStart"/>
      <w:r w:rsidRPr="00364184">
        <w:rPr>
          <w:lang w:val="en-US"/>
        </w:rPr>
        <w:t>davaların</w:t>
      </w:r>
      <w:proofErr w:type="spellEnd"/>
      <w:r w:rsidRPr="00364184">
        <w:rPr>
          <w:lang w:val="en-US"/>
        </w:rPr>
        <w:t xml:space="preserve"> </w:t>
      </w:r>
      <w:proofErr w:type="spellStart"/>
      <w:r w:rsidRPr="00364184">
        <w:rPr>
          <w:lang w:val="en-US"/>
        </w:rPr>
        <w:t>çerçevesini</w:t>
      </w:r>
      <w:proofErr w:type="spellEnd"/>
      <w:r w:rsidRPr="00364184">
        <w:rPr>
          <w:lang w:val="en-US"/>
        </w:rPr>
        <w:t xml:space="preserve"> </w:t>
      </w:r>
      <w:proofErr w:type="spellStart"/>
      <w:r w:rsidRPr="00364184">
        <w:rPr>
          <w:lang w:val="en-US"/>
        </w:rPr>
        <w:t>değiştirme</w:t>
      </w:r>
      <w:proofErr w:type="spellEnd"/>
      <w:r w:rsidRPr="00364184">
        <w:rPr>
          <w:lang w:val="en-US"/>
        </w:rPr>
        <w:t xml:space="preserve"> </w:t>
      </w:r>
      <w:proofErr w:type="spellStart"/>
      <w:r w:rsidRPr="00364184">
        <w:rPr>
          <w:lang w:val="en-US"/>
        </w:rPr>
        <w:t>potansiyeline</w:t>
      </w:r>
      <w:proofErr w:type="spellEnd"/>
      <w:r w:rsidRPr="00364184">
        <w:rPr>
          <w:lang w:val="en-US"/>
        </w:rPr>
        <w:t xml:space="preserve"> </w:t>
      </w:r>
      <w:proofErr w:type="spellStart"/>
      <w:r w:rsidRPr="00364184">
        <w:rPr>
          <w:lang w:val="en-US"/>
        </w:rPr>
        <w:t>sahiptir</w:t>
      </w:r>
      <w:proofErr w:type="spellEnd"/>
      <w:r w:rsidRPr="00364184">
        <w:rPr>
          <w:lang w:val="en-US"/>
        </w:rPr>
        <w:t xml:space="preserve">. Bu </w:t>
      </w:r>
      <w:proofErr w:type="spellStart"/>
      <w:r w:rsidRPr="00364184">
        <w:rPr>
          <w:lang w:val="en-US"/>
        </w:rPr>
        <w:t>değişimler</w:t>
      </w:r>
      <w:proofErr w:type="spellEnd"/>
      <w:r w:rsidRPr="00364184">
        <w:rPr>
          <w:lang w:val="en-US"/>
        </w:rPr>
        <w:t xml:space="preserve">, </w:t>
      </w:r>
      <w:proofErr w:type="spellStart"/>
      <w:r w:rsidRPr="00364184">
        <w:rPr>
          <w:lang w:val="en-US"/>
        </w:rPr>
        <w:t>olası</w:t>
      </w:r>
      <w:proofErr w:type="spellEnd"/>
      <w:r w:rsidRPr="00364184">
        <w:rPr>
          <w:lang w:val="en-US"/>
        </w:rPr>
        <w:t xml:space="preserve"> </w:t>
      </w:r>
      <w:proofErr w:type="spellStart"/>
      <w:r w:rsidRPr="00364184">
        <w:rPr>
          <w:lang w:val="en-US"/>
        </w:rPr>
        <w:t>anayasal</w:t>
      </w:r>
      <w:proofErr w:type="spellEnd"/>
      <w:r w:rsidRPr="00364184">
        <w:rPr>
          <w:lang w:val="en-US"/>
        </w:rPr>
        <w:t xml:space="preserve"> </w:t>
      </w:r>
      <w:proofErr w:type="spellStart"/>
      <w:r w:rsidRPr="00364184">
        <w:rPr>
          <w:lang w:val="en-US"/>
        </w:rPr>
        <w:t>kararların</w:t>
      </w:r>
      <w:proofErr w:type="spellEnd"/>
      <w:r w:rsidRPr="00364184">
        <w:rPr>
          <w:lang w:val="en-US"/>
        </w:rPr>
        <w:t xml:space="preserve"> </w:t>
      </w:r>
      <w:proofErr w:type="spellStart"/>
      <w:r w:rsidRPr="00364184">
        <w:rPr>
          <w:lang w:val="en-US"/>
        </w:rPr>
        <w:t>yelpazesini</w:t>
      </w:r>
      <w:proofErr w:type="spellEnd"/>
      <w:r w:rsidRPr="00364184">
        <w:rPr>
          <w:lang w:val="en-US"/>
        </w:rPr>
        <w:t xml:space="preserve"> </w:t>
      </w:r>
      <w:proofErr w:type="spellStart"/>
      <w:r w:rsidRPr="00364184">
        <w:rPr>
          <w:lang w:val="en-US"/>
        </w:rPr>
        <w:t>genişletmekte</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bu</w:t>
      </w:r>
      <w:proofErr w:type="spellEnd"/>
      <w:r w:rsidRPr="00364184">
        <w:rPr>
          <w:lang w:val="en-US"/>
        </w:rPr>
        <w:t xml:space="preserve"> </w:t>
      </w:r>
      <w:proofErr w:type="spellStart"/>
      <w:r w:rsidRPr="00364184">
        <w:rPr>
          <w:lang w:val="en-US"/>
        </w:rPr>
        <w:t>kararlar</w:t>
      </w:r>
      <w:proofErr w:type="spellEnd"/>
      <w:r w:rsidRPr="00364184">
        <w:rPr>
          <w:lang w:val="en-US"/>
        </w:rPr>
        <w:t xml:space="preserve"> </w:t>
      </w:r>
      <w:proofErr w:type="spellStart"/>
      <w:r w:rsidRPr="00364184">
        <w:rPr>
          <w:lang w:val="en-US"/>
        </w:rPr>
        <w:t>arasındaki</w:t>
      </w:r>
      <w:proofErr w:type="spellEnd"/>
      <w:r w:rsidRPr="00364184">
        <w:rPr>
          <w:lang w:val="en-US"/>
        </w:rPr>
        <w:t xml:space="preserve"> </w:t>
      </w:r>
      <w:proofErr w:type="spellStart"/>
      <w:r w:rsidRPr="00364184">
        <w:rPr>
          <w:lang w:val="en-US"/>
        </w:rPr>
        <w:t>sonuç</w:t>
      </w:r>
      <w:proofErr w:type="spellEnd"/>
      <w:r w:rsidRPr="00364184">
        <w:rPr>
          <w:lang w:val="en-US"/>
        </w:rPr>
        <w:t xml:space="preserve"> </w:t>
      </w:r>
      <w:proofErr w:type="spellStart"/>
      <w:r w:rsidRPr="00364184">
        <w:rPr>
          <w:lang w:val="en-US"/>
        </w:rPr>
        <w:t>ihtimallerini</w:t>
      </w:r>
      <w:proofErr w:type="spellEnd"/>
      <w:r w:rsidRPr="00364184">
        <w:rPr>
          <w:lang w:val="en-US"/>
        </w:rPr>
        <w:t xml:space="preserve"> </w:t>
      </w:r>
      <w:proofErr w:type="spellStart"/>
      <w:r w:rsidRPr="00364184">
        <w:rPr>
          <w:lang w:val="en-US"/>
        </w:rPr>
        <w:t>farklılaştırmaktadır</w:t>
      </w:r>
      <w:proofErr w:type="spellEnd"/>
      <w:r w:rsidRPr="00364184">
        <w:rPr>
          <w:lang w:val="en-US"/>
        </w:rPr>
        <w:t>.</w:t>
      </w:r>
      <w:r>
        <w:rPr>
          <w:lang w:val="en-US"/>
        </w:rPr>
        <w:t xml:space="preserve"> </w:t>
      </w:r>
      <w:proofErr w:type="spellStart"/>
      <w:r w:rsidRPr="00364184">
        <w:rPr>
          <w:lang w:val="en-US"/>
        </w:rPr>
        <w:t>Anayasa</w:t>
      </w:r>
      <w:proofErr w:type="spellEnd"/>
      <w:r w:rsidRPr="00364184">
        <w:rPr>
          <w:lang w:val="en-US"/>
        </w:rPr>
        <w:t xml:space="preserve"> </w:t>
      </w:r>
      <w:proofErr w:type="spellStart"/>
      <w:r w:rsidRPr="00364184">
        <w:rPr>
          <w:lang w:val="en-US"/>
        </w:rPr>
        <w:t>hukukçuları</w:t>
      </w:r>
      <w:proofErr w:type="spellEnd"/>
      <w:r w:rsidRPr="00364184">
        <w:rPr>
          <w:lang w:val="en-US"/>
        </w:rPr>
        <w:t xml:space="preserve"> ve </w:t>
      </w:r>
      <w:proofErr w:type="spellStart"/>
      <w:r w:rsidRPr="00364184">
        <w:rPr>
          <w:lang w:val="en-US"/>
        </w:rPr>
        <w:t>teorisyenleri</w:t>
      </w:r>
      <w:proofErr w:type="spellEnd"/>
      <w:r w:rsidRPr="00364184">
        <w:rPr>
          <w:lang w:val="en-US"/>
        </w:rPr>
        <w:t xml:space="preserve">, </w:t>
      </w:r>
      <w:proofErr w:type="spellStart"/>
      <w:r w:rsidRPr="00364184">
        <w:rPr>
          <w:lang w:val="en-US"/>
        </w:rPr>
        <w:t>anayasal</w:t>
      </w:r>
      <w:proofErr w:type="spellEnd"/>
      <w:r w:rsidRPr="00364184">
        <w:rPr>
          <w:lang w:val="en-US"/>
        </w:rPr>
        <w:t xml:space="preserve"> </w:t>
      </w:r>
      <w:proofErr w:type="spellStart"/>
      <w:r w:rsidRPr="00364184">
        <w:rPr>
          <w:lang w:val="en-US"/>
        </w:rPr>
        <w:t>kültürümüzü</w:t>
      </w:r>
      <w:proofErr w:type="spellEnd"/>
      <w:r w:rsidRPr="00364184">
        <w:rPr>
          <w:lang w:val="en-US"/>
        </w:rPr>
        <w:t xml:space="preserve"> </w:t>
      </w:r>
      <w:proofErr w:type="spellStart"/>
      <w:r w:rsidRPr="00364184">
        <w:rPr>
          <w:lang w:val="en-US"/>
        </w:rPr>
        <w:t>oluşturan</w:t>
      </w:r>
      <w:proofErr w:type="spellEnd"/>
      <w:r w:rsidRPr="00364184">
        <w:rPr>
          <w:lang w:val="en-US"/>
        </w:rPr>
        <w:t xml:space="preserve"> </w:t>
      </w:r>
      <w:proofErr w:type="spellStart"/>
      <w:r w:rsidRPr="00364184">
        <w:rPr>
          <w:lang w:val="en-US"/>
        </w:rPr>
        <w:t>normlardaki</w:t>
      </w:r>
      <w:proofErr w:type="spellEnd"/>
      <w:r w:rsidRPr="00364184">
        <w:rPr>
          <w:lang w:val="en-US"/>
        </w:rPr>
        <w:t xml:space="preserve">, </w:t>
      </w:r>
      <w:proofErr w:type="spellStart"/>
      <w:r w:rsidRPr="00364184">
        <w:rPr>
          <w:lang w:val="en-US"/>
        </w:rPr>
        <w:t>uygulamalardaki</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düzenlemelerdeki</w:t>
      </w:r>
      <w:proofErr w:type="spellEnd"/>
      <w:r w:rsidRPr="00364184">
        <w:rPr>
          <w:lang w:val="en-US"/>
        </w:rPr>
        <w:t xml:space="preserve"> </w:t>
      </w:r>
      <w:proofErr w:type="spellStart"/>
      <w:r w:rsidRPr="00364184">
        <w:rPr>
          <w:lang w:val="en-US"/>
        </w:rPr>
        <w:t>değişimleri</w:t>
      </w:r>
      <w:proofErr w:type="spellEnd"/>
      <w:r w:rsidRPr="00364184">
        <w:rPr>
          <w:lang w:val="en-US"/>
        </w:rPr>
        <w:t xml:space="preserve"> </w:t>
      </w:r>
      <w:proofErr w:type="spellStart"/>
      <w:r w:rsidRPr="00364184">
        <w:rPr>
          <w:lang w:val="en-US"/>
        </w:rPr>
        <w:t>dikkate</w:t>
      </w:r>
      <w:proofErr w:type="spellEnd"/>
      <w:r w:rsidRPr="00364184">
        <w:rPr>
          <w:lang w:val="en-US"/>
        </w:rPr>
        <w:t xml:space="preserve"> </w:t>
      </w:r>
      <w:proofErr w:type="spellStart"/>
      <w:r w:rsidRPr="00364184">
        <w:rPr>
          <w:lang w:val="en-US"/>
        </w:rPr>
        <w:t>almadıkları</w:t>
      </w:r>
      <w:proofErr w:type="spellEnd"/>
      <w:r w:rsidRPr="00364184">
        <w:rPr>
          <w:lang w:val="en-US"/>
        </w:rPr>
        <w:t xml:space="preserve"> </w:t>
      </w:r>
      <w:proofErr w:type="spellStart"/>
      <w:r w:rsidRPr="00364184">
        <w:rPr>
          <w:lang w:val="en-US"/>
        </w:rPr>
        <w:t>takdirde</w:t>
      </w:r>
      <w:proofErr w:type="spellEnd"/>
      <w:r w:rsidRPr="00364184">
        <w:rPr>
          <w:lang w:val="en-US"/>
        </w:rPr>
        <w:t>—</w:t>
      </w:r>
      <w:proofErr w:type="spellStart"/>
      <w:r w:rsidRPr="00364184">
        <w:rPr>
          <w:lang w:val="en-US"/>
        </w:rPr>
        <w:t>veya</w:t>
      </w:r>
      <w:proofErr w:type="spellEnd"/>
      <w:r w:rsidRPr="00364184">
        <w:rPr>
          <w:lang w:val="en-US"/>
        </w:rPr>
        <w:t xml:space="preserve"> </w:t>
      </w:r>
      <w:proofErr w:type="spellStart"/>
      <w:r w:rsidRPr="00364184">
        <w:rPr>
          <w:lang w:val="en-US"/>
        </w:rPr>
        <w:t>daha</w:t>
      </w:r>
      <w:proofErr w:type="spellEnd"/>
      <w:r w:rsidRPr="00364184">
        <w:rPr>
          <w:lang w:val="en-US"/>
        </w:rPr>
        <w:t xml:space="preserve"> </w:t>
      </w:r>
      <w:proofErr w:type="spellStart"/>
      <w:r w:rsidRPr="00364184">
        <w:rPr>
          <w:lang w:val="en-US"/>
        </w:rPr>
        <w:t>kötüsü</w:t>
      </w:r>
      <w:proofErr w:type="spellEnd"/>
      <w:r w:rsidRPr="00364184">
        <w:rPr>
          <w:lang w:val="en-US"/>
        </w:rPr>
        <w:t xml:space="preserve">, </w:t>
      </w:r>
      <w:proofErr w:type="spellStart"/>
      <w:r w:rsidRPr="00364184">
        <w:rPr>
          <w:lang w:val="en-US"/>
        </w:rPr>
        <w:t>anayasal</w:t>
      </w:r>
      <w:proofErr w:type="spellEnd"/>
      <w:r w:rsidRPr="00364184">
        <w:rPr>
          <w:lang w:val="en-US"/>
        </w:rPr>
        <w:t xml:space="preserve"> </w:t>
      </w:r>
      <w:proofErr w:type="spellStart"/>
      <w:r w:rsidRPr="00364184">
        <w:rPr>
          <w:lang w:val="en-US"/>
        </w:rPr>
        <w:t>kültüre</w:t>
      </w:r>
      <w:proofErr w:type="spellEnd"/>
      <w:r w:rsidRPr="00364184">
        <w:rPr>
          <w:lang w:val="en-US"/>
        </w:rPr>
        <w:t xml:space="preserve"> </w:t>
      </w:r>
      <w:proofErr w:type="spellStart"/>
      <w:r w:rsidRPr="00364184">
        <w:rPr>
          <w:lang w:val="en-US"/>
        </w:rPr>
        <w:t>dair</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değerlendirmeyi</w:t>
      </w:r>
      <w:proofErr w:type="spellEnd"/>
      <w:r w:rsidRPr="00364184">
        <w:rPr>
          <w:lang w:val="en-US"/>
        </w:rPr>
        <w:t xml:space="preserve"> </w:t>
      </w:r>
      <w:proofErr w:type="spellStart"/>
      <w:r w:rsidRPr="00364184">
        <w:rPr>
          <w:lang w:val="en-US"/>
        </w:rPr>
        <w:t>teorilerine</w:t>
      </w:r>
      <w:proofErr w:type="spellEnd"/>
      <w:r w:rsidRPr="00364184">
        <w:rPr>
          <w:lang w:val="en-US"/>
        </w:rPr>
        <w:t xml:space="preserve"> </w:t>
      </w:r>
      <w:proofErr w:type="spellStart"/>
      <w:r w:rsidRPr="00364184">
        <w:rPr>
          <w:lang w:val="en-US"/>
        </w:rPr>
        <w:t>dahil</w:t>
      </w:r>
      <w:proofErr w:type="spellEnd"/>
      <w:r w:rsidRPr="00364184">
        <w:rPr>
          <w:lang w:val="en-US"/>
        </w:rPr>
        <w:t xml:space="preserve"> </w:t>
      </w:r>
      <w:proofErr w:type="spellStart"/>
      <w:r w:rsidRPr="00364184">
        <w:rPr>
          <w:lang w:val="en-US"/>
        </w:rPr>
        <w:t>edecek</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alan</w:t>
      </w:r>
      <w:proofErr w:type="spellEnd"/>
      <w:r w:rsidRPr="00364184">
        <w:rPr>
          <w:lang w:val="en-US"/>
        </w:rPr>
        <w:t xml:space="preserve"> </w:t>
      </w:r>
      <w:proofErr w:type="spellStart"/>
      <w:r w:rsidRPr="00364184">
        <w:rPr>
          <w:lang w:val="en-US"/>
        </w:rPr>
        <w:t>yaratmadıkları</w:t>
      </w:r>
      <w:proofErr w:type="spellEnd"/>
      <w:r w:rsidRPr="00364184">
        <w:rPr>
          <w:lang w:val="en-US"/>
        </w:rPr>
        <w:t xml:space="preserve"> </w:t>
      </w:r>
      <w:proofErr w:type="spellStart"/>
      <w:r w:rsidRPr="00364184">
        <w:rPr>
          <w:lang w:val="en-US"/>
        </w:rPr>
        <w:t>sürece</w:t>
      </w:r>
      <w:proofErr w:type="spellEnd"/>
      <w:r w:rsidRPr="00364184">
        <w:rPr>
          <w:lang w:val="en-US"/>
        </w:rPr>
        <w:t xml:space="preserve">—hem </w:t>
      </w:r>
      <w:proofErr w:type="spellStart"/>
      <w:r w:rsidRPr="00364184">
        <w:rPr>
          <w:lang w:val="en-US"/>
        </w:rPr>
        <w:t>gelecekte</w:t>
      </w:r>
      <w:proofErr w:type="spellEnd"/>
      <w:r w:rsidRPr="00364184">
        <w:rPr>
          <w:lang w:val="en-US"/>
        </w:rPr>
        <w:t xml:space="preserve"> </w:t>
      </w:r>
      <w:proofErr w:type="spellStart"/>
      <w:r w:rsidRPr="00364184">
        <w:rPr>
          <w:lang w:val="en-US"/>
        </w:rPr>
        <w:t>anayasa</w:t>
      </w:r>
      <w:proofErr w:type="spellEnd"/>
      <w:r w:rsidRPr="00364184">
        <w:rPr>
          <w:lang w:val="en-US"/>
        </w:rPr>
        <w:t xml:space="preserve"> </w:t>
      </w:r>
      <w:proofErr w:type="spellStart"/>
      <w:r w:rsidRPr="00364184">
        <w:rPr>
          <w:lang w:val="en-US"/>
        </w:rPr>
        <w:t>hukuku</w:t>
      </w:r>
      <w:proofErr w:type="spellEnd"/>
      <w:r w:rsidRPr="00364184">
        <w:rPr>
          <w:lang w:val="en-US"/>
        </w:rPr>
        <w:t xml:space="preserve"> </w:t>
      </w:r>
      <w:proofErr w:type="spellStart"/>
      <w:r w:rsidRPr="00364184">
        <w:rPr>
          <w:lang w:val="en-US"/>
        </w:rPr>
        <w:t>gelişmelerini</w:t>
      </w:r>
      <w:proofErr w:type="spellEnd"/>
      <w:r w:rsidRPr="00364184">
        <w:rPr>
          <w:lang w:val="en-US"/>
        </w:rPr>
        <w:t xml:space="preserve"> </w:t>
      </w:r>
      <w:proofErr w:type="spellStart"/>
      <w:r w:rsidRPr="00364184">
        <w:rPr>
          <w:lang w:val="en-US"/>
        </w:rPr>
        <w:t>yanlış</w:t>
      </w:r>
      <w:proofErr w:type="spellEnd"/>
      <w:r w:rsidRPr="00364184">
        <w:rPr>
          <w:lang w:val="en-US"/>
        </w:rPr>
        <w:t xml:space="preserve"> </w:t>
      </w:r>
      <w:proofErr w:type="spellStart"/>
      <w:r w:rsidRPr="00364184">
        <w:rPr>
          <w:lang w:val="en-US"/>
        </w:rPr>
        <w:t>öngörme</w:t>
      </w:r>
      <w:proofErr w:type="spellEnd"/>
      <w:r w:rsidRPr="00364184">
        <w:rPr>
          <w:lang w:val="en-US"/>
        </w:rPr>
        <w:t xml:space="preserve"> hem de </w:t>
      </w:r>
      <w:proofErr w:type="spellStart"/>
      <w:r w:rsidRPr="00364184">
        <w:rPr>
          <w:lang w:val="en-US"/>
        </w:rPr>
        <w:t>geçmişte</w:t>
      </w:r>
      <w:proofErr w:type="spellEnd"/>
      <w:r w:rsidRPr="00364184">
        <w:rPr>
          <w:lang w:val="en-US"/>
        </w:rPr>
        <w:t xml:space="preserve"> </w:t>
      </w:r>
      <w:proofErr w:type="spellStart"/>
      <w:r w:rsidRPr="00364184">
        <w:rPr>
          <w:lang w:val="en-US"/>
        </w:rPr>
        <w:t>oluşan</w:t>
      </w:r>
      <w:proofErr w:type="spellEnd"/>
      <w:r w:rsidRPr="00364184">
        <w:rPr>
          <w:lang w:val="en-US"/>
        </w:rPr>
        <w:t xml:space="preserve"> </w:t>
      </w:r>
      <w:proofErr w:type="spellStart"/>
      <w:r w:rsidRPr="00364184">
        <w:rPr>
          <w:lang w:val="en-US"/>
        </w:rPr>
        <w:t>anayasa</w:t>
      </w:r>
      <w:proofErr w:type="spellEnd"/>
      <w:r w:rsidRPr="00364184">
        <w:rPr>
          <w:lang w:val="en-US"/>
        </w:rPr>
        <w:t xml:space="preserve"> </w:t>
      </w:r>
      <w:proofErr w:type="spellStart"/>
      <w:r w:rsidRPr="00364184">
        <w:rPr>
          <w:lang w:val="en-US"/>
        </w:rPr>
        <w:t>hukuku</w:t>
      </w:r>
      <w:proofErr w:type="spellEnd"/>
      <w:r w:rsidRPr="00364184">
        <w:rPr>
          <w:lang w:val="en-US"/>
        </w:rPr>
        <w:t xml:space="preserve"> </w:t>
      </w:r>
      <w:proofErr w:type="spellStart"/>
      <w:r w:rsidRPr="00364184">
        <w:rPr>
          <w:lang w:val="en-US"/>
        </w:rPr>
        <w:t>doktrinlerini</w:t>
      </w:r>
      <w:proofErr w:type="spellEnd"/>
      <w:r w:rsidRPr="00364184">
        <w:rPr>
          <w:lang w:val="en-US"/>
        </w:rPr>
        <w:t xml:space="preserve"> </w:t>
      </w:r>
      <w:proofErr w:type="spellStart"/>
      <w:r w:rsidRPr="00364184">
        <w:rPr>
          <w:lang w:val="en-US"/>
        </w:rPr>
        <w:t>yanlış</w:t>
      </w:r>
      <w:proofErr w:type="spellEnd"/>
      <w:r w:rsidRPr="00364184">
        <w:rPr>
          <w:lang w:val="en-US"/>
        </w:rPr>
        <w:t xml:space="preserve"> </w:t>
      </w:r>
      <w:proofErr w:type="spellStart"/>
      <w:r w:rsidRPr="00364184">
        <w:rPr>
          <w:lang w:val="en-US"/>
        </w:rPr>
        <w:t>anlama</w:t>
      </w:r>
      <w:proofErr w:type="spellEnd"/>
      <w:r w:rsidRPr="00364184">
        <w:rPr>
          <w:lang w:val="en-US"/>
        </w:rPr>
        <w:t xml:space="preserve"> </w:t>
      </w:r>
      <w:proofErr w:type="spellStart"/>
      <w:r w:rsidRPr="00364184">
        <w:rPr>
          <w:lang w:val="en-US"/>
        </w:rPr>
        <w:t>riskiyle</w:t>
      </w:r>
      <w:proofErr w:type="spellEnd"/>
      <w:r w:rsidRPr="00364184">
        <w:rPr>
          <w:lang w:val="en-US"/>
        </w:rPr>
        <w:t xml:space="preserve"> </w:t>
      </w:r>
      <w:proofErr w:type="spellStart"/>
      <w:r w:rsidRPr="00364184">
        <w:rPr>
          <w:lang w:val="en-US"/>
        </w:rPr>
        <w:t>karşı</w:t>
      </w:r>
      <w:proofErr w:type="spellEnd"/>
      <w:r w:rsidRPr="00364184">
        <w:rPr>
          <w:lang w:val="en-US"/>
        </w:rPr>
        <w:t xml:space="preserve"> </w:t>
      </w:r>
      <w:proofErr w:type="spellStart"/>
      <w:r w:rsidRPr="00364184">
        <w:rPr>
          <w:lang w:val="en-US"/>
        </w:rPr>
        <w:t>karşıya</w:t>
      </w:r>
      <w:proofErr w:type="spellEnd"/>
      <w:r w:rsidRPr="00364184">
        <w:rPr>
          <w:lang w:val="en-US"/>
        </w:rPr>
        <w:t xml:space="preserve"> </w:t>
      </w:r>
      <w:proofErr w:type="spellStart"/>
      <w:r w:rsidRPr="00364184">
        <w:rPr>
          <w:lang w:val="en-US"/>
        </w:rPr>
        <w:t>kalacaktır</w:t>
      </w:r>
      <w:proofErr w:type="spellEnd"/>
      <w:r w:rsidRPr="00364184">
        <w:rPr>
          <w:lang w:val="en-US"/>
        </w:rPr>
        <w:t>.</w:t>
      </w:r>
    </w:p>
    <w:p w14:paraId="78DA4386" w14:textId="750570A9" w:rsidR="00364184" w:rsidRDefault="00226805" w:rsidP="00226805">
      <w:pPr>
        <w:rPr>
          <w:lang w:val="en-US"/>
        </w:rPr>
      </w:pPr>
      <w:r w:rsidRPr="00226805">
        <w:rPr>
          <w:lang w:val="en-US"/>
        </w:rPr>
        <w:t xml:space="preserve">Bu </w:t>
      </w:r>
      <w:proofErr w:type="spellStart"/>
      <w:r w:rsidRPr="00226805">
        <w:rPr>
          <w:lang w:val="en-US"/>
        </w:rPr>
        <w:t>makaledeki</w:t>
      </w:r>
      <w:proofErr w:type="spellEnd"/>
      <w:r w:rsidRPr="00226805">
        <w:rPr>
          <w:lang w:val="en-US"/>
        </w:rPr>
        <w:t xml:space="preserve"> </w:t>
      </w:r>
      <w:proofErr w:type="spellStart"/>
      <w:r w:rsidRPr="00226805">
        <w:rPr>
          <w:lang w:val="en-US"/>
        </w:rPr>
        <w:t>birçok</w:t>
      </w:r>
      <w:proofErr w:type="spellEnd"/>
      <w:r w:rsidRPr="00226805">
        <w:rPr>
          <w:lang w:val="en-US"/>
        </w:rPr>
        <w:t xml:space="preserve"> </w:t>
      </w:r>
      <w:proofErr w:type="spellStart"/>
      <w:r w:rsidRPr="00226805">
        <w:rPr>
          <w:lang w:val="en-US"/>
        </w:rPr>
        <w:t>betimleyici</w:t>
      </w:r>
      <w:proofErr w:type="spellEnd"/>
      <w:r w:rsidRPr="00226805">
        <w:rPr>
          <w:lang w:val="en-US"/>
        </w:rPr>
        <w:t xml:space="preserve"> </w:t>
      </w:r>
      <w:proofErr w:type="spellStart"/>
      <w:r w:rsidRPr="00226805">
        <w:rPr>
          <w:lang w:val="en-US"/>
        </w:rPr>
        <w:t>nokta</w:t>
      </w:r>
      <w:proofErr w:type="spellEnd"/>
      <w:r w:rsidRPr="00226805">
        <w:rPr>
          <w:lang w:val="en-US"/>
        </w:rPr>
        <w:t xml:space="preserve"> </w:t>
      </w:r>
      <w:proofErr w:type="spellStart"/>
      <w:r w:rsidRPr="00226805">
        <w:rPr>
          <w:lang w:val="en-US"/>
        </w:rPr>
        <w:t>gibi</w:t>
      </w:r>
      <w:proofErr w:type="spellEnd"/>
      <w:r w:rsidRPr="00226805">
        <w:rPr>
          <w:lang w:val="en-US"/>
        </w:rPr>
        <w:t xml:space="preserve">, </w:t>
      </w:r>
      <w:proofErr w:type="spellStart"/>
      <w:r w:rsidRPr="00226805">
        <w:rPr>
          <w:lang w:val="en-US"/>
        </w:rPr>
        <w:t>bu</w:t>
      </w:r>
      <w:proofErr w:type="spellEnd"/>
      <w:r w:rsidRPr="00226805">
        <w:rPr>
          <w:lang w:val="en-US"/>
        </w:rPr>
        <w:t xml:space="preserve"> </w:t>
      </w:r>
      <w:proofErr w:type="spellStart"/>
      <w:r w:rsidRPr="00226805">
        <w:rPr>
          <w:lang w:val="en-US"/>
        </w:rPr>
        <w:t>tespit</w:t>
      </w:r>
      <w:proofErr w:type="spellEnd"/>
      <w:r w:rsidRPr="00226805">
        <w:rPr>
          <w:lang w:val="en-US"/>
        </w:rPr>
        <w:t xml:space="preserve"> de </w:t>
      </w:r>
      <w:proofErr w:type="spellStart"/>
      <w:r w:rsidRPr="00226805">
        <w:rPr>
          <w:lang w:val="en-US"/>
        </w:rPr>
        <w:t>normatif</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sonuç</w:t>
      </w:r>
      <w:proofErr w:type="spellEnd"/>
      <w:r w:rsidRPr="00226805">
        <w:rPr>
          <w:lang w:val="en-US"/>
        </w:rPr>
        <w:t xml:space="preserve"> </w:t>
      </w:r>
      <w:proofErr w:type="spellStart"/>
      <w:r w:rsidRPr="00226805">
        <w:rPr>
          <w:lang w:val="en-US"/>
        </w:rPr>
        <w:t>doğurmaktadır</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kurumlar</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normlar</w:t>
      </w:r>
      <w:proofErr w:type="spellEnd"/>
      <w:r w:rsidRPr="00226805">
        <w:rPr>
          <w:lang w:val="en-US"/>
        </w:rPr>
        <w:t xml:space="preserve"> </w:t>
      </w:r>
      <w:proofErr w:type="spellStart"/>
      <w:r w:rsidRPr="00226805">
        <w:rPr>
          <w:lang w:val="en-US"/>
        </w:rPr>
        <w:t>sürekli</w:t>
      </w:r>
      <w:proofErr w:type="spellEnd"/>
      <w:r w:rsidRPr="00226805">
        <w:rPr>
          <w:lang w:val="en-US"/>
        </w:rPr>
        <w:t xml:space="preserve"> </w:t>
      </w:r>
      <w:proofErr w:type="spellStart"/>
      <w:r w:rsidRPr="00226805">
        <w:rPr>
          <w:lang w:val="en-US"/>
        </w:rPr>
        <w:t>değişim</w:t>
      </w:r>
      <w:proofErr w:type="spellEnd"/>
      <w:r w:rsidRPr="00226805">
        <w:rPr>
          <w:lang w:val="en-US"/>
        </w:rPr>
        <w:t xml:space="preserve"> </w:t>
      </w:r>
      <w:proofErr w:type="spellStart"/>
      <w:r w:rsidRPr="00226805">
        <w:rPr>
          <w:lang w:val="en-US"/>
        </w:rPr>
        <w:t>hâlinde</w:t>
      </w:r>
      <w:proofErr w:type="spellEnd"/>
      <w:r w:rsidRPr="00226805">
        <w:rPr>
          <w:lang w:val="en-US"/>
        </w:rPr>
        <w:t xml:space="preserve"> </w:t>
      </w:r>
      <w:proofErr w:type="spellStart"/>
      <w:r w:rsidRPr="00226805">
        <w:rPr>
          <w:lang w:val="en-US"/>
        </w:rPr>
        <w:t>olduğundan</w:t>
      </w:r>
      <w:proofErr w:type="spellEnd"/>
      <w:r w:rsidRPr="00226805">
        <w:rPr>
          <w:lang w:val="en-US"/>
        </w:rPr>
        <w:t xml:space="preserve">, </w:t>
      </w:r>
      <w:proofErr w:type="spellStart"/>
      <w:r w:rsidRPr="00226805">
        <w:rPr>
          <w:lang w:val="en-US"/>
        </w:rPr>
        <w:t>çağdaş</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aktörlerin</w:t>
      </w:r>
      <w:proofErr w:type="spellEnd"/>
      <w:r w:rsidRPr="00226805">
        <w:rPr>
          <w:lang w:val="en-US"/>
        </w:rPr>
        <w:t xml:space="preserve"> </w:t>
      </w:r>
      <w:proofErr w:type="spellStart"/>
      <w:r w:rsidRPr="00226805">
        <w:rPr>
          <w:lang w:val="en-US"/>
        </w:rPr>
        <w:t>eylemlerini</w:t>
      </w:r>
      <w:proofErr w:type="spellEnd"/>
      <w:r w:rsidRPr="00226805">
        <w:rPr>
          <w:lang w:val="en-US"/>
        </w:rPr>
        <w:t xml:space="preserve"> </w:t>
      </w:r>
      <w:proofErr w:type="spellStart"/>
      <w:r w:rsidRPr="00226805">
        <w:rPr>
          <w:lang w:val="en-US"/>
        </w:rPr>
        <w:t>anakronistik</w:t>
      </w:r>
      <w:proofErr w:type="spellEnd"/>
      <w:r w:rsidRPr="00226805">
        <w:rPr>
          <w:lang w:val="en-US"/>
        </w:rPr>
        <w:t xml:space="preserve"> </w:t>
      </w:r>
      <w:proofErr w:type="spellStart"/>
      <w:r w:rsidRPr="00226805">
        <w:rPr>
          <w:lang w:val="en-US"/>
        </w:rPr>
        <w:t>ölçütlerle</w:t>
      </w:r>
      <w:proofErr w:type="spellEnd"/>
      <w:r w:rsidRPr="00226805">
        <w:rPr>
          <w:lang w:val="en-US"/>
        </w:rPr>
        <w:t xml:space="preserve"> </w:t>
      </w:r>
      <w:proofErr w:type="spellStart"/>
      <w:r w:rsidRPr="00226805">
        <w:rPr>
          <w:lang w:val="en-US"/>
        </w:rPr>
        <w:t>değerlendirmemek</w:t>
      </w:r>
      <w:proofErr w:type="spellEnd"/>
      <w:r w:rsidRPr="00226805">
        <w:rPr>
          <w:lang w:val="en-US"/>
        </w:rPr>
        <w:t xml:space="preserve"> </w:t>
      </w:r>
      <w:proofErr w:type="spellStart"/>
      <w:r w:rsidRPr="00226805">
        <w:rPr>
          <w:lang w:val="en-US"/>
        </w:rPr>
        <w:t>gerekir</w:t>
      </w:r>
      <w:proofErr w:type="spellEnd"/>
      <w:r w:rsidRPr="00226805">
        <w:rPr>
          <w:lang w:val="en-US"/>
        </w:rPr>
        <w:t>.</w:t>
      </w:r>
      <w:r>
        <w:rPr>
          <w:lang w:val="en-US"/>
        </w:rPr>
        <w:t xml:space="preserve"> </w:t>
      </w:r>
      <w:proofErr w:type="spellStart"/>
      <w:r w:rsidRPr="00226805">
        <w:rPr>
          <w:lang w:val="en-US"/>
        </w:rPr>
        <w:t>Anayasa</w:t>
      </w:r>
      <w:proofErr w:type="spellEnd"/>
      <w:r w:rsidRPr="00226805">
        <w:rPr>
          <w:lang w:val="en-US"/>
        </w:rPr>
        <w:t xml:space="preserve"> </w:t>
      </w:r>
      <w:proofErr w:type="spellStart"/>
      <w:r w:rsidRPr="00226805">
        <w:rPr>
          <w:lang w:val="en-US"/>
        </w:rPr>
        <w:t>hukukunun</w:t>
      </w:r>
      <w:proofErr w:type="spellEnd"/>
      <w:r w:rsidRPr="00226805">
        <w:rPr>
          <w:lang w:val="en-US"/>
        </w:rPr>
        <w:t xml:space="preserve"> </w:t>
      </w:r>
      <w:proofErr w:type="spellStart"/>
      <w:r w:rsidRPr="00226805">
        <w:rPr>
          <w:lang w:val="en-US"/>
        </w:rPr>
        <w:t>önde</w:t>
      </w:r>
      <w:proofErr w:type="spellEnd"/>
      <w:r w:rsidRPr="00226805">
        <w:rPr>
          <w:lang w:val="en-US"/>
        </w:rPr>
        <w:t xml:space="preserve"> </w:t>
      </w:r>
      <w:proofErr w:type="spellStart"/>
      <w:r w:rsidRPr="00226805">
        <w:rPr>
          <w:lang w:val="en-US"/>
        </w:rPr>
        <w:t>gelen</w:t>
      </w:r>
      <w:proofErr w:type="spellEnd"/>
      <w:r w:rsidRPr="00226805">
        <w:rPr>
          <w:lang w:val="en-US"/>
        </w:rPr>
        <w:t xml:space="preserve"> </w:t>
      </w:r>
      <w:proofErr w:type="spellStart"/>
      <w:r w:rsidRPr="00226805">
        <w:rPr>
          <w:lang w:val="en-US"/>
        </w:rPr>
        <w:t>isimlerinden</w:t>
      </w:r>
      <w:proofErr w:type="spellEnd"/>
      <w:r w:rsidRPr="00226805">
        <w:rPr>
          <w:lang w:val="en-US"/>
        </w:rPr>
        <w:t xml:space="preserve"> </w:t>
      </w:r>
      <w:proofErr w:type="spellStart"/>
      <w:r w:rsidRPr="00226805">
        <w:rPr>
          <w:lang w:val="en-US"/>
        </w:rPr>
        <w:t>birçoğu</w:t>
      </w:r>
      <w:proofErr w:type="spellEnd"/>
      <w:r w:rsidRPr="00226805">
        <w:rPr>
          <w:lang w:val="en-US"/>
        </w:rPr>
        <w:t xml:space="preserve">, </w:t>
      </w:r>
      <w:proofErr w:type="spellStart"/>
      <w:r w:rsidRPr="00226805">
        <w:rPr>
          <w:lang w:val="en-US"/>
        </w:rPr>
        <w:t>bireysel</w:t>
      </w:r>
      <w:proofErr w:type="spellEnd"/>
      <w:r w:rsidRPr="00226805">
        <w:rPr>
          <w:lang w:val="en-US"/>
        </w:rPr>
        <w:t xml:space="preserve"> </w:t>
      </w:r>
      <w:proofErr w:type="spellStart"/>
      <w:r w:rsidRPr="00226805">
        <w:rPr>
          <w:lang w:val="en-US"/>
        </w:rPr>
        <w:t>sağlık</w:t>
      </w:r>
      <w:proofErr w:type="spellEnd"/>
      <w:r w:rsidRPr="00226805">
        <w:rPr>
          <w:lang w:val="en-US"/>
        </w:rPr>
        <w:t xml:space="preserve"> </w:t>
      </w:r>
      <w:proofErr w:type="spellStart"/>
      <w:r w:rsidRPr="00226805">
        <w:rPr>
          <w:lang w:val="en-US"/>
        </w:rPr>
        <w:t>sigortası</w:t>
      </w:r>
      <w:proofErr w:type="spellEnd"/>
      <w:r w:rsidRPr="00226805">
        <w:rPr>
          <w:lang w:val="en-US"/>
        </w:rPr>
        <w:t xml:space="preserve"> </w:t>
      </w:r>
      <w:proofErr w:type="spellStart"/>
      <w:r w:rsidRPr="00226805">
        <w:rPr>
          <w:lang w:val="en-US"/>
        </w:rPr>
        <w:t>zorunluluğuna</w:t>
      </w:r>
      <w:proofErr w:type="spellEnd"/>
      <w:r w:rsidRPr="00226805">
        <w:rPr>
          <w:lang w:val="en-US"/>
        </w:rPr>
        <w:t xml:space="preserve"> </w:t>
      </w:r>
      <w:proofErr w:type="spellStart"/>
      <w:r w:rsidRPr="00226805">
        <w:rPr>
          <w:lang w:val="en-US"/>
        </w:rPr>
        <w:t>karşı</w:t>
      </w:r>
      <w:proofErr w:type="spellEnd"/>
      <w:r w:rsidRPr="00226805">
        <w:rPr>
          <w:lang w:val="en-US"/>
        </w:rPr>
        <w:t xml:space="preserve"> </w:t>
      </w:r>
      <w:proofErr w:type="spellStart"/>
      <w:r w:rsidRPr="00226805">
        <w:rPr>
          <w:lang w:val="en-US"/>
        </w:rPr>
        <w:t>alışılmadık</w:t>
      </w:r>
      <w:proofErr w:type="spellEnd"/>
      <w:r w:rsidRPr="00226805">
        <w:rPr>
          <w:lang w:val="en-US"/>
        </w:rPr>
        <w:t xml:space="preserve"> </w:t>
      </w:r>
      <w:proofErr w:type="spellStart"/>
      <w:r w:rsidRPr="00226805">
        <w:rPr>
          <w:lang w:val="en-US"/>
        </w:rPr>
        <w:t>yöntemlerle</w:t>
      </w:r>
      <w:proofErr w:type="spellEnd"/>
      <w:r w:rsidRPr="00226805">
        <w:rPr>
          <w:lang w:val="en-US"/>
        </w:rPr>
        <w:t xml:space="preserve"> </w:t>
      </w:r>
      <w:proofErr w:type="spellStart"/>
      <w:r w:rsidRPr="00226805">
        <w:rPr>
          <w:lang w:val="en-US"/>
        </w:rPr>
        <w:t>strateji</w:t>
      </w:r>
      <w:proofErr w:type="spellEnd"/>
      <w:r w:rsidRPr="00226805">
        <w:rPr>
          <w:lang w:val="en-US"/>
        </w:rPr>
        <w:t xml:space="preserve"> </w:t>
      </w:r>
      <w:proofErr w:type="spellStart"/>
      <w:r w:rsidRPr="00226805">
        <w:rPr>
          <w:lang w:val="en-US"/>
        </w:rPr>
        <w:t>geliştiren</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mevcut</w:t>
      </w:r>
      <w:proofErr w:type="spellEnd"/>
      <w:r w:rsidRPr="00226805">
        <w:rPr>
          <w:lang w:val="en-US"/>
        </w:rPr>
        <w:t xml:space="preserve"> </w:t>
      </w:r>
      <w:proofErr w:type="spellStart"/>
      <w:r w:rsidRPr="00226805">
        <w:rPr>
          <w:lang w:val="en-US"/>
        </w:rPr>
        <w:t>içtihatların</w:t>
      </w:r>
      <w:proofErr w:type="spellEnd"/>
      <w:r w:rsidRPr="00226805">
        <w:rPr>
          <w:lang w:val="en-US"/>
        </w:rPr>
        <w:t xml:space="preserve"> </w:t>
      </w:r>
      <w:proofErr w:type="spellStart"/>
      <w:r w:rsidRPr="00226805">
        <w:rPr>
          <w:lang w:val="en-US"/>
        </w:rPr>
        <w:t>bu</w:t>
      </w:r>
      <w:proofErr w:type="spellEnd"/>
      <w:r w:rsidRPr="00226805">
        <w:rPr>
          <w:lang w:val="en-US"/>
        </w:rPr>
        <w:t xml:space="preserve"> </w:t>
      </w:r>
      <w:proofErr w:type="spellStart"/>
      <w:r w:rsidRPr="00226805">
        <w:rPr>
          <w:lang w:val="en-US"/>
        </w:rPr>
        <w:t>itirazı</w:t>
      </w:r>
      <w:proofErr w:type="spellEnd"/>
      <w:r w:rsidRPr="00226805">
        <w:rPr>
          <w:lang w:val="en-US"/>
        </w:rPr>
        <w:t xml:space="preserve"> </w:t>
      </w:r>
      <w:proofErr w:type="spellStart"/>
      <w:r w:rsidRPr="00226805">
        <w:rPr>
          <w:lang w:val="en-US"/>
        </w:rPr>
        <w:t>geçersiz</w:t>
      </w:r>
      <w:proofErr w:type="spellEnd"/>
      <w:r w:rsidRPr="00226805">
        <w:rPr>
          <w:lang w:val="en-US"/>
        </w:rPr>
        <w:t xml:space="preserve"> </w:t>
      </w:r>
      <w:proofErr w:type="spellStart"/>
      <w:r w:rsidRPr="00226805">
        <w:rPr>
          <w:lang w:val="en-US"/>
        </w:rPr>
        <w:t>kıldığı</w:t>
      </w:r>
      <w:proofErr w:type="spellEnd"/>
      <w:r w:rsidRPr="00226805">
        <w:rPr>
          <w:lang w:val="en-US"/>
        </w:rPr>
        <w:t xml:space="preserve"> </w:t>
      </w:r>
      <w:proofErr w:type="spellStart"/>
      <w:r w:rsidRPr="00226805">
        <w:rPr>
          <w:lang w:val="en-US"/>
        </w:rPr>
        <w:t>yönündeki</w:t>
      </w:r>
      <w:proofErr w:type="spellEnd"/>
      <w:r w:rsidRPr="00226805">
        <w:rPr>
          <w:lang w:val="en-US"/>
        </w:rPr>
        <w:t xml:space="preserve"> </w:t>
      </w:r>
      <w:proofErr w:type="spellStart"/>
      <w:r w:rsidRPr="00226805">
        <w:rPr>
          <w:lang w:val="en-US"/>
        </w:rPr>
        <w:t>güçlü</w:t>
      </w:r>
      <w:proofErr w:type="spellEnd"/>
      <w:r w:rsidRPr="00226805">
        <w:rPr>
          <w:lang w:val="en-US"/>
        </w:rPr>
        <w:t xml:space="preserve"> </w:t>
      </w:r>
      <w:proofErr w:type="spellStart"/>
      <w:r w:rsidRPr="00226805">
        <w:rPr>
          <w:lang w:val="en-US"/>
        </w:rPr>
        <w:t>mesleki</w:t>
      </w:r>
      <w:proofErr w:type="spellEnd"/>
      <w:r w:rsidRPr="00226805">
        <w:rPr>
          <w:lang w:val="en-US"/>
        </w:rPr>
        <w:t xml:space="preserve"> </w:t>
      </w:r>
      <w:proofErr w:type="spellStart"/>
      <w:r w:rsidRPr="00226805">
        <w:rPr>
          <w:lang w:val="en-US"/>
        </w:rPr>
        <w:t>mutabakata</w:t>
      </w:r>
      <w:proofErr w:type="spellEnd"/>
      <w:r w:rsidRPr="00226805">
        <w:rPr>
          <w:lang w:val="en-US"/>
        </w:rPr>
        <w:t xml:space="preserve"> </w:t>
      </w:r>
      <w:proofErr w:type="spellStart"/>
      <w:r w:rsidRPr="00226805">
        <w:rPr>
          <w:lang w:val="en-US"/>
        </w:rPr>
        <w:t>rağmen</w:t>
      </w:r>
      <w:proofErr w:type="spellEnd"/>
      <w:r w:rsidRPr="00226805">
        <w:rPr>
          <w:lang w:val="en-US"/>
        </w:rPr>
        <w:t xml:space="preserve"> </w:t>
      </w:r>
      <w:proofErr w:type="spellStart"/>
      <w:r w:rsidRPr="00226805">
        <w:rPr>
          <w:lang w:val="en-US"/>
        </w:rPr>
        <w:t>savunularını</w:t>
      </w:r>
      <w:proofErr w:type="spellEnd"/>
      <w:r w:rsidRPr="00226805">
        <w:rPr>
          <w:lang w:val="en-US"/>
        </w:rPr>
        <w:t xml:space="preserve"> </w:t>
      </w:r>
      <w:proofErr w:type="spellStart"/>
      <w:r w:rsidRPr="00226805">
        <w:rPr>
          <w:lang w:val="en-US"/>
        </w:rPr>
        <w:t>ısrarla</w:t>
      </w:r>
      <w:proofErr w:type="spellEnd"/>
      <w:r w:rsidRPr="00226805">
        <w:rPr>
          <w:lang w:val="en-US"/>
        </w:rPr>
        <w:t xml:space="preserve"> </w:t>
      </w:r>
      <w:proofErr w:type="spellStart"/>
      <w:r w:rsidRPr="00226805">
        <w:rPr>
          <w:lang w:val="en-US"/>
        </w:rPr>
        <w:t>sürdüren</w:t>
      </w:r>
      <w:proofErr w:type="spellEnd"/>
      <w:r w:rsidRPr="00226805">
        <w:rPr>
          <w:lang w:val="en-US"/>
        </w:rPr>
        <w:t xml:space="preserve"> </w:t>
      </w:r>
      <w:proofErr w:type="spellStart"/>
      <w:r w:rsidRPr="00226805">
        <w:rPr>
          <w:lang w:val="en-US"/>
        </w:rPr>
        <w:t>akademisyenlerin</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avukatların</w:t>
      </w:r>
      <w:proofErr w:type="spellEnd"/>
      <w:r w:rsidRPr="00226805">
        <w:rPr>
          <w:lang w:val="en-US"/>
        </w:rPr>
        <w:t xml:space="preserve"> </w:t>
      </w:r>
      <w:proofErr w:type="spellStart"/>
      <w:r w:rsidRPr="00226805">
        <w:rPr>
          <w:lang w:val="en-US"/>
        </w:rPr>
        <w:t>davranışlarını</w:t>
      </w:r>
      <w:proofErr w:type="spellEnd"/>
      <w:r w:rsidRPr="00226805">
        <w:rPr>
          <w:lang w:val="en-US"/>
        </w:rPr>
        <w:t xml:space="preserve"> </w:t>
      </w:r>
      <w:proofErr w:type="spellStart"/>
      <w:r w:rsidRPr="00226805">
        <w:rPr>
          <w:lang w:val="en-US"/>
        </w:rPr>
        <w:t>eleştirel</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gözle</w:t>
      </w:r>
      <w:proofErr w:type="spellEnd"/>
      <w:r w:rsidRPr="00226805">
        <w:rPr>
          <w:lang w:val="en-US"/>
        </w:rPr>
        <w:t xml:space="preserve"> </w:t>
      </w:r>
      <w:proofErr w:type="spellStart"/>
      <w:r w:rsidRPr="00226805">
        <w:rPr>
          <w:lang w:val="en-US"/>
        </w:rPr>
        <w:t>değerlendirmiştir</w:t>
      </w:r>
      <w:proofErr w:type="spellEnd"/>
      <w:r w:rsidRPr="00226805">
        <w:rPr>
          <w:lang w:val="en-US"/>
        </w:rPr>
        <w:t xml:space="preserve"> (</w:t>
      </w:r>
      <w:proofErr w:type="spellStart"/>
      <w:r w:rsidRPr="00226805">
        <w:rPr>
          <w:lang w:val="en-US"/>
        </w:rPr>
        <w:t>veya</w:t>
      </w:r>
      <w:proofErr w:type="spellEnd"/>
      <w:r w:rsidRPr="00226805">
        <w:rPr>
          <w:lang w:val="en-US"/>
        </w:rPr>
        <w:t xml:space="preserve"> </w:t>
      </w:r>
      <w:proofErr w:type="spellStart"/>
      <w:r w:rsidRPr="00226805">
        <w:rPr>
          <w:lang w:val="en-US"/>
        </w:rPr>
        <w:t>bu</w:t>
      </w:r>
      <w:proofErr w:type="spellEnd"/>
      <w:r w:rsidRPr="00226805">
        <w:rPr>
          <w:lang w:val="en-US"/>
        </w:rPr>
        <w:t xml:space="preserve"> yeni </w:t>
      </w:r>
      <w:proofErr w:type="spellStart"/>
      <w:r w:rsidRPr="00226805">
        <w:rPr>
          <w:lang w:val="en-US"/>
        </w:rPr>
        <w:t>argümanları</w:t>
      </w:r>
      <w:proofErr w:type="spellEnd"/>
      <w:r w:rsidRPr="00226805">
        <w:rPr>
          <w:lang w:val="en-US"/>
        </w:rPr>
        <w:t xml:space="preserve"> </w:t>
      </w:r>
      <w:proofErr w:type="spellStart"/>
      <w:r w:rsidRPr="00226805">
        <w:rPr>
          <w:lang w:val="en-US"/>
        </w:rPr>
        <w:t>kabul</w:t>
      </w:r>
      <w:proofErr w:type="spellEnd"/>
      <w:r w:rsidRPr="00226805">
        <w:rPr>
          <w:lang w:val="en-US"/>
        </w:rPr>
        <w:t xml:space="preserve"> </w:t>
      </w:r>
      <w:proofErr w:type="spellStart"/>
      <w:r w:rsidRPr="00226805">
        <w:rPr>
          <w:lang w:val="en-US"/>
        </w:rPr>
        <w:t>eden</w:t>
      </w:r>
      <w:proofErr w:type="spellEnd"/>
      <w:r w:rsidRPr="00226805">
        <w:rPr>
          <w:lang w:val="en-US"/>
        </w:rPr>
        <w:t xml:space="preserve"> </w:t>
      </w:r>
      <w:proofErr w:type="spellStart"/>
      <w:r w:rsidRPr="00226805">
        <w:rPr>
          <w:lang w:val="en-US"/>
        </w:rPr>
        <w:t>yargıçların</w:t>
      </w:r>
      <w:proofErr w:type="spellEnd"/>
      <w:r w:rsidRPr="00226805">
        <w:rPr>
          <w:lang w:val="en-US"/>
        </w:rPr>
        <w:t xml:space="preserve"> </w:t>
      </w:r>
      <w:proofErr w:type="spellStart"/>
      <w:r w:rsidRPr="00226805">
        <w:rPr>
          <w:lang w:val="en-US"/>
        </w:rPr>
        <w:t>tutumlarını</w:t>
      </w:r>
      <w:proofErr w:type="spellEnd"/>
      <w:r w:rsidRPr="00226805">
        <w:rPr>
          <w:lang w:val="en-US"/>
        </w:rPr>
        <w:t xml:space="preserve"> </w:t>
      </w:r>
      <w:proofErr w:type="spellStart"/>
      <w:r w:rsidRPr="00226805">
        <w:rPr>
          <w:lang w:val="en-US"/>
        </w:rPr>
        <w:t>sorgulamıştır</w:t>
      </w:r>
      <w:proofErr w:type="spellEnd"/>
      <w:r w:rsidRPr="00226805">
        <w:rPr>
          <w:lang w:val="en-US"/>
        </w:rPr>
        <w:t>).¹⁴⁵</w:t>
      </w:r>
      <w:r>
        <w:rPr>
          <w:lang w:val="en-US"/>
        </w:rPr>
        <w:t xml:space="preserve"> </w:t>
      </w:r>
      <w:r>
        <w:rPr>
          <w:rStyle w:val="FootnoteReference"/>
          <w:lang w:val="en-US"/>
        </w:rPr>
        <w:footnoteReference w:id="145"/>
      </w:r>
      <w:r w:rsidRPr="00226805">
        <w:rPr>
          <w:lang w:val="en-US"/>
        </w:rPr>
        <w:t xml:space="preserve"> </w:t>
      </w:r>
      <w:proofErr w:type="spellStart"/>
      <w:r w:rsidRPr="00226805">
        <w:rPr>
          <w:lang w:val="en-US"/>
        </w:rPr>
        <w:t>Ancak</w:t>
      </w:r>
      <w:proofErr w:type="spellEnd"/>
      <w:r w:rsidRPr="00226805">
        <w:rPr>
          <w:lang w:val="en-US"/>
        </w:rPr>
        <w:t xml:space="preserve">, </w:t>
      </w:r>
      <w:proofErr w:type="spellStart"/>
      <w:r w:rsidRPr="00226805">
        <w:rPr>
          <w:lang w:val="en-US"/>
        </w:rPr>
        <w:t>bu</w:t>
      </w:r>
      <w:proofErr w:type="spellEnd"/>
      <w:r w:rsidRPr="00226805">
        <w:rPr>
          <w:lang w:val="en-US"/>
        </w:rPr>
        <w:t xml:space="preserve"> </w:t>
      </w:r>
      <w:proofErr w:type="spellStart"/>
      <w:r w:rsidRPr="00226805">
        <w:rPr>
          <w:lang w:val="en-US"/>
        </w:rPr>
        <w:t>tür</w:t>
      </w:r>
      <w:proofErr w:type="spellEnd"/>
      <w:r w:rsidRPr="00226805">
        <w:rPr>
          <w:lang w:val="en-US"/>
        </w:rPr>
        <w:t xml:space="preserve"> </w:t>
      </w:r>
      <w:proofErr w:type="spellStart"/>
      <w:r w:rsidRPr="00226805">
        <w:rPr>
          <w:lang w:val="en-US"/>
        </w:rPr>
        <w:t>eleştirilerde</w:t>
      </w:r>
      <w:proofErr w:type="spellEnd"/>
      <w:r w:rsidRPr="00226805">
        <w:rPr>
          <w:lang w:val="en-US"/>
        </w:rPr>
        <w:t xml:space="preserve"> </w:t>
      </w:r>
      <w:proofErr w:type="spellStart"/>
      <w:r w:rsidRPr="00226805">
        <w:rPr>
          <w:lang w:val="en-US"/>
        </w:rPr>
        <w:t>bulunurken</w:t>
      </w:r>
      <w:proofErr w:type="spellEnd"/>
      <w:r w:rsidRPr="00226805">
        <w:rPr>
          <w:lang w:val="en-US"/>
        </w:rPr>
        <w:t xml:space="preserve"> </w:t>
      </w:r>
      <w:proofErr w:type="spellStart"/>
      <w:r w:rsidRPr="00226805">
        <w:rPr>
          <w:lang w:val="en-US"/>
        </w:rPr>
        <w:t>genellikle</w:t>
      </w:r>
      <w:proofErr w:type="spellEnd"/>
      <w:r w:rsidRPr="00226805">
        <w:rPr>
          <w:lang w:val="en-US"/>
        </w:rPr>
        <w:t xml:space="preserve">, </w:t>
      </w:r>
      <w:proofErr w:type="spellStart"/>
      <w:r w:rsidRPr="00226805">
        <w:rPr>
          <w:lang w:val="en-US"/>
        </w:rPr>
        <w:t>yargıçların</w:t>
      </w:r>
      <w:proofErr w:type="spellEnd"/>
      <w:r w:rsidRPr="00226805">
        <w:rPr>
          <w:lang w:val="en-US"/>
        </w:rPr>
        <w:t xml:space="preserve"> </w:t>
      </w:r>
      <w:proofErr w:type="spellStart"/>
      <w:r w:rsidRPr="00226805">
        <w:rPr>
          <w:lang w:val="en-US"/>
        </w:rPr>
        <w:t>rolü</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dava</w:t>
      </w:r>
      <w:proofErr w:type="spellEnd"/>
      <w:r w:rsidRPr="00226805">
        <w:rPr>
          <w:lang w:val="en-US"/>
        </w:rPr>
        <w:t xml:space="preserve"> </w:t>
      </w:r>
      <w:proofErr w:type="spellStart"/>
      <w:r w:rsidRPr="00226805">
        <w:rPr>
          <w:lang w:val="en-US"/>
        </w:rPr>
        <w:t>süreçlerinin</w:t>
      </w:r>
      <w:proofErr w:type="spellEnd"/>
      <w:r w:rsidRPr="00226805">
        <w:rPr>
          <w:lang w:val="en-US"/>
        </w:rPr>
        <w:t xml:space="preserve"> </w:t>
      </w:r>
      <w:proofErr w:type="spellStart"/>
      <w:r w:rsidRPr="00226805">
        <w:rPr>
          <w:lang w:val="en-US"/>
        </w:rPr>
        <w:t>doğası</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doktrinin</w:t>
      </w:r>
      <w:proofErr w:type="spellEnd"/>
      <w:r w:rsidRPr="00226805">
        <w:rPr>
          <w:lang w:val="en-US"/>
        </w:rPr>
        <w:t xml:space="preserve"> </w:t>
      </w:r>
      <w:proofErr w:type="spellStart"/>
      <w:r w:rsidRPr="00226805">
        <w:rPr>
          <w:lang w:val="en-US"/>
        </w:rPr>
        <w:t>yapısı</w:t>
      </w:r>
      <w:proofErr w:type="spellEnd"/>
      <w:r w:rsidRPr="00226805">
        <w:rPr>
          <w:lang w:val="en-US"/>
        </w:rPr>
        <w:t xml:space="preserve"> </w:t>
      </w:r>
      <w:proofErr w:type="spellStart"/>
      <w:r w:rsidRPr="00226805">
        <w:rPr>
          <w:lang w:val="en-US"/>
        </w:rPr>
        <w:t>hakkında</w:t>
      </w:r>
      <w:proofErr w:type="spellEnd"/>
      <w:r w:rsidRPr="00226805">
        <w:rPr>
          <w:lang w:val="en-US"/>
        </w:rPr>
        <w:t>—</w:t>
      </w:r>
      <w:proofErr w:type="spellStart"/>
      <w:r w:rsidRPr="00226805">
        <w:rPr>
          <w:lang w:val="en-US"/>
        </w:rPr>
        <w:t>belirli</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döneme</w:t>
      </w:r>
      <w:proofErr w:type="spellEnd"/>
      <w:r w:rsidRPr="00226805">
        <w:rPr>
          <w:lang w:val="en-US"/>
        </w:rPr>
        <w:t xml:space="preserve"> </w:t>
      </w:r>
      <w:proofErr w:type="spellStart"/>
      <w:r w:rsidRPr="00226805">
        <w:rPr>
          <w:lang w:val="en-US"/>
        </w:rPr>
        <w:t>özgü</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belki</w:t>
      </w:r>
      <w:proofErr w:type="spellEnd"/>
      <w:r w:rsidRPr="00226805">
        <w:rPr>
          <w:lang w:val="en-US"/>
        </w:rPr>
        <w:t xml:space="preserve"> de Amerikan </w:t>
      </w:r>
      <w:proofErr w:type="spellStart"/>
      <w:r w:rsidRPr="00226805">
        <w:rPr>
          <w:lang w:val="en-US"/>
        </w:rPr>
        <w:t>deneyimiyle</w:t>
      </w:r>
      <w:proofErr w:type="spellEnd"/>
      <w:r w:rsidRPr="00226805">
        <w:rPr>
          <w:lang w:val="en-US"/>
        </w:rPr>
        <w:t xml:space="preserve"> </w:t>
      </w:r>
      <w:proofErr w:type="spellStart"/>
      <w:r w:rsidRPr="00226805">
        <w:rPr>
          <w:lang w:val="en-US"/>
        </w:rPr>
        <w:t>geniş</w:t>
      </w:r>
      <w:proofErr w:type="spellEnd"/>
      <w:r w:rsidRPr="00226805">
        <w:rPr>
          <w:lang w:val="en-US"/>
        </w:rPr>
        <w:t xml:space="preserve"> </w:t>
      </w:r>
      <w:proofErr w:type="spellStart"/>
      <w:r w:rsidRPr="00226805">
        <w:rPr>
          <w:lang w:val="en-US"/>
        </w:rPr>
        <w:t>ölçüde</w:t>
      </w:r>
      <w:proofErr w:type="spellEnd"/>
      <w:r w:rsidRPr="00226805">
        <w:rPr>
          <w:lang w:val="en-US"/>
        </w:rPr>
        <w:t xml:space="preserve"> </w:t>
      </w:r>
      <w:proofErr w:type="spellStart"/>
      <w:r w:rsidRPr="00226805">
        <w:rPr>
          <w:lang w:val="en-US"/>
        </w:rPr>
        <w:t>örtüşen</w:t>
      </w:r>
      <w:proofErr w:type="spellEnd"/>
      <w:r w:rsidRPr="00226805">
        <w:rPr>
          <w:lang w:val="en-US"/>
        </w:rPr>
        <w:t xml:space="preserve">, </w:t>
      </w:r>
      <w:proofErr w:type="spellStart"/>
      <w:r w:rsidRPr="00226805">
        <w:rPr>
          <w:lang w:val="en-US"/>
        </w:rPr>
        <w:t>ancak</w:t>
      </w:r>
      <w:proofErr w:type="spellEnd"/>
      <w:r w:rsidRPr="00226805">
        <w:rPr>
          <w:lang w:val="en-US"/>
        </w:rPr>
        <w:t xml:space="preserve"> ne </w:t>
      </w:r>
      <w:proofErr w:type="spellStart"/>
      <w:r w:rsidRPr="00226805">
        <w:rPr>
          <w:lang w:val="en-US"/>
        </w:rPr>
        <w:t>zamansız</w:t>
      </w:r>
      <w:proofErr w:type="spellEnd"/>
      <w:r w:rsidRPr="00226805">
        <w:rPr>
          <w:lang w:val="en-US"/>
        </w:rPr>
        <w:t xml:space="preserve"> ne de </w:t>
      </w:r>
      <w:proofErr w:type="spellStart"/>
      <w:r w:rsidRPr="00226805">
        <w:rPr>
          <w:lang w:val="en-US"/>
        </w:rPr>
        <w:t>tartışmasız</w:t>
      </w:r>
      <w:proofErr w:type="spellEnd"/>
      <w:r w:rsidRPr="00226805">
        <w:rPr>
          <w:lang w:val="en-US"/>
        </w:rPr>
        <w:t xml:space="preserve"> </w:t>
      </w:r>
      <w:proofErr w:type="spellStart"/>
      <w:r w:rsidRPr="00226805">
        <w:rPr>
          <w:lang w:val="en-US"/>
        </w:rPr>
        <w:t>olan</w:t>
      </w:r>
      <w:proofErr w:type="spellEnd"/>
      <w:r w:rsidRPr="00226805">
        <w:rPr>
          <w:lang w:val="en-US"/>
        </w:rPr>
        <w:t>—</w:t>
      </w:r>
      <w:proofErr w:type="spellStart"/>
      <w:r w:rsidRPr="00226805">
        <w:rPr>
          <w:lang w:val="en-US"/>
        </w:rPr>
        <w:t>fikirlerden</w:t>
      </w:r>
      <w:proofErr w:type="spellEnd"/>
      <w:r w:rsidRPr="00226805">
        <w:rPr>
          <w:lang w:val="en-US"/>
        </w:rPr>
        <w:t xml:space="preserve"> </w:t>
      </w:r>
      <w:proofErr w:type="spellStart"/>
      <w:r w:rsidRPr="00226805">
        <w:rPr>
          <w:lang w:val="en-US"/>
        </w:rPr>
        <w:t>hareket</w:t>
      </w:r>
      <w:proofErr w:type="spellEnd"/>
      <w:r w:rsidRPr="00226805">
        <w:rPr>
          <w:lang w:val="en-US"/>
        </w:rPr>
        <w:t xml:space="preserve"> </w:t>
      </w:r>
      <w:proofErr w:type="spellStart"/>
      <w:r w:rsidRPr="00226805">
        <w:rPr>
          <w:lang w:val="en-US"/>
        </w:rPr>
        <w:t>etmişlerdir</w:t>
      </w:r>
      <w:proofErr w:type="spellEnd"/>
      <w:r w:rsidRPr="00226805">
        <w:rPr>
          <w:lang w:val="en-US"/>
        </w:rPr>
        <w:t>.</w:t>
      </w:r>
      <w:r>
        <w:rPr>
          <w:lang w:val="en-US"/>
        </w:rPr>
        <w:t xml:space="preserve"> </w:t>
      </w:r>
      <w:proofErr w:type="spellStart"/>
      <w:r w:rsidRPr="00226805">
        <w:rPr>
          <w:lang w:val="en-US"/>
        </w:rPr>
        <w:t>Akademisyenler</w:t>
      </w:r>
      <w:proofErr w:type="spellEnd"/>
      <w:r w:rsidRPr="00226805">
        <w:rPr>
          <w:lang w:val="en-US"/>
        </w:rPr>
        <w:t xml:space="preserve">, </w:t>
      </w:r>
      <w:proofErr w:type="spellStart"/>
      <w:r w:rsidRPr="00226805">
        <w:rPr>
          <w:lang w:val="en-US"/>
        </w:rPr>
        <w:t>bu</w:t>
      </w:r>
      <w:proofErr w:type="spellEnd"/>
      <w:r w:rsidRPr="00226805">
        <w:rPr>
          <w:lang w:val="en-US"/>
        </w:rPr>
        <w:t xml:space="preserve"> alt </w:t>
      </w:r>
      <w:proofErr w:type="spellStart"/>
      <w:r w:rsidRPr="00226805">
        <w:rPr>
          <w:lang w:val="en-US"/>
        </w:rPr>
        <w:t>bölümde</w:t>
      </w:r>
      <w:proofErr w:type="spellEnd"/>
      <w:r w:rsidRPr="00226805">
        <w:rPr>
          <w:lang w:val="en-US"/>
        </w:rPr>
        <w:t xml:space="preserve"> </w:t>
      </w:r>
      <w:proofErr w:type="spellStart"/>
      <w:r w:rsidRPr="00226805">
        <w:rPr>
          <w:lang w:val="en-US"/>
        </w:rPr>
        <w:t>tanımlanan</w:t>
      </w:r>
      <w:proofErr w:type="spellEnd"/>
      <w:r w:rsidRPr="00226805">
        <w:rPr>
          <w:lang w:val="en-US"/>
        </w:rPr>
        <w:t xml:space="preserve"> </w:t>
      </w:r>
      <w:proofErr w:type="spellStart"/>
      <w:r w:rsidRPr="00226805">
        <w:rPr>
          <w:lang w:val="en-US"/>
        </w:rPr>
        <w:t>kültürel</w:t>
      </w:r>
      <w:proofErr w:type="spellEnd"/>
      <w:r w:rsidRPr="00226805">
        <w:rPr>
          <w:lang w:val="en-US"/>
        </w:rPr>
        <w:t xml:space="preserve"> </w:t>
      </w:r>
      <w:proofErr w:type="spellStart"/>
      <w:r w:rsidRPr="00226805">
        <w:rPr>
          <w:lang w:val="en-US"/>
        </w:rPr>
        <w:t>değişimlerin</w:t>
      </w:r>
      <w:proofErr w:type="spellEnd"/>
      <w:r w:rsidRPr="00226805">
        <w:rPr>
          <w:lang w:val="en-US"/>
        </w:rPr>
        <w:t xml:space="preserve"> </w:t>
      </w:r>
      <w:proofErr w:type="spellStart"/>
      <w:r w:rsidRPr="00226805">
        <w:rPr>
          <w:lang w:val="en-US"/>
        </w:rPr>
        <w:t>arzu</w:t>
      </w:r>
      <w:proofErr w:type="spellEnd"/>
      <w:r w:rsidRPr="00226805">
        <w:rPr>
          <w:lang w:val="en-US"/>
        </w:rPr>
        <w:t xml:space="preserve"> </w:t>
      </w:r>
      <w:proofErr w:type="spellStart"/>
      <w:r w:rsidRPr="00226805">
        <w:rPr>
          <w:lang w:val="en-US"/>
        </w:rPr>
        <w:t>edilirliği</w:t>
      </w:r>
      <w:proofErr w:type="spellEnd"/>
      <w:r w:rsidRPr="00226805">
        <w:rPr>
          <w:lang w:val="en-US"/>
        </w:rPr>
        <w:t xml:space="preserve"> </w:t>
      </w:r>
      <w:proofErr w:type="spellStart"/>
      <w:r w:rsidRPr="00226805">
        <w:rPr>
          <w:lang w:val="en-US"/>
        </w:rPr>
        <w:t>konusunda</w:t>
      </w:r>
      <w:proofErr w:type="spellEnd"/>
      <w:r w:rsidRPr="00226805">
        <w:rPr>
          <w:lang w:val="en-US"/>
        </w:rPr>
        <w:t xml:space="preserve"> </w:t>
      </w:r>
      <w:proofErr w:type="spellStart"/>
      <w:r w:rsidRPr="00226805">
        <w:rPr>
          <w:lang w:val="en-US"/>
        </w:rPr>
        <w:t>yapıcı</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tartışmaya</w:t>
      </w:r>
      <w:proofErr w:type="spellEnd"/>
      <w:r w:rsidRPr="00226805">
        <w:rPr>
          <w:lang w:val="en-US"/>
        </w:rPr>
        <w:t xml:space="preserve"> </w:t>
      </w:r>
      <w:proofErr w:type="spellStart"/>
      <w:r w:rsidRPr="00226805">
        <w:rPr>
          <w:lang w:val="en-US"/>
        </w:rPr>
        <w:t>girişebilir</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girişmelidir</w:t>
      </w:r>
      <w:proofErr w:type="spellEnd"/>
      <w:r w:rsidRPr="00226805">
        <w:rPr>
          <w:lang w:val="en-US"/>
        </w:rPr>
        <w:t xml:space="preserve"> de. </w:t>
      </w:r>
      <w:proofErr w:type="spellStart"/>
      <w:r w:rsidRPr="00226805">
        <w:rPr>
          <w:lang w:val="en-US"/>
        </w:rPr>
        <w:t>Ancak</w:t>
      </w:r>
      <w:proofErr w:type="spellEnd"/>
      <w:r w:rsidRPr="00226805">
        <w:rPr>
          <w:lang w:val="en-US"/>
        </w:rPr>
        <w:t xml:space="preserve"> </w:t>
      </w:r>
      <w:proofErr w:type="spellStart"/>
      <w:r w:rsidRPr="00226805">
        <w:rPr>
          <w:lang w:val="en-US"/>
        </w:rPr>
        <w:t>bunu</w:t>
      </w:r>
      <w:proofErr w:type="spellEnd"/>
      <w:r w:rsidRPr="00226805">
        <w:rPr>
          <w:lang w:val="en-US"/>
        </w:rPr>
        <w:t xml:space="preserve"> </w:t>
      </w:r>
      <w:proofErr w:type="spellStart"/>
      <w:r w:rsidRPr="00226805">
        <w:rPr>
          <w:lang w:val="en-US"/>
        </w:rPr>
        <w:t>yaparken</w:t>
      </w:r>
      <w:proofErr w:type="spellEnd"/>
      <w:r w:rsidRPr="00226805">
        <w:rPr>
          <w:lang w:val="en-US"/>
        </w:rPr>
        <w:t xml:space="preserve">, </w:t>
      </w:r>
      <w:proofErr w:type="spellStart"/>
      <w:r w:rsidRPr="00226805">
        <w:rPr>
          <w:lang w:val="en-US"/>
        </w:rPr>
        <w:t>bu</w:t>
      </w:r>
      <w:proofErr w:type="spellEnd"/>
      <w:r w:rsidRPr="00226805">
        <w:rPr>
          <w:lang w:val="en-US"/>
        </w:rPr>
        <w:t xml:space="preserve"> </w:t>
      </w:r>
      <w:proofErr w:type="spellStart"/>
      <w:r w:rsidRPr="00226805">
        <w:rPr>
          <w:lang w:val="en-US"/>
        </w:rPr>
        <w:t>değişimleri</w:t>
      </w:r>
      <w:proofErr w:type="spellEnd"/>
      <w:r w:rsidRPr="00226805">
        <w:rPr>
          <w:lang w:val="en-US"/>
        </w:rPr>
        <w:t xml:space="preserve"> </w:t>
      </w:r>
      <w:proofErr w:type="spellStart"/>
      <w:r w:rsidRPr="00226805">
        <w:rPr>
          <w:lang w:val="en-US"/>
        </w:rPr>
        <w:t>kendi</w:t>
      </w:r>
      <w:proofErr w:type="spellEnd"/>
      <w:r w:rsidRPr="00226805">
        <w:rPr>
          <w:lang w:val="en-US"/>
        </w:rPr>
        <w:t xml:space="preserve"> </w:t>
      </w:r>
      <w:proofErr w:type="spellStart"/>
      <w:r w:rsidRPr="00226805">
        <w:rPr>
          <w:lang w:val="en-US"/>
        </w:rPr>
        <w:t>koşulları</w:t>
      </w:r>
      <w:proofErr w:type="spellEnd"/>
      <w:r w:rsidRPr="00226805">
        <w:rPr>
          <w:lang w:val="en-US"/>
        </w:rPr>
        <w:t xml:space="preserve"> </w:t>
      </w:r>
      <w:proofErr w:type="spellStart"/>
      <w:r w:rsidRPr="00226805">
        <w:rPr>
          <w:lang w:val="en-US"/>
        </w:rPr>
        <w:t>çerçevesinde</w:t>
      </w:r>
      <w:proofErr w:type="spellEnd"/>
      <w:r w:rsidRPr="00226805">
        <w:rPr>
          <w:lang w:val="en-US"/>
        </w:rPr>
        <w:t xml:space="preserve"> </w:t>
      </w:r>
      <w:proofErr w:type="spellStart"/>
      <w:r w:rsidRPr="00226805">
        <w:rPr>
          <w:lang w:val="en-US"/>
        </w:rPr>
        <w:t>anlamaya</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tartışmaya</w:t>
      </w:r>
      <w:proofErr w:type="spellEnd"/>
      <w:r w:rsidRPr="00226805">
        <w:rPr>
          <w:lang w:val="en-US"/>
        </w:rPr>
        <w:t xml:space="preserve"> </w:t>
      </w:r>
      <w:proofErr w:type="spellStart"/>
      <w:r w:rsidRPr="00226805">
        <w:rPr>
          <w:lang w:val="en-US"/>
        </w:rPr>
        <w:t>çalışmalı</w:t>
      </w:r>
      <w:proofErr w:type="spellEnd"/>
      <w:r w:rsidRPr="00226805">
        <w:rPr>
          <w:lang w:val="en-US"/>
        </w:rPr>
        <w:t xml:space="preserve">, </w:t>
      </w:r>
      <w:proofErr w:type="spellStart"/>
      <w:r w:rsidRPr="00226805">
        <w:rPr>
          <w:lang w:val="en-US"/>
        </w:rPr>
        <w:t>onları</w:t>
      </w:r>
      <w:proofErr w:type="spellEnd"/>
      <w:r w:rsidRPr="00226805">
        <w:rPr>
          <w:lang w:val="en-US"/>
        </w:rPr>
        <w:t xml:space="preserve"> </w:t>
      </w:r>
      <w:proofErr w:type="spellStart"/>
      <w:r w:rsidRPr="00226805">
        <w:rPr>
          <w:lang w:val="en-US"/>
        </w:rPr>
        <w:t>yalnızca</w:t>
      </w:r>
      <w:proofErr w:type="spellEnd"/>
      <w:r w:rsidRPr="00226805">
        <w:rPr>
          <w:lang w:val="en-US"/>
        </w:rPr>
        <w:t xml:space="preserve"> </w:t>
      </w:r>
      <w:proofErr w:type="spellStart"/>
      <w:r w:rsidRPr="00226805">
        <w:rPr>
          <w:lang w:val="en-US"/>
        </w:rPr>
        <w:t>varsayılan</w:t>
      </w:r>
      <w:proofErr w:type="spellEnd"/>
      <w:r w:rsidRPr="00226805">
        <w:rPr>
          <w:lang w:val="en-US"/>
        </w:rPr>
        <w:t xml:space="preserve"> </w:t>
      </w:r>
      <w:proofErr w:type="spellStart"/>
      <w:r w:rsidRPr="00226805">
        <w:rPr>
          <w:lang w:val="en-US"/>
        </w:rPr>
        <w:t>ancak</w:t>
      </w:r>
      <w:proofErr w:type="spellEnd"/>
      <w:r w:rsidRPr="00226805">
        <w:rPr>
          <w:lang w:val="en-US"/>
        </w:rPr>
        <w:t xml:space="preserve"> </w:t>
      </w:r>
      <w:proofErr w:type="spellStart"/>
      <w:r w:rsidRPr="00226805">
        <w:rPr>
          <w:lang w:val="en-US"/>
        </w:rPr>
        <w:t>temelde</w:t>
      </w:r>
      <w:proofErr w:type="spellEnd"/>
      <w:r w:rsidRPr="00226805">
        <w:rPr>
          <w:lang w:val="en-US"/>
        </w:rPr>
        <w:t xml:space="preserve"> </w:t>
      </w:r>
      <w:proofErr w:type="spellStart"/>
      <w:r w:rsidRPr="00226805">
        <w:rPr>
          <w:lang w:val="en-US"/>
        </w:rPr>
        <w:t>geçici</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yapı</w:t>
      </w:r>
      <w:proofErr w:type="spellEnd"/>
      <w:r w:rsidRPr="00226805">
        <w:rPr>
          <w:lang w:val="en-US"/>
        </w:rPr>
        <w:t xml:space="preserve"> </w:t>
      </w:r>
      <w:proofErr w:type="spellStart"/>
      <w:r w:rsidRPr="00226805">
        <w:rPr>
          <w:lang w:val="en-US"/>
        </w:rPr>
        <w:t>ile</w:t>
      </w:r>
      <w:proofErr w:type="spellEnd"/>
      <w:r w:rsidRPr="00226805">
        <w:rPr>
          <w:lang w:val="en-US"/>
        </w:rPr>
        <w:t xml:space="preserve"> </w:t>
      </w:r>
      <w:proofErr w:type="spellStart"/>
      <w:r w:rsidRPr="00226805">
        <w:rPr>
          <w:lang w:val="en-US"/>
        </w:rPr>
        <w:t>tutarsız</w:t>
      </w:r>
      <w:proofErr w:type="spellEnd"/>
      <w:r w:rsidRPr="00226805">
        <w:rPr>
          <w:lang w:val="en-US"/>
        </w:rPr>
        <w:t xml:space="preserve"> </w:t>
      </w:r>
      <w:proofErr w:type="spellStart"/>
      <w:r w:rsidRPr="00226805">
        <w:rPr>
          <w:lang w:val="en-US"/>
        </w:rPr>
        <w:t>oldukları</w:t>
      </w:r>
      <w:proofErr w:type="spellEnd"/>
      <w:r w:rsidRPr="00226805">
        <w:rPr>
          <w:lang w:val="en-US"/>
        </w:rPr>
        <w:t xml:space="preserve"> </w:t>
      </w:r>
      <w:proofErr w:type="spellStart"/>
      <w:r w:rsidRPr="00226805">
        <w:rPr>
          <w:lang w:val="en-US"/>
        </w:rPr>
        <w:t>gerekçesiyle</w:t>
      </w:r>
      <w:proofErr w:type="spellEnd"/>
      <w:r w:rsidRPr="00226805">
        <w:rPr>
          <w:lang w:val="en-US"/>
        </w:rPr>
        <w:t xml:space="preserve"> </w:t>
      </w:r>
      <w:proofErr w:type="spellStart"/>
      <w:r w:rsidRPr="00226805">
        <w:rPr>
          <w:lang w:val="en-US"/>
        </w:rPr>
        <w:t>reddetmemelidirler</w:t>
      </w:r>
      <w:proofErr w:type="spellEnd"/>
      <w:r w:rsidRPr="00226805">
        <w:rPr>
          <w:lang w:val="en-US"/>
        </w:rPr>
        <w:t>.</w:t>
      </w:r>
      <w:r>
        <w:rPr>
          <w:lang w:val="en-US"/>
        </w:rPr>
        <w:t xml:space="preserve"> </w:t>
      </w:r>
      <w:r w:rsidR="00364184">
        <w:rPr>
          <w:lang w:val="en-US"/>
        </w:rPr>
        <w:t>[1105 - 1106]</w:t>
      </w:r>
    </w:p>
    <w:p w14:paraId="29B1E310" w14:textId="77777777" w:rsidR="00226805" w:rsidRDefault="00226805" w:rsidP="00226805">
      <w:pPr>
        <w:pStyle w:val="Heading2"/>
      </w:pPr>
      <w:r w:rsidRPr="00226805">
        <w:lastRenderedPageBreak/>
        <w:t>ANAYASAL KÜLTÜR</w:t>
      </w:r>
    </w:p>
    <w:p w14:paraId="7BA1AD37" w14:textId="7073E050" w:rsidR="00226805" w:rsidRDefault="00226805" w:rsidP="00226805">
      <w:pPr>
        <w:rPr>
          <w:lang w:val="en-US"/>
        </w:rPr>
      </w:pPr>
      <w:r w:rsidRPr="00226805">
        <w:rPr>
          <w:lang w:val="en-US"/>
        </w:rPr>
        <w:t xml:space="preserve">Bu </w:t>
      </w:r>
      <w:proofErr w:type="spellStart"/>
      <w:r w:rsidRPr="00226805">
        <w:rPr>
          <w:lang w:val="en-US"/>
        </w:rPr>
        <w:t>makale</w:t>
      </w:r>
      <w:proofErr w:type="spellEnd"/>
      <w:r w:rsidRPr="00226805">
        <w:rPr>
          <w:lang w:val="en-US"/>
        </w:rPr>
        <w:t xml:space="preserve">, </w:t>
      </w:r>
      <w:proofErr w:type="spellStart"/>
      <w:r w:rsidRPr="00226805">
        <w:rPr>
          <w:lang w:val="en-US"/>
        </w:rPr>
        <w:t>çağdaş</w:t>
      </w:r>
      <w:proofErr w:type="spellEnd"/>
      <w:r w:rsidRPr="00226805">
        <w:rPr>
          <w:lang w:val="en-US"/>
        </w:rPr>
        <w:t xml:space="preserve"> </w:t>
      </w:r>
      <w:proofErr w:type="spellStart"/>
      <w:r w:rsidRPr="00226805">
        <w:rPr>
          <w:lang w:val="en-US"/>
        </w:rPr>
        <w:t>anayasa</w:t>
      </w:r>
      <w:proofErr w:type="spellEnd"/>
      <w:r w:rsidRPr="00226805">
        <w:rPr>
          <w:lang w:val="en-US"/>
        </w:rPr>
        <w:t xml:space="preserve"> </w:t>
      </w:r>
      <w:proofErr w:type="spellStart"/>
      <w:r w:rsidRPr="00226805">
        <w:rPr>
          <w:lang w:val="en-US"/>
        </w:rPr>
        <w:t>teorisinin</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uygulamaları</w:t>
      </w:r>
      <w:proofErr w:type="spellEnd"/>
      <w:r w:rsidRPr="00226805">
        <w:rPr>
          <w:lang w:val="en-US"/>
        </w:rPr>
        <w:t xml:space="preserve"> </w:t>
      </w:r>
      <w:proofErr w:type="spellStart"/>
      <w:r w:rsidRPr="00226805">
        <w:rPr>
          <w:lang w:val="en-US"/>
        </w:rPr>
        <w:t>ele</w:t>
      </w:r>
      <w:proofErr w:type="spellEnd"/>
      <w:r w:rsidRPr="00226805">
        <w:rPr>
          <w:lang w:val="en-US"/>
        </w:rPr>
        <w:t xml:space="preserve"> </w:t>
      </w:r>
      <w:proofErr w:type="spellStart"/>
      <w:r w:rsidRPr="00226805">
        <w:rPr>
          <w:lang w:val="en-US"/>
        </w:rPr>
        <w:t>alış</w:t>
      </w:r>
      <w:proofErr w:type="spellEnd"/>
      <w:r w:rsidRPr="00226805">
        <w:rPr>
          <w:lang w:val="en-US"/>
        </w:rPr>
        <w:t xml:space="preserve"> </w:t>
      </w:r>
      <w:proofErr w:type="spellStart"/>
      <w:r w:rsidRPr="00226805">
        <w:rPr>
          <w:lang w:val="en-US"/>
        </w:rPr>
        <w:t>biçimine</w:t>
      </w:r>
      <w:proofErr w:type="spellEnd"/>
      <w:r w:rsidRPr="00226805">
        <w:rPr>
          <w:lang w:val="en-US"/>
        </w:rPr>
        <w:t xml:space="preserve"> </w:t>
      </w:r>
      <w:proofErr w:type="spellStart"/>
      <w:r w:rsidRPr="00226805">
        <w:rPr>
          <w:lang w:val="en-US"/>
        </w:rPr>
        <w:t>ilişkin</w:t>
      </w:r>
      <w:proofErr w:type="spellEnd"/>
      <w:r w:rsidRPr="00226805">
        <w:rPr>
          <w:lang w:val="en-US"/>
        </w:rPr>
        <w:t xml:space="preserve"> </w:t>
      </w:r>
      <w:proofErr w:type="spellStart"/>
      <w:r w:rsidRPr="00226805">
        <w:rPr>
          <w:lang w:val="en-US"/>
        </w:rPr>
        <w:t>iki</w:t>
      </w:r>
      <w:proofErr w:type="spellEnd"/>
      <w:r w:rsidRPr="00226805">
        <w:rPr>
          <w:lang w:val="en-US"/>
        </w:rPr>
        <w:t xml:space="preserve"> </w:t>
      </w:r>
      <w:proofErr w:type="spellStart"/>
      <w:r w:rsidRPr="00226805">
        <w:rPr>
          <w:lang w:val="en-US"/>
        </w:rPr>
        <w:t>temel</w:t>
      </w:r>
      <w:proofErr w:type="spellEnd"/>
      <w:r w:rsidRPr="00226805">
        <w:rPr>
          <w:lang w:val="en-US"/>
        </w:rPr>
        <w:t xml:space="preserve"> </w:t>
      </w:r>
      <w:proofErr w:type="spellStart"/>
      <w:r w:rsidRPr="00226805">
        <w:rPr>
          <w:lang w:val="en-US"/>
        </w:rPr>
        <w:t>eleştiri</w:t>
      </w:r>
      <w:proofErr w:type="spellEnd"/>
      <w:r w:rsidRPr="00226805">
        <w:rPr>
          <w:lang w:val="en-US"/>
        </w:rPr>
        <w:t xml:space="preserve"> </w:t>
      </w:r>
      <w:proofErr w:type="spellStart"/>
      <w:r w:rsidRPr="00226805">
        <w:rPr>
          <w:lang w:val="en-US"/>
        </w:rPr>
        <w:t>ortaya</w:t>
      </w:r>
      <w:proofErr w:type="spellEnd"/>
      <w:r w:rsidRPr="00226805">
        <w:rPr>
          <w:lang w:val="en-US"/>
        </w:rPr>
        <w:t xml:space="preserve"> </w:t>
      </w:r>
      <w:proofErr w:type="spellStart"/>
      <w:r w:rsidRPr="00226805">
        <w:rPr>
          <w:lang w:val="en-US"/>
        </w:rPr>
        <w:t>koymuştur</w:t>
      </w:r>
      <w:proofErr w:type="spellEnd"/>
      <w:r w:rsidRPr="00226805">
        <w:rPr>
          <w:lang w:val="en-US"/>
        </w:rPr>
        <w:t>.</w:t>
      </w:r>
      <w:r>
        <w:rPr>
          <w:lang w:val="en-US"/>
        </w:rPr>
        <w:t xml:space="preserve"> </w:t>
      </w:r>
      <w:proofErr w:type="spellStart"/>
      <w:r w:rsidRPr="00226805">
        <w:rPr>
          <w:lang w:val="en-US"/>
        </w:rPr>
        <w:t>Bölüm</w:t>
      </w:r>
      <w:proofErr w:type="spellEnd"/>
      <w:r w:rsidRPr="00226805">
        <w:rPr>
          <w:lang w:val="en-US"/>
        </w:rPr>
        <w:t xml:space="preserve"> </w:t>
      </w:r>
      <w:proofErr w:type="spellStart"/>
      <w:r w:rsidRPr="00226805">
        <w:rPr>
          <w:lang w:val="en-US"/>
        </w:rPr>
        <w:t>I’de</w:t>
      </w:r>
      <w:proofErr w:type="spellEnd"/>
      <w:r w:rsidRPr="00226805">
        <w:rPr>
          <w:lang w:val="en-US"/>
        </w:rPr>
        <w:t xml:space="preserve">, </w:t>
      </w:r>
      <w:proofErr w:type="spellStart"/>
      <w:r w:rsidRPr="00226805">
        <w:rPr>
          <w:lang w:val="en-US"/>
        </w:rPr>
        <w:t>bazı</w:t>
      </w:r>
      <w:proofErr w:type="spellEnd"/>
      <w:r w:rsidRPr="00226805">
        <w:rPr>
          <w:lang w:val="en-US"/>
        </w:rPr>
        <w:t xml:space="preserve"> </w:t>
      </w:r>
      <w:proofErr w:type="spellStart"/>
      <w:r w:rsidRPr="00226805">
        <w:rPr>
          <w:lang w:val="en-US"/>
        </w:rPr>
        <w:t>teorisyenlerin</w:t>
      </w:r>
      <w:proofErr w:type="spellEnd"/>
      <w:r w:rsidRPr="00226805">
        <w:rPr>
          <w:lang w:val="en-US"/>
        </w:rPr>
        <w:t xml:space="preserve"> </w:t>
      </w:r>
      <w:proofErr w:type="spellStart"/>
      <w:r w:rsidRPr="00226805">
        <w:rPr>
          <w:lang w:val="en-US"/>
        </w:rPr>
        <w:t>en</w:t>
      </w:r>
      <w:proofErr w:type="spellEnd"/>
      <w:r w:rsidRPr="00226805">
        <w:rPr>
          <w:lang w:val="en-US"/>
        </w:rPr>
        <w:t xml:space="preserve"> </w:t>
      </w:r>
      <w:proofErr w:type="spellStart"/>
      <w:r w:rsidRPr="00226805">
        <w:rPr>
          <w:lang w:val="en-US"/>
        </w:rPr>
        <w:t>bilinen</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uygulamalarımızın</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düzenlemelerimizin</w:t>
      </w:r>
      <w:proofErr w:type="spellEnd"/>
      <w:r w:rsidRPr="00226805">
        <w:rPr>
          <w:lang w:val="en-US"/>
        </w:rPr>
        <w:t xml:space="preserve"> </w:t>
      </w:r>
      <w:proofErr w:type="spellStart"/>
      <w:r w:rsidRPr="00226805">
        <w:rPr>
          <w:lang w:val="en-US"/>
        </w:rPr>
        <w:t>kalıcı</w:t>
      </w:r>
      <w:proofErr w:type="spellEnd"/>
      <w:r w:rsidRPr="00226805">
        <w:rPr>
          <w:lang w:val="en-US"/>
        </w:rPr>
        <w:t xml:space="preserve"> </w:t>
      </w:r>
      <w:proofErr w:type="spellStart"/>
      <w:r w:rsidRPr="00226805">
        <w:rPr>
          <w:lang w:val="en-US"/>
        </w:rPr>
        <w:t>veya</w:t>
      </w:r>
      <w:proofErr w:type="spellEnd"/>
      <w:r w:rsidRPr="00226805">
        <w:rPr>
          <w:lang w:val="en-US"/>
        </w:rPr>
        <w:t xml:space="preserve"> </w:t>
      </w:r>
      <w:proofErr w:type="spellStart"/>
      <w:r w:rsidRPr="00226805">
        <w:rPr>
          <w:lang w:val="en-US"/>
        </w:rPr>
        <w:t>doğası</w:t>
      </w:r>
      <w:proofErr w:type="spellEnd"/>
      <w:r w:rsidRPr="00226805">
        <w:rPr>
          <w:lang w:val="en-US"/>
        </w:rPr>
        <w:t xml:space="preserve"> </w:t>
      </w:r>
      <w:proofErr w:type="spellStart"/>
      <w:r w:rsidRPr="00226805">
        <w:rPr>
          <w:lang w:val="en-US"/>
        </w:rPr>
        <w:t>gereği</w:t>
      </w:r>
      <w:proofErr w:type="spellEnd"/>
      <w:r w:rsidRPr="00226805">
        <w:rPr>
          <w:lang w:val="en-US"/>
        </w:rPr>
        <w:t xml:space="preserve"> var </w:t>
      </w:r>
      <w:proofErr w:type="spellStart"/>
      <w:r w:rsidRPr="00226805">
        <w:rPr>
          <w:lang w:val="en-US"/>
        </w:rPr>
        <w:t>olan</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yapıyı</w:t>
      </w:r>
      <w:proofErr w:type="spellEnd"/>
      <w:r w:rsidRPr="00226805">
        <w:rPr>
          <w:lang w:val="en-US"/>
        </w:rPr>
        <w:t xml:space="preserve">” </w:t>
      </w:r>
      <w:proofErr w:type="spellStart"/>
      <w:r w:rsidRPr="00226805">
        <w:rPr>
          <w:lang w:val="en-US"/>
        </w:rPr>
        <w:t>yansıttığı</w:t>
      </w:r>
      <w:proofErr w:type="spellEnd"/>
      <w:r w:rsidRPr="00226805">
        <w:rPr>
          <w:lang w:val="en-US"/>
        </w:rPr>
        <w:t xml:space="preserve"> </w:t>
      </w:r>
      <w:proofErr w:type="spellStart"/>
      <w:r w:rsidRPr="00226805">
        <w:rPr>
          <w:lang w:val="en-US"/>
        </w:rPr>
        <w:t>varsayımına</w:t>
      </w:r>
      <w:proofErr w:type="spellEnd"/>
      <w:r w:rsidRPr="00226805">
        <w:rPr>
          <w:lang w:val="en-US"/>
        </w:rPr>
        <w:t xml:space="preserve"> </w:t>
      </w:r>
      <w:proofErr w:type="spellStart"/>
      <w:r w:rsidRPr="00226805">
        <w:rPr>
          <w:lang w:val="en-US"/>
        </w:rPr>
        <w:t>karşı</w:t>
      </w:r>
      <w:proofErr w:type="spellEnd"/>
      <w:r w:rsidRPr="00226805">
        <w:rPr>
          <w:lang w:val="en-US"/>
        </w:rPr>
        <w:t xml:space="preserve"> </w:t>
      </w:r>
      <w:proofErr w:type="spellStart"/>
      <w:r w:rsidRPr="00226805">
        <w:rPr>
          <w:lang w:val="en-US"/>
        </w:rPr>
        <w:t>şüpheyle</w:t>
      </w:r>
      <w:proofErr w:type="spellEnd"/>
      <w:r w:rsidRPr="00226805">
        <w:rPr>
          <w:lang w:val="en-US"/>
        </w:rPr>
        <w:t xml:space="preserve"> </w:t>
      </w:r>
      <w:proofErr w:type="spellStart"/>
      <w:r w:rsidRPr="00226805">
        <w:rPr>
          <w:lang w:val="en-US"/>
        </w:rPr>
        <w:t>yaklaştım</w:t>
      </w:r>
      <w:proofErr w:type="spellEnd"/>
      <w:r w:rsidRPr="00226805">
        <w:rPr>
          <w:lang w:val="en-US"/>
        </w:rPr>
        <w:t xml:space="preserve">. </w:t>
      </w:r>
      <w:proofErr w:type="spellStart"/>
      <w:r w:rsidRPr="00226805">
        <w:rPr>
          <w:lang w:val="en-US"/>
        </w:rPr>
        <w:t>Aksine</w:t>
      </w:r>
      <w:proofErr w:type="spellEnd"/>
      <w:r w:rsidRPr="00226805">
        <w:rPr>
          <w:lang w:val="en-US"/>
        </w:rPr>
        <w:t xml:space="preserve">, </w:t>
      </w:r>
      <w:proofErr w:type="spellStart"/>
      <w:r w:rsidRPr="00226805">
        <w:rPr>
          <w:lang w:val="en-US"/>
        </w:rPr>
        <w:t>birçok</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özelliğin</w:t>
      </w:r>
      <w:proofErr w:type="spellEnd"/>
      <w:r w:rsidRPr="00226805">
        <w:rPr>
          <w:lang w:val="en-US"/>
        </w:rPr>
        <w:t xml:space="preserve"> </w:t>
      </w:r>
      <w:proofErr w:type="spellStart"/>
      <w:r w:rsidRPr="00226805">
        <w:rPr>
          <w:lang w:val="en-US"/>
        </w:rPr>
        <w:t>aslında</w:t>
      </w:r>
      <w:proofErr w:type="spellEnd"/>
      <w:r w:rsidRPr="00226805">
        <w:rPr>
          <w:lang w:val="en-US"/>
        </w:rPr>
        <w:t xml:space="preserve"> </w:t>
      </w:r>
      <w:proofErr w:type="spellStart"/>
      <w:r w:rsidRPr="00226805">
        <w:rPr>
          <w:lang w:val="en-US"/>
        </w:rPr>
        <w:t>geçici</w:t>
      </w:r>
      <w:proofErr w:type="spellEnd"/>
      <w:r w:rsidRPr="00226805">
        <w:rPr>
          <w:lang w:val="en-US"/>
        </w:rPr>
        <w:t xml:space="preserve"> </w:t>
      </w:r>
      <w:proofErr w:type="spellStart"/>
      <w:r w:rsidRPr="00226805">
        <w:rPr>
          <w:lang w:val="en-US"/>
        </w:rPr>
        <w:t>unsurların</w:t>
      </w:r>
      <w:proofErr w:type="spellEnd"/>
      <w:r w:rsidRPr="00226805">
        <w:rPr>
          <w:lang w:val="en-US"/>
        </w:rPr>
        <w:t xml:space="preserve">, </w:t>
      </w:r>
      <w:proofErr w:type="spellStart"/>
      <w:r w:rsidRPr="00226805">
        <w:rPr>
          <w:lang w:val="en-US"/>
        </w:rPr>
        <w:t>tarihsel</w:t>
      </w:r>
      <w:proofErr w:type="spellEnd"/>
      <w:r w:rsidRPr="00226805">
        <w:rPr>
          <w:lang w:val="en-US"/>
        </w:rPr>
        <w:t xml:space="preserve"> </w:t>
      </w:r>
      <w:proofErr w:type="spellStart"/>
      <w:r w:rsidRPr="00226805">
        <w:rPr>
          <w:lang w:val="en-US"/>
        </w:rPr>
        <w:t>rastlantıların</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günümüzde</w:t>
      </w:r>
      <w:proofErr w:type="spellEnd"/>
      <w:r w:rsidRPr="00226805">
        <w:rPr>
          <w:lang w:val="en-US"/>
        </w:rPr>
        <w:t xml:space="preserve"> de </w:t>
      </w:r>
      <w:proofErr w:type="spellStart"/>
      <w:r w:rsidRPr="00226805">
        <w:rPr>
          <w:lang w:val="en-US"/>
        </w:rPr>
        <w:t>devam</w:t>
      </w:r>
      <w:proofErr w:type="spellEnd"/>
      <w:r w:rsidRPr="00226805">
        <w:rPr>
          <w:lang w:val="en-US"/>
        </w:rPr>
        <w:t xml:space="preserve"> </w:t>
      </w:r>
      <w:proofErr w:type="spellStart"/>
      <w:r w:rsidRPr="00226805">
        <w:rPr>
          <w:lang w:val="en-US"/>
        </w:rPr>
        <w:t>eden</w:t>
      </w:r>
      <w:proofErr w:type="spellEnd"/>
      <w:r w:rsidRPr="00226805">
        <w:rPr>
          <w:lang w:val="en-US"/>
        </w:rPr>
        <w:t xml:space="preserve"> </w:t>
      </w:r>
      <w:proofErr w:type="spellStart"/>
      <w:r w:rsidRPr="00226805">
        <w:rPr>
          <w:lang w:val="en-US"/>
        </w:rPr>
        <w:t>açık</w:t>
      </w:r>
      <w:proofErr w:type="spellEnd"/>
      <w:r w:rsidRPr="00226805">
        <w:rPr>
          <w:lang w:val="en-US"/>
        </w:rPr>
        <w:t xml:space="preserve"> </w:t>
      </w:r>
      <w:proofErr w:type="spellStart"/>
      <w:r w:rsidRPr="00226805">
        <w:rPr>
          <w:lang w:val="en-US"/>
        </w:rPr>
        <w:t>tartışmaların</w:t>
      </w:r>
      <w:proofErr w:type="spellEnd"/>
      <w:r w:rsidRPr="00226805">
        <w:rPr>
          <w:lang w:val="en-US"/>
        </w:rPr>
        <w:t xml:space="preserve"> </w:t>
      </w:r>
      <w:proofErr w:type="spellStart"/>
      <w:r w:rsidRPr="00226805">
        <w:rPr>
          <w:lang w:val="en-US"/>
        </w:rPr>
        <w:t>ürünü</w:t>
      </w:r>
      <w:proofErr w:type="spellEnd"/>
      <w:r w:rsidRPr="00226805">
        <w:rPr>
          <w:lang w:val="en-US"/>
        </w:rPr>
        <w:t xml:space="preserve"> </w:t>
      </w:r>
      <w:proofErr w:type="spellStart"/>
      <w:r w:rsidRPr="00226805">
        <w:rPr>
          <w:lang w:val="en-US"/>
        </w:rPr>
        <w:t>olduğunu</w:t>
      </w:r>
      <w:proofErr w:type="spellEnd"/>
      <w:r w:rsidRPr="00226805">
        <w:rPr>
          <w:lang w:val="en-US"/>
        </w:rPr>
        <w:t xml:space="preserve"> gösterdim.¹⁴⁶</w:t>
      </w:r>
      <w:r>
        <w:rPr>
          <w:lang w:val="en-US"/>
        </w:rPr>
        <w:t xml:space="preserve"> </w:t>
      </w:r>
      <w:r>
        <w:rPr>
          <w:rStyle w:val="FootnoteReference"/>
          <w:lang w:val="en-US"/>
        </w:rPr>
        <w:footnoteReference w:id="146"/>
      </w:r>
      <w:r>
        <w:rPr>
          <w:lang w:val="en-US"/>
        </w:rPr>
        <w:t xml:space="preserve"> </w:t>
      </w:r>
      <w:proofErr w:type="spellStart"/>
      <w:r w:rsidRPr="00226805">
        <w:rPr>
          <w:lang w:val="en-US"/>
        </w:rPr>
        <w:t>Bölüm</w:t>
      </w:r>
      <w:proofErr w:type="spellEnd"/>
      <w:r w:rsidRPr="00226805">
        <w:rPr>
          <w:lang w:val="en-US"/>
        </w:rPr>
        <w:t xml:space="preserve"> </w:t>
      </w:r>
      <w:proofErr w:type="spellStart"/>
      <w:r w:rsidRPr="00226805">
        <w:rPr>
          <w:lang w:val="en-US"/>
        </w:rPr>
        <w:t>II’de</w:t>
      </w:r>
      <w:proofErr w:type="spellEnd"/>
      <w:r w:rsidRPr="00226805">
        <w:rPr>
          <w:lang w:val="en-US"/>
        </w:rPr>
        <w:t xml:space="preserve">, </w:t>
      </w:r>
      <w:proofErr w:type="spellStart"/>
      <w:r w:rsidRPr="00226805">
        <w:rPr>
          <w:lang w:val="en-US"/>
        </w:rPr>
        <w:t>anayasa</w:t>
      </w:r>
      <w:proofErr w:type="spellEnd"/>
      <w:r w:rsidRPr="00226805">
        <w:rPr>
          <w:lang w:val="en-US"/>
        </w:rPr>
        <w:t xml:space="preserve"> </w:t>
      </w:r>
      <w:proofErr w:type="spellStart"/>
      <w:r w:rsidRPr="00226805">
        <w:rPr>
          <w:lang w:val="en-US"/>
        </w:rPr>
        <w:t>teorisinin</w:t>
      </w:r>
      <w:proofErr w:type="spellEnd"/>
      <w:r w:rsidRPr="00226805">
        <w:rPr>
          <w:lang w:val="en-US"/>
        </w:rPr>
        <w:t xml:space="preserve">, </w:t>
      </w:r>
      <w:proofErr w:type="spellStart"/>
      <w:r w:rsidRPr="00226805">
        <w:rPr>
          <w:lang w:val="en-US"/>
        </w:rPr>
        <w:t>daha</w:t>
      </w:r>
      <w:proofErr w:type="spellEnd"/>
      <w:r w:rsidRPr="00226805">
        <w:rPr>
          <w:lang w:val="en-US"/>
        </w:rPr>
        <w:t xml:space="preserve"> yeni, </w:t>
      </w:r>
      <w:proofErr w:type="spellStart"/>
      <w:r w:rsidRPr="00226805">
        <w:rPr>
          <w:lang w:val="en-US"/>
        </w:rPr>
        <w:t>daha</w:t>
      </w:r>
      <w:proofErr w:type="spellEnd"/>
      <w:r w:rsidRPr="00226805">
        <w:rPr>
          <w:lang w:val="en-US"/>
        </w:rPr>
        <w:t xml:space="preserve"> </w:t>
      </w:r>
      <w:proofErr w:type="spellStart"/>
      <w:r w:rsidRPr="00226805">
        <w:rPr>
          <w:lang w:val="en-US"/>
        </w:rPr>
        <w:t>karmaşık</w:t>
      </w:r>
      <w:proofErr w:type="spellEnd"/>
      <w:r w:rsidRPr="00226805">
        <w:rPr>
          <w:lang w:val="en-US"/>
        </w:rPr>
        <w:t xml:space="preserve"> </w:t>
      </w:r>
      <w:proofErr w:type="spellStart"/>
      <w:r w:rsidRPr="00226805">
        <w:rPr>
          <w:lang w:val="en-US"/>
        </w:rPr>
        <w:t>veya</w:t>
      </w:r>
      <w:proofErr w:type="spellEnd"/>
      <w:r w:rsidRPr="00226805">
        <w:rPr>
          <w:lang w:val="en-US"/>
        </w:rPr>
        <w:t xml:space="preserve"> </w:t>
      </w:r>
      <w:proofErr w:type="spellStart"/>
      <w:r w:rsidRPr="00226805">
        <w:rPr>
          <w:lang w:val="en-US"/>
        </w:rPr>
        <w:t>daha</w:t>
      </w:r>
      <w:proofErr w:type="spellEnd"/>
      <w:r w:rsidRPr="00226805">
        <w:rPr>
          <w:lang w:val="en-US"/>
        </w:rPr>
        <w:t xml:space="preserve"> </w:t>
      </w:r>
      <w:proofErr w:type="spellStart"/>
      <w:r w:rsidRPr="00226805">
        <w:rPr>
          <w:lang w:val="en-US"/>
        </w:rPr>
        <w:t>tartışmalı</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uygulamaların</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düzenlemelerin</w:t>
      </w:r>
      <w:proofErr w:type="spellEnd"/>
      <w:r w:rsidRPr="00226805">
        <w:rPr>
          <w:lang w:val="en-US"/>
        </w:rPr>
        <w:t xml:space="preserve"> </w:t>
      </w:r>
      <w:proofErr w:type="spellStart"/>
      <w:r w:rsidRPr="00226805">
        <w:rPr>
          <w:lang w:val="en-US"/>
        </w:rPr>
        <w:t>önemini</w:t>
      </w:r>
      <w:proofErr w:type="spellEnd"/>
      <w:r w:rsidRPr="00226805">
        <w:rPr>
          <w:lang w:val="en-US"/>
        </w:rPr>
        <w:t xml:space="preserve"> </w:t>
      </w:r>
      <w:proofErr w:type="spellStart"/>
      <w:r w:rsidRPr="00226805">
        <w:rPr>
          <w:lang w:val="en-US"/>
        </w:rPr>
        <w:t>göz</w:t>
      </w:r>
      <w:proofErr w:type="spellEnd"/>
      <w:r w:rsidRPr="00226805">
        <w:rPr>
          <w:lang w:val="en-US"/>
        </w:rPr>
        <w:t xml:space="preserve"> </w:t>
      </w:r>
      <w:proofErr w:type="spellStart"/>
      <w:r w:rsidRPr="00226805">
        <w:rPr>
          <w:lang w:val="en-US"/>
        </w:rPr>
        <w:t>ardı</w:t>
      </w:r>
      <w:proofErr w:type="spellEnd"/>
      <w:r w:rsidRPr="00226805">
        <w:rPr>
          <w:lang w:val="en-US"/>
        </w:rPr>
        <w:t xml:space="preserve"> </w:t>
      </w:r>
      <w:proofErr w:type="spellStart"/>
      <w:r w:rsidRPr="00226805">
        <w:rPr>
          <w:lang w:val="en-US"/>
        </w:rPr>
        <w:t>etme</w:t>
      </w:r>
      <w:proofErr w:type="spellEnd"/>
      <w:r w:rsidRPr="00226805">
        <w:rPr>
          <w:lang w:val="en-US"/>
        </w:rPr>
        <w:t xml:space="preserve"> </w:t>
      </w:r>
      <w:proofErr w:type="spellStart"/>
      <w:r w:rsidRPr="00226805">
        <w:rPr>
          <w:lang w:val="en-US"/>
        </w:rPr>
        <w:t>veya</w:t>
      </w:r>
      <w:proofErr w:type="spellEnd"/>
      <w:r w:rsidRPr="00226805">
        <w:rPr>
          <w:lang w:val="en-US"/>
        </w:rPr>
        <w:t xml:space="preserve"> </w:t>
      </w:r>
      <w:proofErr w:type="spellStart"/>
      <w:r w:rsidRPr="00226805">
        <w:rPr>
          <w:lang w:val="en-US"/>
        </w:rPr>
        <w:t>hafife</w:t>
      </w:r>
      <w:proofErr w:type="spellEnd"/>
      <w:r w:rsidRPr="00226805">
        <w:rPr>
          <w:lang w:val="en-US"/>
        </w:rPr>
        <w:t xml:space="preserve"> alma </w:t>
      </w:r>
      <w:proofErr w:type="spellStart"/>
      <w:r w:rsidRPr="00226805">
        <w:rPr>
          <w:lang w:val="en-US"/>
        </w:rPr>
        <w:t>eğilimine</w:t>
      </w:r>
      <w:proofErr w:type="spellEnd"/>
      <w:r w:rsidRPr="00226805">
        <w:rPr>
          <w:lang w:val="en-US"/>
        </w:rPr>
        <w:t xml:space="preserve"> </w:t>
      </w:r>
      <w:proofErr w:type="spellStart"/>
      <w:r w:rsidRPr="00226805">
        <w:rPr>
          <w:lang w:val="en-US"/>
        </w:rPr>
        <w:t>yönelik</w:t>
      </w:r>
      <w:proofErr w:type="spellEnd"/>
      <w:r w:rsidRPr="00226805">
        <w:rPr>
          <w:lang w:val="en-US"/>
        </w:rPr>
        <w:t xml:space="preserve"> </w:t>
      </w:r>
      <w:proofErr w:type="spellStart"/>
      <w:r w:rsidRPr="00226805">
        <w:rPr>
          <w:lang w:val="en-US"/>
        </w:rPr>
        <w:t>benzer</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eleştiri</w:t>
      </w:r>
      <w:proofErr w:type="spellEnd"/>
      <w:r w:rsidRPr="00226805">
        <w:rPr>
          <w:lang w:val="en-US"/>
        </w:rPr>
        <w:t xml:space="preserve"> </w:t>
      </w:r>
      <w:proofErr w:type="spellStart"/>
      <w:r w:rsidRPr="00226805">
        <w:rPr>
          <w:lang w:val="en-US"/>
        </w:rPr>
        <w:t>sundum</w:t>
      </w:r>
      <w:proofErr w:type="spellEnd"/>
      <w:r w:rsidRPr="00226805">
        <w:rPr>
          <w:lang w:val="en-US"/>
        </w:rPr>
        <w:t xml:space="preserve">. Bu </w:t>
      </w:r>
      <w:proofErr w:type="spellStart"/>
      <w:r w:rsidRPr="00226805">
        <w:rPr>
          <w:lang w:val="en-US"/>
        </w:rPr>
        <w:t>bölümde</w:t>
      </w:r>
      <w:proofErr w:type="spellEnd"/>
      <w:r w:rsidRPr="00226805">
        <w:rPr>
          <w:lang w:val="en-US"/>
        </w:rPr>
        <w:t xml:space="preserve">, </w:t>
      </w:r>
      <w:proofErr w:type="spellStart"/>
      <w:r w:rsidRPr="00226805">
        <w:rPr>
          <w:lang w:val="en-US"/>
        </w:rPr>
        <w:t>söz</w:t>
      </w:r>
      <w:proofErr w:type="spellEnd"/>
      <w:r w:rsidRPr="00226805">
        <w:rPr>
          <w:lang w:val="en-US"/>
        </w:rPr>
        <w:t xml:space="preserve"> </w:t>
      </w:r>
      <w:proofErr w:type="spellStart"/>
      <w:r w:rsidRPr="00226805">
        <w:rPr>
          <w:lang w:val="en-US"/>
        </w:rPr>
        <w:t>konusu</w:t>
      </w:r>
      <w:proofErr w:type="spellEnd"/>
      <w:r w:rsidRPr="00226805">
        <w:rPr>
          <w:lang w:val="en-US"/>
        </w:rPr>
        <w:t xml:space="preserve"> </w:t>
      </w:r>
      <w:proofErr w:type="spellStart"/>
      <w:r w:rsidRPr="00226805">
        <w:rPr>
          <w:lang w:val="en-US"/>
        </w:rPr>
        <w:t>unsurların</w:t>
      </w:r>
      <w:proofErr w:type="spellEnd"/>
      <w:r w:rsidRPr="00226805">
        <w:rPr>
          <w:lang w:val="en-US"/>
        </w:rPr>
        <w:t xml:space="preserve"> </w:t>
      </w:r>
      <w:proofErr w:type="spellStart"/>
      <w:r w:rsidRPr="00226805">
        <w:rPr>
          <w:lang w:val="en-US"/>
        </w:rPr>
        <w:t>aslında</w:t>
      </w:r>
      <w:proofErr w:type="spellEnd"/>
      <w:r w:rsidRPr="00226805">
        <w:rPr>
          <w:lang w:val="en-US"/>
        </w:rPr>
        <w:t xml:space="preserve"> </w:t>
      </w:r>
      <w:proofErr w:type="spellStart"/>
      <w:r w:rsidRPr="00226805">
        <w:rPr>
          <w:lang w:val="en-US"/>
        </w:rPr>
        <w:t>anayasa</w:t>
      </w:r>
      <w:proofErr w:type="spellEnd"/>
      <w:r w:rsidRPr="00226805">
        <w:rPr>
          <w:lang w:val="en-US"/>
        </w:rPr>
        <w:t xml:space="preserve"> </w:t>
      </w:r>
      <w:proofErr w:type="spellStart"/>
      <w:r w:rsidRPr="00226805">
        <w:rPr>
          <w:lang w:val="en-US"/>
        </w:rPr>
        <w:t>hukuku</w:t>
      </w:r>
      <w:proofErr w:type="spellEnd"/>
      <w:r w:rsidRPr="00226805">
        <w:rPr>
          <w:lang w:val="en-US"/>
        </w:rPr>
        <w:t xml:space="preserve"> </w:t>
      </w:r>
      <w:proofErr w:type="spellStart"/>
      <w:r w:rsidRPr="00226805">
        <w:rPr>
          <w:lang w:val="en-US"/>
        </w:rPr>
        <w:t>yapım</w:t>
      </w:r>
      <w:proofErr w:type="spellEnd"/>
      <w:r w:rsidRPr="00226805">
        <w:rPr>
          <w:lang w:val="en-US"/>
        </w:rPr>
        <w:t xml:space="preserve"> </w:t>
      </w:r>
      <w:proofErr w:type="spellStart"/>
      <w:r w:rsidRPr="00226805">
        <w:rPr>
          <w:lang w:val="en-US"/>
        </w:rPr>
        <w:t>sürecinde</w:t>
      </w:r>
      <w:proofErr w:type="spellEnd"/>
      <w:r w:rsidRPr="00226805">
        <w:rPr>
          <w:lang w:val="en-US"/>
        </w:rPr>
        <w:t xml:space="preserve"> </w:t>
      </w:r>
      <w:proofErr w:type="spellStart"/>
      <w:r w:rsidRPr="00226805">
        <w:rPr>
          <w:lang w:val="en-US"/>
        </w:rPr>
        <w:t>önemli</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rol</w:t>
      </w:r>
      <w:proofErr w:type="spellEnd"/>
      <w:r w:rsidRPr="00226805">
        <w:rPr>
          <w:lang w:val="en-US"/>
        </w:rPr>
        <w:t xml:space="preserve"> </w:t>
      </w:r>
      <w:proofErr w:type="spellStart"/>
      <w:r w:rsidRPr="00226805">
        <w:rPr>
          <w:lang w:val="en-US"/>
        </w:rPr>
        <w:t>oynadığını</w:t>
      </w:r>
      <w:proofErr w:type="spellEnd"/>
      <w:r w:rsidRPr="00226805">
        <w:rPr>
          <w:lang w:val="en-US"/>
        </w:rPr>
        <w:t xml:space="preserve"> </w:t>
      </w:r>
      <w:proofErr w:type="spellStart"/>
      <w:r w:rsidRPr="00226805">
        <w:rPr>
          <w:lang w:val="en-US"/>
        </w:rPr>
        <w:t>ortaya</w:t>
      </w:r>
      <w:proofErr w:type="spellEnd"/>
      <w:r w:rsidRPr="00226805">
        <w:rPr>
          <w:lang w:val="en-US"/>
        </w:rPr>
        <w:t xml:space="preserve"> koydum.¹⁴⁷</w:t>
      </w:r>
      <w:r>
        <w:rPr>
          <w:lang w:val="en-US"/>
        </w:rPr>
        <w:t xml:space="preserve"> </w:t>
      </w:r>
      <w:r>
        <w:rPr>
          <w:rStyle w:val="FootnoteReference"/>
          <w:lang w:val="en-US"/>
        </w:rPr>
        <w:footnoteReference w:id="147"/>
      </w:r>
    </w:p>
    <w:p w14:paraId="686194F8" w14:textId="2E8619D5" w:rsidR="00226805" w:rsidRDefault="00226805" w:rsidP="00226805">
      <w:pPr>
        <w:rPr>
          <w:lang w:val="en-US"/>
        </w:rPr>
      </w:pPr>
      <w:r w:rsidRPr="00226805">
        <w:rPr>
          <w:lang w:val="en-US"/>
        </w:rPr>
        <w:t xml:space="preserve">Bu </w:t>
      </w:r>
      <w:proofErr w:type="spellStart"/>
      <w:r w:rsidRPr="00226805">
        <w:rPr>
          <w:lang w:val="en-US"/>
        </w:rPr>
        <w:t>bölüm</w:t>
      </w:r>
      <w:proofErr w:type="spellEnd"/>
      <w:r w:rsidRPr="00226805">
        <w:rPr>
          <w:lang w:val="en-US"/>
        </w:rPr>
        <w:t xml:space="preserve">, </w:t>
      </w:r>
      <w:proofErr w:type="spellStart"/>
      <w:r w:rsidRPr="00226805">
        <w:rPr>
          <w:lang w:val="en-US"/>
        </w:rPr>
        <w:t>eleştiriden</w:t>
      </w:r>
      <w:proofErr w:type="spellEnd"/>
      <w:r w:rsidRPr="00226805">
        <w:rPr>
          <w:lang w:val="en-US"/>
        </w:rPr>
        <w:t xml:space="preserve"> </w:t>
      </w:r>
      <w:proofErr w:type="spellStart"/>
      <w:r w:rsidRPr="00226805">
        <w:rPr>
          <w:lang w:val="en-US"/>
        </w:rPr>
        <w:t>kuramsal</w:t>
      </w:r>
      <w:proofErr w:type="spellEnd"/>
      <w:r w:rsidRPr="00226805">
        <w:rPr>
          <w:lang w:val="en-US"/>
        </w:rPr>
        <w:t xml:space="preserve"> </w:t>
      </w:r>
      <w:proofErr w:type="spellStart"/>
      <w:r w:rsidRPr="00226805">
        <w:rPr>
          <w:lang w:val="en-US"/>
        </w:rPr>
        <w:t>inşaya</w:t>
      </w:r>
      <w:proofErr w:type="spellEnd"/>
      <w:r w:rsidRPr="00226805">
        <w:rPr>
          <w:lang w:val="en-US"/>
        </w:rPr>
        <w:t xml:space="preserve"> </w:t>
      </w:r>
      <w:proofErr w:type="spellStart"/>
      <w:r w:rsidRPr="00226805">
        <w:rPr>
          <w:lang w:val="en-US"/>
        </w:rPr>
        <w:t>geçerek</w:t>
      </w:r>
      <w:proofErr w:type="spellEnd"/>
      <w:r w:rsidRPr="00226805">
        <w:rPr>
          <w:lang w:val="en-US"/>
        </w:rPr>
        <w:t xml:space="preserve">, </w:t>
      </w:r>
      <w:proofErr w:type="spellStart"/>
      <w:r w:rsidRPr="00226805">
        <w:rPr>
          <w:lang w:val="en-US"/>
        </w:rPr>
        <w:t>anayasa</w:t>
      </w:r>
      <w:proofErr w:type="spellEnd"/>
      <w:r w:rsidRPr="00226805">
        <w:rPr>
          <w:lang w:val="en-US"/>
        </w:rPr>
        <w:t xml:space="preserve"> </w:t>
      </w:r>
      <w:proofErr w:type="spellStart"/>
      <w:r w:rsidRPr="00226805">
        <w:rPr>
          <w:lang w:val="en-US"/>
        </w:rPr>
        <w:t>teorisyenleri</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genel</w:t>
      </w:r>
      <w:proofErr w:type="spellEnd"/>
      <w:r w:rsidRPr="00226805">
        <w:rPr>
          <w:lang w:val="en-US"/>
        </w:rPr>
        <w:t xml:space="preserve"> </w:t>
      </w:r>
      <w:proofErr w:type="spellStart"/>
      <w:r w:rsidRPr="00226805">
        <w:rPr>
          <w:lang w:val="en-US"/>
        </w:rPr>
        <w:t>olarak</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yorumcuların</w:t>
      </w:r>
      <w:proofErr w:type="spellEnd"/>
      <w:r w:rsidRPr="00226805">
        <w:rPr>
          <w:lang w:val="en-US"/>
        </w:rPr>
        <w:t xml:space="preserve"> </w:t>
      </w:r>
      <w:proofErr w:type="spellStart"/>
      <w:r w:rsidRPr="00226805">
        <w:rPr>
          <w:lang w:val="en-US"/>
        </w:rPr>
        <w:t>çağdaş</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düzenlemeleri</w:t>
      </w:r>
      <w:proofErr w:type="spellEnd"/>
      <w:r w:rsidRPr="00226805">
        <w:rPr>
          <w:lang w:val="en-US"/>
        </w:rPr>
        <w:t xml:space="preserve">, </w:t>
      </w:r>
      <w:proofErr w:type="spellStart"/>
      <w:r w:rsidRPr="00226805">
        <w:rPr>
          <w:lang w:val="en-US"/>
        </w:rPr>
        <w:t>uygulamaları</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normları</w:t>
      </w:r>
      <w:proofErr w:type="spellEnd"/>
      <w:r w:rsidRPr="00226805">
        <w:rPr>
          <w:lang w:val="en-US"/>
        </w:rPr>
        <w:t xml:space="preserve"> </w:t>
      </w:r>
      <w:proofErr w:type="spellStart"/>
      <w:r w:rsidRPr="00226805">
        <w:rPr>
          <w:lang w:val="en-US"/>
        </w:rPr>
        <w:t>inceleyebileceği</w:t>
      </w:r>
      <w:proofErr w:type="spellEnd"/>
      <w:r w:rsidRPr="00226805">
        <w:rPr>
          <w:lang w:val="en-US"/>
        </w:rPr>
        <w:t xml:space="preserve">, </w:t>
      </w:r>
      <w:proofErr w:type="spellStart"/>
      <w:r w:rsidRPr="00226805">
        <w:rPr>
          <w:lang w:val="en-US"/>
        </w:rPr>
        <w:t>analiz</w:t>
      </w:r>
      <w:proofErr w:type="spellEnd"/>
      <w:r w:rsidRPr="00226805">
        <w:rPr>
          <w:lang w:val="en-US"/>
        </w:rPr>
        <w:t xml:space="preserve"> </w:t>
      </w:r>
      <w:proofErr w:type="spellStart"/>
      <w:r w:rsidRPr="00226805">
        <w:rPr>
          <w:lang w:val="en-US"/>
        </w:rPr>
        <w:t>edebileceği</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eleştirebileceği</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çerçeve</w:t>
      </w:r>
      <w:proofErr w:type="spellEnd"/>
      <w:r w:rsidRPr="00226805">
        <w:rPr>
          <w:lang w:val="en-US"/>
        </w:rPr>
        <w:t xml:space="preserve"> </w:t>
      </w:r>
      <w:proofErr w:type="spellStart"/>
      <w:r w:rsidRPr="00226805">
        <w:rPr>
          <w:lang w:val="en-US"/>
        </w:rPr>
        <w:t>sunmaktadır</w:t>
      </w:r>
      <w:proofErr w:type="spellEnd"/>
      <w:r w:rsidRPr="00226805">
        <w:rPr>
          <w:lang w:val="en-US"/>
        </w:rPr>
        <w:t>.</w:t>
      </w:r>
      <w:r>
        <w:rPr>
          <w:lang w:val="en-US"/>
        </w:rPr>
        <w:t xml:space="preserve"> </w:t>
      </w:r>
      <w:r w:rsidRPr="00226805">
        <w:rPr>
          <w:lang w:val="en-US"/>
        </w:rPr>
        <w:t xml:space="preserve">Bu </w:t>
      </w:r>
      <w:proofErr w:type="spellStart"/>
      <w:r w:rsidRPr="00226805">
        <w:rPr>
          <w:lang w:val="en-US"/>
        </w:rPr>
        <w:t>çerçevenin</w:t>
      </w:r>
      <w:proofErr w:type="spellEnd"/>
      <w:r w:rsidRPr="00226805">
        <w:rPr>
          <w:lang w:val="en-US"/>
        </w:rPr>
        <w:t xml:space="preserve"> </w:t>
      </w:r>
      <w:proofErr w:type="spellStart"/>
      <w:r w:rsidRPr="00226805">
        <w:rPr>
          <w:lang w:val="en-US"/>
        </w:rPr>
        <w:t>başlangıç</w:t>
      </w:r>
      <w:proofErr w:type="spellEnd"/>
      <w:r w:rsidRPr="00226805">
        <w:rPr>
          <w:lang w:val="en-US"/>
        </w:rPr>
        <w:t xml:space="preserve"> </w:t>
      </w:r>
      <w:proofErr w:type="spellStart"/>
      <w:r w:rsidRPr="00226805">
        <w:rPr>
          <w:lang w:val="en-US"/>
        </w:rPr>
        <w:t>noktası</w:t>
      </w:r>
      <w:proofErr w:type="spellEnd"/>
      <w:r w:rsidRPr="00226805">
        <w:rPr>
          <w:lang w:val="en-US"/>
        </w:rPr>
        <w:t xml:space="preserve">, </w:t>
      </w:r>
      <w:proofErr w:type="spellStart"/>
      <w:r w:rsidRPr="00226805">
        <w:rPr>
          <w:lang w:val="en-US"/>
        </w:rPr>
        <w:t>Bölüm</w:t>
      </w:r>
      <w:proofErr w:type="spellEnd"/>
      <w:r w:rsidRPr="00226805">
        <w:rPr>
          <w:lang w:val="en-US"/>
        </w:rPr>
        <w:t xml:space="preserve"> </w:t>
      </w:r>
      <w:proofErr w:type="spellStart"/>
      <w:r w:rsidRPr="00226805">
        <w:rPr>
          <w:lang w:val="en-US"/>
        </w:rPr>
        <w:t>I’de</w:t>
      </w:r>
      <w:proofErr w:type="spellEnd"/>
      <w:r w:rsidRPr="00226805">
        <w:rPr>
          <w:lang w:val="en-US"/>
        </w:rPr>
        <w:t xml:space="preserve"> </w:t>
      </w:r>
      <w:proofErr w:type="spellStart"/>
      <w:r w:rsidRPr="00226805">
        <w:rPr>
          <w:lang w:val="en-US"/>
        </w:rPr>
        <w:t>ele</w:t>
      </w:r>
      <w:proofErr w:type="spellEnd"/>
      <w:r w:rsidRPr="00226805">
        <w:rPr>
          <w:lang w:val="en-US"/>
        </w:rPr>
        <w:t xml:space="preserve"> </w:t>
      </w:r>
      <w:proofErr w:type="spellStart"/>
      <w:r w:rsidRPr="00226805">
        <w:rPr>
          <w:lang w:val="en-US"/>
        </w:rPr>
        <w:t>alınan</w:t>
      </w:r>
      <w:proofErr w:type="spellEnd"/>
      <w:r w:rsidRPr="00226805">
        <w:rPr>
          <w:lang w:val="en-US"/>
        </w:rPr>
        <w:t xml:space="preserve"> </w:t>
      </w:r>
      <w:proofErr w:type="spellStart"/>
      <w:r w:rsidRPr="00226805">
        <w:rPr>
          <w:lang w:val="en-US"/>
        </w:rPr>
        <w:t>uygulamalar</w:t>
      </w:r>
      <w:proofErr w:type="spellEnd"/>
      <w:r w:rsidRPr="00226805">
        <w:rPr>
          <w:lang w:val="en-US"/>
        </w:rPr>
        <w:t xml:space="preserve">, </w:t>
      </w:r>
      <w:proofErr w:type="spellStart"/>
      <w:r w:rsidRPr="00226805">
        <w:rPr>
          <w:lang w:val="en-US"/>
        </w:rPr>
        <w:t>düzenlemeler</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normlarla</w:t>
      </w:r>
      <w:proofErr w:type="spellEnd"/>
      <w:r w:rsidRPr="00226805">
        <w:rPr>
          <w:lang w:val="en-US"/>
        </w:rPr>
        <w:t xml:space="preserve"> </w:t>
      </w:r>
      <w:proofErr w:type="spellStart"/>
      <w:r w:rsidRPr="00226805">
        <w:rPr>
          <w:lang w:val="en-US"/>
        </w:rPr>
        <w:t>Bölüm</w:t>
      </w:r>
      <w:proofErr w:type="spellEnd"/>
      <w:r w:rsidRPr="00226805">
        <w:rPr>
          <w:lang w:val="en-US"/>
        </w:rPr>
        <w:t xml:space="preserve"> </w:t>
      </w:r>
      <w:proofErr w:type="spellStart"/>
      <w:r w:rsidRPr="00226805">
        <w:rPr>
          <w:lang w:val="en-US"/>
        </w:rPr>
        <w:t>II’de</w:t>
      </w:r>
      <w:proofErr w:type="spellEnd"/>
      <w:r w:rsidRPr="00226805">
        <w:rPr>
          <w:lang w:val="en-US"/>
        </w:rPr>
        <w:t xml:space="preserve"> </w:t>
      </w:r>
      <w:proofErr w:type="spellStart"/>
      <w:r w:rsidRPr="00226805">
        <w:rPr>
          <w:lang w:val="en-US"/>
        </w:rPr>
        <w:t>tartışılanlar</w:t>
      </w:r>
      <w:proofErr w:type="spellEnd"/>
      <w:r w:rsidRPr="00226805">
        <w:rPr>
          <w:lang w:val="en-US"/>
        </w:rPr>
        <w:t xml:space="preserve"> </w:t>
      </w:r>
      <w:proofErr w:type="spellStart"/>
      <w:r w:rsidRPr="00226805">
        <w:rPr>
          <w:lang w:val="en-US"/>
        </w:rPr>
        <w:t>arasında</w:t>
      </w:r>
      <w:proofErr w:type="spellEnd"/>
      <w:r w:rsidRPr="00226805">
        <w:rPr>
          <w:lang w:val="en-US"/>
        </w:rPr>
        <w:t xml:space="preserve"> </w:t>
      </w:r>
      <w:proofErr w:type="spellStart"/>
      <w:r w:rsidRPr="00226805">
        <w:rPr>
          <w:lang w:val="en-US"/>
        </w:rPr>
        <w:t>analitik</w:t>
      </w:r>
      <w:proofErr w:type="spellEnd"/>
      <w:r w:rsidRPr="00226805">
        <w:rPr>
          <w:lang w:val="en-US"/>
        </w:rPr>
        <w:t xml:space="preserve"> </w:t>
      </w:r>
      <w:proofErr w:type="spellStart"/>
      <w:r w:rsidRPr="00226805">
        <w:rPr>
          <w:lang w:val="en-US"/>
        </w:rPr>
        <w:t>veya</w:t>
      </w:r>
      <w:proofErr w:type="spellEnd"/>
      <w:r w:rsidRPr="00226805">
        <w:rPr>
          <w:lang w:val="en-US"/>
        </w:rPr>
        <w:t xml:space="preserve"> </w:t>
      </w:r>
      <w:proofErr w:type="spellStart"/>
      <w:r w:rsidRPr="00226805">
        <w:rPr>
          <w:lang w:val="en-US"/>
        </w:rPr>
        <w:t>kavramsal</w:t>
      </w:r>
      <w:proofErr w:type="spellEnd"/>
      <w:r w:rsidRPr="00226805">
        <w:rPr>
          <w:lang w:val="en-US"/>
        </w:rPr>
        <w:t xml:space="preserve"> </w:t>
      </w:r>
      <w:proofErr w:type="spellStart"/>
      <w:r w:rsidRPr="00226805">
        <w:rPr>
          <w:lang w:val="en-US"/>
        </w:rPr>
        <w:t>açıdan</w:t>
      </w:r>
      <w:proofErr w:type="spellEnd"/>
      <w:r w:rsidRPr="00226805">
        <w:rPr>
          <w:lang w:val="en-US"/>
        </w:rPr>
        <w:t xml:space="preserve"> </w:t>
      </w:r>
      <w:proofErr w:type="spellStart"/>
      <w:r w:rsidRPr="00226805">
        <w:rPr>
          <w:lang w:val="en-US"/>
        </w:rPr>
        <w:t>önemli</w:t>
      </w:r>
      <w:proofErr w:type="spellEnd"/>
      <w:r w:rsidRPr="00226805">
        <w:rPr>
          <w:lang w:val="en-US"/>
        </w:rPr>
        <w:t xml:space="preserve"> </w:t>
      </w:r>
      <w:proofErr w:type="spellStart"/>
      <w:r w:rsidRPr="00226805">
        <w:rPr>
          <w:lang w:val="en-US"/>
        </w:rPr>
        <w:t>bir</w:t>
      </w:r>
      <w:proofErr w:type="spellEnd"/>
      <w:r w:rsidRPr="00226805">
        <w:rPr>
          <w:lang w:val="en-US"/>
        </w:rPr>
        <w:t xml:space="preserve"> fark </w:t>
      </w:r>
      <w:proofErr w:type="spellStart"/>
      <w:r w:rsidRPr="00226805">
        <w:rPr>
          <w:lang w:val="en-US"/>
        </w:rPr>
        <w:t>bulunmadığı</w:t>
      </w:r>
      <w:proofErr w:type="spellEnd"/>
      <w:r w:rsidRPr="00226805">
        <w:rPr>
          <w:lang w:val="en-US"/>
        </w:rPr>
        <w:t xml:space="preserve"> </w:t>
      </w:r>
      <w:proofErr w:type="spellStart"/>
      <w:r w:rsidRPr="00226805">
        <w:rPr>
          <w:lang w:val="en-US"/>
        </w:rPr>
        <w:t>inancıdır</w:t>
      </w:r>
      <w:proofErr w:type="spellEnd"/>
      <w:r w:rsidRPr="00226805">
        <w:rPr>
          <w:lang w:val="en-US"/>
        </w:rPr>
        <w:t xml:space="preserve">. Her </w:t>
      </w:r>
      <w:proofErr w:type="spellStart"/>
      <w:r w:rsidRPr="00226805">
        <w:rPr>
          <w:lang w:val="en-US"/>
        </w:rPr>
        <w:t>iki</w:t>
      </w:r>
      <w:proofErr w:type="spellEnd"/>
      <w:r w:rsidRPr="00226805">
        <w:rPr>
          <w:lang w:val="en-US"/>
        </w:rPr>
        <w:t xml:space="preserve"> </w:t>
      </w:r>
      <w:proofErr w:type="spellStart"/>
      <w:r w:rsidRPr="00226805">
        <w:rPr>
          <w:lang w:val="en-US"/>
        </w:rPr>
        <w:t>durumda</w:t>
      </w:r>
      <w:proofErr w:type="spellEnd"/>
      <w:r w:rsidRPr="00226805">
        <w:rPr>
          <w:lang w:val="en-US"/>
        </w:rPr>
        <w:t xml:space="preserve"> da, </w:t>
      </w:r>
      <w:proofErr w:type="spellStart"/>
      <w:r w:rsidRPr="00226805">
        <w:rPr>
          <w:lang w:val="en-US"/>
        </w:rPr>
        <w:t>incelenen</w:t>
      </w:r>
      <w:proofErr w:type="spellEnd"/>
      <w:r w:rsidRPr="00226805">
        <w:rPr>
          <w:lang w:val="en-US"/>
        </w:rPr>
        <w:t xml:space="preserve"> </w:t>
      </w:r>
      <w:proofErr w:type="spellStart"/>
      <w:r w:rsidRPr="00226805">
        <w:rPr>
          <w:lang w:val="en-US"/>
        </w:rPr>
        <w:t>unsurlar</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karar</w:t>
      </w:r>
      <w:proofErr w:type="spellEnd"/>
      <w:r w:rsidRPr="00226805">
        <w:rPr>
          <w:lang w:val="en-US"/>
        </w:rPr>
        <w:t xml:space="preserve"> alma </w:t>
      </w:r>
      <w:proofErr w:type="spellStart"/>
      <w:r w:rsidRPr="00226805">
        <w:rPr>
          <w:lang w:val="en-US"/>
        </w:rPr>
        <w:t>rejimimizin</w:t>
      </w:r>
      <w:proofErr w:type="spellEnd"/>
      <w:r w:rsidRPr="00226805">
        <w:rPr>
          <w:lang w:val="en-US"/>
        </w:rPr>
        <w:t xml:space="preserve"> </w:t>
      </w:r>
      <w:proofErr w:type="spellStart"/>
      <w:r w:rsidRPr="00226805">
        <w:rPr>
          <w:lang w:val="en-US"/>
        </w:rPr>
        <w:t>tarihsel</w:t>
      </w:r>
      <w:proofErr w:type="spellEnd"/>
      <w:r w:rsidRPr="00226805">
        <w:rPr>
          <w:lang w:val="en-US"/>
        </w:rPr>
        <w:t xml:space="preserve"> </w:t>
      </w:r>
      <w:proofErr w:type="spellStart"/>
      <w:r w:rsidRPr="00226805">
        <w:rPr>
          <w:lang w:val="en-US"/>
        </w:rPr>
        <w:t>olarak</w:t>
      </w:r>
      <w:proofErr w:type="spellEnd"/>
      <w:r w:rsidRPr="00226805">
        <w:rPr>
          <w:lang w:val="en-US"/>
        </w:rPr>
        <w:t xml:space="preserve"> </w:t>
      </w:r>
      <w:proofErr w:type="spellStart"/>
      <w:r w:rsidRPr="00226805">
        <w:rPr>
          <w:lang w:val="en-US"/>
        </w:rPr>
        <w:t>rastlantısal</w:t>
      </w:r>
      <w:proofErr w:type="spellEnd"/>
      <w:r w:rsidRPr="00226805">
        <w:rPr>
          <w:lang w:val="en-US"/>
        </w:rPr>
        <w:t xml:space="preserve"> </w:t>
      </w:r>
      <w:proofErr w:type="spellStart"/>
      <w:r w:rsidRPr="00226805">
        <w:rPr>
          <w:lang w:val="en-US"/>
        </w:rPr>
        <w:t>ancak</w:t>
      </w:r>
      <w:proofErr w:type="spellEnd"/>
      <w:r w:rsidRPr="00226805">
        <w:rPr>
          <w:lang w:val="en-US"/>
        </w:rPr>
        <w:t xml:space="preserve"> son </w:t>
      </w:r>
      <w:proofErr w:type="spellStart"/>
      <w:r w:rsidRPr="00226805">
        <w:rPr>
          <w:lang w:val="en-US"/>
        </w:rPr>
        <w:t>derece</w:t>
      </w:r>
      <w:proofErr w:type="spellEnd"/>
      <w:r w:rsidRPr="00226805">
        <w:rPr>
          <w:lang w:val="en-US"/>
        </w:rPr>
        <w:t xml:space="preserve"> </w:t>
      </w:r>
      <w:proofErr w:type="spellStart"/>
      <w:r w:rsidRPr="00226805">
        <w:rPr>
          <w:lang w:val="en-US"/>
        </w:rPr>
        <w:t>önemli</w:t>
      </w:r>
      <w:proofErr w:type="spellEnd"/>
      <w:r w:rsidRPr="00226805">
        <w:rPr>
          <w:lang w:val="en-US"/>
        </w:rPr>
        <w:t xml:space="preserve"> </w:t>
      </w:r>
      <w:proofErr w:type="spellStart"/>
      <w:r w:rsidRPr="00226805">
        <w:rPr>
          <w:lang w:val="en-US"/>
        </w:rPr>
        <w:t>özellikleridir</w:t>
      </w:r>
      <w:proofErr w:type="spellEnd"/>
      <w:r w:rsidRPr="00226805">
        <w:rPr>
          <w:lang w:val="en-US"/>
        </w:rPr>
        <w:t xml:space="preserve"> </w:t>
      </w:r>
      <w:proofErr w:type="spellStart"/>
      <w:r w:rsidRPr="00226805">
        <w:rPr>
          <w:lang w:val="en-US"/>
        </w:rPr>
        <w:t>ve</w:t>
      </w:r>
      <w:proofErr w:type="spellEnd"/>
      <w:r w:rsidRPr="00226805">
        <w:rPr>
          <w:lang w:val="en-US"/>
        </w:rPr>
        <w:t xml:space="preserve"> </w:t>
      </w:r>
      <w:proofErr w:type="spellStart"/>
      <w:r w:rsidRPr="00226805">
        <w:rPr>
          <w:lang w:val="en-US"/>
        </w:rPr>
        <w:t>birlikte</w:t>
      </w:r>
      <w:proofErr w:type="spellEnd"/>
      <w:r w:rsidRPr="00226805">
        <w:rPr>
          <w:lang w:val="en-US"/>
        </w:rPr>
        <w:t xml:space="preserve"> </w:t>
      </w:r>
      <w:proofErr w:type="spellStart"/>
      <w:r w:rsidRPr="00226805">
        <w:rPr>
          <w:lang w:val="en-US"/>
        </w:rPr>
        <w:t>ele</w:t>
      </w:r>
      <w:proofErr w:type="spellEnd"/>
      <w:r w:rsidRPr="00226805">
        <w:rPr>
          <w:lang w:val="en-US"/>
        </w:rPr>
        <w:t xml:space="preserve"> </w:t>
      </w:r>
      <w:proofErr w:type="spellStart"/>
      <w:r w:rsidRPr="00226805">
        <w:rPr>
          <w:lang w:val="en-US"/>
        </w:rPr>
        <w:t>alınmaları</w:t>
      </w:r>
      <w:proofErr w:type="spellEnd"/>
      <w:r w:rsidRPr="00226805">
        <w:rPr>
          <w:lang w:val="en-US"/>
        </w:rPr>
        <w:t xml:space="preserve"> </w:t>
      </w:r>
      <w:proofErr w:type="spellStart"/>
      <w:r w:rsidRPr="00226805">
        <w:rPr>
          <w:lang w:val="en-US"/>
        </w:rPr>
        <w:t>teorik</w:t>
      </w:r>
      <w:proofErr w:type="spellEnd"/>
      <w:r w:rsidRPr="00226805">
        <w:rPr>
          <w:lang w:val="en-US"/>
        </w:rPr>
        <w:t xml:space="preserve"> </w:t>
      </w:r>
      <w:proofErr w:type="spellStart"/>
      <w:r w:rsidRPr="00226805">
        <w:rPr>
          <w:lang w:val="en-US"/>
        </w:rPr>
        <w:t>olarak</w:t>
      </w:r>
      <w:proofErr w:type="spellEnd"/>
      <w:r w:rsidRPr="00226805">
        <w:rPr>
          <w:lang w:val="en-US"/>
        </w:rPr>
        <w:t xml:space="preserve"> </w:t>
      </w:r>
      <w:proofErr w:type="spellStart"/>
      <w:r w:rsidRPr="00226805">
        <w:rPr>
          <w:lang w:val="en-US"/>
        </w:rPr>
        <w:t>faydalı</w:t>
      </w:r>
      <w:proofErr w:type="spellEnd"/>
      <w:r w:rsidRPr="00226805">
        <w:rPr>
          <w:lang w:val="en-US"/>
        </w:rPr>
        <w:t xml:space="preserve"> </w:t>
      </w:r>
      <w:proofErr w:type="spellStart"/>
      <w:r w:rsidRPr="00226805">
        <w:rPr>
          <w:lang w:val="en-US"/>
        </w:rPr>
        <w:t>olabilir</w:t>
      </w:r>
      <w:proofErr w:type="spellEnd"/>
      <w:r w:rsidRPr="00226805">
        <w:rPr>
          <w:lang w:val="en-US"/>
        </w:rPr>
        <w:t>.</w:t>
      </w:r>
      <w:r>
        <w:rPr>
          <w:lang w:val="en-US"/>
        </w:rPr>
        <w:t xml:space="preserve"> </w:t>
      </w:r>
      <w:r w:rsidRPr="00226805">
        <w:rPr>
          <w:lang w:val="en-US"/>
        </w:rPr>
        <w:t xml:space="preserve">En </w:t>
      </w:r>
      <w:proofErr w:type="spellStart"/>
      <w:r w:rsidRPr="00226805">
        <w:rPr>
          <w:lang w:val="en-US"/>
        </w:rPr>
        <w:t>basit</w:t>
      </w:r>
      <w:proofErr w:type="spellEnd"/>
      <w:r w:rsidRPr="00226805">
        <w:rPr>
          <w:lang w:val="en-US"/>
        </w:rPr>
        <w:t xml:space="preserve"> </w:t>
      </w:r>
      <w:proofErr w:type="spellStart"/>
      <w:r w:rsidRPr="00226805">
        <w:rPr>
          <w:lang w:val="en-US"/>
        </w:rPr>
        <w:t>hâliyle</w:t>
      </w:r>
      <w:proofErr w:type="spellEnd"/>
      <w:r w:rsidRPr="00226805">
        <w:rPr>
          <w:lang w:val="en-US"/>
        </w:rPr>
        <w:t xml:space="preserve">, </w:t>
      </w:r>
      <w:proofErr w:type="spellStart"/>
      <w:r w:rsidRPr="00226805">
        <w:rPr>
          <w:lang w:val="en-US"/>
        </w:rPr>
        <w:t>sunduğum</w:t>
      </w:r>
      <w:proofErr w:type="spellEnd"/>
      <w:r w:rsidRPr="00226805">
        <w:rPr>
          <w:lang w:val="en-US"/>
        </w:rPr>
        <w:t xml:space="preserve"> </w:t>
      </w:r>
      <w:proofErr w:type="spellStart"/>
      <w:r w:rsidRPr="00226805">
        <w:rPr>
          <w:lang w:val="en-US"/>
        </w:rPr>
        <w:t>çerçeve</w:t>
      </w:r>
      <w:proofErr w:type="spellEnd"/>
      <w:r w:rsidRPr="00226805">
        <w:rPr>
          <w:lang w:val="en-US"/>
        </w:rPr>
        <w:t xml:space="preserve">, </w:t>
      </w:r>
      <w:proofErr w:type="spellStart"/>
      <w:r w:rsidRPr="00226805">
        <w:rPr>
          <w:lang w:val="en-US"/>
        </w:rPr>
        <w:t>ister</w:t>
      </w:r>
      <w:proofErr w:type="spellEnd"/>
      <w:r w:rsidRPr="00226805">
        <w:rPr>
          <w:lang w:val="en-US"/>
        </w:rPr>
        <w:t xml:space="preserve"> </w:t>
      </w:r>
      <w:proofErr w:type="spellStart"/>
      <w:r w:rsidRPr="00226805">
        <w:rPr>
          <w:lang w:val="en-US"/>
        </w:rPr>
        <w:t>eski</w:t>
      </w:r>
      <w:proofErr w:type="spellEnd"/>
      <w:r w:rsidRPr="00226805">
        <w:rPr>
          <w:lang w:val="en-US"/>
        </w:rPr>
        <w:t xml:space="preserve"> </w:t>
      </w:r>
      <w:proofErr w:type="spellStart"/>
      <w:r w:rsidRPr="00226805">
        <w:rPr>
          <w:lang w:val="en-US"/>
        </w:rPr>
        <w:t>ister</w:t>
      </w:r>
      <w:proofErr w:type="spellEnd"/>
      <w:r w:rsidRPr="00226805">
        <w:rPr>
          <w:lang w:val="en-US"/>
        </w:rPr>
        <w:t xml:space="preserve"> yeni, </w:t>
      </w:r>
      <w:proofErr w:type="spellStart"/>
      <w:r w:rsidRPr="00226805">
        <w:rPr>
          <w:lang w:val="en-US"/>
        </w:rPr>
        <w:t>ister</w:t>
      </w:r>
      <w:proofErr w:type="spellEnd"/>
      <w:r w:rsidRPr="00226805">
        <w:rPr>
          <w:lang w:val="en-US"/>
        </w:rPr>
        <w:t xml:space="preserve"> </w:t>
      </w:r>
      <w:proofErr w:type="spellStart"/>
      <w:r w:rsidRPr="00226805">
        <w:rPr>
          <w:lang w:val="en-US"/>
        </w:rPr>
        <w:t>yerleşik</w:t>
      </w:r>
      <w:proofErr w:type="spellEnd"/>
      <w:r w:rsidRPr="00226805">
        <w:rPr>
          <w:lang w:val="en-US"/>
        </w:rPr>
        <w:t xml:space="preserve"> </w:t>
      </w:r>
      <w:proofErr w:type="spellStart"/>
      <w:r w:rsidRPr="00226805">
        <w:rPr>
          <w:lang w:val="en-US"/>
        </w:rPr>
        <w:t>ister</w:t>
      </w:r>
      <w:proofErr w:type="spellEnd"/>
      <w:r w:rsidRPr="00226805">
        <w:rPr>
          <w:lang w:val="en-US"/>
        </w:rPr>
        <w:t xml:space="preserve"> </w:t>
      </w:r>
      <w:proofErr w:type="spellStart"/>
      <w:r w:rsidRPr="00226805">
        <w:rPr>
          <w:lang w:val="en-US"/>
        </w:rPr>
        <w:t>geçici</w:t>
      </w:r>
      <w:proofErr w:type="spellEnd"/>
      <w:r w:rsidRPr="00226805">
        <w:rPr>
          <w:lang w:val="en-US"/>
        </w:rPr>
        <w:t xml:space="preserve">, </w:t>
      </w:r>
      <w:proofErr w:type="spellStart"/>
      <w:r w:rsidRPr="00226805">
        <w:rPr>
          <w:lang w:val="en-US"/>
        </w:rPr>
        <w:t>ister</w:t>
      </w:r>
      <w:proofErr w:type="spellEnd"/>
      <w:r w:rsidRPr="00226805">
        <w:rPr>
          <w:lang w:val="en-US"/>
        </w:rPr>
        <w:t xml:space="preserve"> </w:t>
      </w:r>
      <w:proofErr w:type="spellStart"/>
      <w:r w:rsidRPr="00226805">
        <w:rPr>
          <w:lang w:val="en-US"/>
        </w:rPr>
        <w:t>olumlu</w:t>
      </w:r>
      <w:proofErr w:type="spellEnd"/>
      <w:r w:rsidRPr="00226805">
        <w:rPr>
          <w:lang w:val="en-US"/>
        </w:rPr>
        <w:t xml:space="preserve"> </w:t>
      </w:r>
      <w:proofErr w:type="spellStart"/>
      <w:r w:rsidRPr="00226805">
        <w:rPr>
          <w:lang w:val="en-US"/>
        </w:rPr>
        <w:t>ister</w:t>
      </w:r>
      <w:proofErr w:type="spellEnd"/>
      <w:r w:rsidRPr="00226805">
        <w:rPr>
          <w:lang w:val="en-US"/>
        </w:rPr>
        <w:t xml:space="preserve"> </w:t>
      </w:r>
      <w:proofErr w:type="spellStart"/>
      <w:r w:rsidRPr="00226805">
        <w:rPr>
          <w:lang w:val="en-US"/>
        </w:rPr>
        <w:t>sorunlu</w:t>
      </w:r>
      <w:proofErr w:type="spellEnd"/>
      <w:r w:rsidRPr="00226805">
        <w:rPr>
          <w:lang w:val="en-US"/>
        </w:rPr>
        <w:t xml:space="preserve"> </w:t>
      </w:r>
      <w:proofErr w:type="spellStart"/>
      <w:r w:rsidRPr="00226805">
        <w:rPr>
          <w:lang w:val="en-US"/>
        </w:rPr>
        <w:t>olsun</w:t>
      </w:r>
      <w:proofErr w:type="spellEnd"/>
      <w:r w:rsidRPr="00226805">
        <w:rPr>
          <w:lang w:val="en-US"/>
        </w:rPr>
        <w:t xml:space="preserve">, </w:t>
      </w:r>
      <w:proofErr w:type="spellStart"/>
      <w:r w:rsidRPr="00226805">
        <w:rPr>
          <w:lang w:val="en-US"/>
        </w:rPr>
        <w:t>tüm</w:t>
      </w:r>
      <w:proofErr w:type="spellEnd"/>
      <w:r w:rsidRPr="00226805">
        <w:rPr>
          <w:lang w:val="en-US"/>
        </w:rPr>
        <w:t xml:space="preserve"> </w:t>
      </w:r>
      <w:proofErr w:type="spellStart"/>
      <w:r w:rsidRPr="00226805">
        <w:rPr>
          <w:lang w:val="en-US"/>
        </w:rPr>
        <w:t>bu</w:t>
      </w:r>
      <w:proofErr w:type="spellEnd"/>
      <w:r w:rsidRPr="00226805">
        <w:rPr>
          <w:lang w:val="en-US"/>
        </w:rPr>
        <w:t xml:space="preserve"> </w:t>
      </w:r>
      <w:proofErr w:type="spellStart"/>
      <w:r w:rsidRPr="00226805">
        <w:rPr>
          <w:lang w:val="en-US"/>
        </w:rPr>
        <w:t>unsurların</w:t>
      </w:r>
      <w:proofErr w:type="spellEnd"/>
      <w:r w:rsidRPr="00226805">
        <w:rPr>
          <w:lang w:val="en-US"/>
        </w:rPr>
        <w:t xml:space="preserve"> </w:t>
      </w:r>
      <w:proofErr w:type="spellStart"/>
      <w:r w:rsidRPr="00226805">
        <w:rPr>
          <w:lang w:val="en-US"/>
        </w:rPr>
        <w:t>bir</w:t>
      </w:r>
      <w:proofErr w:type="spellEnd"/>
      <w:r w:rsidRPr="00226805">
        <w:rPr>
          <w:lang w:val="en-US"/>
        </w:rPr>
        <w:t xml:space="preserve"> **“</w:t>
      </w:r>
      <w:proofErr w:type="spellStart"/>
      <w:r w:rsidRPr="00226805">
        <w:rPr>
          <w:lang w:val="en-US"/>
        </w:rPr>
        <w:t>anayasal</w:t>
      </w:r>
      <w:proofErr w:type="spellEnd"/>
      <w:r w:rsidRPr="00226805">
        <w:rPr>
          <w:lang w:val="en-US"/>
        </w:rPr>
        <w:t xml:space="preserve"> </w:t>
      </w:r>
      <w:proofErr w:type="spellStart"/>
      <w:r w:rsidRPr="00226805">
        <w:rPr>
          <w:lang w:val="en-US"/>
        </w:rPr>
        <w:t>kültür</w:t>
      </w:r>
      <w:proofErr w:type="spellEnd"/>
      <w:r w:rsidRPr="00226805">
        <w:rPr>
          <w:lang w:val="en-US"/>
        </w:rPr>
        <w:t>”**</w:t>
      </w:r>
      <w:proofErr w:type="spellStart"/>
      <w:r w:rsidRPr="00226805">
        <w:rPr>
          <w:lang w:val="en-US"/>
        </w:rPr>
        <w:t>ün</w:t>
      </w:r>
      <w:proofErr w:type="spellEnd"/>
      <w:r w:rsidRPr="00226805">
        <w:rPr>
          <w:lang w:val="en-US"/>
        </w:rPr>
        <w:t xml:space="preserve"> </w:t>
      </w:r>
      <w:proofErr w:type="spellStart"/>
      <w:r w:rsidRPr="00226805">
        <w:rPr>
          <w:lang w:val="en-US"/>
        </w:rPr>
        <w:t>parçaları</w:t>
      </w:r>
      <w:proofErr w:type="spellEnd"/>
      <w:r w:rsidRPr="00226805">
        <w:rPr>
          <w:lang w:val="en-US"/>
        </w:rPr>
        <w:t xml:space="preserve"> </w:t>
      </w:r>
      <w:proofErr w:type="spellStart"/>
      <w:r w:rsidRPr="00226805">
        <w:rPr>
          <w:lang w:val="en-US"/>
        </w:rPr>
        <w:t>olarak</w:t>
      </w:r>
      <w:proofErr w:type="spellEnd"/>
      <w:r w:rsidRPr="00226805">
        <w:rPr>
          <w:lang w:val="en-US"/>
        </w:rPr>
        <w:t xml:space="preserve"> </w:t>
      </w:r>
      <w:proofErr w:type="spellStart"/>
      <w:r w:rsidRPr="00226805">
        <w:rPr>
          <w:lang w:val="en-US"/>
        </w:rPr>
        <w:t>düşünülmesi</w:t>
      </w:r>
      <w:proofErr w:type="spellEnd"/>
      <w:r w:rsidRPr="00226805">
        <w:rPr>
          <w:lang w:val="en-US"/>
        </w:rPr>
        <w:t xml:space="preserve"> </w:t>
      </w:r>
      <w:proofErr w:type="spellStart"/>
      <w:r w:rsidRPr="00226805">
        <w:rPr>
          <w:lang w:val="en-US"/>
        </w:rPr>
        <w:t>gerektiğini</w:t>
      </w:r>
      <w:proofErr w:type="spellEnd"/>
      <w:r w:rsidRPr="00226805">
        <w:rPr>
          <w:lang w:val="en-US"/>
        </w:rPr>
        <w:t xml:space="preserve"> </w:t>
      </w:r>
      <w:proofErr w:type="spellStart"/>
      <w:r w:rsidRPr="00226805">
        <w:rPr>
          <w:lang w:val="en-US"/>
        </w:rPr>
        <w:t>öne</w:t>
      </w:r>
      <w:proofErr w:type="spellEnd"/>
      <w:r w:rsidRPr="00226805">
        <w:rPr>
          <w:lang w:val="en-US"/>
        </w:rPr>
        <w:t xml:space="preserve"> </w:t>
      </w:r>
      <w:proofErr w:type="spellStart"/>
      <w:r w:rsidRPr="00226805">
        <w:rPr>
          <w:lang w:val="en-US"/>
        </w:rPr>
        <w:t>sürmektedir</w:t>
      </w:r>
      <w:proofErr w:type="spellEnd"/>
      <w:r w:rsidRPr="00226805">
        <w:rPr>
          <w:lang w:val="en-US"/>
        </w:rPr>
        <w:t>.</w:t>
      </w:r>
      <w:r>
        <w:rPr>
          <w:lang w:val="en-US"/>
        </w:rPr>
        <w:t xml:space="preserve"> [1106 - 1107]</w:t>
      </w:r>
    </w:p>
    <w:p w14:paraId="3164D144" w14:textId="38E0D0A3" w:rsidR="00EC4E0F" w:rsidRDefault="00EC4E0F" w:rsidP="00EC4E0F">
      <w:pPr>
        <w:rPr>
          <w:lang w:val="en-US"/>
        </w:rPr>
      </w:pPr>
      <w:proofErr w:type="spellStart"/>
      <w:r w:rsidRPr="00EC4E0F">
        <w:rPr>
          <w:lang w:val="en-US"/>
        </w:rPr>
        <w:t>Bölüm</w:t>
      </w:r>
      <w:proofErr w:type="spellEnd"/>
      <w:r w:rsidRPr="00EC4E0F">
        <w:rPr>
          <w:lang w:val="en-US"/>
        </w:rPr>
        <w:t xml:space="preserve"> </w:t>
      </w:r>
      <w:proofErr w:type="spellStart"/>
      <w:r w:rsidRPr="00EC4E0F">
        <w:rPr>
          <w:lang w:val="en-US"/>
        </w:rPr>
        <w:t>III.A’da</w:t>
      </w:r>
      <w:proofErr w:type="spellEnd"/>
      <w:r w:rsidRPr="00EC4E0F">
        <w:rPr>
          <w:lang w:val="en-US"/>
        </w:rPr>
        <w:t xml:space="preserve">, </w:t>
      </w:r>
      <w:proofErr w:type="spellStart"/>
      <w:r w:rsidRPr="00EC4E0F">
        <w:rPr>
          <w:lang w:val="en-US"/>
        </w:rPr>
        <w:t>bu</w:t>
      </w:r>
      <w:proofErr w:type="spellEnd"/>
      <w:r w:rsidRPr="00EC4E0F">
        <w:rPr>
          <w:lang w:val="en-US"/>
        </w:rPr>
        <w:t xml:space="preserve"> </w:t>
      </w:r>
      <w:proofErr w:type="spellStart"/>
      <w:r w:rsidRPr="00EC4E0F">
        <w:rPr>
          <w:lang w:val="en-US"/>
        </w:rPr>
        <w:t>terime</w:t>
      </w:r>
      <w:proofErr w:type="spellEnd"/>
      <w:r w:rsidRPr="00EC4E0F">
        <w:rPr>
          <w:lang w:val="en-US"/>
        </w:rPr>
        <w:t xml:space="preserve"> </w:t>
      </w:r>
      <w:proofErr w:type="spellStart"/>
      <w:r w:rsidRPr="00EC4E0F">
        <w:rPr>
          <w:lang w:val="en-US"/>
        </w:rPr>
        <w:t>içerik</w:t>
      </w:r>
      <w:proofErr w:type="spellEnd"/>
      <w:r w:rsidRPr="00EC4E0F">
        <w:rPr>
          <w:lang w:val="en-US"/>
        </w:rPr>
        <w:t xml:space="preserve"> </w:t>
      </w:r>
      <w:proofErr w:type="spellStart"/>
      <w:r w:rsidRPr="00EC4E0F">
        <w:rPr>
          <w:lang w:val="en-US"/>
        </w:rPr>
        <w:t>kazandırarak</w:t>
      </w:r>
      <w:proofErr w:type="spellEnd"/>
      <w:r w:rsidRPr="00EC4E0F">
        <w:rPr>
          <w:lang w:val="en-US"/>
        </w:rPr>
        <w:t xml:space="preserve">, </w:t>
      </w:r>
      <w:proofErr w:type="spellStart"/>
      <w:r w:rsidRPr="00EC4E0F">
        <w:rPr>
          <w:lang w:val="en-US"/>
        </w:rPr>
        <w:t>bu</w:t>
      </w:r>
      <w:proofErr w:type="spellEnd"/>
      <w:r w:rsidRPr="00EC4E0F">
        <w:rPr>
          <w:lang w:val="en-US"/>
        </w:rPr>
        <w:t xml:space="preserve"> </w:t>
      </w:r>
      <w:proofErr w:type="spellStart"/>
      <w:r w:rsidRPr="00EC4E0F">
        <w:rPr>
          <w:lang w:val="en-US"/>
        </w:rPr>
        <w:t>özel</w:t>
      </w:r>
      <w:proofErr w:type="spellEnd"/>
      <w:r w:rsidRPr="00EC4E0F">
        <w:rPr>
          <w:lang w:val="en-US"/>
        </w:rPr>
        <w:t xml:space="preserve"> </w:t>
      </w:r>
      <w:proofErr w:type="spellStart"/>
      <w:r w:rsidRPr="00EC4E0F">
        <w:rPr>
          <w:lang w:val="en-US"/>
        </w:rPr>
        <w:t>kurgu</w:t>
      </w:r>
      <w:proofErr w:type="spellEnd"/>
      <w:r w:rsidRPr="00EC4E0F">
        <w:rPr>
          <w:lang w:val="en-US"/>
        </w:rPr>
        <w:t xml:space="preserve"> </w:t>
      </w:r>
      <w:proofErr w:type="spellStart"/>
      <w:r w:rsidRPr="00EC4E0F">
        <w:rPr>
          <w:lang w:val="en-US"/>
        </w:rPr>
        <w:t>ile</w:t>
      </w:r>
      <w:proofErr w:type="spellEnd"/>
      <w:r w:rsidRPr="00EC4E0F">
        <w:rPr>
          <w:lang w:val="en-US"/>
        </w:rPr>
        <w:t xml:space="preserve"> </w:t>
      </w:r>
      <w:proofErr w:type="spellStart"/>
      <w:r w:rsidRPr="00EC4E0F">
        <w:rPr>
          <w:lang w:val="en-US"/>
        </w:rPr>
        <w:t>ortaya</w:t>
      </w:r>
      <w:proofErr w:type="spellEnd"/>
      <w:r w:rsidRPr="00EC4E0F">
        <w:rPr>
          <w:lang w:val="en-US"/>
        </w:rPr>
        <w:t xml:space="preserve"> </w:t>
      </w:r>
      <w:proofErr w:type="spellStart"/>
      <w:r w:rsidRPr="00EC4E0F">
        <w:rPr>
          <w:lang w:val="en-US"/>
        </w:rPr>
        <w:t>koymak</w:t>
      </w:r>
      <w:proofErr w:type="spellEnd"/>
      <w:r w:rsidRPr="00EC4E0F">
        <w:rPr>
          <w:lang w:val="en-US"/>
        </w:rPr>
        <w:t xml:space="preserve"> </w:t>
      </w:r>
      <w:proofErr w:type="spellStart"/>
      <w:r w:rsidRPr="00EC4E0F">
        <w:rPr>
          <w:lang w:val="en-US"/>
        </w:rPr>
        <w:t>istediğim</w:t>
      </w:r>
      <w:proofErr w:type="spellEnd"/>
      <w:r w:rsidRPr="00EC4E0F">
        <w:rPr>
          <w:lang w:val="en-US"/>
        </w:rPr>
        <w:t xml:space="preserve"> </w:t>
      </w:r>
      <w:proofErr w:type="spellStart"/>
      <w:r w:rsidRPr="00EC4E0F">
        <w:rPr>
          <w:lang w:val="en-US"/>
        </w:rPr>
        <w:t>fikirleri</w:t>
      </w:r>
      <w:proofErr w:type="spellEnd"/>
      <w:r w:rsidRPr="00EC4E0F">
        <w:rPr>
          <w:lang w:val="en-US"/>
        </w:rPr>
        <w:t xml:space="preserve"> </w:t>
      </w:r>
      <w:proofErr w:type="spellStart"/>
      <w:r w:rsidRPr="00EC4E0F">
        <w:rPr>
          <w:lang w:val="en-US"/>
        </w:rPr>
        <w:t>açıklıyorum</w:t>
      </w:r>
      <w:proofErr w:type="spellEnd"/>
      <w:r w:rsidRPr="00EC4E0F">
        <w:rPr>
          <w:lang w:val="en-US"/>
        </w:rPr>
        <w:t>.</w:t>
      </w:r>
      <w:r w:rsidRPr="00EC4E0F">
        <w:rPr>
          <w:lang w:val="en-US"/>
        </w:rPr>
        <w:t xml:space="preserve"> </w:t>
      </w:r>
      <w:proofErr w:type="spellStart"/>
      <w:r w:rsidRPr="00EC4E0F">
        <w:rPr>
          <w:lang w:val="en-US"/>
        </w:rPr>
        <w:t>Bölüm</w:t>
      </w:r>
      <w:proofErr w:type="spellEnd"/>
      <w:r w:rsidRPr="00EC4E0F">
        <w:rPr>
          <w:lang w:val="en-US"/>
        </w:rPr>
        <w:t xml:space="preserve"> </w:t>
      </w:r>
      <w:proofErr w:type="spellStart"/>
      <w:r w:rsidRPr="00EC4E0F">
        <w:rPr>
          <w:lang w:val="en-US"/>
        </w:rPr>
        <w:t>III.B’de</w:t>
      </w:r>
      <w:proofErr w:type="spellEnd"/>
      <w:r w:rsidRPr="00EC4E0F">
        <w:rPr>
          <w:lang w:val="en-US"/>
        </w:rPr>
        <w:t xml:space="preserve"> </w:t>
      </w:r>
      <w:proofErr w:type="spellStart"/>
      <w:r w:rsidRPr="00EC4E0F">
        <w:rPr>
          <w:lang w:val="en-US"/>
        </w:rPr>
        <w:t>ise</w:t>
      </w:r>
      <w:proofErr w:type="spellEnd"/>
      <w:r w:rsidRPr="00EC4E0F">
        <w:rPr>
          <w:lang w:val="en-US"/>
        </w:rPr>
        <w:t xml:space="preserve">, </w:t>
      </w:r>
      <w:proofErr w:type="spellStart"/>
      <w:r w:rsidRPr="00EC4E0F">
        <w:rPr>
          <w:lang w:val="en-US"/>
        </w:rPr>
        <w:t>kullandığım</w:t>
      </w:r>
      <w:proofErr w:type="spellEnd"/>
      <w:r w:rsidRPr="00EC4E0F">
        <w:rPr>
          <w:lang w:val="en-US"/>
        </w:rPr>
        <w:t xml:space="preserve"> </w:t>
      </w:r>
      <w:proofErr w:type="spellStart"/>
      <w:r w:rsidRPr="00EC4E0F">
        <w:rPr>
          <w:lang w:val="en-US"/>
        </w:rPr>
        <w:t>terminolojiyi</w:t>
      </w:r>
      <w:proofErr w:type="spellEnd"/>
      <w:r w:rsidRPr="00EC4E0F">
        <w:rPr>
          <w:lang w:val="en-US"/>
        </w:rPr>
        <w:t xml:space="preserve"> </w:t>
      </w:r>
      <w:proofErr w:type="spellStart"/>
      <w:r w:rsidRPr="00EC4E0F">
        <w:rPr>
          <w:lang w:val="en-US"/>
        </w:rPr>
        <w:t>savunarak</w:t>
      </w:r>
      <w:proofErr w:type="spellEnd"/>
      <w:r w:rsidRPr="00EC4E0F">
        <w:rPr>
          <w:lang w:val="en-US"/>
        </w:rPr>
        <w:t>, “</w:t>
      </w:r>
      <w:proofErr w:type="spellStart"/>
      <w:r w:rsidRPr="00EC4E0F">
        <w:rPr>
          <w:lang w:val="en-US"/>
        </w:rPr>
        <w:t>anayasal</w:t>
      </w:r>
      <w:proofErr w:type="spellEnd"/>
      <w:r w:rsidRPr="00EC4E0F">
        <w:rPr>
          <w:lang w:val="en-US"/>
        </w:rPr>
        <w:t xml:space="preserve"> </w:t>
      </w:r>
      <w:proofErr w:type="spellStart"/>
      <w:r w:rsidRPr="00EC4E0F">
        <w:rPr>
          <w:lang w:val="en-US"/>
        </w:rPr>
        <w:t>kültür</w:t>
      </w:r>
      <w:proofErr w:type="spellEnd"/>
      <w:r w:rsidRPr="00EC4E0F">
        <w:rPr>
          <w:lang w:val="en-US"/>
        </w:rPr>
        <w:t xml:space="preserve">” </w:t>
      </w:r>
      <w:proofErr w:type="spellStart"/>
      <w:r w:rsidRPr="00EC4E0F">
        <w:rPr>
          <w:lang w:val="en-US"/>
        </w:rPr>
        <w:t>terimini</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kullandığımın</w:t>
      </w:r>
      <w:proofErr w:type="spellEnd"/>
      <w:r w:rsidRPr="00EC4E0F">
        <w:rPr>
          <w:lang w:val="en-US"/>
        </w:rPr>
        <w:t xml:space="preserve">, </w:t>
      </w:r>
      <w:proofErr w:type="spellStart"/>
      <w:r w:rsidRPr="00EC4E0F">
        <w:rPr>
          <w:lang w:val="en-US"/>
        </w:rPr>
        <w:t>benzer</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kavramı</w:t>
      </w:r>
      <w:proofErr w:type="spellEnd"/>
      <w:r w:rsidRPr="00EC4E0F">
        <w:rPr>
          <w:lang w:val="en-US"/>
        </w:rPr>
        <w:t xml:space="preserve"> </w:t>
      </w:r>
      <w:proofErr w:type="spellStart"/>
      <w:r w:rsidRPr="00EC4E0F">
        <w:rPr>
          <w:lang w:val="en-US"/>
        </w:rPr>
        <w:t>daha</w:t>
      </w:r>
      <w:proofErr w:type="spellEnd"/>
      <w:r w:rsidRPr="00EC4E0F">
        <w:rPr>
          <w:lang w:val="en-US"/>
        </w:rPr>
        <w:t xml:space="preserve"> </w:t>
      </w:r>
      <w:proofErr w:type="spellStart"/>
      <w:r w:rsidRPr="00EC4E0F">
        <w:rPr>
          <w:lang w:val="en-US"/>
        </w:rPr>
        <w:t>önce</w:t>
      </w:r>
      <w:proofErr w:type="spellEnd"/>
      <w:r w:rsidRPr="00EC4E0F">
        <w:rPr>
          <w:lang w:val="en-US"/>
        </w:rPr>
        <w:t xml:space="preserve"> </w:t>
      </w:r>
      <w:proofErr w:type="spellStart"/>
      <w:r w:rsidRPr="00EC4E0F">
        <w:rPr>
          <w:lang w:val="en-US"/>
        </w:rPr>
        <w:t>benimsemiş</w:t>
      </w:r>
      <w:proofErr w:type="spellEnd"/>
      <w:r w:rsidRPr="00EC4E0F">
        <w:rPr>
          <w:lang w:val="en-US"/>
        </w:rPr>
        <w:t xml:space="preserve"> </w:t>
      </w:r>
      <w:proofErr w:type="spellStart"/>
      <w:r w:rsidRPr="00EC4E0F">
        <w:rPr>
          <w:lang w:val="en-US"/>
        </w:rPr>
        <w:t>diğer</w:t>
      </w:r>
      <w:proofErr w:type="spellEnd"/>
      <w:r w:rsidRPr="00EC4E0F">
        <w:rPr>
          <w:lang w:val="en-US"/>
        </w:rPr>
        <w:t xml:space="preserve"> </w:t>
      </w:r>
      <w:proofErr w:type="spellStart"/>
      <w:r w:rsidRPr="00EC4E0F">
        <w:rPr>
          <w:lang w:val="en-US"/>
        </w:rPr>
        <w:t>akademisyenlerin</w:t>
      </w:r>
      <w:proofErr w:type="spellEnd"/>
      <w:r w:rsidRPr="00EC4E0F">
        <w:rPr>
          <w:lang w:val="en-US"/>
        </w:rPr>
        <w:t xml:space="preserve"> </w:t>
      </w:r>
      <w:proofErr w:type="spellStart"/>
      <w:r w:rsidRPr="00EC4E0F">
        <w:rPr>
          <w:lang w:val="en-US"/>
        </w:rPr>
        <w:t>kullanımından</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farklılaştığını</w:t>
      </w:r>
      <w:proofErr w:type="spellEnd"/>
      <w:r w:rsidRPr="00EC4E0F">
        <w:rPr>
          <w:lang w:val="en-US"/>
        </w:rPr>
        <w:t xml:space="preserve"> </w:t>
      </w:r>
      <w:proofErr w:type="spellStart"/>
      <w:r w:rsidRPr="00EC4E0F">
        <w:rPr>
          <w:lang w:val="en-US"/>
        </w:rPr>
        <w:t>ve</w:t>
      </w:r>
      <w:proofErr w:type="spellEnd"/>
      <w:r w:rsidRPr="00EC4E0F">
        <w:rPr>
          <w:lang w:val="en-US"/>
        </w:rPr>
        <w:t>—</w:t>
      </w:r>
      <w:proofErr w:type="spellStart"/>
      <w:r w:rsidRPr="00EC4E0F">
        <w:rPr>
          <w:lang w:val="en-US"/>
        </w:rPr>
        <w:t>önceki</w:t>
      </w:r>
      <w:proofErr w:type="spellEnd"/>
      <w:r w:rsidRPr="00EC4E0F">
        <w:rPr>
          <w:lang w:val="en-US"/>
        </w:rPr>
        <w:t xml:space="preserve"> </w:t>
      </w:r>
      <w:proofErr w:type="spellStart"/>
      <w:r w:rsidRPr="00EC4E0F">
        <w:rPr>
          <w:lang w:val="en-US"/>
        </w:rPr>
        <w:t>kullanımlara</w:t>
      </w:r>
      <w:proofErr w:type="spellEnd"/>
      <w:r w:rsidRPr="00EC4E0F">
        <w:rPr>
          <w:lang w:val="en-US"/>
        </w:rPr>
        <w:t xml:space="preserve"> </w:t>
      </w:r>
      <w:proofErr w:type="spellStart"/>
      <w:r w:rsidRPr="00EC4E0F">
        <w:rPr>
          <w:lang w:val="en-US"/>
        </w:rPr>
        <w:t>rağmen</w:t>
      </w:r>
      <w:proofErr w:type="spellEnd"/>
      <w:r w:rsidRPr="00EC4E0F">
        <w:rPr>
          <w:lang w:val="en-US"/>
        </w:rPr>
        <w:t>—</w:t>
      </w:r>
      <w:proofErr w:type="spellStart"/>
      <w:r w:rsidRPr="00EC4E0F">
        <w:rPr>
          <w:lang w:val="en-US"/>
        </w:rPr>
        <w:t>bu</w:t>
      </w:r>
      <w:proofErr w:type="spellEnd"/>
      <w:r w:rsidRPr="00EC4E0F">
        <w:rPr>
          <w:lang w:val="en-US"/>
        </w:rPr>
        <w:t xml:space="preserve"> </w:t>
      </w:r>
      <w:proofErr w:type="spellStart"/>
      <w:r w:rsidRPr="00EC4E0F">
        <w:rPr>
          <w:lang w:val="en-US"/>
        </w:rPr>
        <w:t>terimi</w:t>
      </w:r>
      <w:proofErr w:type="spellEnd"/>
      <w:r w:rsidRPr="00EC4E0F">
        <w:rPr>
          <w:lang w:val="en-US"/>
        </w:rPr>
        <w:t xml:space="preserve"> </w:t>
      </w:r>
      <w:proofErr w:type="spellStart"/>
      <w:r w:rsidRPr="00EC4E0F">
        <w:rPr>
          <w:lang w:val="en-US"/>
        </w:rPr>
        <w:t>diğer</w:t>
      </w:r>
      <w:proofErr w:type="spellEnd"/>
      <w:r w:rsidRPr="00EC4E0F">
        <w:rPr>
          <w:lang w:val="en-US"/>
        </w:rPr>
        <w:t xml:space="preserve"> </w:t>
      </w:r>
      <w:proofErr w:type="spellStart"/>
      <w:r w:rsidRPr="00EC4E0F">
        <w:rPr>
          <w:lang w:val="en-US"/>
        </w:rPr>
        <w:t>olası</w:t>
      </w:r>
      <w:proofErr w:type="spellEnd"/>
      <w:r w:rsidRPr="00EC4E0F">
        <w:rPr>
          <w:lang w:val="en-US"/>
        </w:rPr>
        <w:t xml:space="preserve"> </w:t>
      </w:r>
      <w:proofErr w:type="spellStart"/>
      <w:r w:rsidRPr="00EC4E0F">
        <w:rPr>
          <w:lang w:val="en-US"/>
        </w:rPr>
        <w:t>alternatiflere</w:t>
      </w:r>
      <w:proofErr w:type="spellEnd"/>
      <w:r w:rsidRPr="00EC4E0F">
        <w:rPr>
          <w:lang w:val="en-US"/>
        </w:rPr>
        <w:t xml:space="preserve"> </w:t>
      </w:r>
      <w:proofErr w:type="spellStart"/>
      <w:r w:rsidRPr="00EC4E0F">
        <w:rPr>
          <w:lang w:val="en-US"/>
        </w:rPr>
        <w:t>tercih</w:t>
      </w:r>
      <w:proofErr w:type="spellEnd"/>
      <w:r w:rsidRPr="00EC4E0F">
        <w:rPr>
          <w:lang w:val="en-US"/>
        </w:rPr>
        <w:t xml:space="preserve"> </w:t>
      </w:r>
      <w:proofErr w:type="spellStart"/>
      <w:r w:rsidRPr="00EC4E0F">
        <w:rPr>
          <w:lang w:val="en-US"/>
        </w:rPr>
        <w:t>etme</w:t>
      </w:r>
      <w:proofErr w:type="spellEnd"/>
      <w:r w:rsidRPr="00EC4E0F">
        <w:rPr>
          <w:lang w:val="en-US"/>
        </w:rPr>
        <w:t xml:space="preserve"> </w:t>
      </w:r>
      <w:proofErr w:type="spellStart"/>
      <w:r w:rsidRPr="00EC4E0F">
        <w:rPr>
          <w:lang w:val="en-US"/>
        </w:rPr>
        <w:t>nedenlerimi</w:t>
      </w:r>
      <w:proofErr w:type="spellEnd"/>
      <w:r w:rsidRPr="00EC4E0F">
        <w:rPr>
          <w:lang w:val="en-US"/>
        </w:rPr>
        <w:t xml:space="preserve"> </w:t>
      </w:r>
      <w:proofErr w:type="spellStart"/>
      <w:r w:rsidRPr="00EC4E0F">
        <w:rPr>
          <w:lang w:val="en-US"/>
        </w:rPr>
        <w:t>açıklıyorum</w:t>
      </w:r>
      <w:proofErr w:type="spellEnd"/>
      <w:r w:rsidRPr="00EC4E0F">
        <w:rPr>
          <w:lang w:val="en-US"/>
        </w:rPr>
        <w:t>.</w:t>
      </w:r>
      <w:r w:rsidRPr="00EC4E0F">
        <w:rPr>
          <w:lang w:val="en-US"/>
        </w:rPr>
        <w:t xml:space="preserve"> </w:t>
      </w:r>
      <w:r w:rsidRPr="00EC4E0F">
        <w:rPr>
          <w:lang w:val="en-US"/>
        </w:rPr>
        <w:t xml:space="preserve">Son </w:t>
      </w:r>
      <w:proofErr w:type="spellStart"/>
      <w:r w:rsidRPr="00EC4E0F">
        <w:rPr>
          <w:lang w:val="en-US"/>
        </w:rPr>
        <w:t>olarak</w:t>
      </w:r>
      <w:proofErr w:type="spellEnd"/>
      <w:r w:rsidRPr="00EC4E0F">
        <w:rPr>
          <w:lang w:val="en-US"/>
        </w:rPr>
        <w:t xml:space="preserve">, </w:t>
      </w:r>
      <w:proofErr w:type="spellStart"/>
      <w:r w:rsidRPr="00EC4E0F">
        <w:rPr>
          <w:lang w:val="en-US"/>
        </w:rPr>
        <w:t>Bölüm</w:t>
      </w:r>
      <w:proofErr w:type="spellEnd"/>
      <w:r w:rsidRPr="00EC4E0F">
        <w:rPr>
          <w:lang w:val="en-US"/>
        </w:rPr>
        <w:t xml:space="preserve"> </w:t>
      </w:r>
      <w:proofErr w:type="spellStart"/>
      <w:r w:rsidRPr="00EC4E0F">
        <w:rPr>
          <w:lang w:val="en-US"/>
        </w:rPr>
        <w:t>III.C’de</w:t>
      </w:r>
      <w:proofErr w:type="spellEnd"/>
      <w:r w:rsidRPr="00EC4E0F">
        <w:rPr>
          <w:lang w:val="en-US"/>
        </w:rPr>
        <w:t>, “</w:t>
      </w:r>
      <w:proofErr w:type="spellStart"/>
      <w:r w:rsidRPr="00EC4E0F">
        <w:rPr>
          <w:lang w:val="en-US"/>
        </w:rPr>
        <w:t>anayasal</w:t>
      </w:r>
      <w:proofErr w:type="spellEnd"/>
      <w:r w:rsidRPr="00EC4E0F">
        <w:rPr>
          <w:lang w:val="en-US"/>
        </w:rPr>
        <w:t xml:space="preserve"> </w:t>
      </w:r>
      <w:proofErr w:type="spellStart"/>
      <w:r w:rsidRPr="00EC4E0F">
        <w:rPr>
          <w:lang w:val="en-US"/>
        </w:rPr>
        <w:t>kültür</w:t>
      </w:r>
      <w:proofErr w:type="spellEnd"/>
      <w:r w:rsidRPr="00EC4E0F">
        <w:rPr>
          <w:lang w:val="en-US"/>
        </w:rPr>
        <w:t xml:space="preserve">” </w:t>
      </w:r>
      <w:proofErr w:type="spellStart"/>
      <w:r w:rsidRPr="00EC4E0F">
        <w:rPr>
          <w:lang w:val="en-US"/>
        </w:rPr>
        <w:t>şemsiyesi</w:t>
      </w:r>
      <w:proofErr w:type="spellEnd"/>
      <w:r w:rsidRPr="00EC4E0F">
        <w:rPr>
          <w:lang w:val="en-US"/>
        </w:rPr>
        <w:t xml:space="preserve"> </w:t>
      </w:r>
      <w:proofErr w:type="spellStart"/>
      <w:r w:rsidRPr="00EC4E0F">
        <w:rPr>
          <w:lang w:val="en-US"/>
        </w:rPr>
        <w:t>altına</w:t>
      </w:r>
      <w:proofErr w:type="spellEnd"/>
      <w:r w:rsidRPr="00EC4E0F">
        <w:rPr>
          <w:lang w:val="en-US"/>
        </w:rPr>
        <w:t xml:space="preserve"> </w:t>
      </w:r>
      <w:proofErr w:type="spellStart"/>
      <w:r w:rsidRPr="00EC4E0F">
        <w:rPr>
          <w:lang w:val="en-US"/>
        </w:rPr>
        <w:t>alınabilecek</w:t>
      </w:r>
      <w:proofErr w:type="spellEnd"/>
      <w:r w:rsidRPr="00EC4E0F">
        <w:rPr>
          <w:lang w:val="en-US"/>
        </w:rPr>
        <w:t xml:space="preserve"> </w:t>
      </w:r>
      <w:proofErr w:type="spellStart"/>
      <w:r w:rsidRPr="00EC4E0F">
        <w:rPr>
          <w:lang w:val="en-US"/>
        </w:rPr>
        <w:t>farklı</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uygulamaların</w:t>
      </w:r>
      <w:proofErr w:type="spellEnd"/>
      <w:r w:rsidRPr="00EC4E0F">
        <w:rPr>
          <w:lang w:val="en-US"/>
        </w:rPr>
        <w:t xml:space="preserve"> </w:t>
      </w:r>
      <w:proofErr w:type="spellStart"/>
      <w:r w:rsidRPr="00EC4E0F">
        <w:rPr>
          <w:lang w:val="en-US"/>
        </w:rPr>
        <w:t>kavramsal</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haritasını</w:t>
      </w:r>
      <w:proofErr w:type="spellEnd"/>
      <w:r w:rsidRPr="00EC4E0F">
        <w:rPr>
          <w:lang w:val="en-US"/>
        </w:rPr>
        <w:t xml:space="preserve"> </w:t>
      </w:r>
      <w:proofErr w:type="spellStart"/>
      <w:r w:rsidRPr="00EC4E0F">
        <w:rPr>
          <w:lang w:val="en-US"/>
        </w:rPr>
        <w:t>sunuyorum</w:t>
      </w:r>
      <w:proofErr w:type="spellEnd"/>
      <w:r w:rsidRPr="00EC4E0F">
        <w:rPr>
          <w:lang w:val="en-US"/>
        </w:rPr>
        <w:t>.</w:t>
      </w:r>
    </w:p>
    <w:p w14:paraId="2E05BB83" w14:textId="77777777" w:rsidR="00EC4E0F" w:rsidRPr="00EC4E0F" w:rsidRDefault="00EC4E0F" w:rsidP="00EC4E0F">
      <w:pPr>
        <w:pStyle w:val="Heading6"/>
      </w:pPr>
      <w:r w:rsidRPr="00EC4E0F">
        <w:t>İçerik ve Temalar</w:t>
      </w:r>
    </w:p>
    <w:p w14:paraId="6574D650" w14:textId="45504010" w:rsidR="00EC4E0F" w:rsidRDefault="00EC4E0F" w:rsidP="00EC4E0F">
      <w:pPr>
        <w:rPr>
          <w:lang w:val="en-US"/>
        </w:rPr>
      </w:pPr>
      <w:proofErr w:type="spellStart"/>
      <w:r w:rsidRPr="00EC4E0F">
        <w:rPr>
          <w:lang w:val="en-US"/>
        </w:rPr>
        <w:t>Anayasal</w:t>
      </w:r>
      <w:proofErr w:type="spellEnd"/>
      <w:r w:rsidRPr="00EC4E0F">
        <w:rPr>
          <w:lang w:val="en-US"/>
        </w:rPr>
        <w:t xml:space="preserve"> </w:t>
      </w:r>
      <w:proofErr w:type="spellStart"/>
      <w:r w:rsidRPr="00EC4E0F">
        <w:rPr>
          <w:lang w:val="en-US"/>
        </w:rPr>
        <w:t>kültür</w:t>
      </w:r>
      <w:proofErr w:type="spellEnd"/>
      <w:r w:rsidRPr="00EC4E0F">
        <w:rPr>
          <w:lang w:val="en-US"/>
        </w:rPr>
        <w:t xml:space="preserve">, </w:t>
      </w:r>
      <w:proofErr w:type="spellStart"/>
      <w:r w:rsidRPr="00EC4E0F">
        <w:rPr>
          <w:lang w:val="en-US"/>
        </w:rPr>
        <w:t>Anayasa'nın</w:t>
      </w:r>
      <w:proofErr w:type="spellEnd"/>
      <w:r w:rsidRPr="00EC4E0F">
        <w:rPr>
          <w:lang w:val="en-US"/>
        </w:rPr>
        <w:t xml:space="preserve"> </w:t>
      </w:r>
      <w:proofErr w:type="spellStart"/>
      <w:r w:rsidRPr="00EC4E0F">
        <w:rPr>
          <w:lang w:val="en-US"/>
        </w:rPr>
        <w:t>kelimelerinin</w:t>
      </w:r>
      <w:proofErr w:type="spellEnd"/>
      <w:r w:rsidRPr="00EC4E0F">
        <w:rPr>
          <w:lang w:val="en-US"/>
        </w:rPr>
        <w:t xml:space="preserve"> </w:t>
      </w:r>
      <w:proofErr w:type="spellStart"/>
      <w:r w:rsidRPr="00EC4E0F">
        <w:rPr>
          <w:lang w:val="en-US"/>
        </w:rPr>
        <w:t>somut</w:t>
      </w:r>
      <w:proofErr w:type="spellEnd"/>
      <w:r w:rsidRPr="00EC4E0F">
        <w:rPr>
          <w:lang w:val="en-US"/>
        </w:rPr>
        <w:t xml:space="preserve"> </w:t>
      </w:r>
      <w:proofErr w:type="spellStart"/>
      <w:r w:rsidRPr="00EC4E0F">
        <w:rPr>
          <w:lang w:val="en-US"/>
        </w:rPr>
        <w:t>sonuçlara</w:t>
      </w:r>
      <w:proofErr w:type="spellEnd"/>
      <w:r w:rsidRPr="00EC4E0F">
        <w:rPr>
          <w:lang w:val="en-US"/>
        </w:rPr>
        <w:t xml:space="preserve"> </w:t>
      </w:r>
      <w:proofErr w:type="spellStart"/>
      <w:r w:rsidRPr="00EC4E0F">
        <w:rPr>
          <w:lang w:val="en-US"/>
        </w:rPr>
        <w:t>dönüştüğü</w:t>
      </w:r>
      <w:proofErr w:type="spellEnd"/>
      <w:r w:rsidRPr="00EC4E0F">
        <w:rPr>
          <w:lang w:val="en-US"/>
        </w:rPr>
        <w:t xml:space="preserve"> kara </w:t>
      </w:r>
      <w:proofErr w:type="spellStart"/>
      <w:r w:rsidRPr="00EC4E0F">
        <w:rPr>
          <w:lang w:val="en-US"/>
        </w:rPr>
        <w:t>kutudur</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soruların</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formüle</w:t>
      </w:r>
      <w:proofErr w:type="spellEnd"/>
      <w:r w:rsidRPr="00EC4E0F">
        <w:rPr>
          <w:lang w:val="en-US"/>
        </w:rPr>
        <w:t xml:space="preserve"> </w:t>
      </w:r>
      <w:proofErr w:type="spellStart"/>
      <w:r w:rsidRPr="00EC4E0F">
        <w:rPr>
          <w:lang w:val="en-US"/>
        </w:rPr>
        <w:t>edildiğini</w:t>
      </w:r>
      <w:proofErr w:type="spellEnd"/>
      <w:r w:rsidRPr="00EC4E0F">
        <w:rPr>
          <w:lang w:val="en-US"/>
        </w:rPr>
        <w:t xml:space="preserve">, hangi </w:t>
      </w:r>
      <w:proofErr w:type="spellStart"/>
      <w:r w:rsidRPr="00EC4E0F">
        <w:rPr>
          <w:lang w:val="en-US"/>
        </w:rPr>
        <w:t>argümanların</w:t>
      </w:r>
      <w:proofErr w:type="spellEnd"/>
      <w:r w:rsidRPr="00EC4E0F">
        <w:rPr>
          <w:lang w:val="en-US"/>
        </w:rPr>
        <w:t xml:space="preserve"> </w:t>
      </w:r>
      <w:proofErr w:type="spellStart"/>
      <w:r w:rsidRPr="00EC4E0F">
        <w:rPr>
          <w:lang w:val="en-US"/>
        </w:rPr>
        <w:t>dikkate</w:t>
      </w:r>
      <w:proofErr w:type="spellEnd"/>
      <w:r w:rsidRPr="00EC4E0F">
        <w:rPr>
          <w:lang w:val="en-US"/>
        </w:rPr>
        <w:t xml:space="preserve"> </w:t>
      </w:r>
      <w:proofErr w:type="spellStart"/>
      <w:r w:rsidRPr="00EC4E0F">
        <w:rPr>
          <w:lang w:val="en-US"/>
        </w:rPr>
        <w:t>alındığını</w:t>
      </w:r>
      <w:proofErr w:type="spellEnd"/>
      <w:r w:rsidRPr="00EC4E0F">
        <w:rPr>
          <w:lang w:val="en-US"/>
        </w:rPr>
        <w:t xml:space="preserve">, </w:t>
      </w:r>
      <w:proofErr w:type="spellStart"/>
      <w:r w:rsidRPr="00EC4E0F">
        <w:rPr>
          <w:lang w:val="en-US"/>
        </w:rPr>
        <w:t>uyuşmazlıkların</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işlendiğini</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çözüldüğünü</w:t>
      </w:r>
      <w:proofErr w:type="spellEnd"/>
      <w:r w:rsidRPr="00EC4E0F">
        <w:rPr>
          <w:lang w:val="en-US"/>
        </w:rPr>
        <w:t xml:space="preserve"> </w:t>
      </w:r>
      <w:proofErr w:type="spellStart"/>
      <w:r w:rsidRPr="00EC4E0F">
        <w:rPr>
          <w:lang w:val="en-US"/>
        </w:rPr>
        <w:t>belirleyen</w:t>
      </w:r>
      <w:proofErr w:type="spellEnd"/>
      <w:r w:rsidRPr="00EC4E0F">
        <w:rPr>
          <w:lang w:val="en-US"/>
        </w:rPr>
        <w:t xml:space="preserve">, </w:t>
      </w:r>
      <w:proofErr w:type="spellStart"/>
      <w:r w:rsidRPr="00EC4E0F">
        <w:rPr>
          <w:lang w:val="en-US"/>
        </w:rPr>
        <w:t>birbirine</w:t>
      </w:r>
      <w:proofErr w:type="spellEnd"/>
      <w:r w:rsidRPr="00EC4E0F">
        <w:rPr>
          <w:lang w:val="en-US"/>
        </w:rPr>
        <w:t xml:space="preserve"> </w:t>
      </w:r>
      <w:proofErr w:type="spellStart"/>
      <w:r w:rsidRPr="00EC4E0F">
        <w:rPr>
          <w:lang w:val="en-US"/>
        </w:rPr>
        <w:t>bağlı</w:t>
      </w:r>
      <w:proofErr w:type="spellEnd"/>
      <w:r w:rsidRPr="00EC4E0F">
        <w:rPr>
          <w:lang w:val="en-US"/>
        </w:rPr>
        <w:t xml:space="preserve"> </w:t>
      </w:r>
      <w:proofErr w:type="spellStart"/>
      <w:r w:rsidRPr="00EC4E0F">
        <w:rPr>
          <w:lang w:val="en-US"/>
        </w:rPr>
        <w:t>uygulamalar</w:t>
      </w:r>
      <w:proofErr w:type="spellEnd"/>
      <w:r w:rsidRPr="00EC4E0F">
        <w:rPr>
          <w:lang w:val="en-US"/>
        </w:rPr>
        <w:t xml:space="preserve">, </w:t>
      </w:r>
      <w:proofErr w:type="spellStart"/>
      <w:r w:rsidRPr="00EC4E0F">
        <w:rPr>
          <w:lang w:val="en-US"/>
        </w:rPr>
        <w:t>kurumsal</w:t>
      </w:r>
      <w:proofErr w:type="spellEnd"/>
      <w:r w:rsidRPr="00EC4E0F">
        <w:rPr>
          <w:lang w:val="en-US"/>
        </w:rPr>
        <w:t xml:space="preserve"> </w:t>
      </w:r>
      <w:proofErr w:type="spellStart"/>
      <w:r w:rsidRPr="00EC4E0F">
        <w:rPr>
          <w:lang w:val="en-US"/>
        </w:rPr>
        <w:t>düzenlemeler</w:t>
      </w:r>
      <w:proofErr w:type="spellEnd"/>
      <w:r w:rsidRPr="00EC4E0F">
        <w:rPr>
          <w:lang w:val="en-US"/>
        </w:rPr>
        <w:t xml:space="preserve">, </w:t>
      </w:r>
      <w:proofErr w:type="spellStart"/>
      <w:r w:rsidRPr="00EC4E0F">
        <w:rPr>
          <w:lang w:val="en-US"/>
        </w:rPr>
        <w:t>normlar</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düşünce</w:t>
      </w:r>
      <w:proofErr w:type="spellEnd"/>
      <w:r w:rsidRPr="00EC4E0F">
        <w:rPr>
          <w:lang w:val="en-US"/>
        </w:rPr>
        <w:t xml:space="preserve"> </w:t>
      </w:r>
      <w:proofErr w:type="spellStart"/>
      <w:r w:rsidRPr="00EC4E0F">
        <w:rPr>
          <w:lang w:val="en-US"/>
        </w:rPr>
        <w:t>alışkanlıklarından</w:t>
      </w:r>
      <w:proofErr w:type="spellEnd"/>
      <w:r w:rsidRPr="00EC4E0F">
        <w:rPr>
          <w:lang w:val="en-US"/>
        </w:rPr>
        <w:t xml:space="preserve"> </w:t>
      </w:r>
      <w:proofErr w:type="spellStart"/>
      <w:r w:rsidRPr="00EC4E0F">
        <w:rPr>
          <w:lang w:val="en-US"/>
        </w:rPr>
        <w:t>oluşan</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sistemdir</w:t>
      </w:r>
      <w:proofErr w:type="spellEnd"/>
      <w:r w:rsidRPr="00EC4E0F">
        <w:rPr>
          <w:lang w:val="en-US"/>
        </w:rPr>
        <w:t>.</w:t>
      </w:r>
      <w:r w:rsidRPr="00EC4E0F">
        <w:rPr>
          <w:lang w:val="en-US"/>
        </w:rPr>
        <w:t xml:space="preserve"> </w:t>
      </w:r>
      <w:proofErr w:type="spellStart"/>
      <w:r w:rsidRPr="00EC4E0F">
        <w:rPr>
          <w:lang w:val="en-US"/>
        </w:rPr>
        <w:t>Tanımı</w:t>
      </w:r>
      <w:proofErr w:type="spellEnd"/>
      <w:r w:rsidRPr="00EC4E0F">
        <w:rPr>
          <w:lang w:val="en-US"/>
        </w:rPr>
        <w:t xml:space="preserve"> </w:t>
      </w:r>
      <w:proofErr w:type="spellStart"/>
      <w:r w:rsidRPr="00EC4E0F">
        <w:rPr>
          <w:lang w:val="en-US"/>
        </w:rPr>
        <w:t>gereği</w:t>
      </w:r>
      <w:proofErr w:type="spellEnd"/>
      <w:r w:rsidRPr="00EC4E0F">
        <w:rPr>
          <w:lang w:val="en-US"/>
        </w:rPr>
        <w:t xml:space="preserve">, </w:t>
      </w:r>
      <w:proofErr w:type="spellStart"/>
      <w:r w:rsidRPr="00EC4E0F">
        <w:rPr>
          <w:lang w:val="en-US"/>
        </w:rPr>
        <w:t>geniş</w:t>
      </w:r>
      <w:proofErr w:type="spellEnd"/>
      <w:r w:rsidRPr="00EC4E0F">
        <w:rPr>
          <w:lang w:val="en-US"/>
        </w:rPr>
        <w:t xml:space="preserve"> </w:t>
      </w:r>
      <w:proofErr w:type="spellStart"/>
      <w:r w:rsidRPr="00EC4E0F">
        <w:rPr>
          <w:lang w:val="en-US"/>
        </w:rPr>
        <w:t>kapsamlı</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kaygan</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yapıya</w:t>
      </w:r>
      <w:proofErr w:type="spellEnd"/>
      <w:r w:rsidRPr="00EC4E0F">
        <w:rPr>
          <w:lang w:val="en-US"/>
        </w:rPr>
        <w:t xml:space="preserve"> </w:t>
      </w:r>
      <w:proofErr w:type="spellStart"/>
      <w:r w:rsidRPr="00EC4E0F">
        <w:rPr>
          <w:lang w:val="en-US"/>
        </w:rPr>
        <w:t>sahiptir</w:t>
      </w:r>
      <w:proofErr w:type="spellEnd"/>
      <w:r w:rsidRPr="00EC4E0F">
        <w:rPr>
          <w:lang w:val="en-US"/>
        </w:rPr>
        <w:t>.</w:t>
      </w:r>
    </w:p>
    <w:p w14:paraId="6B54300E" w14:textId="27353D1D" w:rsidR="00EC4E0F" w:rsidRDefault="00EC4E0F" w:rsidP="00EC4E0F">
      <w:pPr>
        <w:rPr>
          <w:lang w:val="en-US"/>
        </w:rPr>
      </w:pPr>
      <w:proofErr w:type="spellStart"/>
      <w:r w:rsidRPr="00EC4E0F">
        <w:rPr>
          <w:lang w:val="en-US"/>
        </w:rPr>
        <w:t>Anayasal</w:t>
      </w:r>
      <w:proofErr w:type="spellEnd"/>
      <w:r w:rsidRPr="00EC4E0F">
        <w:rPr>
          <w:lang w:val="en-US"/>
        </w:rPr>
        <w:t xml:space="preserve"> </w:t>
      </w:r>
      <w:proofErr w:type="spellStart"/>
      <w:r w:rsidRPr="00EC4E0F">
        <w:rPr>
          <w:lang w:val="en-US"/>
        </w:rPr>
        <w:t>karar</w:t>
      </w:r>
      <w:proofErr w:type="spellEnd"/>
      <w:r w:rsidRPr="00EC4E0F">
        <w:rPr>
          <w:lang w:val="en-US"/>
        </w:rPr>
        <w:t xml:space="preserve"> alma </w:t>
      </w:r>
      <w:proofErr w:type="spellStart"/>
      <w:r w:rsidRPr="00EC4E0F">
        <w:rPr>
          <w:lang w:val="en-US"/>
        </w:rPr>
        <w:t>süreçlerini</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kültür</w:t>
      </w:r>
      <w:proofErr w:type="spellEnd"/>
      <w:r w:rsidRPr="00EC4E0F">
        <w:rPr>
          <w:lang w:val="en-US"/>
        </w:rPr>
        <w:t xml:space="preserve"> </w:t>
      </w:r>
      <w:proofErr w:type="spellStart"/>
      <w:r w:rsidRPr="00EC4E0F">
        <w:rPr>
          <w:lang w:val="en-US"/>
        </w:rPr>
        <w:t>merceğinden</w:t>
      </w:r>
      <w:proofErr w:type="spellEnd"/>
      <w:r w:rsidRPr="00EC4E0F">
        <w:rPr>
          <w:lang w:val="en-US"/>
        </w:rPr>
        <w:t xml:space="preserve"> </w:t>
      </w:r>
      <w:proofErr w:type="spellStart"/>
      <w:r w:rsidRPr="00EC4E0F">
        <w:rPr>
          <w:lang w:val="en-US"/>
        </w:rPr>
        <w:t>incelemek</w:t>
      </w:r>
      <w:proofErr w:type="spellEnd"/>
      <w:r w:rsidRPr="00EC4E0F">
        <w:rPr>
          <w:lang w:val="en-US"/>
        </w:rPr>
        <w:t xml:space="preserve">, </w:t>
      </w:r>
      <w:proofErr w:type="spellStart"/>
      <w:r w:rsidRPr="00EC4E0F">
        <w:rPr>
          <w:lang w:val="en-US"/>
        </w:rPr>
        <w:t>fiilen</w:t>
      </w:r>
      <w:proofErr w:type="spellEnd"/>
      <w:r w:rsidRPr="00EC4E0F">
        <w:rPr>
          <w:lang w:val="en-US"/>
        </w:rPr>
        <w:t xml:space="preserve">, </w:t>
      </w:r>
      <w:proofErr w:type="spellStart"/>
      <w:r w:rsidRPr="00EC4E0F">
        <w:rPr>
          <w:lang w:val="en-US"/>
        </w:rPr>
        <w:t>bu</w:t>
      </w:r>
      <w:proofErr w:type="spellEnd"/>
      <w:r w:rsidRPr="00EC4E0F">
        <w:rPr>
          <w:lang w:val="en-US"/>
        </w:rPr>
        <w:t xml:space="preserve"> </w:t>
      </w:r>
      <w:proofErr w:type="spellStart"/>
      <w:r w:rsidRPr="00EC4E0F">
        <w:rPr>
          <w:lang w:val="en-US"/>
        </w:rPr>
        <w:t>süreçlerin</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geliştiği</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birbirleriyle</w:t>
      </w:r>
      <w:proofErr w:type="spellEnd"/>
      <w:r w:rsidRPr="00EC4E0F">
        <w:rPr>
          <w:lang w:val="en-US"/>
        </w:rPr>
        <w:t xml:space="preserve"> </w:t>
      </w:r>
      <w:proofErr w:type="spellStart"/>
      <w:r w:rsidRPr="00EC4E0F">
        <w:rPr>
          <w:lang w:val="en-US"/>
        </w:rPr>
        <w:t>nasıl</w:t>
      </w:r>
      <w:proofErr w:type="spellEnd"/>
      <w:r w:rsidRPr="00EC4E0F">
        <w:rPr>
          <w:lang w:val="en-US"/>
        </w:rPr>
        <w:t xml:space="preserve"> </w:t>
      </w:r>
      <w:proofErr w:type="spellStart"/>
      <w:r w:rsidRPr="00EC4E0F">
        <w:rPr>
          <w:lang w:val="en-US"/>
        </w:rPr>
        <w:t>etkileşime</w:t>
      </w:r>
      <w:proofErr w:type="spellEnd"/>
      <w:r w:rsidRPr="00EC4E0F">
        <w:rPr>
          <w:lang w:val="en-US"/>
        </w:rPr>
        <w:t xml:space="preserve"> </w:t>
      </w:r>
      <w:proofErr w:type="spellStart"/>
      <w:r w:rsidRPr="00EC4E0F">
        <w:rPr>
          <w:lang w:val="en-US"/>
        </w:rPr>
        <w:t>girdiğine</w:t>
      </w:r>
      <w:proofErr w:type="spellEnd"/>
      <w:r w:rsidRPr="00EC4E0F">
        <w:rPr>
          <w:lang w:val="en-US"/>
        </w:rPr>
        <w:t xml:space="preserve"> </w:t>
      </w:r>
      <w:proofErr w:type="spellStart"/>
      <w:r w:rsidRPr="00EC4E0F">
        <w:rPr>
          <w:lang w:val="en-US"/>
        </w:rPr>
        <w:t>dair</w:t>
      </w:r>
      <w:proofErr w:type="spellEnd"/>
      <w:r w:rsidRPr="00EC4E0F">
        <w:rPr>
          <w:lang w:val="en-US"/>
        </w:rPr>
        <w:t xml:space="preserve"> </w:t>
      </w:r>
      <w:proofErr w:type="spellStart"/>
      <w:r w:rsidRPr="00EC4E0F">
        <w:rPr>
          <w:lang w:val="en-US"/>
        </w:rPr>
        <w:t>bir</w:t>
      </w:r>
      <w:proofErr w:type="spellEnd"/>
      <w:r w:rsidRPr="00EC4E0F">
        <w:rPr>
          <w:lang w:val="en-US"/>
        </w:rPr>
        <w:t xml:space="preserve"> dizi </w:t>
      </w:r>
      <w:proofErr w:type="spellStart"/>
      <w:r w:rsidRPr="00EC4E0F">
        <w:rPr>
          <w:lang w:val="en-US"/>
        </w:rPr>
        <w:t>varsayımı</w:t>
      </w:r>
      <w:proofErr w:type="spellEnd"/>
      <w:r w:rsidRPr="00EC4E0F">
        <w:rPr>
          <w:lang w:val="en-US"/>
        </w:rPr>
        <w:t xml:space="preserve"> </w:t>
      </w:r>
      <w:proofErr w:type="spellStart"/>
      <w:r w:rsidRPr="00EC4E0F">
        <w:rPr>
          <w:lang w:val="en-US"/>
        </w:rPr>
        <w:t>kabul</w:t>
      </w:r>
      <w:proofErr w:type="spellEnd"/>
      <w:r w:rsidRPr="00EC4E0F">
        <w:rPr>
          <w:lang w:val="en-US"/>
        </w:rPr>
        <w:t xml:space="preserve"> </w:t>
      </w:r>
      <w:proofErr w:type="spellStart"/>
      <w:r w:rsidRPr="00EC4E0F">
        <w:rPr>
          <w:lang w:val="en-US"/>
        </w:rPr>
        <w:t>etmek</w:t>
      </w:r>
      <w:proofErr w:type="spellEnd"/>
      <w:r w:rsidRPr="00EC4E0F">
        <w:rPr>
          <w:lang w:val="en-US"/>
        </w:rPr>
        <w:t xml:space="preserve"> </w:t>
      </w:r>
      <w:proofErr w:type="spellStart"/>
      <w:r w:rsidRPr="00EC4E0F">
        <w:rPr>
          <w:lang w:val="en-US"/>
        </w:rPr>
        <w:t>anlamına</w:t>
      </w:r>
      <w:proofErr w:type="spellEnd"/>
      <w:r w:rsidRPr="00EC4E0F">
        <w:rPr>
          <w:lang w:val="en-US"/>
        </w:rPr>
        <w:t xml:space="preserve"> </w:t>
      </w:r>
      <w:proofErr w:type="spellStart"/>
      <w:r w:rsidRPr="00EC4E0F">
        <w:rPr>
          <w:lang w:val="en-US"/>
        </w:rPr>
        <w:t>gelir</w:t>
      </w:r>
      <w:proofErr w:type="spellEnd"/>
      <w:r w:rsidRPr="00EC4E0F">
        <w:rPr>
          <w:lang w:val="en-US"/>
        </w:rPr>
        <w:t>.</w:t>
      </w:r>
      <w:r w:rsidRPr="00EC4E0F">
        <w:rPr>
          <w:lang w:val="en-US"/>
        </w:rPr>
        <w:t xml:space="preserve"> </w:t>
      </w:r>
      <w:r w:rsidRPr="00EC4E0F">
        <w:rPr>
          <w:lang w:val="en-US"/>
        </w:rPr>
        <w:t xml:space="preserve">İlk </w:t>
      </w:r>
      <w:proofErr w:type="spellStart"/>
      <w:r w:rsidRPr="00EC4E0F">
        <w:rPr>
          <w:lang w:val="en-US"/>
        </w:rPr>
        <w:t>olarak</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kültür</w:t>
      </w:r>
      <w:proofErr w:type="spellEnd"/>
      <w:r w:rsidRPr="00EC4E0F">
        <w:rPr>
          <w:lang w:val="en-US"/>
        </w:rPr>
        <w:t xml:space="preserve"> </w:t>
      </w:r>
      <w:proofErr w:type="spellStart"/>
      <w:r w:rsidRPr="00EC4E0F">
        <w:rPr>
          <w:lang w:val="en-US"/>
        </w:rPr>
        <w:t>kavramı</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karar</w:t>
      </w:r>
      <w:proofErr w:type="spellEnd"/>
      <w:r w:rsidRPr="00EC4E0F">
        <w:rPr>
          <w:lang w:val="en-US"/>
        </w:rPr>
        <w:t xml:space="preserve"> alma </w:t>
      </w:r>
      <w:proofErr w:type="spellStart"/>
      <w:r w:rsidRPr="00EC4E0F">
        <w:rPr>
          <w:lang w:val="en-US"/>
        </w:rPr>
        <w:t>süreçlerini</w:t>
      </w:r>
      <w:proofErr w:type="spellEnd"/>
      <w:r w:rsidRPr="00EC4E0F">
        <w:rPr>
          <w:lang w:val="en-US"/>
        </w:rPr>
        <w:t xml:space="preserve"> </w:t>
      </w:r>
      <w:proofErr w:type="spellStart"/>
      <w:r w:rsidRPr="00EC4E0F">
        <w:rPr>
          <w:lang w:val="en-US"/>
        </w:rPr>
        <w:t>yöneten</w:t>
      </w:r>
      <w:proofErr w:type="spellEnd"/>
      <w:r w:rsidRPr="00EC4E0F">
        <w:rPr>
          <w:lang w:val="en-US"/>
        </w:rPr>
        <w:t xml:space="preserve"> </w:t>
      </w:r>
      <w:proofErr w:type="spellStart"/>
      <w:r w:rsidRPr="00EC4E0F">
        <w:rPr>
          <w:lang w:val="en-US"/>
        </w:rPr>
        <w:t>düzenlemelerin</w:t>
      </w:r>
      <w:proofErr w:type="spellEnd"/>
      <w:r w:rsidRPr="00EC4E0F">
        <w:rPr>
          <w:lang w:val="en-US"/>
        </w:rPr>
        <w:t xml:space="preserve"> zaman </w:t>
      </w:r>
      <w:proofErr w:type="spellStart"/>
      <w:r w:rsidRPr="00EC4E0F">
        <w:rPr>
          <w:lang w:val="en-US"/>
        </w:rPr>
        <w:t>ve</w:t>
      </w:r>
      <w:proofErr w:type="spellEnd"/>
      <w:r w:rsidRPr="00EC4E0F">
        <w:rPr>
          <w:lang w:val="en-US"/>
        </w:rPr>
        <w:t xml:space="preserve"> </w:t>
      </w:r>
      <w:proofErr w:type="spellStart"/>
      <w:r w:rsidRPr="00EC4E0F">
        <w:rPr>
          <w:lang w:val="en-US"/>
        </w:rPr>
        <w:t>mekâna</w:t>
      </w:r>
      <w:proofErr w:type="spellEnd"/>
      <w:r w:rsidRPr="00EC4E0F">
        <w:rPr>
          <w:lang w:val="en-US"/>
        </w:rPr>
        <w:t xml:space="preserve"> </w:t>
      </w:r>
      <w:proofErr w:type="spellStart"/>
      <w:r w:rsidRPr="00EC4E0F">
        <w:rPr>
          <w:lang w:val="en-US"/>
        </w:rPr>
        <w:t>özgü</w:t>
      </w:r>
      <w:proofErr w:type="spellEnd"/>
      <w:r w:rsidRPr="00EC4E0F">
        <w:rPr>
          <w:lang w:val="en-US"/>
        </w:rPr>
        <w:t xml:space="preserve"> </w:t>
      </w:r>
      <w:proofErr w:type="spellStart"/>
      <w:r w:rsidRPr="00EC4E0F">
        <w:rPr>
          <w:lang w:val="en-US"/>
        </w:rPr>
        <w:t>olduğunu</w:t>
      </w:r>
      <w:proofErr w:type="spellEnd"/>
      <w:r w:rsidRPr="00EC4E0F">
        <w:rPr>
          <w:lang w:val="en-US"/>
        </w:rPr>
        <w:t xml:space="preserve"> </w:t>
      </w:r>
      <w:proofErr w:type="spellStart"/>
      <w:r w:rsidRPr="00EC4E0F">
        <w:rPr>
          <w:lang w:val="en-US"/>
        </w:rPr>
        <w:t>ima</w:t>
      </w:r>
      <w:proofErr w:type="spellEnd"/>
      <w:r w:rsidRPr="00EC4E0F">
        <w:rPr>
          <w:lang w:val="en-US"/>
        </w:rPr>
        <w:t xml:space="preserve"> </w:t>
      </w:r>
      <w:proofErr w:type="spellStart"/>
      <w:r w:rsidRPr="00EC4E0F">
        <w:rPr>
          <w:lang w:val="en-US"/>
        </w:rPr>
        <w:t>eder</w:t>
      </w:r>
      <w:proofErr w:type="spellEnd"/>
      <w:r w:rsidRPr="00EC4E0F">
        <w:rPr>
          <w:lang w:val="en-US"/>
        </w:rPr>
        <w:t xml:space="preserve">. Bu </w:t>
      </w:r>
      <w:proofErr w:type="spellStart"/>
      <w:r w:rsidRPr="00EC4E0F">
        <w:rPr>
          <w:lang w:val="en-US"/>
        </w:rPr>
        <w:t>makalenin</w:t>
      </w:r>
      <w:proofErr w:type="spellEnd"/>
      <w:r w:rsidRPr="00EC4E0F">
        <w:rPr>
          <w:lang w:val="en-US"/>
        </w:rPr>
        <w:t xml:space="preserve"> ilk </w:t>
      </w:r>
      <w:proofErr w:type="spellStart"/>
      <w:r w:rsidRPr="00EC4E0F">
        <w:rPr>
          <w:lang w:val="en-US"/>
        </w:rPr>
        <w:t>iki</w:t>
      </w:r>
      <w:proofErr w:type="spellEnd"/>
      <w:r w:rsidRPr="00EC4E0F">
        <w:rPr>
          <w:lang w:val="en-US"/>
        </w:rPr>
        <w:t xml:space="preserve"> </w:t>
      </w:r>
      <w:proofErr w:type="spellStart"/>
      <w:r w:rsidRPr="00EC4E0F">
        <w:rPr>
          <w:lang w:val="en-US"/>
        </w:rPr>
        <w:t>bölümünde</w:t>
      </w:r>
      <w:proofErr w:type="spellEnd"/>
      <w:r w:rsidRPr="00EC4E0F">
        <w:rPr>
          <w:lang w:val="en-US"/>
        </w:rPr>
        <w:t xml:space="preserve"> </w:t>
      </w:r>
      <w:proofErr w:type="spellStart"/>
      <w:r w:rsidRPr="00EC4E0F">
        <w:rPr>
          <w:lang w:val="en-US"/>
        </w:rPr>
        <w:t>ortaya</w:t>
      </w:r>
      <w:proofErr w:type="spellEnd"/>
      <w:r w:rsidRPr="00EC4E0F">
        <w:rPr>
          <w:lang w:val="en-US"/>
        </w:rPr>
        <w:t xml:space="preserve"> </w:t>
      </w:r>
      <w:proofErr w:type="spellStart"/>
      <w:r w:rsidRPr="00EC4E0F">
        <w:rPr>
          <w:lang w:val="en-US"/>
        </w:rPr>
        <w:t>konduğu</w:t>
      </w:r>
      <w:proofErr w:type="spellEnd"/>
      <w:r w:rsidRPr="00EC4E0F">
        <w:rPr>
          <w:lang w:val="en-US"/>
        </w:rPr>
        <w:t xml:space="preserve"> </w:t>
      </w:r>
      <w:proofErr w:type="spellStart"/>
      <w:r w:rsidRPr="00EC4E0F">
        <w:rPr>
          <w:lang w:val="en-US"/>
        </w:rPr>
        <w:t>gibi</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normlarımız</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uygulamalarımız</w:t>
      </w:r>
      <w:proofErr w:type="spellEnd"/>
      <w:r w:rsidRPr="00EC4E0F">
        <w:rPr>
          <w:lang w:val="en-US"/>
        </w:rPr>
        <w:t xml:space="preserve"> </w:t>
      </w:r>
      <w:proofErr w:type="spellStart"/>
      <w:r w:rsidRPr="00EC4E0F">
        <w:rPr>
          <w:lang w:val="en-US"/>
        </w:rPr>
        <w:t>sürekli</w:t>
      </w:r>
      <w:proofErr w:type="spellEnd"/>
      <w:r w:rsidRPr="00EC4E0F">
        <w:rPr>
          <w:lang w:val="en-US"/>
        </w:rPr>
        <w:t xml:space="preserve"> </w:t>
      </w:r>
      <w:proofErr w:type="spellStart"/>
      <w:r w:rsidRPr="00EC4E0F">
        <w:rPr>
          <w:lang w:val="en-US"/>
        </w:rPr>
        <w:t>değişim</w:t>
      </w:r>
      <w:proofErr w:type="spellEnd"/>
      <w:r w:rsidRPr="00EC4E0F">
        <w:rPr>
          <w:lang w:val="en-US"/>
        </w:rPr>
        <w:t xml:space="preserve"> </w:t>
      </w:r>
      <w:proofErr w:type="spellStart"/>
      <w:r w:rsidRPr="00EC4E0F">
        <w:rPr>
          <w:lang w:val="en-US"/>
        </w:rPr>
        <w:t>hâlindedir</w:t>
      </w:r>
      <w:proofErr w:type="spellEnd"/>
      <w:r w:rsidRPr="00EC4E0F">
        <w:rPr>
          <w:lang w:val="en-US"/>
        </w:rPr>
        <w:t xml:space="preserve">; </w:t>
      </w:r>
      <w:proofErr w:type="spellStart"/>
      <w:r w:rsidRPr="00EC4E0F">
        <w:rPr>
          <w:lang w:val="en-US"/>
        </w:rPr>
        <w:t>halkın</w:t>
      </w:r>
      <w:proofErr w:type="spellEnd"/>
      <w:r w:rsidRPr="00EC4E0F">
        <w:rPr>
          <w:lang w:val="en-US"/>
        </w:rPr>
        <w:t xml:space="preserve"> </w:t>
      </w:r>
      <w:proofErr w:type="spellStart"/>
      <w:r w:rsidRPr="00EC4E0F">
        <w:rPr>
          <w:lang w:val="en-US"/>
        </w:rPr>
        <w:t>değişen</w:t>
      </w:r>
      <w:proofErr w:type="spellEnd"/>
      <w:r w:rsidRPr="00EC4E0F">
        <w:rPr>
          <w:lang w:val="en-US"/>
        </w:rPr>
        <w:t xml:space="preserve"> </w:t>
      </w:r>
      <w:proofErr w:type="spellStart"/>
      <w:r w:rsidRPr="00EC4E0F">
        <w:rPr>
          <w:lang w:val="en-US"/>
        </w:rPr>
        <w:t>tercihlerini</w:t>
      </w:r>
      <w:proofErr w:type="spellEnd"/>
      <w:r w:rsidRPr="00EC4E0F">
        <w:rPr>
          <w:lang w:val="en-US"/>
        </w:rPr>
        <w:t xml:space="preserve">, </w:t>
      </w:r>
      <w:proofErr w:type="spellStart"/>
      <w:r w:rsidRPr="00EC4E0F">
        <w:rPr>
          <w:lang w:val="en-US"/>
        </w:rPr>
        <w:t>beklentilerini</w:t>
      </w:r>
      <w:proofErr w:type="spellEnd"/>
      <w:r w:rsidRPr="00EC4E0F">
        <w:rPr>
          <w:lang w:val="en-US"/>
        </w:rPr>
        <w:t xml:space="preserve">, </w:t>
      </w:r>
      <w:proofErr w:type="spellStart"/>
      <w:r w:rsidRPr="00EC4E0F">
        <w:rPr>
          <w:lang w:val="en-US"/>
        </w:rPr>
        <w:t>umutlarını</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korkularını</w:t>
      </w:r>
      <w:proofErr w:type="spellEnd"/>
      <w:r w:rsidRPr="00EC4E0F">
        <w:rPr>
          <w:lang w:val="en-US"/>
        </w:rPr>
        <w:t xml:space="preserve"> </w:t>
      </w:r>
      <w:proofErr w:type="spellStart"/>
      <w:r w:rsidRPr="00EC4E0F">
        <w:rPr>
          <w:lang w:val="en-US"/>
        </w:rPr>
        <w:t>daha</w:t>
      </w:r>
      <w:proofErr w:type="spellEnd"/>
      <w:r w:rsidRPr="00EC4E0F">
        <w:rPr>
          <w:lang w:val="en-US"/>
        </w:rPr>
        <w:t xml:space="preserve"> iyi </w:t>
      </w:r>
      <w:proofErr w:type="spellStart"/>
      <w:r w:rsidRPr="00EC4E0F">
        <w:rPr>
          <w:lang w:val="en-US"/>
        </w:rPr>
        <w:t>yansıtacak</w:t>
      </w:r>
      <w:proofErr w:type="spellEnd"/>
      <w:r w:rsidRPr="00EC4E0F">
        <w:rPr>
          <w:lang w:val="en-US"/>
        </w:rPr>
        <w:t xml:space="preserve"> </w:t>
      </w:r>
      <w:proofErr w:type="spellStart"/>
      <w:r w:rsidRPr="00EC4E0F">
        <w:rPr>
          <w:lang w:val="en-US"/>
        </w:rPr>
        <w:t>şekilde</w:t>
      </w:r>
      <w:proofErr w:type="spellEnd"/>
      <w:r w:rsidRPr="00EC4E0F">
        <w:rPr>
          <w:lang w:val="en-US"/>
        </w:rPr>
        <w:t xml:space="preserve"> </w:t>
      </w:r>
      <w:proofErr w:type="spellStart"/>
      <w:r w:rsidRPr="00EC4E0F">
        <w:rPr>
          <w:lang w:val="en-US"/>
        </w:rPr>
        <w:t>uyarlanmakta</w:t>
      </w:r>
      <w:proofErr w:type="spellEnd"/>
      <w:r w:rsidRPr="00EC4E0F">
        <w:rPr>
          <w:lang w:val="en-US"/>
        </w:rPr>
        <w:t xml:space="preserve"> </w:t>
      </w:r>
      <w:proofErr w:type="spellStart"/>
      <w:r w:rsidRPr="00EC4E0F">
        <w:rPr>
          <w:lang w:val="en-US"/>
        </w:rPr>
        <w:t>ve</w:t>
      </w:r>
      <w:proofErr w:type="spellEnd"/>
      <w:r w:rsidRPr="00EC4E0F">
        <w:rPr>
          <w:lang w:val="en-US"/>
        </w:rPr>
        <w:t xml:space="preserve"> dönüşmektedir.¹⁴⁸</w:t>
      </w:r>
      <w:r w:rsidRPr="00EC4E0F">
        <w:rPr>
          <w:lang w:val="en-US"/>
        </w:rPr>
        <w:t xml:space="preserve"> </w:t>
      </w:r>
      <w:r w:rsidRPr="00EC4E0F">
        <w:rPr>
          <w:rStyle w:val="FootnoteReference"/>
          <w:lang w:val="en-US"/>
        </w:rPr>
        <w:footnoteReference w:id="148"/>
      </w:r>
      <w:r w:rsidRPr="00EC4E0F">
        <w:rPr>
          <w:lang w:val="en-US"/>
        </w:rPr>
        <w:t xml:space="preserve">  </w:t>
      </w:r>
      <w:r w:rsidRPr="00EC4E0F">
        <w:rPr>
          <w:lang w:val="en-US"/>
        </w:rPr>
        <w:t xml:space="preserve">Bu </w:t>
      </w:r>
      <w:proofErr w:type="spellStart"/>
      <w:r w:rsidRPr="00EC4E0F">
        <w:rPr>
          <w:lang w:val="en-US"/>
        </w:rPr>
        <w:t>nedenle</w:t>
      </w:r>
      <w:proofErr w:type="spellEnd"/>
      <w:r w:rsidRPr="00EC4E0F">
        <w:rPr>
          <w:lang w:val="en-US"/>
        </w:rPr>
        <w:t xml:space="preserve">, </w:t>
      </w:r>
      <w:proofErr w:type="spellStart"/>
      <w:r w:rsidRPr="00EC4E0F">
        <w:rPr>
          <w:lang w:val="en-US"/>
        </w:rPr>
        <w:t>anayasa</w:t>
      </w:r>
      <w:proofErr w:type="spellEnd"/>
      <w:r w:rsidRPr="00EC4E0F">
        <w:rPr>
          <w:lang w:val="en-US"/>
        </w:rPr>
        <w:t xml:space="preserve"> </w:t>
      </w:r>
      <w:proofErr w:type="spellStart"/>
      <w:r w:rsidRPr="00EC4E0F">
        <w:rPr>
          <w:lang w:val="en-US"/>
        </w:rPr>
        <w:t>hukuku</w:t>
      </w:r>
      <w:proofErr w:type="spellEnd"/>
      <w:r w:rsidRPr="00EC4E0F">
        <w:rPr>
          <w:lang w:val="en-US"/>
        </w:rPr>
        <w:t xml:space="preserve"> </w:t>
      </w:r>
      <w:proofErr w:type="spellStart"/>
      <w:r w:rsidRPr="00EC4E0F">
        <w:rPr>
          <w:lang w:val="en-US"/>
        </w:rPr>
        <w:t>oluşturma</w:t>
      </w:r>
      <w:proofErr w:type="spellEnd"/>
      <w:r w:rsidRPr="00EC4E0F">
        <w:rPr>
          <w:lang w:val="en-US"/>
        </w:rPr>
        <w:t xml:space="preserve"> </w:t>
      </w:r>
      <w:proofErr w:type="spellStart"/>
      <w:r w:rsidRPr="00EC4E0F">
        <w:rPr>
          <w:lang w:val="en-US"/>
        </w:rPr>
        <w:t>süreçlerine</w:t>
      </w:r>
      <w:proofErr w:type="spellEnd"/>
      <w:r w:rsidRPr="00EC4E0F">
        <w:rPr>
          <w:lang w:val="en-US"/>
        </w:rPr>
        <w:t xml:space="preserve"> </w:t>
      </w:r>
      <w:proofErr w:type="spellStart"/>
      <w:r w:rsidRPr="00EC4E0F">
        <w:rPr>
          <w:lang w:val="en-US"/>
        </w:rPr>
        <w:t>ilişkin</w:t>
      </w:r>
      <w:proofErr w:type="spellEnd"/>
      <w:r w:rsidRPr="00EC4E0F">
        <w:rPr>
          <w:lang w:val="en-US"/>
        </w:rPr>
        <w:t xml:space="preserve"> </w:t>
      </w:r>
      <w:proofErr w:type="spellStart"/>
      <w:r w:rsidRPr="00EC4E0F">
        <w:rPr>
          <w:lang w:val="en-US"/>
        </w:rPr>
        <w:t>sorulara</w:t>
      </w:r>
      <w:proofErr w:type="spellEnd"/>
      <w:r w:rsidRPr="00EC4E0F">
        <w:rPr>
          <w:lang w:val="en-US"/>
        </w:rPr>
        <w:t xml:space="preserve"> </w:t>
      </w:r>
      <w:proofErr w:type="spellStart"/>
      <w:r w:rsidRPr="00EC4E0F">
        <w:rPr>
          <w:lang w:val="en-US"/>
        </w:rPr>
        <w:t>verilecek</w:t>
      </w:r>
      <w:proofErr w:type="spellEnd"/>
      <w:r w:rsidRPr="00EC4E0F">
        <w:rPr>
          <w:lang w:val="en-US"/>
        </w:rPr>
        <w:t xml:space="preserve"> </w:t>
      </w:r>
      <w:proofErr w:type="spellStart"/>
      <w:r w:rsidRPr="00EC4E0F">
        <w:rPr>
          <w:lang w:val="en-US"/>
        </w:rPr>
        <w:t>doğru</w:t>
      </w:r>
      <w:proofErr w:type="spellEnd"/>
      <w:r w:rsidRPr="00EC4E0F">
        <w:rPr>
          <w:lang w:val="en-US"/>
        </w:rPr>
        <w:t xml:space="preserve"> </w:t>
      </w:r>
      <w:proofErr w:type="spellStart"/>
      <w:r w:rsidRPr="00EC4E0F">
        <w:rPr>
          <w:lang w:val="en-US"/>
        </w:rPr>
        <w:t>yanıtlar</w:t>
      </w:r>
      <w:proofErr w:type="spellEnd"/>
      <w:r w:rsidRPr="00EC4E0F">
        <w:rPr>
          <w:lang w:val="en-US"/>
        </w:rPr>
        <w:t xml:space="preserve"> </w:t>
      </w:r>
      <w:proofErr w:type="spellStart"/>
      <w:r w:rsidRPr="00EC4E0F">
        <w:rPr>
          <w:lang w:val="en-US"/>
        </w:rPr>
        <w:t>doğası</w:t>
      </w:r>
      <w:proofErr w:type="spellEnd"/>
      <w:r w:rsidRPr="00EC4E0F">
        <w:rPr>
          <w:lang w:val="en-US"/>
        </w:rPr>
        <w:t xml:space="preserve"> </w:t>
      </w:r>
      <w:proofErr w:type="spellStart"/>
      <w:r w:rsidRPr="00EC4E0F">
        <w:rPr>
          <w:lang w:val="en-US"/>
        </w:rPr>
        <w:t>gereği</w:t>
      </w:r>
      <w:proofErr w:type="spellEnd"/>
      <w:r w:rsidRPr="00EC4E0F">
        <w:rPr>
          <w:lang w:val="en-US"/>
        </w:rPr>
        <w:t xml:space="preserve"> </w:t>
      </w:r>
      <w:proofErr w:type="spellStart"/>
      <w:r w:rsidRPr="00EC4E0F">
        <w:rPr>
          <w:lang w:val="en-US"/>
        </w:rPr>
        <w:t>zamana</w:t>
      </w:r>
      <w:proofErr w:type="spellEnd"/>
      <w:r w:rsidRPr="00EC4E0F">
        <w:rPr>
          <w:lang w:val="en-US"/>
        </w:rPr>
        <w:t xml:space="preserve"> </w:t>
      </w:r>
      <w:proofErr w:type="spellStart"/>
      <w:r w:rsidRPr="00EC4E0F">
        <w:rPr>
          <w:lang w:val="en-US"/>
        </w:rPr>
        <w:t>bağlıdır</w:t>
      </w:r>
      <w:proofErr w:type="spellEnd"/>
      <w:r w:rsidRPr="00EC4E0F">
        <w:rPr>
          <w:lang w:val="en-US"/>
        </w:rPr>
        <w:t>.</w:t>
      </w:r>
    </w:p>
    <w:p w14:paraId="0B028E80" w14:textId="39B51168" w:rsidR="00EC4E0F" w:rsidRDefault="00EC4E0F" w:rsidP="00EC4E0F">
      <w:pPr>
        <w:rPr>
          <w:lang w:val="en-US"/>
        </w:rPr>
      </w:pPr>
      <w:r w:rsidRPr="00EC4E0F">
        <w:rPr>
          <w:lang w:val="en-US"/>
        </w:rPr>
        <w:lastRenderedPageBreak/>
        <w:t xml:space="preserve">Bu </w:t>
      </w:r>
      <w:proofErr w:type="spellStart"/>
      <w:r w:rsidRPr="00EC4E0F">
        <w:rPr>
          <w:lang w:val="en-US"/>
        </w:rPr>
        <w:t>özelliğine</w:t>
      </w:r>
      <w:proofErr w:type="spellEnd"/>
      <w:r w:rsidRPr="00EC4E0F">
        <w:rPr>
          <w:lang w:val="en-US"/>
        </w:rPr>
        <w:t xml:space="preserve"> </w:t>
      </w:r>
      <w:proofErr w:type="spellStart"/>
      <w:r w:rsidRPr="00EC4E0F">
        <w:rPr>
          <w:lang w:val="en-US"/>
        </w:rPr>
        <w:t>rağmen</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kültürümüzün</w:t>
      </w:r>
      <w:proofErr w:type="spellEnd"/>
      <w:r w:rsidRPr="00EC4E0F">
        <w:rPr>
          <w:lang w:val="en-US"/>
        </w:rPr>
        <w:t xml:space="preserve"> </w:t>
      </w:r>
      <w:proofErr w:type="spellStart"/>
      <w:r w:rsidRPr="00EC4E0F">
        <w:rPr>
          <w:lang w:val="en-US"/>
        </w:rPr>
        <w:t>içeriği</w:t>
      </w:r>
      <w:proofErr w:type="spellEnd"/>
      <w:r w:rsidRPr="00EC4E0F">
        <w:rPr>
          <w:lang w:val="en-US"/>
        </w:rPr>
        <w:t xml:space="preserve"> </w:t>
      </w:r>
      <w:proofErr w:type="spellStart"/>
      <w:r w:rsidRPr="00EC4E0F">
        <w:rPr>
          <w:lang w:val="en-US"/>
        </w:rPr>
        <w:t>en</w:t>
      </w:r>
      <w:proofErr w:type="spellEnd"/>
      <w:r w:rsidRPr="00EC4E0F">
        <w:rPr>
          <w:lang w:val="en-US"/>
        </w:rPr>
        <w:t xml:space="preserve"> </w:t>
      </w:r>
      <w:proofErr w:type="spellStart"/>
      <w:r w:rsidRPr="00EC4E0F">
        <w:rPr>
          <w:lang w:val="en-US"/>
        </w:rPr>
        <w:t>az</w:t>
      </w:r>
      <w:proofErr w:type="spellEnd"/>
      <w:r w:rsidRPr="00EC4E0F">
        <w:rPr>
          <w:lang w:val="en-US"/>
        </w:rPr>
        <w:t xml:space="preserve"> </w:t>
      </w:r>
      <w:proofErr w:type="spellStart"/>
      <w:r w:rsidRPr="00EC4E0F">
        <w:rPr>
          <w:lang w:val="en-US"/>
        </w:rPr>
        <w:t>iki</w:t>
      </w:r>
      <w:proofErr w:type="spellEnd"/>
      <w:r w:rsidRPr="00EC4E0F">
        <w:rPr>
          <w:lang w:val="en-US"/>
        </w:rPr>
        <w:t xml:space="preserve"> </w:t>
      </w:r>
      <w:proofErr w:type="spellStart"/>
      <w:r w:rsidRPr="00EC4E0F">
        <w:rPr>
          <w:lang w:val="en-US"/>
        </w:rPr>
        <w:t>açıdan</w:t>
      </w:r>
      <w:proofErr w:type="spellEnd"/>
      <w:r w:rsidRPr="00EC4E0F">
        <w:rPr>
          <w:lang w:val="en-US"/>
        </w:rPr>
        <w:t xml:space="preserve"> </w:t>
      </w:r>
      <w:proofErr w:type="spellStart"/>
      <w:r w:rsidRPr="00EC4E0F">
        <w:rPr>
          <w:lang w:val="en-US"/>
        </w:rPr>
        <w:t>derinlemesine</w:t>
      </w:r>
      <w:proofErr w:type="spellEnd"/>
      <w:r w:rsidRPr="00EC4E0F">
        <w:rPr>
          <w:lang w:val="en-US"/>
        </w:rPr>
        <w:t xml:space="preserve"> </w:t>
      </w:r>
      <w:proofErr w:type="spellStart"/>
      <w:r w:rsidRPr="00EC4E0F">
        <w:rPr>
          <w:lang w:val="en-US"/>
        </w:rPr>
        <w:t>tarihsel</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bağlama</w:t>
      </w:r>
      <w:proofErr w:type="spellEnd"/>
      <w:r w:rsidRPr="00EC4E0F">
        <w:rPr>
          <w:lang w:val="en-US"/>
        </w:rPr>
        <w:t xml:space="preserve"> </w:t>
      </w:r>
      <w:proofErr w:type="spellStart"/>
      <w:r w:rsidRPr="00EC4E0F">
        <w:rPr>
          <w:lang w:val="en-US"/>
        </w:rPr>
        <w:t>sahiptir</w:t>
      </w:r>
      <w:proofErr w:type="spellEnd"/>
      <w:r w:rsidRPr="00EC4E0F">
        <w:rPr>
          <w:lang w:val="en-US"/>
        </w:rPr>
        <w:t>.</w:t>
      </w:r>
      <w:r w:rsidRPr="00EC4E0F">
        <w:rPr>
          <w:lang w:val="en-US"/>
        </w:rPr>
        <w:t xml:space="preserve"> </w:t>
      </w:r>
      <w:r w:rsidRPr="00EC4E0F">
        <w:rPr>
          <w:lang w:val="en-US"/>
        </w:rPr>
        <w:t xml:space="preserve">İlk </w:t>
      </w:r>
      <w:proofErr w:type="spellStart"/>
      <w:r w:rsidRPr="00EC4E0F">
        <w:rPr>
          <w:lang w:val="en-US"/>
        </w:rPr>
        <w:t>olarak</w:t>
      </w:r>
      <w:proofErr w:type="spellEnd"/>
      <w:r w:rsidRPr="00EC4E0F">
        <w:rPr>
          <w:lang w:val="en-US"/>
        </w:rPr>
        <w:t xml:space="preserve">, </w:t>
      </w:r>
      <w:proofErr w:type="spellStart"/>
      <w:r w:rsidRPr="00EC4E0F">
        <w:rPr>
          <w:lang w:val="en-US"/>
        </w:rPr>
        <w:t>mevcut</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düzenlemeler</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normlar</w:t>
      </w:r>
      <w:proofErr w:type="spellEnd"/>
      <w:r w:rsidRPr="00EC4E0F">
        <w:rPr>
          <w:lang w:val="en-US"/>
        </w:rPr>
        <w:t xml:space="preserve">, </w:t>
      </w:r>
      <w:proofErr w:type="spellStart"/>
      <w:r w:rsidRPr="00EC4E0F">
        <w:rPr>
          <w:lang w:val="en-US"/>
        </w:rPr>
        <w:t>belirli</w:t>
      </w:r>
      <w:proofErr w:type="spellEnd"/>
      <w:r w:rsidRPr="00EC4E0F">
        <w:rPr>
          <w:lang w:val="en-US"/>
        </w:rPr>
        <w:t xml:space="preserve"> </w:t>
      </w:r>
      <w:proofErr w:type="spellStart"/>
      <w:r w:rsidRPr="00EC4E0F">
        <w:rPr>
          <w:lang w:val="en-US"/>
        </w:rPr>
        <w:t>tarihsel</w:t>
      </w:r>
      <w:proofErr w:type="spellEnd"/>
      <w:r w:rsidRPr="00EC4E0F">
        <w:rPr>
          <w:lang w:val="en-US"/>
        </w:rPr>
        <w:t xml:space="preserve"> </w:t>
      </w:r>
      <w:proofErr w:type="spellStart"/>
      <w:r w:rsidRPr="00EC4E0F">
        <w:rPr>
          <w:lang w:val="en-US"/>
        </w:rPr>
        <w:t>olayların</w:t>
      </w:r>
      <w:proofErr w:type="spellEnd"/>
      <w:r w:rsidRPr="00EC4E0F">
        <w:rPr>
          <w:lang w:val="en-US"/>
        </w:rPr>
        <w:t xml:space="preserve">, </w:t>
      </w:r>
      <w:proofErr w:type="spellStart"/>
      <w:r w:rsidRPr="00EC4E0F">
        <w:rPr>
          <w:lang w:val="en-US"/>
        </w:rPr>
        <w:t>hareketlerin</w:t>
      </w:r>
      <w:proofErr w:type="spellEnd"/>
      <w:r w:rsidRPr="00EC4E0F">
        <w:rPr>
          <w:lang w:val="en-US"/>
        </w:rPr>
        <w:t xml:space="preserve">, </w:t>
      </w:r>
      <w:proofErr w:type="spellStart"/>
      <w:r w:rsidRPr="00EC4E0F">
        <w:rPr>
          <w:lang w:val="en-US"/>
        </w:rPr>
        <w:t>kararların</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uyarlamaların</w:t>
      </w:r>
      <w:proofErr w:type="spellEnd"/>
      <w:r w:rsidRPr="00EC4E0F">
        <w:rPr>
          <w:lang w:val="en-US"/>
        </w:rPr>
        <w:t xml:space="preserve"> </w:t>
      </w:r>
      <w:proofErr w:type="spellStart"/>
      <w:r w:rsidRPr="00EC4E0F">
        <w:rPr>
          <w:lang w:val="en-US"/>
        </w:rPr>
        <w:t>sonucudur</w:t>
      </w:r>
      <w:proofErr w:type="spellEnd"/>
      <w:r w:rsidRPr="00EC4E0F">
        <w:rPr>
          <w:lang w:val="en-US"/>
        </w:rPr>
        <w:t xml:space="preserve">. Modern </w:t>
      </w:r>
      <w:proofErr w:type="spellStart"/>
      <w:r w:rsidRPr="00EC4E0F">
        <w:rPr>
          <w:lang w:val="en-US"/>
        </w:rPr>
        <w:t>yapılarımızın</w:t>
      </w:r>
      <w:proofErr w:type="spellEnd"/>
      <w:r w:rsidRPr="00EC4E0F">
        <w:rPr>
          <w:lang w:val="en-US"/>
        </w:rPr>
        <w:t xml:space="preserve"> </w:t>
      </w:r>
      <w:proofErr w:type="spellStart"/>
      <w:r w:rsidRPr="00EC4E0F">
        <w:rPr>
          <w:lang w:val="en-US"/>
        </w:rPr>
        <w:t>evrimini</w:t>
      </w:r>
      <w:proofErr w:type="spellEnd"/>
      <w:r w:rsidRPr="00EC4E0F">
        <w:rPr>
          <w:lang w:val="en-US"/>
        </w:rPr>
        <w:t xml:space="preserve">, </w:t>
      </w:r>
      <w:proofErr w:type="spellStart"/>
      <w:r w:rsidRPr="00EC4E0F">
        <w:rPr>
          <w:lang w:val="en-US"/>
        </w:rPr>
        <w:t>genellikle</w:t>
      </w:r>
      <w:proofErr w:type="spellEnd"/>
      <w:r w:rsidRPr="00EC4E0F">
        <w:rPr>
          <w:lang w:val="en-US"/>
        </w:rPr>
        <w:t xml:space="preserve"> </w:t>
      </w:r>
      <w:proofErr w:type="spellStart"/>
      <w:r w:rsidRPr="00EC4E0F">
        <w:rPr>
          <w:lang w:val="en-US"/>
        </w:rPr>
        <w:t>bu</w:t>
      </w:r>
      <w:proofErr w:type="spellEnd"/>
      <w:r w:rsidRPr="00EC4E0F">
        <w:rPr>
          <w:lang w:val="en-US"/>
        </w:rPr>
        <w:t xml:space="preserve"> </w:t>
      </w:r>
      <w:proofErr w:type="spellStart"/>
      <w:r w:rsidRPr="00EC4E0F">
        <w:rPr>
          <w:lang w:val="en-US"/>
        </w:rPr>
        <w:t>yapıların</w:t>
      </w:r>
      <w:proofErr w:type="spellEnd"/>
      <w:r w:rsidRPr="00EC4E0F">
        <w:rPr>
          <w:lang w:val="en-US"/>
        </w:rPr>
        <w:t xml:space="preserve"> </w:t>
      </w:r>
      <w:proofErr w:type="spellStart"/>
      <w:r w:rsidRPr="00EC4E0F">
        <w:rPr>
          <w:lang w:val="en-US"/>
        </w:rPr>
        <w:t>ortaya</w:t>
      </w:r>
      <w:proofErr w:type="spellEnd"/>
      <w:r w:rsidRPr="00EC4E0F">
        <w:rPr>
          <w:lang w:val="en-US"/>
        </w:rPr>
        <w:t xml:space="preserve"> </w:t>
      </w:r>
      <w:proofErr w:type="spellStart"/>
      <w:r w:rsidRPr="00EC4E0F">
        <w:rPr>
          <w:lang w:val="en-US"/>
        </w:rPr>
        <w:t>çıkışını</w:t>
      </w:r>
      <w:proofErr w:type="spellEnd"/>
      <w:r w:rsidRPr="00EC4E0F">
        <w:rPr>
          <w:lang w:val="en-US"/>
        </w:rPr>
        <w:t xml:space="preserve"> </w:t>
      </w:r>
      <w:proofErr w:type="spellStart"/>
      <w:r w:rsidRPr="00EC4E0F">
        <w:rPr>
          <w:lang w:val="en-US"/>
        </w:rPr>
        <w:t>tetikleyen</w:t>
      </w:r>
      <w:proofErr w:type="spellEnd"/>
      <w:r w:rsidRPr="00EC4E0F">
        <w:rPr>
          <w:lang w:val="en-US"/>
        </w:rPr>
        <w:t xml:space="preserve"> </w:t>
      </w:r>
      <w:proofErr w:type="spellStart"/>
      <w:r w:rsidRPr="00EC4E0F">
        <w:rPr>
          <w:lang w:val="en-US"/>
        </w:rPr>
        <w:t>olaylara</w:t>
      </w:r>
      <w:proofErr w:type="spellEnd"/>
      <w:r w:rsidRPr="00EC4E0F">
        <w:rPr>
          <w:lang w:val="en-US"/>
        </w:rPr>
        <w:t xml:space="preserve"> </w:t>
      </w:r>
      <w:proofErr w:type="spellStart"/>
      <w:r w:rsidRPr="00EC4E0F">
        <w:rPr>
          <w:lang w:val="en-US"/>
        </w:rPr>
        <w:t>veya</w:t>
      </w:r>
      <w:proofErr w:type="spellEnd"/>
      <w:r w:rsidRPr="00EC4E0F">
        <w:rPr>
          <w:lang w:val="en-US"/>
        </w:rPr>
        <w:t xml:space="preserve"> </w:t>
      </w:r>
      <w:proofErr w:type="spellStart"/>
      <w:r w:rsidRPr="00EC4E0F">
        <w:rPr>
          <w:lang w:val="en-US"/>
        </w:rPr>
        <w:t>bunların</w:t>
      </w:r>
      <w:proofErr w:type="spellEnd"/>
      <w:r w:rsidRPr="00EC4E0F">
        <w:rPr>
          <w:lang w:val="en-US"/>
        </w:rPr>
        <w:t xml:space="preserve"> </w:t>
      </w:r>
      <w:proofErr w:type="spellStart"/>
      <w:r w:rsidRPr="00EC4E0F">
        <w:rPr>
          <w:lang w:val="en-US"/>
        </w:rPr>
        <w:t>benimsenmesini</w:t>
      </w:r>
      <w:proofErr w:type="spellEnd"/>
      <w:r w:rsidRPr="00EC4E0F">
        <w:rPr>
          <w:lang w:val="en-US"/>
        </w:rPr>
        <w:t xml:space="preserve"> </w:t>
      </w:r>
      <w:proofErr w:type="spellStart"/>
      <w:r w:rsidRPr="00EC4E0F">
        <w:rPr>
          <w:lang w:val="en-US"/>
        </w:rPr>
        <w:t>savunan</w:t>
      </w:r>
      <w:proofErr w:type="spellEnd"/>
      <w:r w:rsidRPr="00EC4E0F">
        <w:rPr>
          <w:lang w:val="en-US"/>
        </w:rPr>
        <w:t xml:space="preserve"> </w:t>
      </w:r>
      <w:proofErr w:type="spellStart"/>
      <w:r w:rsidRPr="00EC4E0F">
        <w:rPr>
          <w:lang w:val="en-US"/>
        </w:rPr>
        <w:t>daha</w:t>
      </w:r>
      <w:proofErr w:type="spellEnd"/>
      <w:r w:rsidRPr="00EC4E0F">
        <w:rPr>
          <w:lang w:val="en-US"/>
        </w:rPr>
        <w:t xml:space="preserve"> </w:t>
      </w:r>
      <w:proofErr w:type="spellStart"/>
      <w:r w:rsidRPr="00EC4E0F">
        <w:rPr>
          <w:lang w:val="en-US"/>
        </w:rPr>
        <w:t>geniş</w:t>
      </w:r>
      <w:proofErr w:type="spellEnd"/>
      <w:r w:rsidRPr="00EC4E0F">
        <w:rPr>
          <w:lang w:val="en-US"/>
        </w:rPr>
        <w:t xml:space="preserve"> </w:t>
      </w:r>
      <w:proofErr w:type="spellStart"/>
      <w:r w:rsidRPr="00EC4E0F">
        <w:rPr>
          <w:lang w:val="en-US"/>
        </w:rPr>
        <w:t>kültürel</w:t>
      </w:r>
      <w:proofErr w:type="spellEnd"/>
      <w:r w:rsidRPr="00EC4E0F">
        <w:rPr>
          <w:lang w:val="en-US"/>
        </w:rPr>
        <w:t xml:space="preserve"> </w:t>
      </w:r>
      <w:proofErr w:type="spellStart"/>
      <w:r w:rsidRPr="00EC4E0F">
        <w:rPr>
          <w:lang w:val="en-US"/>
        </w:rPr>
        <w:t>hareketlere</w:t>
      </w:r>
      <w:proofErr w:type="spellEnd"/>
      <w:r w:rsidRPr="00EC4E0F">
        <w:rPr>
          <w:lang w:val="en-US"/>
        </w:rPr>
        <w:t xml:space="preserve"> </w:t>
      </w:r>
      <w:proofErr w:type="spellStart"/>
      <w:r w:rsidRPr="00EC4E0F">
        <w:rPr>
          <w:lang w:val="en-US"/>
        </w:rPr>
        <w:t>referans</w:t>
      </w:r>
      <w:proofErr w:type="spellEnd"/>
      <w:r w:rsidRPr="00EC4E0F">
        <w:rPr>
          <w:lang w:val="en-US"/>
        </w:rPr>
        <w:t xml:space="preserve"> </w:t>
      </w:r>
      <w:proofErr w:type="spellStart"/>
      <w:r w:rsidRPr="00EC4E0F">
        <w:rPr>
          <w:lang w:val="en-US"/>
        </w:rPr>
        <w:t>vererek</w:t>
      </w:r>
      <w:proofErr w:type="spellEnd"/>
      <w:r w:rsidRPr="00EC4E0F">
        <w:rPr>
          <w:lang w:val="en-US"/>
        </w:rPr>
        <w:t xml:space="preserve"> açıklayabiliriz.¹⁴⁹</w:t>
      </w:r>
      <w:r w:rsidRPr="00EC4E0F">
        <w:rPr>
          <w:lang w:val="en-US"/>
        </w:rPr>
        <w:t xml:space="preserve"> </w:t>
      </w:r>
      <w:r w:rsidRPr="00EC4E0F">
        <w:rPr>
          <w:rStyle w:val="FootnoteReference"/>
          <w:lang w:val="en-US"/>
        </w:rPr>
        <w:footnoteReference w:id="149"/>
      </w:r>
      <w:r w:rsidRPr="00EC4E0F">
        <w:rPr>
          <w:lang w:val="en-US"/>
        </w:rPr>
        <w:t xml:space="preserve"> </w:t>
      </w:r>
      <w:proofErr w:type="spellStart"/>
      <w:r w:rsidRPr="00EC4E0F">
        <w:rPr>
          <w:lang w:val="en-US"/>
        </w:rPr>
        <w:t>İkinci</w:t>
      </w:r>
      <w:proofErr w:type="spellEnd"/>
      <w:r w:rsidRPr="00EC4E0F">
        <w:rPr>
          <w:lang w:val="en-US"/>
        </w:rPr>
        <w:t xml:space="preserve"> </w:t>
      </w:r>
      <w:proofErr w:type="spellStart"/>
      <w:r w:rsidRPr="00EC4E0F">
        <w:rPr>
          <w:lang w:val="en-US"/>
        </w:rPr>
        <w:t>olarak</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kültür</w:t>
      </w:r>
      <w:proofErr w:type="spellEnd"/>
      <w:r w:rsidRPr="00EC4E0F">
        <w:rPr>
          <w:lang w:val="en-US"/>
        </w:rPr>
        <w:t xml:space="preserve"> </w:t>
      </w:r>
      <w:proofErr w:type="spellStart"/>
      <w:r w:rsidRPr="00EC4E0F">
        <w:rPr>
          <w:lang w:val="en-US"/>
        </w:rPr>
        <w:t>nominaldir</w:t>
      </w:r>
      <w:proofErr w:type="spellEnd"/>
      <w:r w:rsidRPr="00EC4E0F">
        <w:rPr>
          <w:lang w:val="en-US"/>
        </w:rPr>
        <w:t xml:space="preserve">; </w:t>
      </w:r>
      <w:proofErr w:type="spellStart"/>
      <w:r w:rsidRPr="00EC4E0F">
        <w:rPr>
          <w:lang w:val="en-US"/>
        </w:rPr>
        <w:t>yani</w:t>
      </w:r>
      <w:proofErr w:type="spellEnd"/>
      <w:r w:rsidRPr="00EC4E0F">
        <w:rPr>
          <w:lang w:val="en-US"/>
        </w:rPr>
        <w:t xml:space="preserve">, </w:t>
      </w:r>
      <w:proofErr w:type="spellStart"/>
      <w:r w:rsidRPr="00EC4E0F">
        <w:rPr>
          <w:lang w:val="en-US"/>
        </w:rPr>
        <w:t>herhangi</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anda</w:t>
      </w:r>
      <w:proofErr w:type="spellEnd"/>
      <w:r w:rsidRPr="00EC4E0F">
        <w:rPr>
          <w:lang w:val="en-US"/>
        </w:rPr>
        <w:t xml:space="preserve"> </w:t>
      </w:r>
      <w:proofErr w:type="spellStart"/>
      <w:r w:rsidRPr="00EC4E0F">
        <w:rPr>
          <w:lang w:val="en-US"/>
        </w:rPr>
        <w:t>belirli</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biçimde</w:t>
      </w:r>
      <w:proofErr w:type="spellEnd"/>
      <w:r w:rsidRPr="00EC4E0F">
        <w:rPr>
          <w:lang w:val="en-US"/>
        </w:rPr>
        <w:t xml:space="preserve"> var </w:t>
      </w:r>
      <w:proofErr w:type="spellStart"/>
      <w:r w:rsidRPr="00EC4E0F">
        <w:rPr>
          <w:lang w:val="en-US"/>
        </w:rPr>
        <w:t>olmasının</w:t>
      </w:r>
      <w:proofErr w:type="spellEnd"/>
      <w:r w:rsidRPr="00EC4E0F">
        <w:rPr>
          <w:lang w:val="en-US"/>
        </w:rPr>
        <w:t xml:space="preserve"> </w:t>
      </w:r>
      <w:proofErr w:type="spellStart"/>
      <w:r w:rsidRPr="00EC4E0F">
        <w:rPr>
          <w:lang w:val="en-US"/>
        </w:rPr>
        <w:t>nedeni</w:t>
      </w:r>
      <w:proofErr w:type="spellEnd"/>
      <w:r w:rsidRPr="00EC4E0F">
        <w:rPr>
          <w:lang w:val="en-US"/>
        </w:rPr>
        <w:t xml:space="preserve">, </w:t>
      </w:r>
      <w:proofErr w:type="spellStart"/>
      <w:r w:rsidRPr="00EC4E0F">
        <w:rPr>
          <w:lang w:val="en-US"/>
        </w:rPr>
        <w:t>tarihin</w:t>
      </w:r>
      <w:proofErr w:type="spellEnd"/>
      <w:r w:rsidRPr="00EC4E0F">
        <w:rPr>
          <w:lang w:val="en-US"/>
        </w:rPr>
        <w:t xml:space="preserve"> </w:t>
      </w:r>
      <w:proofErr w:type="spellStart"/>
      <w:r w:rsidRPr="00EC4E0F">
        <w:rPr>
          <w:lang w:val="en-US"/>
        </w:rPr>
        <w:t>belirli</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seyir</w:t>
      </w:r>
      <w:proofErr w:type="spellEnd"/>
      <w:r w:rsidRPr="00EC4E0F">
        <w:rPr>
          <w:lang w:val="en-US"/>
        </w:rPr>
        <w:t xml:space="preserve"> </w:t>
      </w:r>
      <w:proofErr w:type="spellStart"/>
      <w:r w:rsidRPr="00EC4E0F">
        <w:rPr>
          <w:lang w:val="en-US"/>
        </w:rPr>
        <w:t>izlemiş</w:t>
      </w:r>
      <w:proofErr w:type="spellEnd"/>
      <w:r w:rsidRPr="00EC4E0F">
        <w:rPr>
          <w:lang w:val="en-US"/>
        </w:rPr>
        <w:t xml:space="preserve"> </w:t>
      </w:r>
      <w:proofErr w:type="spellStart"/>
      <w:r w:rsidRPr="00EC4E0F">
        <w:rPr>
          <w:lang w:val="en-US"/>
        </w:rPr>
        <w:t>olmasıdır</w:t>
      </w:r>
      <w:proofErr w:type="spellEnd"/>
      <w:r w:rsidRPr="00EC4E0F">
        <w:rPr>
          <w:lang w:val="en-US"/>
        </w:rPr>
        <w:t xml:space="preserve">. </w:t>
      </w:r>
      <w:proofErr w:type="spellStart"/>
      <w:r w:rsidRPr="00EC4E0F">
        <w:rPr>
          <w:lang w:val="en-US"/>
        </w:rPr>
        <w:t>Eğer</w:t>
      </w:r>
      <w:proofErr w:type="spellEnd"/>
      <w:r w:rsidRPr="00EC4E0F">
        <w:rPr>
          <w:lang w:val="en-US"/>
        </w:rPr>
        <w:t xml:space="preserve"> </w:t>
      </w:r>
      <w:proofErr w:type="spellStart"/>
      <w:r w:rsidRPr="00EC4E0F">
        <w:rPr>
          <w:lang w:val="en-US"/>
        </w:rPr>
        <w:t>tarih</w:t>
      </w:r>
      <w:proofErr w:type="spellEnd"/>
      <w:r w:rsidRPr="00EC4E0F">
        <w:rPr>
          <w:lang w:val="en-US"/>
        </w:rPr>
        <w:t xml:space="preserve"> </w:t>
      </w:r>
      <w:proofErr w:type="spellStart"/>
      <w:r w:rsidRPr="00EC4E0F">
        <w:rPr>
          <w:lang w:val="en-US"/>
        </w:rPr>
        <w:t>farklı</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şekilde</w:t>
      </w:r>
      <w:proofErr w:type="spellEnd"/>
      <w:r w:rsidRPr="00EC4E0F">
        <w:rPr>
          <w:lang w:val="en-US"/>
        </w:rPr>
        <w:t xml:space="preserve"> </w:t>
      </w:r>
      <w:proofErr w:type="spellStart"/>
      <w:r w:rsidRPr="00EC4E0F">
        <w:rPr>
          <w:lang w:val="en-US"/>
        </w:rPr>
        <w:t>gelişmiş</w:t>
      </w:r>
      <w:proofErr w:type="spellEnd"/>
      <w:r w:rsidRPr="00EC4E0F">
        <w:rPr>
          <w:lang w:val="en-US"/>
        </w:rPr>
        <w:t xml:space="preserve"> </w:t>
      </w:r>
      <w:proofErr w:type="spellStart"/>
      <w:r w:rsidRPr="00EC4E0F">
        <w:rPr>
          <w:lang w:val="en-US"/>
        </w:rPr>
        <w:t>olsaydı</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kültürümüz</w:t>
      </w:r>
      <w:proofErr w:type="spellEnd"/>
      <w:r w:rsidRPr="00EC4E0F">
        <w:rPr>
          <w:lang w:val="en-US"/>
        </w:rPr>
        <w:t xml:space="preserve"> de </w:t>
      </w:r>
      <w:proofErr w:type="spellStart"/>
      <w:r w:rsidRPr="00EC4E0F">
        <w:rPr>
          <w:lang w:val="en-US"/>
        </w:rPr>
        <w:t>en</w:t>
      </w:r>
      <w:proofErr w:type="spellEnd"/>
      <w:r w:rsidRPr="00EC4E0F">
        <w:rPr>
          <w:lang w:val="en-US"/>
        </w:rPr>
        <w:t xml:space="preserve"> </w:t>
      </w:r>
      <w:proofErr w:type="spellStart"/>
      <w:r w:rsidRPr="00EC4E0F">
        <w:rPr>
          <w:lang w:val="en-US"/>
        </w:rPr>
        <w:t>azından</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nebze</w:t>
      </w:r>
      <w:proofErr w:type="spellEnd"/>
      <w:r w:rsidRPr="00EC4E0F">
        <w:rPr>
          <w:lang w:val="en-US"/>
        </w:rPr>
        <w:t xml:space="preserve">, </w:t>
      </w:r>
      <w:proofErr w:type="spellStart"/>
      <w:r w:rsidRPr="00EC4E0F">
        <w:rPr>
          <w:lang w:val="en-US"/>
        </w:rPr>
        <w:t>hatta</w:t>
      </w:r>
      <w:proofErr w:type="spellEnd"/>
      <w:r w:rsidRPr="00EC4E0F">
        <w:rPr>
          <w:lang w:val="en-US"/>
        </w:rPr>
        <w:t xml:space="preserve"> </w:t>
      </w:r>
      <w:proofErr w:type="spellStart"/>
      <w:r w:rsidRPr="00EC4E0F">
        <w:rPr>
          <w:lang w:val="en-US"/>
        </w:rPr>
        <w:t>çoğu</w:t>
      </w:r>
      <w:proofErr w:type="spellEnd"/>
      <w:r w:rsidRPr="00EC4E0F">
        <w:rPr>
          <w:lang w:val="en-US"/>
        </w:rPr>
        <w:t xml:space="preserve"> </w:t>
      </w:r>
      <w:proofErr w:type="spellStart"/>
      <w:r w:rsidRPr="00EC4E0F">
        <w:rPr>
          <w:lang w:val="en-US"/>
        </w:rPr>
        <w:t>durumda</w:t>
      </w:r>
      <w:proofErr w:type="spellEnd"/>
      <w:r w:rsidRPr="00EC4E0F">
        <w:rPr>
          <w:lang w:val="en-US"/>
        </w:rPr>
        <w:t xml:space="preserve"> </w:t>
      </w:r>
      <w:proofErr w:type="spellStart"/>
      <w:r w:rsidRPr="00EC4E0F">
        <w:rPr>
          <w:lang w:val="en-US"/>
        </w:rPr>
        <w:t>büyük</w:t>
      </w:r>
      <w:proofErr w:type="spellEnd"/>
      <w:r w:rsidRPr="00EC4E0F">
        <w:rPr>
          <w:lang w:val="en-US"/>
        </w:rPr>
        <w:t xml:space="preserve"> </w:t>
      </w:r>
      <w:proofErr w:type="spellStart"/>
      <w:r w:rsidRPr="00EC4E0F">
        <w:rPr>
          <w:lang w:val="en-US"/>
        </w:rPr>
        <w:t>ölçüde</w:t>
      </w:r>
      <w:proofErr w:type="spellEnd"/>
      <w:r w:rsidRPr="00EC4E0F">
        <w:rPr>
          <w:lang w:val="en-US"/>
        </w:rPr>
        <w:t xml:space="preserve"> </w:t>
      </w:r>
      <w:proofErr w:type="spellStart"/>
      <w:r w:rsidRPr="00EC4E0F">
        <w:rPr>
          <w:lang w:val="en-US"/>
        </w:rPr>
        <w:t>farklı</w:t>
      </w:r>
      <w:proofErr w:type="spellEnd"/>
      <w:r w:rsidRPr="00EC4E0F">
        <w:rPr>
          <w:lang w:val="en-US"/>
        </w:rPr>
        <w:t xml:space="preserve"> </w:t>
      </w:r>
      <w:proofErr w:type="spellStart"/>
      <w:r w:rsidRPr="00EC4E0F">
        <w:rPr>
          <w:lang w:val="en-US"/>
        </w:rPr>
        <w:t>olabilirdi</w:t>
      </w:r>
      <w:proofErr w:type="spellEnd"/>
      <w:r w:rsidRPr="00EC4E0F">
        <w:rPr>
          <w:lang w:val="en-US"/>
        </w:rPr>
        <w:t xml:space="preserve">. </w:t>
      </w:r>
      <w:proofErr w:type="spellStart"/>
      <w:r w:rsidRPr="00EC4E0F">
        <w:rPr>
          <w:lang w:val="en-US"/>
        </w:rPr>
        <w:t>Başka</w:t>
      </w:r>
      <w:proofErr w:type="spellEnd"/>
      <w:r w:rsidRPr="00EC4E0F">
        <w:rPr>
          <w:lang w:val="en-US"/>
        </w:rPr>
        <w:t xml:space="preserve"> </w:t>
      </w:r>
      <w:proofErr w:type="spellStart"/>
      <w:r w:rsidRPr="00EC4E0F">
        <w:rPr>
          <w:lang w:val="en-US"/>
        </w:rPr>
        <w:t>milyonlarca</w:t>
      </w:r>
      <w:proofErr w:type="spellEnd"/>
      <w:r w:rsidRPr="00EC4E0F">
        <w:rPr>
          <w:lang w:val="en-US"/>
        </w:rPr>
        <w:t xml:space="preserve"> </w:t>
      </w:r>
      <w:proofErr w:type="spellStart"/>
      <w:r w:rsidRPr="00EC4E0F">
        <w:rPr>
          <w:lang w:val="en-US"/>
        </w:rPr>
        <w:t>alternatif</w:t>
      </w:r>
      <w:proofErr w:type="spellEnd"/>
      <w:r w:rsidRPr="00EC4E0F">
        <w:rPr>
          <w:lang w:val="en-US"/>
        </w:rPr>
        <w:t xml:space="preserve"> </w:t>
      </w:r>
      <w:proofErr w:type="spellStart"/>
      <w:r w:rsidRPr="00EC4E0F">
        <w:rPr>
          <w:lang w:val="en-US"/>
        </w:rPr>
        <w:t>dünyada</w:t>
      </w:r>
      <w:proofErr w:type="spellEnd"/>
      <w:r w:rsidRPr="00EC4E0F">
        <w:rPr>
          <w:lang w:val="en-US"/>
        </w:rPr>
        <w:t xml:space="preserve">, </w:t>
      </w:r>
      <w:proofErr w:type="spellStart"/>
      <w:r w:rsidRPr="00EC4E0F">
        <w:rPr>
          <w:lang w:val="en-US"/>
        </w:rPr>
        <w:t>anayasal</w:t>
      </w:r>
      <w:proofErr w:type="spellEnd"/>
      <w:r w:rsidRPr="00EC4E0F">
        <w:rPr>
          <w:lang w:val="en-US"/>
        </w:rPr>
        <w:t xml:space="preserve"> </w:t>
      </w:r>
      <w:proofErr w:type="spellStart"/>
      <w:r w:rsidRPr="00EC4E0F">
        <w:rPr>
          <w:lang w:val="en-US"/>
        </w:rPr>
        <w:t>kültürümüz</w:t>
      </w:r>
      <w:proofErr w:type="spellEnd"/>
      <w:r w:rsidRPr="00EC4E0F">
        <w:rPr>
          <w:lang w:val="en-US"/>
        </w:rPr>
        <w:t xml:space="preserve"> </w:t>
      </w:r>
      <w:proofErr w:type="spellStart"/>
      <w:r w:rsidRPr="00EC4E0F">
        <w:rPr>
          <w:lang w:val="en-US"/>
        </w:rPr>
        <w:t>farklı</w:t>
      </w:r>
      <w:proofErr w:type="spellEnd"/>
      <w:r w:rsidRPr="00EC4E0F">
        <w:rPr>
          <w:lang w:val="en-US"/>
        </w:rPr>
        <w:t xml:space="preserve"> </w:t>
      </w:r>
      <w:proofErr w:type="spellStart"/>
      <w:r w:rsidRPr="00EC4E0F">
        <w:rPr>
          <w:lang w:val="en-US"/>
        </w:rPr>
        <w:t>biçimler</w:t>
      </w:r>
      <w:proofErr w:type="spellEnd"/>
      <w:r w:rsidRPr="00EC4E0F">
        <w:rPr>
          <w:lang w:val="en-US"/>
        </w:rPr>
        <w:t xml:space="preserve"> </w:t>
      </w:r>
      <w:proofErr w:type="spellStart"/>
      <w:r w:rsidRPr="00EC4E0F">
        <w:rPr>
          <w:lang w:val="en-US"/>
        </w:rPr>
        <w:t>alabilirdi</w:t>
      </w:r>
      <w:proofErr w:type="spellEnd"/>
      <w:r w:rsidRPr="00EC4E0F">
        <w:rPr>
          <w:lang w:val="en-US"/>
        </w:rPr>
        <w:t>.</w:t>
      </w:r>
      <w:r>
        <w:rPr>
          <w:lang w:val="en-US"/>
        </w:rPr>
        <w:t xml:space="preserve"> </w:t>
      </w:r>
    </w:p>
    <w:p w14:paraId="48C4E18C" w14:textId="08F8F092" w:rsidR="00BF5F43" w:rsidRPr="00BF5F43" w:rsidRDefault="00BF5F43" w:rsidP="00BF5F43">
      <w:pPr>
        <w:rPr>
          <w:lang w:val="en-US"/>
        </w:rPr>
      </w:pPr>
      <w:proofErr w:type="spellStart"/>
      <w:r w:rsidRPr="00BF5F43">
        <w:rPr>
          <w:lang w:val="en-US"/>
        </w:rPr>
        <w:t>İkinci</w:t>
      </w:r>
      <w:proofErr w:type="spellEnd"/>
      <w:r w:rsidRPr="00BF5F43">
        <w:rPr>
          <w:lang w:val="en-US"/>
        </w:rPr>
        <w:t xml:space="preserve"> </w:t>
      </w:r>
      <w:proofErr w:type="spellStart"/>
      <w:r w:rsidRPr="00BF5F43">
        <w:rPr>
          <w:lang w:val="en-US"/>
        </w:rPr>
        <w:t>olarak</w:t>
      </w:r>
      <w:proofErr w:type="spellEnd"/>
      <w:r w:rsidRPr="00BF5F43">
        <w:rPr>
          <w:lang w:val="en-US"/>
        </w:rPr>
        <w:t xml:space="preserve">, </w:t>
      </w:r>
      <w:proofErr w:type="spellStart"/>
      <w:r w:rsidRPr="00BF5F43">
        <w:rPr>
          <w:lang w:val="en-US"/>
        </w:rPr>
        <w:t>anayasal</w:t>
      </w:r>
      <w:proofErr w:type="spellEnd"/>
      <w:r w:rsidRPr="00BF5F43">
        <w:rPr>
          <w:lang w:val="en-US"/>
        </w:rPr>
        <w:t xml:space="preserve"> </w:t>
      </w:r>
      <w:proofErr w:type="spellStart"/>
      <w:r w:rsidRPr="00BF5F43">
        <w:rPr>
          <w:lang w:val="en-US"/>
        </w:rPr>
        <w:t>kültürümüzün</w:t>
      </w:r>
      <w:proofErr w:type="spellEnd"/>
      <w:r w:rsidRPr="00BF5F43">
        <w:rPr>
          <w:lang w:val="en-US"/>
        </w:rPr>
        <w:t xml:space="preserve"> </w:t>
      </w:r>
      <w:proofErr w:type="spellStart"/>
      <w:r w:rsidRPr="00BF5F43">
        <w:rPr>
          <w:lang w:val="en-US"/>
        </w:rPr>
        <w:t>birçok</w:t>
      </w:r>
      <w:proofErr w:type="spellEnd"/>
      <w:r w:rsidRPr="00BF5F43">
        <w:rPr>
          <w:lang w:val="en-US"/>
        </w:rPr>
        <w:t xml:space="preserve"> </w:t>
      </w:r>
      <w:proofErr w:type="spellStart"/>
      <w:r w:rsidRPr="00BF5F43">
        <w:rPr>
          <w:lang w:val="en-US"/>
        </w:rPr>
        <w:t>unsuru</w:t>
      </w:r>
      <w:proofErr w:type="spellEnd"/>
      <w:r w:rsidRPr="00BF5F43">
        <w:rPr>
          <w:lang w:val="en-US"/>
        </w:rPr>
        <w:t xml:space="preserve"> </w:t>
      </w:r>
      <w:proofErr w:type="spellStart"/>
      <w:r w:rsidRPr="00BF5F43">
        <w:rPr>
          <w:lang w:val="en-US"/>
        </w:rPr>
        <w:t>derinlemesine</w:t>
      </w:r>
      <w:proofErr w:type="spellEnd"/>
      <w:r w:rsidRPr="00BF5F43">
        <w:rPr>
          <w:lang w:val="en-US"/>
        </w:rPr>
        <w:t xml:space="preserve"> </w:t>
      </w:r>
      <w:proofErr w:type="spellStart"/>
      <w:r w:rsidRPr="00BF5F43">
        <w:rPr>
          <w:lang w:val="en-US"/>
        </w:rPr>
        <w:t>kökleşmiştir</w:t>
      </w:r>
      <w:proofErr w:type="spellEnd"/>
      <w:r w:rsidRPr="00BF5F43">
        <w:rPr>
          <w:lang w:val="en-US"/>
        </w:rPr>
        <w:t xml:space="preserve">; </w:t>
      </w:r>
      <w:proofErr w:type="spellStart"/>
      <w:r w:rsidRPr="00BF5F43">
        <w:rPr>
          <w:lang w:val="en-US"/>
        </w:rPr>
        <w:t>bazı</w:t>
      </w:r>
      <w:proofErr w:type="spellEnd"/>
      <w:r w:rsidRPr="00BF5F43">
        <w:rPr>
          <w:lang w:val="en-US"/>
        </w:rPr>
        <w:t xml:space="preserve"> </w:t>
      </w:r>
      <w:proofErr w:type="spellStart"/>
      <w:r w:rsidRPr="00BF5F43">
        <w:rPr>
          <w:lang w:val="en-US"/>
        </w:rPr>
        <w:t>durumlarda</w:t>
      </w:r>
      <w:proofErr w:type="spellEnd"/>
      <w:r w:rsidRPr="00BF5F43">
        <w:rPr>
          <w:lang w:val="en-US"/>
        </w:rPr>
        <w:t xml:space="preserve"> </w:t>
      </w:r>
      <w:proofErr w:type="spellStart"/>
      <w:r w:rsidRPr="00BF5F43">
        <w:rPr>
          <w:lang w:val="en-US"/>
        </w:rPr>
        <w:t>bu</w:t>
      </w:r>
      <w:proofErr w:type="spellEnd"/>
      <w:r w:rsidRPr="00BF5F43">
        <w:rPr>
          <w:lang w:val="en-US"/>
        </w:rPr>
        <w:t xml:space="preserve"> </w:t>
      </w:r>
      <w:proofErr w:type="spellStart"/>
      <w:r w:rsidRPr="00BF5F43">
        <w:rPr>
          <w:lang w:val="en-US"/>
        </w:rPr>
        <w:t>unsurlar</w:t>
      </w:r>
      <w:proofErr w:type="spellEnd"/>
      <w:r w:rsidRPr="00BF5F43">
        <w:rPr>
          <w:lang w:val="en-US"/>
        </w:rPr>
        <w:t xml:space="preserve"> </w:t>
      </w:r>
      <w:proofErr w:type="spellStart"/>
      <w:r w:rsidRPr="00BF5F43">
        <w:rPr>
          <w:lang w:val="en-US"/>
        </w:rPr>
        <w:t>tarihimize</w:t>
      </w:r>
      <w:proofErr w:type="spellEnd"/>
      <w:r w:rsidRPr="00BF5F43">
        <w:rPr>
          <w:lang w:val="en-US"/>
        </w:rPr>
        <w:t xml:space="preserve"> o </w:t>
      </w:r>
      <w:proofErr w:type="spellStart"/>
      <w:r w:rsidRPr="00BF5F43">
        <w:rPr>
          <w:lang w:val="en-US"/>
        </w:rPr>
        <w:t>kadar</w:t>
      </w:r>
      <w:proofErr w:type="spellEnd"/>
      <w:r w:rsidRPr="00BF5F43">
        <w:rPr>
          <w:lang w:val="en-US"/>
        </w:rPr>
        <w:t xml:space="preserve"> </w:t>
      </w:r>
      <w:proofErr w:type="spellStart"/>
      <w:r w:rsidRPr="00BF5F43">
        <w:rPr>
          <w:lang w:val="en-US"/>
        </w:rPr>
        <w:t>sıkı</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şekilde</w:t>
      </w:r>
      <w:proofErr w:type="spellEnd"/>
      <w:r w:rsidRPr="00BF5F43">
        <w:rPr>
          <w:lang w:val="en-US"/>
        </w:rPr>
        <w:t xml:space="preserve"> </w:t>
      </w:r>
      <w:proofErr w:type="spellStart"/>
      <w:r w:rsidRPr="00BF5F43">
        <w:rPr>
          <w:lang w:val="en-US"/>
        </w:rPr>
        <w:t>bağlanmıştır</w:t>
      </w:r>
      <w:proofErr w:type="spellEnd"/>
      <w:r w:rsidRPr="00BF5F43">
        <w:rPr>
          <w:lang w:val="en-US"/>
        </w:rPr>
        <w:t xml:space="preserve"> ki </w:t>
      </w:r>
      <w:proofErr w:type="spellStart"/>
      <w:r w:rsidRPr="00BF5F43">
        <w:rPr>
          <w:lang w:val="en-US"/>
        </w:rPr>
        <w:t>alternatifleri</w:t>
      </w:r>
      <w:proofErr w:type="spellEnd"/>
      <w:r w:rsidRPr="00BF5F43">
        <w:rPr>
          <w:lang w:val="en-US"/>
        </w:rPr>
        <w:t xml:space="preserve"> </w:t>
      </w:r>
      <w:proofErr w:type="spellStart"/>
      <w:r w:rsidRPr="00BF5F43">
        <w:rPr>
          <w:lang w:val="en-US"/>
        </w:rPr>
        <w:t>ya</w:t>
      </w:r>
      <w:proofErr w:type="spellEnd"/>
      <w:r w:rsidRPr="00BF5F43">
        <w:rPr>
          <w:lang w:val="en-US"/>
        </w:rPr>
        <w:t xml:space="preserve"> </w:t>
      </w:r>
      <w:proofErr w:type="spellStart"/>
      <w:r w:rsidRPr="00BF5F43">
        <w:rPr>
          <w:lang w:val="en-US"/>
        </w:rPr>
        <w:t>tamamen</w:t>
      </w:r>
      <w:proofErr w:type="spellEnd"/>
      <w:r w:rsidRPr="00BF5F43">
        <w:rPr>
          <w:lang w:val="en-US"/>
        </w:rPr>
        <w:t xml:space="preserve"> </w:t>
      </w:r>
      <w:proofErr w:type="spellStart"/>
      <w:r w:rsidRPr="00BF5F43">
        <w:rPr>
          <w:lang w:val="en-US"/>
        </w:rPr>
        <w:t>görünmez</w:t>
      </w:r>
      <w:proofErr w:type="spellEnd"/>
      <w:r w:rsidRPr="00BF5F43">
        <w:rPr>
          <w:lang w:val="en-US"/>
        </w:rPr>
        <w:t xml:space="preserve"> </w:t>
      </w:r>
      <w:proofErr w:type="spellStart"/>
      <w:r w:rsidRPr="00BF5F43">
        <w:rPr>
          <w:lang w:val="en-US"/>
        </w:rPr>
        <w:t>hâle</w:t>
      </w:r>
      <w:proofErr w:type="spellEnd"/>
      <w:r w:rsidRPr="00BF5F43">
        <w:rPr>
          <w:lang w:val="en-US"/>
        </w:rPr>
        <w:t xml:space="preserve"> </w:t>
      </w:r>
      <w:proofErr w:type="spellStart"/>
      <w:r w:rsidRPr="00BF5F43">
        <w:rPr>
          <w:lang w:val="en-US"/>
        </w:rPr>
        <w:t>gelmiş</w:t>
      </w:r>
      <w:proofErr w:type="spellEnd"/>
      <w:r w:rsidRPr="00BF5F43">
        <w:rPr>
          <w:lang w:val="en-US"/>
        </w:rPr>
        <w:t xml:space="preserve"> </w:t>
      </w:r>
      <w:proofErr w:type="spellStart"/>
      <w:r w:rsidRPr="00BF5F43">
        <w:rPr>
          <w:lang w:val="en-US"/>
        </w:rPr>
        <w:t>ya</w:t>
      </w:r>
      <w:proofErr w:type="spellEnd"/>
      <w:r w:rsidRPr="00BF5F43">
        <w:rPr>
          <w:lang w:val="en-US"/>
        </w:rPr>
        <w:t xml:space="preserve"> da </w:t>
      </w:r>
      <w:proofErr w:type="spellStart"/>
      <w:r w:rsidRPr="00BF5F43">
        <w:rPr>
          <w:lang w:val="en-US"/>
        </w:rPr>
        <w:t>ancak</w:t>
      </w:r>
      <w:proofErr w:type="spellEnd"/>
      <w:r w:rsidRPr="00BF5F43">
        <w:rPr>
          <w:lang w:val="en-US"/>
        </w:rPr>
        <w:t xml:space="preserve"> </w:t>
      </w:r>
      <w:proofErr w:type="spellStart"/>
      <w:r w:rsidRPr="00BF5F43">
        <w:rPr>
          <w:lang w:val="en-US"/>
        </w:rPr>
        <w:t>marjinal</w:t>
      </w:r>
      <w:proofErr w:type="spellEnd"/>
      <w:r w:rsidRPr="00BF5F43">
        <w:rPr>
          <w:lang w:val="en-US"/>
        </w:rPr>
        <w:t xml:space="preserve"> </w:t>
      </w:r>
      <w:proofErr w:type="spellStart"/>
      <w:r w:rsidRPr="00BF5F43">
        <w:rPr>
          <w:lang w:val="en-US"/>
        </w:rPr>
        <w:t>düzeyde</w:t>
      </w:r>
      <w:proofErr w:type="spellEnd"/>
      <w:r w:rsidRPr="00BF5F43">
        <w:rPr>
          <w:lang w:val="en-US"/>
        </w:rPr>
        <w:t xml:space="preserve"> fark </w:t>
      </w:r>
      <w:proofErr w:type="spellStart"/>
      <w:r w:rsidRPr="00BF5F43">
        <w:rPr>
          <w:lang w:val="en-US"/>
        </w:rPr>
        <w:t>edilebilir</w:t>
      </w:r>
      <w:proofErr w:type="spellEnd"/>
      <w:r w:rsidRPr="00BF5F43">
        <w:rPr>
          <w:lang w:val="en-US"/>
        </w:rPr>
        <w:t xml:space="preserve"> </w:t>
      </w:r>
      <w:proofErr w:type="spellStart"/>
      <w:r w:rsidRPr="00BF5F43">
        <w:rPr>
          <w:lang w:val="en-US"/>
        </w:rPr>
        <w:t>olmuştur</w:t>
      </w:r>
      <w:proofErr w:type="spellEnd"/>
      <w:r w:rsidRPr="00BF5F43">
        <w:rPr>
          <w:lang w:val="en-US"/>
        </w:rPr>
        <w:t>.</w:t>
      </w:r>
      <w:r w:rsidRPr="00BF5F43">
        <w:rPr>
          <w:lang w:val="en-US"/>
        </w:rPr>
        <w:t xml:space="preserve"> </w:t>
      </w:r>
      <w:proofErr w:type="spellStart"/>
      <w:r w:rsidRPr="00BF5F43">
        <w:rPr>
          <w:lang w:val="en-US"/>
        </w:rPr>
        <w:t>Kurumsal</w:t>
      </w:r>
      <w:proofErr w:type="spellEnd"/>
      <w:r w:rsidRPr="00BF5F43">
        <w:rPr>
          <w:lang w:val="en-US"/>
        </w:rPr>
        <w:t xml:space="preserve"> </w:t>
      </w:r>
      <w:proofErr w:type="spellStart"/>
      <w:r w:rsidRPr="00BF5F43">
        <w:rPr>
          <w:lang w:val="en-US"/>
        </w:rPr>
        <w:t>düzenlemeler</w:t>
      </w:r>
      <w:proofErr w:type="spellEnd"/>
      <w:r w:rsidRPr="00BF5F43">
        <w:rPr>
          <w:lang w:val="en-US"/>
        </w:rPr>
        <w:t xml:space="preserve">, </w:t>
      </w:r>
      <w:proofErr w:type="spellStart"/>
      <w:r w:rsidRPr="00BF5F43">
        <w:rPr>
          <w:lang w:val="en-US"/>
        </w:rPr>
        <w:t>uygulamalar</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düşünce</w:t>
      </w:r>
      <w:proofErr w:type="spellEnd"/>
      <w:r w:rsidRPr="00BF5F43">
        <w:rPr>
          <w:lang w:val="en-US"/>
        </w:rPr>
        <w:t xml:space="preserve"> </w:t>
      </w:r>
      <w:proofErr w:type="spellStart"/>
      <w:r w:rsidRPr="00BF5F43">
        <w:rPr>
          <w:lang w:val="en-US"/>
        </w:rPr>
        <w:t>alışkanlıklarının</w:t>
      </w:r>
      <w:proofErr w:type="spellEnd"/>
      <w:r w:rsidRPr="00BF5F43">
        <w:rPr>
          <w:lang w:val="en-US"/>
        </w:rPr>
        <w:t xml:space="preserve"> </w:t>
      </w:r>
      <w:proofErr w:type="spellStart"/>
      <w:r w:rsidRPr="00BF5F43">
        <w:rPr>
          <w:lang w:val="en-US"/>
        </w:rPr>
        <w:t>tarihsel</w:t>
      </w:r>
      <w:proofErr w:type="spellEnd"/>
      <w:r w:rsidRPr="00BF5F43">
        <w:rPr>
          <w:lang w:val="en-US"/>
        </w:rPr>
        <w:t xml:space="preserve"> </w:t>
      </w:r>
      <w:proofErr w:type="spellStart"/>
      <w:r w:rsidRPr="00BF5F43">
        <w:rPr>
          <w:lang w:val="en-US"/>
        </w:rPr>
        <w:t>olarak</w:t>
      </w:r>
      <w:proofErr w:type="spellEnd"/>
      <w:r w:rsidRPr="00BF5F43">
        <w:rPr>
          <w:lang w:val="en-US"/>
        </w:rPr>
        <w:t xml:space="preserve"> </w:t>
      </w:r>
      <w:proofErr w:type="spellStart"/>
      <w:r w:rsidRPr="00BF5F43">
        <w:rPr>
          <w:lang w:val="en-US"/>
        </w:rPr>
        <w:t>rastlantısal</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evrimsel</w:t>
      </w:r>
      <w:proofErr w:type="spellEnd"/>
      <w:r w:rsidRPr="00BF5F43">
        <w:rPr>
          <w:lang w:val="en-US"/>
        </w:rPr>
        <w:t xml:space="preserve"> </w:t>
      </w:r>
      <w:proofErr w:type="spellStart"/>
      <w:r w:rsidRPr="00BF5F43">
        <w:rPr>
          <w:lang w:val="en-US"/>
        </w:rPr>
        <w:t>olması</w:t>
      </w:r>
      <w:proofErr w:type="spellEnd"/>
      <w:r w:rsidRPr="00BF5F43">
        <w:rPr>
          <w:lang w:val="en-US"/>
        </w:rPr>
        <w:t xml:space="preserve">, </w:t>
      </w:r>
      <w:proofErr w:type="spellStart"/>
      <w:r w:rsidRPr="00BF5F43">
        <w:rPr>
          <w:lang w:val="en-US"/>
        </w:rPr>
        <w:t>bunların</w:t>
      </w:r>
      <w:proofErr w:type="spellEnd"/>
      <w:r w:rsidRPr="00BF5F43">
        <w:rPr>
          <w:lang w:val="en-US"/>
        </w:rPr>
        <w:t xml:space="preserve"> her an </w:t>
      </w:r>
      <w:proofErr w:type="spellStart"/>
      <w:r w:rsidRPr="00BF5F43">
        <w:rPr>
          <w:lang w:val="en-US"/>
        </w:rPr>
        <w:t>esnek</w:t>
      </w:r>
      <w:proofErr w:type="spellEnd"/>
      <w:r w:rsidRPr="00BF5F43">
        <w:rPr>
          <w:lang w:val="en-US"/>
        </w:rPr>
        <w:t xml:space="preserve"> </w:t>
      </w:r>
      <w:proofErr w:type="spellStart"/>
      <w:r w:rsidRPr="00BF5F43">
        <w:rPr>
          <w:lang w:val="en-US"/>
        </w:rPr>
        <w:t>veya</w:t>
      </w:r>
      <w:proofErr w:type="spellEnd"/>
      <w:r w:rsidRPr="00BF5F43">
        <w:rPr>
          <w:lang w:val="en-US"/>
        </w:rPr>
        <w:t xml:space="preserve"> </w:t>
      </w:r>
      <w:proofErr w:type="spellStart"/>
      <w:r w:rsidRPr="00BF5F43">
        <w:rPr>
          <w:lang w:val="en-US"/>
        </w:rPr>
        <w:t>açık</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normatif</w:t>
      </w:r>
      <w:proofErr w:type="spellEnd"/>
      <w:r w:rsidRPr="00BF5F43">
        <w:rPr>
          <w:lang w:val="en-US"/>
        </w:rPr>
        <w:t xml:space="preserve"> </w:t>
      </w:r>
      <w:proofErr w:type="spellStart"/>
      <w:r w:rsidRPr="00BF5F43">
        <w:rPr>
          <w:lang w:val="en-US"/>
        </w:rPr>
        <w:t>tartışmaya</w:t>
      </w:r>
      <w:proofErr w:type="spellEnd"/>
      <w:r w:rsidRPr="00BF5F43">
        <w:rPr>
          <w:lang w:val="en-US"/>
        </w:rPr>
        <w:t xml:space="preserve"> </w:t>
      </w:r>
      <w:proofErr w:type="spellStart"/>
      <w:r w:rsidRPr="00BF5F43">
        <w:rPr>
          <w:lang w:val="en-US"/>
        </w:rPr>
        <w:t>konu</w:t>
      </w:r>
      <w:proofErr w:type="spellEnd"/>
      <w:r w:rsidRPr="00BF5F43">
        <w:rPr>
          <w:lang w:val="en-US"/>
        </w:rPr>
        <w:t xml:space="preserve"> </w:t>
      </w:r>
      <w:proofErr w:type="spellStart"/>
      <w:r w:rsidRPr="00BF5F43">
        <w:rPr>
          <w:lang w:val="en-US"/>
        </w:rPr>
        <w:t>olacak</w:t>
      </w:r>
      <w:proofErr w:type="spellEnd"/>
      <w:r w:rsidRPr="00BF5F43">
        <w:rPr>
          <w:lang w:val="en-US"/>
        </w:rPr>
        <w:t xml:space="preserve"> </w:t>
      </w:r>
      <w:proofErr w:type="spellStart"/>
      <w:r w:rsidRPr="00BF5F43">
        <w:rPr>
          <w:lang w:val="en-US"/>
        </w:rPr>
        <w:t>nitelikte</w:t>
      </w:r>
      <w:proofErr w:type="spellEnd"/>
      <w:r w:rsidRPr="00BF5F43">
        <w:rPr>
          <w:lang w:val="en-US"/>
        </w:rPr>
        <w:t xml:space="preserve"> </w:t>
      </w:r>
      <w:proofErr w:type="spellStart"/>
      <w:r w:rsidRPr="00BF5F43">
        <w:rPr>
          <w:lang w:val="en-US"/>
        </w:rPr>
        <w:t>algılandığı</w:t>
      </w:r>
      <w:proofErr w:type="spellEnd"/>
      <w:r w:rsidRPr="00BF5F43">
        <w:rPr>
          <w:lang w:val="en-US"/>
        </w:rPr>
        <w:t xml:space="preserve"> </w:t>
      </w:r>
      <w:proofErr w:type="spellStart"/>
      <w:r w:rsidRPr="00BF5F43">
        <w:rPr>
          <w:lang w:val="en-US"/>
        </w:rPr>
        <w:t>anlamına</w:t>
      </w:r>
      <w:proofErr w:type="spellEnd"/>
      <w:r w:rsidRPr="00BF5F43">
        <w:rPr>
          <w:lang w:val="en-US"/>
        </w:rPr>
        <w:t xml:space="preserve"> </w:t>
      </w:r>
      <w:proofErr w:type="spellStart"/>
      <w:r w:rsidRPr="00BF5F43">
        <w:rPr>
          <w:lang w:val="en-US"/>
        </w:rPr>
        <w:t>gelmez</w:t>
      </w:r>
      <w:proofErr w:type="spellEnd"/>
      <w:r w:rsidRPr="00BF5F43">
        <w:rPr>
          <w:lang w:val="en-US"/>
        </w:rPr>
        <w:t xml:space="preserve">. </w:t>
      </w:r>
      <w:proofErr w:type="spellStart"/>
      <w:r w:rsidRPr="00BF5F43">
        <w:rPr>
          <w:lang w:val="en-US"/>
        </w:rPr>
        <w:t>Aksine</w:t>
      </w:r>
      <w:proofErr w:type="spellEnd"/>
      <w:r w:rsidRPr="00BF5F43">
        <w:rPr>
          <w:lang w:val="en-US"/>
        </w:rPr>
        <w:t xml:space="preserve">, </w:t>
      </w:r>
      <w:proofErr w:type="spellStart"/>
      <w:r w:rsidRPr="00BF5F43">
        <w:rPr>
          <w:lang w:val="en-US"/>
        </w:rPr>
        <w:t>anayasal</w:t>
      </w:r>
      <w:proofErr w:type="spellEnd"/>
      <w:r w:rsidRPr="00BF5F43">
        <w:rPr>
          <w:lang w:val="en-US"/>
        </w:rPr>
        <w:t xml:space="preserve"> </w:t>
      </w:r>
      <w:proofErr w:type="spellStart"/>
      <w:r w:rsidRPr="00BF5F43">
        <w:rPr>
          <w:lang w:val="en-US"/>
        </w:rPr>
        <w:t>kurumlarımızın</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uygulamalarımızın</w:t>
      </w:r>
      <w:proofErr w:type="spellEnd"/>
      <w:r w:rsidRPr="00BF5F43">
        <w:rPr>
          <w:lang w:val="en-US"/>
        </w:rPr>
        <w:t xml:space="preserve"> </w:t>
      </w:r>
      <w:proofErr w:type="spellStart"/>
      <w:r w:rsidRPr="00BF5F43">
        <w:rPr>
          <w:lang w:val="en-US"/>
        </w:rPr>
        <w:t>tarihsel</w:t>
      </w:r>
      <w:proofErr w:type="spellEnd"/>
      <w:r w:rsidRPr="00BF5F43">
        <w:rPr>
          <w:lang w:val="en-US"/>
        </w:rPr>
        <w:t xml:space="preserve"> </w:t>
      </w:r>
      <w:proofErr w:type="spellStart"/>
      <w:r w:rsidRPr="00BF5F43">
        <w:rPr>
          <w:lang w:val="en-US"/>
        </w:rPr>
        <w:t>uyum</w:t>
      </w:r>
      <w:proofErr w:type="spellEnd"/>
      <w:r w:rsidRPr="00BF5F43">
        <w:rPr>
          <w:lang w:val="en-US"/>
        </w:rPr>
        <w:t xml:space="preserve"> </w:t>
      </w:r>
      <w:proofErr w:type="spellStart"/>
      <w:r w:rsidRPr="00BF5F43">
        <w:rPr>
          <w:lang w:val="en-US"/>
        </w:rPr>
        <w:t>sürecinin</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sonucu</w:t>
      </w:r>
      <w:proofErr w:type="spellEnd"/>
      <w:r w:rsidRPr="00BF5F43">
        <w:rPr>
          <w:lang w:val="en-US"/>
        </w:rPr>
        <w:t xml:space="preserve"> </w:t>
      </w:r>
      <w:proofErr w:type="spellStart"/>
      <w:r w:rsidRPr="00BF5F43">
        <w:rPr>
          <w:lang w:val="en-US"/>
        </w:rPr>
        <w:t>olması</w:t>
      </w:r>
      <w:proofErr w:type="spellEnd"/>
      <w:r w:rsidRPr="00BF5F43">
        <w:rPr>
          <w:lang w:val="en-US"/>
        </w:rPr>
        <w:t xml:space="preserve">, </w:t>
      </w:r>
      <w:proofErr w:type="spellStart"/>
      <w:r w:rsidRPr="00BF5F43">
        <w:rPr>
          <w:lang w:val="en-US"/>
        </w:rPr>
        <w:t>genellikle</w:t>
      </w:r>
      <w:proofErr w:type="spellEnd"/>
      <w:r w:rsidRPr="00BF5F43">
        <w:rPr>
          <w:lang w:val="en-US"/>
        </w:rPr>
        <w:t xml:space="preserve"> </w:t>
      </w:r>
      <w:proofErr w:type="spellStart"/>
      <w:r w:rsidRPr="00BF5F43">
        <w:rPr>
          <w:lang w:val="en-US"/>
        </w:rPr>
        <w:t>bunların</w:t>
      </w:r>
      <w:proofErr w:type="spellEnd"/>
      <w:r w:rsidRPr="00BF5F43">
        <w:rPr>
          <w:lang w:val="en-US"/>
        </w:rPr>
        <w:t xml:space="preserve"> </w:t>
      </w:r>
      <w:proofErr w:type="spellStart"/>
      <w:r w:rsidRPr="00BF5F43">
        <w:rPr>
          <w:lang w:val="en-US"/>
        </w:rPr>
        <w:t>kalıcı</w:t>
      </w:r>
      <w:proofErr w:type="spellEnd"/>
      <w:r w:rsidRPr="00BF5F43">
        <w:rPr>
          <w:lang w:val="en-US"/>
        </w:rPr>
        <w:t xml:space="preserve"> </w:t>
      </w:r>
      <w:proofErr w:type="spellStart"/>
      <w:r w:rsidRPr="00BF5F43">
        <w:rPr>
          <w:lang w:val="en-US"/>
        </w:rPr>
        <w:t>olduğu</w:t>
      </w:r>
      <w:proofErr w:type="spellEnd"/>
      <w:r w:rsidRPr="00BF5F43">
        <w:rPr>
          <w:lang w:val="en-US"/>
        </w:rPr>
        <w:t xml:space="preserve"> </w:t>
      </w:r>
      <w:proofErr w:type="spellStart"/>
      <w:r w:rsidRPr="00BF5F43">
        <w:rPr>
          <w:lang w:val="en-US"/>
        </w:rPr>
        <w:t>yanılsamasını</w:t>
      </w:r>
      <w:proofErr w:type="spellEnd"/>
      <w:r w:rsidRPr="00BF5F43">
        <w:rPr>
          <w:lang w:val="en-US"/>
        </w:rPr>
        <w:t xml:space="preserve"> </w:t>
      </w:r>
      <w:proofErr w:type="spellStart"/>
      <w:r w:rsidRPr="00BF5F43">
        <w:rPr>
          <w:lang w:val="en-US"/>
        </w:rPr>
        <w:t>güçlendirmektedir</w:t>
      </w:r>
      <w:proofErr w:type="spellEnd"/>
      <w:r w:rsidRPr="00BF5F43">
        <w:rPr>
          <w:lang w:val="en-US"/>
        </w:rPr>
        <w:t xml:space="preserve">. Bu </w:t>
      </w:r>
      <w:proofErr w:type="spellStart"/>
      <w:r w:rsidRPr="00BF5F43">
        <w:rPr>
          <w:lang w:val="en-US"/>
        </w:rPr>
        <w:t>yanılsama</w:t>
      </w:r>
      <w:proofErr w:type="spellEnd"/>
      <w:r w:rsidRPr="00BF5F43">
        <w:rPr>
          <w:lang w:val="en-US"/>
        </w:rPr>
        <w:t xml:space="preserve">, </w:t>
      </w:r>
      <w:proofErr w:type="spellStart"/>
      <w:r w:rsidRPr="00BF5F43">
        <w:rPr>
          <w:lang w:val="en-US"/>
        </w:rPr>
        <w:t>ya</w:t>
      </w:r>
      <w:proofErr w:type="spellEnd"/>
      <w:r w:rsidRPr="00BF5F43">
        <w:rPr>
          <w:lang w:val="en-US"/>
        </w:rPr>
        <w:t xml:space="preserve"> </w:t>
      </w:r>
      <w:proofErr w:type="spellStart"/>
      <w:r w:rsidRPr="00BF5F43">
        <w:rPr>
          <w:lang w:val="en-US"/>
        </w:rPr>
        <w:t>mevcut</w:t>
      </w:r>
      <w:proofErr w:type="spellEnd"/>
      <w:r w:rsidRPr="00BF5F43">
        <w:rPr>
          <w:lang w:val="en-US"/>
        </w:rPr>
        <w:t xml:space="preserve"> </w:t>
      </w:r>
      <w:proofErr w:type="spellStart"/>
      <w:r w:rsidRPr="00BF5F43">
        <w:rPr>
          <w:lang w:val="en-US"/>
        </w:rPr>
        <w:t>neslin</w:t>
      </w:r>
      <w:proofErr w:type="spellEnd"/>
      <w:r w:rsidRPr="00BF5F43">
        <w:rPr>
          <w:lang w:val="en-US"/>
        </w:rPr>
        <w:t xml:space="preserve"> </w:t>
      </w:r>
      <w:proofErr w:type="spellStart"/>
      <w:r w:rsidRPr="00BF5F43">
        <w:rPr>
          <w:lang w:val="en-US"/>
        </w:rPr>
        <w:t>değerleri</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varsayımlarıyla</w:t>
      </w:r>
      <w:proofErr w:type="spellEnd"/>
      <w:r w:rsidRPr="00BF5F43">
        <w:rPr>
          <w:lang w:val="en-US"/>
        </w:rPr>
        <w:t xml:space="preserve"> </w:t>
      </w:r>
      <w:proofErr w:type="spellStart"/>
      <w:r w:rsidRPr="00BF5F43">
        <w:rPr>
          <w:lang w:val="en-US"/>
        </w:rPr>
        <w:t>çok</w:t>
      </w:r>
      <w:proofErr w:type="spellEnd"/>
      <w:r w:rsidRPr="00BF5F43">
        <w:rPr>
          <w:lang w:val="en-US"/>
        </w:rPr>
        <w:t xml:space="preserve"> </w:t>
      </w:r>
      <w:proofErr w:type="spellStart"/>
      <w:r w:rsidRPr="00BF5F43">
        <w:rPr>
          <w:lang w:val="en-US"/>
        </w:rPr>
        <w:t>uyumlu</w:t>
      </w:r>
      <w:proofErr w:type="spellEnd"/>
      <w:r w:rsidRPr="00BF5F43">
        <w:rPr>
          <w:lang w:val="en-US"/>
        </w:rPr>
        <w:t xml:space="preserve"> </w:t>
      </w:r>
      <w:proofErr w:type="spellStart"/>
      <w:r w:rsidRPr="00BF5F43">
        <w:rPr>
          <w:lang w:val="en-US"/>
        </w:rPr>
        <w:t>oldukları</w:t>
      </w:r>
      <w:proofErr w:type="spellEnd"/>
      <w:r w:rsidRPr="00BF5F43">
        <w:rPr>
          <w:lang w:val="en-US"/>
        </w:rPr>
        <w:t xml:space="preserve"> </w:t>
      </w:r>
      <w:proofErr w:type="spellStart"/>
      <w:r w:rsidRPr="00BF5F43">
        <w:rPr>
          <w:lang w:val="en-US"/>
        </w:rPr>
        <w:t>için</w:t>
      </w:r>
      <w:proofErr w:type="spellEnd"/>
      <w:r w:rsidRPr="00BF5F43">
        <w:rPr>
          <w:lang w:val="en-US"/>
        </w:rPr>
        <w:t xml:space="preserve"> </w:t>
      </w:r>
      <w:proofErr w:type="spellStart"/>
      <w:r w:rsidRPr="00BF5F43">
        <w:rPr>
          <w:lang w:val="en-US"/>
        </w:rPr>
        <w:t>ya</w:t>
      </w:r>
      <w:proofErr w:type="spellEnd"/>
      <w:r w:rsidRPr="00BF5F43">
        <w:rPr>
          <w:lang w:val="en-US"/>
        </w:rPr>
        <w:t xml:space="preserve"> da </w:t>
      </w:r>
      <w:proofErr w:type="spellStart"/>
      <w:r w:rsidRPr="00BF5F43">
        <w:rPr>
          <w:lang w:val="en-US"/>
        </w:rPr>
        <w:t>zorlu</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süreç</w:t>
      </w:r>
      <w:proofErr w:type="spellEnd"/>
      <w:r w:rsidRPr="00BF5F43">
        <w:rPr>
          <w:lang w:val="en-US"/>
        </w:rPr>
        <w:t xml:space="preserve"> </w:t>
      </w:r>
      <w:proofErr w:type="spellStart"/>
      <w:r w:rsidRPr="00BF5F43">
        <w:rPr>
          <w:lang w:val="en-US"/>
        </w:rPr>
        <w:t>sonucunda</w:t>
      </w:r>
      <w:proofErr w:type="spellEnd"/>
      <w:r w:rsidRPr="00BF5F43">
        <w:rPr>
          <w:lang w:val="en-US"/>
        </w:rPr>
        <w:t xml:space="preserve"> </w:t>
      </w:r>
      <w:proofErr w:type="spellStart"/>
      <w:r w:rsidRPr="00BF5F43">
        <w:rPr>
          <w:lang w:val="en-US"/>
        </w:rPr>
        <w:t>elde</w:t>
      </w:r>
      <w:proofErr w:type="spellEnd"/>
      <w:r w:rsidRPr="00BF5F43">
        <w:rPr>
          <w:lang w:val="en-US"/>
        </w:rPr>
        <w:t xml:space="preserve"> </w:t>
      </w:r>
      <w:proofErr w:type="spellStart"/>
      <w:r w:rsidRPr="00BF5F43">
        <w:rPr>
          <w:lang w:val="en-US"/>
        </w:rPr>
        <w:t>edilmiş</w:t>
      </w:r>
      <w:proofErr w:type="spellEnd"/>
      <w:r w:rsidRPr="00BF5F43">
        <w:rPr>
          <w:lang w:val="en-US"/>
        </w:rPr>
        <w:t xml:space="preserve"> </w:t>
      </w:r>
      <w:proofErr w:type="spellStart"/>
      <w:r w:rsidRPr="00BF5F43">
        <w:rPr>
          <w:lang w:val="en-US"/>
        </w:rPr>
        <w:t>bilgelik</w:t>
      </w:r>
      <w:proofErr w:type="spellEnd"/>
      <w:r w:rsidRPr="00BF5F43">
        <w:rPr>
          <w:lang w:val="en-US"/>
        </w:rPr>
        <w:t xml:space="preserve"> </w:t>
      </w:r>
      <w:proofErr w:type="spellStart"/>
      <w:r w:rsidRPr="00BF5F43">
        <w:rPr>
          <w:lang w:val="en-US"/>
        </w:rPr>
        <w:t>ürünü</w:t>
      </w:r>
      <w:proofErr w:type="spellEnd"/>
      <w:r w:rsidRPr="00BF5F43">
        <w:rPr>
          <w:lang w:val="en-US"/>
        </w:rPr>
        <w:t xml:space="preserve"> </w:t>
      </w:r>
      <w:proofErr w:type="spellStart"/>
      <w:r w:rsidRPr="00BF5F43">
        <w:rPr>
          <w:lang w:val="en-US"/>
        </w:rPr>
        <w:t>gibi</w:t>
      </w:r>
      <w:proofErr w:type="spellEnd"/>
      <w:r w:rsidRPr="00BF5F43">
        <w:rPr>
          <w:lang w:val="en-US"/>
        </w:rPr>
        <w:t xml:space="preserve"> </w:t>
      </w:r>
      <w:proofErr w:type="spellStart"/>
      <w:r w:rsidRPr="00BF5F43">
        <w:rPr>
          <w:lang w:val="en-US"/>
        </w:rPr>
        <w:t>göründükleri</w:t>
      </w:r>
      <w:proofErr w:type="spellEnd"/>
      <w:r w:rsidRPr="00BF5F43">
        <w:rPr>
          <w:lang w:val="en-US"/>
        </w:rPr>
        <w:t xml:space="preserve"> </w:t>
      </w:r>
      <w:proofErr w:type="spellStart"/>
      <w:r w:rsidRPr="00BF5F43">
        <w:rPr>
          <w:lang w:val="en-US"/>
        </w:rPr>
        <w:t>için</w:t>
      </w:r>
      <w:proofErr w:type="spellEnd"/>
      <w:r w:rsidRPr="00BF5F43">
        <w:rPr>
          <w:lang w:val="en-US"/>
        </w:rPr>
        <w:t xml:space="preserve"> </w:t>
      </w:r>
      <w:proofErr w:type="spellStart"/>
      <w:r w:rsidRPr="00BF5F43">
        <w:rPr>
          <w:lang w:val="en-US"/>
        </w:rPr>
        <w:t>ortaya</w:t>
      </w:r>
      <w:proofErr w:type="spellEnd"/>
      <w:r w:rsidRPr="00BF5F43">
        <w:rPr>
          <w:lang w:val="en-US"/>
        </w:rPr>
        <w:t xml:space="preserve"> çıkmaktadır.¹⁵⁰</w:t>
      </w:r>
      <w:r w:rsidRPr="00BF5F43">
        <w:rPr>
          <w:lang w:val="en-US"/>
        </w:rPr>
        <w:t xml:space="preserve"> </w:t>
      </w:r>
      <w:r w:rsidRPr="00BF5F43">
        <w:rPr>
          <w:rStyle w:val="FootnoteReference"/>
          <w:lang w:val="en-US"/>
        </w:rPr>
        <w:footnoteReference w:id="150"/>
      </w:r>
      <w:r w:rsidRPr="00BF5F43">
        <w:rPr>
          <w:lang w:val="en-US"/>
        </w:rPr>
        <w:t xml:space="preserve"> </w:t>
      </w:r>
    </w:p>
    <w:p w14:paraId="4210E99C" w14:textId="4238BD24" w:rsidR="00BF5F43" w:rsidRPr="00BF5F43" w:rsidRDefault="00BF5F43" w:rsidP="00BF5F43">
      <w:pPr>
        <w:rPr>
          <w:lang w:val="en-US"/>
        </w:rPr>
      </w:pPr>
      <w:proofErr w:type="spellStart"/>
      <w:r w:rsidRPr="00BF5F43">
        <w:rPr>
          <w:lang w:val="en-US"/>
        </w:rPr>
        <w:t>Anayasal</w:t>
      </w:r>
      <w:proofErr w:type="spellEnd"/>
      <w:r w:rsidRPr="00BF5F43">
        <w:rPr>
          <w:lang w:val="en-US"/>
        </w:rPr>
        <w:t xml:space="preserve"> </w:t>
      </w:r>
      <w:proofErr w:type="spellStart"/>
      <w:r w:rsidRPr="00BF5F43">
        <w:rPr>
          <w:lang w:val="en-US"/>
        </w:rPr>
        <w:t>kurumları</w:t>
      </w:r>
      <w:proofErr w:type="spellEnd"/>
      <w:r w:rsidRPr="00BF5F43">
        <w:rPr>
          <w:lang w:val="en-US"/>
        </w:rPr>
        <w:t xml:space="preserve">, </w:t>
      </w:r>
      <w:proofErr w:type="spellStart"/>
      <w:r w:rsidRPr="00BF5F43">
        <w:rPr>
          <w:lang w:val="en-US"/>
        </w:rPr>
        <w:t>uygulamaları</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normları</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tür</w:t>
      </w:r>
      <w:proofErr w:type="spellEnd"/>
      <w:r w:rsidRPr="00BF5F43">
        <w:rPr>
          <w:lang w:val="en-US"/>
        </w:rPr>
        <w:t xml:space="preserve"> </w:t>
      </w:r>
      <w:proofErr w:type="spellStart"/>
      <w:r w:rsidRPr="00BF5F43">
        <w:rPr>
          <w:lang w:val="en-US"/>
        </w:rPr>
        <w:t>kültür</w:t>
      </w:r>
      <w:proofErr w:type="spellEnd"/>
      <w:r w:rsidRPr="00BF5F43">
        <w:rPr>
          <w:lang w:val="en-US"/>
        </w:rPr>
        <w:t xml:space="preserve"> </w:t>
      </w:r>
      <w:proofErr w:type="spellStart"/>
      <w:r w:rsidRPr="00BF5F43">
        <w:rPr>
          <w:lang w:val="en-US"/>
        </w:rPr>
        <w:t>olarak</w:t>
      </w:r>
      <w:proofErr w:type="spellEnd"/>
      <w:r w:rsidRPr="00BF5F43">
        <w:rPr>
          <w:lang w:val="en-US"/>
        </w:rPr>
        <w:t xml:space="preserve"> </w:t>
      </w:r>
      <w:proofErr w:type="spellStart"/>
      <w:r w:rsidRPr="00BF5F43">
        <w:rPr>
          <w:lang w:val="en-US"/>
        </w:rPr>
        <w:t>düşünmek</w:t>
      </w:r>
      <w:proofErr w:type="spellEnd"/>
      <w:r w:rsidRPr="00BF5F43">
        <w:rPr>
          <w:lang w:val="en-US"/>
        </w:rPr>
        <w:t xml:space="preserve">, </w:t>
      </w:r>
      <w:proofErr w:type="spellStart"/>
      <w:r w:rsidRPr="00BF5F43">
        <w:rPr>
          <w:lang w:val="en-US"/>
        </w:rPr>
        <w:t>bunların</w:t>
      </w:r>
      <w:proofErr w:type="spellEnd"/>
      <w:r w:rsidRPr="00BF5F43">
        <w:rPr>
          <w:lang w:val="en-US"/>
        </w:rPr>
        <w:t xml:space="preserve"> </w:t>
      </w:r>
      <w:proofErr w:type="spellStart"/>
      <w:r w:rsidRPr="00BF5F43">
        <w:rPr>
          <w:lang w:val="en-US"/>
        </w:rPr>
        <w:t>rasyonel</w:t>
      </w:r>
      <w:proofErr w:type="spellEnd"/>
      <w:r w:rsidRPr="00BF5F43">
        <w:rPr>
          <w:lang w:val="en-US"/>
        </w:rPr>
        <w:t xml:space="preserve"> </w:t>
      </w:r>
      <w:proofErr w:type="spellStart"/>
      <w:r w:rsidRPr="00BF5F43">
        <w:rPr>
          <w:lang w:val="en-US"/>
        </w:rPr>
        <w:t>argümanlarla</w:t>
      </w:r>
      <w:proofErr w:type="spellEnd"/>
      <w:r w:rsidRPr="00BF5F43">
        <w:rPr>
          <w:lang w:val="en-US"/>
        </w:rPr>
        <w:t xml:space="preserve"> </w:t>
      </w:r>
      <w:proofErr w:type="spellStart"/>
      <w:r w:rsidRPr="00BF5F43">
        <w:rPr>
          <w:lang w:val="en-US"/>
        </w:rPr>
        <w:t>değiştirilmeye</w:t>
      </w:r>
      <w:proofErr w:type="spellEnd"/>
      <w:r w:rsidRPr="00BF5F43">
        <w:rPr>
          <w:lang w:val="en-US"/>
        </w:rPr>
        <w:t xml:space="preserve"> </w:t>
      </w:r>
      <w:proofErr w:type="spellStart"/>
      <w:r w:rsidRPr="00BF5F43">
        <w:rPr>
          <w:lang w:val="en-US"/>
        </w:rPr>
        <w:t>açık</w:t>
      </w:r>
      <w:proofErr w:type="spellEnd"/>
      <w:r w:rsidRPr="00BF5F43">
        <w:rPr>
          <w:lang w:val="en-US"/>
        </w:rPr>
        <w:t xml:space="preserve"> </w:t>
      </w:r>
      <w:proofErr w:type="spellStart"/>
      <w:r w:rsidRPr="00BF5F43">
        <w:rPr>
          <w:lang w:val="en-US"/>
        </w:rPr>
        <w:t>olduğunu</w:t>
      </w:r>
      <w:proofErr w:type="spellEnd"/>
      <w:r w:rsidRPr="00BF5F43">
        <w:rPr>
          <w:lang w:val="en-US"/>
        </w:rPr>
        <w:t xml:space="preserve"> </w:t>
      </w:r>
      <w:proofErr w:type="spellStart"/>
      <w:r w:rsidRPr="00BF5F43">
        <w:rPr>
          <w:lang w:val="en-US"/>
        </w:rPr>
        <w:t>ancak</w:t>
      </w:r>
      <w:proofErr w:type="spellEnd"/>
      <w:r w:rsidRPr="00BF5F43">
        <w:rPr>
          <w:lang w:val="en-US"/>
        </w:rPr>
        <w:t xml:space="preserve"> </w:t>
      </w:r>
      <w:proofErr w:type="spellStart"/>
      <w:r w:rsidRPr="00BF5F43">
        <w:rPr>
          <w:lang w:val="en-US"/>
        </w:rPr>
        <w:t>aynı</w:t>
      </w:r>
      <w:proofErr w:type="spellEnd"/>
      <w:r w:rsidRPr="00BF5F43">
        <w:rPr>
          <w:lang w:val="en-US"/>
        </w:rPr>
        <w:t xml:space="preserve"> </w:t>
      </w:r>
      <w:proofErr w:type="spellStart"/>
      <w:r w:rsidRPr="00BF5F43">
        <w:rPr>
          <w:lang w:val="en-US"/>
        </w:rPr>
        <w:t>zamanda</w:t>
      </w:r>
      <w:proofErr w:type="spellEnd"/>
      <w:r w:rsidRPr="00BF5F43">
        <w:rPr>
          <w:lang w:val="en-US"/>
        </w:rPr>
        <w:t xml:space="preserve"> </w:t>
      </w:r>
      <w:proofErr w:type="spellStart"/>
      <w:r w:rsidRPr="00BF5F43">
        <w:rPr>
          <w:lang w:val="en-US"/>
        </w:rPr>
        <w:t>daha</w:t>
      </w:r>
      <w:proofErr w:type="spellEnd"/>
      <w:r w:rsidRPr="00BF5F43">
        <w:rPr>
          <w:lang w:val="en-US"/>
        </w:rPr>
        <w:t xml:space="preserve"> </w:t>
      </w:r>
      <w:proofErr w:type="spellStart"/>
      <w:r w:rsidRPr="00BF5F43">
        <w:rPr>
          <w:lang w:val="en-US"/>
        </w:rPr>
        <w:t>derin</w:t>
      </w:r>
      <w:proofErr w:type="spellEnd"/>
      <w:r w:rsidRPr="00BF5F43">
        <w:rPr>
          <w:lang w:val="en-US"/>
        </w:rPr>
        <w:t xml:space="preserve">, </w:t>
      </w:r>
      <w:proofErr w:type="spellStart"/>
      <w:r w:rsidRPr="00BF5F43">
        <w:rPr>
          <w:lang w:val="en-US"/>
        </w:rPr>
        <w:t>içgüdüsel</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şekillenmemiş</w:t>
      </w:r>
      <w:proofErr w:type="spellEnd"/>
      <w:r w:rsidRPr="00BF5F43">
        <w:rPr>
          <w:lang w:val="en-US"/>
        </w:rPr>
        <w:t xml:space="preserve"> </w:t>
      </w:r>
      <w:proofErr w:type="spellStart"/>
      <w:r w:rsidRPr="00BF5F43">
        <w:rPr>
          <w:lang w:val="en-US"/>
        </w:rPr>
        <w:t>bağlılıkları</w:t>
      </w:r>
      <w:proofErr w:type="spellEnd"/>
      <w:r w:rsidRPr="00BF5F43">
        <w:rPr>
          <w:lang w:val="en-US"/>
        </w:rPr>
        <w:t xml:space="preserve"> da </w:t>
      </w:r>
      <w:proofErr w:type="spellStart"/>
      <w:r w:rsidRPr="00BF5F43">
        <w:rPr>
          <w:lang w:val="en-US"/>
        </w:rPr>
        <w:t>yansıttığını</w:t>
      </w:r>
      <w:proofErr w:type="spellEnd"/>
      <w:r w:rsidRPr="00BF5F43">
        <w:rPr>
          <w:lang w:val="en-US"/>
        </w:rPr>
        <w:t xml:space="preserve"> </w:t>
      </w:r>
      <w:proofErr w:type="spellStart"/>
      <w:r w:rsidRPr="00BF5F43">
        <w:rPr>
          <w:lang w:val="en-US"/>
        </w:rPr>
        <w:t>ortaya</w:t>
      </w:r>
      <w:proofErr w:type="spellEnd"/>
      <w:r w:rsidRPr="00BF5F43">
        <w:rPr>
          <w:lang w:val="en-US"/>
        </w:rPr>
        <w:t xml:space="preserve"> </w:t>
      </w:r>
      <w:proofErr w:type="spellStart"/>
      <w:r w:rsidRPr="00BF5F43">
        <w:rPr>
          <w:lang w:val="en-US"/>
        </w:rPr>
        <w:t>koymaktadır</w:t>
      </w:r>
      <w:proofErr w:type="spellEnd"/>
      <w:r w:rsidRPr="00BF5F43">
        <w:rPr>
          <w:lang w:val="en-US"/>
        </w:rPr>
        <w:t>.</w:t>
      </w:r>
      <w:r w:rsidRPr="00BF5F43">
        <w:rPr>
          <w:lang w:val="en-US"/>
        </w:rPr>
        <w:t xml:space="preserve"> </w:t>
      </w:r>
      <w:proofErr w:type="spellStart"/>
      <w:r w:rsidRPr="00BF5F43">
        <w:rPr>
          <w:lang w:val="en-US"/>
        </w:rPr>
        <w:t>Anayasal</w:t>
      </w:r>
      <w:proofErr w:type="spellEnd"/>
      <w:r w:rsidRPr="00BF5F43">
        <w:rPr>
          <w:lang w:val="en-US"/>
        </w:rPr>
        <w:t xml:space="preserve"> </w:t>
      </w:r>
      <w:proofErr w:type="spellStart"/>
      <w:r w:rsidRPr="00BF5F43">
        <w:rPr>
          <w:lang w:val="en-US"/>
        </w:rPr>
        <w:t>karar</w:t>
      </w:r>
      <w:proofErr w:type="spellEnd"/>
      <w:r w:rsidRPr="00BF5F43">
        <w:rPr>
          <w:lang w:val="en-US"/>
        </w:rPr>
        <w:t xml:space="preserve"> alma </w:t>
      </w:r>
      <w:proofErr w:type="spellStart"/>
      <w:r w:rsidRPr="00BF5F43">
        <w:rPr>
          <w:lang w:val="en-US"/>
        </w:rPr>
        <w:t>süreçlerimizi</w:t>
      </w:r>
      <w:proofErr w:type="spellEnd"/>
      <w:r w:rsidRPr="00BF5F43">
        <w:rPr>
          <w:lang w:val="en-US"/>
        </w:rPr>
        <w:t xml:space="preserve"> </w:t>
      </w:r>
      <w:proofErr w:type="spellStart"/>
      <w:r w:rsidRPr="00BF5F43">
        <w:rPr>
          <w:lang w:val="en-US"/>
        </w:rPr>
        <w:t>iyileştirmek</w:t>
      </w:r>
      <w:proofErr w:type="spellEnd"/>
      <w:r w:rsidRPr="00BF5F43">
        <w:rPr>
          <w:lang w:val="en-US"/>
        </w:rPr>
        <w:t xml:space="preserve"> </w:t>
      </w:r>
      <w:proofErr w:type="spellStart"/>
      <w:r w:rsidRPr="00BF5F43">
        <w:rPr>
          <w:lang w:val="en-US"/>
        </w:rPr>
        <w:t>için</w:t>
      </w:r>
      <w:proofErr w:type="spellEnd"/>
      <w:r w:rsidRPr="00BF5F43">
        <w:rPr>
          <w:lang w:val="en-US"/>
        </w:rPr>
        <w:t xml:space="preserve"> </w:t>
      </w:r>
      <w:proofErr w:type="spellStart"/>
      <w:r w:rsidRPr="00BF5F43">
        <w:rPr>
          <w:lang w:val="en-US"/>
        </w:rPr>
        <w:t>belirli</w:t>
      </w:r>
      <w:proofErr w:type="spellEnd"/>
      <w:r w:rsidRPr="00BF5F43">
        <w:rPr>
          <w:lang w:val="en-US"/>
        </w:rPr>
        <w:t xml:space="preserve"> </w:t>
      </w:r>
      <w:proofErr w:type="spellStart"/>
      <w:r w:rsidRPr="00BF5F43">
        <w:rPr>
          <w:lang w:val="en-US"/>
        </w:rPr>
        <w:t>önerileri</w:t>
      </w:r>
      <w:proofErr w:type="spellEnd"/>
      <w:r w:rsidRPr="00BF5F43">
        <w:rPr>
          <w:lang w:val="en-US"/>
        </w:rPr>
        <w:t xml:space="preserve"> </w:t>
      </w:r>
      <w:proofErr w:type="spellStart"/>
      <w:r w:rsidRPr="00BF5F43">
        <w:rPr>
          <w:lang w:val="en-US"/>
        </w:rPr>
        <w:t>tanıyabilir</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tartışabiliriz</w:t>
      </w:r>
      <w:proofErr w:type="spellEnd"/>
      <w:r w:rsidRPr="00BF5F43">
        <w:rPr>
          <w:lang w:val="en-US"/>
        </w:rPr>
        <w:t xml:space="preserve">. </w:t>
      </w:r>
      <w:proofErr w:type="spellStart"/>
      <w:r w:rsidRPr="00BF5F43">
        <w:rPr>
          <w:lang w:val="en-US"/>
        </w:rPr>
        <w:t>Örneğin</w:t>
      </w:r>
      <w:proofErr w:type="spellEnd"/>
      <w:r w:rsidRPr="00BF5F43">
        <w:rPr>
          <w:lang w:val="en-US"/>
        </w:rPr>
        <w:t xml:space="preserve">, </w:t>
      </w:r>
      <w:proofErr w:type="spellStart"/>
      <w:r w:rsidRPr="00BF5F43">
        <w:rPr>
          <w:lang w:val="en-US"/>
        </w:rPr>
        <w:t>yargıçların</w:t>
      </w:r>
      <w:proofErr w:type="spellEnd"/>
      <w:r w:rsidRPr="00BF5F43">
        <w:rPr>
          <w:lang w:val="en-US"/>
        </w:rPr>
        <w:t xml:space="preserve"> </w:t>
      </w:r>
      <w:proofErr w:type="spellStart"/>
      <w:r w:rsidRPr="00BF5F43">
        <w:rPr>
          <w:lang w:val="en-US"/>
        </w:rPr>
        <w:t>eğitimiyle</w:t>
      </w:r>
      <w:proofErr w:type="spellEnd"/>
      <w:r w:rsidRPr="00BF5F43">
        <w:rPr>
          <w:lang w:val="en-US"/>
        </w:rPr>
        <w:t xml:space="preserve"> </w:t>
      </w:r>
      <w:proofErr w:type="spellStart"/>
      <w:r w:rsidRPr="00BF5F43">
        <w:rPr>
          <w:lang w:val="en-US"/>
        </w:rPr>
        <w:t>ilgili</w:t>
      </w:r>
      <w:proofErr w:type="spellEnd"/>
      <w:r w:rsidRPr="00BF5F43">
        <w:rPr>
          <w:lang w:val="en-US"/>
        </w:rPr>
        <w:t xml:space="preserve"> </w:t>
      </w:r>
      <w:proofErr w:type="spellStart"/>
      <w:r w:rsidRPr="00BF5F43">
        <w:rPr>
          <w:lang w:val="en-US"/>
        </w:rPr>
        <w:t>normları</w:t>
      </w:r>
      <w:proofErr w:type="spellEnd"/>
      <w:r w:rsidRPr="00BF5F43">
        <w:rPr>
          <w:lang w:val="en-US"/>
        </w:rPr>
        <w:t xml:space="preserve"> değiştirmek,¹⁵¹ </w:t>
      </w:r>
      <w:r>
        <w:rPr>
          <w:rStyle w:val="FootnoteReference"/>
          <w:lang w:val="en-US"/>
        </w:rPr>
        <w:footnoteReference w:id="151"/>
      </w:r>
      <w:r>
        <w:rPr>
          <w:lang w:val="en-US"/>
        </w:rPr>
        <w:t xml:space="preserve"> </w:t>
      </w:r>
      <w:r w:rsidRPr="00BF5F43">
        <w:rPr>
          <w:lang w:val="en-US"/>
        </w:rPr>
        <w:t xml:space="preserve">amicus curiae </w:t>
      </w:r>
      <w:proofErr w:type="spellStart"/>
      <w:r w:rsidRPr="00BF5F43">
        <w:rPr>
          <w:lang w:val="en-US"/>
        </w:rPr>
        <w:t>dilekçelerinin</w:t>
      </w:r>
      <w:proofErr w:type="spellEnd"/>
      <w:r w:rsidRPr="00BF5F43">
        <w:rPr>
          <w:lang w:val="en-US"/>
        </w:rPr>
        <w:t xml:space="preserve"> </w:t>
      </w:r>
      <w:proofErr w:type="spellStart"/>
      <w:r w:rsidRPr="00BF5F43">
        <w:rPr>
          <w:lang w:val="en-US"/>
        </w:rPr>
        <w:t>kullanımını</w:t>
      </w:r>
      <w:proofErr w:type="spellEnd"/>
      <w:r w:rsidRPr="00BF5F43">
        <w:rPr>
          <w:lang w:val="en-US"/>
        </w:rPr>
        <w:t xml:space="preserve"> sınırlamak,¹⁵²</w:t>
      </w:r>
      <w:r>
        <w:rPr>
          <w:lang w:val="en-US"/>
        </w:rPr>
        <w:t xml:space="preserve"> </w:t>
      </w:r>
      <w:r>
        <w:rPr>
          <w:rStyle w:val="FootnoteReference"/>
          <w:lang w:val="en-US"/>
        </w:rPr>
        <w:footnoteReference w:id="152"/>
      </w:r>
      <w:r w:rsidRPr="00BF5F43">
        <w:rPr>
          <w:lang w:val="en-US"/>
        </w:rPr>
        <w:t xml:space="preserve"> </w:t>
      </w:r>
      <w:proofErr w:type="spellStart"/>
      <w:r w:rsidRPr="00BF5F43">
        <w:rPr>
          <w:lang w:val="en-US"/>
        </w:rPr>
        <w:t>veya</w:t>
      </w:r>
      <w:proofErr w:type="spellEnd"/>
      <w:r w:rsidRPr="00BF5F43">
        <w:rPr>
          <w:lang w:val="en-US"/>
        </w:rPr>
        <w:t xml:space="preserve"> </w:t>
      </w:r>
      <w:proofErr w:type="spellStart"/>
      <w:r w:rsidRPr="00BF5F43">
        <w:rPr>
          <w:lang w:val="en-US"/>
        </w:rPr>
        <w:t>anayasal</w:t>
      </w:r>
      <w:proofErr w:type="spellEnd"/>
      <w:r w:rsidRPr="00BF5F43">
        <w:rPr>
          <w:lang w:val="en-US"/>
        </w:rPr>
        <w:t xml:space="preserve"> </w:t>
      </w:r>
      <w:proofErr w:type="spellStart"/>
      <w:r w:rsidRPr="00BF5F43">
        <w:rPr>
          <w:lang w:val="en-US"/>
        </w:rPr>
        <w:t>yorum</w:t>
      </w:r>
      <w:proofErr w:type="spellEnd"/>
      <w:r w:rsidRPr="00BF5F43">
        <w:rPr>
          <w:lang w:val="en-US"/>
        </w:rPr>
        <w:t xml:space="preserve"> </w:t>
      </w:r>
      <w:proofErr w:type="spellStart"/>
      <w:r w:rsidRPr="00BF5F43">
        <w:rPr>
          <w:lang w:val="en-US"/>
        </w:rPr>
        <w:t>algoritmamızı</w:t>
      </w:r>
      <w:proofErr w:type="spellEnd"/>
      <w:r w:rsidRPr="00BF5F43">
        <w:rPr>
          <w:lang w:val="en-US"/>
        </w:rPr>
        <w:t xml:space="preserve"> </w:t>
      </w:r>
      <w:proofErr w:type="spellStart"/>
      <w:r w:rsidRPr="00BF5F43">
        <w:rPr>
          <w:lang w:val="en-US"/>
        </w:rPr>
        <w:t>belirli</w:t>
      </w:r>
      <w:proofErr w:type="spellEnd"/>
      <w:r w:rsidRPr="00BF5F43">
        <w:rPr>
          <w:lang w:val="en-US"/>
        </w:rPr>
        <w:t xml:space="preserve"> </w:t>
      </w:r>
      <w:proofErr w:type="spellStart"/>
      <w:r w:rsidRPr="00BF5F43">
        <w:rPr>
          <w:lang w:val="en-US"/>
        </w:rPr>
        <w:t>argümantasyon</w:t>
      </w:r>
      <w:proofErr w:type="spellEnd"/>
      <w:r w:rsidRPr="00BF5F43">
        <w:rPr>
          <w:lang w:val="en-US"/>
        </w:rPr>
        <w:t xml:space="preserve"> </w:t>
      </w:r>
      <w:proofErr w:type="spellStart"/>
      <w:r w:rsidRPr="00BF5F43">
        <w:rPr>
          <w:lang w:val="en-US"/>
        </w:rPr>
        <w:t>biçimlerine</w:t>
      </w:r>
      <w:proofErr w:type="spellEnd"/>
      <w:r w:rsidRPr="00BF5F43">
        <w:rPr>
          <w:lang w:val="en-US"/>
        </w:rPr>
        <w:t xml:space="preserve"> </w:t>
      </w:r>
      <w:proofErr w:type="spellStart"/>
      <w:r w:rsidRPr="00BF5F43">
        <w:rPr>
          <w:lang w:val="en-US"/>
        </w:rPr>
        <w:t>öncelik</w:t>
      </w:r>
      <w:proofErr w:type="spellEnd"/>
      <w:r w:rsidRPr="00BF5F43">
        <w:rPr>
          <w:lang w:val="en-US"/>
        </w:rPr>
        <w:t xml:space="preserve"> </w:t>
      </w:r>
      <w:proofErr w:type="spellStart"/>
      <w:r w:rsidRPr="00BF5F43">
        <w:rPr>
          <w:lang w:val="en-US"/>
        </w:rPr>
        <w:t>verecek</w:t>
      </w:r>
      <w:proofErr w:type="spellEnd"/>
      <w:r w:rsidRPr="00BF5F43">
        <w:rPr>
          <w:lang w:val="en-US"/>
        </w:rPr>
        <w:t xml:space="preserve"> </w:t>
      </w:r>
      <w:proofErr w:type="spellStart"/>
      <w:r w:rsidRPr="00BF5F43">
        <w:rPr>
          <w:lang w:val="en-US"/>
        </w:rPr>
        <w:t>şekilde</w:t>
      </w:r>
      <w:proofErr w:type="spellEnd"/>
      <w:r w:rsidRPr="00BF5F43">
        <w:rPr>
          <w:lang w:val="en-US"/>
        </w:rPr>
        <w:t xml:space="preserve"> </w:t>
      </w:r>
      <w:proofErr w:type="spellStart"/>
      <w:r w:rsidRPr="00BF5F43">
        <w:rPr>
          <w:lang w:val="en-US"/>
        </w:rPr>
        <w:t>değiştirmek</w:t>
      </w:r>
      <w:proofErr w:type="spellEnd"/>
      <w:r w:rsidRPr="00BF5F43">
        <w:rPr>
          <w:lang w:val="en-US"/>
        </w:rPr>
        <w:t xml:space="preserve"> </w:t>
      </w:r>
      <w:proofErr w:type="spellStart"/>
      <w:r w:rsidRPr="00BF5F43">
        <w:rPr>
          <w:lang w:val="en-US"/>
        </w:rPr>
        <w:t>gibi</w:t>
      </w:r>
      <w:proofErr w:type="spellEnd"/>
      <w:r w:rsidRPr="00BF5F43">
        <w:rPr>
          <w:lang w:val="en-US"/>
        </w:rPr>
        <w:t xml:space="preserve"> </w:t>
      </w:r>
      <w:proofErr w:type="spellStart"/>
      <w:r w:rsidRPr="00BF5F43">
        <w:rPr>
          <w:lang w:val="en-US"/>
        </w:rPr>
        <w:t>öneriler</w:t>
      </w:r>
      <w:proofErr w:type="spellEnd"/>
      <w:r w:rsidRPr="00BF5F43">
        <w:rPr>
          <w:lang w:val="en-US"/>
        </w:rPr>
        <w:t xml:space="preserve"> değerlendirilebilir.¹⁵³</w:t>
      </w:r>
      <w:r>
        <w:rPr>
          <w:lang w:val="en-US"/>
        </w:rPr>
        <w:t xml:space="preserve"> </w:t>
      </w:r>
      <w:r>
        <w:rPr>
          <w:rStyle w:val="FootnoteReference"/>
          <w:lang w:val="en-US"/>
        </w:rPr>
        <w:footnoteReference w:id="153"/>
      </w:r>
      <w:r w:rsidRPr="00BF5F43">
        <w:rPr>
          <w:lang w:val="en-US"/>
        </w:rPr>
        <w:t xml:space="preserve"> </w:t>
      </w:r>
      <w:proofErr w:type="spellStart"/>
      <w:r w:rsidRPr="00BF5F43">
        <w:rPr>
          <w:lang w:val="en-US"/>
        </w:rPr>
        <w:t>Ancak</w:t>
      </w:r>
      <w:proofErr w:type="spellEnd"/>
      <w:r w:rsidRPr="00BF5F43">
        <w:rPr>
          <w:lang w:val="en-US"/>
        </w:rPr>
        <w:t xml:space="preserve"> </w:t>
      </w:r>
      <w:proofErr w:type="spellStart"/>
      <w:r w:rsidRPr="00BF5F43">
        <w:rPr>
          <w:lang w:val="en-US"/>
        </w:rPr>
        <w:t>bu</w:t>
      </w:r>
      <w:proofErr w:type="spellEnd"/>
      <w:r w:rsidRPr="00BF5F43">
        <w:rPr>
          <w:lang w:val="en-US"/>
        </w:rPr>
        <w:t xml:space="preserve"> </w:t>
      </w:r>
      <w:proofErr w:type="spellStart"/>
      <w:r w:rsidRPr="00BF5F43">
        <w:rPr>
          <w:lang w:val="en-US"/>
        </w:rPr>
        <w:t>tartışmaları</w:t>
      </w:r>
      <w:proofErr w:type="spellEnd"/>
      <w:r w:rsidRPr="00BF5F43">
        <w:rPr>
          <w:lang w:val="en-US"/>
        </w:rPr>
        <w:t xml:space="preserve"> </w:t>
      </w:r>
      <w:proofErr w:type="spellStart"/>
      <w:r w:rsidRPr="00BF5F43">
        <w:rPr>
          <w:lang w:val="en-US"/>
        </w:rPr>
        <w:t>boşlukta</w:t>
      </w:r>
      <w:proofErr w:type="spellEnd"/>
      <w:r w:rsidRPr="00BF5F43">
        <w:rPr>
          <w:lang w:val="en-US"/>
        </w:rPr>
        <w:t xml:space="preserve"> </w:t>
      </w:r>
      <w:proofErr w:type="spellStart"/>
      <w:r w:rsidRPr="00BF5F43">
        <w:rPr>
          <w:lang w:val="en-US"/>
        </w:rPr>
        <w:t>gerçekleştirmiyoruz</w:t>
      </w:r>
      <w:proofErr w:type="spellEnd"/>
      <w:r w:rsidRPr="00BF5F43">
        <w:rPr>
          <w:lang w:val="en-US"/>
        </w:rPr>
        <w:t xml:space="preserve">; tam </w:t>
      </w:r>
      <w:proofErr w:type="spellStart"/>
      <w:r w:rsidRPr="00BF5F43">
        <w:rPr>
          <w:lang w:val="en-US"/>
        </w:rPr>
        <w:t>aksine</w:t>
      </w:r>
      <w:proofErr w:type="spellEnd"/>
      <w:r w:rsidRPr="00BF5F43">
        <w:rPr>
          <w:lang w:val="en-US"/>
        </w:rPr>
        <w:t xml:space="preserve">, </w:t>
      </w:r>
      <w:proofErr w:type="spellStart"/>
      <w:r w:rsidRPr="00BF5F43">
        <w:rPr>
          <w:lang w:val="en-US"/>
        </w:rPr>
        <w:t>bu</w:t>
      </w:r>
      <w:proofErr w:type="spellEnd"/>
      <w:r w:rsidRPr="00BF5F43">
        <w:rPr>
          <w:lang w:val="en-US"/>
        </w:rPr>
        <w:t xml:space="preserve"> </w:t>
      </w:r>
      <w:proofErr w:type="spellStart"/>
      <w:r w:rsidRPr="00BF5F43">
        <w:rPr>
          <w:lang w:val="en-US"/>
        </w:rPr>
        <w:t>tür</w:t>
      </w:r>
      <w:proofErr w:type="spellEnd"/>
      <w:r w:rsidRPr="00BF5F43">
        <w:rPr>
          <w:lang w:val="en-US"/>
        </w:rPr>
        <w:t xml:space="preserve"> </w:t>
      </w:r>
      <w:proofErr w:type="spellStart"/>
      <w:r w:rsidRPr="00BF5F43">
        <w:rPr>
          <w:lang w:val="en-US"/>
        </w:rPr>
        <w:t>tartışmalara</w:t>
      </w:r>
      <w:proofErr w:type="spellEnd"/>
      <w:r w:rsidRPr="00BF5F43">
        <w:rPr>
          <w:lang w:val="en-US"/>
        </w:rPr>
        <w:t xml:space="preserve"> </w:t>
      </w:r>
      <w:proofErr w:type="spellStart"/>
      <w:r w:rsidRPr="00BF5F43">
        <w:rPr>
          <w:lang w:val="en-US"/>
        </w:rPr>
        <w:t>belirli</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değerler</w:t>
      </w:r>
      <w:proofErr w:type="spellEnd"/>
      <w:r w:rsidRPr="00BF5F43">
        <w:rPr>
          <w:lang w:val="en-US"/>
        </w:rPr>
        <w:t xml:space="preserve"> </w:t>
      </w:r>
      <w:proofErr w:type="spellStart"/>
      <w:r w:rsidRPr="00BF5F43">
        <w:rPr>
          <w:lang w:val="en-US"/>
        </w:rPr>
        <w:t>sistemi</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önemli</w:t>
      </w:r>
      <w:proofErr w:type="spellEnd"/>
      <w:r w:rsidRPr="00BF5F43">
        <w:rPr>
          <w:lang w:val="en-US"/>
        </w:rPr>
        <w:t xml:space="preserve"> </w:t>
      </w:r>
      <w:proofErr w:type="spellStart"/>
      <w:r w:rsidRPr="00BF5F43">
        <w:rPr>
          <w:lang w:val="en-US"/>
        </w:rPr>
        <w:t>olan</w:t>
      </w:r>
      <w:proofErr w:type="spellEnd"/>
      <w:r w:rsidRPr="00BF5F43">
        <w:rPr>
          <w:lang w:val="en-US"/>
        </w:rPr>
        <w:t xml:space="preserve">, </w:t>
      </w:r>
      <w:proofErr w:type="spellStart"/>
      <w:r w:rsidRPr="00BF5F43">
        <w:rPr>
          <w:lang w:val="en-US"/>
        </w:rPr>
        <w:t>mümkün</w:t>
      </w:r>
      <w:proofErr w:type="spellEnd"/>
      <w:r w:rsidRPr="00BF5F43">
        <w:rPr>
          <w:lang w:val="en-US"/>
        </w:rPr>
        <w:t xml:space="preserve"> </w:t>
      </w:r>
      <w:proofErr w:type="spellStart"/>
      <w:r w:rsidRPr="00BF5F43">
        <w:rPr>
          <w:lang w:val="en-US"/>
        </w:rPr>
        <w:t>olan</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dünyanın</w:t>
      </w:r>
      <w:proofErr w:type="spellEnd"/>
      <w:r w:rsidRPr="00BF5F43">
        <w:rPr>
          <w:lang w:val="en-US"/>
        </w:rPr>
        <w:t xml:space="preserve"> </w:t>
      </w:r>
      <w:proofErr w:type="spellStart"/>
      <w:r w:rsidRPr="00BF5F43">
        <w:rPr>
          <w:lang w:val="en-US"/>
        </w:rPr>
        <w:t>gerçekte</w:t>
      </w:r>
      <w:proofErr w:type="spellEnd"/>
      <w:r w:rsidRPr="00BF5F43">
        <w:rPr>
          <w:lang w:val="en-US"/>
        </w:rPr>
        <w:t xml:space="preserve"> </w:t>
      </w:r>
      <w:proofErr w:type="spellStart"/>
      <w:r w:rsidRPr="00BF5F43">
        <w:rPr>
          <w:lang w:val="en-US"/>
        </w:rPr>
        <w:t>nasıl</w:t>
      </w:r>
      <w:proofErr w:type="spellEnd"/>
      <w:r w:rsidRPr="00BF5F43">
        <w:rPr>
          <w:lang w:val="en-US"/>
        </w:rPr>
        <w:t xml:space="preserve"> </w:t>
      </w:r>
      <w:proofErr w:type="spellStart"/>
      <w:r w:rsidRPr="00BF5F43">
        <w:rPr>
          <w:lang w:val="en-US"/>
        </w:rPr>
        <w:t>işlediği</w:t>
      </w:r>
      <w:proofErr w:type="spellEnd"/>
      <w:r w:rsidRPr="00BF5F43">
        <w:rPr>
          <w:lang w:val="en-US"/>
        </w:rPr>
        <w:t xml:space="preserve"> </w:t>
      </w:r>
      <w:proofErr w:type="spellStart"/>
      <w:r w:rsidRPr="00BF5F43">
        <w:rPr>
          <w:lang w:val="en-US"/>
        </w:rPr>
        <w:t>hakkındaki</w:t>
      </w:r>
      <w:proofErr w:type="spellEnd"/>
      <w:r w:rsidRPr="00BF5F43">
        <w:rPr>
          <w:lang w:val="en-US"/>
        </w:rPr>
        <w:t xml:space="preserve"> </w:t>
      </w:r>
      <w:proofErr w:type="spellStart"/>
      <w:r w:rsidRPr="00BF5F43">
        <w:rPr>
          <w:lang w:val="en-US"/>
        </w:rPr>
        <w:t>içgüdüsel</w:t>
      </w:r>
      <w:proofErr w:type="spellEnd"/>
      <w:r w:rsidRPr="00BF5F43">
        <w:rPr>
          <w:lang w:val="en-US"/>
        </w:rPr>
        <w:t xml:space="preserve"> </w:t>
      </w:r>
      <w:proofErr w:type="spellStart"/>
      <w:r w:rsidRPr="00BF5F43">
        <w:rPr>
          <w:lang w:val="en-US"/>
        </w:rPr>
        <w:t>varsayımlarımız</w:t>
      </w:r>
      <w:proofErr w:type="spellEnd"/>
      <w:r w:rsidRPr="00BF5F43">
        <w:rPr>
          <w:lang w:val="en-US"/>
        </w:rPr>
        <w:t xml:space="preserve"> </w:t>
      </w:r>
      <w:proofErr w:type="spellStart"/>
      <w:r w:rsidRPr="00BF5F43">
        <w:rPr>
          <w:lang w:val="en-US"/>
        </w:rPr>
        <w:t>çerçevesinde</w:t>
      </w:r>
      <w:proofErr w:type="spellEnd"/>
      <w:r w:rsidRPr="00BF5F43">
        <w:rPr>
          <w:lang w:val="en-US"/>
        </w:rPr>
        <w:t xml:space="preserve"> </w:t>
      </w:r>
      <w:proofErr w:type="spellStart"/>
      <w:r w:rsidRPr="00BF5F43">
        <w:rPr>
          <w:lang w:val="en-US"/>
        </w:rPr>
        <w:t>giriyoruz</w:t>
      </w:r>
      <w:proofErr w:type="spellEnd"/>
      <w:r w:rsidRPr="00BF5F43">
        <w:rPr>
          <w:lang w:val="en-US"/>
        </w:rPr>
        <w:t>.</w:t>
      </w:r>
      <w:r w:rsidRPr="00BF5F43">
        <w:rPr>
          <w:lang w:val="en-US"/>
        </w:rPr>
        <w:t xml:space="preserve"> </w:t>
      </w:r>
      <w:r w:rsidRPr="00BF5F43">
        <w:rPr>
          <w:lang w:val="en-US"/>
        </w:rPr>
        <w:t xml:space="preserve">Bu </w:t>
      </w:r>
      <w:proofErr w:type="spellStart"/>
      <w:r w:rsidRPr="00BF5F43">
        <w:rPr>
          <w:lang w:val="en-US"/>
        </w:rPr>
        <w:t>derin</w:t>
      </w:r>
      <w:proofErr w:type="spellEnd"/>
      <w:r w:rsidRPr="00BF5F43">
        <w:rPr>
          <w:lang w:val="en-US"/>
        </w:rPr>
        <w:t xml:space="preserve"> </w:t>
      </w:r>
      <w:proofErr w:type="spellStart"/>
      <w:r w:rsidRPr="00BF5F43">
        <w:rPr>
          <w:lang w:val="en-US"/>
        </w:rPr>
        <w:t>bağlılıklar</w:t>
      </w:r>
      <w:proofErr w:type="spellEnd"/>
      <w:r w:rsidRPr="00BF5F43">
        <w:rPr>
          <w:lang w:val="en-US"/>
        </w:rPr>
        <w:t>—</w:t>
      </w:r>
      <w:proofErr w:type="spellStart"/>
      <w:r w:rsidRPr="00BF5F43">
        <w:rPr>
          <w:lang w:val="en-US"/>
        </w:rPr>
        <w:t>yani</w:t>
      </w:r>
      <w:proofErr w:type="spellEnd"/>
      <w:r w:rsidRPr="00BF5F43">
        <w:rPr>
          <w:lang w:val="en-US"/>
        </w:rPr>
        <w:t xml:space="preserve"> </w:t>
      </w:r>
      <w:proofErr w:type="spellStart"/>
      <w:r w:rsidRPr="00BF5F43">
        <w:rPr>
          <w:lang w:val="en-US"/>
        </w:rPr>
        <w:t>dünyaya</w:t>
      </w:r>
      <w:proofErr w:type="spellEnd"/>
      <w:r w:rsidRPr="00BF5F43">
        <w:rPr>
          <w:lang w:val="en-US"/>
        </w:rPr>
        <w:t xml:space="preserve"> </w:t>
      </w:r>
      <w:proofErr w:type="spellStart"/>
      <w:r w:rsidRPr="00BF5F43">
        <w:rPr>
          <w:lang w:val="en-US"/>
        </w:rPr>
        <w:t>bakış</w:t>
      </w:r>
      <w:proofErr w:type="spellEnd"/>
      <w:r w:rsidRPr="00BF5F43">
        <w:rPr>
          <w:lang w:val="en-US"/>
        </w:rPr>
        <w:t xml:space="preserve"> </w:t>
      </w:r>
      <w:proofErr w:type="spellStart"/>
      <w:r w:rsidRPr="00BF5F43">
        <w:rPr>
          <w:lang w:val="en-US"/>
        </w:rPr>
        <w:t>açımız</w:t>
      </w:r>
      <w:proofErr w:type="spellEnd"/>
      <w:r w:rsidRPr="00BF5F43">
        <w:rPr>
          <w:lang w:val="en-US"/>
        </w:rPr>
        <w:t>—</w:t>
      </w:r>
      <w:proofErr w:type="spellStart"/>
      <w:r w:rsidRPr="00BF5F43">
        <w:rPr>
          <w:lang w:val="en-US"/>
        </w:rPr>
        <w:t>kullandığımız</w:t>
      </w:r>
      <w:proofErr w:type="spellEnd"/>
      <w:r w:rsidRPr="00BF5F43">
        <w:rPr>
          <w:lang w:val="en-US"/>
        </w:rPr>
        <w:t xml:space="preserve"> </w:t>
      </w:r>
      <w:proofErr w:type="spellStart"/>
      <w:r w:rsidRPr="00BF5F43">
        <w:rPr>
          <w:lang w:val="en-US"/>
        </w:rPr>
        <w:t>kelime</w:t>
      </w:r>
      <w:proofErr w:type="spellEnd"/>
      <w:r w:rsidRPr="00BF5F43">
        <w:rPr>
          <w:lang w:val="en-US"/>
        </w:rPr>
        <w:t xml:space="preserve"> </w:t>
      </w:r>
      <w:proofErr w:type="spellStart"/>
      <w:r w:rsidRPr="00BF5F43">
        <w:rPr>
          <w:lang w:val="en-US"/>
        </w:rPr>
        <w:t>dağarcığını</w:t>
      </w:r>
      <w:proofErr w:type="spellEnd"/>
      <w:r w:rsidRPr="00BF5F43">
        <w:rPr>
          <w:lang w:val="en-US"/>
        </w:rPr>
        <w:t xml:space="preserve">, </w:t>
      </w:r>
      <w:proofErr w:type="spellStart"/>
      <w:r w:rsidRPr="00BF5F43">
        <w:rPr>
          <w:lang w:val="en-US"/>
        </w:rPr>
        <w:t>dikkate</w:t>
      </w:r>
      <w:proofErr w:type="spellEnd"/>
      <w:r w:rsidRPr="00BF5F43">
        <w:rPr>
          <w:lang w:val="en-US"/>
        </w:rPr>
        <w:t xml:space="preserve"> </w:t>
      </w:r>
      <w:proofErr w:type="spellStart"/>
      <w:r w:rsidRPr="00BF5F43">
        <w:rPr>
          <w:lang w:val="en-US"/>
        </w:rPr>
        <w:t>aldığımız</w:t>
      </w:r>
      <w:proofErr w:type="spellEnd"/>
      <w:r w:rsidRPr="00BF5F43">
        <w:rPr>
          <w:lang w:val="en-US"/>
        </w:rPr>
        <w:t xml:space="preserve"> </w:t>
      </w:r>
      <w:proofErr w:type="spellStart"/>
      <w:r w:rsidRPr="00BF5F43">
        <w:rPr>
          <w:lang w:val="en-US"/>
        </w:rPr>
        <w:t>argümanları</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algıladığımız</w:t>
      </w:r>
      <w:proofErr w:type="spellEnd"/>
      <w:r w:rsidRPr="00BF5F43">
        <w:rPr>
          <w:lang w:val="en-US"/>
        </w:rPr>
        <w:t xml:space="preserve"> </w:t>
      </w:r>
      <w:proofErr w:type="spellStart"/>
      <w:r w:rsidRPr="00BF5F43">
        <w:rPr>
          <w:lang w:val="en-US"/>
        </w:rPr>
        <w:t>ya</w:t>
      </w:r>
      <w:proofErr w:type="spellEnd"/>
      <w:r w:rsidRPr="00BF5F43">
        <w:rPr>
          <w:lang w:val="en-US"/>
        </w:rPr>
        <w:t xml:space="preserve"> da </w:t>
      </w:r>
      <w:proofErr w:type="spellStart"/>
      <w:r w:rsidRPr="00BF5F43">
        <w:rPr>
          <w:lang w:val="en-US"/>
        </w:rPr>
        <w:t>göz</w:t>
      </w:r>
      <w:proofErr w:type="spellEnd"/>
      <w:r w:rsidRPr="00BF5F43">
        <w:rPr>
          <w:lang w:val="en-US"/>
        </w:rPr>
        <w:t xml:space="preserve"> </w:t>
      </w:r>
      <w:proofErr w:type="spellStart"/>
      <w:r w:rsidRPr="00BF5F43">
        <w:rPr>
          <w:lang w:val="en-US"/>
        </w:rPr>
        <w:t>ardı</w:t>
      </w:r>
      <w:proofErr w:type="spellEnd"/>
      <w:r w:rsidRPr="00BF5F43">
        <w:rPr>
          <w:lang w:val="en-US"/>
        </w:rPr>
        <w:t xml:space="preserve"> </w:t>
      </w:r>
      <w:proofErr w:type="spellStart"/>
      <w:r w:rsidRPr="00BF5F43">
        <w:rPr>
          <w:lang w:val="en-US"/>
        </w:rPr>
        <w:t>ettiğimiz</w:t>
      </w:r>
      <w:proofErr w:type="spellEnd"/>
      <w:r w:rsidRPr="00BF5F43">
        <w:rPr>
          <w:lang w:val="en-US"/>
        </w:rPr>
        <w:t xml:space="preserve"> </w:t>
      </w:r>
      <w:proofErr w:type="spellStart"/>
      <w:r w:rsidRPr="00BF5F43">
        <w:rPr>
          <w:lang w:val="en-US"/>
        </w:rPr>
        <w:t>meseleleri</w:t>
      </w:r>
      <w:proofErr w:type="spellEnd"/>
      <w:r w:rsidRPr="00BF5F43">
        <w:rPr>
          <w:lang w:val="en-US"/>
        </w:rPr>
        <w:t xml:space="preserve"> </w:t>
      </w:r>
      <w:proofErr w:type="spellStart"/>
      <w:r w:rsidRPr="00BF5F43">
        <w:rPr>
          <w:lang w:val="en-US"/>
        </w:rPr>
        <w:t>şekillendirmektedir</w:t>
      </w:r>
      <w:proofErr w:type="spellEnd"/>
      <w:r w:rsidRPr="00BF5F43">
        <w:rPr>
          <w:lang w:val="en-US"/>
        </w:rPr>
        <w:t>.</w:t>
      </w:r>
    </w:p>
    <w:p w14:paraId="1072F374" w14:textId="23A43C3E" w:rsidR="00AF6E83" w:rsidRDefault="00AF6E83" w:rsidP="00AF6E83">
      <w:pPr>
        <w:rPr>
          <w:lang w:val="en-US"/>
        </w:rPr>
      </w:pPr>
      <w:proofErr w:type="spellStart"/>
      <w:r w:rsidRPr="00AF6E83">
        <w:rPr>
          <w:lang w:val="en-US"/>
        </w:rPr>
        <w:t>Ayrıca</w:t>
      </w:r>
      <w:proofErr w:type="spellEnd"/>
      <w:r w:rsidRPr="00AF6E83">
        <w:rPr>
          <w:lang w:val="en-US"/>
        </w:rPr>
        <w:t xml:space="preserve">, </w:t>
      </w:r>
      <w:proofErr w:type="spellStart"/>
      <w:r w:rsidRPr="00AF6E83">
        <w:rPr>
          <w:lang w:val="en-US"/>
        </w:rPr>
        <w:t>anayasal</w:t>
      </w:r>
      <w:proofErr w:type="spellEnd"/>
      <w:r w:rsidRPr="00AF6E83">
        <w:rPr>
          <w:lang w:val="en-US"/>
        </w:rPr>
        <w:t xml:space="preserve"> </w:t>
      </w:r>
      <w:proofErr w:type="spellStart"/>
      <w:r w:rsidRPr="00AF6E83">
        <w:rPr>
          <w:lang w:val="en-US"/>
        </w:rPr>
        <w:t>kültür</w:t>
      </w:r>
      <w:proofErr w:type="spellEnd"/>
      <w:r w:rsidRPr="00AF6E83">
        <w:rPr>
          <w:lang w:val="en-US"/>
        </w:rPr>
        <w:t xml:space="preserve"> </w:t>
      </w:r>
      <w:proofErr w:type="spellStart"/>
      <w:r w:rsidRPr="00AF6E83">
        <w:rPr>
          <w:lang w:val="en-US"/>
        </w:rPr>
        <w:t>kavramı</w:t>
      </w:r>
      <w:proofErr w:type="spellEnd"/>
      <w:r w:rsidRPr="00AF6E83">
        <w:rPr>
          <w:lang w:val="en-US"/>
        </w:rPr>
        <w:t xml:space="preserve">, </w:t>
      </w:r>
      <w:proofErr w:type="spellStart"/>
      <w:r w:rsidRPr="00AF6E83">
        <w:rPr>
          <w:lang w:val="en-US"/>
        </w:rPr>
        <w:t>fikirsel</w:t>
      </w:r>
      <w:proofErr w:type="spellEnd"/>
      <w:r w:rsidRPr="00AF6E83">
        <w:rPr>
          <w:lang w:val="en-US"/>
        </w:rPr>
        <w:t xml:space="preserve"> </w:t>
      </w:r>
      <w:proofErr w:type="spellStart"/>
      <w:r w:rsidRPr="00AF6E83">
        <w:rPr>
          <w:lang w:val="en-US"/>
        </w:rPr>
        <w:t>yapılarımız</w:t>
      </w:r>
      <w:proofErr w:type="spellEnd"/>
      <w:r w:rsidRPr="00AF6E83">
        <w:rPr>
          <w:lang w:val="en-US"/>
        </w:rPr>
        <w:t xml:space="preserve"> </w:t>
      </w:r>
      <w:proofErr w:type="spellStart"/>
      <w:r w:rsidRPr="00AF6E83">
        <w:rPr>
          <w:lang w:val="en-US"/>
        </w:rPr>
        <w:t>ile</w:t>
      </w:r>
      <w:proofErr w:type="spellEnd"/>
      <w:r w:rsidRPr="00AF6E83">
        <w:rPr>
          <w:lang w:val="en-US"/>
        </w:rPr>
        <w:t xml:space="preserve"> </w:t>
      </w:r>
      <w:proofErr w:type="spellStart"/>
      <w:r w:rsidRPr="00AF6E83">
        <w:rPr>
          <w:lang w:val="en-US"/>
        </w:rPr>
        <w:t>daha</w:t>
      </w:r>
      <w:proofErr w:type="spellEnd"/>
      <w:r w:rsidRPr="00AF6E83">
        <w:rPr>
          <w:lang w:val="en-US"/>
        </w:rPr>
        <w:t xml:space="preserve"> </w:t>
      </w:r>
      <w:proofErr w:type="spellStart"/>
      <w:r w:rsidRPr="00AF6E83">
        <w:rPr>
          <w:lang w:val="en-US"/>
        </w:rPr>
        <w:t>somut</w:t>
      </w:r>
      <w:proofErr w:type="spellEnd"/>
      <w:r w:rsidRPr="00AF6E83">
        <w:rPr>
          <w:lang w:val="en-US"/>
        </w:rPr>
        <w:t xml:space="preserve"> </w:t>
      </w:r>
      <w:proofErr w:type="spellStart"/>
      <w:r w:rsidRPr="00AF6E83">
        <w:rPr>
          <w:lang w:val="en-US"/>
        </w:rPr>
        <w:t>kurumsal</w:t>
      </w:r>
      <w:proofErr w:type="spellEnd"/>
      <w:r w:rsidRPr="00AF6E83">
        <w:rPr>
          <w:lang w:val="en-US"/>
        </w:rPr>
        <w:t xml:space="preserve"> </w:t>
      </w:r>
      <w:proofErr w:type="spellStart"/>
      <w:r w:rsidRPr="00AF6E83">
        <w:rPr>
          <w:lang w:val="en-US"/>
        </w:rPr>
        <w:t>düzenlemelerimiz</w:t>
      </w:r>
      <w:proofErr w:type="spellEnd"/>
      <w:r w:rsidRPr="00AF6E83">
        <w:rPr>
          <w:lang w:val="en-US"/>
        </w:rPr>
        <w:t xml:space="preserve"> </w:t>
      </w:r>
      <w:proofErr w:type="spellStart"/>
      <w:r w:rsidRPr="00AF6E83">
        <w:rPr>
          <w:lang w:val="en-US"/>
        </w:rPr>
        <w:t>arasındaki</w:t>
      </w:r>
      <w:proofErr w:type="spellEnd"/>
      <w:r w:rsidRPr="00AF6E83">
        <w:rPr>
          <w:lang w:val="en-US"/>
        </w:rPr>
        <w:t xml:space="preserve"> </w:t>
      </w:r>
      <w:proofErr w:type="spellStart"/>
      <w:r w:rsidRPr="00AF6E83">
        <w:rPr>
          <w:lang w:val="en-US"/>
        </w:rPr>
        <w:t>karşılıklı</w:t>
      </w:r>
      <w:proofErr w:type="spellEnd"/>
      <w:r w:rsidRPr="00AF6E83">
        <w:rPr>
          <w:lang w:val="en-US"/>
        </w:rPr>
        <w:t xml:space="preserve"> </w:t>
      </w:r>
      <w:proofErr w:type="spellStart"/>
      <w:r w:rsidRPr="00AF6E83">
        <w:rPr>
          <w:lang w:val="en-US"/>
        </w:rPr>
        <w:t>ilişkileri</w:t>
      </w:r>
      <w:proofErr w:type="spellEnd"/>
      <w:r w:rsidRPr="00AF6E83">
        <w:rPr>
          <w:lang w:val="en-US"/>
        </w:rPr>
        <w:t xml:space="preserve"> </w:t>
      </w:r>
      <w:proofErr w:type="spellStart"/>
      <w:r w:rsidRPr="00AF6E83">
        <w:rPr>
          <w:lang w:val="en-US"/>
        </w:rPr>
        <w:t>vurgulamaktadır</w:t>
      </w:r>
      <w:proofErr w:type="spellEnd"/>
      <w:r w:rsidRPr="00AF6E83">
        <w:rPr>
          <w:lang w:val="en-US"/>
        </w:rPr>
        <w:t xml:space="preserve">. </w:t>
      </w:r>
      <w:proofErr w:type="spellStart"/>
      <w:r w:rsidRPr="00AF6E83">
        <w:rPr>
          <w:lang w:val="en-US"/>
        </w:rPr>
        <w:t>Kültürel</w:t>
      </w:r>
      <w:proofErr w:type="spellEnd"/>
      <w:r w:rsidRPr="00AF6E83">
        <w:rPr>
          <w:lang w:val="en-US"/>
        </w:rPr>
        <w:t xml:space="preserve"> </w:t>
      </w:r>
      <w:proofErr w:type="spellStart"/>
      <w:r w:rsidRPr="00AF6E83">
        <w:rPr>
          <w:lang w:val="en-US"/>
        </w:rPr>
        <w:t>tarih</w:t>
      </w:r>
      <w:proofErr w:type="spellEnd"/>
      <w:r w:rsidRPr="00AF6E83">
        <w:rPr>
          <w:lang w:val="en-US"/>
        </w:rPr>
        <w:t xml:space="preserve">, </w:t>
      </w:r>
      <w:proofErr w:type="spellStart"/>
      <w:r w:rsidRPr="00AF6E83">
        <w:rPr>
          <w:lang w:val="en-US"/>
        </w:rPr>
        <w:t>entelektüel</w:t>
      </w:r>
      <w:proofErr w:type="spellEnd"/>
      <w:r w:rsidRPr="00AF6E83">
        <w:rPr>
          <w:lang w:val="en-US"/>
        </w:rPr>
        <w:t xml:space="preserve"> </w:t>
      </w:r>
      <w:proofErr w:type="spellStart"/>
      <w:r w:rsidRPr="00AF6E83">
        <w:rPr>
          <w:lang w:val="en-US"/>
        </w:rPr>
        <w:t>tarih</w:t>
      </w:r>
      <w:proofErr w:type="spellEnd"/>
      <w:r w:rsidRPr="00AF6E83">
        <w:rPr>
          <w:lang w:val="en-US"/>
        </w:rPr>
        <w:t xml:space="preserve"> </w:t>
      </w:r>
      <w:proofErr w:type="spellStart"/>
      <w:r w:rsidRPr="00AF6E83">
        <w:rPr>
          <w:lang w:val="en-US"/>
        </w:rPr>
        <w:t>ile</w:t>
      </w:r>
      <w:proofErr w:type="spellEnd"/>
      <w:r w:rsidRPr="00AF6E83">
        <w:rPr>
          <w:lang w:val="en-US"/>
        </w:rPr>
        <w:t xml:space="preserve"> </w:t>
      </w:r>
      <w:proofErr w:type="spellStart"/>
      <w:r w:rsidRPr="00AF6E83">
        <w:rPr>
          <w:lang w:val="en-US"/>
        </w:rPr>
        <w:t>toplumsal</w:t>
      </w:r>
      <w:proofErr w:type="spellEnd"/>
      <w:r w:rsidRPr="00AF6E83">
        <w:rPr>
          <w:lang w:val="en-US"/>
        </w:rPr>
        <w:t xml:space="preserve"> </w:t>
      </w:r>
      <w:proofErr w:type="spellStart"/>
      <w:r w:rsidRPr="00AF6E83">
        <w:rPr>
          <w:lang w:val="en-US"/>
        </w:rPr>
        <w:t>tarih</w:t>
      </w:r>
      <w:proofErr w:type="spellEnd"/>
      <w:r w:rsidRPr="00AF6E83">
        <w:rPr>
          <w:lang w:val="en-US"/>
        </w:rPr>
        <w:t xml:space="preserve"> </w:t>
      </w:r>
      <w:proofErr w:type="spellStart"/>
      <w:r w:rsidRPr="00AF6E83">
        <w:rPr>
          <w:lang w:val="en-US"/>
        </w:rPr>
        <w:t>arasında</w:t>
      </w:r>
      <w:proofErr w:type="spellEnd"/>
      <w:r w:rsidRPr="00AF6E83">
        <w:rPr>
          <w:lang w:val="en-US"/>
        </w:rPr>
        <w:t xml:space="preserve"> </w:t>
      </w:r>
      <w:proofErr w:type="spellStart"/>
      <w:r w:rsidRPr="00AF6E83">
        <w:rPr>
          <w:lang w:val="en-US"/>
        </w:rPr>
        <w:t>nasıl</w:t>
      </w:r>
      <w:proofErr w:type="spellEnd"/>
      <w:r w:rsidRPr="00AF6E83">
        <w:rPr>
          <w:lang w:val="en-US"/>
        </w:rPr>
        <w:t xml:space="preserve"> </w:t>
      </w:r>
      <w:proofErr w:type="spellStart"/>
      <w:r w:rsidRPr="00AF6E83">
        <w:rPr>
          <w:lang w:val="en-US"/>
        </w:rPr>
        <w:t>bir</w:t>
      </w:r>
      <w:proofErr w:type="spellEnd"/>
      <w:r w:rsidRPr="00AF6E83">
        <w:rPr>
          <w:lang w:val="en-US"/>
        </w:rPr>
        <w:t xml:space="preserve"> </w:t>
      </w:r>
      <w:proofErr w:type="spellStart"/>
      <w:r w:rsidRPr="00AF6E83">
        <w:rPr>
          <w:lang w:val="en-US"/>
        </w:rPr>
        <w:t>köprü</w:t>
      </w:r>
      <w:proofErr w:type="spellEnd"/>
      <w:r w:rsidRPr="00AF6E83">
        <w:rPr>
          <w:lang w:val="en-US"/>
        </w:rPr>
        <w:t xml:space="preserve"> </w:t>
      </w:r>
      <w:proofErr w:type="spellStart"/>
      <w:r w:rsidRPr="00AF6E83">
        <w:rPr>
          <w:lang w:val="en-US"/>
        </w:rPr>
        <w:t>görevi</w:t>
      </w:r>
      <w:proofErr w:type="spellEnd"/>
      <w:r w:rsidRPr="00AF6E83">
        <w:rPr>
          <w:lang w:val="en-US"/>
        </w:rPr>
        <w:t xml:space="preserve"> görüyorsa,¹⁵⁴</w:t>
      </w:r>
      <w:r w:rsidRPr="00AF6E83">
        <w:rPr>
          <w:lang w:val="en-US"/>
        </w:rPr>
        <w:t xml:space="preserve"> </w:t>
      </w:r>
      <w:r w:rsidRPr="00AF6E83">
        <w:rPr>
          <w:rStyle w:val="FootnoteReference"/>
          <w:lang w:val="en-US"/>
        </w:rPr>
        <w:footnoteReference w:id="154"/>
      </w:r>
      <w:r w:rsidRPr="00AF6E83">
        <w:rPr>
          <w:lang w:val="en-US"/>
        </w:rPr>
        <w:t xml:space="preserve"> </w:t>
      </w:r>
      <w:proofErr w:type="spellStart"/>
      <w:r w:rsidRPr="00AF6E83">
        <w:rPr>
          <w:lang w:val="en-US"/>
        </w:rPr>
        <w:t>anayasal</w:t>
      </w:r>
      <w:proofErr w:type="spellEnd"/>
      <w:r w:rsidRPr="00AF6E83">
        <w:rPr>
          <w:lang w:val="en-US"/>
        </w:rPr>
        <w:t xml:space="preserve"> </w:t>
      </w:r>
      <w:proofErr w:type="spellStart"/>
      <w:r w:rsidRPr="00AF6E83">
        <w:rPr>
          <w:lang w:val="en-US"/>
        </w:rPr>
        <w:t>kültürün</w:t>
      </w:r>
      <w:proofErr w:type="spellEnd"/>
      <w:r w:rsidRPr="00AF6E83">
        <w:rPr>
          <w:lang w:val="en-US"/>
        </w:rPr>
        <w:t xml:space="preserve"> </w:t>
      </w:r>
      <w:proofErr w:type="spellStart"/>
      <w:r w:rsidRPr="00AF6E83">
        <w:rPr>
          <w:lang w:val="en-US"/>
        </w:rPr>
        <w:t>analizi</w:t>
      </w:r>
      <w:proofErr w:type="spellEnd"/>
      <w:r w:rsidRPr="00AF6E83">
        <w:rPr>
          <w:lang w:val="en-US"/>
        </w:rPr>
        <w:t xml:space="preserve"> de </w:t>
      </w:r>
      <w:proofErr w:type="spellStart"/>
      <w:r w:rsidRPr="00AF6E83">
        <w:rPr>
          <w:lang w:val="en-US"/>
        </w:rPr>
        <w:t>doktrinsel</w:t>
      </w:r>
      <w:proofErr w:type="spellEnd"/>
      <w:r w:rsidRPr="00AF6E83">
        <w:rPr>
          <w:lang w:val="en-US"/>
        </w:rPr>
        <w:t xml:space="preserve"> </w:t>
      </w:r>
      <w:proofErr w:type="spellStart"/>
      <w:r w:rsidRPr="00AF6E83">
        <w:rPr>
          <w:lang w:val="en-US"/>
        </w:rPr>
        <w:lastRenderedPageBreak/>
        <w:t>yaklaşımlar</w:t>
      </w:r>
      <w:proofErr w:type="spellEnd"/>
      <w:r w:rsidRPr="00AF6E83">
        <w:rPr>
          <w:lang w:val="en-US"/>
        </w:rPr>
        <w:t xml:space="preserve"> </w:t>
      </w:r>
      <w:proofErr w:type="spellStart"/>
      <w:r w:rsidRPr="00AF6E83">
        <w:rPr>
          <w:lang w:val="en-US"/>
        </w:rPr>
        <w:t>ile</w:t>
      </w:r>
      <w:proofErr w:type="spellEnd"/>
      <w:r w:rsidRPr="00AF6E83">
        <w:rPr>
          <w:lang w:val="en-US"/>
        </w:rPr>
        <w:t xml:space="preserve"> </w:t>
      </w:r>
      <w:proofErr w:type="spellStart"/>
      <w:r w:rsidRPr="00AF6E83">
        <w:rPr>
          <w:lang w:val="en-US"/>
        </w:rPr>
        <w:t>kurumsal</w:t>
      </w:r>
      <w:proofErr w:type="spellEnd"/>
      <w:r w:rsidRPr="00AF6E83">
        <w:rPr>
          <w:lang w:val="en-US"/>
        </w:rPr>
        <w:t xml:space="preserve"> </w:t>
      </w:r>
      <w:proofErr w:type="spellStart"/>
      <w:r w:rsidRPr="00AF6E83">
        <w:rPr>
          <w:lang w:val="en-US"/>
        </w:rPr>
        <w:t>yaklaşımlar</w:t>
      </w:r>
      <w:proofErr w:type="spellEnd"/>
      <w:r w:rsidRPr="00AF6E83">
        <w:rPr>
          <w:lang w:val="en-US"/>
        </w:rPr>
        <w:t xml:space="preserve"> </w:t>
      </w:r>
      <w:proofErr w:type="spellStart"/>
      <w:r w:rsidRPr="00AF6E83">
        <w:rPr>
          <w:lang w:val="en-US"/>
        </w:rPr>
        <w:t>arasında</w:t>
      </w:r>
      <w:proofErr w:type="spellEnd"/>
      <w:r w:rsidRPr="00AF6E83">
        <w:rPr>
          <w:lang w:val="en-US"/>
        </w:rPr>
        <w:t xml:space="preserve"> </w:t>
      </w:r>
      <w:proofErr w:type="spellStart"/>
      <w:r w:rsidRPr="00AF6E83">
        <w:rPr>
          <w:lang w:val="en-US"/>
        </w:rPr>
        <w:t>bir</w:t>
      </w:r>
      <w:proofErr w:type="spellEnd"/>
      <w:r w:rsidRPr="00AF6E83">
        <w:rPr>
          <w:lang w:val="en-US"/>
        </w:rPr>
        <w:t xml:space="preserve"> </w:t>
      </w:r>
      <w:proofErr w:type="spellStart"/>
      <w:r w:rsidRPr="00AF6E83">
        <w:rPr>
          <w:lang w:val="en-US"/>
        </w:rPr>
        <w:t>köprü</w:t>
      </w:r>
      <w:proofErr w:type="spellEnd"/>
      <w:r w:rsidRPr="00AF6E83">
        <w:rPr>
          <w:lang w:val="en-US"/>
        </w:rPr>
        <w:t xml:space="preserve"> </w:t>
      </w:r>
      <w:proofErr w:type="spellStart"/>
      <w:r w:rsidRPr="00AF6E83">
        <w:rPr>
          <w:lang w:val="en-US"/>
        </w:rPr>
        <w:t>işlevi</w:t>
      </w:r>
      <w:proofErr w:type="spellEnd"/>
      <w:r w:rsidRPr="00AF6E83">
        <w:rPr>
          <w:lang w:val="en-US"/>
        </w:rPr>
        <w:t xml:space="preserve"> </w:t>
      </w:r>
      <w:proofErr w:type="spellStart"/>
      <w:r w:rsidRPr="00AF6E83">
        <w:rPr>
          <w:lang w:val="en-US"/>
        </w:rPr>
        <w:t>görebilir</w:t>
      </w:r>
      <w:proofErr w:type="spellEnd"/>
      <w:r w:rsidRPr="00AF6E83">
        <w:rPr>
          <w:lang w:val="en-US"/>
        </w:rPr>
        <w:t>.</w:t>
      </w:r>
      <w:r w:rsidRPr="00AF6E83">
        <w:rPr>
          <w:lang w:val="en-US"/>
        </w:rPr>
        <w:t xml:space="preserve"> </w:t>
      </w:r>
      <w:proofErr w:type="spellStart"/>
      <w:r w:rsidRPr="00AF6E83">
        <w:rPr>
          <w:lang w:val="en-US"/>
        </w:rPr>
        <w:t>Anayasal</w:t>
      </w:r>
      <w:proofErr w:type="spellEnd"/>
      <w:r w:rsidRPr="00AF6E83">
        <w:rPr>
          <w:lang w:val="en-US"/>
        </w:rPr>
        <w:t xml:space="preserve"> </w:t>
      </w:r>
      <w:proofErr w:type="spellStart"/>
      <w:r w:rsidRPr="00AF6E83">
        <w:rPr>
          <w:lang w:val="en-US"/>
        </w:rPr>
        <w:t>kültür</w:t>
      </w:r>
      <w:proofErr w:type="spellEnd"/>
      <w:r w:rsidRPr="00AF6E83">
        <w:rPr>
          <w:lang w:val="en-US"/>
        </w:rPr>
        <w:t xml:space="preserve"> </w:t>
      </w:r>
      <w:proofErr w:type="spellStart"/>
      <w:r w:rsidRPr="00AF6E83">
        <w:rPr>
          <w:lang w:val="en-US"/>
        </w:rPr>
        <w:t>kavramı</w:t>
      </w:r>
      <w:proofErr w:type="spellEnd"/>
      <w:r w:rsidRPr="00AF6E83">
        <w:rPr>
          <w:lang w:val="en-US"/>
        </w:rPr>
        <w:t xml:space="preserve">, </w:t>
      </w:r>
      <w:proofErr w:type="spellStart"/>
      <w:r w:rsidRPr="00AF6E83">
        <w:rPr>
          <w:lang w:val="en-US"/>
        </w:rPr>
        <w:t>bu</w:t>
      </w:r>
      <w:proofErr w:type="spellEnd"/>
      <w:r w:rsidRPr="00AF6E83">
        <w:rPr>
          <w:lang w:val="en-US"/>
        </w:rPr>
        <w:t xml:space="preserve"> </w:t>
      </w:r>
      <w:proofErr w:type="spellStart"/>
      <w:r w:rsidRPr="00AF6E83">
        <w:rPr>
          <w:lang w:val="en-US"/>
        </w:rPr>
        <w:t>hedefi</w:t>
      </w:r>
      <w:proofErr w:type="spellEnd"/>
      <w:r w:rsidRPr="00AF6E83">
        <w:rPr>
          <w:lang w:val="en-US"/>
        </w:rPr>
        <w:t xml:space="preserve"> </w:t>
      </w:r>
      <w:proofErr w:type="spellStart"/>
      <w:r w:rsidRPr="00AF6E83">
        <w:rPr>
          <w:lang w:val="en-US"/>
        </w:rPr>
        <w:t>kısmen</w:t>
      </w:r>
      <w:proofErr w:type="spellEnd"/>
      <w:r w:rsidRPr="00AF6E83">
        <w:rPr>
          <w:lang w:val="en-US"/>
        </w:rPr>
        <w:t xml:space="preserve">, hem </w:t>
      </w:r>
      <w:proofErr w:type="spellStart"/>
      <w:r w:rsidRPr="00AF6E83">
        <w:rPr>
          <w:lang w:val="en-US"/>
        </w:rPr>
        <w:t>doktrinel</w:t>
      </w:r>
      <w:proofErr w:type="spellEnd"/>
      <w:r w:rsidRPr="00AF6E83">
        <w:rPr>
          <w:lang w:val="en-US"/>
        </w:rPr>
        <w:t xml:space="preserve"> </w:t>
      </w:r>
      <w:proofErr w:type="spellStart"/>
      <w:r w:rsidRPr="00AF6E83">
        <w:rPr>
          <w:lang w:val="en-US"/>
        </w:rPr>
        <w:t>testleri</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yorumlama</w:t>
      </w:r>
      <w:proofErr w:type="spellEnd"/>
      <w:r w:rsidRPr="00AF6E83">
        <w:rPr>
          <w:lang w:val="en-US"/>
        </w:rPr>
        <w:t xml:space="preserve"> </w:t>
      </w:r>
      <w:proofErr w:type="spellStart"/>
      <w:r w:rsidRPr="00AF6E83">
        <w:rPr>
          <w:lang w:val="en-US"/>
        </w:rPr>
        <w:t>stratejilerini</w:t>
      </w:r>
      <w:proofErr w:type="spellEnd"/>
      <w:r w:rsidRPr="00AF6E83">
        <w:rPr>
          <w:lang w:val="en-US"/>
        </w:rPr>
        <w:t xml:space="preserve"> (</w:t>
      </w:r>
      <w:proofErr w:type="spellStart"/>
      <w:r w:rsidRPr="00AF6E83">
        <w:rPr>
          <w:lang w:val="en-US"/>
        </w:rPr>
        <w:t>bir</w:t>
      </w:r>
      <w:proofErr w:type="spellEnd"/>
      <w:r w:rsidRPr="00AF6E83">
        <w:rPr>
          <w:lang w:val="en-US"/>
        </w:rPr>
        <w:t xml:space="preserve"> </w:t>
      </w:r>
      <w:proofErr w:type="spellStart"/>
      <w:r w:rsidRPr="00AF6E83">
        <w:rPr>
          <w:lang w:val="en-US"/>
        </w:rPr>
        <w:t>yandan</w:t>
      </w:r>
      <w:proofErr w:type="spellEnd"/>
      <w:r w:rsidRPr="00AF6E83">
        <w:rPr>
          <w:lang w:val="en-US"/>
        </w:rPr>
        <w:t xml:space="preserve">) hem de </w:t>
      </w:r>
      <w:proofErr w:type="spellStart"/>
      <w:r w:rsidRPr="00AF6E83">
        <w:rPr>
          <w:lang w:val="en-US"/>
        </w:rPr>
        <w:t>mahkeme</w:t>
      </w:r>
      <w:proofErr w:type="spellEnd"/>
      <w:r w:rsidRPr="00AF6E83">
        <w:rPr>
          <w:lang w:val="en-US"/>
        </w:rPr>
        <w:t xml:space="preserve"> </w:t>
      </w:r>
      <w:proofErr w:type="spellStart"/>
      <w:r w:rsidRPr="00AF6E83">
        <w:rPr>
          <w:lang w:val="en-US"/>
        </w:rPr>
        <w:t>takvimlerini</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hukuk</w:t>
      </w:r>
      <w:proofErr w:type="spellEnd"/>
      <w:r w:rsidRPr="00AF6E83">
        <w:rPr>
          <w:lang w:val="en-US"/>
        </w:rPr>
        <w:t xml:space="preserve"> </w:t>
      </w:r>
      <w:proofErr w:type="spellStart"/>
      <w:r w:rsidRPr="00AF6E83">
        <w:rPr>
          <w:lang w:val="en-US"/>
        </w:rPr>
        <w:t>katibi</w:t>
      </w:r>
      <w:proofErr w:type="spellEnd"/>
      <w:r w:rsidRPr="00AF6E83">
        <w:rPr>
          <w:lang w:val="en-US"/>
        </w:rPr>
        <w:t xml:space="preserve"> </w:t>
      </w:r>
      <w:proofErr w:type="spellStart"/>
      <w:r w:rsidRPr="00AF6E83">
        <w:rPr>
          <w:lang w:val="en-US"/>
        </w:rPr>
        <w:t>istihdam</w:t>
      </w:r>
      <w:proofErr w:type="spellEnd"/>
      <w:r w:rsidRPr="00AF6E83">
        <w:rPr>
          <w:lang w:val="en-US"/>
        </w:rPr>
        <w:t xml:space="preserve"> </w:t>
      </w:r>
      <w:proofErr w:type="spellStart"/>
      <w:r w:rsidRPr="00AF6E83">
        <w:rPr>
          <w:lang w:val="en-US"/>
        </w:rPr>
        <w:t>uygulamalarını</w:t>
      </w:r>
      <w:proofErr w:type="spellEnd"/>
      <w:r w:rsidRPr="00AF6E83">
        <w:rPr>
          <w:lang w:val="en-US"/>
        </w:rPr>
        <w:t xml:space="preserve"> (</w:t>
      </w:r>
      <w:proofErr w:type="spellStart"/>
      <w:r w:rsidRPr="00AF6E83">
        <w:rPr>
          <w:lang w:val="en-US"/>
        </w:rPr>
        <w:t>diğer</w:t>
      </w:r>
      <w:proofErr w:type="spellEnd"/>
      <w:r w:rsidRPr="00AF6E83">
        <w:rPr>
          <w:lang w:val="en-US"/>
        </w:rPr>
        <w:t xml:space="preserve"> </w:t>
      </w:r>
      <w:proofErr w:type="spellStart"/>
      <w:r w:rsidRPr="00AF6E83">
        <w:rPr>
          <w:lang w:val="en-US"/>
        </w:rPr>
        <w:t>yandan</w:t>
      </w:r>
      <w:proofErr w:type="spellEnd"/>
      <w:r w:rsidRPr="00AF6E83">
        <w:rPr>
          <w:lang w:val="en-US"/>
        </w:rPr>
        <w:t xml:space="preserve">) </w:t>
      </w:r>
      <w:proofErr w:type="spellStart"/>
      <w:r w:rsidRPr="00AF6E83">
        <w:rPr>
          <w:lang w:val="en-US"/>
        </w:rPr>
        <w:t>kültürel</w:t>
      </w:r>
      <w:proofErr w:type="spellEnd"/>
      <w:r w:rsidRPr="00AF6E83">
        <w:rPr>
          <w:lang w:val="en-US"/>
        </w:rPr>
        <w:t xml:space="preserve"> </w:t>
      </w:r>
      <w:proofErr w:type="spellStart"/>
      <w:r w:rsidRPr="00AF6E83">
        <w:rPr>
          <w:lang w:val="en-US"/>
        </w:rPr>
        <w:t>ürünler</w:t>
      </w:r>
      <w:proofErr w:type="spellEnd"/>
      <w:r w:rsidRPr="00AF6E83">
        <w:rPr>
          <w:lang w:val="en-US"/>
        </w:rPr>
        <w:t xml:space="preserve"> </w:t>
      </w:r>
      <w:proofErr w:type="spellStart"/>
      <w:r w:rsidRPr="00AF6E83">
        <w:rPr>
          <w:lang w:val="en-US"/>
        </w:rPr>
        <w:t>olarak</w:t>
      </w:r>
      <w:proofErr w:type="spellEnd"/>
      <w:r w:rsidRPr="00AF6E83">
        <w:rPr>
          <w:lang w:val="en-US"/>
        </w:rPr>
        <w:t xml:space="preserve"> </w:t>
      </w:r>
      <w:proofErr w:type="spellStart"/>
      <w:r w:rsidRPr="00AF6E83">
        <w:rPr>
          <w:lang w:val="en-US"/>
        </w:rPr>
        <w:t>tanımlayarak</w:t>
      </w:r>
      <w:proofErr w:type="spellEnd"/>
      <w:r w:rsidRPr="00AF6E83">
        <w:rPr>
          <w:lang w:val="en-US"/>
        </w:rPr>
        <w:t xml:space="preserve"> </w:t>
      </w:r>
      <w:proofErr w:type="spellStart"/>
      <w:r w:rsidRPr="00AF6E83">
        <w:rPr>
          <w:lang w:val="en-US"/>
        </w:rPr>
        <w:t>gerçekleştirmektedir</w:t>
      </w:r>
      <w:proofErr w:type="spellEnd"/>
      <w:r w:rsidRPr="00AF6E83">
        <w:rPr>
          <w:lang w:val="en-US"/>
        </w:rPr>
        <w:t>.</w:t>
      </w:r>
      <w:r w:rsidRPr="00AF6E83">
        <w:rPr>
          <w:lang w:val="en-US"/>
        </w:rPr>
        <w:t xml:space="preserve"> </w:t>
      </w:r>
      <w:r w:rsidRPr="00AF6E83">
        <w:rPr>
          <w:lang w:val="en-US"/>
        </w:rPr>
        <w:t xml:space="preserve">Bunun </w:t>
      </w:r>
      <w:proofErr w:type="spellStart"/>
      <w:r w:rsidRPr="00AF6E83">
        <w:rPr>
          <w:lang w:val="en-US"/>
        </w:rPr>
        <w:t>yanı</w:t>
      </w:r>
      <w:proofErr w:type="spellEnd"/>
      <w:r w:rsidRPr="00AF6E83">
        <w:rPr>
          <w:lang w:val="en-US"/>
        </w:rPr>
        <w:t xml:space="preserve"> </w:t>
      </w:r>
      <w:proofErr w:type="spellStart"/>
      <w:r w:rsidRPr="00AF6E83">
        <w:rPr>
          <w:lang w:val="en-US"/>
        </w:rPr>
        <w:t>sıra</w:t>
      </w:r>
      <w:proofErr w:type="spellEnd"/>
      <w:r w:rsidRPr="00AF6E83">
        <w:rPr>
          <w:lang w:val="en-US"/>
        </w:rPr>
        <w:t xml:space="preserve">, </w:t>
      </w:r>
      <w:proofErr w:type="spellStart"/>
      <w:r w:rsidRPr="00AF6E83">
        <w:rPr>
          <w:lang w:val="en-US"/>
        </w:rPr>
        <w:t>bu</w:t>
      </w:r>
      <w:proofErr w:type="spellEnd"/>
      <w:r w:rsidRPr="00AF6E83">
        <w:rPr>
          <w:lang w:val="en-US"/>
        </w:rPr>
        <w:t xml:space="preserve"> </w:t>
      </w:r>
      <w:proofErr w:type="spellStart"/>
      <w:r w:rsidRPr="00AF6E83">
        <w:rPr>
          <w:lang w:val="en-US"/>
        </w:rPr>
        <w:t>kavram</w:t>
      </w:r>
      <w:proofErr w:type="spellEnd"/>
      <w:r w:rsidRPr="00AF6E83">
        <w:rPr>
          <w:lang w:val="en-US"/>
        </w:rPr>
        <w:t xml:space="preserve">, belli </w:t>
      </w:r>
      <w:proofErr w:type="spellStart"/>
      <w:r w:rsidRPr="00AF6E83">
        <w:rPr>
          <w:lang w:val="en-US"/>
        </w:rPr>
        <w:t>başlı</w:t>
      </w:r>
      <w:proofErr w:type="spellEnd"/>
      <w:r w:rsidRPr="00AF6E83">
        <w:rPr>
          <w:lang w:val="en-US"/>
        </w:rPr>
        <w:t xml:space="preserve"> </w:t>
      </w:r>
      <w:proofErr w:type="spellStart"/>
      <w:r w:rsidRPr="00AF6E83">
        <w:rPr>
          <w:lang w:val="en-US"/>
        </w:rPr>
        <w:t>doktrinel</w:t>
      </w:r>
      <w:proofErr w:type="spellEnd"/>
      <w:r w:rsidRPr="00AF6E83">
        <w:rPr>
          <w:lang w:val="en-US"/>
        </w:rPr>
        <w:t xml:space="preserve"> </w:t>
      </w:r>
      <w:proofErr w:type="spellStart"/>
      <w:r w:rsidRPr="00AF6E83">
        <w:rPr>
          <w:lang w:val="en-US"/>
        </w:rPr>
        <w:t>formülasyonlara</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belirli</w:t>
      </w:r>
      <w:proofErr w:type="spellEnd"/>
      <w:r w:rsidRPr="00AF6E83">
        <w:rPr>
          <w:lang w:val="en-US"/>
        </w:rPr>
        <w:t xml:space="preserve"> </w:t>
      </w:r>
      <w:proofErr w:type="spellStart"/>
      <w:r w:rsidRPr="00AF6E83">
        <w:rPr>
          <w:lang w:val="en-US"/>
        </w:rPr>
        <w:t>kurumsal</w:t>
      </w:r>
      <w:proofErr w:type="spellEnd"/>
      <w:r w:rsidRPr="00AF6E83">
        <w:rPr>
          <w:lang w:val="en-US"/>
        </w:rPr>
        <w:t xml:space="preserve"> </w:t>
      </w:r>
      <w:proofErr w:type="spellStart"/>
      <w:r w:rsidRPr="00AF6E83">
        <w:rPr>
          <w:lang w:val="en-US"/>
        </w:rPr>
        <w:t>düzenlemelere</w:t>
      </w:r>
      <w:proofErr w:type="spellEnd"/>
      <w:r w:rsidRPr="00AF6E83">
        <w:rPr>
          <w:lang w:val="en-US"/>
        </w:rPr>
        <w:t xml:space="preserve"> </w:t>
      </w:r>
      <w:proofErr w:type="spellStart"/>
      <w:r w:rsidRPr="00AF6E83">
        <w:rPr>
          <w:lang w:val="en-US"/>
        </w:rPr>
        <w:t>karşı</w:t>
      </w:r>
      <w:proofErr w:type="spellEnd"/>
      <w:r w:rsidRPr="00AF6E83">
        <w:rPr>
          <w:lang w:val="en-US"/>
        </w:rPr>
        <w:t xml:space="preserve"> </w:t>
      </w:r>
      <w:proofErr w:type="spellStart"/>
      <w:r w:rsidRPr="00AF6E83">
        <w:rPr>
          <w:lang w:val="en-US"/>
        </w:rPr>
        <w:t>gösterdiğimiz</w:t>
      </w:r>
      <w:proofErr w:type="spellEnd"/>
      <w:r w:rsidRPr="00AF6E83">
        <w:rPr>
          <w:lang w:val="en-US"/>
        </w:rPr>
        <w:t xml:space="preserve"> </w:t>
      </w:r>
      <w:proofErr w:type="spellStart"/>
      <w:r w:rsidRPr="00AF6E83">
        <w:rPr>
          <w:lang w:val="en-US"/>
        </w:rPr>
        <w:t>kabul</w:t>
      </w:r>
      <w:proofErr w:type="spellEnd"/>
      <w:r w:rsidRPr="00AF6E83">
        <w:rPr>
          <w:lang w:val="en-US"/>
        </w:rPr>
        <w:t xml:space="preserve"> </w:t>
      </w:r>
      <w:proofErr w:type="spellStart"/>
      <w:r w:rsidRPr="00AF6E83">
        <w:rPr>
          <w:lang w:val="en-US"/>
        </w:rPr>
        <w:t>edilebilirliği</w:t>
      </w:r>
      <w:proofErr w:type="spellEnd"/>
      <w:r w:rsidRPr="00AF6E83">
        <w:rPr>
          <w:lang w:val="en-US"/>
        </w:rPr>
        <w:t xml:space="preserve"> </w:t>
      </w:r>
      <w:proofErr w:type="spellStart"/>
      <w:r w:rsidRPr="00AF6E83">
        <w:rPr>
          <w:lang w:val="en-US"/>
        </w:rPr>
        <w:t>etkileyen</w:t>
      </w:r>
      <w:proofErr w:type="spellEnd"/>
      <w:r w:rsidRPr="00AF6E83">
        <w:rPr>
          <w:lang w:val="en-US"/>
        </w:rPr>
        <w:t xml:space="preserve"> </w:t>
      </w:r>
      <w:proofErr w:type="spellStart"/>
      <w:r w:rsidRPr="00AF6E83">
        <w:rPr>
          <w:lang w:val="en-US"/>
        </w:rPr>
        <w:t>şekillenmemiş</w:t>
      </w:r>
      <w:proofErr w:type="spellEnd"/>
      <w:r w:rsidRPr="00AF6E83">
        <w:rPr>
          <w:lang w:val="en-US"/>
        </w:rPr>
        <w:t xml:space="preserve"> </w:t>
      </w:r>
      <w:proofErr w:type="spellStart"/>
      <w:r w:rsidRPr="00AF6E83">
        <w:rPr>
          <w:lang w:val="en-US"/>
        </w:rPr>
        <w:t>varsayımlar</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yeterince</w:t>
      </w:r>
      <w:proofErr w:type="spellEnd"/>
      <w:r w:rsidRPr="00AF6E83">
        <w:rPr>
          <w:lang w:val="en-US"/>
        </w:rPr>
        <w:t xml:space="preserve"> </w:t>
      </w:r>
      <w:proofErr w:type="spellStart"/>
      <w:r w:rsidRPr="00AF6E83">
        <w:rPr>
          <w:lang w:val="en-US"/>
        </w:rPr>
        <w:t>teorize</w:t>
      </w:r>
      <w:proofErr w:type="spellEnd"/>
      <w:r w:rsidRPr="00AF6E83">
        <w:rPr>
          <w:lang w:val="en-US"/>
        </w:rPr>
        <w:t xml:space="preserve"> </w:t>
      </w:r>
      <w:proofErr w:type="spellStart"/>
      <w:r w:rsidRPr="00AF6E83">
        <w:rPr>
          <w:lang w:val="en-US"/>
        </w:rPr>
        <w:t>edilmemiş</w:t>
      </w:r>
      <w:proofErr w:type="spellEnd"/>
      <w:r w:rsidRPr="00AF6E83">
        <w:rPr>
          <w:lang w:val="en-US"/>
        </w:rPr>
        <w:t xml:space="preserve"> </w:t>
      </w:r>
      <w:proofErr w:type="spellStart"/>
      <w:r w:rsidRPr="00AF6E83">
        <w:rPr>
          <w:lang w:val="en-US"/>
        </w:rPr>
        <w:t>tutumlar</w:t>
      </w:r>
      <w:proofErr w:type="spellEnd"/>
      <w:r w:rsidRPr="00AF6E83">
        <w:rPr>
          <w:lang w:val="en-US"/>
        </w:rPr>
        <w:t xml:space="preserve"> </w:t>
      </w:r>
      <w:proofErr w:type="spellStart"/>
      <w:r w:rsidRPr="00AF6E83">
        <w:rPr>
          <w:lang w:val="en-US"/>
        </w:rPr>
        <w:t>üzerine</w:t>
      </w:r>
      <w:proofErr w:type="spellEnd"/>
      <w:r w:rsidRPr="00AF6E83">
        <w:rPr>
          <w:lang w:val="en-US"/>
        </w:rPr>
        <w:t xml:space="preserve"> </w:t>
      </w:r>
      <w:proofErr w:type="spellStart"/>
      <w:r w:rsidRPr="00AF6E83">
        <w:rPr>
          <w:lang w:val="en-US"/>
        </w:rPr>
        <w:t>odaklanarak</w:t>
      </w:r>
      <w:proofErr w:type="spellEnd"/>
      <w:r w:rsidRPr="00AF6E83">
        <w:rPr>
          <w:lang w:val="en-US"/>
        </w:rPr>
        <w:t xml:space="preserve"> </w:t>
      </w:r>
      <w:proofErr w:type="spellStart"/>
      <w:r w:rsidRPr="00AF6E83">
        <w:rPr>
          <w:lang w:val="en-US"/>
        </w:rPr>
        <w:t>doktriner</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kurumsal</w:t>
      </w:r>
      <w:proofErr w:type="spellEnd"/>
      <w:r w:rsidRPr="00AF6E83">
        <w:rPr>
          <w:lang w:val="en-US"/>
        </w:rPr>
        <w:t xml:space="preserve"> </w:t>
      </w:r>
      <w:proofErr w:type="spellStart"/>
      <w:r w:rsidRPr="00AF6E83">
        <w:rPr>
          <w:lang w:val="en-US"/>
        </w:rPr>
        <w:t>analizler</w:t>
      </w:r>
      <w:proofErr w:type="spellEnd"/>
      <w:r w:rsidRPr="00AF6E83">
        <w:rPr>
          <w:lang w:val="en-US"/>
        </w:rPr>
        <w:t xml:space="preserve"> </w:t>
      </w:r>
      <w:proofErr w:type="spellStart"/>
      <w:r w:rsidRPr="00AF6E83">
        <w:rPr>
          <w:lang w:val="en-US"/>
        </w:rPr>
        <w:t>arasındaki</w:t>
      </w:r>
      <w:proofErr w:type="spellEnd"/>
      <w:r w:rsidRPr="00AF6E83">
        <w:rPr>
          <w:lang w:val="en-US"/>
        </w:rPr>
        <w:t xml:space="preserve"> </w:t>
      </w:r>
      <w:proofErr w:type="spellStart"/>
      <w:r w:rsidRPr="00AF6E83">
        <w:rPr>
          <w:lang w:val="en-US"/>
        </w:rPr>
        <w:t>ayrımı</w:t>
      </w:r>
      <w:proofErr w:type="spellEnd"/>
      <w:r w:rsidRPr="00AF6E83">
        <w:rPr>
          <w:lang w:val="en-US"/>
        </w:rPr>
        <w:t xml:space="preserve"> </w:t>
      </w:r>
      <w:proofErr w:type="spellStart"/>
      <w:r w:rsidRPr="00AF6E83">
        <w:rPr>
          <w:lang w:val="en-US"/>
        </w:rPr>
        <w:t>daha</w:t>
      </w:r>
      <w:proofErr w:type="spellEnd"/>
      <w:r w:rsidRPr="00AF6E83">
        <w:rPr>
          <w:lang w:val="en-US"/>
        </w:rPr>
        <w:t xml:space="preserve"> da </w:t>
      </w:r>
      <w:proofErr w:type="spellStart"/>
      <w:r w:rsidRPr="00AF6E83">
        <w:rPr>
          <w:lang w:val="en-US"/>
        </w:rPr>
        <w:t>zayıflatmaktadır</w:t>
      </w:r>
      <w:proofErr w:type="spellEnd"/>
      <w:r w:rsidRPr="00AF6E83">
        <w:rPr>
          <w:lang w:val="en-US"/>
        </w:rPr>
        <w:t>.</w:t>
      </w:r>
    </w:p>
    <w:p w14:paraId="335F2F46" w14:textId="0FBA2B7F" w:rsidR="00AF6E83" w:rsidRDefault="00AF6E83" w:rsidP="00AF6E83">
      <w:pPr>
        <w:rPr>
          <w:lang w:val="en-US"/>
        </w:rPr>
      </w:pPr>
      <w:r w:rsidRPr="00AF6E83">
        <w:rPr>
          <w:lang w:val="en-US"/>
        </w:rPr>
        <w:t xml:space="preserve">Son </w:t>
      </w:r>
      <w:proofErr w:type="spellStart"/>
      <w:r w:rsidRPr="00AF6E83">
        <w:rPr>
          <w:lang w:val="en-US"/>
        </w:rPr>
        <w:t>olarak</w:t>
      </w:r>
      <w:proofErr w:type="spellEnd"/>
      <w:r w:rsidRPr="00AF6E83">
        <w:rPr>
          <w:lang w:val="en-US"/>
        </w:rPr>
        <w:t xml:space="preserve">, </w:t>
      </w:r>
      <w:proofErr w:type="spellStart"/>
      <w:r w:rsidRPr="00AF6E83">
        <w:rPr>
          <w:lang w:val="en-US"/>
        </w:rPr>
        <w:t>anayasal</w:t>
      </w:r>
      <w:proofErr w:type="spellEnd"/>
      <w:r w:rsidRPr="00AF6E83">
        <w:rPr>
          <w:lang w:val="en-US"/>
        </w:rPr>
        <w:t xml:space="preserve"> </w:t>
      </w:r>
      <w:proofErr w:type="spellStart"/>
      <w:r w:rsidRPr="00AF6E83">
        <w:rPr>
          <w:lang w:val="en-US"/>
        </w:rPr>
        <w:t>karar</w:t>
      </w:r>
      <w:proofErr w:type="spellEnd"/>
      <w:r w:rsidRPr="00AF6E83">
        <w:rPr>
          <w:lang w:val="en-US"/>
        </w:rPr>
        <w:t xml:space="preserve"> alma </w:t>
      </w:r>
      <w:proofErr w:type="spellStart"/>
      <w:r w:rsidRPr="00AF6E83">
        <w:rPr>
          <w:lang w:val="en-US"/>
        </w:rPr>
        <w:t>sürecimizi</w:t>
      </w:r>
      <w:proofErr w:type="spellEnd"/>
      <w:r w:rsidRPr="00AF6E83">
        <w:rPr>
          <w:lang w:val="en-US"/>
        </w:rPr>
        <w:t xml:space="preserve"> </w:t>
      </w:r>
      <w:proofErr w:type="spellStart"/>
      <w:r w:rsidRPr="00AF6E83">
        <w:rPr>
          <w:lang w:val="en-US"/>
        </w:rPr>
        <w:t>bir</w:t>
      </w:r>
      <w:proofErr w:type="spellEnd"/>
      <w:r w:rsidRPr="00AF6E83">
        <w:rPr>
          <w:lang w:val="en-US"/>
        </w:rPr>
        <w:t xml:space="preserve"> </w:t>
      </w:r>
      <w:proofErr w:type="spellStart"/>
      <w:r w:rsidRPr="00AF6E83">
        <w:rPr>
          <w:lang w:val="en-US"/>
        </w:rPr>
        <w:t>kültür</w:t>
      </w:r>
      <w:proofErr w:type="spellEnd"/>
      <w:r w:rsidRPr="00AF6E83">
        <w:rPr>
          <w:lang w:val="en-US"/>
        </w:rPr>
        <w:t xml:space="preserve"> </w:t>
      </w:r>
      <w:proofErr w:type="spellStart"/>
      <w:r w:rsidRPr="00AF6E83">
        <w:rPr>
          <w:lang w:val="en-US"/>
        </w:rPr>
        <w:t>sistemi</w:t>
      </w:r>
      <w:proofErr w:type="spellEnd"/>
      <w:r w:rsidRPr="00AF6E83">
        <w:rPr>
          <w:lang w:val="en-US"/>
        </w:rPr>
        <w:t xml:space="preserve"> </w:t>
      </w:r>
      <w:proofErr w:type="spellStart"/>
      <w:r w:rsidRPr="00AF6E83">
        <w:rPr>
          <w:lang w:val="en-US"/>
        </w:rPr>
        <w:t>olarak</w:t>
      </w:r>
      <w:proofErr w:type="spellEnd"/>
      <w:r w:rsidRPr="00AF6E83">
        <w:rPr>
          <w:lang w:val="en-US"/>
        </w:rPr>
        <w:t xml:space="preserve"> </w:t>
      </w:r>
      <w:proofErr w:type="spellStart"/>
      <w:r w:rsidRPr="00AF6E83">
        <w:rPr>
          <w:lang w:val="en-US"/>
        </w:rPr>
        <w:t>ele</w:t>
      </w:r>
      <w:proofErr w:type="spellEnd"/>
      <w:r w:rsidRPr="00AF6E83">
        <w:rPr>
          <w:lang w:val="en-US"/>
        </w:rPr>
        <w:t xml:space="preserve"> </w:t>
      </w:r>
      <w:proofErr w:type="spellStart"/>
      <w:r w:rsidRPr="00AF6E83">
        <w:rPr>
          <w:lang w:val="en-US"/>
        </w:rPr>
        <w:t>almak</w:t>
      </w:r>
      <w:proofErr w:type="spellEnd"/>
      <w:r w:rsidRPr="00AF6E83">
        <w:rPr>
          <w:lang w:val="en-US"/>
        </w:rPr>
        <w:t xml:space="preserve">, hem </w:t>
      </w:r>
      <w:proofErr w:type="spellStart"/>
      <w:r w:rsidRPr="00AF6E83">
        <w:rPr>
          <w:lang w:val="en-US"/>
        </w:rPr>
        <w:t>geleneksel</w:t>
      </w:r>
      <w:proofErr w:type="spellEnd"/>
      <w:r w:rsidRPr="00AF6E83">
        <w:rPr>
          <w:lang w:val="en-US"/>
        </w:rPr>
        <w:t xml:space="preserve"> </w:t>
      </w:r>
      <w:proofErr w:type="spellStart"/>
      <w:r w:rsidRPr="00AF6E83">
        <w:rPr>
          <w:lang w:val="en-US"/>
        </w:rPr>
        <w:t>olarak</w:t>
      </w:r>
      <w:proofErr w:type="spellEnd"/>
      <w:r w:rsidRPr="00AF6E83">
        <w:rPr>
          <w:lang w:val="en-US"/>
        </w:rPr>
        <w:t xml:space="preserve"> </w:t>
      </w:r>
      <w:proofErr w:type="spellStart"/>
      <w:r w:rsidRPr="00AF6E83">
        <w:rPr>
          <w:lang w:val="en-US"/>
        </w:rPr>
        <w:t>saygı</w:t>
      </w:r>
      <w:proofErr w:type="spellEnd"/>
      <w:r w:rsidRPr="00AF6E83">
        <w:rPr>
          <w:lang w:val="en-US"/>
        </w:rPr>
        <w:t xml:space="preserve"> </w:t>
      </w:r>
      <w:proofErr w:type="spellStart"/>
      <w:r w:rsidRPr="00AF6E83">
        <w:rPr>
          <w:lang w:val="en-US"/>
        </w:rPr>
        <w:t>gören</w:t>
      </w:r>
      <w:proofErr w:type="spellEnd"/>
      <w:r w:rsidRPr="00AF6E83">
        <w:rPr>
          <w:lang w:val="en-US"/>
        </w:rPr>
        <w:t xml:space="preserve"> hem de yeni </w:t>
      </w:r>
      <w:proofErr w:type="spellStart"/>
      <w:r w:rsidRPr="00AF6E83">
        <w:rPr>
          <w:lang w:val="en-US"/>
        </w:rPr>
        <w:t>ortaya</w:t>
      </w:r>
      <w:proofErr w:type="spellEnd"/>
      <w:r w:rsidRPr="00AF6E83">
        <w:rPr>
          <w:lang w:val="en-US"/>
        </w:rPr>
        <w:t xml:space="preserve"> </w:t>
      </w:r>
      <w:proofErr w:type="spellStart"/>
      <w:r w:rsidRPr="00AF6E83">
        <w:rPr>
          <w:lang w:val="en-US"/>
        </w:rPr>
        <w:t>çıkan</w:t>
      </w:r>
      <w:proofErr w:type="spellEnd"/>
      <w:r w:rsidRPr="00AF6E83">
        <w:rPr>
          <w:lang w:val="en-US"/>
        </w:rPr>
        <w:t xml:space="preserve"> </w:t>
      </w:r>
      <w:proofErr w:type="spellStart"/>
      <w:r w:rsidRPr="00AF6E83">
        <w:rPr>
          <w:lang w:val="en-US"/>
        </w:rPr>
        <w:t>uygulamaları</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normları</w:t>
      </w:r>
      <w:proofErr w:type="spellEnd"/>
      <w:r w:rsidRPr="00AF6E83">
        <w:rPr>
          <w:lang w:val="en-US"/>
        </w:rPr>
        <w:t xml:space="preserve"> </w:t>
      </w:r>
      <w:proofErr w:type="spellStart"/>
      <w:r w:rsidRPr="00AF6E83">
        <w:rPr>
          <w:lang w:val="en-US"/>
        </w:rPr>
        <w:t>benzer</w:t>
      </w:r>
      <w:proofErr w:type="spellEnd"/>
      <w:r w:rsidRPr="00AF6E83">
        <w:rPr>
          <w:lang w:val="en-US"/>
        </w:rPr>
        <w:t xml:space="preserve"> </w:t>
      </w:r>
      <w:proofErr w:type="spellStart"/>
      <w:r w:rsidRPr="00AF6E83">
        <w:rPr>
          <w:lang w:val="en-US"/>
        </w:rPr>
        <w:t>şekilde</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birbirleriyle</w:t>
      </w:r>
      <w:proofErr w:type="spellEnd"/>
      <w:r w:rsidRPr="00AF6E83">
        <w:rPr>
          <w:lang w:val="en-US"/>
        </w:rPr>
        <w:t xml:space="preserve"> </w:t>
      </w:r>
      <w:proofErr w:type="spellStart"/>
      <w:r w:rsidRPr="00AF6E83">
        <w:rPr>
          <w:lang w:val="en-US"/>
        </w:rPr>
        <w:t>bağlantılı</w:t>
      </w:r>
      <w:proofErr w:type="spellEnd"/>
      <w:r w:rsidRPr="00AF6E83">
        <w:rPr>
          <w:lang w:val="en-US"/>
        </w:rPr>
        <w:t xml:space="preserve"> </w:t>
      </w:r>
      <w:proofErr w:type="spellStart"/>
      <w:r w:rsidRPr="00AF6E83">
        <w:rPr>
          <w:lang w:val="en-US"/>
        </w:rPr>
        <w:t>olarak</w:t>
      </w:r>
      <w:proofErr w:type="spellEnd"/>
      <w:r w:rsidRPr="00AF6E83">
        <w:rPr>
          <w:lang w:val="en-US"/>
        </w:rPr>
        <w:t xml:space="preserve"> </w:t>
      </w:r>
      <w:proofErr w:type="spellStart"/>
      <w:r w:rsidRPr="00AF6E83">
        <w:rPr>
          <w:lang w:val="en-US"/>
        </w:rPr>
        <w:t>tartışmamıza</w:t>
      </w:r>
      <w:proofErr w:type="spellEnd"/>
      <w:r w:rsidRPr="00AF6E83">
        <w:rPr>
          <w:lang w:val="en-US"/>
        </w:rPr>
        <w:t xml:space="preserve"> </w:t>
      </w:r>
      <w:proofErr w:type="spellStart"/>
      <w:r w:rsidRPr="00AF6E83">
        <w:rPr>
          <w:lang w:val="en-US"/>
        </w:rPr>
        <w:t>olanak</w:t>
      </w:r>
      <w:proofErr w:type="spellEnd"/>
      <w:r w:rsidRPr="00AF6E83">
        <w:rPr>
          <w:lang w:val="en-US"/>
        </w:rPr>
        <w:t xml:space="preserve"> </w:t>
      </w:r>
      <w:proofErr w:type="spellStart"/>
      <w:r w:rsidRPr="00AF6E83">
        <w:rPr>
          <w:lang w:val="en-US"/>
        </w:rPr>
        <w:t>tanır</w:t>
      </w:r>
      <w:proofErr w:type="spellEnd"/>
      <w:r w:rsidRPr="00AF6E83">
        <w:rPr>
          <w:lang w:val="en-US"/>
        </w:rPr>
        <w:t>.</w:t>
      </w:r>
      <w:r w:rsidRPr="00AF6E83">
        <w:rPr>
          <w:lang w:val="en-US"/>
        </w:rPr>
        <w:t xml:space="preserve"> </w:t>
      </w:r>
      <w:proofErr w:type="spellStart"/>
      <w:r w:rsidRPr="00AF6E83">
        <w:rPr>
          <w:lang w:val="en-US"/>
        </w:rPr>
        <w:t>Kültürel</w:t>
      </w:r>
      <w:proofErr w:type="spellEnd"/>
      <w:r w:rsidRPr="00AF6E83">
        <w:rPr>
          <w:lang w:val="en-US"/>
        </w:rPr>
        <w:t xml:space="preserve"> </w:t>
      </w:r>
      <w:proofErr w:type="spellStart"/>
      <w:r w:rsidRPr="00AF6E83">
        <w:rPr>
          <w:lang w:val="en-US"/>
        </w:rPr>
        <w:t>tarihçiler</w:t>
      </w:r>
      <w:proofErr w:type="spellEnd"/>
      <w:r w:rsidRPr="00AF6E83">
        <w:rPr>
          <w:lang w:val="en-US"/>
        </w:rPr>
        <w:t xml:space="preserve">, hem </w:t>
      </w:r>
      <w:proofErr w:type="spellStart"/>
      <w:r w:rsidRPr="00AF6E83">
        <w:rPr>
          <w:lang w:val="en-US"/>
        </w:rPr>
        <w:t>yüksek</w:t>
      </w:r>
      <w:proofErr w:type="spellEnd"/>
      <w:r w:rsidRPr="00AF6E83">
        <w:rPr>
          <w:lang w:val="en-US"/>
        </w:rPr>
        <w:t xml:space="preserve"> </w:t>
      </w:r>
      <w:proofErr w:type="spellStart"/>
      <w:r w:rsidRPr="00AF6E83">
        <w:rPr>
          <w:lang w:val="en-US"/>
        </w:rPr>
        <w:t>kültür</w:t>
      </w:r>
      <w:proofErr w:type="spellEnd"/>
      <w:r w:rsidRPr="00AF6E83">
        <w:rPr>
          <w:lang w:val="en-US"/>
        </w:rPr>
        <w:t xml:space="preserve"> hem de </w:t>
      </w:r>
      <w:proofErr w:type="spellStart"/>
      <w:r w:rsidRPr="00AF6E83">
        <w:rPr>
          <w:lang w:val="en-US"/>
        </w:rPr>
        <w:t>popüler</w:t>
      </w:r>
      <w:proofErr w:type="spellEnd"/>
      <w:r w:rsidRPr="00AF6E83">
        <w:rPr>
          <w:lang w:val="en-US"/>
        </w:rPr>
        <w:t xml:space="preserve"> </w:t>
      </w:r>
      <w:proofErr w:type="spellStart"/>
      <w:r w:rsidRPr="00AF6E83">
        <w:rPr>
          <w:lang w:val="en-US"/>
        </w:rPr>
        <w:t>kültür</w:t>
      </w:r>
      <w:proofErr w:type="spellEnd"/>
      <w:r w:rsidRPr="00AF6E83">
        <w:rPr>
          <w:lang w:val="en-US"/>
        </w:rPr>
        <w:t xml:space="preserve"> </w:t>
      </w:r>
      <w:proofErr w:type="spellStart"/>
      <w:r w:rsidRPr="00AF6E83">
        <w:rPr>
          <w:lang w:val="en-US"/>
        </w:rPr>
        <w:t>unsurlarını</w:t>
      </w:r>
      <w:proofErr w:type="spellEnd"/>
      <w:r w:rsidRPr="00AF6E83">
        <w:rPr>
          <w:lang w:val="en-US"/>
        </w:rPr>
        <w:t xml:space="preserve"> inceler,¹⁵⁵</w:t>
      </w:r>
      <w:r w:rsidRPr="00AF6E83">
        <w:rPr>
          <w:lang w:val="en-US"/>
        </w:rPr>
        <w:t xml:space="preserve"> </w:t>
      </w:r>
      <w:r w:rsidRPr="00AF6E83">
        <w:rPr>
          <w:rStyle w:val="FootnoteReference"/>
          <w:lang w:val="en-US"/>
        </w:rPr>
        <w:footnoteReference w:id="155"/>
      </w:r>
      <w:r w:rsidRPr="00AF6E83">
        <w:rPr>
          <w:lang w:val="en-US"/>
        </w:rPr>
        <w:t xml:space="preserve"> </w:t>
      </w:r>
      <w:proofErr w:type="spellStart"/>
      <w:r w:rsidRPr="00AF6E83">
        <w:rPr>
          <w:lang w:val="en-US"/>
        </w:rPr>
        <w:t>bunlardan</w:t>
      </w:r>
      <w:proofErr w:type="spellEnd"/>
      <w:r w:rsidRPr="00AF6E83">
        <w:rPr>
          <w:lang w:val="en-US"/>
        </w:rPr>
        <w:t xml:space="preserve"> </w:t>
      </w:r>
      <w:proofErr w:type="spellStart"/>
      <w:r w:rsidRPr="00AF6E83">
        <w:rPr>
          <w:lang w:val="en-US"/>
        </w:rPr>
        <w:t>içgörüler</w:t>
      </w:r>
      <w:proofErr w:type="spellEnd"/>
      <w:r w:rsidRPr="00AF6E83">
        <w:rPr>
          <w:lang w:val="en-US"/>
        </w:rPr>
        <w:t xml:space="preserve"> </w:t>
      </w:r>
      <w:proofErr w:type="spellStart"/>
      <w:r w:rsidRPr="00AF6E83">
        <w:rPr>
          <w:lang w:val="en-US"/>
        </w:rPr>
        <w:t>elde</w:t>
      </w:r>
      <w:proofErr w:type="spellEnd"/>
      <w:r w:rsidRPr="00AF6E83">
        <w:rPr>
          <w:lang w:val="en-US"/>
        </w:rPr>
        <w:t xml:space="preserve"> </w:t>
      </w:r>
      <w:proofErr w:type="spellStart"/>
      <w:r w:rsidRPr="00AF6E83">
        <w:rPr>
          <w:lang w:val="en-US"/>
        </w:rPr>
        <w:t>eder</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sıklıkla</w:t>
      </w:r>
      <w:proofErr w:type="spellEnd"/>
      <w:r w:rsidRPr="00AF6E83">
        <w:rPr>
          <w:lang w:val="en-US"/>
        </w:rPr>
        <w:t xml:space="preserve"> </w:t>
      </w:r>
      <w:proofErr w:type="spellStart"/>
      <w:r w:rsidRPr="00AF6E83">
        <w:rPr>
          <w:lang w:val="en-US"/>
        </w:rPr>
        <w:t>aralarındaki</w:t>
      </w:r>
      <w:proofErr w:type="spellEnd"/>
      <w:r w:rsidRPr="00AF6E83">
        <w:rPr>
          <w:lang w:val="en-US"/>
        </w:rPr>
        <w:t xml:space="preserve"> </w:t>
      </w:r>
      <w:proofErr w:type="spellStart"/>
      <w:r w:rsidRPr="00AF6E83">
        <w:rPr>
          <w:lang w:val="en-US"/>
        </w:rPr>
        <w:t>bağlantıları</w:t>
      </w:r>
      <w:proofErr w:type="spellEnd"/>
      <w:r w:rsidRPr="00AF6E83">
        <w:rPr>
          <w:lang w:val="en-US"/>
        </w:rPr>
        <w:t xml:space="preserve"> </w:t>
      </w:r>
      <w:proofErr w:type="spellStart"/>
      <w:r w:rsidRPr="00AF6E83">
        <w:rPr>
          <w:lang w:val="en-US"/>
        </w:rPr>
        <w:t>ortaya</w:t>
      </w:r>
      <w:proofErr w:type="spellEnd"/>
      <w:r w:rsidRPr="00AF6E83">
        <w:rPr>
          <w:lang w:val="en-US"/>
        </w:rPr>
        <w:t xml:space="preserve"> </w:t>
      </w:r>
      <w:proofErr w:type="spellStart"/>
      <w:r w:rsidRPr="00AF6E83">
        <w:rPr>
          <w:lang w:val="en-US"/>
        </w:rPr>
        <w:t>koyar</w:t>
      </w:r>
      <w:proofErr w:type="spellEnd"/>
      <w:r w:rsidRPr="00AF6E83">
        <w:rPr>
          <w:lang w:val="en-US"/>
        </w:rPr>
        <w:t xml:space="preserve">. </w:t>
      </w:r>
      <w:proofErr w:type="spellStart"/>
      <w:r w:rsidRPr="00AF6E83">
        <w:rPr>
          <w:lang w:val="en-US"/>
        </w:rPr>
        <w:t>Anayasal</w:t>
      </w:r>
      <w:proofErr w:type="spellEnd"/>
      <w:r w:rsidRPr="00AF6E83">
        <w:rPr>
          <w:lang w:val="en-US"/>
        </w:rPr>
        <w:t xml:space="preserve"> </w:t>
      </w:r>
      <w:proofErr w:type="spellStart"/>
      <w:r w:rsidRPr="00AF6E83">
        <w:rPr>
          <w:lang w:val="en-US"/>
        </w:rPr>
        <w:t>kültür</w:t>
      </w:r>
      <w:proofErr w:type="spellEnd"/>
      <w:r w:rsidRPr="00AF6E83">
        <w:rPr>
          <w:lang w:val="en-US"/>
        </w:rPr>
        <w:t xml:space="preserve"> </w:t>
      </w:r>
      <w:proofErr w:type="spellStart"/>
      <w:r w:rsidRPr="00AF6E83">
        <w:rPr>
          <w:lang w:val="en-US"/>
        </w:rPr>
        <w:t>çalışmaları</w:t>
      </w:r>
      <w:proofErr w:type="spellEnd"/>
      <w:r w:rsidRPr="00AF6E83">
        <w:rPr>
          <w:lang w:val="en-US"/>
        </w:rPr>
        <w:t xml:space="preserve"> da </w:t>
      </w:r>
      <w:proofErr w:type="spellStart"/>
      <w:r w:rsidRPr="00AF6E83">
        <w:rPr>
          <w:lang w:val="en-US"/>
        </w:rPr>
        <w:t>aynı</w:t>
      </w:r>
      <w:proofErr w:type="spellEnd"/>
      <w:r w:rsidRPr="00AF6E83">
        <w:rPr>
          <w:lang w:val="en-US"/>
        </w:rPr>
        <w:t xml:space="preserve"> </w:t>
      </w:r>
      <w:proofErr w:type="spellStart"/>
      <w:r w:rsidRPr="00AF6E83">
        <w:rPr>
          <w:lang w:val="en-US"/>
        </w:rPr>
        <w:t>yaklaşımı</w:t>
      </w:r>
      <w:proofErr w:type="spellEnd"/>
      <w:r w:rsidRPr="00AF6E83">
        <w:rPr>
          <w:lang w:val="en-US"/>
        </w:rPr>
        <w:t xml:space="preserve"> </w:t>
      </w:r>
      <w:proofErr w:type="spellStart"/>
      <w:r w:rsidRPr="00AF6E83">
        <w:rPr>
          <w:lang w:val="en-US"/>
        </w:rPr>
        <w:t>benimsemelidir</w:t>
      </w:r>
      <w:proofErr w:type="spellEnd"/>
      <w:r w:rsidRPr="00AF6E83">
        <w:rPr>
          <w:lang w:val="en-US"/>
        </w:rPr>
        <w:t>.</w:t>
      </w:r>
      <w:r w:rsidRPr="00AF6E83">
        <w:rPr>
          <w:lang w:val="en-US"/>
        </w:rPr>
        <w:t xml:space="preserve"> </w:t>
      </w:r>
      <w:proofErr w:type="spellStart"/>
      <w:r w:rsidRPr="00AF6E83">
        <w:rPr>
          <w:lang w:val="en-US"/>
        </w:rPr>
        <w:t>Eğer</w:t>
      </w:r>
      <w:proofErr w:type="spellEnd"/>
      <w:r w:rsidRPr="00AF6E83">
        <w:rPr>
          <w:lang w:val="en-US"/>
        </w:rPr>
        <w:t xml:space="preserve"> </w:t>
      </w:r>
      <w:proofErr w:type="spellStart"/>
      <w:r w:rsidRPr="00AF6E83">
        <w:rPr>
          <w:lang w:val="en-US"/>
        </w:rPr>
        <w:t>amacımız</w:t>
      </w:r>
      <w:proofErr w:type="spellEnd"/>
      <w:r w:rsidRPr="00AF6E83">
        <w:rPr>
          <w:lang w:val="en-US"/>
        </w:rPr>
        <w:t xml:space="preserve">, </w:t>
      </w:r>
      <w:proofErr w:type="spellStart"/>
      <w:r w:rsidRPr="00AF6E83">
        <w:rPr>
          <w:lang w:val="en-US"/>
        </w:rPr>
        <w:t>anayasa</w:t>
      </w:r>
      <w:proofErr w:type="spellEnd"/>
      <w:r w:rsidRPr="00AF6E83">
        <w:rPr>
          <w:lang w:val="en-US"/>
        </w:rPr>
        <w:t xml:space="preserve"> </w:t>
      </w:r>
      <w:proofErr w:type="spellStart"/>
      <w:r w:rsidRPr="00AF6E83">
        <w:rPr>
          <w:lang w:val="en-US"/>
        </w:rPr>
        <w:t>hukukunun</w:t>
      </w:r>
      <w:proofErr w:type="spellEnd"/>
      <w:r w:rsidRPr="00AF6E83">
        <w:rPr>
          <w:lang w:val="en-US"/>
        </w:rPr>
        <w:t xml:space="preserve"> </w:t>
      </w:r>
      <w:proofErr w:type="spellStart"/>
      <w:r w:rsidRPr="00AF6E83">
        <w:rPr>
          <w:lang w:val="en-US"/>
        </w:rPr>
        <w:t>belirli</w:t>
      </w:r>
      <w:proofErr w:type="spellEnd"/>
      <w:r w:rsidRPr="00AF6E83">
        <w:rPr>
          <w:lang w:val="en-US"/>
        </w:rPr>
        <w:t xml:space="preserve"> </w:t>
      </w:r>
      <w:proofErr w:type="spellStart"/>
      <w:r w:rsidRPr="00AF6E83">
        <w:rPr>
          <w:lang w:val="en-US"/>
        </w:rPr>
        <w:t>bir</w:t>
      </w:r>
      <w:proofErr w:type="spellEnd"/>
      <w:r w:rsidRPr="00AF6E83">
        <w:rPr>
          <w:lang w:val="en-US"/>
        </w:rPr>
        <w:t xml:space="preserve"> zaman </w:t>
      </w:r>
      <w:proofErr w:type="spellStart"/>
      <w:r w:rsidRPr="00AF6E83">
        <w:rPr>
          <w:lang w:val="en-US"/>
        </w:rPr>
        <w:t>ve</w:t>
      </w:r>
      <w:proofErr w:type="spellEnd"/>
      <w:r w:rsidRPr="00AF6E83">
        <w:rPr>
          <w:lang w:val="en-US"/>
        </w:rPr>
        <w:t xml:space="preserve"> </w:t>
      </w:r>
      <w:proofErr w:type="spellStart"/>
      <w:r w:rsidRPr="00AF6E83">
        <w:rPr>
          <w:lang w:val="en-US"/>
        </w:rPr>
        <w:t>mekânda</w:t>
      </w:r>
      <w:proofErr w:type="spellEnd"/>
      <w:r w:rsidRPr="00AF6E83">
        <w:rPr>
          <w:lang w:val="en-US"/>
        </w:rPr>
        <w:t xml:space="preserve"> </w:t>
      </w:r>
      <w:proofErr w:type="spellStart"/>
      <w:r w:rsidRPr="00AF6E83">
        <w:rPr>
          <w:lang w:val="en-US"/>
        </w:rPr>
        <w:t>nasıl</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neden</w:t>
      </w:r>
      <w:proofErr w:type="spellEnd"/>
      <w:r w:rsidRPr="00AF6E83">
        <w:rPr>
          <w:lang w:val="en-US"/>
        </w:rPr>
        <w:t xml:space="preserve"> </w:t>
      </w:r>
      <w:proofErr w:type="spellStart"/>
      <w:r w:rsidRPr="00AF6E83">
        <w:rPr>
          <w:lang w:val="en-US"/>
        </w:rPr>
        <w:t>şekillendiğini</w:t>
      </w:r>
      <w:proofErr w:type="spellEnd"/>
      <w:r w:rsidRPr="00AF6E83">
        <w:rPr>
          <w:lang w:val="en-US"/>
        </w:rPr>
        <w:t xml:space="preserve"> </w:t>
      </w:r>
      <w:proofErr w:type="spellStart"/>
      <w:r w:rsidRPr="00AF6E83">
        <w:rPr>
          <w:lang w:val="en-US"/>
        </w:rPr>
        <w:t>anlamaksa</w:t>
      </w:r>
      <w:proofErr w:type="spellEnd"/>
      <w:r w:rsidRPr="00AF6E83">
        <w:rPr>
          <w:lang w:val="en-US"/>
        </w:rPr>
        <w:t xml:space="preserve">, </w:t>
      </w:r>
      <w:proofErr w:type="spellStart"/>
      <w:r w:rsidRPr="00AF6E83">
        <w:rPr>
          <w:lang w:val="en-US"/>
        </w:rPr>
        <w:t>karşılaştığımız</w:t>
      </w:r>
      <w:proofErr w:type="spellEnd"/>
      <w:r w:rsidRPr="00AF6E83">
        <w:rPr>
          <w:lang w:val="en-US"/>
        </w:rPr>
        <w:t xml:space="preserve"> </w:t>
      </w:r>
      <w:proofErr w:type="spellStart"/>
      <w:r w:rsidRPr="00AF6E83">
        <w:rPr>
          <w:lang w:val="en-US"/>
        </w:rPr>
        <w:t>kurumları</w:t>
      </w:r>
      <w:proofErr w:type="spellEnd"/>
      <w:r w:rsidRPr="00AF6E83">
        <w:rPr>
          <w:lang w:val="en-US"/>
        </w:rPr>
        <w:t xml:space="preserve">, </w:t>
      </w:r>
      <w:proofErr w:type="spellStart"/>
      <w:r w:rsidRPr="00AF6E83">
        <w:rPr>
          <w:lang w:val="en-US"/>
        </w:rPr>
        <w:t>uygulamaları</w:t>
      </w:r>
      <w:proofErr w:type="spellEnd"/>
      <w:r w:rsidRPr="00AF6E83">
        <w:rPr>
          <w:lang w:val="en-US"/>
        </w:rPr>
        <w:t xml:space="preserve">, </w:t>
      </w:r>
      <w:proofErr w:type="spellStart"/>
      <w:r w:rsidRPr="00AF6E83">
        <w:rPr>
          <w:lang w:val="en-US"/>
        </w:rPr>
        <w:t>normları</w:t>
      </w:r>
      <w:proofErr w:type="spellEnd"/>
      <w:r w:rsidRPr="00AF6E83">
        <w:rPr>
          <w:lang w:val="en-US"/>
        </w:rPr>
        <w:t xml:space="preserve"> </w:t>
      </w:r>
      <w:proofErr w:type="spellStart"/>
      <w:r w:rsidRPr="00AF6E83">
        <w:rPr>
          <w:lang w:val="en-US"/>
        </w:rPr>
        <w:t>ve</w:t>
      </w:r>
      <w:proofErr w:type="spellEnd"/>
      <w:r w:rsidRPr="00AF6E83">
        <w:rPr>
          <w:lang w:val="en-US"/>
        </w:rPr>
        <w:t xml:space="preserve"> </w:t>
      </w:r>
      <w:proofErr w:type="spellStart"/>
      <w:r w:rsidRPr="00AF6E83">
        <w:rPr>
          <w:lang w:val="en-US"/>
        </w:rPr>
        <w:t>düşünce</w:t>
      </w:r>
      <w:proofErr w:type="spellEnd"/>
      <w:r w:rsidRPr="00AF6E83">
        <w:rPr>
          <w:lang w:val="en-US"/>
        </w:rPr>
        <w:t xml:space="preserve"> </w:t>
      </w:r>
      <w:proofErr w:type="spellStart"/>
      <w:r w:rsidRPr="00AF6E83">
        <w:rPr>
          <w:lang w:val="en-US"/>
        </w:rPr>
        <w:t>alışkanlıklarını</w:t>
      </w:r>
      <w:proofErr w:type="spellEnd"/>
      <w:r w:rsidRPr="00AF6E83">
        <w:rPr>
          <w:lang w:val="en-US"/>
        </w:rPr>
        <w:t xml:space="preserve"> </w:t>
      </w:r>
      <w:proofErr w:type="spellStart"/>
      <w:r w:rsidRPr="00AF6E83">
        <w:rPr>
          <w:lang w:val="en-US"/>
        </w:rPr>
        <w:t>sorgulamalı</w:t>
      </w:r>
      <w:proofErr w:type="spellEnd"/>
      <w:r w:rsidRPr="00AF6E83">
        <w:rPr>
          <w:lang w:val="en-US"/>
        </w:rPr>
        <w:t xml:space="preserve">, hem </w:t>
      </w:r>
      <w:proofErr w:type="spellStart"/>
      <w:r w:rsidRPr="00AF6E83">
        <w:rPr>
          <w:lang w:val="en-US"/>
        </w:rPr>
        <w:t>sembolik</w:t>
      </w:r>
      <w:proofErr w:type="spellEnd"/>
      <w:r w:rsidRPr="00AF6E83">
        <w:rPr>
          <w:lang w:val="en-US"/>
        </w:rPr>
        <w:t xml:space="preserve"> hem de </w:t>
      </w:r>
      <w:proofErr w:type="spellStart"/>
      <w:r w:rsidRPr="00AF6E83">
        <w:rPr>
          <w:lang w:val="en-US"/>
        </w:rPr>
        <w:t>pratik</w:t>
      </w:r>
      <w:proofErr w:type="spellEnd"/>
      <w:r w:rsidRPr="00AF6E83">
        <w:rPr>
          <w:lang w:val="en-US"/>
        </w:rPr>
        <w:t xml:space="preserve"> </w:t>
      </w:r>
      <w:proofErr w:type="spellStart"/>
      <w:r w:rsidRPr="00AF6E83">
        <w:rPr>
          <w:lang w:val="en-US"/>
        </w:rPr>
        <w:t>önemlerini</w:t>
      </w:r>
      <w:proofErr w:type="spellEnd"/>
      <w:r w:rsidRPr="00AF6E83">
        <w:rPr>
          <w:lang w:val="en-US"/>
        </w:rPr>
        <w:t xml:space="preserve"> </w:t>
      </w:r>
      <w:proofErr w:type="spellStart"/>
      <w:r w:rsidRPr="00AF6E83">
        <w:rPr>
          <w:lang w:val="en-US"/>
        </w:rPr>
        <w:t>değerlendirerek</w:t>
      </w:r>
      <w:proofErr w:type="spellEnd"/>
      <w:r w:rsidRPr="00AF6E83">
        <w:rPr>
          <w:lang w:val="en-US"/>
        </w:rPr>
        <w:t xml:space="preserve">, </w:t>
      </w:r>
      <w:proofErr w:type="spellStart"/>
      <w:r w:rsidRPr="00AF6E83">
        <w:rPr>
          <w:lang w:val="en-US"/>
        </w:rPr>
        <w:t>bunların</w:t>
      </w:r>
      <w:proofErr w:type="spellEnd"/>
      <w:r w:rsidRPr="00AF6E83">
        <w:rPr>
          <w:lang w:val="en-US"/>
        </w:rPr>
        <w:t xml:space="preserve"> ne </w:t>
      </w:r>
      <w:proofErr w:type="spellStart"/>
      <w:r w:rsidRPr="00AF6E83">
        <w:rPr>
          <w:lang w:val="en-US"/>
        </w:rPr>
        <w:t>kadar</w:t>
      </w:r>
      <w:proofErr w:type="spellEnd"/>
      <w:r w:rsidRPr="00AF6E83">
        <w:rPr>
          <w:lang w:val="en-US"/>
        </w:rPr>
        <w:t xml:space="preserve"> </w:t>
      </w:r>
      <w:proofErr w:type="spellStart"/>
      <w:r w:rsidRPr="00AF6E83">
        <w:rPr>
          <w:lang w:val="en-US"/>
        </w:rPr>
        <w:t>eski</w:t>
      </w:r>
      <w:proofErr w:type="spellEnd"/>
      <w:r w:rsidRPr="00AF6E83">
        <w:rPr>
          <w:lang w:val="en-US"/>
        </w:rPr>
        <w:t xml:space="preserve"> </w:t>
      </w:r>
      <w:proofErr w:type="spellStart"/>
      <w:r w:rsidRPr="00AF6E83">
        <w:rPr>
          <w:lang w:val="en-US"/>
        </w:rPr>
        <w:t>olduğu</w:t>
      </w:r>
      <w:proofErr w:type="spellEnd"/>
      <w:r w:rsidRPr="00AF6E83">
        <w:rPr>
          <w:lang w:val="en-US"/>
        </w:rPr>
        <w:t xml:space="preserve"> </w:t>
      </w:r>
      <w:proofErr w:type="spellStart"/>
      <w:r w:rsidRPr="00AF6E83">
        <w:rPr>
          <w:lang w:val="en-US"/>
        </w:rPr>
        <w:t>veya</w:t>
      </w:r>
      <w:proofErr w:type="spellEnd"/>
      <w:r w:rsidRPr="00AF6E83">
        <w:rPr>
          <w:lang w:val="en-US"/>
        </w:rPr>
        <w:t xml:space="preserve"> </w:t>
      </w:r>
      <w:proofErr w:type="spellStart"/>
      <w:r w:rsidRPr="00AF6E83">
        <w:rPr>
          <w:lang w:val="en-US"/>
        </w:rPr>
        <w:t>ahlaki</w:t>
      </w:r>
      <w:proofErr w:type="spellEnd"/>
      <w:r w:rsidRPr="00AF6E83">
        <w:rPr>
          <w:lang w:val="en-US"/>
        </w:rPr>
        <w:t xml:space="preserve"> </w:t>
      </w:r>
      <w:proofErr w:type="spellStart"/>
      <w:r w:rsidRPr="00AF6E83">
        <w:rPr>
          <w:lang w:val="en-US"/>
        </w:rPr>
        <w:t>açıdan</w:t>
      </w:r>
      <w:proofErr w:type="spellEnd"/>
      <w:r w:rsidRPr="00AF6E83">
        <w:rPr>
          <w:lang w:val="en-US"/>
        </w:rPr>
        <w:t xml:space="preserve"> </w:t>
      </w:r>
      <w:proofErr w:type="spellStart"/>
      <w:r w:rsidRPr="00AF6E83">
        <w:rPr>
          <w:lang w:val="en-US"/>
        </w:rPr>
        <w:t>nasıl</w:t>
      </w:r>
      <w:proofErr w:type="spellEnd"/>
      <w:r w:rsidRPr="00AF6E83">
        <w:rPr>
          <w:lang w:val="en-US"/>
        </w:rPr>
        <w:t xml:space="preserve"> </w:t>
      </w:r>
      <w:proofErr w:type="spellStart"/>
      <w:r w:rsidRPr="00AF6E83">
        <w:rPr>
          <w:lang w:val="en-US"/>
        </w:rPr>
        <w:t>algılandığına</w:t>
      </w:r>
      <w:proofErr w:type="spellEnd"/>
      <w:r w:rsidRPr="00AF6E83">
        <w:rPr>
          <w:lang w:val="en-US"/>
        </w:rPr>
        <w:t xml:space="preserve"> </w:t>
      </w:r>
      <w:proofErr w:type="spellStart"/>
      <w:r w:rsidRPr="00AF6E83">
        <w:rPr>
          <w:lang w:val="en-US"/>
        </w:rPr>
        <w:t>takılmadan</w:t>
      </w:r>
      <w:proofErr w:type="spellEnd"/>
      <w:r w:rsidRPr="00AF6E83">
        <w:rPr>
          <w:lang w:val="en-US"/>
        </w:rPr>
        <w:t xml:space="preserve"> </w:t>
      </w:r>
      <w:proofErr w:type="spellStart"/>
      <w:r w:rsidRPr="00AF6E83">
        <w:rPr>
          <w:lang w:val="en-US"/>
        </w:rPr>
        <w:t>analiz</w:t>
      </w:r>
      <w:proofErr w:type="spellEnd"/>
      <w:r w:rsidRPr="00AF6E83">
        <w:rPr>
          <w:lang w:val="en-US"/>
        </w:rPr>
        <w:t xml:space="preserve"> </w:t>
      </w:r>
      <w:proofErr w:type="spellStart"/>
      <w:r w:rsidRPr="00AF6E83">
        <w:rPr>
          <w:lang w:val="en-US"/>
        </w:rPr>
        <w:t>etmeliyiz</w:t>
      </w:r>
      <w:proofErr w:type="spellEnd"/>
      <w:r w:rsidRPr="00AF6E83">
        <w:rPr>
          <w:lang w:val="en-US"/>
        </w:rPr>
        <w:t>.</w:t>
      </w:r>
      <w:r>
        <w:rPr>
          <w:lang w:val="en-US"/>
        </w:rPr>
        <w:t xml:space="preserve"> [1109 - 1110]</w:t>
      </w:r>
    </w:p>
    <w:p w14:paraId="44A58774" w14:textId="77777777" w:rsidR="00AF6E83" w:rsidRDefault="00AF6E83" w:rsidP="00AF6E83">
      <w:pPr>
        <w:pStyle w:val="Heading6"/>
        <w:rPr>
          <w:lang w:val="en-US"/>
        </w:rPr>
      </w:pPr>
      <w:proofErr w:type="spellStart"/>
      <w:r w:rsidRPr="00AF6E83">
        <w:rPr>
          <w:lang w:val="en-US"/>
        </w:rPr>
        <w:t>Terminoloji</w:t>
      </w:r>
      <w:proofErr w:type="spellEnd"/>
      <w:r w:rsidRPr="00AF6E83">
        <w:rPr>
          <w:lang w:val="en-US"/>
        </w:rPr>
        <w:t xml:space="preserve"> (Nomenclature)</w:t>
      </w:r>
    </w:p>
    <w:p w14:paraId="1FC11F27" w14:textId="554F3054" w:rsidR="00A21E04" w:rsidRDefault="00A21E04" w:rsidP="00A21E04">
      <w:pPr>
        <w:rPr>
          <w:lang w:val="en-US"/>
        </w:rPr>
      </w:pPr>
      <w:r w:rsidRPr="00A21E04">
        <w:rPr>
          <w:lang w:val="en-US"/>
        </w:rPr>
        <w:t>“</w:t>
      </w:r>
      <w:proofErr w:type="spellStart"/>
      <w:r w:rsidRPr="00A21E04">
        <w:rPr>
          <w:lang w:val="en-US"/>
        </w:rPr>
        <w:t>Anayasal</w:t>
      </w:r>
      <w:proofErr w:type="spellEnd"/>
      <w:r w:rsidRPr="00A21E04">
        <w:rPr>
          <w:lang w:val="en-US"/>
        </w:rPr>
        <w:t xml:space="preserve"> </w:t>
      </w:r>
      <w:proofErr w:type="spellStart"/>
      <w:r w:rsidRPr="00A21E04">
        <w:rPr>
          <w:lang w:val="en-US"/>
        </w:rPr>
        <w:t>kültür</w:t>
      </w:r>
      <w:proofErr w:type="spellEnd"/>
      <w:r w:rsidRPr="00A21E04">
        <w:rPr>
          <w:lang w:val="en-US"/>
        </w:rPr>
        <w:t xml:space="preserve">” (constitutional culture), </w:t>
      </w:r>
      <w:proofErr w:type="spellStart"/>
      <w:r w:rsidRPr="00A21E04">
        <w:rPr>
          <w:lang w:val="en-US"/>
        </w:rPr>
        <w:t>hukuk</w:t>
      </w:r>
      <w:proofErr w:type="spellEnd"/>
      <w:r w:rsidRPr="00A21E04">
        <w:rPr>
          <w:lang w:val="en-US"/>
        </w:rPr>
        <w:t xml:space="preserve"> </w:t>
      </w:r>
      <w:proofErr w:type="spellStart"/>
      <w:r w:rsidRPr="00A21E04">
        <w:rPr>
          <w:lang w:val="en-US"/>
        </w:rPr>
        <w:t>akademik</w:t>
      </w:r>
      <w:proofErr w:type="spellEnd"/>
      <w:r w:rsidRPr="00A21E04">
        <w:rPr>
          <w:lang w:val="en-US"/>
        </w:rPr>
        <w:t xml:space="preserve"> </w:t>
      </w:r>
      <w:proofErr w:type="spellStart"/>
      <w:r w:rsidRPr="00A21E04">
        <w:rPr>
          <w:lang w:val="en-US"/>
        </w:rPr>
        <w:t>literatüründe</w:t>
      </w:r>
      <w:proofErr w:type="spellEnd"/>
      <w:r w:rsidRPr="00A21E04">
        <w:rPr>
          <w:lang w:val="en-US"/>
        </w:rPr>
        <w:t xml:space="preserve"> </w:t>
      </w:r>
      <w:proofErr w:type="spellStart"/>
      <w:r w:rsidRPr="00A21E04">
        <w:rPr>
          <w:lang w:val="en-US"/>
        </w:rPr>
        <w:t>oldukça</w:t>
      </w:r>
      <w:proofErr w:type="spellEnd"/>
      <w:r w:rsidRPr="00A21E04">
        <w:rPr>
          <w:lang w:val="en-US"/>
        </w:rPr>
        <w:t xml:space="preserve"> </w:t>
      </w:r>
      <w:proofErr w:type="spellStart"/>
      <w:r w:rsidRPr="00A21E04">
        <w:rPr>
          <w:lang w:val="en-US"/>
        </w:rPr>
        <w:t>yaygın</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terim</w:t>
      </w:r>
      <w:proofErr w:type="spellEnd"/>
      <w:r w:rsidRPr="00A21E04">
        <w:rPr>
          <w:lang w:val="en-US"/>
        </w:rPr>
        <w:t xml:space="preserve"> </w:t>
      </w:r>
      <w:proofErr w:type="spellStart"/>
      <w:r w:rsidRPr="00A21E04">
        <w:rPr>
          <w:lang w:val="en-US"/>
        </w:rPr>
        <w:t>olup</w:t>
      </w:r>
      <w:proofErr w:type="spellEnd"/>
      <w:r w:rsidRPr="00A21E04">
        <w:rPr>
          <w:lang w:val="en-US"/>
        </w:rPr>
        <w:t xml:space="preserve">, </w:t>
      </w:r>
      <w:proofErr w:type="spellStart"/>
      <w:r w:rsidRPr="00A21E04">
        <w:rPr>
          <w:lang w:val="en-US"/>
        </w:rPr>
        <w:t>yaygın</w:t>
      </w:r>
      <w:proofErr w:type="spellEnd"/>
      <w:r w:rsidRPr="00A21E04">
        <w:rPr>
          <w:lang w:val="en-US"/>
        </w:rPr>
        <w:t xml:space="preserve"> </w:t>
      </w:r>
      <w:proofErr w:type="spellStart"/>
      <w:r w:rsidRPr="00A21E04">
        <w:rPr>
          <w:lang w:val="en-US"/>
        </w:rPr>
        <w:t>olarak</w:t>
      </w:r>
      <w:proofErr w:type="spellEnd"/>
      <w:r w:rsidRPr="00A21E04">
        <w:rPr>
          <w:lang w:val="en-US"/>
        </w:rPr>
        <w:t xml:space="preserve"> </w:t>
      </w:r>
      <w:proofErr w:type="spellStart"/>
      <w:r w:rsidRPr="00A21E04">
        <w:rPr>
          <w:lang w:val="en-US"/>
        </w:rPr>
        <w:t>erişilebilen</w:t>
      </w:r>
      <w:proofErr w:type="spellEnd"/>
      <w:r w:rsidRPr="00A21E04">
        <w:rPr>
          <w:lang w:val="en-US"/>
        </w:rPr>
        <w:t xml:space="preserve"> </w:t>
      </w:r>
      <w:proofErr w:type="spellStart"/>
      <w:r w:rsidRPr="00A21E04">
        <w:rPr>
          <w:lang w:val="en-US"/>
        </w:rPr>
        <w:t>makalelerde</w:t>
      </w:r>
      <w:proofErr w:type="spellEnd"/>
      <w:r w:rsidRPr="00A21E04">
        <w:rPr>
          <w:lang w:val="en-US"/>
        </w:rPr>
        <w:t xml:space="preserve"> </w:t>
      </w:r>
      <w:proofErr w:type="spellStart"/>
      <w:r w:rsidRPr="00A21E04">
        <w:rPr>
          <w:lang w:val="en-US"/>
        </w:rPr>
        <w:t>binin</w:t>
      </w:r>
      <w:proofErr w:type="spellEnd"/>
      <w:r w:rsidRPr="00A21E04">
        <w:rPr>
          <w:lang w:val="en-US"/>
        </w:rPr>
        <w:t xml:space="preserve"> </w:t>
      </w:r>
      <w:proofErr w:type="spellStart"/>
      <w:r w:rsidRPr="00A21E04">
        <w:rPr>
          <w:lang w:val="en-US"/>
        </w:rPr>
        <w:t>üzerinde</w:t>
      </w:r>
      <w:proofErr w:type="spellEnd"/>
      <w:r w:rsidRPr="00A21E04">
        <w:rPr>
          <w:lang w:val="en-US"/>
        </w:rPr>
        <w:t xml:space="preserve"> </w:t>
      </w:r>
      <w:proofErr w:type="spellStart"/>
      <w:r w:rsidRPr="00A21E04">
        <w:rPr>
          <w:lang w:val="en-US"/>
        </w:rPr>
        <w:t>kez</w:t>
      </w:r>
      <w:proofErr w:type="spellEnd"/>
      <w:r w:rsidRPr="00A21E04">
        <w:rPr>
          <w:lang w:val="en-US"/>
        </w:rPr>
        <w:t xml:space="preserve"> geçmektedir.¹⁵⁶</w:t>
      </w:r>
      <w:r>
        <w:rPr>
          <w:lang w:val="en-US"/>
        </w:rPr>
        <w:t xml:space="preserve"> </w:t>
      </w:r>
      <w:r>
        <w:rPr>
          <w:rStyle w:val="FootnoteReference"/>
          <w:lang w:val="en-US"/>
        </w:rPr>
        <w:footnoteReference w:id="156"/>
      </w:r>
      <w:r w:rsidRPr="00A21E04">
        <w:rPr>
          <w:lang w:val="en-US"/>
        </w:rPr>
        <w:t xml:space="preserve"> Bu </w:t>
      </w:r>
      <w:proofErr w:type="spellStart"/>
      <w:r w:rsidRPr="00A21E04">
        <w:rPr>
          <w:lang w:val="en-US"/>
        </w:rPr>
        <w:t>terimin</w:t>
      </w:r>
      <w:proofErr w:type="spellEnd"/>
      <w:r w:rsidRPr="00A21E04">
        <w:rPr>
          <w:lang w:val="en-US"/>
        </w:rPr>
        <w:t xml:space="preserve"> </w:t>
      </w:r>
      <w:proofErr w:type="spellStart"/>
      <w:r w:rsidRPr="00A21E04">
        <w:rPr>
          <w:lang w:val="en-US"/>
        </w:rPr>
        <w:t>sıklıkla</w:t>
      </w:r>
      <w:proofErr w:type="spellEnd"/>
      <w:r w:rsidRPr="00A21E04">
        <w:rPr>
          <w:lang w:val="en-US"/>
        </w:rPr>
        <w:t xml:space="preserve"> </w:t>
      </w:r>
      <w:proofErr w:type="spellStart"/>
      <w:r w:rsidRPr="00A21E04">
        <w:rPr>
          <w:lang w:val="en-US"/>
        </w:rPr>
        <w:t>kullanılmasına</w:t>
      </w:r>
      <w:proofErr w:type="spellEnd"/>
      <w:r w:rsidRPr="00A21E04">
        <w:rPr>
          <w:lang w:val="en-US"/>
        </w:rPr>
        <w:t xml:space="preserve"> </w:t>
      </w:r>
      <w:proofErr w:type="spellStart"/>
      <w:r w:rsidRPr="00A21E04">
        <w:rPr>
          <w:lang w:val="en-US"/>
        </w:rPr>
        <w:t>rağmen</w:t>
      </w:r>
      <w:proofErr w:type="spellEnd"/>
      <w:r w:rsidRPr="00A21E04">
        <w:rPr>
          <w:lang w:val="en-US"/>
        </w:rPr>
        <w:t>—</w:t>
      </w:r>
      <w:proofErr w:type="spellStart"/>
      <w:r w:rsidRPr="00A21E04">
        <w:rPr>
          <w:lang w:val="en-US"/>
        </w:rPr>
        <w:t>ya</w:t>
      </w:r>
      <w:proofErr w:type="spellEnd"/>
      <w:r w:rsidRPr="00A21E04">
        <w:rPr>
          <w:lang w:val="en-US"/>
        </w:rPr>
        <w:t xml:space="preserve"> da </w:t>
      </w:r>
      <w:proofErr w:type="spellStart"/>
      <w:r w:rsidRPr="00A21E04">
        <w:rPr>
          <w:lang w:val="en-US"/>
        </w:rPr>
        <w:t>belki</w:t>
      </w:r>
      <w:proofErr w:type="spellEnd"/>
      <w:r w:rsidRPr="00A21E04">
        <w:rPr>
          <w:lang w:val="en-US"/>
        </w:rPr>
        <w:t xml:space="preserve"> de </w:t>
      </w:r>
      <w:proofErr w:type="spellStart"/>
      <w:r w:rsidRPr="00A21E04">
        <w:rPr>
          <w:lang w:val="en-US"/>
        </w:rPr>
        <w:t>bu</w:t>
      </w:r>
      <w:proofErr w:type="spellEnd"/>
      <w:r w:rsidRPr="00A21E04">
        <w:rPr>
          <w:lang w:val="en-US"/>
        </w:rPr>
        <w:t xml:space="preserve"> </w:t>
      </w:r>
      <w:proofErr w:type="spellStart"/>
      <w:r w:rsidRPr="00A21E04">
        <w:rPr>
          <w:lang w:val="en-US"/>
        </w:rPr>
        <w:t>sebeple</w:t>
      </w:r>
      <w:proofErr w:type="spellEnd"/>
      <w:r w:rsidRPr="00A21E04">
        <w:rPr>
          <w:lang w:val="en-US"/>
        </w:rPr>
        <w:t>—</w:t>
      </w:r>
      <w:proofErr w:type="spellStart"/>
      <w:r w:rsidRPr="00A21E04">
        <w:rPr>
          <w:lang w:val="en-US"/>
        </w:rPr>
        <w:t>tek</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tutarlı</w:t>
      </w:r>
      <w:proofErr w:type="spellEnd"/>
      <w:r w:rsidRPr="00A21E04">
        <w:rPr>
          <w:lang w:val="en-US"/>
        </w:rPr>
        <w:t xml:space="preserve"> </w:t>
      </w:r>
      <w:proofErr w:type="spellStart"/>
      <w:r w:rsidRPr="00A21E04">
        <w:rPr>
          <w:lang w:val="en-US"/>
        </w:rPr>
        <w:t>veya</w:t>
      </w:r>
      <w:proofErr w:type="spellEnd"/>
      <w:r w:rsidRPr="00A21E04">
        <w:rPr>
          <w:lang w:val="en-US"/>
        </w:rPr>
        <w:t xml:space="preserve"> </w:t>
      </w:r>
      <w:proofErr w:type="spellStart"/>
      <w:r w:rsidRPr="00A21E04">
        <w:rPr>
          <w:lang w:val="en-US"/>
        </w:rPr>
        <w:t>baskın</w:t>
      </w:r>
      <w:proofErr w:type="spellEnd"/>
      <w:r w:rsidRPr="00A21E04">
        <w:rPr>
          <w:lang w:val="en-US"/>
        </w:rPr>
        <w:t xml:space="preserve"> </w:t>
      </w:r>
      <w:proofErr w:type="spellStart"/>
      <w:r w:rsidRPr="00A21E04">
        <w:rPr>
          <w:lang w:val="en-US"/>
        </w:rPr>
        <w:t>anlamı</w:t>
      </w:r>
      <w:proofErr w:type="spellEnd"/>
      <w:r w:rsidRPr="00A21E04">
        <w:rPr>
          <w:lang w:val="en-US"/>
        </w:rPr>
        <w:t xml:space="preserve"> </w:t>
      </w:r>
      <w:proofErr w:type="spellStart"/>
      <w:r w:rsidRPr="00A21E04">
        <w:rPr>
          <w:lang w:val="en-US"/>
        </w:rPr>
        <w:t>bulunmamaktadır</w:t>
      </w:r>
      <w:proofErr w:type="spellEnd"/>
      <w:r w:rsidRPr="00A21E04">
        <w:rPr>
          <w:lang w:val="en-US"/>
        </w:rPr>
        <w:t xml:space="preserve">. Bu </w:t>
      </w:r>
      <w:proofErr w:type="spellStart"/>
      <w:r w:rsidRPr="00A21E04">
        <w:rPr>
          <w:lang w:val="en-US"/>
        </w:rPr>
        <w:t>terimi</w:t>
      </w:r>
      <w:proofErr w:type="spellEnd"/>
      <w:r w:rsidRPr="00A21E04">
        <w:rPr>
          <w:lang w:val="en-US"/>
        </w:rPr>
        <w:t xml:space="preserve"> </w:t>
      </w:r>
      <w:proofErr w:type="spellStart"/>
      <w:r w:rsidRPr="00A21E04">
        <w:rPr>
          <w:lang w:val="en-US"/>
        </w:rPr>
        <w:t>kullanan</w:t>
      </w:r>
      <w:proofErr w:type="spellEnd"/>
      <w:r w:rsidRPr="00A21E04">
        <w:rPr>
          <w:lang w:val="en-US"/>
        </w:rPr>
        <w:t xml:space="preserve"> </w:t>
      </w:r>
      <w:proofErr w:type="spellStart"/>
      <w:r w:rsidRPr="00A21E04">
        <w:rPr>
          <w:lang w:val="en-US"/>
        </w:rPr>
        <w:t>makalelerin</w:t>
      </w:r>
      <w:proofErr w:type="spellEnd"/>
      <w:r w:rsidRPr="00A21E04">
        <w:rPr>
          <w:lang w:val="en-US"/>
        </w:rPr>
        <w:t xml:space="preserve"> </w:t>
      </w:r>
      <w:proofErr w:type="spellStart"/>
      <w:r w:rsidRPr="00A21E04">
        <w:rPr>
          <w:lang w:val="en-US"/>
        </w:rPr>
        <w:t>önemli</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kısmı</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fikirler</w:t>
      </w:r>
      <w:proofErr w:type="spellEnd"/>
      <w:r w:rsidRPr="00A21E04">
        <w:rPr>
          <w:lang w:val="en-US"/>
        </w:rPr>
        <w:t xml:space="preserve"> </w:t>
      </w:r>
      <w:proofErr w:type="spellStart"/>
      <w:r w:rsidRPr="00A21E04">
        <w:rPr>
          <w:lang w:val="en-US"/>
        </w:rPr>
        <w:t>ve</w:t>
      </w:r>
      <w:proofErr w:type="spellEnd"/>
      <w:r w:rsidRPr="00A21E04">
        <w:rPr>
          <w:lang w:val="en-US"/>
        </w:rPr>
        <w:t xml:space="preserve"> </w:t>
      </w:r>
      <w:proofErr w:type="spellStart"/>
      <w:r w:rsidRPr="00A21E04">
        <w:rPr>
          <w:lang w:val="en-US"/>
        </w:rPr>
        <w:t>mahkemeler</w:t>
      </w:r>
      <w:proofErr w:type="spellEnd"/>
      <w:r w:rsidRPr="00A21E04">
        <w:rPr>
          <w:lang w:val="en-US"/>
        </w:rPr>
        <w:t xml:space="preserve"> </w:t>
      </w:r>
      <w:proofErr w:type="spellStart"/>
      <w:r w:rsidRPr="00A21E04">
        <w:rPr>
          <w:lang w:val="en-US"/>
        </w:rPr>
        <w:t>dışındaki</w:t>
      </w:r>
      <w:proofErr w:type="spellEnd"/>
      <w:r w:rsidRPr="00A21E04">
        <w:rPr>
          <w:lang w:val="en-US"/>
        </w:rPr>
        <w:t xml:space="preserve"> </w:t>
      </w:r>
      <w:proofErr w:type="spellStart"/>
      <w:r w:rsidRPr="00A21E04">
        <w:rPr>
          <w:lang w:val="en-US"/>
        </w:rPr>
        <w:t>hareketleri</w:t>
      </w:r>
      <w:proofErr w:type="spellEnd"/>
      <w:r w:rsidRPr="00A21E04">
        <w:rPr>
          <w:lang w:val="en-US"/>
        </w:rPr>
        <w:t xml:space="preserve"> </w:t>
      </w:r>
      <w:proofErr w:type="spellStart"/>
      <w:r w:rsidRPr="00A21E04">
        <w:rPr>
          <w:lang w:val="en-US"/>
        </w:rPr>
        <w:t>ifade</w:t>
      </w:r>
      <w:proofErr w:type="spellEnd"/>
      <w:r w:rsidRPr="00A21E04">
        <w:rPr>
          <w:lang w:val="en-US"/>
        </w:rPr>
        <w:t xml:space="preserve"> </w:t>
      </w:r>
      <w:proofErr w:type="spellStart"/>
      <w:r w:rsidRPr="00A21E04">
        <w:rPr>
          <w:lang w:val="en-US"/>
        </w:rPr>
        <w:t>etmek</w:t>
      </w:r>
      <w:proofErr w:type="spellEnd"/>
      <w:r w:rsidRPr="00A21E04">
        <w:rPr>
          <w:lang w:val="en-US"/>
        </w:rPr>
        <w:t xml:space="preserve"> </w:t>
      </w:r>
      <w:proofErr w:type="spellStart"/>
      <w:r w:rsidRPr="00A21E04">
        <w:rPr>
          <w:lang w:val="en-US"/>
        </w:rPr>
        <w:t>için</w:t>
      </w:r>
      <w:proofErr w:type="spellEnd"/>
      <w:r w:rsidRPr="00A21E04">
        <w:rPr>
          <w:lang w:val="en-US"/>
        </w:rPr>
        <w:t xml:space="preserve"> </w:t>
      </w:r>
      <w:proofErr w:type="spellStart"/>
      <w:r w:rsidRPr="00A21E04">
        <w:rPr>
          <w:lang w:val="en-US"/>
        </w:rPr>
        <w:t>kullanmakta</w:t>
      </w:r>
      <w:proofErr w:type="spellEnd"/>
      <w:r w:rsidRPr="00A21E04">
        <w:rPr>
          <w:lang w:val="en-US"/>
        </w:rPr>
        <w:t xml:space="preserve"> </w:t>
      </w:r>
      <w:proofErr w:type="spellStart"/>
      <w:r w:rsidRPr="00A21E04">
        <w:rPr>
          <w:lang w:val="en-US"/>
        </w:rPr>
        <w:t>ve</w:t>
      </w:r>
      <w:proofErr w:type="spellEnd"/>
      <w:r w:rsidRPr="00A21E04">
        <w:rPr>
          <w:lang w:val="en-US"/>
        </w:rPr>
        <w:t xml:space="preserve"> “</w:t>
      </w:r>
      <w:proofErr w:type="spellStart"/>
      <w:r w:rsidRPr="00A21E04">
        <w:rPr>
          <w:lang w:val="en-US"/>
        </w:rPr>
        <w:t>anayasa</w:t>
      </w:r>
      <w:proofErr w:type="spellEnd"/>
      <w:r w:rsidRPr="00A21E04">
        <w:rPr>
          <w:lang w:val="en-US"/>
        </w:rPr>
        <w:t xml:space="preserve"> </w:t>
      </w:r>
      <w:proofErr w:type="spellStart"/>
      <w:r w:rsidRPr="00A21E04">
        <w:rPr>
          <w:lang w:val="en-US"/>
        </w:rPr>
        <w:t>hukuku</w:t>
      </w:r>
      <w:proofErr w:type="spellEnd"/>
      <w:r w:rsidRPr="00A21E04">
        <w:rPr>
          <w:lang w:val="en-US"/>
        </w:rPr>
        <w:t xml:space="preserve">” (constitutional law) </w:t>
      </w:r>
      <w:proofErr w:type="spellStart"/>
      <w:r w:rsidRPr="00A21E04">
        <w:rPr>
          <w:lang w:val="en-US"/>
        </w:rPr>
        <w:t>ile</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kültür</w:t>
      </w:r>
      <w:proofErr w:type="spellEnd"/>
      <w:r w:rsidRPr="00A21E04">
        <w:rPr>
          <w:lang w:val="en-US"/>
        </w:rPr>
        <w:t xml:space="preserve">” (constitutional culture) </w:t>
      </w:r>
      <w:proofErr w:type="spellStart"/>
      <w:r w:rsidRPr="00A21E04">
        <w:rPr>
          <w:lang w:val="en-US"/>
        </w:rPr>
        <w:t>arasında</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ikilik</w:t>
      </w:r>
      <w:proofErr w:type="spellEnd"/>
      <w:r w:rsidRPr="00A21E04">
        <w:rPr>
          <w:lang w:val="en-US"/>
        </w:rPr>
        <w:t xml:space="preserve"> oluşturmaktadır.¹⁵⁷</w:t>
      </w:r>
      <w:r>
        <w:rPr>
          <w:lang w:val="en-US"/>
        </w:rPr>
        <w:t xml:space="preserve"> </w:t>
      </w:r>
      <w:r>
        <w:rPr>
          <w:rStyle w:val="FootnoteReference"/>
          <w:lang w:val="en-US"/>
        </w:rPr>
        <w:footnoteReference w:id="157"/>
      </w:r>
      <w:r w:rsidRPr="00A21E04">
        <w:rPr>
          <w:lang w:val="en-US"/>
        </w:rPr>
        <w:t xml:space="preserve"> </w:t>
      </w:r>
      <w:proofErr w:type="spellStart"/>
      <w:r w:rsidRPr="00A21E04">
        <w:rPr>
          <w:lang w:val="en-US"/>
        </w:rPr>
        <w:t>Başka</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önemli</w:t>
      </w:r>
      <w:proofErr w:type="spellEnd"/>
      <w:r w:rsidRPr="00A21E04">
        <w:rPr>
          <w:lang w:val="en-US"/>
        </w:rPr>
        <w:t xml:space="preserve"> </w:t>
      </w:r>
      <w:proofErr w:type="spellStart"/>
      <w:r w:rsidRPr="00A21E04">
        <w:rPr>
          <w:lang w:val="en-US"/>
        </w:rPr>
        <w:t>grup</w:t>
      </w:r>
      <w:proofErr w:type="spellEnd"/>
      <w:r w:rsidRPr="00A21E04">
        <w:rPr>
          <w:lang w:val="en-US"/>
        </w:rPr>
        <w:t xml:space="preserve"> </w:t>
      </w:r>
      <w:proofErr w:type="spellStart"/>
      <w:r w:rsidRPr="00A21E04">
        <w:rPr>
          <w:lang w:val="en-US"/>
        </w:rPr>
        <w:t>makale</w:t>
      </w:r>
      <w:proofErr w:type="spellEnd"/>
      <w:r w:rsidRPr="00A21E04">
        <w:rPr>
          <w:lang w:val="en-US"/>
        </w:rPr>
        <w:t xml:space="preserve"> </w:t>
      </w:r>
      <w:proofErr w:type="spellStart"/>
      <w:r w:rsidRPr="00A21E04">
        <w:rPr>
          <w:lang w:val="en-US"/>
        </w:rPr>
        <w:t>ise</w:t>
      </w:r>
      <w:proofErr w:type="spellEnd"/>
      <w:r w:rsidRPr="00A21E04">
        <w:rPr>
          <w:lang w:val="en-US"/>
        </w:rPr>
        <w:t xml:space="preserve">, </w:t>
      </w:r>
      <w:proofErr w:type="spellStart"/>
      <w:r w:rsidRPr="00A21E04">
        <w:rPr>
          <w:lang w:val="en-US"/>
        </w:rPr>
        <w:t>özellikle</w:t>
      </w:r>
      <w:proofErr w:type="spellEnd"/>
      <w:r w:rsidRPr="00A21E04">
        <w:rPr>
          <w:lang w:val="en-US"/>
        </w:rPr>
        <w:t xml:space="preserve"> </w:t>
      </w:r>
      <w:proofErr w:type="spellStart"/>
      <w:r w:rsidRPr="00A21E04">
        <w:rPr>
          <w:lang w:val="en-US"/>
        </w:rPr>
        <w:t>fakat</w:t>
      </w:r>
      <w:proofErr w:type="spellEnd"/>
      <w:r w:rsidRPr="00A21E04">
        <w:rPr>
          <w:lang w:val="en-US"/>
        </w:rPr>
        <w:t xml:space="preserve"> </w:t>
      </w:r>
      <w:proofErr w:type="spellStart"/>
      <w:r w:rsidRPr="00A21E04">
        <w:rPr>
          <w:lang w:val="en-US"/>
        </w:rPr>
        <w:t>yalnızca</w:t>
      </w:r>
      <w:proofErr w:type="spellEnd"/>
      <w:r w:rsidRPr="00A21E04">
        <w:rPr>
          <w:lang w:val="en-US"/>
        </w:rPr>
        <w:t xml:space="preserve"> </w:t>
      </w:r>
      <w:proofErr w:type="spellStart"/>
      <w:r w:rsidRPr="00A21E04">
        <w:rPr>
          <w:lang w:val="en-US"/>
        </w:rPr>
        <w:t>uluslararası</w:t>
      </w:r>
      <w:proofErr w:type="spellEnd"/>
      <w:r w:rsidRPr="00A21E04">
        <w:rPr>
          <w:lang w:val="en-US"/>
        </w:rPr>
        <w:t xml:space="preserve"> </w:t>
      </w:r>
      <w:proofErr w:type="spellStart"/>
      <w:r w:rsidRPr="00A21E04">
        <w:rPr>
          <w:lang w:val="en-US"/>
        </w:rPr>
        <w:t>ve</w:t>
      </w:r>
      <w:proofErr w:type="spellEnd"/>
      <w:r w:rsidRPr="00A21E04">
        <w:rPr>
          <w:lang w:val="en-US"/>
        </w:rPr>
        <w:t xml:space="preserve"> </w:t>
      </w:r>
      <w:proofErr w:type="spellStart"/>
      <w:r w:rsidRPr="00A21E04">
        <w:rPr>
          <w:lang w:val="en-US"/>
        </w:rPr>
        <w:t>karşılaştırmalı</w:t>
      </w:r>
      <w:proofErr w:type="spellEnd"/>
      <w:r w:rsidRPr="00A21E04">
        <w:rPr>
          <w:lang w:val="en-US"/>
        </w:rPr>
        <w:t xml:space="preserve"> </w:t>
      </w:r>
      <w:proofErr w:type="spellStart"/>
      <w:r w:rsidRPr="00A21E04">
        <w:rPr>
          <w:lang w:val="en-US"/>
        </w:rPr>
        <w:t>hukuk</w:t>
      </w:r>
      <w:proofErr w:type="spellEnd"/>
      <w:r w:rsidRPr="00A21E04">
        <w:rPr>
          <w:lang w:val="en-US"/>
        </w:rPr>
        <w:t xml:space="preserve"> </w:t>
      </w:r>
      <w:proofErr w:type="spellStart"/>
      <w:r w:rsidRPr="00A21E04">
        <w:rPr>
          <w:lang w:val="en-US"/>
        </w:rPr>
        <w:t>bağlamında</w:t>
      </w:r>
      <w:proofErr w:type="spellEnd"/>
      <w:r w:rsidRPr="00A21E04">
        <w:rPr>
          <w:lang w:val="en-US"/>
        </w:rPr>
        <w:t xml:space="preserve"> </w:t>
      </w:r>
      <w:proofErr w:type="spellStart"/>
      <w:r w:rsidRPr="00A21E04">
        <w:rPr>
          <w:lang w:val="en-US"/>
        </w:rPr>
        <w:t>değil</w:t>
      </w:r>
      <w:proofErr w:type="spellEnd"/>
      <w:r w:rsidRPr="00A21E04">
        <w:rPr>
          <w:lang w:val="en-US"/>
        </w:rPr>
        <w:t>, “</w:t>
      </w:r>
      <w:proofErr w:type="spellStart"/>
      <w:r w:rsidRPr="00A21E04">
        <w:rPr>
          <w:lang w:val="en-US"/>
        </w:rPr>
        <w:t>anayasal</w:t>
      </w:r>
      <w:proofErr w:type="spellEnd"/>
      <w:r w:rsidRPr="00A21E04">
        <w:rPr>
          <w:lang w:val="en-US"/>
        </w:rPr>
        <w:t xml:space="preserve"> </w:t>
      </w:r>
      <w:proofErr w:type="spellStart"/>
      <w:r w:rsidRPr="00A21E04">
        <w:rPr>
          <w:lang w:val="en-US"/>
        </w:rPr>
        <w:t>kültür</w:t>
      </w:r>
      <w:proofErr w:type="spellEnd"/>
      <w:r w:rsidRPr="00A21E04">
        <w:rPr>
          <w:lang w:val="en-US"/>
        </w:rPr>
        <w:t xml:space="preserve">” </w:t>
      </w:r>
      <w:proofErr w:type="spellStart"/>
      <w:r w:rsidRPr="00A21E04">
        <w:rPr>
          <w:lang w:val="en-US"/>
        </w:rPr>
        <w:t>kavramını</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demokrasinin</w:t>
      </w:r>
      <w:proofErr w:type="spellEnd"/>
      <w:r w:rsidRPr="00A21E04">
        <w:rPr>
          <w:lang w:val="en-US"/>
        </w:rPr>
        <w:t xml:space="preserve"> </w:t>
      </w:r>
      <w:proofErr w:type="spellStart"/>
      <w:r w:rsidRPr="00A21E04">
        <w:rPr>
          <w:lang w:val="en-US"/>
        </w:rPr>
        <w:t>gelişmesi</w:t>
      </w:r>
      <w:proofErr w:type="spellEnd"/>
      <w:r w:rsidRPr="00A21E04">
        <w:rPr>
          <w:lang w:val="en-US"/>
        </w:rPr>
        <w:t xml:space="preserve"> </w:t>
      </w:r>
      <w:proofErr w:type="spellStart"/>
      <w:r w:rsidRPr="00A21E04">
        <w:rPr>
          <w:lang w:val="en-US"/>
        </w:rPr>
        <w:t>için</w:t>
      </w:r>
      <w:proofErr w:type="spellEnd"/>
      <w:r w:rsidRPr="00A21E04">
        <w:rPr>
          <w:lang w:val="en-US"/>
        </w:rPr>
        <w:t xml:space="preserve"> </w:t>
      </w:r>
      <w:proofErr w:type="spellStart"/>
      <w:r w:rsidRPr="00A21E04">
        <w:rPr>
          <w:lang w:val="en-US"/>
        </w:rPr>
        <w:t>gerekli</w:t>
      </w:r>
      <w:proofErr w:type="spellEnd"/>
      <w:r w:rsidRPr="00A21E04">
        <w:rPr>
          <w:lang w:val="en-US"/>
        </w:rPr>
        <w:t xml:space="preserve"> </w:t>
      </w:r>
      <w:proofErr w:type="spellStart"/>
      <w:r w:rsidRPr="00A21E04">
        <w:rPr>
          <w:lang w:val="en-US"/>
        </w:rPr>
        <w:t>kurumsal</w:t>
      </w:r>
      <w:proofErr w:type="spellEnd"/>
      <w:r w:rsidRPr="00A21E04">
        <w:rPr>
          <w:lang w:val="en-US"/>
        </w:rPr>
        <w:t xml:space="preserve"> </w:t>
      </w:r>
      <w:proofErr w:type="spellStart"/>
      <w:r w:rsidRPr="00A21E04">
        <w:rPr>
          <w:lang w:val="en-US"/>
        </w:rPr>
        <w:t>ve</w:t>
      </w:r>
      <w:proofErr w:type="spellEnd"/>
      <w:r w:rsidRPr="00A21E04">
        <w:rPr>
          <w:lang w:val="en-US"/>
        </w:rPr>
        <w:t xml:space="preserve"> </w:t>
      </w:r>
      <w:proofErr w:type="spellStart"/>
      <w:r w:rsidRPr="00A21E04">
        <w:rPr>
          <w:lang w:val="en-US"/>
        </w:rPr>
        <w:t>tutumsal</w:t>
      </w:r>
      <w:proofErr w:type="spellEnd"/>
      <w:r w:rsidRPr="00A21E04">
        <w:rPr>
          <w:lang w:val="en-US"/>
        </w:rPr>
        <w:t xml:space="preserve"> </w:t>
      </w:r>
      <w:proofErr w:type="spellStart"/>
      <w:r w:rsidRPr="00A21E04">
        <w:rPr>
          <w:lang w:val="en-US"/>
        </w:rPr>
        <w:t>önkoşulları</w:t>
      </w:r>
      <w:proofErr w:type="spellEnd"/>
      <w:r w:rsidRPr="00A21E04">
        <w:rPr>
          <w:lang w:val="en-US"/>
        </w:rPr>
        <w:t xml:space="preserve"> </w:t>
      </w:r>
      <w:proofErr w:type="spellStart"/>
      <w:r w:rsidRPr="00A21E04">
        <w:rPr>
          <w:lang w:val="en-US"/>
        </w:rPr>
        <w:t>ifade</w:t>
      </w:r>
      <w:proofErr w:type="spellEnd"/>
      <w:r w:rsidRPr="00A21E04">
        <w:rPr>
          <w:lang w:val="en-US"/>
        </w:rPr>
        <w:t xml:space="preserve"> </w:t>
      </w:r>
      <w:proofErr w:type="spellStart"/>
      <w:r w:rsidRPr="00A21E04">
        <w:rPr>
          <w:lang w:val="en-US"/>
        </w:rPr>
        <w:t>etmek</w:t>
      </w:r>
      <w:proofErr w:type="spellEnd"/>
      <w:r w:rsidRPr="00A21E04">
        <w:rPr>
          <w:lang w:val="en-US"/>
        </w:rPr>
        <w:t xml:space="preserve"> </w:t>
      </w:r>
      <w:proofErr w:type="spellStart"/>
      <w:r w:rsidRPr="00A21E04">
        <w:rPr>
          <w:lang w:val="en-US"/>
        </w:rPr>
        <w:t>için</w:t>
      </w:r>
      <w:proofErr w:type="spellEnd"/>
      <w:r w:rsidRPr="00A21E04">
        <w:rPr>
          <w:lang w:val="en-US"/>
        </w:rPr>
        <w:t xml:space="preserve"> kullanmaktadır.¹⁵⁸</w:t>
      </w:r>
      <w:r>
        <w:rPr>
          <w:lang w:val="en-US"/>
        </w:rPr>
        <w:t xml:space="preserve"> </w:t>
      </w:r>
      <w:r>
        <w:rPr>
          <w:rStyle w:val="FootnoteReference"/>
          <w:lang w:val="en-US"/>
        </w:rPr>
        <w:footnoteReference w:id="158"/>
      </w:r>
      <w:r w:rsidRPr="00A21E04">
        <w:rPr>
          <w:lang w:val="en-US"/>
        </w:rPr>
        <w:t xml:space="preserve"> </w:t>
      </w:r>
      <w:proofErr w:type="spellStart"/>
      <w:r w:rsidRPr="00A21E04">
        <w:rPr>
          <w:lang w:val="en-US"/>
        </w:rPr>
        <w:t>Bazı</w:t>
      </w:r>
      <w:proofErr w:type="spellEnd"/>
      <w:r w:rsidRPr="00A21E04">
        <w:rPr>
          <w:lang w:val="en-US"/>
        </w:rPr>
        <w:t xml:space="preserve"> </w:t>
      </w:r>
      <w:proofErr w:type="spellStart"/>
      <w:r w:rsidRPr="00A21E04">
        <w:rPr>
          <w:lang w:val="en-US"/>
        </w:rPr>
        <w:t>diğer</w:t>
      </w:r>
      <w:proofErr w:type="spellEnd"/>
      <w:r w:rsidRPr="00A21E04">
        <w:rPr>
          <w:lang w:val="en-US"/>
        </w:rPr>
        <w:t xml:space="preserve"> </w:t>
      </w:r>
      <w:proofErr w:type="spellStart"/>
      <w:r w:rsidRPr="00A21E04">
        <w:rPr>
          <w:lang w:val="en-US"/>
        </w:rPr>
        <w:t>makaleler</w:t>
      </w:r>
      <w:proofErr w:type="spellEnd"/>
      <w:r w:rsidRPr="00A21E04">
        <w:rPr>
          <w:lang w:val="en-US"/>
        </w:rPr>
        <w:t xml:space="preserve"> </w:t>
      </w:r>
      <w:proofErr w:type="spellStart"/>
      <w:r w:rsidRPr="00A21E04">
        <w:rPr>
          <w:lang w:val="en-US"/>
        </w:rPr>
        <w:t>ise</w:t>
      </w:r>
      <w:proofErr w:type="spellEnd"/>
      <w:r w:rsidRPr="00A21E04">
        <w:rPr>
          <w:lang w:val="en-US"/>
        </w:rPr>
        <w:t xml:space="preserve"> </w:t>
      </w:r>
      <w:proofErr w:type="spellStart"/>
      <w:r w:rsidRPr="00A21E04">
        <w:rPr>
          <w:lang w:val="en-US"/>
        </w:rPr>
        <w:t>bu</w:t>
      </w:r>
      <w:proofErr w:type="spellEnd"/>
      <w:r w:rsidRPr="00A21E04">
        <w:rPr>
          <w:lang w:val="en-US"/>
        </w:rPr>
        <w:t xml:space="preserve"> </w:t>
      </w:r>
      <w:proofErr w:type="spellStart"/>
      <w:r w:rsidRPr="00A21E04">
        <w:rPr>
          <w:lang w:val="en-US"/>
        </w:rPr>
        <w:t>ifadeyi</w:t>
      </w:r>
      <w:proofErr w:type="spellEnd"/>
      <w:r w:rsidRPr="00A21E04">
        <w:rPr>
          <w:lang w:val="en-US"/>
        </w:rPr>
        <w:t xml:space="preserve"> </w:t>
      </w:r>
      <w:proofErr w:type="spellStart"/>
      <w:r w:rsidRPr="00A21E04">
        <w:rPr>
          <w:lang w:val="en-US"/>
        </w:rPr>
        <w:t>daha</w:t>
      </w:r>
      <w:proofErr w:type="spellEnd"/>
      <w:r w:rsidRPr="00A21E04">
        <w:rPr>
          <w:lang w:val="en-US"/>
        </w:rPr>
        <w:t xml:space="preserve"> </w:t>
      </w:r>
      <w:proofErr w:type="spellStart"/>
      <w:r w:rsidRPr="00A21E04">
        <w:rPr>
          <w:lang w:val="en-US"/>
        </w:rPr>
        <w:t>gelişigüzel</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şekilde</w:t>
      </w:r>
      <w:proofErr w:type="spellEnd"/>
      <w:r w:rsidRPr="00A21E04">
        <w:rPr>
          <w:lang w:val="en-US"/>
        </w:rPr>
        <w:t xml:space="preserve">, </w:t>
      </w:r>
      <w:proofErr w:type="spellStart"/>
      <w:r w:rsidRPr="00A21E04">
        <w:rPr>
          <w:lang w:val="en-US"/>
        </w:rPr>
        <w:t>Anayasa</w:t>
      </w:r>
      <w:proofErr w:type="spellEnd"/>
      <w:r w:rsidRPr="00A21E04">
        <w:rPr>
          <w:lang w:val="en-US"/>
        </w:rPr>
        <w:t xml:space="preserve"> </w:t>
      </w:r>
      <w:proofErr w:type="spellStart"/>
      <w:r w:rsidRPr="00A21E04">
        <w:rPr>
          <w:lang w:val="en-US"/>
        </w:rPr>
        <w:t>hakkındaki</w:t>
      </w:r>
      <w:proofErr w:type="spellEnd"/>
      <w:r w:rsidRPr="00A21E04">
        <w:rPr>
          <w:lang w:val="en-US"/>
        </w:rPr>
        <w:t xml:space="preserve"> </w:t>
      </w:r>
      <w:proofErr w:type="spellStart"/>
      <w:r w:rsidRPr="00A21E04">
        <w:rPr>
          <w:lang w:val="en-US"/>
        </w:rPr>
        <w:t>genel</w:t>
      </w:r>
      <w:proofErr w:type="spellEnd"/>
      <w:r w:rsidRPr="00A21E04">
        <w:rPr>
          <w:lang w:val="en-US"/>
        </w:rPr>
        <w:t xml:space="preserve"> </w:t>
      </w:r>
      <w:proofErr w:type="spellStart"/>
      <w:r w:rsidRPr="00A21E04">
        <w:rPr>
          <w:lang w:val="en-US"/>
        </w:rPr>
        <w:t>fikirleri</w:t>
      </w:r>
      <w:proofErr w:type="spellEnd"/>
      <w:r w:rsidRPr="00A21E04">
        <w:rPr>
          <w:lang w:val="en-US"/>
        </w:rPr>
        <w:t xml:space="preserve"> </w:t>
      </w:r>
      <w:proofErr w:type="spellStart"/>
      <w:r w:rsidRPr="00A21E04">
        <w:rPr>
          <w:lang w:val="en-US"/>
        </w:rPr>
        <w:t>veya</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içtihattaki</w:t>
      </w:r>
      <w:proofErr w:type="spellEnd"/>
      <w:r w:rsidRPr="00A21E04">
        <w:rPr>
          <w:lang w:val="en-US"/>
        </w:rPr>
        <w:t xml:space="preserve"> </w:t>
      </w:r>
      <w:proofErr w:type="spellStart"/>
      <w:r w:rsidRPr="00A21E04">
        <w:rPr>
          <w:lang w:val="en-US"/>
        </w:rPr>
        <w:t>eğilimleri</w:t>
      </w:r>
      <w:proofErr w:type="spellEnd"/>
      <w:r w:rsidRPr="00A21E04">
        <w:rPr>
          <w:lang w:val="en-US"/>
        </w:rPr>
        <w:t xml:space="preserve"> </w:t>
      </w:r>
      <w:proofErr w:type="spellStart"/>
      <w:r w:rsidRPr="00A21E04">
        <w:rPr>
          <w:lang w:val="en-US"/>
        </w:rPr>
        <w:t>tanımlamak</w:t>
      </w:r>
      <w:proofErr w:type="spellEnd"/>
      <w:r w:rsidRPr="00A21E04">
        <w:rPr>
          <w:lang w:val="en-US"/>
        </w:rPr>
        <w:t xml:space="preserve"> </w:t>
      </w:r>
      <w:proofErr w:type="spellStart"/>
      <w:r w:rsidRPr="00A21E04">
        <w:rPr>
          <w:lang w:val="en-US"/>
        </w:rPr>
        <w:t>için</w:t>
      </w:r>
      <w:proofErr w:type="spellEnd"/>
      <w:r w:rsidRPr="00A21E04">
        <w:rPr>
          <w:lang w:val="en-US"/>
        </w:rPr>
        <w:t xml:space="preserve"> kullanmaktadır.¹⁵⁹</w:t>
      </w:r>
      <w:r>
        <w:rPr>
          <w:lang w:val="en-US"/>
        </w:rPr>
        <w:t xml:space="preserve"> </w:t>
      </w:r>
      <w:r>
        <w:rPr>
          <w:rStyle w:val="FootnoteReference"/>
          <w:lang w:val="en-US"/>
        </w:rPr>
        <w:footnoteReference w:id="159"/>
      </w:r>
    </w:p>
    <w:p w14:paraId="5166FC5F" w14:textId="77777777" w:rsidR="00A21E04" w:rsidRDefault="00A21E04" w:rsidP="00A21E04">
      <w:pPr>
        <w:rPr>
          <w:lang w:val="en-US"/>
        </w:rPr>
      </w:pPr>
      <w:proofErr w:type="spellStart"/>
      <w:r w:rsidRPr="00A21E04">
        <w:rPr>
          <w:lang w:val="en-US"/>
        </w:rPr>
        <w:t>Yukarıdaki</w:t>
      </w:r>
      <w:proofErr w:type="spellEnd"/>
      <w:r w:rsidRPr="00A21E04">
        <w:rPr>
          <w:lang w:val="en-US"/>
        </w:rPr>
        <w:t xml:space="preserve"> </w:t>
      </w:r>
      <w:proofErr w:type="spellStart"/>
      <w:r w:rsidRPr="00A21E04">
        <w:rPr>
          <w:lang w:val="en-US"/>
        </w:rPr>
        <w:t>bölümün</w:t>
      </w:r>
      <w:proofErr w:type="spellEnd"/>
      <w:r w:rsidRPr="00A21E04">
        <w:rPr>
          <w:lang w:val="en-US"/>
        </w:rPr>
        <w:t xml:space="preserve"> de </w:t>
      </w:r>
      <w:proofErr w:type="spellStart"/>
      <w:r w:rsidRPr="00A21E04">
        <w:rPr>
          <w:lang w:val="en-US"/>
        </w:rPr>
        <w:t>gösterdiği</w:t>
      </w:r>
      <w:proofErr w:type="spellEnd"/>
      <w:r w:rsidRPr="00A21E04">
        <w:rPr>
          <w:lang w:val="en-US"/>
        </w:rPr>
        <w:t xml:space="preserve"> </w:t>
      </w:r>
      <w:proofErr w:type="spellStart"/>
      <w:r w:rsidRPr="00A21E04">
        <w:rPr>
          <w:lang w:val="en-US"/>
        </w:rPr>
        <w:t>gibi</w:t>
      </w:r>
      <w:proofErr w:type="spellEnd"/>
      <w:r w:rsidRPr="00A21E04">
        <w:rPr>
          <w:lang w:val="en-US"/>
        </w:rPr>
        <w:t>, ben “</w:t>
      </w:r>
      <w:proofErr w:type="spellStart"/>
      <w:r w:rsidRPr="00A21E04">
        <w:rPr>
          <w:lang w:val="en-US"/>
        </w:rPr>
        <w:t>anayasal</w:t>
      </w:r>
      <w:proofErr w:type="spellEnd"/>
      <w:r w:rsidRPr="00A21E04">
        <w:rPr>
          <w:lang w:val="en-US"/>
        </w:rPr>
        <w:t xml:space="preserve"> </w:t>
      </w:r>
      <w:proofErr w:type="spellStart"/>
      <w:r w:rsidRPr="00A21E04">
        <w:rPr>
          <w:lang w:val="en-US"/>
        </w:rPr>
        <w:t>kültür</w:t>
      </w:r>
      <w:proofErr w:type="spellEnd"/>
      <w:r w:rsidRPr="00A21E04">
        <w:rPr>
          <w:lang w:val="en-US"/>
        </w:rPr>
        <w:t xml:space="preserve">” (constitutional culture) </w:t>
      </w:r>
      <w:proofErr w:type="spellStart"/>
      <w:r w:rsidRPr="00A21E04">
        <w:rPr>
          <w:lang w:val="en-US"/>
        </w:rPr>
        <w:t>terimini</w:t>
      </w:r>
      <w:proofErr w:type="spellEnd"/>
      <w:r w:rsidRPr="00A21E04">
        <w:rPr>
          <w:lang w:val="en-US"/>
        </w:rPr>
        <w:t xml:space="preserve"> </w:t>
      </w:r>
      <w:proofErr w:type="spellStart"/>
      <w:r w:rsidRPr="00A21E04">
        <w:rPr>
          <w:lang w:val="en-US"/>
        </w:rPr>
        <w:t>çoğu</w:t>
      </w:r>
      <w:proofErr w:type="spellEnd"/>
      <w:r w:rsidRPr="00A21E04">
        <w:rPr>
          <w:lang w:val="en-US"/>
        </w:rPr>
        <w:t xml:space="preserve"> </w:t>
      </w:r>
      <w:proofErr w:type="spellStart"/>
      <w:r w:rsidRPr="00A21E04">
        <w:rPr>
          <w:lang w:val="en-US"/>
        </w:rPr>
        <w:t>yazardan</w:t>
      </w:r>
      <w:proofErr w:type="spellEnd"/>
      <w:r w:rsidRPr="00A21E04">
        <w:rPr>
          <w:lang w:val="en-US"/>
        </w:rPr>
        <w:t xml:space="preserve"> </w:t>
      </w:r>
      <w:proofErr w:type="spellStart"/>
      <w:r w:rsidRPr="00A21E04">
        <w:rPr>
          <w:lang w:val="en-US"/>
        </w:rPr>
        <w:t>biraz</w:t>
      </w:r>
      <w:proofErr w:type="spellEnd"/>
      <w:r w:rsidRPr="00A21E04">
        <w:rPr>
          <w:lang w:val="en-US"/>
        </w:rPr>
        <w:t xml:space="preserve"> </w:t>
      </w:r>
      <w:proofErr w:type="spellStart"/>
      <w:r w:rsidRPr="00A21E04">
        <w:rPr>
          <w:lang w:val="en-US"/>
        </w:rPr>
        <w:t>farklı</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şekilde</w:t>
      </w:r>
      <w:proofErr w:type="spellEnd"/>
      <w:r w:rsidRPr="00A21E04">
        <w:rPr>
          <w:lang w:val="en-US"/>
        </w:rPr>
        <w:t xml:space="preserve"> </w:t>
      </w:r>
      <w:proofErr w:type="spellStart"/>
      <w:r w:rsidRPr="00A21E04">
        <w:rPr>
          <w:lang w:val="en-US"/>
        </w:rPr>
        <w:t>kullanmaktayım</w:t>
      </w:r>
      <w:proofErr w:type="spellEnd"/>
      <w:r w:rsidRPr="00A21E04">
        <w:rPr>
          <w:lang w:val="en-US"/>
        </w:rPr>
        <w:t xml:space="preserve">. </w:t>
      </w:r>
      <w:proofErr w:type="spellStart"/>
      <w:r w:rsidRPr="00A21E04">
        <w:rPr>
          <w:lang w:val="en-US"/>
        </w:rPr>
        <w:t>Öncelikle</w:t>
      </w:r>
      <w:proofErr w:type="spellEnd"/>
      <w:r w:rsidRPr="00A21E04">
        <w:rPr>
          <w:lang w:val="en-US"/>
        </w:rPr>
        <w:t xml:space="preserve">, </w:t>
      </w:r>
      <w:proofErr w:type="spellStart"/>
      <w:r w:rsidRPr="00A21E04">
        <w:rPr>
          <w:lang w:val="en-US"/>
        </w:rPr>
        <w:t>benim</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kültür</w:t>
      </w:r>
      <w:proofErr w:type="spellEnd"/>
      <w:r w:rsidRPr="00A21E04">
        <w:rPr>
          <w:lang w:val="en-US"/>
        </w:rPr>
        <w:t xml:space="preserve"> </w:t>
      </w:r>
      <w:proofErr w:type="spellStart"/>
      <w:r w:rsidRPr="00A21E04">
        <w:rPr>
          <w:lang w:val="en-US"/>
        </w:rPr>
        <w:t>anlayışım</w:t>
      </w:r>
      <w:proofErr w:type="spellEnd"/>
      <w:r w:rsidRPr="00A21E04">
        <w:rPr>
          <w:lang w:val="en-US"/>
        </w:rPr>
        <w:t xml:space="preserve"> </w:t>
      </w:r>
      <w:proofErr w:type="spellStart"/>
      <w:r w:rsidRPr="00A21E04">
        <w:rPr>
          <w:lang w:val="en-US"/>
        </w:rPr>
        <w:t>kesin</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anlam</w:t>
      </w:r>
      <w:proofErr w:type="spellEnd"/>
      <w:r w:rsidRPr="00A21E04">
        <w:rPr>
          <w:lang w:val="en-US"/>
        </w:rPr>
        <w:t xml:space="preserve"> </w:t>
      </w:r>
      <w:proofErr w:type="spellStart"/>
      <w:r w:rsidRPr="00A21E04">
        <w:rPr>
          <w:lang w:val="en-US"/>
        </w:rPr>
        <w:t>taşımakta</w:t>
      </w:r>
      <w:proofErr w:type="spellEnd"/>
      <w:r w:rsidRPr="00A21E04">
        <w:rPr>
          <w:lang w:val="en-US"/>
        </w:rPr>
        <w:t xml:space="preserve"> </w:t>
      </w:r>
      <w:proofErr w:type="spellStart"/>
      <w:r w:rsidRPr="00A21E04">
        <w:rPr>
          <w:lang w:val="en-US"/>
        </w:rPr>
        <w:t>olup</w:t>
      </w:r>
      <w:proofErr w:type="spellEnd"/>
      <w:r w:rsidRPr="00A21E04">
        <w:rPr>
          <w:lang w:val="en-US"/>
        </w:rPr>
        <w:t xml:space="preserve">, </w:t>
      </w:r>
      <w:proofErr w:type="spellStart"/>
      <w:r w:rsidRPr="00A21E04">
        <w:rPr>
          <w:lang w:val="en-US"/>
        </w:rPr>
        <w:t>belirsiz</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ruh</w:t>
      </w:r>
      <w:proofErr w:type="spellEnd"/>
      <w:r w:rsidRPr="00A21E04">
        <w:rPr>
          <w:lang w:val="en-US"/>
        </w:rPr>
        <w:t xml:space="preserve"> </w:t>
      </w:r>
      <w:proofErr w:type="spellStart"/>
      <w:r w:rsidRPr="00A21E04">
        <w:rPr>
          <w:lang w:val="en-US"/>
        </w:rPr>
        <w:t>haline</w:t>
      </w:r>
      <w:proofErr w:type="spellEnd"/>
      <w:r w:rsidRPr="00A21E04">
        <w:rPr>
          <w:lang w:val="en-US"/>
        </w:rPr>
        <w:t xml:space="preserve"> (zeitgeist) </w:t>
      </w:r>
      <w:proofErr w:type="spellStart"/>
      <w:r w:rsidRPr="00A21E04">
        <w:rPr>
          <w:lang w:val="en-US"/>
        </w:rPr>
        <w:t>veya</w:t>
      </w:r>
      <w:proofErr w:type="spellEnd"/>
      <w:r w:rsidRPr="00A21E04">
        <w:rPr>
          <w:lang w:val="en-US"/>
        </w:rPr>
        <w:t xml:space="preserve"> </w:t>
      </w:r>
      <w:proofErr w:type="spellStart"/>
      <w:r w:rsidRPr="00A21E04">
        <w:rPr>
          <w:lang w:val="en-US"/>
        </w:rPr>
        <w:t>anayasa</w:t>
      </w:r>
      <w:proofErr w:type="spellEnd"/>
      <w:r w:rsidRPr="00A21E04">
        <w:rPr>
          <w:lang w:val="en-US"/>
        </w:rPr>
        <w:t xml:space="preserve"> </w:t>
      </w:r>
      <w:proofErr w:type="spellStart"/>
      <w:r w:rsidRPr="00A21E04">
        <w:rPr>
          <w:lang w:val="en-US"/>
        </w:rPr>
        <w:t>hakkında</w:t>
      </w:r>
      <w:proofErr w:type="spellEnd"/>
      <w:r w:rsidRPr="00A21E04">
        <w:rPr>
          <w:lang w:val="en-US"/>
        </w:rPr>
        <w:t xml:space="preserve"> </w:t>
      </w:r>
      <w:proofErr w:type="spellStart"/>
      <w:r w:rsidRPr="00A21E04">
        <w:rPr>
          <w:lang w:val="en-US"/>
        </w:rPr>
        <w:t>yeterince</w:t>
      </w:r>
      <w:proofErr w:type="spellEnd"/>
      <w:r w:rsidRPr="00A21E04">
        <w:rPr>
          <w:lang w:val="en-US"/>
        </w:rPr>
        <w:t xml:space="preserve"> </w:t>
      </w:r>
      <w:proofErr w:type="spellStart"/>
      <w:r w:rsidRPr="00A21E04">
        <w:rPr>
          <w:lang w:val="en-US"/>
        </w:rPr>
        <w:t>somut</w:t>
      </w:r>
      <w:proofErr w:type="spellEnd"/>
      <w:r w:rsidRPr="00A21E04">
        <w:rPr>
          <w:lang w:val="en-US"/>
        </w:rPr>
        <w:t xml:space="preserve"> </w:t>
      </w:r>
      <w:proofErr w:type="spellStart"/>
      <w:r w:rsidRPr="00A21E04">
        <w:rPr>
          <w:lang w:val="en-US"/>
        </w:rPr>
        <w:t>olmadığı</w:t>
      </w:r>
      <w:proofErr w:type="spellEnd"/>
      <w:r w:rsidRPr="00A21E04">
        <w:rPr>
          <w:lang w:val="en-US"/>
        </w:rPr>
        <w:t xml:space="preserve"> </w:t>
      </w:r>
      <w:proofErr w:type="spellStart"/>
      <w:r w:rsidRPr="00A21E04">
        <w:rPr>
          <w:lang w:val="en-US"/>
        </w:rPr>
        <w:t>için</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argüman</w:t>
      </w:r>
      <w:proofErr w:type="spellEnd"/>
      <w:r w:rsidRPr="00A21E04">
        <w:rPr>
          <w:lang w:val="en-US"/>
        </w:rPr>
        <w:t xml:space="preserve"> </w:t>
      </w:r>
      <w:proofErr w:type="spellStart"/>
      <w:r w:rsidRPr="00A21E04">
        <w:rPr>
          <w:lang w:val="en-US"/>
        </w:rPr>
        <w:t>olarak</w:t>
      </w:r>
      <w:proofErr w:type="spellEnd"/>
      <w:r w:rsidRPr="00A21E04">
        <w:rPr>
          <w:lang w:val="en-US"/>
        </w:rPr>
        <w:t xml:space="preserve"> </w:t>
      </w:r>
      <w:proofErr w:type="spellStart"/>
      <w:r w:rsidRPr="00A21E04">
        <w:rPr>
          <w:lang w:val="en-US"/>
        </w:rPr>
        <w:t>sınıflandırılamayan</w:t>
      </w:r>
      <w:proofErr w:type="spellEnd"/>
      <w:r w:rsidRPr="00A21E04">
        <w:rPr>
          <w:lang w:val="en-US"/>
        </w:rPr>
        <w:t xml:space="preserve"> </w:t>
      </w:r>
      <w:proofErr w:type="spellStart"/>
      <w:r w:rsidRPr="00A21E04">
        <w:rPr>
          <w:lang w:val="en-US"/>
        </w:rPr>
        <w:t>bir</w:t>
      </w:r>
      <w:proofErr w:type="spellEnd"/>
      <w:r w:rsidRPr="00A21E04">
        <w:rPr>
          <w:lang w:val="en-US"/>
        </w:rPr>
        <w:t xml:space="preserve"> dizi </w:t>
      </w:r>
      <w:proofErr w:type="spellStart"/>
      <w:r w:rsidRPr="00A21E04">
        <w:rPr>
          <w:lang w:val="en-US"/>
        </w:rPr>
        <w:t>fikre</w:t>
      </w:r>
      <w:proofErr w:type="spellEnd"/>
      <w:r w:rsidRPr="00A21E04">
        <w:rPr>
          <w:lang w:val="en-US"/>
        </w:rPr>
        <w:t xml:space="preserve"> </w:t>
      </w:r>
      <w:proofErr w:type="spellStart"/>
      <w:r w:rsidRPr="00A21E04">
        <w:rPr>
          <w:lang w:val="en-US"/>
        </w:rPr>
        <w:t>değil</w:t>
      </w:r>
      <w:proofErr w:type="spellEnd"/>
      <w:r w:rsidRPr="00A21E04">
        <w:rPr>
          <w:lang w:val="en-US"/>
        </w:rPr>
        <w:t xml:space="preserve">, </w:t>
      </w:r>
      <w:proofErr w:type="spellStart"/>
      <w:r w:rsidRPr="00A21E04">
        <w:rPr>
          <w:lang w:val="en-US"/>
        </w:rPr>
        <w:t>geniş</w:t>
      </w:r>
      <w:proofErr w:type="spellEnd"/>
      <w:r w:rsidRPr="00A21E04">
        <w:rPr>
          <w:lang w:val="en-US"/>
        </w:rPr>
        <w:t xml:space="preserve"> </w:t>
      </w:r>
      <w:proofErr w:type="spellStart"/>
      <w:r w:rsidRPr="00A21E04">
        <w:rPr>
          <w:lang w:val="en-US"/>
        </w:rPr>
        <w:t>ancak</w:t>
      </w:r>
      <w:proofErr w:type="spellEnd"/>
      <w:r w:rsidRPr="00A21E04">
        <w:rPr>
          <w:lang w:val="en-US"/>
        </w:rPr>
        <w:t xml:space="preserve"> </w:t>
      </w:r>
      <w:proofErr w:type="spellStart"/>
      <w:r w:rsidRPr="00A21E04">
        <w:rPr>
          <w:lang w:val="en-US"/>
        </w:rPr>
        <w:t>belirli</w:t>
      </w:r>
      <w:proofErr w:type="spellEnd"/>
      <w:r w:rsidRPr="00A21E04">
        <w:rPr>
          <w:lang w:val="en-US"/>
        </w:rPr>
        <w:t xml:space="preserve"> </w:t>
      </w:r>
      <w:proofErr w:type="spellStart"/>
      <w:r w:rsidRPr="00A21E04">
        <w:rPr>
          <w:lang w:val="en-US"/>
        </w:rPr>
        <w:t>bir</w:t>
      </w:r>
      <w:proofErr w:type="spellEnd"/>
      <w:r w:rsidRPr="00A21E04">
        <w:rPr>
          <w:lang w:val="en-US"/>
        </w:rPr>
        <w:t xml:space="preserve"> dizi </w:t>
      </w:r>
      <w:proofErr w:type="spellStart"/>
      <w:r w:rsidRPr="00A21E04">
        <w:rPr>
          <w:lang w:val="en-US"/>
        </w:rPr>
        <w:t>somut</w:t>
      </w:r>
      <w:proofErr w:type="spellEnd"/>
      <w:r w:rsidRPr="00A21E04">
        <w:rPr>
          <w:lang w:val="en-US"/>
        </w:rPr>
        <w:t xml:space="preserve"> </w:t>
      </w:r>
      <w:proofErr w:type="spellStart"/>
      <w:r w:rsidRPr="00A21E04">
        <w:rPr>
          <w:lang w:val="en-US"/>
        </w:rPr>
        <w:t>unsura</w:t>
      </w:r>
      <w:proofErr w:type="spellEnd"/>
      <w:r w:rsidRPr="00A21E04">
        <w:rPr>
          <w:lang w:val="en-US"/>
        </w:rPr>
        <w:t xml:space="preserve"> </w:t>
      </w:r>
      <w:proofErr w:type="spellStart"/>
      <w:r w:rsidRPr="00A21E04">
        <w:rPr>
          <w:lang w:val="en-US"/>
        </w:rPr>
        <w:t>atıfta</w:t>
      </w:r>
      <w:proofErr w:type="spellEnd"/>
      <w:r w:rsidRPr="00A21E04">
        <w:rPr>
          <w:lang w:val="en-US"/>
        </w:rPr>
        <w:t xml:space="preserve"> </w:t>
      </w:r>
      <w:proofErr w:type="spellStart"/>
      <w:r w:rsidRPr="00A21E04">
        <w:rPr>
          <w:lang w:val="en-US"/>
        </w:rPr>
        <w:t>bulunmaktadır</w:t>
      </w:r>
      <w:proofErr w:type="spellEnd"/>
      <w:r w:rsidRPr="00A21E04">
        <w:rPr>
          <w:lang w:val="en-US"/>
        </w:rPr>
        <w:t xml:space="preserve">. </w:t>
      </w:r>
      <w:proofErr w:type="spellStart"/>
      <w:r w:rsidRPr="00A21E04">
        <w:rPr>
          <w:lang w:val="en-US"/>
        </w:rPr>
        <w:t>Dahası</w:t>
      </w:r>
      <w:proofErr w:type="spellEnd"/>
      <w:r w:rsidRPr="00A21E04">
        <w:rPr>
          <w:lang w:val="en-US"/>
        </w:rPr>
        <w:t xml:space="preserve">, </w:t>
      </w:r>
      <w:proofErr w:type="spellStart"/>
      <w:r w:rsidRPr="00A21E04">
        <w:rPr>
          <w:lang w:val="en-US"/>
        </w:rPr>
        <w:t>odak</w:t>
      </w:r>
      <w:proofErr w:type="spellEnd"/>
      <w:r w:rsidRPr="00A21E04">
        <w:rPr>
          <w:lang w:val="en-US"/>
        </w:rPr>
        <w:t xml:space="preserve"> </w:t>
      </w:r>
      <w:proofErr w:type="spellStart"/>
      <w:r w:rsidRPr="00A21E04">
        <w:rPr>
          <w:lang w:val="en-US"/>
        </w:rPr>
        <w:t>noktam</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sistemin</w:t>
      </w:r>
      <w:proofErr w:type="spellEnd"/>
      <w:r w:rsidRPr="00A21E04">
        <w:rPr>
          <w:lang w:val="en-US"/>
        </w:rPr>
        <w:t xml:space="preserve"> </w:t>
      </w:r>
      <w:proofErr w:type="spellStart"/>
      <w:r w:rsidRPr="00A21E04">
        <w:rPr>
          <w:lang w:val="en-US"/>
        </w:rPr>
        <w:t>kültürel</w:t>
      </w:r>
      <w:proofErr w:type="spellEnd"/>
      <w:r w:rsidRPr="00A21E04">
        <w:rPr>
          <w:lang w:val="en-US"/>
        </w:rPr>
        <w:t xml:space="preserve"> </w:t>
      </w:r>
      <w:proofErr w:type="spellStart"/>
      <w:r w:rsidRPr="00A21E04">
        <w:rPr>
          <w:lang w:val="en-US"/>
        </w:rPr>
        <w:t>önkoşulları</w:t>
      </w:r>
      <w:proofErr w:type="spellEnd"/>
      <w:r w:rsidRPr="00A21E04">
        <w:rPr>
          <w:lang w:val="en-US"/>
        </w:rPr>
        <w:t xml:space="preserve"> </w:t>
      </w:r>
      <w:proofErr w:type="spellStart"/>
      <w:r w:rsidRPr="00A21E04">
        <w:rPr>
          <w:lang w:val="en-US"/>
        </w:rPr>
        <w:t>değil</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sistemin</w:t>
      </w:r>
      <w:proofErr w:type="spellEnd"/>
      <w:r w:rsidRPr="00A21E04">
        <w:rPr>
          <w:lang w:val="en-US"/>
        </w:rPr>
        <w:t xml:space="preserve"> </w:t>
      </w:r>
      <w:proofErr w:type="spellStart"/>
      <w:r w:rsidRPr="00A21E04">
        <w:rPr>
          <w:lang w:val="en-US"/>
        </w:rPr>
        <w:t>unsurlarıdır</w:t>
      </w:r>
      <w:proofErr w:type="spellEnd"/>
      <w:r w:rsidRPr="00A21E04">
        <w:rPr>
          <w:lang w:val="en-US"/>
        </w:rPr>
        <w:t xml:space="preserve">. Son </w:t>
      </w:r>
      <w:proofErr w:type="spellStart"/>
      <w:r w:rsidRPr="00A21E04">
        <w:rPr>
          <w:lang w:val="en-US"/>
        </w:rPr>
        <w:t>olarak</w:t>
      </w:r>
      <w:proofErr w:type="spellEnd"/>
      <w:r w:rsidRPr="00A21E04">
        <w:rPr>
          <w:lang w:val="en-US"/>
        </w:rPr>
        <w:t xml:space="preserve">, </w:t>
      </w:r>
      <w:proofErr w:type="spellStart"/>
      <w:r w:rsidRPr="00A21E04">
        <w:rPr>
          <w:lang w:val="en-US"/>
        </w:rPr>
        <w:t>benim</w:t>
      </w:r>
      <w:proofErr w:type="spellEnd"/>
      <w:r w:rsidRPr="00A21E04">
        <w:rPr>
          <w:lang w:val="en-US"/>
        </w:rPr>
        <w:t xml:space="preserve"> “</w:t>
      </w:r>
      <w:proofErr w:type="spellStart"/>
      <w:r w:rsidRPr="00A21E04">
        <w:rPr>
          <w:lang w:val="en-US"/>
        </w:rPr>
        <w:t>anayasal</w:t>
      </w:r>
      <w:proofErr w:type="spellEnd"/>
      <w:r w:rsidRPr="00A21E04">
        <w:rPr>
          <w:lang w:val="en-US"/>
        </w:rPr>
        <w:t xml:space="preserve"> </w:t>
      </w:r>
      <w:proofErr w:type="spellStart"/>
      <w:r w:rsidRPr="00A21E04">
        <w:rPr>
          <w:lang w:val="en-US"/>
        </w:rPr>
        <w:t>kültür</w:t>
      </w:r>
      <w:proofErr w:type="spellEnd"/>
      <w:r w:rsidRPr="00A21E04">
        <w:rPr>
          <w:lang w:val="en-US"/>
        </w:rPr>
        <w:t xml:space="preserve">” </w:t>
      </w:r>
      <w:proofErr w:type="spellStart"/>
      <w:r w:rsidRPr="00A21E04">
        <w:rPr>
          <w:lang w:val="en-US"/>
        </w:rPr>
        <w:t>anlayışım</w:t>
      </w:r>
      <w:proofErr w:type="spellEnd"/>
      <w:r w:rsidRPr="00A21E04">
        <w:rPr>
          <w:lang w:val="en-US"/>
        </w:rPr>
        <w:t xml:space="preserve">, </w:t>
      </w:r>
      <w:proofErr w:type="spellStart"/>
      <w:r w:rsidRPr="00A21E04">
        <w:rPr>
          <w:lang w:val="en-US"/>
        </w:rPr>
        <w:t>yalnızca</w:t>
      </w:r>
      <w:proofErr w:type="spellEnd"/>
      <w:r w:rsidRPr="00A21E04">
        <w:rPr>
          <w:lang w:val="en-US"/>
        </w:rPr>
        <w:t xml:space="preserve"> </w:t>
      </w:r>
      <w:proofErr w:type="spellStart"/>
      <w:r w:rsidRPr="00A21E04">
        <w:rPr>
          <w:lang w:val="en-US"/>
        </w:rPr>
        <w:t>yargı</w:t>
      </w:r>
      <w:proofErr w:type="spellEnd"/>
      <w:r w:rsidRPr="00A21E04">
        <w:rPr>
          <w:lang w:val="en-US"/>
        </w:rPr>
        <w:t xml:space="preserve"> </w:t>
      </w:r>
      <w:proofErr w:type="spellStart"/>
      <w:r w:rsidRPr="00A21E04">
        <w:rPr>
          <w:lang w:val="en-US"/>
        </w:rPr>
        <w:t>sisteminin</w:t>
      </w:r>
      <w:proofErr w:type="spellEnd"/>
      <w:r w:rsidRPr="00A21E04">
        <w:rPr>
          <w:lang w:val="en-US"/>
        </w:rPr>
        <w:t xml:space="preserve"> </w:t>
      </w:r>
      <w:proofErr w:type="spellStart"/>
      <w:r w:rsidRPr="00A21E04">
        <w:rPr>
          <w:lang w:val="en-US"/>
        </w:rPr>
        <w:t>dışındaki</w:t>
      </w:r>
      <w:proofErr w:type="spellEnd"/>
      <w:r w:rsidRPr="00A21E04">
        <w:rPr>
          <w:lang w:val="en-US"/>
        </w:rPr>
        <w:t xml:space="preserve"> </w:t>
      </w:r>
      <w:proofErr w:type="spellStart"/>
      <w:r w:rsidRPr="00A21E04">
        <w:rPr>
          <w:lang w:val="en-US"/>
        </w:rPr>
        <w:t>aktörlerin</w:t>
      </w:r>
      <w:proofErr w:type="spellEnd"/>
      <w:r w:rsidRPr="00A21E04">
        <w:rPr>
          <w:lang w:val="en-US"/>
        </w:rPr>
        <w:t xml:space="preserve"> </w:t>
      </w:r>
      <w:proofErr w:type="spellStart"/>
      <w:r w:rsidRPr="00A21E04">
        <w:rPr>
          <w:lang w:val="en-US"/>
        </w:rPr>
        <w:t>düşünce</w:t>
      </w:r>
      <w:proofErr w:type="spellEnd"/>
      <w:r w:rsidRPr="00A21E04">
        <w:rPr>
          <w:lang w:val="en-US"/>
        </w:rPr>
        <w:t xml:space="preserve"> </w:t>
      </w:r>
      <w:proofErr w:type="spellStart"/>
      <w:r w:rsidRPr="00A21E04">
        <w:rPr>
          <w:lang w:val="en-US"/>
        </w:rPr>
        <w:t>alışkanlıkları</w:t>
      </w:r>
      <w:proofErr w:type="spellEnd"/>
      <w:r w:rsidRPr="00A21E04">
        <w:rPr>
          <w:lang w:val="en-US"/>
        </w:rPr>
        <w:t xml:space="preserve"> </w:t>
      </w:r>
      <w:proofErr w:type="spellStart"/>
      <w:r w:rsidRPr="00A21E04">
        <w:rPr>
          <w:lang w:val="en-US"/>
        </w:rPr>
        <w:t>ve</w:t>
      </w:r>
      <w:proofErr w:type="spellEnd"/>
      <w:r w:rsidRPr="00A21E04">
        <w:rPr>
          <w:lang w:val="en-US"/>
        </w:rPr>
        <w:t xml:space="preserve"> </w:t>
      </w:r>
      <w:proofErr w:type="spellStart"/>
      <w:r w:rsidRPr="00A21E04">
        <w:rPr>
          <w:lang w:val="en-US"/>
        </w:rPr>
        <w:t>kurumsal</w:t>
      </w:r>
      <w:proofErr w:type="spellEnd"/>
      <w:r w:rsidRPr="00A21E04">
        <w:rPr>
          <w:lang w:val="en-US"/>
        </w:rPr>
        <w:t xml:space="preserve"> </w:t>
      </w:r>
      <w:proofErr w:type="spellStart"/>
      <w:r w:rsidRPr="00A21E04">
        <w:rPr>
          <w:lang w:val="en-US"/>
        </w:rPr>
        <w:t>tepkileriyle</w:t>
      </w:r>
      <w:proofErr w:type="spellEnd"/>
      <w:r w:rsidRPr="00A21E04">
        <w:rPr>
          <w:lang w:val="en-US"/>
        </w:rPr>
        <w:t xml:space="preserve"> </w:t>
      </w:r>
      <w:proofErr w:type="spellStart"/>
      <w:r w:rsidRPr="00A21E04">
        <w:rPr>
          <w:lang w:val="en-US"/>
        </w:rPr>
        <w:t>sınırlı</w:t>
      </w:r>
      <w:proofErr w:type="spellEnd"/>
      <w:r w:rsidRPr="00A21E04">
        <w:rPr>
          <w:lang w:val="en-US"/>
        </w:rPr>
        <w:t xml:space="preserve"> </w:t>
      </w:r>
      <w:proofErr w:type="spellStart"/>
      <w:r w:rsidRPr="00A21E04">
        <w:rPr>
          <w:lang w:val="en-US"/>
        </w:rPr>
        <w:lastRenderedPageBreak/>
        <w:t>olmayıp</w:t>
      </w:r>
      <w:proofErr w:type="spellEnd"/>
      <w:r w:rsidRPr="00A21E04">
        <w:rPr>
          <w:lang w:val="en-US"/>
        </w:rPr>
        <w:t xml:space="preserve">, </w:t>
      </w:r>
      <w:proofErr w:type="spellStart"/>
      <w:r w:rsidRPr="00A21E04">
        <w:rPr>
          <w:lang w:val="en-US"/>
        </w:rPr>
        <w:t>yargı</w:t>
      </w:r>
      <w:proofErr w:type="spellEnd"/>
      <w:r w:rsidRPr="00A21E04">
        <w:rPr>
          <w:lang w:val="en-US"/>
        </w:rPr>
        <w:t xml:space="preserve"> </w:t>
      </w:r>
      <w:proofErr w:type="spellStart"/>
      <w:r w:rsidRPr="00A21E04">
        <w:rPr>
          <w:lang w:val="en-US"/>
        </w:rPr>
        <w:t>sistemi</w:t>
      </w:r>
      <w:proofErr w:type="spellEnd"/>
      <w:r w:rsidRPr="00A21E04">
        <w:rPr>
          <w:lang w:val="en-US"/>
        </w:rPr>
        <w:t xml:space="preserve"> </w:t>
      </w:r>
      <w:proofErr w:type="spellStart"/>
      <w:r w:rsidRPr="00A21E04">
        <w:rPr>
          <w:lang w:val="en-US"/>
        </w:rPr>
        <w:t>içindeki</w:t>
      </w:r>
      <w:proofErr w:type="spellEnd"/>
      <w:r w:rsidRPr="00A21E04">
        <w:rPr>
          <w:lang w:val="en-US"/>
        </w:rPr>
        <w:t xml:space="preserve"> </w:t>
      </w:r>
      <w:proofErr w:type="spellStart"/>
      <w:r w:rsidRPr="00A21E04">
        <w:rPr>
          <w:lang w:val="en-US"/>
        </w:rPr>
        <w:t>aktörlerin</w:t>
      </w:r>
      <w:proofErr w:type="spellEnd"/>
      <w:r w:rsidRPr="00A21E04">
        <w:rPr>
          <w:lang w:val="en-US"/>
        </w:rPr>
        <w:t xml:space="preserve"> </w:t>
      </w:r>
      <w:proofErr w:type="spellStart"/>
      <w:r w:rsidRPr="00A21E04">
        <w:rPr>
          <w:lang w:val="en-US"/>
        </w:rPr>
        <w:t>davranışlarını</w:t>
      </w:r>
      <w:proofErr w:type="spellEnd"/>
      <w:r w:rsidRPr="00A21E04">
        <w:rPr>
          <w:lang w:val="en-US"/>
        </w:rPr>
        <w:t xml:space="preserve"> </w:t>
      </w:r>
      <w:proofErr w:type="spellStart"/>
      <w:r w:rsidRPr="00A21E04">
        <w:rPr>
          <w:lang w:val="en-US"/>
        </w:rPr>
        <w:t>şekillendiren</w:t>
      </w:r>
      <w:proofErr w:type="spellEnd"/>
      <w:r w:rsidRPr="00A21E04">
        <w:rPr>
          <w:lang w:val="en-US"/>
        </w:rPr>
        <w:t xml:space="preserve"> </w:t>
      </w:r>
      <w:proofErr w:type="spellStart"/>
      <w:r w:rsidRPr="00A21E04">
        <w:rPr>
          <w:lang w:val="en-US"/>
        </w:rPr>
        <w:t>düşünce</w:t>
      </w:r>
      <w:proofErr w:type="spellEnd"/>
      <w:r w:rsidRPr="00A21E04">
        <w:rPr>
          <w:lang w:val="en-US"/>
        </w:rPr>
        <w:t xml:space="preserve"> </w:t>
      </w:r>
      <w:proofErr w:type="spellStart"/>
      <w:r w:rsidRPr="00A21E04">
        <w:rPr>
          <w:lang w:val="en-US"/>
        </w:rPr>
        <w:t>alışkanlıkları</w:t>
      </w:r>
      <w:proofErr w:type="spellEnd"/>
      <w:r w:rsidRPr="00A21E04">
        <w:rPr>
          <w:lang w:val="en-US"/>
        </w:rPr>
        <w:t xml:space="preserve"> </w:t>
      </w:r>
      <w:proofErr w:type="spellStart"/>
      <w:r w:rsidRPr="00A21E04">
        <w:rPr>
          <w:lang w:val="en-US"/>
        </w:rPr>
        <w:t>ve</w:t>
      </w:r>
      <w:proofErr w:type="spellEnd"/>
      <w:r w:rsidRPr="00A21E04">
        <w:rPr>
          <w:lang w:val="en-US"/>
        </w:rPr>
        <w:t xml:space="preserve"> </w:t>
      </w:r>
      <w:proofErr w:type="spellStart"/>
      <w:r w:rsidRPr="00A21E04">
        <w:rPr>
          <w:lang w:val="en-US"/>
        </w:rPr>
        <w:t>kurumsal</w:t>
      </w:r>
      <w:proofErr w:type="spellEnd"/>
      <w:r w:rsidRPr="00A21E04">
        <w:rPr>
          <w:lang w:val="en-US"/>
        </w:rPr>
        <w:t xml:space="preserve"> </w:t>
      </w:r>
      <w:proofErr w:type="spellStart"/>
      <w:r w:rsidRPr="00A21E04">
        <w:rPr>
          <w:lang w:val="en-US"/>
        </w:rPr>
        <w:t>düzenlemeleri</w:t>
      </w:r>
      <w:proofErr w:type="spellEnd"/>
      <w:r w:rsidRPr="00A21E04">
        <w:rPr>
          <w:lang w:val="en-US"/>
        </w:rPr>
        <w:t xml:space="preserve"> de </w:t>
      </w:r>
      <w:proofErr w:type="spellStart"/>
      <w:r w:rsidRPr="00A21E04">
        <w:rPr>
          <w:lang w:val="en-US"/>
        </w:rPr>
        <w:t>kapsayacak</w:t>
      </w:r>
      <w:proofErr w:type="spellEnd"/>
      <w:r w:rsidRPr="00A21E04">
        <w:rPr>
          <w:lang w:val="en-US"/>
        </w:rPr>
        <w:t xml:space="preserve"> </w:t>
      </w:r>
      <w:proofErr w:type="spellStart"/>
      <w:r w:rsidRPr="00A21E04">
        <w:rPr>
          <w:lang w:val="en-US"/>
        </w:rPr>
        <w:t>kadar</w:t>
      </w:r>
      <w:proofErr w:type="spellEnd"/>
      <w:r w:rsidRPr="00A21E04">
        <w:rPr>
          <w:lang w:val="en-US"/>
        </w:rPr>
        <w:t xml:space="preserve"> </w:t>
      </w:r>
      <w:proofErr w:type="spellStart"/>
      <w:r w:rsidRPr="00A21E04">
        <w:rPr>
          <w:lang w:val="en-US"/>
        </w:rPr>
        <w:t>geniş</w:t>
      </w:r>
      <w:proofErr w:type="spellEnd"/>
      <w:r w:rsidRPr="00A21E04">
        <w:rPr>
          <w:lang w:val="en-US"/>
        </w:rPr>
        <w:t xml:space="preserve"> </w:t>
      </w:r>
      <w:proofErr w:type="spellStart"/>
      <w:r w:rsidRPr="00A21E04">
        <w:rPr>
          <w:lang w:val="en-US"/>
        </w:rPr>
        <w:t>bir</w:t>
      </w:r>
      <w:proofErr w:type="spellEnd"/>
      <w:r w:rsidRPr="00A21E04">
        <w:rPr>
          <w:lang w:val="en-US"/>
        </w:rPr>
        <w:t xml:space="preserve"> </w:t>
      </w:r>
      <w:proofErr w:type="spellStart"/>
      <w:r w:rsidRPr="00A21E04">
        <w:rPr>
          <w:lang w:val="en-US"/>
        </w:rPr>
        <w:t>çerçeveye</w:t>
      </w:r>
      <w:proofErr w:type="spellEnd"/>
      <w:r w:rsidRPr="00A21E04">
        <w:rPr>
          <w:lang w:val="en-US"/>
        </w:rPr>
        <w:t xml:space="preserve"> </w:t>
      </w:r>
      <w:proofErr w:type="spellStart"/>
      <w:r w:rsidRPr="00A21E04">
        <w:rPr>
          <w:lang w:val="en-US"/>
        </w:rPr>
        <w:t>sahiptir</w:t>
      </w:r>
      <w:proofErr w:type="spellEnd"/>
      <w:r w:rsidRPr="00A21E04">
        <w:rPr>
          <w:lang w:val="en-US"/>
        </w:rPr>
        <w:t>.</w:t>
      </w:r>
    </w:p>
    <w:p w14:paraId="2D59A076" w14:textId="3EE20EDB" w:rsidR="00FB23A3" w:rsidRDefault="00FB23A3" w:rsidP="00FB23A3">
      <w:pPr>
        <w:rPr>
          <w:lang w:val="en-US"/>
        </w:rPr>
      </w:pPr>
      <w:r w:rsidRPr="00FB23A3">
        <w:rPr>
          <w:lang w:val="en-US"/>
        </w:rPr>
        <w:t>“</w:t>
      </w:r>
      <w:proofErr w:type="spellStart"/>
      <w:r w:rsidRPr="00FB23A3">
        <w:rPr>
          <w:lang w:val="en-US"/>
        </w:rPr>
        <w:t>Anayasal</w:t>
      </w:r>
      <w:proofErr w:type="spellEnd"/>
      <w:r w:rsidRPr="00FB23A3">
        <w:rPr>
          <w:lang w:val="en-US"/>
        </w:rPr>
        <w:t xml:space="preserve"> </w:t>
      </w:r>
      <w:proofErr w:type="spellStart"/>
      <w:r w:rsidRPr="00FB23A3">
        <w:rPr>
          <w:lang w:val="en-US"/>
        </w:rPr>
        <w:t>kültür</w:t>
      </w:r>
      <w:proofErr w:type="spellEnd"/>
      <w:r w:rsidRPr="00FB23A3">
        <w:rPr>
          <w:lang w:val="en-US"/>
        </w:rPr>
        <w:t xml:space="preserve">” (constitutional culture) </w:t>
      </w:r>
      <w:proofErr w:type="spellStart"/>
      <w:r w:rsidRPr="00FB23A3">
        <w:rPr>
          <w:lang w:val="en-US"/>
        </w:rPr>
        <w:t>terimi</w:t>
      </w:r>
      <w:proofErr w:type="spellEnd"/>
      <w:r w:rsidRPr="00FB23A3">
        <w:rPr>
          <w:lang w:val="en-US"/>
        </w:rPr>
        <w:t xml:space="preserve"> </w:t>
      </w:r>
      <w:proofErr w:type="spellStart"/>
      <w:r w:rsidRPr="00FB23A3">
        <w:rPr>
          <w:lang w:val="en-US"/>
        </w:rPr>
        <w:t>üzerindeki</w:t>
      </w:r>
      <w:proofErr w:type="spellEnd"/>
      <w:r w:rsidRPr="00FB23A3">
        <w:rPr>
          <w:lang w:val="en-US"/>
        </w:rPr>
        <w:t xml:space="preserve"> </w:t>
      </w:r>
      <w:proofErr w:type="spellStart"/>
      <w:r w:rsidRPr="00FB23A3">
        <w:rPr>
          <w:lang w:val="en-US"/>
        </w:rPr>
        <w:t>belirgin</w:t>
      </w:r>
      <w:proofErr w:type="spellEnd"/>
      <w:r w:rsidRPr="00FB23A3">
        <w:rPr>
          <w:lang w:val="en-US"/>
        </w:rPr>
        <w:t xml:space="preserve"> </w:t>
      </w:r>
      <w:proofErr w:type="spellStart"/>
      <w:r w:rsidRPr="00FB23A3">
        <w:rPr>
          <w:lang w:val="en-US"/>
        </w:rPr>
        <w:t>tartışmalara</w:t>
      </w:r>
      <w:proofErr w:type="spellEnd"/>
      <w:r w:rsidRPr="00FB23A3">
        <w:rPr>
          <w:lang w:val="en-US"/>
        </w:rPr>
        <w:t xml:space="preserve"> </w:t>
      </w:r>
      <w:proofErr w:type="spellStart"/>
      <w:r w:rsidRPr="00FB23A3">
        <w:rPr>
          <w:lang w:val="en-US"/>
        </w:rPr>
        <w:t>rağmen</w:t>
      </w:r>
      <w:proofErr w:type="spellEnd"/>
      <w:r w:rsidRPr="00FB23A3">
        <w:rPr>
          <w:lang w:val="en-US"/>
        </w:rPr>
        <w:t xml:space="preserve">, </w:t>
      </w:r>
      <w:proofErr w:type="spellStart"/>
      <w:r w:rsidRPr="00FB23A3">
        <w:rPr>
          <w:lang w:val="en-US"/>
        </w:rPr>
        <w:t>anayasa</w:t>
      </w:r>
      <w:proofErr w:type="spellEnd"/>
      <w:r w:rsidRPr="00FB23A3">
        <w:rPr>
          <w:lang w:val="en-US"/>
        </w:rPr>
        <w:t xml:space="preserve"> </w:t>
      </w:r>
      <w:proofErr w:type="spellStart"/>
      <w:r w:rsidRPr="00FB23A3">
        <w:rPr>
          <w:lang w:val="en-US"/>
        </w:rPr>
        <w:t>hukukunun</w:t>
      </w:r>
      <w:proofErr w:type="spellEnd"/>
      <w:r w:rsidRPr="00FB23A3">
        <w:rPr>
          <w:lang w:val="en-US"/>
        </w:rPr>
        <w:t xml:space="preserve"> </w:t>
      </w:r>
      <w:proofErr w:type="spellStart"/>
      <w:r w:rsidRPr="00FB23A3">
        <w:rPr>
          <w:lang w:val="en-US"/>
        </w:rPr>
        <w:t>oluşturulduğu</w:t>
      </w:r>
      <w:proofErr w:type="spellEnd"/>
      <w:r w:rsidRPr="00FB23A3">
        <w:rPr>
          <w:lang w:val="en-US"/>
        </w:rPr>
        <w:t xml:space="preserve"> </w:t>
      </w:r>
      <w:proofErr w:type="spellStart"/>
      <w:r w:rsidRPr="00FB23A3">
        <w:rPr>
          <w:lang w:val="en-US"/>
        </w:rPr>
        <w:t>tarihsel</w:t>
      </w:r>
      <w:proofErr w:type="spellEnd"/>
      <w:r w:rsidRPr="00FB23A3">
        <w:rPr>
          <w:lang w:val="en-US"/>
        </w:rPr>
        <w:t xml:space="preserve"> </w:t>
      </w:r>
      <w:proofErr w:type="spellStart"/>
      <w:r w:rsidRPr="00FB23A3">
        <w:rPr>
          <w:lang w:val="en-US"/>
        </w:rPr>
        <w:t>olarak</w:t>
      </w:r>
      <w:proofErr w:type="spellEnd"/>
      <w:r w:rsidRPr="00FB23A3">
        <w:rPr>
          <w:lang w:val="en-US"/>
        </w:rPr>
        <w:t xml:space="preserve"> </w:t>
      </w:r>
      <w:proofErr w:type="spellStart"/>
      <w:r w:rsidRPr="00FB23A3">
        <w:rPr>
          <w:lang w:val="en-US"/>
        </w:rPr>
        <w:t>değişken</w:t>
      </w:r>
      <w:proofErr w:type="spellEnd"/>
      <w:r w:rsidRPr="00FB23A3">
        <w:rPr>
          <w:lang w:val="en-US"/>
        </w:rPr>
        <w:t xml:space="preserve"> </w:t>
      </w:r>
      <w:proofErr w:type="spellStart"/>
      <w:r w:rsidRPr="00FB23A3">
        <w:rPr>
          <w:lang w:val="en-US"/>
        </w:rPr>
        <w:t>kurumlar</w:t>
      </w:r>
      <w:proofErr w:type="spellEnd"/>
      <w:r w:rsidRPr="00FB23A3">
        <w:rPr>
          <w:lang w:val="en-US"/>
        </w:rPr>
        <w:t xml:space="preserve">, </w:t>
      </w:r>
      <w:proofErr w:type="spellStart"/>
      <w:r w:rsidRPr="00FB23A3">
        <w:rPr>
          <w:lang w:val="en-US"/>
        </w:rPr>
        <w:t>uygulamalar</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düşünce</w:t>
      </w:r>
      <w:proofErr w:type="spellEnd"/>
      <w:r w:rsidRPr="00FB23A3">
        <w:rPr>
          <w:lang w:val="en-US"/>
        </w:rPr>
        <w:t xml:space="preserve"> </w:t>
      </w:r>
      <w:proofErr w:type="spellStart"/>
      <w:r w:rsidRPr="00FB23A3">
        <w:rPr>
          <w:lang w:val="en-US"/>
        </w:rPr>
        <w:t>alışkanlıklarını</w:t>
      </w:r>
      <w:proofErr w:type="spellEnd"/>
      <w:r w:rsidRPr="00FB23A3">
        <w:rPr>
          <w:lang w:val="en-US"/>
        </w:rPr>
        <w:t xml:space="preserve"> </w:t>
      </w:r>
      <w:proofErr w:type="spellStart"/>
      <w:r w:rsidRPr="00FB23A3">
        <w:rPr>
          <w:lang w:val="en-US"/>
        </w:rPr>
        <w:t>tanımlamak</w:t>
      </w:r>
      <w:proofErr w:type="spellEnd"/>
      <w:r w:rsidRPr="00FB23A3">
        <w:rPr>
          <w:lang w:val="en-US"/>
        </w:rPr>
        <w:t xml:space="preserve"> </w:t>
      </w:r>
      <w:proofErr w:type="spellStart"/>
      <w:r w:rsidRPr="00FB23A3">
        <w:rPr>
          <w:lang w:val="en-US"/>
        </w:rPr>
        <w:t>için</w:t>
      </w:r>
      <w:proofErr w:type="spellEnd"/>
      <w:r w:rsidRPr="00FB23A3">
        <w:rPr>
          <w:lang w:val="en-US"/>
        </w:rPr>
        <w:t xml:space="preserve"> </w:t>
      </w:r>
      <w:proofErr w:type="spellStart"/>
      <w:r w:rsidRPr="00FB23A3">
        <w:rPr>
          <w:lang w:val="en-US"/>
        </w:rPr>
        <w:t>en</w:t>
      </w:r>
      <w:proofErr w:type="spellEnd"/>
      <w:r w:rsidRPr="00FB23A3">
        <w:rPr>
          <w:lang w:val="en-US"/>
        </w:rPr>
        <w:t xml:space="preserve"> </w:t>
      </w:r>
      <w:proofErr w:type="spellStart"/>
      <w:r w:rsidRPr="00FB23A3">
        <w:rPr>
          <w:lang w:val="en-US"/>
        </w:rPr>
        <w:t>uygun</w:t>
      </w:r>
      <w:proofErr w:type="spellEnd"/>
      <w:r w:rsidRPr="00FB23A3">
        <w:rPr>
          <w:lang w:val="en-US"/>
        </w:rPr>
        <w:t xml:space="preserve"> </w:t>
      </w:r>
      <w:proofErr w:type="spellStart"/>
      <w:r w:rsidRPr="00FB23A3">
        <w:rPr>
          <w:lang w:val="en-US"/>
        </w:rPr>
        <w:t>kavram</w:t>
      </w:r>
      <w:proofErr w:type="spellEnd"/>
      <w:r w:rsidRPr="00FB23A3">
        <w:rPr>
          <w:lang w:val="en-US"/>
        </w:rPr>
        <w:t xml:space="preserve"> </w:t>
      </w:r>
      <w:proofErr w:type="spellStart"/>
      <w:r w:rsidRPr="00FB23A3">
        <w:rPr>
          <w:lang w:val="en-US"/>
        </w:rPr>
        <w:t>olmaya</w:t>
      </w:r>
      <w:proofErr w:type="spellEnd"/>
      <w:r w:rsidRPr="00FB23A3">
        <w:rPr>
          <w:lang w:val="en-US"/>
        </w:rPr>
        <w:t xml:space="preserve"> </w:t>
      </w:r>
      <w:proofErr w:type="spellStart"/>
      <w:r w:rsidRPr="00FB23A3">
        <w:rPr>
          <w:lang w:val="en-US"/>
        </w:rPr>
        <w:t>devam</w:t>
      </w:r>
      <w:proofErr w:type="spellEnd"/>
      <w:r w:rsidRPr="00FB23A3">
        <w:rPr>
          <w:lang w:val="en-US"/>
        </w:rPr>
        <w:t xml:space="preserve"> </w:t>
      </w:r>
      <w:proofErr w:type="spellStart"/>
      <w:r w:rsidRPr="00FB23A3">
        <w:rPr>
          <w:lang w:val="en-US"/>
        </w:rPr>
        <w:t>ettiğine</w:t>
      </w:r>
      <w:proofErr w:type="spellEnd"/>
      <w:r w:rsidRPr="00FB23A3">
        <w:rPr>
          <w:lang w:val="en-US"/>
        </w:rPr>
        <w:t xml:space="preserve"> </w:t>
      </w:r>
      <w:proofErr w:type="spellStart"/>
      <w:r w:rsidRPr="00FB23A3">
        <w:rPr>
          <w:lang w:val="en-US"/>
        </w:rPr>
        <w:t>inanmak</w:t>
      </w:r>
      <w:proofErr w:type="spellEnd"/>
      <w:r w:rsidRPr="00FB23A3">
        <w:rPr>
          <w:lang w:val="en-US"/>
        </w:rPr>
        <w:t xml:space="preserve"> </w:t>
      </w:r>
      <w:proofErr w:type="spellStart"/>
      <w:r w:rsidRPr="00FB23A3">
        <w:rPr>
          <w:lang w:val="en-US"/>
        </w:rPr>
        <w:t>için</w:t>
      </w:r>
      <w:proofErr w:type="spellEnd"/>
      <w:r w:rsidRPr="00FB23A3">
        <w:rPr>
          <w:lang w:val="en-US"/>
        </w:rPr>
        <w:t xml:space="preserve"> </w:t>
      </w:r>
      <w:proofErr w:type="spellStart"/>
      <w:r w:rsidRPr="00FB23A3">
        <w:rPr>
          <w:lang w:val="en-US"/>
        </w:rPr>
        <w:t>birçok</w:t>
      </w:r>
      <w:proofErr w:type="spellEnd"/>
      <w:r w:rsidRPr="00FB23A3">
        <w:rPr>
          <w:lang w:val="en-US"/>
        </w:rPr>
        <w:t xml:space="preserve"> </w:t>
      </w:r>
      <w:proofErr w:type="spellStart"/>
      <w:r w:rsidRPr="00FB23A3">
        <w:rPr>
          <w:lang w:val="en-US"/>
        </w:rPr>
        <w:t>neden</w:t>
      </w:r>
      <w:proofErr w:type="spellEnd"/>
      <w:r w:rsidRPr="00FB23A3">
        <w:rPr>
          <w:lang w:val="en-US"/>
        </w:rPr>
        <w:t xml:space="preserve"> </w:t>
      </w:r>
      <w:proofErr w:type="spellStart"/>
      <w:r w:rsidRPr="00FB23A3">
        <w:rPr>
          <w:lang w:val="en-US"/>
        </w:rPr>
        <w:t>bulunmaktadır</w:t>
      </w:r>
      <w:proofErr w:type="spellEnd"/>
      <w:r w:rsidRPr="00FB23A3">
        <w:rPr>
          <w:lang w:val="en-US"/>
        </w:rPr>
        <w:t xml:space="preserve">. </w:t>
      </w:r>
      <w:proofErr w:type="spellStart"/>
      <w:r w:rsidRPr="00FB23A3">
        <w:rPr>
          <w:lang w:val="en-US"/>
        </w:rPr>
        <w:t>Öncelikle</w:t>
      </w:r>
      <w:proofErr w:type="spellEnd"/>
      <w:r w:rsidRPr="00FB23A3">
        <w:rPr>
          <w:lang w:val="en-US"/>
        </w:rPr>
        <w:t xml:space="preserve">, </w:t>
      </w:r>
      <w:proofErr w:type="spellStart"/>
      <w:r w:rsidRPr="00FB23A3">
        <w:rPr>
          <w:lang w:val="en-US"/>
        </w:rPr>
        <w:t>bu</w:t>
      </w:r>
      <w:proofErr w:type="spellEnd"/>
      <w:r w:rsidRPr="00FB23A3">
        <w:rPr>
          <w:lang w:val="en-US"/>
        </w:rPr>
        <w:t xml:space="preserve"> </w:t>
      </w:r>
      <w:proofErr w:type="spellStart"/>
      <w:r w:rsidRPr="00FB23A3">
        <w:rPr>
          <w:lang w:val="en-US"/>
        </w:rPr>
        <w:t>kurum</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normları</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kültür</w:t>
      </w:r>
      <w:proofErr w:type="spellEnd"/>
      <w:r w:rsidRPr="00FB23A3">
        <w:rPr>
          <w:lang w:val="en-US"/>
        </w:rPr>
        <w:t xml:space="preserve"> </w:t>
      </w:r>
      <w:proofErr w:type="spellStart"/>
      <w:r w:rsidRPr="00FB23A3">
        <w:rPr>
          <w:lang w:val="en-US"/>
        </w:rPr>
        <w:t>biçimi</w:t>
      </w:r>
      <w:proofErr w:type="spellEnd"/>
      <w:r w:rsidRPr="00FB23A3">
        <w:rPr>
          <w:lang w:val="en-US"/>
        </w:rPr>
        <w:t xml:space="preserve"> </w:t>
      </w:r>
      <w:proofErr w:type="spellStart"/>
      <w:r w:rsidRPr="00FB23A3">
        <w:rPr>
          <w:lang w:val="en-US"/>
        </w:rPr>
        <w:t>olarak</w:t>
      </w:r>
      <w:proofErr w:type="spellEnd"/>
      <w:r w:rsidRPr="00FB23A3">
        <w:rPr>
          <w:lang w:val="en-US"/>
        </w:rPr>
        <w:t xml:space="preserve"> </w:t>
      </w:r>
      <w:proofErr w:type="spellStart"/>
      <w:r w:rsidRPr="00FB23A3">
        <w:rPr>
          <w:lang w:val="en-US"/>
        </w:rPr>
        <w:t>ele</w:t>
      </w:r>
      <w:proofErr w:type="spellEnd"/>
      <w:r w:rsidRPr="00FB23A3">
        <w:rPr>
          <w:lang w:val="en-US"/>
        </w:rPr>
        <w:t xml:space="preserve"> </w:t>
      </w:r>
      <w:proofErr w:type="spellStart"/>
      <w:r w:rsidRPr="00FB23A3">
        <w:rPr>
          <w:lang w:val="en-US"/>
        </w:rPr>
        <w:t>almak</w:t>
      </w:r>
      <w:proofErr w:type="spellEnd"/>
      <w:r w:rsidRPr="00FB23A3">
        <w:rPr>
          <w:lang w:val="en-US"/>
        </w:rPr>
        <w:t xml:space="preserve">, </w:t>
      </w:r>
      <w:proofErr w:type="spellStart"/>
      <w:r w:rsidRPr="00FB23A3">
        <w:rPr>
          <w:lang w:val="en-US"/>
        </w:rPr>
        <w:t>bunları</w:t>
      </w:r>
      <w:proofErr w:type="spellEnd"/>
      <w:r w:rsidRPr="00FB23A3">
        <w:rPr>
          <w:lang w:val="en-US"/>
        </w:rPr>
        <w:t xml:space="preserve"> </w:t>
      </w:r>
      <w:proofErr w:type="spellStart"/>
      <w:r w:rsidRPr="00FB23A3">
        <w:rPr>
          <w:lang w:val="en-US"/>
        </w:rPr>
        <w:t>haritalamak</w:t>
      </w:r>
      <w:proofErr w:type="spellEnd"/>
      <w:r w:rsidRPr="00FB23A3">
        <w:rPr>
          <w:lang w:val="en-US"/>
        </w:rPr>
        <w:t xml:space="preserve"> </w:t>
      </w:r>
      <w:proofErr w:type="spellStart"/>
      <w:r w:rsidRPr="00FB23A3">
        <w:rPr>
          <w:lang w:val="en-US"/>
        </w:rPr>
        <w:t>veya</w:t>
      </w:r>
      <w:proofErr w:type="spellEnd"/>
      <w:r w:rsidRPr="00FB23A3">
        <w:rPr>
          <w:lang w:val="en-US"/>
        </w:rPr>
        <w:t xml:space="preserve"> </w:t>
      </w:r>
      <w:proofErr w:type="spellStart"/>
      <w:r w:rsidRPr="00FB23A3">
        <w:rPr>
          <w:lang w:val="en-US"/>
        </w:rPr>
        <w:t>kuramsallaştırmakla</w:t>
      </w:r>
      <w:proofErr w:type="spellEnd"/>
      <w:r w:rsidRPr="00FB23A3">
        <w:rPr>
          <w:lang w:val="en-US"/>
        </w:rPr>
        <w:t xml:space="preserve"> </w:t>
      </w:r>
      <w:proofErr w:type="spellStart"/>
      <w:r w:rsidRPr="00FB23A3">
        <w:rPr>
          <w:lang w:val="en-US"/>
        </w:rPr>
        <w:t>görevli</w:t>
      </w:r>
      <w:proofErr w:type="spellEnd"/>
      <w:r w:rsidRPr="00FB23A3">
        <w:rPr>
          <w:lang w:val="en-US"/>
        </w:rPr>
        <w:t xml:space="preserve"> </w:t>
      </w:r>
      <w:proofErr w:type="spellStart"/>
      <w:r w:rsidRPr="00FB23A3">
        <w:rPr>
          <w:lang w:val="en-US"/>
        </w:rPr>
        <w:t>olanların</w:t>
      </w:r>
      <w:proofErr w:type="spellEnd"/>
      <w:r w:rsidRPr="00FB23A3">
        <w:rPr>
          <w:lang w:val="en-US"/>
        </w:rPr>
        <w:t xml:space="preserve">, </w:t>
      </w:r>
      <w:proofErr w:type="spellStart"/>
      <w:r w:rsidRPr="00FB23A3">
        <w:rPr>
          <w:lang w:val="en-US"/>
        </w:rPr>
        <w:t>özellikle</w:t>
      </w:r>
      <w:proofErr w:type="spellEnd"/>
      <w:r w:rsidRPr="00FB23A3">
        <w:rPr>
          <w:lang w:val="en-US"/>
        </w:rPr>
        <w:t xml:space="preserve"> </w:t>
      </w:r>
      <w:proofErr w:type="spellStart"/>
      <w:r w:rsidRPr="00FB23A3">
        <w:rPr>
          <w:lang w:val="en-US"/>
        </w:rPr>
        <w:t>tarihçilerin</w:t>
      </w:r>
      <w:proofErr w:type="spellEnd"/>
      <w:r w:rsidRPr="00FB23A3">
        <w:rPr>
          <w:lang w:val="en-US"/>
        </w:rPr>
        <w:t xml:space="preserve">, </w:t>
      </w:r>
      <w:proofErr w:type="spellStart"/>
      <w:r w:rsidRPr="00FB23A3">
        <w:rPr>
          <w:lang w:val="en-US"/>
        </w:rPr>
        <w:t>antropologların</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edebiyat</w:t>
      </w:r>
      <w:proofErr w:type="spellEnd"/>
      <w:r w:rsidRPr="00FB23A3">
        <w:rPr>
          <w:lang w:val="en-US"/>
        </w:rPr>
        <w:t xml:space="preserve"> </w:t>
      </w:r>
      <w:proofErr w:type="spellStart"/>
      <w:r w:rsidRPr="00FB23A3">
        <w:rPr>
          <w:lang w:val="en-US"/>
        </w:rPr>
        <w:t>kuramcılarının</w:t>
      </w:r>
      <w:proofErr w:type="spellEnd"/>
      <w:r w:rsidRPr="00FB23A3">
        <w:rPr>
          <w:lang w:val="en-US"/>
        </w:rPr>
        <w:t xml:space="preserve"> </w:t>
      </w:r>
      <w:proofErr w:type="spellStart"/>
      <w:r w:rsidRPr="00FB23A3">
        <w:rPr>
          <w:lang w:val="en-US"/>
        </w:rPr>
        <w:t>çalışmaları</w:t>
      </w:r>
      <w:proofErr w:type="spellEnd"/>
      <w:r w:rsidRPr="00FB23A3">
        <w:rPr>
          <w:lang w:val="en-US"/>
        </w:rPr>
        <w:t xml:space="preserve"> </w:t>
      </w:r>
      <w:proofErr w:type="spellStart"/>
      <w:r w:rsidRPr="00FB23A3">
        <w:rPr>
          <w:lang w:val="en-US"/>
        </w:rPr>
        <w:t>başta</w:t>
      </w:r>
      <w:proofErr w:type="spellEnd"/>
      <w:r w:rsidRPr="00FB23A3">
        <w:rPr>
          <w:lang w:val="en-US"/>
        </w:rPr>
        <w:t xml:space="preserve"> </w:t>
      </w:r>
      <w:proofErr w:type="spellStart"/>
      <w:r w:rsidRPr="00FB23A3">
        <w:rPr>
          <w:lang w:val="en-US"/>
        </w:rPr>
        <w:t>olmak</w:t>
      </w:r>
      <w:proofErr w:type="spellEnd"/>
      <w:r w:rsidRPr="00FB23A3">
        <w:rPr>
          <w:lang w:val="en-US"/>
        </w:rPr>
        <w:t xml:space="preserve"> </w:t>
      </w:r>
      <w:proofErr w:type="spellStart"/>
      <w:r w:rsidRPr="00FB23A3">
        <w:rPr>
          <w:lang w:val="en-US"/>
        </w:rPr>
        <w:t>üzere</w:t>
      </w:r>
      <w:proofErr w:type="spellEnd"/>
      <w:r w:rsidRPr="00FB23A3">
        <w:rPr>
          <w:lang w:val="en-US"/>
        </w:rPr>
        <w:t>, “</w:t>
      </w:r>
      <w:proofErr w:type="spellStart"/>
      <w:r w:rsidRPr="00FB23A3">
        <w:rPr>
          <w:lang w:val="en-US"/>
        </w:rPr>
        <w:t>kültür</w:t>
      </w:r>
      <w:proofErr w:type="spellEnd"/>
      <w:r w:rsidRPr="00FB23A3">
        <w:rPr>
          <w:lang w:val="en-US"/>
        </w:rPr>
        <w:t xml:space="preserve">” </w:t>
      </w:r>
      <w:proofErr w:type="spellStart"/>
      <w:r w:rsidRPr="00FB23A3">
        <w:rPr>
          <w:lang w:val="en-US"/>
        </w:rPr>
        <w:t>üzerine</w:t>
      </w:r>
      <w:proofErr w:type="spellEnd"/>
      <w:r w:rsidRPr="00FB23A3">
        <w:rPr>
          <w:lang w:val="en-US"/>
        </w:rPr>
        <w:t xml:space="preserve"> </w:t>
      </w:r>
      <w:proofErr w:type="spellStart"/>
      <w:r w:rsidRPr="00FB23A3">
        <w:rPr>
          <w:lang w:val="en-US"/>
        </w:rPr>
        <w:t>zengin</w:t>
      </w:r>
      <w:proofErr w:type="spellEnd"/>
      <w:r w:rsidRPr="00FB23A3">
        <w:rPr>
          <w:lang w:val="en-US"/>
        </w:rPr>
        <w:t xml:space="preserve"> </w:t>
      </w:r>
      <w:proofErr w:type="spellStart"/>
      <w:r w:rsidRPr="00FB23A3">
        <w:rPr>
          <w:lang w:val="en-US"/>
        </w:rPr>
        <w:t>sosyal</w:t>
      </w:r>
      <w:proofErr w:type="spellEnd"/>
      <w:r w:rsidRPr="00FB23A3">
        <w:rPr>
          <w:lang w:val="en-US"/>
        </w:rPr>
        <w:t xml:space="preserve"> </w:t>
      </w:r>
      <w:proofErr w:type="spellStart"/>
      <w:r w:rsidRPr="00FB23A3">
        <w:rPr>
          <w:lang w:val="en-US"/>
        </w:rPr>
        <w:t>bilimler</w:t>
      </w:r>
      <w:proofErr w:type="spellEnd"/>
      <w:r w:rsidRPr="00FB23A3">
        <w:rPr>
          <w:lang w:val="en-US"/>
        </w:rPr>
        <w:t xml:space="preserve"> </w:t>
      </w:r>
      <w:proofErr w:type="spellStart"/>
      <w:r w:rsidRPr="00FB23A3">
        <w:rPr>
          <w:lang w:val="en-US"/>
        </w:rPr>
        <w:t>literatüründen</w:t>
      </w:r>
      <w:proofErr w:type="spellEnd"/>
      <w:r w:rsidRPr="00FB23A3">
        <w:rPr>
          <w:lang w:val="en-US"/>
        </w:rPr>
        <w:t xml:space="preserve"> </w:t>
      </w:r>
      <w:proofErr w:type="spellStart"/>
      <w:r w:rsidRPr="00FB23A3">
        <w:rPr>
          <w:lang w:val="en-US"/>
        </w:rPr>
        <w:t>yararlanmalarına</w:t>
      </w:r>
      <w:proofErr w:type="spellEnd"/>
      <w:r w:rsidRPr="00FB23A3">
        <w:rPr>
          <w:lang w:val="en-US"/>
        </w:rPr>
        <w:t xml:space="preserve"> </w:t>
      </w:r>
      <w:proofErr w:type="spellStart"/>
      <w:r w:rsidRPr="00FB23A3">
        <w:rPr>
          <w:lang w:val="en-US"/>
        </w:rPr>
        <w:t>olanak</w:t>
      </w:r>
      <w:proofErr w:type="spellEnd"/>
      <w:r w:rsidRPr="00FB23A3">
        <w:rPr>
          <w:lang w:val="en-US"/>
        </w:rPr>
        <w:t xml:space="preserve"> tanımaktadır.¹⁶⁰</w:t>
      </w:r>
      <w:r>
        <w:rPr>
          <w:lang w:val="en-US"/>
        </w:rPr>
        <w:t xml:space="preserve"> </w:t>
      </w:r>
      <w:r>
        <w:rPr>
          <w:rStyle w:val="FootnoteReference"/>
          <w:lang w:val="en-US"/>
        </w:rPr>
        <w:footnoteReference w:id="160"/>
      </w:r>
      <w:r w:rsidRPr="00FB23A3">
        <w:rPr>
          <w:lang w:val="en-US"/>
        </w:rPr>
        <w:t xml:space="preserve"> </w:t>
      </w:r>
      <w:proofErr w:type="spellStart"/>
      <w:r w:rsidRPr="00FB23A3">
        <w:rPr>
          <w:lang w:val="en-US"/>
        </w:rPr>
        <w:t>Anayasa</w:t>
      </w:r>
      <w:proofErr w:type="spellEnd"/>
      <w:r w:rsidRPr="00FB23A3">
        <w:rPr>
          <w:lang w:val="en-US"/>
        </w:rPr>
        <w:t xml:space="preserve"> </w:t>
      </w:r>
      <w:proofErr w:type="spellStart"/>
      <w:r w:rsidRPr="00FB23A3">
        <w:rPr>
          <w:lang w:val="en-US"/>
        </w:rPr>
        <w:t>teorisinin</w:t>
      </w:r>
      <w:proofErr w:type="spellEnd"/>
      <w:r w:rsidRPr="00FB23A3">
        <w:rPr>
          <w:lang w:val="en-US"/>
        </w:rPr>
        <w:t xml:space="preserve"> </w:t>
      </w:r>
      <w:proofErr w:type="spellStart"/>
      <w:r w:rsidRPr="00FB23A3">
        <w:rPr>
          <w:lang w:val="en-US"/>
        </w:rPr>
        <w:t>belirli</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sosyal</w:t>
      </w:r>
      <w:proofErr w:type="spellEnd"/>
      <w:r w:rsidRPr="00FB23A3">
        <w:rPr>
          <w:lang w:val="en-US"/>
        </w:rPr>
        <w:t xml:space="preserve"> </w:t>
      </w:r>
      <w:proofErr w:type="spellStart"/>
      <w:r w:rsidRPr="00FB23A3">
        <w:rPr>
          <w:lang w:val="en-US"/>
        </w:rPr>
        <w:t>bilimcinin</w:t>
      </w:r>
      <w:proofErr w:type="spellEnd"/>
      <w:r w:rsidRPr="00FB23A3">
        <w:rPr>
          <w:lang w:val="en-US"/>
        </w:rPr>
        <w:t xml:space="preserve"> </w:t>
      </w:r>
      <w:proofErr w:type="spellStart"/>
      <w:r w:rsidRPr="00FB23A3">
        <w:rPr>
          <w:lang w:val="en-US"/>
        </w:rPr>
        <w:t>çerçevesini</w:t>
      </w:r>
      <w:proofErr w:type="spellEnd"/>
      <w:r w:rsidRPr="00FB23A3">
        <w:rPr>
          <w:lang w:val="en-US"/>
        </w:rPr>
        <w:t xml:space="preserve"> </w:t>
      </w:r>
      <w:proofErr w:type="spellStart"/>
      <w:r w:rsidRPr="00FB23A3">
        <w:rPr>
          <w:lang w:val="en-US"/>
        </w:rPr>
        <w:t>benimsemesini</w:t>
      </w:r>
      <w:proofErr w:type="spellEnd"/>
      <w:r w:rsidRPr="00FB23A3">
        <w:rPr>
          <w:lang w:val="en-US"/>
        </w:rPr>
        <w:t xml:space="preserve"> </w:t>
      </w:r>
      <w:proofErr w:type="spellStart"/>
      <w:r w:rsidRPr="00FB23A3">
        <w:rPr>
          <w:lang w:val="en-US"/>
        </w:rPr>
        <w:t>veya</w:t>
      </w:r>
      <w:proofErr w:type="spellEnd"/>
      <w:r w:rsidRPr="00FB23A3">
        <w:rPr>
          <w:lang w:val="en-US"/>
        </w:rPr>
        <w:t xml:space="preserve"> </w:t>
      </w:r>
      <w:proofErr w:type="spellStart"/>
      <w:r w:rsidRPr="00FB23A3">
        <w:rPr>
          <w:lang w:val="en-US"/>
        </w:rPr>
        <w:t>kültürel</w:t>
      </w:r>
      <w:proofErr w:type="spellEnd"/>
      <w:r w:rsidRPr="00FB23A3">
        <w:rPr>
          <w:lang w:val="en-US"/>
        </w:rPr>
        <w:t xml:space="preserve"> </w:t>
      </w:r>
      <w:proofErr w:type="spellStart"/>
      <w:r w:rsidRPr="00FB23A3">
        <w:rPr>
          <w:lang w:val="en-US"/>
        </w:rPr>
        <w:t>biçimlerin</w:t>
      </w:r>
      <w:proofErr w:type="spellEnd"/>
      <w:r w:rsidRPr="00FB23A3">
        <w:rPr>
          <w:lang w:val="en-US"/>
        </w:rPr>
        <w:t xml:space="preserve"> </w:t>
      </w:r>
      <w:proofErr w:type="spellStart"/>
      <w:r w:rsidRPr="00FB23A3">
        <w:rPr>
          <w:lang w:val="en-US"/>
        </w:rPr>
        <w:t>doğası</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evrimi</w:t>
      </w:r>
      <w:proofErr w:type="spellEnd"/>
      <w:r w:rsidRPr="00FB23A3">
        <w:rPr>
          <w:lang w:val="en-US"/>
        </w:rPr>
        <w:t xml:space="preserve"> </w:t>
      </w:r>
      <w:proofErr w:type="spellStart"/>
      <w:r w:rsidRPr="00FB23A3">
        <w:rPr>
          <w:lang w:val="en-US"/>
        </w:rPr>
        <w:t>hakkında</w:t>
      </w:r>
      <w:proofErr w:type="spellEnd"/>
      <w:r w:rsidRPr="00FB23A3">
        <w:rPr>
          <w:lang w:val="en-US"/>
        </w:rPr>
        <w:t xml:space="preserve"> </w:t>
      </w:r>
      <w:proofErr w:type="spellStart"/>
      <w:r w:rsidRPr="00FB23A3">
        <w:rPr>
          <w:lang w:val="en-US"/>
        </w:rPr>
        <w:t>süregelen</w:t>
      </w:r>
      <w:proofErr w:type="spellEnd"/>
      <w:r w:rsidRPr="00FB23A3">
        <w:rPr>
          <w:lang w:val="en-US"/>
        </w:rPr>
        <w:t xml:space="preserve"> </w:t>
      </w:r>
      <w:proofErr w:type="spellStart"/>
      <w:r w:rsidRPr="00FB23A3">
        <w:rPr>
          <w:lang w:val="en-US"/>
        </w:rPr>
        <w:t>disiplinler</w:t>
      </w:r>
      <w:proofErr w:type="spellEnd"/>
      <w:r w:rsidRPr="00FB23A3">
        <w:rPr>
          <w:lang w:val="en-US"/>
        </w:rPr>
        <w:t xml:space="preserve"> </w:t>
      </w:r>
      <w:proofErr w:type="spellStart"/>
      <w:r w:rsidRPr="00FB23A3">
        <w:rPr>
          <w:lang w:val="en-US"/>
        </w:rPr>
        <w:t>arası</w:t>
      </w:r>
      <w:proofErr w:type="spellEnd"/>
      <w:r w:rsidRPr="00FB23A3">
        <w:rPr>
          <w:lang w:val="en-US"/>
        </w:rPr>
        <w:t xml:space="preserve"> </w:t>
      </w:r>
      <w:proofErr w:type="spellStart"/>
      <w:r w:rsidRPr="00FB23A3">
        <w:rPr>
          <w:lang w:val="en-US"/>
        </w:rPr>
        <w:t>tartışmalarda</w:t>
      </w:r>
      <w:proofErr w:type="spellEnd"/>
      <w:r w:rsidRPr="00FB23A3">
        <w:rPr>
          <w:lang w:val="en-US"/>
        </w:rPr>
        <w:t xml:space="preserve"> </w:t>
      </w:r>
      <w:proofErr w:type="spellStart"/>
      <w:r w:rsidRPr="00FB23A3">
        <w:rPr>
          <w:lang w:val="en-US"/>
        </w:rPr>
        <w:t>belirli</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görüşü</w:t>
      </w:r>
      <w:proofErr w:type="spellEnd"/>
      <w:r w:rsidRPr="00FB23A3">
        <w:rPr>
          <w:lang w:val="en-US"/>
        </w:rPr>
        <w:t xml:space="preserve"> </w:t>
      </w:r>
      <w:proofErr w:type="spellStart"/>
      <w:r w:rsidRPr="00FB23A3">
        <w:rPr>
          <w:lang w:val="en-US"/>
        </w:rPr>
        <w:t>savunmasını</w:t>
      </w:r>
      <w:proofErr w:type="spellEnd"/>
      <w:r w:rsidRPr="00FB23A3">
        <w:rPr>
          <w:lang w:val="en-US"/>
        </w:rPr>
        <w:t xml:space="preserve"> </w:t>
      </w:r>
      <w:proofErr w:type="spellStart"/>
      <w:r w:rsidRPr="00FB23A3">
        <w:rPr>
          <w:lang w:val="en-US"/>
        </w:rPr>
        <w:t>önermemekle</w:t>
      </w:r>
      <w:proofErr w:type="spellEnd"/>
      <w:r w:rsidRPr="00FB23A3">
        <w:rPr>
          <w:lang w:val="en-US"/>
        </w:rPr>
        <w:t xml:space="preserve"> birlikte,¹⁶¹ </w:t>
      </w:r>
      <w:r>
        <w:rPr>
          <w:rStyle w:val="FootnoteReference"/>
          <w:lang w:val="en-US"/>
        </w:rPr>
        <w:footnoteReference w:id="161"/>
      </w:r>
      <w:r>
        <w:rPr>
          <w:lang w:val="en-US"/>
        </w:rPr>
        <w:t xml:space="preserve"> </w:t>
      </w:r>
      <w:proofErr w:type="spellStart"/>
      <w:r w:rsidRPr="00FB23A3">
        <w:rPr>
          <w:lang w:val="en-US"/>
        </w:rPr>
        <w:t>kültürün</w:t>
      </w:r>
      <w:proofErr w:type="spellEnd"/>
      <w:r w:rsidRPr="00FB23A3">
        <w:rPr>
          <w:lang w:val="en-US"/>
        </w:rPr>
        <w:t xml:space="preserve"> </w:t>
      </w:r>
      <w:proofErr w:type="spellStart"/>
      <w:r w:rsidRPr="00FB23A3">
        <w:rPr>
          <w:lang w:val="en-US"/>
        </w:rPr>
        <w:t>merkeziliği</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tanımlayıcı</w:t>
      </w:r>
      <w:proofErr w:type="spellEnd"/>
      <w:r w:rsidRPr="00FB23A3">
        <w:rPr>
          <w:lang w:val="en-US"/>
        </w:rPr>
        <w:t xml:space="preserve"> </w:t>
      </w:r>
      <w:proofErr w:type="spellStart"/>
      <w:r w:rsidRPr="00FB23A3">
        <w:rPr>
          <w:lang w:val="en-US"/>
        </w:rPr>
        <w:t>özellikleri</w:t>
      </w:r>
      <w:proofErr w:type="spellEnd"/>
      <w:r w:rsidRPr="00FB23A3">
        <w:rPr>
          <w:lang w:val="en-US"/>
        </w:rPr>
        <w:t xml:space="preserve"> </w:t>
      </w:r>
      <w:proofErr w:type="spellStart"/>
      <w:r w:rsidRPr="00FB23A3">
        <w:rPr>
          <w:lang w:val="en-US"/>
        </w:rPr>
        <w:t>konusundaki</w:t>
      </w:r>
      <w:proofErr w:type="spellEnd"/>
      <w:r w:rsidRPr="00FB23A3">
        <w:rPr>
          <w:lang w:val="en-US"/>
        </w:rPr>
        <w:t xml:space="preserve"> </w:t>
      </w:r>
      <w:proofErr w:type="spellStart"/>
      <w:r w:rsidRPr="00FB23A3">
        <w:rPr>
          <w:lang w:val="en-US"/>
        </w:rPr>
        <w:t>anlayışım</w:t>
      </w:r>
      <w:proofErr w:type="spellEnd"/>
      <w:r w:rsidRPr="00FB23A3">
        <w:rPr>
          <w:lang w:val="en-US"/>
        </w:rPr>
        <w:t xml:space="preserve">, </w:t>
      </w:r>
      <w:proofErr w:type="spellStart"/>
      <w:r w:rsidRPr="00FB23A3">
        <w:rPr>
          <w:lang w:val="en-US"/>
        </w:rPr>
        <w:t>çeşitli</w:t>
      </w:r>
      <w:proofErr w:type="spellEnd"/>
      <w:r w:rsidRPr="00FB23A3">
        <w:rPr>
          <w:lang w:val="en-US"/>
        </w:rPr>
        <w:t xml:space="preserve"> </w:t>
      </w:r>
      <w:proofErr w:type="spellStart"/>
      <w:r w:rsidRPr="00FB23A3">
        <w:rPr>
          <w:lang w:val="en-US"/>
        </w:rPr>
        <w:t>disiplinlerde</w:t>
      </w:r>
      <w:proofErr w:type="spellEnd"/>
      <w:r w:rsidRPr="00FB23A3">
        <w:rPr>
          <w:lang w:val="en-US"/>
        </w:rPr>
        <w:t xml:space="preserve"> </w:t>
      </w:r>
      <w:proofErr w:type="spellStart"/>
      <w:r w:rsidRPr="00FB23A3">
        <w:rPr>
          <w:lang w:val="en-US"/>
        </w:rPr>
        <w:t>uzun</w:t>
      </w:r>
      <w:proofErr w:type="spellEnd"/>
      <w:r w:rsidRPr="00FB23A3">
        <w:rPr>
          <w:lang w:val="en-US"/>
        </w:rPr>
        <w:t xml:space="preserve"> </w:t>
      </w:r>
      <w:proofErr w:type="spellStart"/>
      <w:r w:rsidRPr="00FB23A3">
        <w:rPr>
          <w:lang w:val="en-US"/>
        </w:rPr>
        <w:t>yıllar</w:t>
      </w:r>
      <w:proofErr w:type="spellEnd"/>
      <w:r w:rsidRPr="00FB23A3">
        <w:rPr>
          <w:lang w:val="en-US"/>
        </w:rPr>
        <w:t xml:space="preserve"> </w:t>
      </w:r>
      <w:proofErr w:type="spellStart"/>
      <w:r w:rsidRPr="00FB23A3">
        <w:rPr>
          <w:lang w:val="en-US"/>
        </w:rPr>
        <w:t>boyunca</w:t>
      </w:r>
      <w:proofErr w:type="spellEnd"/>
      <w:r w:rsidRPr="00FB23A3">
        <w:rPr>
          <w:lang w:val="en-US"/>
        </w:rPr>
        <w:t xml:space="preserve"> </w:t>
      </w:r>
      <w:proofErr w:type="spellStart"/>
      <w:r w:rsidRPr="00FB23A3">
        <w:rPr>
          <w:lang w:val="en-US"/>
        </w:rPr>
        <w:t>yaptığım</w:t>
      </w:r>
      <w:proofErr w:type="spellEnd"/>
      <w:r w:rsidRPr="00FB23A3">
        <w:rPr>
          <w:lang w:val="en-US"/>
        </w:rPr>
        <w:t xml:space="preserve"> </w:t>
      </w:r>
      <w:proofErr w:type="spellStart"/>
      <w:r w:rsidRPr="00FB23A3">
        <w:rPr>
          <w:lang w:val="en-US"/>
        </w:rPr>
        <w:t>okumalar</w:t>
      </w:r>
      <w:proofErr w:type="spellEnd"/>
      <w:r w:rsidRPr="00FB23A3">
        <w:rPr>
          <w:lang w:val="en-US"/>
        </w:rPr>
        <w:t xml:space="preserve"> </w:t>
      </w:r>
      <w:proofErr w:type="spellStart"/>
      <w:r w:rsidRPr="00FB23A3">
        <w:rPr>
          <w:lang w:val="en-US"/>
        </w:rPr>
        <w:t>üzerine</w:t>
      </w:r>
      <w:proofErr w:type="spellEnd"/>
      <w:r w:rsidRPr="00FB23A3">
        <w:rPr>
          <w:lang w:val="en-US"/>
        </w:rPr>
        <w:t xml:space="preserve"> </w:t>
      </w:r>
      <w:proofErr w:type="spellStart"/>
      <w:r w:rsidRPr="00FB23A3">
        <w:rPr>
          <w:lang w:val="en-US"/>
        </w:rPr>
        <w:t>kuruludur</w:t>
      </w:r>
      <w:proofErr w:type="spellEnd"/>
      <w:r w:rsidRPr="00FB23A3">
        <w:rPr>
          <w:lang w:val="en-US"/>
        </w:rPr>
        <w:t xml:space="preserve">. Bu </w:t>
      </w:r>
      <w:proofErr w:type="spellStart"/>
      <w:r w:rsidRPr="00FB23A3">
        <w:rPr>
          <w:lang w:val="en-US"/>
        </w:rPr>
        <w:t>disiplinlerin</w:t>
      </w:r>
      <w:proofErr w:type="spellEnd"/>
      <w:r w:rsidRPr="00FB23A3">
        <w:rPr>
          <w:lang w:val="en-US"/>
        </w:rPr>
        <w:t xml:space="preserve"> her </w:t>
      </w:r>
      <w:proofErr w:type="spellStart"/>
      <w:r w:rsidRPr="00FB23A3">
        <w:rPr>
          <w:lang w:val="en-US"/>
        </w:rPr>
        <w:t>biri</w:t>
      </w:r>
      <w:proofErr w:type="spellEnd"/>
      <w:r w:rsidRPr="00FB23A3">
        <w:rPr>
          <w:lang w:val="en-US"/>
        </w:rPr>
        <w:t xml:space="preserve">, </w:t>
      </w:r>
      <w:proofErr w:type="spellStart"/>
      <w:r w:rsidRPr="00FB23A3">
        <w:rPr>
          <w:lang w:val="en-US"/>
        </w:rPr>
        <w:t>çağdaş</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karar</w:t>
      </w:r>
      <w:proofErr w:type="spellEnd"/>
      <w:r w:rsidRPr="00FB23A3">
        <w:rPr>
          <w:lang w:val="en-US"/>
        </w:rPr>
        <w:t xml:space="preserve"> alma </w:t>
      </w:r>
      <w:proofErr w:type="spellStart"/>
      <w:r w:rsidRPr="00FB23A3">
        <w:rPr>
          <w:lang w:val="en-US"/>
        </w:rPr>
        <w:t>sürecimizi</w:t>
      </w:r>
      <w:proofErr w:type="spellEnd"/>
      <w:r w:rsidRPr="00FB23A3">
        <w:rPr>
          <w:lang w:val="en-US"/>
        </w:rPr>
        <w:t xml:space="preserve"> </w:t>
      </w:r>
      <w:proofErr w:type="spellStart"/>
      <w:r w:rsidRPr="00FB23A3">
        <w:rPr>
          <w:lang w:val="en-US"/>
        </w:rPr>
        <w:t>şekillendiren</w:t>
      </w:r>
      <w:proofErr w:type="spellEnd"/>
      <w:r w:rsidRPr="00FB23A3">
        <w:rPr>
          <w:lang w:val="en-US"/>
        </w:rPr>
        <w:t xml:space="preserve"> </w:t>
      </w:r>
      <w:proofErr w:type="spellStart"/>
      <w:r w:rsidRPr="00FB23A3">
        <w:rPr>
          <w:lang w:val="en-US"/>
        </w:rPr>
        <w:t>karmaşık</w:t>
      </w:r>
      <w:proofErr w:type="spellEnd"/>
      <w:r w:rsidRPr="00FB23A3">
        <w:rPr>
          <w:lang w:val="en-US"/>
        </w:rPr>
        <w:t xml:space="preserve"> </w:t>
      </w:r>
      <w:proofErr w:type="spellStart"/>
      <w:r w:rsidRPr="00FB23A3">
        <w:rPr>
          <w:lang w:val="en-US"/>
        </w:rPr>
        <w:t>düzenlemeler</w:t>
      </w:r>
      <w:proofErr w:type="spellEnd"/>
      <w:r w:rsidRPr="00FB23A3">
        <w:rPr>
          <w:lang w:val="en-US"/>
        </w:rPr>
        <w:t xml:space="preserve">, </w:t>
      </w:r>
      <w:proofErr w:type="spellStart"/>
      <w:r w:rsidRPr="00FB23A3">
        <w:rPr>
          <w:lang w:val="en-US"/>
        </w:rPr>
        <w:t>kurumlar</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normlar</w:t>
      </w:r>
      <w:proofErr w:type="spellEnd"/>
      <w:r w:rsidRPr="00FB23A3">
        <w:rPr>
          <w:lang w:val="en-US"/>
        </w:rPr>
        <w:t xml:space="preserve"> </w:t>
      </w:r>
      <w:proofErr w:type="spellStart"/>
      <w:r w:rsidRPr="00FB23A3">
        <w:rPr>
          <w:lang w:val="en-US"/>
        </w:rPr>
        <w:t>bütününü</w:t>
      </w:r>
      <w:proofErr w:type="spellEnd"/>
      <w:r w:rsidRPr="00FB23A3">
        <w:rPr>
          <w:lang w:val="en-US"/>
        </w:rPr>
        <w:t xml:space="preserve"> </w:t>
      </w:r>
      <w:proofErr w:type="spellStart"/>
      <w:r w:rsidRPr="00FB23A3">
        <w:rPr>
          <w:lang w:val="en-US"/>
        </w:rPr>
        <w:t>çözümlemekte</w:t>
      </w:r>
      <w:proofErr w:type="spellEnd"/>
      <w:r w:rsidRPr="00FB23A3">
        <w:rPr>
          <w:lang w:val="en-US"/>
        </w:rPr>
        <w:t xml:space="preserve"> </w:t>
      </w:r>
      <w:proofErr w:type="spellStart"/>
      <w:r w:rsidRPr="00FB23A3">
        <w:rPr>
          <w:lang w:val="en-US"/>
        </w:rPr>
        <w:t>yol</w:t>
      </w:r>
      <w:proofErr w:type="spellEnd"/>
      <w:r w:rsidRPr="00FB23A3">
        <w:rPr>
          <w:lang w:val="en-US"/>
        </w:rPr>
        <w:t xml:space="preserve"> </w:t>
      </w:r>
      <w:proofErr w:type="spellStart"/>
      <w:r w:rsidRPr="00FB23A3">
        <w:rPr>
          <w:lang w:val="en-US"/>
        </w:rPr>
        <w:t>gösterici</w:t>
      </w:r>
      <w:proofErr w:type="spellEnd"/>
      <w:r w:rsidRPr="00FB23A3">
        <w:rPr>
          <w:lang w:val="en-US"/>
        </w:rPr>
        <w:t xml:space="preserve"> </w:t>
      </w:r>
      <w:proofErr w:type="spellStart"/>
      <w:r w:rsidRPr="00FB23A3">
        <w:rPr>
          <w:lang w:val="en-US"/>
        </w:rPr>
        <w:t>olmaktadır</w:t>
      </w:r>
      <w:proofErr w:type="spellEnd"/>
      <w:r w:rsidRPr="00FB23A3">
        <w:rPr>
          <w:lang w:val="en-US"/>
        </w:rPr>
        <w:t>.</w:t>
      </w:r>
    </w:p>
    <w:p w14:paraId="5C4BBF22" w14:textId="0454B695" w:rsidR="00FB23A3" w:rsidRDefault="00FB23A3" w:rsidP="00FB23A3">
      <w:pPr>
        <w:rPr>
          <w:lang w:val="en-US"/>
        </w:rPr>
      </w:pPr>
      <w:proofErr w:type="spellStart"/>
      <w:r w:rsidRPr="00FB23A3">
        <w:rPr>
          <w:lang w:val="en-US"/>
        </w:rPr>
        <w:t>İkinci</w:t>
      </w:r>
      <w:proofErr w:type="spellEnd"/>
      <w:r w:rsidRPr="00FB23A3">
        <w:rPr>
          <w:lang w:val="en-US"/>
        </w:rPr>
        <w:t xml:space="preserve"> </w:t>
      </w:r>
      <w:proofErr w:type="spellStart"/>
      <w:r w:rsidRPr="00FB23A3">
        <w:rPr>
          <w:lang w:val="en-US"/>
        </w:rPr>
        <w:t>olarak</w:t>
      </w:r>
      <w:proofErr w:type="spellEnd"/>
      <w:r w:rsidRPr="00FB23A3">
        <w:rPr>
          <w:lang w:val="en-US"/>
        </w:rPr>
        <w:t>, “</w:t>
      </w:r>
      <w:proofErr w:type="spellStart"/>
      <w:r w:rsidRPr="00FB23A3">
        <w:rPr>
          <w:lang w:val="en-US"/>
        </w:rPr>
        <w:t>kültür</w:t>
      </w:r>
      <w:proofErr w:type="spellEnd"/>
      <w:r w:rsidRPr="00FB23A3">
        <w:rPr>
          <w:lang w:val="en-US"/>
        </w:rPr>
        <w:t xml:space="preserve">” (culture) </w:t>
      </w:r>
      <w:proofErr w:type="spellStart"/>
      <w:r w:rsidRPr="00FB23A3">
        <w:rPr>
          <w:lang w:val="en-US"/>
        </w:rPr>
        <w:t>terimi</w:t>
      </w:r>
      <w:proofErr w:type="spellEnd"/>
      <w:r w:rsidRPr="00FB23A3">
        <w:rPr>
          <w:lang w:val="en-US"/>
        </w:rPr>
        <w:t xml:space="preserve">, </w:t>
      </w:r>
      <w:proofErr w:type="spellStart"/>
      <w:r w:rsidRPr="00FB23A3">
        <w:rPr>
          <w:lang w:val="en-US"/>
        </w:rPr>
        <w:t>yukarıda</w:t>
      </w:r>
      <w:proofErr w:type="spellEnd"/>
      <w:r w:rsidRPr="00FB23A3">
        <w:rPr>
          <w:lang w:val="en-US"/>
        </w:rPr>
        <w:t xml:space="preserve"> </w:t>
      </w:r>
      <w:proofErr w:type="spellStart"/>
      <w:r w:rsidRPr="00FB23A3">
        <w:rPr>
          <w:lang w:val="en-US"/>
        </w:rPr>
        <w:t>açıklanan</w:t>
      </w:r>
      <w:proofErr w:type="spellEnd"/>
      <w:r w:rsidRPr="00FB23A3">
        <w:rPr>
          <w:lang w:val="en-US"/>
        </w:rPr>
        <w:t xml:space="preserve"> </w:t>
      </w:r>
      <w:proofErr w:type="spellStart"/>
      <w:r w:rsidRPr="00FB23A3">
        <w:rPr>
          <w:lang w:val="en-US"/>
        </w:rPr>
        <w:t>ikilikleri</w:t>
      </w:r>
      <w:proofErr w:type="spellEnd"/>
      <w:r w:rsidRPr="00FB23A3">
        <w:rPr>
          <w:lang w:val="en-US"/>
        </w:rPr>
        <w:t xml:space="preserve"> </w:t>
      </w:r>
      <w:proofErr w:type="spellStart"/>
      <w:r w:rsidRPr="00FB23A3">
        <w:rPr>
          <w:lang w:val="en-US"/>
        </w:rPr>
        <w:t>en</w:t>
      </w:r>
      <w:proofErr w:type="spellEnd"/>
      <w:r w:rsidRPr="00FB23A3">
        <w:rPr>
          <w:lang w:val="en-US"/>
        </w:rPr>
        <w:t xml:space="preserve"> iyi </w:t>
      </w:r>
      <w:proofErr w:type="spellStart"/>
      <w:r w:rsidRPr="00FB23A3">
        <w:rPr>
          <w:lang w:val="en-US"/>
        </w:rPr>
        <w:t>şekilde</w:t>
      </w:r>
      <w:proofErr w:type="spellEnd"/>
      <w:r w:rsidRPr="00FB23A3">
        <w:rPr>
          <w:lang w:val="en-US"/>
        </w:rPr>
        <w:t xml:space="preserve"> </w:t>
      </w:r>
      <w:proofErr w:type="spellStart"/>
      <w:r w:rsidRPr="00FB23A3">
        <w:rPr>
          <w:lang w:val="en-US"/>
        </w:rPr>
        <w:t>yansıtmakta</w:t>
      </w:r>
      <w:proofErr w:type="spellEnd"/>
      <w:r w:rsidRPr="00FB23A3">
        <w:rPr>
          <w:lang w:val="en-US"/>
        </w:rPr>
        <w:t xml:space="preserve"> </w:t>
      </w:r>
      <w:proofErr w:type="spellStart"/>
      <w:r w:rsidRPr="00FB23A3">
        <w:rPr>
          <w:lang w:val="en-US"/>
        </w:rPr>
        <w:t>olup</w:t>
      </w:r>
      <w:proofErr w:type="spellEnd"/>
      <w:r w:rsidRPr="00FB23A3">
        <w:rPr>
          <w:lang w:val="en-US"/>
        </w:rPr>
        <w:t xml:space="preserve">, </w:t>
      </w:r>
      <w:proofErr w:type="spellStart"/>
      <w:r w:rsidRPr="00FB23A3">
        <w:rPr>
          <w:lang w:val="en-US"/>
        </w:rPr>
        <w:t>bu</w:t>
      </w:r>
      <w:proofErr w:type="spellEnd"/>
      <w:r w:rsidRPr="00FB23A3">
        <w:rPr>
          <w:lang w:val="en-US"/>
        </w:rPr>
        <w:t xml:space="preserve"> </w:t>
      </w:r>
      <w:proofErr w:type="spellStart"/>
      <w:r w:rsidRPr="00FB23A3">
        <w:rPr>
          <w:lang w:val="en-US"/>
        </w:rPr>
        <w:t>ikilikler</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karar</w:t>
      </w:r>
      <w:proofErr w:type="spellEnd"/>
      <w:r w:rsidRPr="00FB23A3">
        <w:rPr>
          <w:lang w:val="en-US"/>
        </w:rPr>
        <w:t xml:space="preserve"> alma </w:t>
      </w:r>
      <w:proofErr w:type="spellStart"/>
      <w:r w:rsidRPr="00FB23A3">
        <w:rPr>
          <w:lang w:val="en-US"/>
        </w:rPr>
        <w:t>kurumlarımızın</w:t>
      </w:r>
      <w:proofErr w:type="spellEnd"/>
      <w:r w:rsidRPr="00FB23A3">
        <w:rPr>
          <w:lang w:val="en-US"/>
        </w:rPr>
        <w:t xml:space="preserve"> </w:t>
      </w:r>
      <w:proofErr w:type="spellStart"/>
      <w:r w:rsidRPr="00FB23A3">
        <w:rPr>
          <w:lang w:val="en-US"/>
        </w:rPr>
        <w:t>temel</w:t>
      </w:r>
      <w:proofErr w:type="spellEnd"/>
      <w:r w:rsidRPr="00FB23A3">
        <w:rPr>
          <w:lang w:val="en-US"/>
        </w:rPr>
        <w:t xml:space="preserve"> </w:t>
      </w:r>
      <w:proofErr w:type="spellStart"/>
      <w:r w:rsidRPr="00FB23A3">
        <w:rPr>
          <w:lang w:val="en-US"/>
        </w:rPr>
        <w:t>belirleyici</w:t>
      </w:r>
      <w:proofErr w:type="spellEnd"/>
      <w:r w:rsidRPr="00FB23A3">
        <w:rPr>
          <w:lang w:val="en-US"/>
        </w:rPr>
        <w:t xml:space="preserve"> </w:t>
      </w:r>
      <w:proofErr w:type="spellStart"/>
      <w:r w:rsidRPr="00FB23A3">
        <w:rPr>
          <w:lang w:val="en-US"/>
        </w:rPr>
        <w:t>unsurlarıdır</w:t>
      </w:r>
      <w:proofErr w:type="spellEnd"/>
      <w:r w:rsidRPr="00FB23A3">
        <w:rPr>
          <w:lang w:val="en-US"/>
        </w:rPr>
        <w:t xml:space="preserve">. Bu </w:t>
      </w:r>
      <w:proofErr w:type="spellStart"/>
      <w:r w:rsidRPr="00FB23A3">
        <w:rPr>
          <w:lang w:val="en-US"/>
        </w:rPr>
        <w:t>makalenin</w:t>
      </w:r>
      <w:proofErr w:type="spellEnd"/>
      <w:r w:rsidRPr="00FB23A3">
        <w:rPr>
          <w:lang w:val="en-US"/>
        </w:rPr>
        <w:t xml:space="preserve"> ilk </w:t>
      </w:r>
      <w:proofErr w:type="spellStart"/>
      <w:r w:rsidRPr="00FB23A3">
        <w:rPr>
          <w:lang w:val="en-US"/>
        </w:rPr>
        <w:t>iki</w:t>
      </w:r>
      <w:proofErr w:type="spellEnd"/>
      <w:r w:rsidRPr="00FB23A3">
        <w:rPr>
          <w:lang w:val="en-US"/>
        </w:rPr>
        <w:t xml:space="preserve"> </w:t>
      </w:r>
      <w:proofErr w:type="spellStart"/>
      <w:r w:rsidRPr="00FB23A3">
        <w:rPr>
          <w:lang w:val="en-US"/>
        </w:rPr>
        <w:t>bölümünde</w:t>
      </w:r>
      <w:proofErr w:type="spellEnd"/>
      <w:r w:rsidRPr="00FB23A3">
        <w:rPr>
          <w:lang w:val="en-US"/>
        </w:rPr>
        <w:t xml:space="preserve"> </w:t>
      </w:r>
      <w:proofErr w:type="spellStart"/>
      <w:r w:rsidRPr="00FB23A3">
        <w:rPr>
          <w:lang w:val="en-US"/>
        </w:rPr>
        <w:t>ayrıntılı</w:t>
      </w:r>
      <w:proofErr w:type="spellEnd"/>
      <w:r w:rsidRPr="00FB23A3">
        <w:rPr>
          <w:lang w:val="en-US"/>
        </w:rPr>
        <w:t xml:space="preserve"> </w:t>
      </w:r>
      <w:proofErr w:type="spellStart"/>
      <w:r w:rsidRPr="00FB23A3">
        <w:rPr>
          <w:lang w:val="en-US"/>
        </w:rPr>
        <w:t>olarak</w:t>
      </w:r>
      <w:proofErr w:type="spellEnd"/>
      <w:r w:rsidRPr="00FB23A3">
        <w:rPr>
          <w:lang w:val="en-US"/>
        </w:rPr>
        <w:t xml:space="preserve"> </w:t>
      </w:r>
      <w:proofErr w:type="spellStart"/>
      <w:r w:rsidRPr="00FB23A3">
        <w:rPr>
          <w:lang w:val="en-US"/>
        </w:rPr>
        <w:t>ele</w:t>
      </w:r>
      <w:proofErr w:type="spellEnd"/>
      <w:r w:rsidRPr="00FB23A3">
        <w:rPr>
          <w:lang w:val="en-US"/>
        </w:rPr>
        <w:t xml:space="preserve"> </w:t>
      </w:r>
      <w:proofErr w:type="spellStart"/>
      <w:r w:rsidRPr="00FB23A3">
        <w:rPr>
          <w:lang w:val="en-US"/>
        </w:rPr>
        <w:t>alındığı</w:t>
      </w:r>
      <w:proofErr w:type="spellEnd"/>
      <w:r w:rsidRPr="00FB23A3">
        <w:rPr>
          <w:lang w:val="en-US"/>
        </w:rPr>
        <w:t xml:space="preserve"> </w:t>
      </w:r>
      <w:proofErr w:type="spellStart"/>
      <w:r w:rsidRPr="00FB23A3">
        <w:rPr>
          <w:lang w:val="en-US"/>
        </w:rPr>
        <w:t>üzere</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hukuk</w:t>
      </w:r>
      <w:proofErr w:type="spellEnd"/>
      <w:r w:rsidRPr="00FB23A3">
        <w:rPr>
          <w:lang w:val="en-US"/>
        </w:rPr>
        <w:t xml:space="preserve"> </w:t>
      </w:r>
      <w:proofErr w:type="spellStart"/>
      <w:r w:rsidRPr="00FB23A3">
        <w:rPr>
          <w:lang w:val="en-US"/>
        </w:rPr>
        <w:t>yapma</w:t>
      </w:r>
      <w:proofErr w:type="spellEnd"/>
      <w:r w:rsidRPr="00FB23A3">
        <w:rPr>
          <w:lang w:val="en-US"/>
        </w:rPr>
        <w:t xml:space="preserve"> </w:t>
      </w:r>
      <w:proofErr w:type="spellStart"/>
      <w:r w:rsidRPr="00FB23A3">
        <w:rPr>
          <w:lang w:val="en-US"/>
        </w:rPr>
        <w:t>sistemimizin</w:t>
      </w:r>
      <w:proofErr w:type="spellEnd"/>
      <w:r w:rsidRPr="00FB23A3">
        <w:rPr>
          <w:lang w:val="en-US"/>
        </w:rPr>
        <w:t xml:space="preserve"> her </w:t>
      </w:r>
      <w:proofErr w:type="spellStart"/>
      <w:r w:rsidRPr="00FB23A3">
        <w:rPr>
          <w:lang w:val="en-US"/>
        </w:rPr>
        <w:t>önemli</w:t>
      </w:r>
      <w:proofErr w:type="spellEnd"/>
      <w:r w:rsidRPr="00FB23A3">
        <w:rPr>
          <w:lang w:val="en-US"/>
        </w:rPr>
        <w:t xml:space="preserve"> </w:t>
      </w:r>
      <w:proofErr w:type="spellStart"/>
      <w:r w:rsidRPr="00FB23A3">
        <w:rPr>
          <w:lang w:val="en-US"/>
        </w:rPr>
        <w:t>özelliği</w:t>
      </w:r>
      <w:proofErr w:type="spellEnd"/>
      <w:r w:rsidRPr="00FB23A3">
        <w:rPr>
          <w:lang w:val="en-US"/>
        </w:rPr>
        <w:t xml:space="preserve"> (1) </w:t>
      </w:r>
      <w:proofErr w:type="spellStart"/>
      <w:r w:rsidRPr="00FB23A3">
        <w:rPr>
          <w:lang w:val="en-US"/>
        </w:rPr>
        <w:t>tarihimize</w:t>
      </w:r>
      <w:proofErr w:type="spellEnd"/>
      <w:r w:rsidRPr="00FB23A3">
        <w:rPr>
          <w:lang w:val="en-US"/>
        </w:rPr>
        <w:t xml:space="preserve"> </w:t>
      </w:r>
      <w:proofErr w:type="spellStart"/>
      <w:r w:rsidRPr="00FB23A3">
        <w:rPr>
          <w:lang w:val="en-US"/>
        </w:rPr>
        <w:t>derinlemesine</w:t>
      </w:r>
      <w:proofErr w:type="spellEnd"/>
      <w:r w:rsidRPr="00FB23A3">
        <w:rPr>
          <w:lang w:val="en-US"/>
        </w:rPr>
        <w:t xml:space="preserve"> </w:t>
      </w:r>
      <w:proofErr w:type="spellStart"/>
      <w:r w:rsidRPr="00FB23A3">
        <w:rPr>
          <w:lang w:val="en-US"/>
        </w:rPr>
        <w:t>kök</w:t>
      </w:r>
      <w:proofErr w:type="spellEnd"/>
      <w:r w:rsidRPr="00FB23A3">
        <w:rPr>
          <w:lang w:val="en-US"/>
        </w:rPr>
        <w:t xml:space="preserve"> </w:t>
      </w:r>
      <w:proofErr w:type="spellStart"/>
      <w:r w:rsidRPr="00FB23A3">
        <w:rPr>
          <w:lang w:val="en-US"/>
        </w:rPr>
        <w:t>salmış</w:t>
      </w:r>
      <w:proofErr w:type="spellEnd"/>
      <w:r w:rsidRPr="00FB23A3">
        <w:rPr>
          <w:lang w:val="en-US"/>
        </w:rPr>
        <w:t xml:space="preserve"> </w:t>
      </w:r>
      <w:proofErr w:type="spellStart"/>
      <w:r w:rsidRPr="00FB23A3">
        <w:rPr>
          <w:lang w:val="en-US"/>
        </w:rPr>
        <w:t>olmakla</w:t>
      </w:r>
      <w:proofErr w:type="spellEnd"/>
      <w:r w:rsidRPr="00FB23A3">
        <w:rPr>
          <w:lang w:val="en-US"/>
        </w:rPr>
        <w:t xml:space="preserve"> </w:t>
      </w:r>
      <w:proofErr w:type="spellStart"/>
      <w:r w:rsidRPr="00FB23A3">
        <w:rPr>
          <w:lang w:val="en-US"/>
        </w:rPr>
        <w:t>birlikte</w:t>
      </w:r>
      <w:proofErr w:type="spellEnd"/>
      <w:r w:rsidRPr="00FB23A3">
        <w:rPr>
          <w:lang w:val="en-US"/>
        </w:rPr>
        <w:t xml:space="preserve"> </w:t>
      </w:r>
      <w:proofErr w:type="spellStart"/>
      <w:r w:rsidRPr="00FB23A3">
        <w:rPr>
          <w:lang w:val="en-US"/>
        </w:rPr>
        <w:t>olumsal</w:t>
      </w:r>
      <w:proofErr w:type="spellEnd"/>
      <w:r w:rsidRPr="00FB23A3">
        <w:rPr>
          <w:lang w:val="en-US"/>
        </w:rPr>
        <w:t xml:space="preserve"> (contingent) </w:t>
      </w:r>
      <w:proofErr w:type="spellStart"/>
      <w:r w:rsidRPr="00FB23A3">
        <w:rPr>
          <w:lang w:val="en-US"/>
        </w:rPr>
        <w:t>ve</w:t>
      </w:r>
      <w:proofErr w:type="spellEnd"/>
      <w:r w:rsidRPr="00FB23A3">
        <w:rPr>
          <w:lang w:val="en-US"/>
        </w:rPr>
        <w:t xml:space="preserve"> </w:t>
      </w:r>
      <w:proofErr w:type="spellStart"/>
      <w:r w:rsidRPr="00FB23A3">
        <w:rPr>
          <w:lang w:val="en-US"/>
        </w:rPr>
        <w:t>evrimsel</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niteliğe</w:t>
      </w:r>
      <w:proofErr w:type="spellEnd"/>
      <w:r w:rsidRPr="00FB23A3">
        <w:rPr>
          <w:lang w:val="en-US"/>
        </w:rPr>
        <w:t xml:space="preserve"> </w:t>
      </w:r>
      <w:proofErr w:type="spellStart"/>
      <w:r w:rsidRPr="00FB23A3">
        <w:rPr>
          <w:lang w:val="en-US"/>
        </w:rPr>
        <w:t>sahiptir</w:t>
      </w:r>
      <w:proofErr w:type="spellEnd"/>
      <w:r w:rsidRPr="00FB23A3">
        <w:rPr>
          <w:lang w:val="en-US"/>
        </w:rPr>
        <w:t xml:space="preserve">; (2) </w:t>
      </w:r>
      <w:proofErr w:type="spellStart"/>
      <w:r w:rsidRPr="00FB23A3">
        <w:rPr>
          <w:lang w:val="en-US"/>
        </w:rPr>
        <w:t>belirli</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düzeyde</w:t>
      </w:r>
      <w:proofErr w:type="spellEnd"/>
      <w:r w:rsidRPr="00FB23A3">
        <w:rPr>
          <w:lang w:val="en-US"/>
        </w:rPr>
        <w:t xml:space="preserve"> </w:t>
      </w:r>
      <w:proofErr w:type="spellStart"/>
      <w:r w:rsidRPr="00FB23A3">
        <w:rPr>
          <w:lang w:val="en-US"/>
        </w:rPr>
        <w:t>entelektüel</w:t>
      </w:r>
      <w:proofErr w:type="spellEnd"/>
      <w:r w:rsidRPr="00FB23A3">
        <w:rPr>
          <w:lang w:val="en-US"/>
        </w:rPr>
        <w:t xml:space="preserve"> </w:t>
      </w:r>
      <w:proofErr w:type="spellStart"/>
      <w:r w:rsidRPr="00FB23A3">
        <w:rPr>
          <w:lang w:val="en-US"/>
        </w:rPr>
        <w:t>tartışmaya</w:t>
      </w:r>
      <w:proofErr w:type="spellEnd"/>
      <w:r w:rsidRPr="00FB23A3">
        <w:rPr>
          <w:lang w:val="en-US"/>
        </w:rPr>
        <w:t xml:space="preserve"> </w:t>
      </w:r>
      <w:proofErr w:type="spellStart"/>
      <w:r w:rsidRPr="00FB23A3">
        <w:rPr>
          <w:lang w:val="en-US"/>
        </w:rPr>
        <w:t>konu</w:t>
      </w:r>
      <w:proofErr w:type="spellEnd"/>
      <w:r w:rsidRPr="00FB23A3">
        <w:rPr>
          <w:lang w:val="en-US"/>
        </w:rPr>
        <w:t xml:space="preserve"> </w:t>
      </w:r>
      <w:proofErr w:type="spellStart"/>
      <w:r w:rsidRPr="00FB23A3">
        <w:rPr>
          <w:lang w:val="en-US"/>
        </w:rPr>
        <w:t>olmakla</w:t>
      </w:r>
      <w:proofErr w:type="spellEnd"/>
      <w:r w:rsidRPr="00FB23A3">
        <w:rPr>
          <w:lang w:val="en-US"/>
        </w:rPr>
        <w:t xml:space="preserve"> </w:t>
      </w:r>
      <w:proofErr w:type="spellStart"/>
      <w:r w:rsidRPr="00FB23A3">
        <w:rPr>
          <w:lang w:val="en-US"/>
        </w:rPr>
        <w:t>birlikte</w:t>
      </w:r>
      <w:proofErr w:type="spellEnd"/>
      <w:r w:rsidRPr="00FB23A3">
        <w:rPr>
          <w:lang w:val="en-US"/>
        </w:rPr>
        <w:t xml:space="preserve">, </w:t>
      </w:r>
      <w:proofErr w:type="spellStart"/>
      <w:r w:rsidRPr="00FB23A3">
        <w:rPr>
          <w:lang w:val="en-US"/>
        </w:rPr>
        <w:t>aynı</w:t>
      </w:r>
      <w:proofErr w:type="spellEnd"/>
      <w:r w:rsidRPr="00FB23A3">
        <w:rPr>
          <w:lang w:val="en-US"/>
        </w:rPr>
        <w:t xml:space="preserve"> </w:t>
      </w:r>
      <w:proofErr w:type="spellStart"/>
      <w:r w:rsidRPr="00FB23A3">
        <w:rPr>
          <w:lang w:val="en-US"/>
        </w:rPr>
        <w:t>zamanda</w:t>
      </w:r>
      <w:proofErr w:type="spellEnd"/>
      <w:r w:rsidRPr="00FB23A3">
        <w:rPr>
          <w:lang w:val="en-US"/>
        </w:rPr>
        <w:t xml:space="preserve"> </w:t>
      </w:r>
      <w:proofErr w:type="spellStart"/>
      <w:r w:rsidRPr="00FB23A3">
        <w:rPr>
          <w:lang w:val="en-US"/>
        </w:rPr>
        <w:t>daha</w:t>
      </w:r>
      <w:proofErr w:type="spellEnd"/>
      <w:r w:rsidRPr="00FB23A3">
        <w:rPr>
          <w:lang w:val="en-US"/>
        </w:rPr>
        <w:t xml:space="preserve"> </w:t>
      </w:r>
      <w:proofErr w:type="spellStart"/>
      <w:r w:rsidRPr="00FB23A3">
        <w:rPr>
          <w:lang w:val="en-US"/>
        </w:rPr>
        <w:t>belirsiz</w:t>
      </w:r>
      <w:proofErr w:type="spellEnd"/>
      <w:r w:rsidRPr="00FB23A3">
        <w:rPr>
          <w:lang w:val="en-US"/>
        </w:rPr>
        <w:t xml:space="preserve"> </w:t>
      </w:r>
      <w:proofErr w:type="spellStart"/>
      <w:r w:rsidRPr="00FB23A3">
        <w:rPr>
          <w:lang w:val="en-US"/>
        </w:rPr>
        <w:t>bağlılıkları</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varsayımları</w:t>
      </w:r>
      <w:proofErr w:type="spellEnd"/>
      <w:r w:rsidRPr="00FB23A3">
        <w:rPr>
          <w:lang w:val="en-US"/>
        </w:rPr>
        <w:t xml:space="preserve"> </w:t>
      </w:r>
      <w:proofErr w:type="spellStart"/>
      <w:r w:rsidRPr="00FB23A3">
        <w:rPr>
          <w:lang w:val="en-US"/>
        </w:rPr>
        <w:t>yansıtmaktadır</w:t>
      </w:r>
      <w:proofErr w:type="spellEnd"/>
      <w:r w:rsidRPr="00FB23A3">
        <w:rPr>
          <w:lang w:val="en-US"/>
        </w:rPr>
        <w:t xml:space="preserve">; </w:t>
      </w:r>
      <w:proofErr w:type="spellStart"/>
      <w:r w:rsidRPr="00FB23A3">
        <w:rPr>
          <w:lang w:val="en-US"/>
        </w:rPr>
        <w:t>ve</w:t>
      </w:r>
      <w:proofErr w:type="spellEnd"/>
      <w:r w:rsidRPr="00FB23A3">
        <w:rPr>
          <w:lang w:val="en-US"/>
        </w:rPr>
        <w:t xml:space="preserve"> (3) </w:t>
      </w:r>
      <w:proofErr w:type="spellStart"/>
      <w:r w:rsidRPr="00FB23A3">
        <w:rPr>
          <w:lang w:val="en-US"/>
        </w:rPr>
        <w:t>karmaşık</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birbirini</w:t>
      </w:r>
      <w:proofErr w:type="spellEnd"/>
      <w:r w:rsidRPr="00FB23A3">
        <w:rPr>
          <w:lang w:val="en-US"/>
        </w:rPr>
        <w:t xml:space="preserve"> </w:t>
      </w:r>
      <w:proofErr w:type="spellStart"/>
      <w:r w:rsidRPr="00FB23A3">
        <w:rPr>
          <w:lang w:val="en-US"/>
        </w:rPr>
        <w:t>destekleyen</w:t>
      </w:r>
      <w:proofErr w:type="spellEnd"/>
      <w:r w:rsidRPr="00FB23A3">
        <w:rPr>
          <w:lang w:val="en-US"/>
        </w:rPr>
        <w:t xml:space="preserve"> </w:t>
      </w:r>
      <w:proofErr w:type="spellStart"/>
      <w:r w:rsidRPr="00FB23A3">
        <w:rPr>
          <w:lang w:val="en-US"/>
        </w:rPr>
        <w:t>bir</w:t>
      </w:r>
      <w:proofErr w:type="spellEnd"/>
      <w:r w:rsidRPr="00FB23A3">
        <w:rPr>
          <w:lang w:val="en-US"/>
        </w:rPr>
        <w:t xml:space="preserve"> dizi </w:t>
      </w:r>
      <w:proofErr w:type="spellStart"/>
      <w:r w:rsidRPr="00FB23A3">
        <w:rPr>
          <w:lang w:val="en-US"/>
        </w:rPr>
        <w:t>diğer</w:t>
      </w:r>
      <w:proofErr w:type="spellEnd"/>
      <w:r w:rsidRPr="00FB23A3">
        <w:rPr>
          <w:lang w:val="en-US"/>
        </w:rPr>
        <w:t xml:space="preserve"> </w:t>
      </w:r>
      <w:proofErr w:type="spellStart"/>
      <w:r w:rsidRPr="00FB23A3">
        <w:rPr>
          <w:lang w:val="en-US"/>
        </w:rPr>
        <w:t>düzenleme</w:t>
      </w:r>
      <w:proofErr w:type="spellEnd"/>
      <w:r w:rsidRPr="00FB23A3">
        <w:rPr>
          <w:lang w:val="en-US"/>
        </w:rPr>
        <w:t xml:space="preserve"> </w:t>
      </w:r>
      <w:proofErr w:type="spellStart"/>
      <w:r w:rsidRPr="00FB23A3">
        <w:rPr>
          <w:lang w:val="en-US"/>
        </w:rPr>
        <w:t>ve</w:t>
      </w:r>
      <w:proofErr w:type="spellEnd"/>
      <w:r w:rsidRPr="00FB23A3">
        <w:rPr>
          <w:lang w:val="en-US"/>
        </w:rPr>
        <w:t xml:space="preserve"> norma </w:t>
      </w:r>
      <w:proofErr w:type="spellStart"/>
      <w:r w:rsidRPr="00FB23A3">
        <w:rPr>
          <w:lang w:val="en-US"/>
        </w:rPr>
        <w:t>dayanmaktadır</w:t>
      </w:r>
      <w:proofErr w:type="spellEnd"/>
      <w:r w:rsidRPr="00FB23A3">
        <w:rPr>
          <w:lang w:val="en-US"/>
        </w:rPr>
        <w:t xml:space="preserve">. Bu </w:t>
      </w:r>
      <w:proofErr w:type="spellStart"/>
      <w:r w:rsidRPr="00FB23A3">
        <w:rPr>
          <w:lang w:val="en-US"/>
        </w:rPr>
        <w:t>makaleyi</w:t>
      </w:r>
      <w:proofErr w:type="spellEnd"/>
      <w:r w:rsidRPr="00FB23A3">
        <w:rPr>
          <w:lang w:val="en-US"/>
        </w:rPr>
        <w:t xml:space="preserve"> </w:t>
      </w:r>
      <w:proofErr w:type="spellStart"/>
      <w:r w:rsidRPr="00FB23A3">
        <w:rPr>
          <w:lang w:val="en-US"/>
        </w:rPr>
        <w:t>kaleme</w:t>
      </w:r>
      <w:proofErr w:type="spellEnd"/>
      <w:r w:rsidRPr="00FB23A3">
        <w:rPr>
          <w:lang w:val="en-US"/>
        </w:rPr>
        <w:t xml:space="preserve"> </w:t>
      </w:r>
      <w:proofErr w:type="spellStart"/>
      <w:r w:rsidRPr="00FB23A3">
        <w:rPr>
          <w:lang w:val="en-US"/>
        </w:rPr>
        <w:t>alırken</w:t>
      </w:r>
      <w:proofErr w:type="spellEnd"/>
      <w:r w:rsidRPr="00FB23A3">
        <w:rPr>
          <w:lang w:val="en-US"/>
        </w:rPr>
        <w:t xml:space="preserve"> zaman </w:t>
      </w:r>
      <w:proofErr w:type="spellStart"/>
      <w:r w:rsidRPr="00FB23A3">
        <w:rPr>
          <w:lang w:val="en-US"/>
        </w:rPr>
        <w:t>zaman</w:t>
      </w:r>
      <w:proofErr w:type="spellEnd"/>
      <w:r w:rsidRPr="00FB23A3">
        <w:rPr>
          <w:lang w:val="en-US"/>
        </w:rPr>
        <w:t xml:space="preserve"> </w:t>
      </w:r>
      <w:proofErr w:type="spellStart"/>
      <w:r w:rsidRPr="00FB23A3">
        <w:rPr>
          <w:lang w:val="en-US"/>
        </w:rPr>
        <w:t>yöneldiğim</w:t>
      </w:r>
      <w:proofErr w:type="spellEnd"/>
      <w:r w:rsidRPr="00FB23A3">
        <w:rPr>
          <w:lang w:val="en-US"/>
        </w:rPr>
        <w:t xml:space="preserve"> </w:t>
      </w:r>
      <w:proofErr w:type="spellStart"/>
      <w:r w:rsidRPr="00FB23A3">
        <w:rPr>
          <w:lang w:val="en-US"/>
        </w:rPr>
        <w:t>tüm</w:t>
      </w:r>
      <w:proofErr w:type="spellEnd"/>
      <w:r w:rsidRPr="00FB23A3">
        <w:rPr>
          <w:lang w:val="en-US"/>
        </w:rPr>
        <w:t xml:space="preserve"> </w:t>
      </w:r>
      <w:proofErr w:type="spellStart"/>
      <w:r w:rsidRPr="00FB23A3">
        <w:rPr>
          <w:lang w:val="en-US"/>
        </w:rPr>
        <w:t>diğer</w:t>
      </w:r>
      <w:proofErr w:type="spellEnd"/>
      <w:r w:rsidRPr="00FB23A3">
        <w:rPr>
          <w:lang w:val="en-US"/>
        </w:rPr>
        <w:t xml:space="preserve"> </w:t>
      </w:r>
      <w:proofErr w:type="spellStart"/>
      <w:r w:rsidRPr="00FB23A3">
        <w:rPr>
          <w:lang w:val="en-US"/>
        </w:rPr>
        <w:t>kavramsal</w:t>
      </w:r>
      <w:proofErr w:type="spellEnd"/>
      <w:r w:rsidRPr="00FB23A3">
        <w:rPr>
          <w:lang w:val="en-US"/>
        </w:rPr>
        <w:t xml:space="preserve"> </w:t>
      </w:r>
      <w:proofErr w:type="spellStart"/>
      <w:r w:rsidRPr="00FB23A3">
        <w:rPr>
          <w:lang w:val="en-US"/>
        </w:rPr>
        <w:t>çerçeveler</w:t>
      </w:r>
      <w:proofErr w:type="spellEnd"/>
      <w:r w:rsidRPr="00FB23A3">
        <w:rPr>
          <w:lang w:val="en-US"/>
        </w:rPr>
        <w:t xml:space="preserve"> de </w:t>
      </w:r>
      <w:proofErr w:type="spellStart"/>
      <w:r w:rsidRPr="00FB23A3">
        <w:rPr>
          <w:lang w:val="en-US"/>
        </w:rPr>
        <w:t>dâhil</w:t>
      </w:r>
      <w:proofErr w:type="spellEnd"/>
      <w:r w:rsidRPr="00FB23A3">
        <w:rPr>
          <w:lang w:val="en-US"/>
        </w:rPr>
        <w:t xml:space="preserve"> </w:t>
      </w:r>
      <w:proofErr w:type="spellStart"/>
      <w:r w:rsidRPr="00FB23A3">
        <w:rPr>
          <w:lang w:val="en-US"/>
        </w:rPr>
        <w:t>olmak</w:t>
      </w:r>
      <w:proofErr w:type="spellEnd"/>
      <w:r w:rsidRPr="00FB23A3">
        <w:rPr>
          <w:lang w:val="en-US"/>
        </w:rPr>
        <w:t xml:space="preserve"> </w:t>
      </w:r>
      <w:proofErr w:type="spellStart"/>
      <w:r w:rsidRPr="00FB23A3">
        <w:rPr>
          <w:lang w:val="en-US"/>
        </w:rPr>
        <w:t>üzere</w:t>
      </w:r>
      <w:proofErr w:type="spellEnd"/>
      <w:r w:rsidRPr="00FB23A3">
        <w:rPr>
          <w:lang w:val="en-US"/>
        </w:rPr>
        <w:t xml:space="preserve">, </w:t>
      </w:r>
      <w:proofErr w:type="spellStart"/>
      <w:r w:rsidRPr="00FB23A3">
        <w:rPr>
          <w:lang w:val="en-US"/>
        </w:rPr>
        <w:t>önerilebilecek</w:t>
      </w:r>
      <w:proofErr w:type="spellEnd"/>
      <w:r w:rsidRPr="00FB23A3">
        <w:rPr>
          <w:lang w:val="en-US"/>
        </w:rPr>
        <w:t xml:space="preserve"> </w:t>
      </w:r>
      <w:proofErr w:type="spellStart"/>
      <w:r w:rsidRPr="00FB23A3">
        <w:rPr>
          <w:lang w:val="en-US"/>
        </w:rPr>
        <w:t>neredeyse</w:t>
      </w:r>
      <w:proofErr w:type="spellEnd"/>
      <w:r w:rsidRPr="00FB23A3">
        <w:rPr>
          <w:lang w:val="en-US"/>
        </w:rPr>
        <w:t xml:space="preserve"> her </w:t>
      </w:r>
      <w:proofErr w:type="spellStart"/>
      <w:r w:rsidRPr="00FB23A3">
        <w:rPr>
          <w:lang w:val="en-US"/>
        </w:rPr>
        <w:t>başka</w:t>
      </w:r>
      <w:proofErr w:type="spellEnd"/>
      <w:r w:rsidRPr="00FB23A3">
        <w:rPr>
          <w:lang w:val="en-US"/>
        </w:rPr>
        <w:t xml:space="preserve"> </w:t>
      </w:r>
      <w:proofErr w:type="spellStart"/>
      <w:r w:rsidRPr="00FB23A3">
        <w:rPr>
          <w:lang w:val="en-US"/>
        </w:rPr>
        <w:t>terim</w:t>
      </w:r>
      <w:proofErr w:type="spellEnd"/>
      <w:r w:rsidRPr="00FB23A3">
        <w:rPr>
          <w:lang w:val="en-US"/>
        </w:rPr>
        <w:t xml:space="preserve"> </w:t>
      </w:r>
      <w:proofErr w:type="spellStart"/>
      <w:r w:rsidRPr="00FB23A3">
        <w:rPr>
          <w:lang w:val="en-US"/>
        </w:rPr>
        <w:t>bu</w:t>
      </w:r>
      <w:proofErr w:type="spellEnd"/>
      <w:r w:rsidRPr="00FB23A3">
        <w:rPr>
          <w:lang w:val="en-US"/>
        </w:rPr>
        <w:t xml:space="preserve"> </w:t>
      </w:r>
      <w:proofErr w:type="spellStart"/>
      <w:r w:rsidRPr="00FB23A3">
        <w:rPr>
          <w:lang w:val="en-US"/>
        </w:rPr>
        <w:t>unsurların</w:t>
      </w:r>
      <w:proofErr w:type="spellEnd"/>
      <w:r w:rsidRPr="00FB23A3">
        <w:rPr>
          <w:lang w:val="en-US"/>
        </w:rPr>
        <w:t xml:space="preserve"> </w:t>
      </w:r>
      <w:proofErr w:type="spellStart"/>
      <w:r w:rsidRPr="00FB23A3">
        <w:rPr>
          <w:lang w:val="en-US"/>
        </w:rPr>
        <w:t>bazı</w:t>
      </w:r>
      <w:proofErr w:type="spellEnd"/>
      <w:r w:rsidRPr="00FB23A3">
        <w:rPr>
          <w:lang w:val="en-US"/>
        </w:rPr>
        <w:t xml:space="preserve"> </w:t>
      </w:r>
      <w:proofErr w:type="spellStart"/>
      <w:r w:rsidRPr="00FB23A3">
        <w:rPr>
          <w:lang w:val="en-US"/>
        </w:rPr>
        <w:t>önemli</w:t>
      </w:r>
      <w:proofErr w:type="spellEnd"/>
      <w:r w:rsidRPr="00FB23A3">
        <w:rPr>
          <w:lang w:val="en-US"/>
        </w:rPr>
        <w:t xml:space="preserve"> </w:t>
      </w:r>
      <w:proofErr w:type="spellStart"/>
      <w:r w:rsidRPr="00FB23A3">
        <w:rPr>
          <w:lang w:val="en-US"/>
        </w:rPr>
        <w:t>yönlerini</w:t>
      </w:r>
      <w:proofErr w:type="spellEnd"/>
      <w:r w:rsidRPr="00FB23A3">
        <w:rPr>
          <w:lang w:val="en-US"/>
        </w:rPr>
        <w:t xml:space="preserve"> </w:t>
      </w:r>
      <w:proofErr w:type="spellStart"/>
      <w:r w:rsidRPr="00FB23A3">
        <w:rPr>
          <w:lang w:val="en-US"/>
        </w:rPr>
        <w:t>göz</w:t>
      </w:r>
      <w:proofErr w:type="spellEnd"/>
      <w:r w:rsidRPr="00FB23A3">
        <w:rPr>
          <w:lang w:val="en-US"/>
        </w:rPr>
        <w:t xml:space="preserve"> </w:t>
      </w:r>
      <w:proofErr w:type="spellStart"/>
      <w:r w:rsidRPr="00FB23A3">
        <w:rPr>
          <w:lang w:val="en-US"/>
        </w:rPr>
        <w:t>ardı</w:t>
      </w:r>
      <w:proofErr w:type="spellEnd"/>
      <w:r w:rsidRPr="00FB23A3">
        <w:rPr>
          <w:lang w:val="en-US"/>
        </w:rPr>
        <w:t xml:space="preserve"> </w:t>
      </w:r>
      <w:proofErr w:type="spellStart"/>
      <w:r w:rsidRPr="00FB23A3">
        <w:rPr>
          <w:lang w:val="en-US"/>
        </w:rPr>
        <w:t>etmektedir</w:t>
      </w:r>
      <w:proofErr w:type="spellEnd"/>
      <w:r w:rsidRPr="00FB23A3">
        <w:rPr>
          <w:lang w:val="en-US"/>
        </w:rPr>
        <w:t xml:space="preserve">. En </w:t>
      </w:r>
      <w:proofErr w:type="spellStart"/>
      <w:r w:rsidRPr="00FB23A3">
        <w:rPr>
          <w:lang w:val="en-US"/>
        </w:rPr>
        <w:t>basit</w:t>
      </w:r>
      <w:proofErr w:type="spellEnd"/>
      <w:r w:rsidRPr="00FB23A3">
        <w:rPr>
          <w:lang w:val="en-US"/>
        </w:rPr>
        <w:t xml:space="preserve"> </w:t>
      </w:r>
      <w:proofErr w:type="spellStart"/>
      <w:r w:rsidRPr="00FB23A3">
        <w:rPr>
          <w:lang w:val="en-US"/>
        </w:rPr>
        <w:t>örneği</w:t>
      </w:r>
      <w:proofErr w:type="spellEnd"/>
      <w:r w:rsidRPr="00FB23A3">
        <w:rPr>
          <w:lang w:val="en-US"/>
        </w:rPr>
        <w:t xml:space="preserve"> </w:t>
      </w:r>
      <w:proofErr w:type="spellStart"/>
      <w:r w:rsidRPr="00FB23A3">
        <w:rPr>
          <w:lang w:val="en-US"/>
        </w:rPr>
        <w:t>ele</w:t>
      </w:r>
      <w:proofErr w:type="spellEnd"/>
      <w:r w:rsidRPr="00FB23A3">
        <w:rPr>
          <w:lang w:val="en-US"/>
        </w:rPr>
        <w:t xml:space="preserve"> </w:t>
      </w:r>
      <w:proofErr w:type="spellStart"/>
      <w:r w:rsidRPr="00FB23A3">
        <w:rPr>
          <w:lang w:val="en-US"/>
        </w:rPr>
        <w:t>alacak</w:t>
      </w:r>
      <w:proofErr w:type="spellEnd"/>
      <w:r w:rsidRPr="00FB23A3">
        <w:rPr>
          <w:lang w:val="en-US"/>
        </w:rPr>
        <w:t xml:space="preserve"> </w:t>
      </w:r>
      <w:proofErr w:type="spellStart"/>
      <w:r w:rsidRPr="00FB23A3">
        <w:rPr>
          <w:lang w:val="en-US"/>
        </w:rPr>
        <w:t>olursak</w:t>
      </w:r>
      <w:proofErr w:type="spellEnd"/>
      <w:r w:rsidRPr="00FB23A3">
        <w:rPr>
          <w:lang w:val="en-US"/>
        </w:rPr>
        <w:t xml:space="preserve">, </w:t>
      </w:r>
      <w:proofErr w:type="spellStart"/>
      <w:r w:rsidRPr="00FB23A3">
        <w:rPr>
          <w:lang w:val="en-US"/>
        </w:rPr>
        <w:t>anayasa</w:t>
      </w:r>
      <w:proofErr w:type="spellEnd"/>
      <w:r w:rsidRPr="00FB23A3">
        <w:rPr>
          <w:lang w:val="en-US"/>
        </w:rPr>
        <w:t xml:space="preserve"> </w:t>
      </w:r>
      <w:proofErr w:type="spellStart"/>
      <w:r w:rsidRPr="00FB23A3">
        <w:rPr>
          <w:lang w:val="en-US"/>
        </w:rPr>
        <w:t>kuramcılarının</w:t>
      </w:r>
      <w:proofErr w:type="spellEnd"/>
      <w:r w:rsidRPr="00FB23A3">
        <w:rPr>
          <w:lang w:val="en-US"/>
        </w:rPr>
        <w:t xml:space="preserve"> </w:t>
      </w:r>
      <w:proofErr w:type="spellStart"/>
      <w:r w:rsidRPr="00FB23A3">
        <w:rPr>
          <w:lang w:val="en-US"/>
        </w:rPr>
        <w:t>bu</w:t>
      </w:r>
      <w:proofErr w:type="spellEnd"/>
      <w:r w:rsidRPr="00FB23A3">
        <w:rPr>
          <w:lang w:val="en-US"/>
        </w:rPr>
        <w:t xml:space="preserve"> </w:t>
      </w:r>
      <w:proofErr w:type="spellStart"/>
      <w:r w:rsidRPr="00FB23A3">
        <w:rPr>
          <w:lang w:val="en-US"/>
        </w:rPr>
        <w:t>unsurların</w:t>
      </w:r>
      <w:proofErr w:type="spellEnd"/>
      <w:r w:rsidRPr="00FB23A3">
        <w:rPr>
          <w:lang w:val="en-US"/>
        </w:rPr>
        <w:t xml:space="preserve"> </w:t>
      </w:r>
      <w:proofErr w:type="spellStart"/>
      <w:r w:rsidRPr="00FB23A3">
        <w:rPr>
          <w:lang w:val="en-US"/>
        </w:rPr>
        <w:t>çoğunu</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yapı</w:t>
      </w:r>
      <w:proofErr w:type="spellEnd"/>
      <w:r w:rsidRPr="00FB23A3">
        <w:rPr>
          <w:lang w:val="en-US"/>
        </w:rPr>
        <w:t xml:space="preserve">” (structure) </w:t>
      </w:r>
      <w:proofErr w:type="spellStart"/>
      <w:r w:rsidRPr="00FB23A3">
        <w:rPr>
          <w:lang w:val="en-US"/>
        </w:rPr>
        <w:t>olarak</w:t>
      </w:r>
      <w:proofErr w:type="spellEnd"/>
      <w:r w:rsidRPr="00FB23A3">
        <w:rPr>
          <w:lang w:val="en-US"/>
        </w:rPr>
        <w:t xml:space="preserve"> </w:t>
      </w:r>
      <w:proofErr w:type="spellStart"/>
      <w:r w:rsidRPr="00FB23A3">
        <w:rPr>
          <w:lang w:val="en-US"/>
        </w:rPr>
        <w:t>tanımlama</w:t>
      </w:r>
      <w:proofErr w:type="spellEnd"/>
      <w:r w:rsidRPr="00FB23A3">
        <w:rPr>
          <w:lang w:val="en-US"/>
        </w:rPr>
        <w:t xml:space="preserve"> </w:t>
      </w:r>
      <w:proofErr w:type="spellStart"/>
      <w:r w:rsidRPr="00FB23A3">
        <w:rPr>
          <w:lang w:val="en-US"/>
        </w:rPr>
        <w:t>kararı</w:t>
      </w:r>
      <w:proofErr w:type="spellEnd"/>
      <w:r w:rsidRPr="00FB23A3">
        <w:rPr>
          <w:lang w:val="en-US"/>
        </w:rPr>
        <w:t xml:space="preserve">, </w:t>
      </w:r>
      <w:proofErr w:type="spellStart"/>
      <w:r w:rsidRPr="00FB23A3">
        <w:rPr>
          <w:lang w:val="en-US"/>
        </w:rPr>
        <w:t>bazı</w:t>
      </w:r>
      <w:proofErr w:type="spellEnd"/>
      <w:r w:rsidRPr="00FB23A3">
        <w:rPr>
          <w:lang w:val="en-US"/>
        </w:rPr>
        <w:t xml:space="preserve"> </w:t>
      </w:r>
      <w:proofErr w:type="spellStart"/>
      <w:r w:rsidRPr="00FB23A3">
        <w:rPr>
          <w:lang w:val="en-US"/>
        </w:rPr>
        <w:t>düzenlemelerimizin</w:t>
      </w:r>
      <w:proofErr w:type="spellEnd"/>
      <w:r w:rsidRPr="00FB23A3">
        <w:rPr>
          <w:lang w:val="en-US"/>
        </w:rPr>
        <w:t xml:space="preserve"> </w:t>
      </w:r>
      <w:proofErr w:type="spellStart"/>
      <w:r w:rsidRPr="00FB23A3">
        <w:rPr>
          <w:lang w:val="en-US"/>
        </w:rPr>
        <w:t>istikrarı</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kalıcılığına</w:t>
      </w:r>
      <w:proofErr w:type="spellEnd"/>
      <w:r w:rsidRPr="00FB23A3">
        <w:rPr>
          <w:lang w:val="en-US"/>
        </w:rPr>
        <w:t xml:space="preserve"> </w:t>
      </w:r>
      <w:proofErr w:type="spellStart"/>
      <w:r w:rsidRPr="00FB23A3">
        <w:rPr>
          <w:lang w:val="en-US"/>
        </w:rPr>
        <w:t>gereğinden</w:t>
      </w:r>
      <w:proofErr w:type="spellEnd"/>
      <w:r w:rsidRPr="00FB23A3">
        <w:rPr>
          <w:lang w:val="en-US"/>
        </w:rPr>
        <w:t xml:space="preserve"> </w:t>
      </w:r>
      <w:proofErr w:type="spellStart"/>
      <w:r w:rsidRPr="00FB23A3">
        <w:rPr>
          <w:lang w:val="en-US"/>
        </w:rPr>
        <w:t>fazla</w:t>
      </w:r>
      <w:proofErr w:type="spellEnd"/>
      <w:r w:rsidRPr="00FB23A3">
        <w:rPr>
          <w:lang w:val="en-US"/>
        </w:rPr>
        <w:t xml:space="preserve"> </w:t>
      </w:r>
      <w:proofErr w:type="spellStart"/>
      <w:r w:rsidRPr="00FB23A3">
        <w:rPr>
          <w:lang w:val="en-US"/>
        </w:rPr>
        <w:t>vurgu</w:t>
      </w:r>
      <w:proofErr w:type="spellEnd"/>
      <w:r w:rsidRPr="00FB23A3">
        <w:rPr>
          <w:lang w:val="en-US"/>
        </w:rPr>
        <w:t xml:space="preserve"> </w:t>
      </w:r>
      <w:proofErr w:type="spellStart"/>
      <w:r w:rsidRPr="00FB23A3">
        <w:rPr>
          <w:lang w:val="en-US"/>
        </w:rPr>
        <w:t>yapılmasına</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belirli</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eşiği</w:t>
      </w:r>
      <w:proofErr w:type="spellEnd"/>
      <w:r w:rsidRPr="00FB23A3">
        <w:rPr>
          <w:lang w:val="en-US"/>
        </w:rPr>
        <w:t xml:space="preserve"> </w:t>
      </w:r>
      <w:proofErr w:type="spellStart"/>
      <w:r w:rsidRPr="00FB23A3">
        <w:rPr>
          <w:lang w:val="en-US"/>
        </w:rPr>
        <w:t>karşılamayan</w:t>
      </w:r>
      <w:proofErr w:type="spellEnd"/>
      <w:r w:rsidRPr="00FB23A3">
        <w:rPr>
          <w:lang w:val="en-US"/>
        </w:rPr>
        <w:t xml:space="preserve"> </w:t>
      </w:r>
      <w:proofErr w:type="spellStart"/>
      <w:r w:rsidRPr="00FB23A3">
        <w:rPr>
          <w:lang w:val="en-US"/>
        </w:rPr>
        <w:t>düzenlemelerin</w:t>
      </w:r>
      <w:proofErr w:type="spellEnd"/>
      <w:r w:rsidRPr="00FB23A3">
        <w:rPr>
          <w:lang w:val="en-US"/>
        </w:rPr>
        <w:t xml:space="preserve"> </w:t>
      </w:r>
      <w:proofErr w:type="spellStart"/>
      <w:r w:rsidRPr="00FB23A3">
        <w:rPr>
          <w:lang w:val="en-US"/>
        </w:rPr>
        <w:t>göz</w:t>
      </w:r>
      <w:proofErr w:type="spellEnd"/>
      <w:r w:rsidRPr="00FB23A3">
        <w:rPr>
          <w:lang w:val="en-US"/>
        </w:rPr>
        <w:t xml:space="preserve"> </w:t>
      </w:r>
      <w:proofErr w:type="spellStart"/>
      <w:r w:rsidRPr="00FB23A3">
        <w:rPr>
          <w:lang w:val="en-US"/>
        </w:rPr>
        <w:t>ardı</w:t>
      </w:r>
      <w:proofErr w:type="spellEnd"/>
      <w:r w:rsidRPr="00FB23A3">
        <w:rPr>
          <w:lang w:val="en-US"/>
        </w:rPr>
        <w:t xml:space="preserve"> </w:t>
      </w:r>
      <w:proofErr w:type="spellStart"/>
      <w:r w:rsidRPr="00FB23A3">
        <w:rPr>
          <w:lang w:val="en-US"/>
        </w:rPr>
        <w:t>edilmesine</w:t>
      </w:r>
      <w:proofErr w:type="spellEnd"/>
      <w:r w:rsidRPr="00FB23A3">
        <w:rPr>
          <w:lang w:val="en-US"/>
        </w:rPr>
        <w:t xml:space="preserve"> </w:t>
      </w:r>
      <w:proofErr w:type="spellStart"/>
      <w:r w:rsidRPr="00FB23A3">
        <w:rPr>
          <w:lang w:val="en-US"/>
        </w:rPr>
        <w:t>yol</w:t>
      </w:r>
      <w:proofErr w:type="spellEnd"/>
      <w:r w:rsidRPr="00FB23A3">
        <w:rPr>
          <w:lang w:val="en-US"/>
        </w:rPr>
        <w:t xml:space="preserve"> </w:t>
      </w:r>
      <w:proofErr w:type="spellStart"/>
      <w:r w:rsidRPr="00FB23A3">
        <w:rPr>
          <w:lang w:val="en-US"/>
        </w:rPr>
        <w:t>açmıştır</w:t>
      </w:r>
      <w:proofErr w:type="spellEnd"/>
      <w:r w:rsidRPr="00FB23A3">
        <w:rPr>
          <w:lang w:val="en-US"/>
        </w:rPr>
        <w:t xml:space="preserve">. Benzer </w:t>
      </w:r>
      <w:proofErr w:type="spellStart"/>
      <w:r w:rsidRPr="00FB23A3">
        <w:rPr>
          <w:lang w:val="en-US"/>
        </w:rPr>
        <w:t>şekilde</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kültürün</w:t>
      </w:r>
      <w:proofErr w:type="spellEnd"/>
      <w:r w:rsidRPr="00FB23A3">
        <w:rPr>
          <w:lang w:val="en-US"/>
        </w:rPr>
        <w:t xml:space="preserve"> </w:t>
      </w:r>
      <w:proofErr w:type="spellStart"/>
      <w:r w:rsidRPr="00FB23A3">
        <w:rPr>
          <w:lang w:val="en-US"/>
        </w:rPr>
        <w:t>geniş</w:t>
      </w:r>
      <w:proofErr w:type="spellEnd"/>
      <w:r w:rsidRPr="00FB23A3">
        <w:rPr>
          <w:lang w:val="en-US"/>
        </w:rPr>
        <w:t xml:space="preserve"> </w:t>
      </w:r>
      <w:proofErr w:type="spellStart"/>
      <w:r w:rsidRPr="00FB23A3">
        <w:rPr>
          <w:lang w:val="en-US"/>
        </w:rPr>
        <w:t>alanını</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kurumlar</w:t>
      </w:r>
      <w:proofErr w:type="spellEnd"/>
      <w:r w:rsidRPr="00FB23A3">
        <w:rPr>
          <w:lang w:val="en-US"/>
        </w:rPr>
        <w:t xml:space="preserve">” (institutions) </w:t>
      </w:r>
      <w:proofErr w:type="spellStart"/>
      <w:r w:rsidRPr="00FB23A3">
        <w:rPr>
          <w:lang w:val="en-US"/>
        </w:rPr>
        <w:t>veya</w:t>
      </w:r>
      <w:proofErr w:type="spellEnd"/>
      <w:r w:rsidRPr="00FB23A3">
        <w:rPr>
          <w:lang w:val="en-US"/>
        </w:rPr>
        <w:t xml:space="preserve"> “</w:t>
      </w:r>
      <w:proofErr w:type="spellStart"/>
      <w:r w:rsidRPr="00FB23A3">
        <w:rPr>
          <w:lang w:val="en-US"/>
        </w:rPr>
        <w:t>uygulamalar</w:t>
      </w:r>
      <w:proofErr w:type="spellEnd"/>
      <w:r w:rsidRPr="00FB23A3">
        <w:rPr>
          <w:lang w:val="en-US"/>
        </w:rPr>
        <w:t xml:space="preserve">” (practices) </w:t>
      </w:r>
      <w:proofErr w:type="spellStart"/>
      <w:r w:rsidRPr="00FB23A3">
        <w:rPr>
          <w:lang w:val="en-US"/>
        </w:rPr>
        <w:t>çerçevesinde</w:t>
      </w:r>
      <w:proofErr w:type="spellEnd"/>
      <w:r w:rsidRPr="00FB23A3">
        <w:rPr>
          <w:lang w:val="en-US"/>
        </w:rPr>
        <w:t xml:space="preserve"> </w:t>
      </w:r>
      <w:proofErr w:type="spellStart"/>
      <w:r w:rsidRPr="00FB23A3">
        <w:rPr>
          <w:lang w:val="en-US"/>
        </w:rPr>
        <w:t>tanımlamaya</w:t>
      </w:r>
      <w:proofErr w:type="spellEnd"/>
      <w:r w:rsidRPr="00FB23A3">
        <w:rPr>
          <w:lang w:val="en-US"/>
        </w:rPr>
        <w:t xml:space="preserve"> </w:t>
      </w:r>
      <w:proofErr w:type="spellStart"/>
      <w:r w:rsidRPr="00FB23A3">
        <w:rPr>
          <w:lang w:val="en-US"/>
        </w:rPr>
        <w:t>yönelik</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girişim</w:t>
      </w:r>
      <w:proofErr w:type="spellEnd"/>
      <w:r w:rsidRPr="00FB23A3">
        <w:rPr>
          <w:lang w:val="en-US"/>
        </w:rPr>
        <w:t xml:space="preserve">, </w:t>
      </w:r>
      <w:proofErr w:type="spellStart"/>
      <w:r w:rsidRPr="00FB23A3">
        <w:rPr>
          <w:lang w:val="en-US"/>
        </w:rPr>
        <w:t>kültürün</w:t>
      </w:r>
      <w:proofErr w:type="spellEnd"/>
      <w:r w:rsidRPr="00FB23A3">
        <w:rPr>
          <w:lang w:val="en-US"/>
        </w:rPr>
        <w:t xml:space="preserve"> </w:t>
      </w:r>
      <w:proofErr w:type="spellStart"/>
      <w:r w:rsidRPr="00FB23A3">
        <w:rPr>
          <w:lang w:val="en-US"/>
        </w:rPr>
        <w:t>yapısal</w:t>
      </w:r>
      <w:proofErr w:type="spellEnd"/>
      <w:r w:rsidRPr="00FB23A3">
        <w:rPr>
          <w:lang w:val="en-US"/>
        </w:rPr>
        <w:t xml:space="preserve"> </w:t>
      </w:r>
      <w:proofErr w:type="spellStart"/>
      <w:r w:rsidRPr="00FB23A3">
        <w:rPr>
          <w:lang w:val="en-US"/>
        </w:rPr>
        <w:t>olmaktan</w:t>
      </w:r>
      <w:proofErr w:type="spellEnd"/>
      <w:r w:rsidRPr="00FB23A3">
        <w:rPr>
          <w:lang w:val="en-US"/>
        </w:rPr>
        <w:t xml:space="preserve"> </w:t>
      </w:r>
      <w:proofErr w:type="spellStart"/>
      <w:r w:rsidRPr="00FB23A3">
        <w:rPr>
          <w:lang w:val="en-US"/>
        </w:rPr>
        <w:t>ziyade</w:t>
      </w:r>
      <w:proofErr w:type="spellEnd"/>
      <w:r w:rsidRPr="00FB23A3">
        <w:rPr>
          <w:lang w:val="en-US"/>
        </w:rPr>
        <w:t xml:space="preserve"> </w:t>
      </w:r>
      <w:proofErr w:type="spellStart"/>
      <w:r w:rsidRPr="00FB23A3">
        <w:rPr>
          <w:lang w:val="en-US"/>
        </w:rPr>
        <w:t>düşünsel</w:t>
      </w:r>
      <w:proofErr w:type="spellEnd"/>
      <w:r w:rsidRPr="00FB23A3">
        <w:rPr>
          <w:lang w:val="en-US"/>
        </w:rPr>
        <w:t xml:space="preserve"> (ideational) </w:t>
      </w:r>
      <w:proofErr w:type="spellStart"/>
      <w:r w:rsidRPr="00FB23A3">
        <w:rPr>
          <w:lang w:val="en-US"/>
        </w:rPr>
        <w:t>olan</w:t>
      </w:r>
      <w:proofErr w:type="spellEnd"/>
      <w:r w:rsidRPr="00FB23A3">
        <w:rPr>
          <w:lang w:val="en-US"/>
        </w:rPr>
        <w:t xml:space="preserve"> </w:t>
      </w:r>
      <w:proofErr w:type="spellStart"/>
      <w:r w:rsidRPr="00FB23A3">
        <w:rPr>
          <w:lang w:val="en-US"/>
        </w:rPr>
        <w:t>temel</w:t>
      </w:r>
      <w:proofErr w:type="spellEnd"/>
      <w:r w:rsidRPr="00FB23A3">
        <w:rPr>
          <w:lang w:val="en-US"/>
        </w:rPr>
        <w:t xml:space="preserve"> </w:t>
      </w:r>
      <w:proofErr w:type="spellStart"/>
      <w:r w:rsidRPr="00FB23A3">
        <w:rPr>
          <w:lang w:val="en-US"/>
        </w:rPr>
        <w:t>yönlerini</w:t>
      </w:r>
      <w:proofErr w:type="spellEnd"/>
      <w:r w:rsidRPr="00FB23A3">
        <w:rPr>
          <w:lang w:val="en-US"/>
        </w:rPr>
        <w:t xml:space="preserve"> </w:t>
      </w:r>
      <w:proofErr w:type="spellStart"/>
      <w:r w:rsidRPr="00FB23A3">
        <w:rPr>
          <w:lang w:val="en-US"/>
        </w:rPr>
        <w:t>önemsizleştirmektedir</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süreç</w:t>
      </w:r>
      <w:proofErr w:type="spellEnd"/>
      <w:r w:rsidRPr="00FB23A3">
        <w:rPr>
          <w:lang w:val="en-US"/>
        </w:rPr>
        <w:t xml:space="preserve">” (process) </w:t>
      </w:r>
      <w:proofErr w:type="spellStart"/>
      <w:r w:rsidRPr="00FB23A3">
        <w:rPr>
          <w:lang w:val="en-US"/>
        </w:rPr>
        <w:t>veya</w:t>
      </w:r>
      <w:proofErr w:type="spellEnd"/>
      <w:r w:rsidRPr="00FB23A3">
        <w:rPr>
          <w:lang w:val="en-US"/>
        </w:rPr>
        <w:t xml:space="preserve"> “</w:t>
      </w:r>
      <w:proofErr w:type="spellStart"/>
      <w:r w:rsidRPr="00FB23A3">
        <w:rPr>
          <w:lang w:val="en-US"/>
        </w:rPr>
        <w:t>karar</w:t>
      </w:r>
      <w:proofErr w:type="spellEnd"/>
      <w:r w:rsidRPr="00FB23A3">
        <w:rPr>
          <w:lang w:val="en-US"/>
        </w:rPr>
        <w:t xml:space="preserve"> alma </w:t>
      </w:r>
      <w:proofErr w:type="spellStart"/>
      <w:r w:rsidRPr="00FB23A3">
        <w:rPr>
          <w:lang w:val="en-US"/>
        </w:rPr>
        <w:t>süreci</w:t>
      </w:r>
      <w:proofErr w:type="spellEnd"/>
      <w:r w:rsidRPr="00FB23A3">
        <w:rPr>
          <w:lang w:val="en-US"/>
        </w:rPr>
        <w:t>” (</w:t>
      </w:r>
      <w:proofErr w:type="spellStart"/>
      <w:r w:rsidRPr="00FB23A3">
        <w:rPr>
          <w:lang w:val="en-US"/>
        </w:rPr>
        <w:t>decisionmaking</w:t>
      </w:r>
      <w:proofErr w:type="spellEnd"/>
      <w:r w:rsidRPr="00FB23A3">
        <w:rPr>
          <w:lang w:val="en-US"/>
        </w:rPr>
        <w:t xml:space="preserve"> process) </w:t>
      </w:r>
      <w:proofErr w:type="spellStart"/>
      <w:r w:rsidRPr="00FB23A3">
        <w:rPr>
          <w:lang w:val="en-US"/>
        </w:rPr>
        <w:t>kavramı</w:t>
      </w:r>
      <w:proofErr w:type="spellEnd"/>
      <w:r w:rsidRPr="00FB23A3">
        <w:rPr>
          <w:lang w:val="en-US"/>
        </w:rPr>
        <w:t xml:space="preserve"> </w:t>
      </w:r>
      <w:proofErr w:type="spellStart"/>
      <w:r w:rsidRPr="00FB23A3">
        <w:rPr>
          <w:lang w:val="en-US"/>
        </w:rPr>
        <w:t>ise</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yaşamımızın</w:t>
      </w:r>
      <w:proofErr w:type="spellEnd"/>
      <w:r w:rsidRPr="00FB23A3">
        <w:rPr>
          <w:lang w:val="en-US"/>
        </w:rPr>
        <w:t xml:space="preserve"> </w:t>
      </w:r>
      <w:proofErr w:type="spellStart"/>
      <w:r w:rsidRPr="00FB23A3">
        <w:rPr>
          <w:lang w:val="en-US"/>
        </w:rPr>
        <w:t>günlük</w:t>
      </w:r>
      <w:proofErr w:type="spellEnd"/>
      <w:r w:rsidRPr="00FB23A3">
        <w:rPr>
          <w:lang w:val="en-US"/>
        </w:rPr>
        <w:t xml:space="preserve"> </w:t>
      </w:r>
      <w:proofErr w:type="spellStart"/>
      <w:r w:rsidRPr="00FB23A3">
        <w:rPr>
          <w:lang w:val="en-US"/>
        </w:rPr>
        <w:t>karmaşık</w:t>
      </w:r>
      <w:proofErr w:type="spellEnd"/>
      <w:r w:rsidRPr="00FB23A3">
        <w:rPr>
          <w:lang w:val="en-US"/>
        </w:rPr>
        <w:t xml:space="preserve"> </w:t>
      </w:r>
      <w:proofErr w:type="spellStart"/>
      <w:r w:rsidRPr="00FB23A3">
        <w:rPr>
          <w:lang w:val="en-US"/>
        </w:rPr>
        <w:t>gerçekliğini</w:t>
      </w:r>
      <w:proofErr w:type="spellEnd"/>
      <w:r w:rsidRPr="00FB23A3">
        <w:rPr>
          <w:lang w:val="en-US"/>
        </w:rPr>
        <w:t xml:space="preserve"> tam </w:t>
      </w:r>
      <w:proofErr w:type="spellStart"/>
      <w:r w:rsidRPr="00FB23A3">
        <w:rPr>
          <w:lang w:val="en-US"/>
        </w:rPr>
        <w:t>olarak</w:t>
      </w:r>
      <w:proofErr w:type="spellEnd"/>
      <w:r w:rsidRPr="00FB23A3">
        <w:rPr>
          <w:lang w:val="en-US"/>
        </w:rPr>
        <w:t xml:space="preserve"> </w:t>
      </w:r>
      <w:proofErr w:type="spellStart"/>
      <w:r w:rsidRPr="00FB23A3">
        <w:rPr>
          <w:lang w:val="en-US"/>
        </w:rPr>
        <w:t>yansıtmayan</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resmiyet</w:t>
      </w:r>
      <w:proofErr w:type="spellEnd"/>
      <w:r w:rsidRPr="00FB23A3">
        <w:rPr>
          <w:lang w:val="en-US"/>
        </w:rPr>
        <w:t xml:space="preserve">, </w:t>
      </w:r>
      <w:proofErr w:type="spellStart"/>
      <w:r w:rsidRPr="00FB23A3">
        <w:rPr>
          <w:lang w:val="en-US"/>
        </w:rPr>
        <w:t>düzenlilik</w:t>
      </w:r>
      <w:proofErr w:type="spellEnd"/>
      <w:r w:rsidRPr="00FB23A3">
        <w:rPr>
          <w:lang w:val="en-US"/>
        </w:rPr>
        <w:t xml:space="preserve">, </w:t>
      </w:r>
      <w:proofErr w:type="spellStart"/>
      <w:r w:rsidRPr="00FB23A3">
        <w:rPr>
          <w:lang w:val="en-US"/>
        </w:rPr>
        <w:t>tutarlılık</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kasıtlılık</w:t>
      </w:r>
      <w:proofErr w:type="spellEnd"/>
      <w:r w:rsidRPr="00FB23A3">
        <w:rPr>
          <w:lang w:val="en-US"/>
        </w:rPr>
        <w:t xml:space="preserve"> </w:t>
      </w:r>
      <w:proofErr w:type="spellStart"/>
      <w:r w:rsidRPr="00FB23A3">
        <w:rPr>
          <w:lang w:val="en-US"/>
        </w:rPr>
        <w:t>düzeyini</w:t>
      </w:r>
      <w:proofErr w:type="spellEnd"/>
      <w:r w:rsidRPr="00FB23A3">
        <w:rPr>
          <w:lang w:val="en-US"/>
        </w:rPr>
        <w:t xml:space="preserve"> </w:t>
      </w:r>
      <w:proofErr w:type="spellStart"/>
      <w:r w:rsidRPr="00FB23A3">
        <w:rPr>
          <w:lang w:val="en-US"/>
        </w:rPr>
        <w:t>ima</w:t>
      </w:r>
      <w:proofErr w:type="spellEnd"/>
      <w:r w:rsidRPr="00FB23A3">
        <w:rPr>
          <w:lang w:val="en-US"/>
        </w:rPr>
        <w:t xml:space="preserve"> </w:t>
      </w:r>
      <w:proofErr w:type="spellStart"/>
      <w:r w:rsidRPr="00FB23A3">
        <w:rPr>
          <w:lang w:val="en-US"/>
        </w:rPr>
        <w:t>etmektedir</w:t>
      </w:r>
      <w:proofErr w:type="spellEnd"/>
      <w:r w:rsidRPr="00FB23A3">
        <w:rPr>
          <w:lang w:val="en-US"/>
        </w:rPr>
        <w:t xml:space="preserve">. </w:t>
      </w:r>
      <w:proofErr w:type="spellStart"/>
      <w:r w:rsidRPr="00FB23A3">
        <w:rPr>
          <w:lang w:val="en-US"/>
        </w:rPr>
        <w:t>Dahası</w:t>
      </w:r>
      <w:proofErr w:type="spellEnd"/>
      <w:r w:rsidRPr="00FB23A3">
        <w:rPr>
          <w:lang w:val="en-US"/>
        </w:rPr>
        <w:t xml:space="preserve">, </w:t>
      </w:r>
      <w:proofErr w:type="spellStart"/>
      <w:r w:rsidRPr="00FB23A3">
        <w:rPr>
          <w:lang w:val="en-US"/>
        </w:rPr>
        <w:t>bu</w:t>
      </w:r>
      <w:proofErr w:type="spellEnd"/>
      <w:r w:rsidRPr="00FB23A3">
        <w:rPr>
          <w:lang w:val="en-US"/>
        </w:rPr>
        <w:t xml:space="preserve"> </w:t>
      </w:r>
      <w:proofErr w:type="spellStart"/>
      <w:r w:rsidRPr="00FB23A3">
        <w:rPr>
          <w:lang w:val="en-US"/>
        </w:rPr>
        <w:t>alternatif</w:t>
      </w:r>
      <w:proofErr w:type="spellEnd"/>
      <w:r w:rsidRPr="00FB23A3">
        <w:rPr>
          <w:lang w:val="en-US"/>
        </w:rPr>
        <w:t xml:space="preserve"> </w:t>
      </w:r>
      <w:proofErr w:type="spellStart"/>
      <w:r w:rsidRPr="00FB23A3">
        <w:rPr>
          <w:lang w:val="en-US"/>
        </w:rPr>
        <w:t>ifadelerin</w:t>
      </w:r>
      <w:proofErr w:type="spellEnd"/>
      <w:r w:rsidRPr="00FB23A3">
        <w:rPr>
          <w:lang w:val="en-US"/>
        </w:rPr>
        <w:t xml:space="preserve"> </w:t>
      </w:r>
      <w:proofErr w:type="spellStart"/>
      <w:r w:rsidRPr="00FB23A3">
        <w:rPr>
          <w:lang w:val="en-US"/>
        </w:rPr>
        <w:t>hiçbiri</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düzenlemelerimizin</w:t>
      </w:r>
      <w:proofErr w:type="spellEnd"/>
      <w:r w:rsidRPr="00FB23A3">
        <w:rPr>
          <w:lang w:val="en-US"/>
        </w:rPr>
        <w:t xml:space="preserve">, </w:t>
      </w:r>
      <w:proofErr w:type="spellStart"/>
      <w:r w:rsidRPr="00FB23A3">
        <w:rPr>
          <w:lang w:val="en-US"/>
        </w:rPr>
        <w:t>uygulamalarımızın</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normlarımızın</w:t>
      </w:r>
      <w:proofErr w:type="spellEnd"/>
      <w:r w:rsidRPr="00FB23A3">
        <w:rPr>
          <w:lang w:val="en-US"/>
        </w:rPr>
        <w:t xml:space="preserve">, </w:t>
      </w:r>
      <w:proofErr w:type="spellStart"/>
      <w:r w:rsidRPr="00FB23A3">
        <w:rPr>
          <w:lang w:val="en-US"/>
        </w:rPr>
        <w:t>belirli</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anda</w:t>
      </w:r>
      <w:proofErr w:type="spellEnd"/>
      <w:r w:rsidRPr="00FB23A3">
        <w:rPr>
          <w:lang w:val="en-US"/>
        </w:rPr>
        <w:t xml:space="preserve"> </w:t>
      </w:r>
      <w:proofErr w:type="spellStart"/>
      <w:r w:rsidRPr="00FB23A3">
        <w:rPr>
          <w:lang w:val="en-US"/>
        </w:rPr>
        <w:t>kim</w:t>
      </w:r>
      <w:proofErr w:type="spellEnd"/>
      <w:r w:rsidRPr="00FB23A3">
        <w:rPr>
          <w:lang w:val="en-US"/>
        </w:rPr>
        <w:t xml:space="preserve"> </w:t>
      </w:r>
      <w:proofErr w:type="spellStart"/>
      <w:r w:rsidRPr="00FB23A3">
        <w:rPr>
          <w:lang w:val="en-US"/>
        </w:rPr>
        <w:t>olduğumuza</w:t>
      </w:r>
      <w:proofErr w:type="spellEnd"/>
      <w:r w:rsidRPr="00FB23A3">
        <w:rPr>
          <w:lang w:val="en-US"/>
        </w:rPr>
        <w:t xml:space="preserve"> </w:t>
      </w:r>
      <w:proofErr w:type="spellStart"/>
      <w:r w:rsidRPr="00FB23A3">
        <w:rPr>
          <w:lang w:val="en-US"/>
        </w:rPr>
        <w:t>dair</w:t>
      </w:r>
      <w:proofErr w:type="spellEnd"/>
      <w:r w:rsidRPr="00FB23A3">
        <w:rPr>
          <w:lang w:val="en-US"/>
        </w:rPr>
        <w:t xml:space="preserve"> </w:t>
      </w:r>
      <w:proofErr w:type="spellStart"/>
      <w:r w:rsidRPr="00FB23A3">
        <w:rPr>
          <w:lang w:val="en-US"/>
        </w:rPr>
        <w:t>temel</w:t>
      </w:r>
      <w:proofErr w:type="spellEnd"/>
      <w:r w:rsidRPr="00FB23A3">
        <w:rPr>
          <w:lang w:val="en-US"/>
        </w:rPr>
        <w:t xml:space="preserve"> </w:t>
      </w:r>
      <w:proofErr w:type="spellStart"/>
      <w:r w:rsidRPr="00FB23A3">
        <w:rPr>
          <w:lang w:val="en-US"/>
        </w:rPr>
        <w:t>gerçekleri</w:t>
      </w:r>
      <w:proofErr w:type="spellEnd"/>
      <w:r w:rsidRPr="00FB23A3">
        <w:rPr>
          <w:lang w:val="en-US"/>
        </w:rPr>
        <w:t xml:space="preserve"> hangi </w:t>
      </w:r>
      <w:proofErr w:type="spellStart"/>
      <w:r w:rsidRPr="00FB23A3">
        <w:rPr>
          <w:lang w:val="en-US"/>
        </w:rPr>
        <w:t>ölçüde</w:t>
      </w:r>
      <w:proofErr w:type="spellEnd"/>
      <w:r w:rsidRPr="00FB23A3">
        <w:rPr>
          <w:lang w:val="en-US"/>
        </w:rPr>
        <w:t xml:space="preserve"> </w:t>
      </w:r>
      <w:proofErr w:type="spellStart"/>
      <w:r w:rsidRPr="00FB23A3">
        <w:rPr>
          <w:lang w:val="en-US"/>
        </w:rPr>
        <w:t>yansıttığını</w:t>
      </w:r>
      <w:proofErr w:type="spellEnd"/>
      <w:r w:rsidRPr="00FB23A3">
        <w:rPr>
          <w:lang w:val="en-US"/>
        </w:rPr>
        <w:t xml:space="preserve"> tam </w:t>
      </w:r>
      <w:proofErr w:type="spellStart"/>
      <w:r w:rsidRPr="00FB23A3">
        <w:rPr>
          <w:lang w:val="en-US"/>
        </w:rPr>
        <w:t>anlamıyla</w:t>
      </w:r>
      <w:proofErr w:type="spellEnd"/>
      <w:r w:rsidRPr="00FB23A3">
        <w:rPr>
          <w:lang w:val="en-US"/>
        </w:rPr>
        <w:t xml:space="preserve"> </w:t>
      </w:r>
      <w:proofErr w:type="spellStart"/>
      <w:r w:rsidRPr="00FB23A3">
        <w:rPr>
          <w:lang w:val="en-US"/>
        </w:rPr>
        <w:t>ifade</w:t>
      </w:r>
      <w:proofErr w:type="spellEnd"/>
      <w:r w:rsidRPr="00FB23A3">
        <w:rPr>
          <w:lang w:val="en-US"/>
        </w:rPr>
        <w:t xml:space="preserve"> </w:t>
      </w:r>
      <w:proofErr w:type="spellStart"/>
      <w:r w:rsidRPr="00FB23A3">
        <w:rPr>
          <w:lang w:val="en-US"/>
        </w:rPr>
        <w:t>edememektedir</w:t>
      </w:r>
      <w:proofErr w:type="spellEnd"/>
      <w:r w:rsidRPr="00FB23A3">
        <w:rPr>
          <w:lang w:val="en-US"/>
        </w:rPr>
        <w:t>.</w:t>
      </w:r>
      <w:r>
        <w:rPr>
          <w:lang w:val="en-US"/>
        </w:rPr>
        <w:t xml:space="preserve"> [1111 - 1112]</w:t>
      </w:r>
    </w:p>
    <w:p w14:paraId="3FD03850" w14:textId="77777777" w:rsidR="00FB23A3" w:rsidRDefault="00FB23A3" w:rsidP="00FB23A3">
      <w:pPr>
        <w:pStyle w:val="Heading6"/>
        <w:rPr>
          <w:lang w:val="en-US"/>
        </w:rPr>
      </w:pPr>
      <w:proofErr w:type="spellStart"/>
      <w:r w:rsidRPr="00FB23A3">
        <w:rPr>
          <w:lang w:val="en-US"/>
        </w:rPr>
        <w:t>Anayasal</w:t>
      </w:r>
      <w:proofErr w:type="spellEnd"/>
      <w:r w:rsidRPr="00FB23A3">
        <w:rPr>
          <w:lang w:val="en-US"/>
        </w:rPr>
        <w:t xml:space="preserve"> </w:t>
      </w:r>
      <w:proofErr w:type="spellStart"/>
      <w:r w:rsidRPr="00FB23A3">
        <w:rPr>
          <w:lang w:val="en-US"/>
        </w:rPr>
        <w:t>Kültürün</w:t>
      </w:r>
      <w:proofErr w:type="spellEnd"/>
      <w:r w:rsidRPr="00FB23A3">
        <w:rPr>
          <w:lang w:val="en-US"/>
        </w:rPr>
        <w:t xml:space="preserve"> </w:t>
      </w:r>
      <w:proofErr w:type="spellStart"/>
      <w:r w:rsidRPr="00FB23A3">
        <w:rPr>
          <w:lang w:val="en-US"/>
        </w:rPr>
        <w:t>İçeriği</w:t>
      </w:r>
      <w:proofErr w:type="spellEnd"/>
      <w:r w:rsidRPr="00FB23A3">
        <w:rPr>
          <w:lang w:val="en-US"/>
        </w:rPr>
        <w:t xml:space="preserve">: </w:t>
      </w:r>
      <w:proofErr w:type="spellStart"/>
      <w:r w:rsidRPr="00FB23A3">
        <w:rPr>
          <w:lang w:val="en-US"/>
        </w:rPr>
        <w:t>Kavramsal</w:t>
      </w:r>
      <w:proofErr w:type="spellEnd"/>
      <w:r w:rsidRPr="00FB23A3">
        <w:rPr>
          <w:lang w:val="en-US"/>
        </w:rPr>
        <w:t xml:space="preserve"> Bir Harita</w:t>
      </w:r>
    </w:p>
    <w:p w14:paraId="6FAE73E6" w14:textId="2CD49819" w:rsidR="00FB23A3" w:rsidRDefault="00FB23A3" w:rsidP="00FB23A3">
      <w:pPr>
        <w:rPr>
          <w:lang w:val="en-US"/>
        </w:rPr>
      </w:pPr>
      <w:proofErr w:type="spellStart"/>
      <w:r w:rsidRPr="00FB23A3">
        <w:rPr>
          <w:lang w:val="en-US"/>
        </w:rPr>
        <w:t>Yukarıda</w:t>
      </w:r>
      <w:proofErr w:type="spellEnd"/>
      <w:r w:rsidRPr="00FB23A3">
        <w:rPr>
          <w:lang w:val="en-US"/>
        </w:rPr>
        <w:t xml:space="preserve"> </w:t>
      </w:r>
      <w:proofErr w:type="spellStart"/>
      <w:r w:rsidRPr="00FB23A3">
        <w:rPr>
          <w:lang w:val="en-US"/>
        </w:rPr>
        <w:t>tanımlandığı</w:t>
      </w:r>
      <w:proofErr w:type="spellEnd"/>
      <w:r w:rsidRPr="00FB23A3">
        <w:rPr>
          <w:lang w:val="en-US"/>
        </w:rPr>
        <w:t xml:space="preserve"> </w:t>
      </w:r>
      <w:proofErr w:type="spellStart"/>
      <w:r w:rsidRPr="00FB23A3">
        <w:rPr>
          <w:lang w:val="en-US"/>
        </w:rPr>
        <w:t>üzere</w:t>
      </w:r>
      <w:proofErr w:type="spellEnd"/>
      <w:r w:rsidRPr="00FB23A3">
        <w:rPr>
          <w:lang w:val="en-US"/>
        </w:rPr>
        <w:t xml:space="preserve">, </w:t>
      </w:r>
      <w:proofErr w:type="spellStart"/>
      <w:r w:rsidRPr="00FB23A3">
        <w:rPr>
          <w:lang w:val="en-US"/>
        </w:rPr>
        <w:t>anayasal</w:t>
      </w:r>
      <w:proofErr w:type="spellEnd"/>
      <w:r w:rsidRPr="00FB23A3">
        <w:rPr>
          <w:lang w:val="en-US"/>
        </w:rPr>
        <w:t xml:space="preserve"> </w:t>
      </w:r>
      <w:proofErr w:type="spellStart"/>
      <w:r w:rsidRPr="00FB23A3">
        <w:rPr>
          <w:lang w:val="en-US"/>
        </w:rPr>
        <w:t>kültürümüz</w:t>
      </w:r>
      <w:proofErr w:type="spellEnd"/>
      <w:r w:rsidRPr="00FB23A3">
        <w:rPr>
          <w:lang w:val="en-US"/>
        </w:rPr>
        <w:t xml:space="preserve">, </w:t>
      </w:r>
      <w:proofErr w:type="spellStart"/>
      <w:r w:rsidRPr="00FB23A3">
        <w:rPr>
          <w:lang w:val="en-US"/>
        </w:rPr>
        <w:t>Anayasa’nın</w:t>
      </w:r>
      <w:proofErr w:type="spellEnd"/>
      <w:r w:rsidRPr="00FB23A3">
        <w:rPr>
          <w:lang w:val="en-US"/>
        </w:rPr>
        <w:t xml:space="preserve"> </w:t>
      </w:r>
      <w:proofErr w:type="spellStart"/>
      <w:r w:rsidRPr="00FB23A3">
        <w:rPr>
          <w:lang w:val="en-US"/>
        </w:rPr>
        <w:t>kelimelerinden</w:t>
      </w:r>
      <w:proofErr w:type="spellEnd"/>
      <w:r w:rsidRPr="00FB23A3">
        <w:rPr>
          <w:lang w:val="en-US"/>
        </w:rPr>
        <w:t xml:space="preserve"> </w:t>
      </w:r>
      <w:proofErr w:type="spellStart"/>
      <w:r w:rsidRPr="00FB23A3">
        <w:rPr>
          <w:lang w:val="en-US"/>
        </w:rPr>
        <w:t>somut</w:t>
      </w:r>
      <w:proofErr w:type="spellEnd"/>
      <w:r w:rsidRPr="00FB23A3">
        <w:rPr>
          <w:lang w:val="en-US"/>
        </w:rPr>
        <w:t xml:space="preserve"> </w:t>
      </w:r>
      <w:proofErr w:type="spellStart"/>
      <w:r w:rsidRPr="00FB23A3">
        <w:rPr>
          <w:lang w:val="en-US"/>
        </w:rPr>
        <w:t>sonuçlara</w:t>
      </w:r>
      <w:proofErr w:type="spellEnd"/>
      <w:r w:rsidRPr="00FB23A3">
        <w:rPr>
          <w:lang w:val="en-US"/>
        </w:rPr>
        <w:t xml:space="preserve"> </w:t>
      </w:r>
      <w:proofErr w:type="spellStart"/>
      <w:r w:rsidRPr="00FB23A3">
        <w:rPr>
          <w:lang w:val="en-US"/>
        </w:rPr>
        <w:t>nasıl</w:t>
      </w:r>
      <w:proofErr w:type="spellEnd"/>
      <w:r w:rsidRPr="00FB23A3">
        <w:rPr>
          <w:lang w:val="en-US"/>
        </w:rPr>
        <w:t xml:space="preserve"> </w:t>
      </w:r>
      <w:proofErr w:type="spellStart"/>
      <w:r w:rsidRPr="00FB23A3">
        <w:rPr>
          <w:lang w:val="en-US"/>
        </w:rPr>
        <w:t>ulaşıldığını</w:t>
      </w:r>
      <w:proofErr w:type="spellEnd"/>
      <w:r w:rsidRPr="00FB23A3">
        <w:rPr>
          <w:lang w:val="en-US"/>
        </w:rPr>
        <w:t xml:space="preserve"> </w:t>
      </w:r>
      <w:proofErr w:type="spellStart"/>
      <w:r w:rsidRPr="00FB23A3">
        <w:rPr>
          <w:lang w:val="en-US"/>
        </w:rPr>
        <w:t>belirleyen</w:t>
      </w:r>
      <w:proofErr w:type="spellEnd"/>
      <w:r w:rsidRPr="00FB23A3">
        <w:rPr>
          <w:lang w:val="en-US"/>
        </w:rPr>
        <w:t xml:space="preserve"> </w:t>
      </w:r>
      <w:proofErr w:type="spellStart"/>
      <w:r w:rsidRPr="00FB23A3">
        <w:rPr>
          <w:lang w:val="en-US"/>
        </w:rPr>
        <w:t>kurumsal</w:t>
      </w:r>
      <w:proofErr w:type="spellEnd"/>
      <w:r w:rsidRPr="00FB23A3">
        <w:rPr>
          <w:lang w:val="en-US"/>
        </w:rPr>
        <w:t xml:space="preserve"> </w:t>
      </w:r>
      <w:proofErr w:type="spellStart"/>
      <w:r w:rsidRPr="00FB23A3">
        <w:rPr>
          <w:lang w:val="en-US"/>
        </w:rPr>
        <w:t>düzenlemeler</w:t>
      </w:r>
      <w:proofErr w:type="spellEnd"/>
      <w:r w:rsidRPr="00FB23A3">
        <w:rPr>
          <w:lang w:val="en-US"/>
        </w:rPr>
        <w:t xml:space="preserve">, </w:t>
      </w:r>
      <w:proofErr w:type="spellStart"/>
      <w:r w:rsidRPr="00FB23A3">
        <w:rPr>
          <w:lang w:val="en-US"/>
        </w:rPr>
        <w:t>uygulamalar</w:t>
      </w:r>
      <w:proofErr w:type="spellEnd"/>
      <w:r w:rsidRPr="00FB23A3">
        <w:rPr>
          <w:lang w:val="en-US"/>
        </w:rPr>
        <w:t xml:space="preserve">, </w:t>
      </w:r>
      <w:proofErr w:type="spellStart"/>
      <w:r w:rsidRPr="00FB23A3">
        <w:rPr>
          <w:lang w:val="en-US"/>
        </w:rPr>
        <w:t>normlar</w:t>
      </w:r>
      <w:proofErr w:type="spellEnd"/>
      <w:r w:rsidRPr="00FB23A3">
        <w:rPr>
          <w:lang w:val="en-US"/>
        </w:rPr>
        <w:t xml:space="preserve">, </w:t>
      </w:r>
      <w:proofErr w:type="spellStart"/>
      <w:r w:rsidRPr="00FB23A3">
        <w:rPr>
          <w:lang w:val="en-US"/>
        </w:rPr>
        <w:t>düşünce</w:t>
      </w:r>
      <w:proofErr w:type="spellEnd"/>
      <w:r w:rsidRPr="00FB23A3">
        <w:rPr>
          <w:lang w:val="en-US"/>
        </w:rPr>
        <w:t xml:space="preserve"> </w:t>
      </w:r>
      <w:proofErr w:type="spellStart"/>
      <w:r w:rsidRPr="00FB23A3">
        <w:rPr>
          <w:lang w:val="en-US"/>
        </w:rPr>
        <w:t>alışkanlıkları</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diğer</w:t>
      </w:r>
      <w:proofErr w:type="spellEnd"/>
      <w:r w:rsidRPr="00FB23A3">
        <w:rPr>
          <w:lang w:val="en-US"/>
        </w:rPr>
        <w:t xml:space="preserve"> </w:t>
      </w:r>
      <w:proofErr w:type="spellStart"/>
      <w:r w:rsidRPr="00FB23A3">
        <w:rPr>
          <w:lang w:val="en-US"/>
        </w:rPr>
        <w:t>çeşitli</w:t>
      </w:r>
      <w:proofErr w:type="spellEnd"/>
      <w:r w:rsidRPr="00FB23A3">
        <w:rPr>
          <w:lang w:val="en-US"/>
        </w:rPr>
        <w:t xml:space="preserve"> </w:t>
      </w:r>
      <w:proofErr w:type="spellStart"/>
      <w:r w:rsidRPr="00FB23A3">
        <w:rPr>
          <w:lang w:val="en-US"/>
        </w:rPr>
        <w:t>unsurlar</w:t>
      </w:r>
      <w:proofErr w:type="spellEnd"/>
      <w:r w:rsidRPr="00FB23A3">
        <w:rPr>
          <w:lang w:val="en-US"/>
        </w:rPr>
        <w:t xml:space="preserve"> bütünüdür.¹⁶²</w:t>
      </w:r>
      <w:r>
        <w:rPr>
          <w:lang w:val="en-US"/>
        </w:rPr>
        <w:t xml:space="preserve"> </w:t>
      </w:r>
      <w:r>
        <w:rPr>
          <w:rStyle w:val="FootnoteReference"/>
          <w:lang w:val="en-US"/>
        </w:rPr>
        <w:footnoteReference w:id="162"/>
      </w:r>
      <w:r w:rsidRPr="00FB23A3">
        <w:rPr>
          <w:lang w:val="en-US"/>
        </w:rPr>
        <w:t xml:space="preserve"> Bu </w:t>
      </w:r>
      <w:proofErr w:type="spellStart"/>
      <w:r w:rsidRPr="00FB23A3">
        <w:rPr>
          <w:lang w:val="en-US"/>
        </w:rPr>
        <w:t>unsurlar</w:t>
      </w:r>
      <w:proofErr w:type="spellEnd"/>
      <w:r w:rsidRPr="00FB23A3">
        <w:rPr>
          <w:lang w:val="en-US"/>
        </w:rPr>
        <w:t xml:space="preserve">, </w:t>
      </w:r>
      <w:proofErr w:type="spellStart"/>
      <w:r w:rsidRPr="00FB23A3">
        <w:rPr>
          <w:lang w:val="en-US"/>
        </w:rPr>
        <w:t>zamanlamaları</w:t>
      </w:r>
      <w:proofErr w:type="spellEnd"/>
      <w:r w:rsidRPr="00FB23A3">
        <w:rPr>
          <w:lang w:val="en-US"/>
        </w:rPr>
        <w:t xml:space="preserve"> </w:t>
      </w:r>
      <w:proofErr w:type="spellStart"/>
      <w:r w:rsidRPr="00FB23A3">
        <w:rPr>
          <w:lang w:val="en-US"/>
        </w:rPr>
        <w:t>ve</w:t>
      </w:r>
      <w:proofErr w:type="spellEnd"/>
      <w:r w:rsidRPr="00FB23A3">
        <w:rPr>
          <w:lang w:val="en-US"/>
        </w:rPr>
        <w:t xml:space="preserve"> </w:t>
      </w:r>
      <w:proofErr w:type="spellStart"/>
      <w:r w:rsidRPr="00FB23A3">
        <w:rPr>
          <w:lang w:val="en-US"/>
        </w:rPr>
        <w:t>konumları</w:t>
      </w:r>
      <w:proofErr w:type="spellEnd"/>
      <w:r w:rsidRPr="00FB23A3">
        <w:rPr>
          <w:lang w:val="en-US"/>
        </w:rPr>
        <w:t xml:space="preserve"> </w:t>
      </w:r>
      <w:proofErr w:type="spellStart"/>
      <w:r w:rsidRPr="00FB23A3">
        <w:rPr>
          <w:lang w:val="en-US"/>
        </w:rPr>
        <w:t>temelinde</w:t>
      </w:r>
      <w:proofErr w:type="spellEnd"/>
      <w:r w:rsidRPr="00FB23A3">
        <w:rPr>
          <w:lang w:val="en-US"/>
        </w:rPr>
        <w:t xml:space="preserve"> </w:t>
      </w:r>
      <w:proofErr w:type="spellStart"/>
      <w:r w:rsidRPr="00FB23A3">
        <w:rPr>
          <w:lang w:val="en-US"/>
        </w:rPr>
        <w:t>çeşitli</w:t>
      </w:r>
      <w:proofErr w:type="spellEnd"/>
      <w:r w:rsidRPr="00FB23A3">
        <w:rPr>
          <w:lang w:val="en-US"/>
        </w:rPr>
        <w:t xml:space="preserve"> </w:t>
      </w:r>
      <w:proofErr w:type="spellStart"/>
      <w:r w:rsidRPr="00FB23A3">
        <w:rPr>
          <w:lang w:val="en-US"/>
        </w:rPr>
        <w:t>kategorilere</w:t>
      </w:r>
      <w:proofErr w:type="spellEnd"/>
      <w:r w:rsidRPr="00FB23A3">
        <w:rPr>
          <w:lang w:val="en-US"/>
        </w:rPr>
        <w:t xml:space="preserve"> </w:t>
      </w:r>
      <w:proofErr w:type="spellStart"/>
      <w:r w:rsidRPr="00FB23A3">
        <w:rPr>
          <w:lang w:val="en-US"/>
        </w:rPr>
        <w:t>ayrılarak</w:t>
      </w:r>
      <w:proofErr w:type="spellEnd"/>
      <w:r w:rsidRPr="00FB23A3">
        <w:rPr>
          <w:lang w:val="en-US"/>
        </w:rPr>
        <w:t xml:space="preserve"> </w:t>
      </w:r>
      <w:proofErr w:type="spellStart"/>
      <w:r w:rsidRPr="00FB23A3">
        <w:rPr>
          <w:lang w:val="en-US"/>
        </w:rPr>
        <w:t>verimli</w:t>
      </w:r>
      <w:proofErr w:type="spellEnd"/>
      <w:r w:rsidRPr="00FB23A3">
        <w:rPr>
          <w:lang w:val="en-US"/>
        </w:rPr>
        <w:t xml:space="preserve"> </w:t>
      </w:r>
      <w:proofErr w:type="spellStart"/>
      <w:r w:rsidRPr="00FB23A3">
        <w:rPr>
          <w:lang w:val="en-US"/>
        </w:rPr>
        <w:t>bir</w:t>
      </w:r>
      <w:proofErr w:type="spellEnd"/>
      <w:r w:rsidRPr="00FB23A3">
        <w:rPr>
          <w:lang w:val="en-US"/>
        </w:rPr>
        <w:t xml:space="preserve"> </w:t>
      </w:r>
      <w:proofErr w:type="spellStart"/>
      <w:r w:rsidRPr="00FB23A3">
        <w:rPr>
          <w:lang w:val="en-US"/>
        </w:rPr>
        <w:t>şekilde</w:t>
      </w:r>
      <w:proofErr w:type="spellEnd"/>
      <w:r w:rsidRPr="00FB23A3">
        <w:rPr>
          <w:lang w:val="en-US"/>
        </w:rPr>
        <w:t xml:space="preserve"> </w:t>
      </w:r>
      <w:proofErr w:type="spellStart"/>
      <w:r w:rsidRPr="00FB23A3">
        <w:rPr>
          <w:lang w:val="en-US"/>
        </w:rPr>
        <w:t>tasnif</w:t>
      </w:r>
      <w:proofErr w:type="spellEnd"/>
      <w:r w:rsidRPr="00FB23A3">
        <w:rPr>
          <w:lang w:val="en-US"/>
        </w:rPr>
        <w:t xml:space="preserve"> edilebilir.¹⁶³</w:t>
      </w:r>
      <w:r>
        <w:rPr>
          <w:lang w:val="en-US"/>
        </w:rPr>
        <w:t xml:space="preserve"> </w:t>
      </w:r>
      <w:r>
        <w:rPr>
          <w:rStyle w:val="FootnoteReference"/>
          <w:lang w:val="en-US"/>
        </w:rPr>
        <w:footnoteReference w:id="163"/>
      </w:r>
    </w:p>
    <w:p w14:paraId="04881367" w14:textId="14F53E04" w:rsidR="009D3734" w:rsidRPr="009D3734" w:rsidRDefault="00FB23A3" w:rsidP="009D3734">
      <w:pPr>
        <w:pStyle w:val="ListParagraph"/>
        <w:numPr>
          <w:ilvl w:val="0"/>
          <w:numId w:val="13"/>
        </w:numPr>
        <w:spacing w:before="100" w:beforeAutospacing="1" w:after="100" w:afterAutospacing="1"/>
        <w:jc w:val="left"/>
        <w:rPr>
          <w:rFonts w:eastAsia="Times New Roman" w:cs="Times New Roman"/>
          <w:szCs w:val="24"/>
          <w:lang w:val="en-US"/>
        </w:rPr>
      </w:pPr>
      <w:proofErr w:type="spellStart"/>
      <w:r w:rsidRPr="00FB23A3">
        <w:rPr>
          <w:rFonts w:eastAsia="Times New Roman" w:cs="Times New Roman"/>
          <w:szCs w:val="24"/>
          <w:lang w:val="en-US"/>
        </w:rPr>
        <w:lastRenderedPageBreak/>
        <w:t>Mahkemelerin</w:t>
      </w:r>
      <w:proofErr w:type="spellEnd"/>
      <w:r w:rsidRPr="00FB23A3">
        <w:rPr>
          <w:rFonts w:eastAsia="Times New Roman" w:cs="Times New Roman"/>
          <w:szCs w:val="24"/>
          <w:lang w:val="en-US"/>
        </w:rPr>
        <w:t xml:space="preserve"> Yapısını </w:t>
      </w:r>
      <w:proofErr w:type="spellStart"/>
      <w:r w:rsidRPr="00FB23A3">
        <w:rPr>
          <w:rFonts w:eastAsia="Times New Roman" w:cs="Times New Roman"/>
          <w:szCs w:val="24"/>
          <w:lang w:val="en-US"/>
        </w:rPr>
        <w:t>ve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Personelini</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Belirleyen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Unsurlar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Mahkemelerin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tasarımı</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bu</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mahkemelere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kimlerin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atanacağına</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ilişkin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tercihler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anayasal</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kültürün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etkili</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düzenlemeleri</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normlarından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bir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grubunu</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oluşturmaktadır</w:t>
      </w:r>
      <w:proofErr w:type="spellEnd"/>
      <w:r w:rsidRPr="00FB23A3">
        <w:rPr>
          <w:rFonts w:eastAsia="Times New Roman" w:cs="Times New Roman"/>
          <w:szCs w:val="24"/>
          <w:lang w:val="en-US"/>
        </w:rPr>
        <w:t xml:space="preserve">. Bu </w:t>
      </w:r>
      <w:proofErr w:type="spellStart"/>
      <w:r w:rsidRPr="00FB23A3">
        <w:rPr>
          <w:rFonts w:eastAsia="Times New Roman" w:cs="Times New Roman"/>
          <w:szCs w:val="24"/>
          <w:lang w:val="en-US"/>
        </w:rPr>
        <w:t>kategoriye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dâhil</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olan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kültürel</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unsurlar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arasında</w:t>
      </w:r>
      <w:proofErr w:type="spellEnd"/>
      <w:r w:rsidRPr="00FB23A3">
        <w:rPr>
          <w:rFonts w:eastAsia="Times New Roman" w:cs="Times New Roman"/>
          <w:szCs w:val="24"/>
          <w:lang w:val="en-US"/>
        </w:rPr>
        <w:t xml:space="preserve">, Yüksek </w:t>
      </w:r>
      <w:proofErr w:type="spellStart"/>
      <w:r w:rsidRPr="00FB23A3">
        <w:rPr>
          <w:rFonts w:eastAsia="Times New Roman" w:cs="Times New Roman"/>
          <w:szCs w:val="24"/>
          <w:lang w:val="en-US"/>
        </w:rPr>
        <w:t>Mahkeme’nin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büyüklüğü</w:t>
      </w:r>
      <w:proofErr w:type="spellEnd"/>
      <w:r w:rsidRPr="00FB23A3">
        <w:rPr>
          <w:rFonts w:eastAsia="Times New Roman" w:cs="Times New Roman"/>
          <w:szCs w:val="24"/>
          <w:lang w:val="en-US"/>
        </w:rPr>
        <w:t xml:space="preserve">; alt federal </w:t>
      </w:r>
      <w:proofErr w:type="spellStart"/>
      <w:r w:rsidRPr="00FB23A3">
        <w:rPr>
          <w:rFonts w:eastAsia="Times New Roman" w:cs="Times New Roman"/>
          <w:szCs w:val="24"/>
          <w:lang w:val="en-US"/>
        </w:rPr>
        <w:t>mahkemelerin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varlığı</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büyüklüğü</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konumu</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yargıç</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olarak</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kimin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atanıp</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onaylanacağını</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belirleyen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kurallar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normlar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diğer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hukuk</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profesyonellerinin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örneğin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hukuk</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kâtipleri</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veya</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personel</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avukatları</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istihdam</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edilip</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edilmeyeceği</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kararı</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ve</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bunların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seçimi</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için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kullanılan</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mekanizmalar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yer</w:t>
      </w:r>
      <w:proofErr w:type="spellEnd"/>
      <w:r w:rsidRPr="00FB23A3">
        <w:rPr>
          <w:rFonts w:eastAsia="Times New Roman" w:cs="Times New Roman"/>
          <w:szCs w:val="24"/>
          <w:lang w:val="en-US"/>
        </w:rPr>
        <w:t xml:space="preserve"> </w:t>
      </w:r>
      <w:proofErr w:type="spellStart"/>
      <w:r w:rsidRPr="00FB23A3">
        <w:rPr>
          <w:rFonts w:eastAsia="Times New Roman" w:cs="Times New Roman"/>
          <w:szCs w:val="24"/>
          <w:lang w:val="en-US"/>
        </w:rPr>
        <w:t>almaktadır</w:t>
      </w:r>
      <w:proofErr w:type="spellEnd"/>
      <w:r w:rsidRPr="00FB23A3">
        <w:rPr>
          <w:rFonts w:eastAsia="Times New Roman" w:cs="Times New Roman"/>
          <w:szCs w:val="24"/>
          <w:lang w:val="en-US"/>
        </w:rPr>
        <w:t>.</w:t>
      </w:r>
    </w:p>
    <w:p w14:paraId="177F749C" w14:textId="6D2E641C" w:rsidR="009D3734" w:rsidRPr="009D3734" w:rsidRDefault="009D3734" w:rsidP="009D3734">
      <w:pPr>
        <w:pStyle w:val="ListParagraph"/>
        <w:numPr>
          <w:ilvl w:val="0"/>
          <w:numId w:val="13"/>
        </w:numPr>
        <w:spacing w:before="100" w:beforeAutospacing="1" w:after="100" w:afterAutospacing="1"/>
        <w:jc w:val="left"/>
        <w:rPr>
          <w:rFonts w:eastAsia="Times New Roman" w:cs="Times New Roman"/>
          <w:szCs w:val="24"/>
          <w:lang w:val="en-US"/>
        </w:rPr>
      </w:pPr>
      <w:proofErr w:type="spellStart"/>
      <w:r w:rsidRPr="009D3734">
        <w:rPr>
          <w:rFonts w:eastAsia="Times New Roman" w:cs="Times New Roman"/>
          <w:szCs w:val="24"/>
          <w:lang w:val="en-US"/>
        </w:rPr>
        <w:t>Yargısal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Denetim</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İçin</w:t>
      </w:r>
      <w:proofErr w:type="spellEnd"/>
      <w:r w:rsidRPr="009D3734">
        <w:rPr>
          <w:rFonts w:eastAsia="Times New Roman" w:cs="Times New Roman"/>
          <w:szCs w:val="24"/>
          <w:lang w:val="en-US"/>
        </w:rPr>
        <w:t xml:space="preserve"> Hangi </w:t>
      </w:r>
      <w:proofErr w:type="spellStart"/>
      <w:r w:rsidRPr="009D3734">
        <w:rPr>
          <w:rFonts w:eastAsia="Times New Roman" w:cs="Times New Roman"/>
          <w:szCs w:val="24"/>
          <w:lang w:val="en-US"/>
        </w:rPr>
        <w:t>Meselelerin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Sunulacağını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Bunların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Çerçeveleneceğini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Unsurlar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kültürün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etkili</w:t>
      </w:r>
      <w:proofErr w:type="spellEnd"/>
      <w:r w:rsidRPr="009D3734">
        <w:rPr>
          <w:rFonts w:eastAsia="Times New Roman" w:cs="Times New Roman"/>
          <w:szCs w:val="24"/>
          <w:lang w:val="en-US"/>
        </w:rPr>
        <w:t xml:space="preserve"> norm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uygulamalarından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diğer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grubu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toplumsal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huzursuzluğun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somut</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iddialara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dönüştürülmesi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iddiaların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denetim</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şekillendirilmesi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süreciyle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ilgilidir</w:t>
      </w:r>
      <w:proofErr w:type="spellEnd"/>
      <w:r w:rsidRPr="009D3734">
        <w:rPr>
          <w:rFonts w:eastAsia="Times New Roman" w:cs="Times New Roman"/>
          <w:szCs w:val="24"/>
          <w:lang w:val="en-US"/>
        </w:rPr>
        <w:t xml:space="preserve">. Bu </w:t>
      </w:r>
      <w:proofErr w:type="spellStart"/>
      <w:r w:rsidRPr="009D3734">
        <w:rPr>
          <w:rFonts w:eastAsia="Times New Roman" w:cs="Times New Roman"/>
          <w:szCs w:val="24"/>
          <w:lang w:val="en-US"/>
        </w:rPr>
        <w:t>kategori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mahkemelerin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diğer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devlet</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organlarıyla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olan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ilişkisine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hangi </w:t>
      </w:r>
      <w:proofErr w:type="spellStart"/>
      <w:r w:rsidRPr="009D3734">
        <w:rPr>
          <w:rFonts w:eastAsia="Times New Roman" w:cs="Times New Roman"/>
          <w:szCs w:val="24"/>
          <w:lang w:val="en-US"/>
        </w:rPr>
        <w:t>tür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uyuşmazlıkların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dava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yoluyla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çözüme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kavuşturulmasının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olduğuna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dair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düşünce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alışkanlıklarını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iddiaların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mahkemeler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önüne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getirilme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maliyetini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kolaylığını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kurallar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mesleki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uygulamaları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bireylerin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veya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grupların</w:t>
      </w:r>
      <w:proofErr w:type="spellEnd"/>
      <w:r w:rsidRPr="009D3734">
        <w:rPr>
          <w:rFonts w:eastAsia="Times New Roman" w:cs="Times New Roman"/>
          <w:szCs w:val="24"/>
          <w:lang w:val="en-US"/>
        </w:rPr>
        <w:t xml:space="preserve"> yeni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yaratıcı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argümanlar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geliştirmesini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test </w:t>
      </w:r>
      <w:proofErr w:type="spellStart"/>
      <w:r w:rsidRPr="009D3734">
        <w:rPr>
          <w:rFonts w:eastAsia="Times New Roman" w:cs="Times New Roman"/>
          <w:szCs w:val="24"/>
          <w:lang w:val="en-US"/>
        </w:rPr>
        <w:t>etmesini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kolaylaştıran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w:t>
      </w:r>
      <w:proofErr w:type="spellEnd"/>
      <w:r w:rsidRPr="009D3734">
        <w:rPr>
          <w:rFonts w:eastAsia="Times New Roman" w:cs="Times New Roman"/>
          <w:szCs w:val="24"/>
          <w:lang w:val="en-US"/>
        </w:rPr>
        <w:t xml:space="preserve"> da </w:t>
      </w:r>
      <w:proofErr w:type="spellStart"/>
      <w:r w:rsidRPr="009D3734">
        <w:rPr>
          <w:rFonts w:eastAsia="Times New Roman" w:cs="Times New Roman"/>
          <w:szCs w:val="24"/>
          <w:lang w:val="en-US"/>
        </w:rPr>
        <w:t>zorlaştıran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kurumsal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düzenlemeleri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teknolojik</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gelişmeleri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düşünceyi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yönlere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yönlendiren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doktrinsel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yapıları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düşünce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alışkanlıklarını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içermektedir</w:t>
      </w:r>
      <w:proofErr w:type="spellEnd"/>
      <w:r w:rsidRPr="009D3734">
        <w:rPr>
          <w:rFonts w:eastAsia="Times New Roman" w:cs="Times New Roman"/>
          <w:szCs w:val="24"/>
          <w:lang w:val="en-US"/>
        </w:rPr>
        <w:t>.</w:t>
      </w:r>
      <w:r>
        <w:rPr>
          <w:rFonts w:eastAsia="Times New Roman" w:cs="Times New Roman"/>
          <w:szCs w:val="24"/>
          <w:lang w:val="en-US"/>
        </w:rPr>
        <w:t xml:space="preserve"> [1112 – 1113]</w:t>
      </w:r>
    </w:p>
    <w:p w14:paraId="20F83A3B" w14:textId="77777777" w:rsidR="009D3734" w:rsidRPr="009D3734" w:rsidRDefault="009D3734" w:rsidP="009D3734">
      <w:pPr>
        <w:pStyle w:val="ListParagraph"/>
        <w:numPr>
          <w:ilvl w:val="0"/>
          <w:numId w:val="13"/>
        </w:numPr>
        <w:spacing w:before="100" w:beforeAutospacing="1" w:after="100" w:afterAutospacing="1"/>
        <w:jc w:val="left"/>
        <w:rPr>
          <w:rFonts w:eastAsia="Times New Roman" w:cs="Times New Roman"/>
          <w:szCs w:val="24"/>
          <w:lang w:val="en-US"/>
        </w:rPr>
      </w:pPr>
      <w:proofErr w:type="spellStart"/>
      <w:r w:rsidRPr="009D3734">
        <w:rPr>
          <w:rFonts w:eastAsia="Times New Roman" w:cs="Times New Roman"/>
          <w:szCs w:val="24"/>
          <w:lang w:val="en-US"/>
        </w:rPr>
        <w:t>Mahkemelerin</w:t>
      </w:r>
      <w:proofErr w:type="spellEnd"/>
      <w:r w:rsidRPr="009D3734">
        <w:rPr>
          <w:rFonts w:eastAsia="Times New Roman" w:cs="Times New Roman"/>
          <w:szCs w:val="24"/>
          <w:lang w:val="en-US"/>
        </w:rPr>
        <w:t xml:space="preserve"> Bu </w:t>
      </w:r>
      <w:proofErr w:type="spellStart"/>
      <w:r w:rsidRPr="009D3734">
        <w:rPr>
          <w:rFonts w:eastAsia="Times New Roman" w:cs="Times New Roman"/>
          <w:szCs w:val="24"/>
          <w:lang w:val="en-US"/>
        </w:rPr>
        <w:t>Meseleleri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İnceleyeceğini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Bağlayacağını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Unsurlar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kültürün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etkili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unsurlarından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üçüncü</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özellikle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geniş</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kategori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organlarının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uyuşmazlıkları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ele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alması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bunları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bağlaması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yanıt</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üretmesi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sürecini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içermektedir</w:t>
      </w:r>
      <w:proofErr w:type="spellEnd"/>
      <w:r w:rsidRPr="009D3734">
        <w:rPr>
          <w:rFonts w:eastAsia="Times New Roman" w:cs="Times New Roman"/>
          <w:szCs w:val="24"/>
          <w:lang w:val="en-US"/>
        </w:rPr>
        <w:t xml:space="preserve">. Bu </w:t>
      </w:r>
      <w:proofErr w:type="spellStart"/>
      <w:r w:rsidRPr="009D3734">
        <w:rPr>
          <w:rFonts w:eastAsia="Times New Roman" w:cs="Times New Roman"/>
          <w:szCs w:val="24"/>
          <w:lang w:val="en-US"/>
        </w:rPr>
        <w:t>kategori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davaların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sunulması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savunulması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geçerli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olan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uygulamaları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düzenlemeleri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mahkemelerin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yazılı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üretip</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üretmeyeceğini</w:t>
      </w:r>
      <w:proofErr w:type="spellEnd"/>
      <w:r w:rsidRPr="009D3734">
        <w:rPr>
          <w:rFonts w:eastAsia="Times New Roman" w:cs="Times New Roman"/>
          <w:szCs w:val="24"/>
          <w:lang w:val="en-US"/>
        </w:rPr>
        <w:t xml:space="preserve">, ne zaman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üreteceğini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kuralları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uygulamaları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yazarlarının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seçeneklerini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algılama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biçimini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seçenekler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arasında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yapacakları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tercihleri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şekillendiren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düşünce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alışkanlıklarını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ayrıca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hâkimlerin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farklı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türdeki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iddialara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argümanlara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davacılara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karşı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duyarlılığını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kurumsal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siyasi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düzenlemeleri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kapsamaktadır</w:t>
      </w:r>
      <w:proofErr w:type="spellEnd"/>
      <w:r w:rsidRPr="009D3734">
        <w:rPr>
          <w:rFonts w:eastAsia="Times New Roman" w:cs="Times New Roman"/>
          <w:szCs w:val="24"/>
          <w:lang w:val="en-US"/>
        </w:rPr>
        <w:t>.</w:t>
      </w:r>
    </w:p>
    <w:p w14:paraId="2AED039C" w14:textId="4488310D" w:rsidR="009D3734" w:rsidRDefault="009D3734" w:rsidP="009D3734">
      <w:pPr>
        <w:pStyle w:val="ListParagraph"/>
        <w:numPr>
          <w:ilvl w:val="0"/>
          <w:numId w:val="13"/>
        </w:numPr>
        <w:spacing w:before="100" w:beforeAutospacing="1" w:after="100" w:afterAutospacing="1"/>
        <w:jc w:val="left"/>
        <w:rPr>
          <w:rFonts w:eastAsia="Times New Roman" w:cs="Times New Roman"/>
          <w:szCs w:val="24"/>
          <w:lang w:val="en-US"/>
        </w:rPr>
      </w:pPr>
      <w:proofErr w:type="spellStart"/>
      <w:r w:rsidRPr="009D3734">
        <w:rPr>
          <w:rFonts w:eastAsia="Times New Roman" w:cs="Times New Roman"/>
          <w:szCs w:val="24"/>
          <w:lang w:val="en-US"/>
        </w:rPr>
        <w:t>Mahkeme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Dışındaki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Aktörlerin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Kararlarını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Değerlendireceğini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Bunlara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Tepki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Vereceğini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veya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Bağımsız</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Olarak</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Takip</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Edeceğini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Unsurlar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kültürümüzün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dördüncü</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büyük</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kategorisi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kararlarının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dışı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yorumlanması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uygulanması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kararlara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karşı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direniş</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gösterilmesi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süreçlerini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içermektedir</w:t>
      </w:r>
      <w:proofErr w:type="spellEnd"/>
      <w:r w:rsidRPr="009D3734">
        <w:rPr>
          <w:rFonts w:eastAsia="Times New Roman" w:cs="Times New Roman"/>
          <w:szCs w:val="24"/>
          <w:lang w:val="en-US"/>
        </w:rPr>
        <w:t xml:space="preserve">. Bu </w:t>
      </w:r>
      <w:proofErr w:type="spellStart"/>
      <w:r w:rsidRPr="009D3734">
        <w:rPr>
          <w:rFonts w:eastAsia="Times New Roman" w:cs="Times New Roman"/>
          <w:szCs w:val="24"/>
          <w:lang w:val="en-US"/>
        </w:rPr>
        <w:t>kategori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ilgili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kesimlerin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genel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kamuoyunun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kararlarının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içeriğinden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nasıl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haberdar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olduğunu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mekanizmaları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popüler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algısını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şekillendirme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yetisine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sahip</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diğer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kurumsal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aktörlerin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niteliğini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yaygınlığını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ayrıca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diğer</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siyasi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toplumsal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aktörlerin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kararlarına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uymak</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zorunda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hissedip</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hissetmeyeceğini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bunu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başarıyla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gerçekleştirip</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gerçekleştiremeyeceğini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düzenlemeleri</w:t>
      </w:r>
      <w:proofErr w:type="spellEnd"/>
      <w:r w:rsidRPr="009D3734">
        <w:rPr>
          <w:rFonts w:eastAsia="Times New Roman" w:cs="Times New Roman"/>
          <w:szCs w:val="24"/>
          <w:lang w:val="en-US"/>
        </w:rPr>
        <w:t xml:space="preserve"> kapsamaktadır.¹⁶⁴</w:t>
      </w:r>
      <w:r>
        <w:rPr>
          <w:rFonts w:eastAsia="Times New Roman" w:cs="Times New Roman"/>
          <w:szCs w:val="24"/>
          <w:lang w:val="en-US"/>
        </w:rPr>
        <w:t xml:space="preserve"> </w:t>
      </w:r>
      <w:r>
        <w:rPr>
          <w:rStyle w:val="FootnoteReference"/>
          <w:rFonts w:eastAsia="Times New Roman" w:cs="Times New Roman"/>
          <w:szCs w:val="24"/>
          <w:lang w:val="en-US"/>
        </w:rPr>
        <w:footnoteReference w:id="164"/>
      </w:r>
      <w:r w:rsidRPr="009D3734">
        <w:rPr>
          <w:rFonts w:eastAsia="Times New Roman" w:cs="Times New Roman"/>
          <w:szCs w:val="24"/>
          <w:lang w:val="en-US"/>
        </w:rPr>
        <w:t xml:space="preserve"> </w:t>
      </w:r>
      <w:proofErr w:type="spellStart"/>
      <w:r w:rsidRPr="009D3734">
        <w:rPr>
          <w:rFonts w:eastAsia="Times New Roman" w:cs="Times New Roman"/>
          <w:szCs w:val="24"/>
          <w:lang w:val="en-US"/>
        </w:rPr>
        <w:t>Aynı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zamanda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bireylerin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grupların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anayasal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motivasyonlarla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yargı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dışı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alanlarda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hedeflerine</w:t>
      </w:r>
      <w:proofErr w:type="spellEnd"/>
      <w:r w:rsidRPr="009D3734">
        <w:rPr>
          <w:rFonts w:eastAsia="Times New Roman" w:cs="Times New Roman"/>
          <w:szCs w:val="24"/>
          <w:lang w:val="en-US"/>
        </w:rPr>
        <w:t xml:space="preserve"> ne </w:t>
      </w:r>
      <w:proofErr w:type="spellStart"/>
      <w:r w:rsidRPr="009D3734">
        <w:rPr>
          <w:rFonts w:eastAsia="Times New Roman" w:cs="Times New Roman"/>
          <w:szCs w:val="24"/>
          <w:lang w:val="en-US"/>
        </w:rPr>
        <w:t>sıklıkla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hangi </w:t>
      </w:r>
      <w:proofErr w:type="spellStart"/>
      <w:r w:rsidRPr="009D3734">
        <w:rPr>
          <w:rFonts w:eastAsia="Times New Roman" w:cs="Times New Roman"/>
          <w:szCs w:val="24"/>
          <w:lang w:val="en-US"/>
        </w:rPr>
        <w:t>yöntemlerle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ulaşmaya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çalıştığını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lastRenderedPageBreak/>
        <w:t>belirleyen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normları</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ve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düzenlemeleri</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içeren</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bir</w:t>
      </w:r>
      <w:proofErr w:type="spellEnd"/>
      <w:r w:rsidRPr="009D3734">
        <w:rPr>
          <w:rFonts w:eastAsia="Times New Roman" w:cs="Times New Roman"/>
          <w:szCs w:val="24"/>
          <w:lang w:val="en-US"/>
        </w:rPr>
        <w:t xml:space="preserve"> alt </w:t>
      </w:r>
      <w:proofErr w:type="spellStart"/>
      <w:r w:rsidRPr="009D3734">
        <w:rPr>
          <w:rFonts w:eastAsia="Times New Roman" w:cs="Times New Roman"/>
          <w:szCs w:val="24"/>
          <w:lang w:val="en-US"/>
        </w:rPr>
        <w:t>veya</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paralel</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kategori</w:t>
      </w:r>
      <w:proofErr w:type="spellEnd"/>
      <w:r w:rsidRPr="009D3734">
        <w:rPr>
          <w:rFonts w:eastAsia="Times New Roman" w:cs="Times New Roman"/>
          <w:szCs w:val="24"/>
          <w:lang w:val="en-US"/>
        </w:rPr>
        <w:t xml:space="preserve"> de </w:t>
      </w:r>
      <w:proofErr w:type="spellStart"/>
      <w:r w:rsidRPr="009D3734">
        <w:rPr>
          <w:rFonts w:eastAsia="Times New Roman" w:cs="Times New Roman"/>
          <w:szCs w:val="24"/>
          <w:lang w:val="en-US"/>
        </w:rPr>
        <w:t>bu</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çerçevede</w:t>
      </w:r>
      <w:proofErr w:type="spellEnd"/>
      <w:r w:rsidRPr="009D3734">
        <w:rPr>
          <w:rFonts w:eastAsia="Times New Roman" w:cs="Times New Roman"/>
          <w:szCs w:val="24"/>
          <w:lang w:val="en-US"/>
        </w:rPr>
        <w:t xml:space="preserve"> </w:t>
      </w:r>
      <w:proofErr w:type="spellStart"/>
      <w:r w:rsidRPr="009D3734">
        <w:rPr>
          <w:rFonts w:eastAsia="Times New Roman" w:cs="Times New Roman"/>
          <w:szCs w:val="24"/>
          <w:lang w:val="en-US"/>
        </w:rPr>
        <w:t>yer</w:t>
      </w:r>
      <w:proofErr w:type="spellEnd"/>
      <w:r w:rsidRPr="009D3734">
        <w:rPr>
          <w:rFonts w:eastAsia="Times New Roman" w:cs="Times New Roman"/>
          <w:szCs w:val="24"/>
          <w:lang w:val="en-US"/>
        </w:rPr>
        <w:t xml:space="preserve"> almaktadır.¹⁶⁵</w:t>
      </w:r>
      <w:r>
        <w:rPr>
          <w:rFonts w:eastAsia="Times New Roman" w:cs="Times New Roman"/>
          <w:szCs w:val="24"/>
          <w:lang w:val="en-US"/>
        </w:rPr>
        <w:t xml:space="preserve"> </w:t>
      </w:r>
      <w:r>
        <w:rPr>
          <w:rStyle w:val="FootnoteReference"/>
          <w:rFonts w:eastAsia="Times New Roman" w:cs="Times New Roman"/>
          <w:szCs w:val="24"/>
          <w:lang w:val="en-US"/>
        </w:rPr>
        <w:footnoteReference w:id="165"/>
      </w:r>
    </w:p>
    <w:p w14:paraId="7939F32A" w14:textId="77777777" w:rsidR="009D3734" w:rsidRDefault="009D3734" w:rsidP="009D3734">
      <w:pPr>
        <w:pStyle w:val="Heading2"/>
        <w:rPr>
          <w:rFonts w:eastAsia="Times New Roman"/>
        </w:rPr>
      </w:pPr>
      <w:r w:rsidRPr="009D3734">
        <w:rPr>
          <w:rFonts w:eastAsia="Times New Roman"/>
        </w:rPr>
        <w:t>YENİ BİR PARADİGMAYA DOĞRU?</w:t>
      </w:r>
    </w:p>
    <w:p w14:paraId="51668D1C" w14:textId="49DEA546" w:rsidR="00FB23A3" w:rsidRDefault="009D3734" w:rsidP="00217CE6">
      <w:pPr>
        <w:rPr>
          <w:lang w:val="en-US"/>
        </w:rPr>
      </w:pPr>
      <w:proofErr w:type="spellStart"/>
      <w:r w:rsidRPr="009D3734">
        <w:rPr>
          <w:lang w:val="en-US"/>
        </w:rPr>
        <w:t>Önceki</w:t>
      </w:r>
      <w:proofErr w:type="spellEnd"/>
      <w:r w:rsidRPr="009D3734">
        <w:rPr>
          <w:lang w:val="en-US"/>
        </w:rPr>
        <w:t xml:space="preserve"> </w:t>
      </w:r>
      <w:proofErr w:type="spellStart"/>
      <w:r w:rsidRPr="009D3734">
        <w:rPr>
          <w:lang w:val="en-US"/>
        </w:rPr>
        <w:t>bölümlerde</w:t>
      </w:r>
      <w:proofErr w:type="spellEnd"/>
      <w:r w:rsidRPr="009D3734">
        <w:rPr>
          <w:lang w:val="en-US"/>
        </w:rPr>
        <w:t xml:space="preserve">, </w:t>
      </w:r>
      <w:proofErr w:type="spellStart"/>
      <w:r w:rsidRPr="009D3734">
        <w:rPr>
          <w:lang w:val="en-US"/>
        </w:rPr>
        <w:t>anayasa</w:t>
      </w:r>
      <w:proofErr w:type="spellEnd"/>
      <w:r w:rsidRPr="009D3734">
        <w:rPr>
          <w:lang w:val="en-US"/>
        </w:rPr>
        <w:t xml:space="preserve"> </w:t>
      </w:r>
      <w:proofErr w:type="spellStart"/>
      <w:r w:rsidRPr="009D3734">
        <w:rPr>
          <w:lang w:val="en-US"/>
        </w:rPr>
        <w:t>teorisinin</w:t>
      </w:r>
      <w:proofErr w:type="spellEnd"/>
      <w:r w:rsidRPr="009D3734">
        <w:rPr>
          <w:lang w:val="en-US"/>
        </w:rPr>
        <w:t xml:space="preserve"> </w:t>
      </w:r>
      <w:proofErr w:type="spellStart"/>
      <w:r w:rsidRPr="009D3734">
        <w:rPr>
          <w:lang w:val="en-US"/>
        </w:rPr>
        <w:t>çoğu</w:t>
      </w:r>
      <w:proofErr w:type="spellEnd"/>
      <w:r w:rsidRPr="009D3734">
        <w:rPr>
          <w:lang w:val="en-US"/>
        </w:rPr>
        <w:t xml:space="preserve"> zaman </w:t>
      </w:r>
      <w:proofErr w:type="spellStart"/>
      <w:r w:rsidRPr="009D3734">
        <w:rPr>
          <w:lang w:val="en-US"/>
        </w:rPr>
        <w:t>anayasal</w:t>
      </w:r>
      <w:proofErr w:type="spellEnd"/>
      <w:r w:rsidRPr="009D3734">
        <w:rPr>
          <w:lang w:val="en-US"/>
        </w:rPr>
        <w:t xml:space="preserve"> </w:t>
      </w:r>
      <w:proofErr w:type="spellStart"/>
      <w:r w:rsidRPr="009D3734">
        <w:rPr>
          <w:lang w:val="en-US"/>
        </w:rPr>
        <w:t>uygulamayı</w:t>
      </w:r>
      <w:proofErr w:type="spellEnd"/>
      <w:r w:rsidRPr="009D3734">
        <w:rPr>
          <w:lang w:val="en-US"/>
        </w:rPr>
        <w:t xml:space="preserve"> </w:t>
      </w:r>
      <w:proofErr w:type="spellStart"/>
      <w:r w:rsidRPr="009D3734">
        <w:rPr>
          <w:lang w:val="en-US"/>
        </w:rPr>
        <w:t>yanıltıcı</w:t>
      </w:r>
      <w:proofErr w:type="spellEnd"/>
      <w:r w:rsidRPr="009D3734">
        <w:rPr>
          <w:lang w:val="en-US"/>
        </w:rPr>
        <w:t xml:space="preserve"> </w:t>
      </w:r>
      <w:proofErr w:type="spellStart"/>
      <w:r w:rsidRPr="009D3734">
        <w:rPr>
          <w:lang w:val="en-US"/>
        </w:rPr>
        <w:t>ve</w:t>
      </w:r>
      <w:proofErr w:type="spellEnd"/>
      <w:r w:rsidRPr="009D3734">
        <w:rPr>
          <w:lang w:val="en-US"/>
        </w:rPr>
        <w:t xml:space="preserve"> </w:t>
      </w:r>
      <w:proofErr w:type="spellStart"/>
      <w:r w:rsidRPr="009D3734">
        <w:rPr>
          <w:lang w:val="en-US"/>
        </w:rPr>
        <w:t>faydasız</w:t>
      </w:r>
      <w:proofErr w:type="spellEnd"/>
      <w:r w:rsidRPr="009D3734">
        <w:rPr>
          <w:lang w:val="en-US"/>
        </w:rPr>
        <w:t xml:space="preserve"> </w:t>
      </w:r>
      <w:proofErr w:type="spellStart"/>
      <w:r w:rsidRPr="009D3734">
        <w:rPr>
          <w:lang w:val="en-US"/>
        </w:rPr>
        <w:t>bir</w:t>
      </w:r>
      <w:proofErr w:type="spellEnd"/>
      <w:r w:rsidRPr="009D3734">
        <w:rPr>
          <w:lang w:val="en-US"/>
        </w:rPr>
        <w:t xml:space="preserve"> </w:t>
      </w:r>
      <w:proofErr w:type="spellStart"/>
      <w:r w:rsidRPr="009D3734">
        <w:rPr>
          <w:lang w:val="en-US"/>
        </w:rPr>
        <w:t>şekilde</w:t>
      </w:r>
      <w:proofErr w:type="spellEnd"/>
      <w:r w:rsidRPr="009D3734">
        <w:rPr>
          <w:lang w:val="en-US"/>
        </w:rPr>
        <w:t xml:space="preserve"> </w:t>
      </w:r>
      <w:proofErr w:type="spellStart"/>
      <w:r w:rsidRPr="009D3734">
        <w:rPr>
          <w:lang w:val="en-US"/>
        </w:rPr>
        <w:t>ele</w:t>
      </w:r>
      <w:proofErr w:type="spellEnd"/>
      <w:r w:rsidRPr="009D3734">
        <w:rPr>
          <w:lang w:val="en-US"/>
        </w:rPr>
        <w:t xml:space="preserve"> </w:t>
      </w:r>
      <w:proofErr w:type="spellStart"/>
      <w:r w:rsidRPr="009D3734">
        <w:rPr>
          <w:lang w:val="en-US"/>
        </w:rPr>
        <w:t>aldığını</w:t>
      </w:r>
      <w:proofErr w:type="spellEnd"/>
      <w:r w:rsidRPr="009D3734">
        <w:rPr>
          <w:lang w:val="en-US"/>
        </w:rPr>
        <w:t xml:space="preserve"> savundum¹⁶⁶ </w:t>
      </w:r>
      <w:r>
        <w:rPr>
          <w:rStyle w:val="FootnoteReference"/>
          <w:lang w:val="en-US"/>
        </w:rPr>
        <w:footnoteReference w:id="166"/>
      </w:r>
      <w:r>
        <w:rPr>
          <w:lang w:val="en-US"/>
        </w:rPr>
        <w:t xml:space="preserve">  </w:t>
      </w:r>
      <w:proofErr w:type="spellStart"/>
      <w:r w:rsidRPr="009D3734">
        <w:rPr>
          <w:lang w:val="en-US"/>
        </w:rPr>
        <w:t>ve</w:t>
      </w:r>
      <w:proofErr w:type="spellEnd"/>
      <w:r w:rsidRPr="009D3734">
        <w:rPr>
          <w:lang w:val="en-US"/>
        </w:rPr>
        <w:t xml:space="preserve"> </w:t>
      </w:r>
      <w:proofErr w:type="spellStart"/>
      <w:r w:rsidRPr="009D3734">
        <w:rPr>
          <w:lang w:val="en-US"/>
        </w:rPr>
        <w:t>ortak</w:t>
      </w:r>
      <w:proofErr w:type="spellEnd"/>
      <w:r w:rsidRPr="009D3734">
        <w:rPr>
          <w:lang w:val="en-US"/>
        </w:rPr>
        <w:t xml:space="preserve"> </w:t>
      </w:r>
      <w:proofErr w:type="spellStart"/>
      <w:r w:rsidRPr="009D3734">
        <w:rPr>
          <w:lang w:val="en-US"/>
        </w:rPr>
        <w:t>teorik</w:t>
      </w:r>
      <w:proofErr w:type="spellEnd"/>
      <w:r w:rsidRPr="009D3734">
        <w:rPr>
          <w:lang w:val="en-US"/>
        </w:rPr>
        <w:t xml:space="preserve"> </w:t>
      </w:r>
      <w:proofErr w:type="spellStart"/>
      <w:r w:rsidRPr="009D3734">
        <w:rPr>
          <w:lang w:val="en-US"/>
        </w:rPr>
        <w:t>çabamızın</w:t>
      </w:r>
      <w:proofErr w:type="spellEnd"/>
      <w:r w:rsidRPr="009D3734">
        <w:rPr>
          <w:lang w:val="en-US"/>
        </w:rPr>
        <w:t xml:space="preserve">, </w:t>
      </w:r>
      <w:proofErr w:type="spellStart"/>
      <w:r w:rsidRPr="009D3734">
        <w:rPr>
          <w:lang w:val="en-US"/>
        </w:rPr>
        <w:t>teorik</w:t>
      </w:r>
      <w:proofErr w:type="spellEnd"/>
      <w:r w:rsidRPr="009D3734">
        <w:rPr>
          <w:lang w:val="en-US"/>
        </w:rPr>
        <w:t xml:space="preserve"> </w:t>
      </w:r>
      <w:proofErr w:type="spellStart"/>
      <w:r w:rsidRPr="009D3734">
        <w:rPr>
          <w:lang w:val="en-US"/>
        </w:rPr>
        <w:t>olarak</w:t>
      </w:r>
      <w:proofErr w:type="spellEnd"/>
      <w:r w:rsidRPr="009D3734">
        <w:rPr>
          <w:lang w:val="en-US"/>
        </w:rPr>
        <w:t xml:space="preserve"> </w:t>
      </w:r>
      <w:proofErr w:type="spellStart"/>
      <w:r w:rsidRPr="009D3734">
        <w:rPr>
          <w:lang w:val="en-US"/>
        </w:rPr>
        <w:t>zengin</w:t>
      </w:r>
      <w:proofErr w:type="spellEnd"/>
      <w:r w:rsidRPr="009D3734">
        <w:rPr>
          <w:lang w:val="en-US"/>
        </w:rPr>
        <w:t xml:space="preserve"> </w:t>
      </w:r>
      <w:proofErr w:type="spellStart"/>
      <w:r w:rsidRPr="009D3734">
        <w:rPr>
          <w:lang w:val="en-US"/>
        </w:rPr>
        <w:t>bir</w:t>
      </w:r>
      <w:proofErr w:type="spellEnd"/>
      <w:r w:rsidRPr="009D3734">
        <w:rPr>
          <w:lang w:val="en-US"/>
        </w:rPr>
        <w:t xml:space="preserve"> </w:t>
      </w:r>
      <w:proofErr w:type="spellStart"/>
      <w:r w:rsidRPr="009D3734">
        <w:rPr>
          <w:lang w:val="en-US"/>
        </w:rPr>
        <w:t>anayasal</w:t>
      </w:r>
      <w:proofErr w:type="spellEnd"/>
      <w:r w:rsidRPr="009D3734">
        <w:rPr>
          <w:lang w:val="en-US"/>
        </w:rPr>
        <w:t xml:space="preserve"> </w:t>
      </w:r>
      <w:proofErr w:type="spellStart"/>
      <w:r w:rsidRPr="009D3734">
        <w:rPr>
          <w:lang w:val="en-US"/>
        </w:rPr>
        <w:t>kültür</w:t>
      </w:r>
      <w:proofErr w:type="spellEnd"/>
      <w:r w:rsidRPr="009D3734">
        <w:rPr>
          <w:lang w:val="en-US"/>
        </w:rPr>
        <w:t xml:space="preserve"> </w:t>
      </w:r>
      <w:proofErr w:type="spellStart"/>
      <w:r w:rsidRPr="009D3734">
        <w:rPr>
          <w:lang w:val="en-US"/>
        </w:rPr>
        <w:t>kavramının</w:t>
      </w:r>
      <w:proofErr w:type="spellEnd"/>
      <w:r w:rsidRPr="009D3734">
        <w:rPr>
          <w:lang w:val="en-US"/>
        </w:rPr>
        <w:t xml:space="preserve"> </w:t>
      </w:r>
      <w:proofErr w:type="spellStart"/>
      <w:r w:rsidRPr="009D3734">
        <w:rPr>
          <w:lang w:val="en-US"/>
        </w:rPr>
        <w:t>geliştirilip</w:t>
      </w:r>
      <w:proofErr w:type="spellEnd"/>
      <w:r w:rsidRPr="009D3734">
        <w:rPr>
          <w:lang w:val="en-US"/>
        </w:rPr>
        <w:t xml:space="preserve"> </w:t>
      </w:r>
      <w:proofErr w:type="spellStart"/>
      <w:r w:rsidRPr="009D3734">
        <w:rPr>
          <w:lang w:val="en-US"/>
        </w:rPr>
        <w:t>kullanılmasıyla</w:t>
      </w:r>
      <w:proofErr w:type="spellEnd"/>
      <w:r w:rsidRPr="009D3734">
        <w:rPr>
          <w:lang w:val="en-US"/>
        </w:rPr>
        <w:t xml:space="preserve"> </w:t>
      </w:r>
      <w:proofErr w:type="spellStart"/>
      <w:r w:rsidRPr="009D3734">
        <w:rPr>
          <w:lang w:val="en-US"/>
        </w:rPr>
        <w:t>güçlendirilebileceğini</w:t>
      </w:r>
      <w:proofErr w:type="spellEnd"/>
      <w:r w:rsidRPr="009D3734">
        <w:rPr>
          <w:lang w:val="en-US"/>
        </w:rPr>
        <w:t xml:space="preserve"> </w:t>
      </w:r>
      <w:proofErr w:type="spellStart"/>
      <w:r w:rsidRPr="009D3734">
        <w:rPr>
          <w:lang w:val="en-US"/>
        </w:rPr>
        <w:t>ileri</w:t>
      </w:r>
      <w:proofErr w:type="spellEnd"/>
      <w:r w:rsidRPr="009D3734">
        <w:rPr>
          <w:lang w:val="en-US"/>
        </w:rPr>
        <w:t xml:space="preserve"> sürdüm.¹⁶⁷</w:t>
      </w:r>
      <w:r w:rsidR="00217CE6">
        <w:rPr>
          <w:lang w:val="en-US"/>
        </w:rPr>
        <w:t xml:space="preserve"> </w:t>
      </w:r>
      <w:r w:rsidR="00217CE6">
        <w:rPr>
          <w:rStyle w:val="FootnoteReference"/>
          <w:lang w:val="en-US"/>
        </w:rPr>
        <w:footnoteReference w:id="167"/>
      </w:r>
      <w:r w:rsidRPr="009D3734">
        <w:rPr>
          <w:lang w:val="en-US"/>
        </w:rPr>
        <w:t xml:space="preserve"> Bu </w:t>
      </w:r>
      <w:proofErr w:type="spellStart"/>
      <w:r w:rsidRPr="009D3734">
        <w:rPr>
          <w:lang w:val="en-US"/>
        </w:rPr>
        <w:t>bölümde</w:t>
      </w:r>
      <w:proofErr w:type="spellEnd"/>
      <w:r w:rsidRPr="009D3734">
        <w:rPr>
          <w:lang w:val="en-US"/>
        </w:rPr>
        <w:t xml:space="preserve">, </w:t>
      </w:r>
      <w:proofErr w:type="spellStart"/>
      <w:r w:rsidRPr="009D3734">
        <w:rPr>
          <w:lang w:val="en-US"/>
        </w:rPr>
        <w:t>bu</w:t>
      </w:r>
      <w:proofErr w:type="spellEnd"/>
      <w:r w:rsidRPr="009D3734">
        <w:rPr>
          <w:lang w:val="en-US"/>
        </w:rPr>
        <w:t xml:space="preserve"> </w:t>
      </w:r>
      <w:proofErr w:type="spellStart"/>
      <w:r w:rsidRPr="009D3734">
        <w:rPr>
          <w:lang w:val="en-US"/>
        </w:rPr>
        <w:t>projenin</w:t>
      </w:r>
      <w:proofErr w:type="spellEnd"/>
      <w:r w:rsidRPr="009D3734">
        <w:rPr>
          <w:lang w:val="en-US"/>
        </w:rPr>
        <w:t xml:space="preserve"> </w:t>
      </w:r>
      <w:proofErr w:type="spellStart"/>
      <w:r w:rsidRPr="009D3734">
        <w:rPr>
          <w:lang w:val="en-US"/>
        </w:rPr>
        <w:t>kolektif</w:t>
      </w:r>
      <w:proofErr w:type="spellEnd"/>
      <w:r w:rsidRPr="009D3734">
        <w:rPr>
          <w:lang w:val="en-US"/>
        </w:rPr>
        <w:t xml:space="preserve"> </w:t>
      </w:r>
      <w:proofErr w:type="spellStart"/>
      <w:r w:rsidRPr="009D3734">
        <w:rPr>
          <w:lang w:val="en-US"/>
        </w:rPr>
        <w:t>yönüne</w:t>
      </w:r>
      <w:proofErr w:type="spellEnd"/>
      <w:r w:rsidRPr="009D3734">
        <w:rPr>
          <w:lang w:val="en-US"/>
        </w:rPr>
        <w:t xml:space="preserve"> </w:t>
      </w:r>
      <w:proofErr w:type="spellStart"/>
      <w:r w:rsidRPr="009D3734">
        <w:rPr>
          <w:lang w:val="en-US"/>
        </w:rPr>
        <w:t>vurgu</w:t>
      </w:r>
      <w:proofErr w:type="spellEnd"/>
      <w:r w:rsidRPr="009D3734">
        <w:rPr>
          <w:lang w:val="en-US"/>
        </w:rPr>
        <w:t xml:space="preserve"> </w:t>
      </w:r>
      <w:proofErr w:type="spellStart"/>
      <w:r w:rsidRPr="009D3734">
        <w:rPr>
          <w:lang w:val="en-US"/>
        </w:rPr>
        <w:t>yaparak</w:t>
      </w:r>
      <w:proofErr w:type="spellEnd"/>
      <w:r w:rsidRPr="009D3734">
        <w:rPr>
          <w:lang w:val="en-US"/>
        </w:rPr>
        <w:t xml:space="preserve">, </w:t>
      </w:r>
      <w:proofErr w:type="spellStart"/>
      <w:r w:rsidRPr="009D3734">
        <w:rPr>
          <w:lang w:val="en-US"/>
        </w:rPr>
        <w:t>öncelikle</w:t>
      </w:r>
      <w:proofErr w:type="spellEnd"/>
      <w:r w:rsidRPr="009D3734">
        <w:rPr>
          <w:lang w:val="en-US"/>
        </w:rPr>
        <w:t xml:space="preserve"> </w:t>
      </w:r>
      <w:proofErr w:type="spellStart"/>
      <w:r w:rsidRPr="009D3734">
        <w:rPr>
          <w:lang w:val="en-US"/>
        </w:rPr>
        <w:t>anayasal</w:t>
      </w:r>
      <w:proofErr w:type="spellEnd"/>
      <w:r w:rsidRPr="009D3734">
        <w:rPr>
          <w:lang w:val="en-US"/>
        </w:rPr>
        <w:t xml:space="preserve"> </w:t>
      </w:r>
      <w:proofErr w:type="spellStart"/>
      <w:r w:rsidRPr="009D3734">
        <w:rPr>
          <w:lang w:val="en-US"/>
        </w:rPr>
        <w:t>kültürün</w:t>
      </w:r>
      <w:proofErr w:type="spellEnd"/>
      <w:r w:rsidRPr="009D3734">
        <w:rPr>
          <w:lang w:val="en-US"/>
        </w:rPr>
        <w:t xml:space="preserve"> </w:t>
      </w:r>
      <w:proofErr w:type="spellStart"/>
      <w:r w:rsidRPr="009D3734">
        <w:rPr>
          <w:lang w:val="en-US"/>
        </w:rPr>
        <w:t>kolektif</w:t>
      </w:r>
      <w:proofErr w:type="spellEnd"/>
      <w:r w:rsidRPr="009D3734">
        <w:rPr>
          <w:lang w:val="en-US"/>
        </w:rPr>
        <w:t xml:space="preserve"> </w:t>
      </w:r>
      <w:proofErr w:type="spellStart"/>
      <w:r w:rsidRPr="009D3734">
        <w:rPr>
          <w:lang w:val="en-US"/>
        </w:rPr>
        <w:t>anlayışını</w:t>
      </w:r>
      <w:proofErr w:type="spellEnd"/>
      <w:r w:rsidRPr="009D3734">
        <w:rPr>
          <w:lang w:val="en-US"/>
        </w:rPr>
        <w:t xml:space="preserve"> </w:t>
      </w:r>
      <w:proofErr w:type="spellStart"/>
      <w:r w:rsidRPr="009D3734">
        <w:rPr>
          <w:lang w:val="en-US"/>
        </w:rPr>
        <w:t>ilerletebilecek</w:t>
      </w:r>
      <w:proofErr w:type="spellEnd"/>
      <w:r w:rsidRPr="009D3734">
        <w:rPr>
          <w:lang w:val="en-US"/>
        </w:rPr>
        <w:t xml:space="preserve"> </w:t>
      </w:r>
      <w:proofErr w:type="spellStart"/>
      <w:r w:rsidRPr="009D3734">
        <w:rPr>
          <w:lang w:val="en-US"/>
        </w:rPr>
        <w:t>akademik</w:t>
      </w:r>
      <w:proofErr w:type="spellEnd"/>
      <w:r w:rsidRPr="009D3734">
        <w:rPr>
          <w:lang w:val="en-US"/>
        </w:rPr>
        <w:t xml:space="preserve"> </w:t>
      </w:r>
      <w:proofErr w:type="spellStart"/>
      <w:r w:rsidRPr="009D3734">
        <w:rPr>
          <w:lang w:val="en-US"/>
        </w:rPr>
        <w:t>çalışmaların</w:t>
      </w:r>
      <w:proofErr w:type="spellEnd"/>
      <w:r w:rsidRPr="009D3734">
        <w:rPr>
          <w:lang w:val="en-US"/>
        </w:rPr>
        <w:t xml:space="preserve"> </w:t>
      </w:r>
      <w:proofErr w:type="spellStart"/>
      <w:r w:rsidRPr="009D3734">
        <w:rPr>
          <w:lang w:val="en-US"/>
        </w:rPr>
        <w:t>türlerine</w:t>
      </w:r>
      <w:proofErr w:type="spellEnd"/>
      <w:r w:rsidRPr="009D3734">
        <w:rPr>
          <w:lang w:val="en-US"/>
        </w:rPr>
        <w:t xml:space="preserve"> </w:t>
      </w:r>
      <w:proofErr w:type="spellStart"/>
      <w:r w:rsidRPr="009D3734">
        <w:rPr>
          <w:lang w:val="en-US"/>
        </w:rPr>
        <w:t>örnekler</w:t>
      </w:r>
      <w:proofErr w:type="spellEnd"/>
      <w:r w:rsidRPr="009D3734">
        <w:rPr>
          <w:lang w:val="en-US"/>
        </w:rPr>
        <w:t xml:space="preserve"> </w:t>
      </w:r>
      <w:proofErr w:type="spellStart"/>
      <w:r w:rsidRPr="009D3734">
        <w:rPr>
          <w:lang w:val="en-US"/>
        </w:rPr>
        <w:t>sunmakta</w:t>
      </w:r>
      <w:proofErr w:type="spellEnd"/>
      <w:r w:rsidRPr="009D3734">
        <w:rPr>
          <w:lang w:val="en-US"/>
        </w:rPr>
        <w:t xml:space="preserve">, </w:t>
      </w:r>
      <w:proofErr w:type="spellStart"/>
      <w:r w:rsidRPr="009D3734">
        <w:rPr>
          <w:lang w:val="en-US"/>
        </w:rPr>
        <w:t>ardından</w:t>
      </w:r>
      <w:proofErr w:type="spellEnd"/>
      <w:r w:rsidRPr="009D3734">
        <w:rPr>
          <w:lang w:val="en-US"/>
        </w:rPr>
        <w:t xml:space="preserve"> </w:t>
      </w:r>
      <w:proofErr w:type="spellStart"/>
      <w:r w:rsidRPr="009D3734">
        <w:rPr>
          <w:lang w:val="en-US"/>
        </w:rPr>
        <w:t>anayasal</w:t>
      </w:r>
      <w:proofErr w:type="spellEnd"/>
      <w:r w:rsidRPr="009D3734">
        <w:rPr>
          <w:lang w:val="en-US"/>
        </w:rPr>
        <w:t xml:space="preserve"> </w:t>
      </w:r>
      <w:proofErr w:type="spellStart"/>
      <w:r w:rsidRPr="009D3734">
        <w:rPr>
          <w:lang w:val="en-US"/>
        </w:rPr>
        <w:t>kültür</w:t>
      </w:r>
      <w:proofErr w:type="spellEnd"/>
      <w:r w:rsidRPr="009D3734">
        <w:rPr>
          <w:lang w:val="en-US"/>
        </w:rPr>
        <w:t xml:space="preserve"> </w:t>
      </w:r>
      <w:proofErr w:type="spellStart"/>
      <w:r w:rsidRPr="009D3734">
        <w:rPr>
          <w:lang w:val="en-US"/>
        </w:rPr>
        <w:t>yaklaşımıyla</w:t>
      </w:r>
      <w:proofErr w:type="spellEnd"/>
      <w:r w:rsidRPr="009D3734">
        <w:rPr>
          <w:lang w:val="en-US"/>
        </w:rPr>
        <w:t xml:space="preserve"> </w:t>
      </w:r>
      <w:proofErr w:type="spellStart"/>
      <w:r w:rsidRPr="009D3734">
        <w:rPr>
          <w:lang w:val="en-US"/>
        </w:rPr>
        <w:t>uyumlu</w:t>
      </w:r>
      <w:proofErr w:type="spellEnd"/>
      <w:r w:rsidRPr="009D3734">
        <w:rPr>
          <w:lang w:val="en-US"/>
        </w:rPr>
        <w:t xml:space="preserve"> </w:t>
      </w:r>
      <w:proofErr w:type="spellStart"/>
      <w:r w:rsidRPr="009D3734">
        <w:rPr>
          <w:lang w:val="en-US"/>
        </w:rPr>
        <w:t>yöntemler</w:t>
      </w:r>
      <w:proofErr w:type="spellEnd"/>
      <w:r w:rsidRPr="009D3734">
        <w:rPr>
          <w:lang w:val="en-US"/>
        </w:rPr>
        <w:t xml:space="preserve"> </w:t>
      </w:r>
      <w:proofErr w:type="spellStart"/>
      <w:r w:rsidRPr="009D3734">
        <w:rPr>
          <w:lang w:val="en-US"/>
        </w:rPr>
        <w:t>kullanan</w:t>
      </w:r>
      <w:proofErr w:type="spellEnd"/>
      <w:r w:rsidRPr="009D3734">
        <w:rPr>
          <w:lang w:val="en-US"/>
        </w:rPr>
        <w:t xml:space="preserve"> </w:t>
      </w:r>
      <w:proofErr w:type="spellStart"/>
      <w:r w:rsidRPr="009D3734">
        <w:rPr>
          <w:lang w:val="en-US"/>
        </w:rPr>
        <w:t>veya</w:t>
      </w:r>
      <w:proofErr w:type="spellEnd"/>
      <w:r w:rsidRPr="009D3734">
        <w:rPr>
          <w:lang w:val="en-US"/>
        </w:rPr>
        <w:t xml:space="preserve"> </w:t>
      </w:r>
      <w:proofErr w:type="spellStart"/>
      <w:r w:rsidRPr="009D3734">
        <w:rPr>
          <w:lang w:val="en-US"/>
        </w:rPr>
        <w:t>bu</w:t>
      </w:r>
      <w:proofErr w:type="spellEnd"/>
      <w:r w:rsidRPr="009D3734">
        <w:rPr>
          <w:lang w:val="en-US"/>
        </w:rPr>
        <w:t xml:space="preserve"> </w:t>
      </w:r>
      <w:proofErr w:type="spellStart"/>
      <w:r w:rsidRPr="009D3734">
        <w:rPr>
          <w:lang w:val="en-US"/>
        </w:rPr>
        <w:t>doğrultuda</w:t>
      </w:r>
      <w:proofErr w:type="spellEnd"/>
      <w:r w:rsidRPr="009D3734">
        <w:rPr>
          <w:lang w:val="en-US"/>
        </w:rPr>
        <w:t xml:space="preserve"> </w:t>
      </w:r>
      <w:proofErr w:type="spellStart"/>
      <w:r w:rsidRPr="009D3734">
        <w:rPr>
          <w:lang w:val="en-US"/>
        </w:rPr>
        <w:t>sorulara</w:t>
      </w:r>
      <w:proofErr w:type="spellEnd"/>
      <w:r w:rsidRPr="009D3734">
        <w:rPr>
          <w:lang w:val="en-US"/>
        </w:rPr>
        <w:t xml:space="preserve"> </w:t>
      </w:r>
      <w:proofErr w:type="spellStart"/>
      <w:r w:rsidRPr="009D3734">
        <w:rPr>
          <w:lang w:val="en-US"/>
        </w:rPr>
        <w:t>eğilen</w:t>
      </w:r>
      <w:proofErr w:type="spellEnd"/>
      <w:r w:rsidRPr="009D3734">
        <w:rPr>
          <w:lang w:val="en-US"/>
        </w:rPr>
        <w:t xml:space="preserve"> </w:t>
      </w:r>
      <w:proofErr w:type="spellStart"/>
      <w:r w:rsidRPr="009D3734">
        <w:rPr>
          <w:lang w:val="en-US"/>
        </w:rPr>
        <w:t>çeşitli</w:t>
      </w:r>
      <w:proofErr w:type="spellEnd"/>
      <w:r w:rsidRPr="009D3734">
        <w:rPr>
          <w:lang w:val="en-US"/>
        </w:rPr>
        <w:t xml:space="preserve"> </w:t>
      </w:r>
      <w:proofErr w:type="spellStart"/>
      <w:r w:rsidRPr="009D3734">
        <w:rPr>
          <w:lang w:val="en-US"/>
        </w:rPr>
        <w:t>çağdaş</w:t>
      </w:r>
      <w:proofErr w:type="spellEnd"/>
      <w:r w:rsidRPr="009D3734">
        <w:rPr>
          <w:lang w:val="en-US"/>
        </w:rPr>
        <w:t xml:space="preserve"> </w:t>
      </w:r>
      <w:proofErr w:type="spellStart"/>
      <w:r w:rsidRPr="009D3734">
        <w:rPr>
          <w:lang w:val="en-US"/>
        </w:rPr>
        <w:t>eserleri</w:t>
      </w:r>
      <w:proofErr w:type="spellEnd"/>
      <w:r w:rsidRPr="009D3734">
        <w:rPr>
          <w:lang w:val="en-US"/>
        </w:rPr>
        <w:t xml:space="preserve"> </w:t>
      </w:r>
      <w:proofErr w:type="spellStart"/>
      <w:r w:rsidRPr="009D3734">
        <w:rPr>
          <w:lang w:val="en-US"/>
        </w:rPr>
        <w:t>ele</w:t>
      </w:r>
      <w:proofErr w:type="spellEnd"/>
      <w:r w:rsidRPr="009D3734">
        <w:rPr>
          <w:lang w:val="en-US"/>
        </w:rPr>
        <w:t xml:space="preserve"> </w:t>
      </w:r>
      <w:proofErr w:type="spellStart"/>
      <w:r w:rsidRPr="009D3734">
        <w:rPr>
          <w:lang w:val="en-US"/>
        </w:rPr>
        <w:t>alıp</w:t>
      </w:r>
      <w:proofErr w:type="spellEnd"/>
      <w:r w:rsidRPr="009D3734">
        <w:rPr>
          <w:lang w:val="en-US"/>
        </w:rPr>
        <w:t xml:space="preserve"> </w:t>
      </w:r>
      <w:proofErr w:type="spellStart"/>
      <w:r w:rsidRPr="009D3734">
        <w:rPr>
          <w:lang w:val="en-US"/>
        </w:rPr>
        <w:t>tartışmaktayım</w:t>
      </w:r>
      <w:proofErr w:type="spellEnd"/>
      <w:r w:rsidRPr="009D3734">
        <w:rPr>
          <w:lang w:val="en-US"/>
        </w:rPr>
        <w:t>.</w:t>
      </w:r>
    </w:p>
    <w:p w14:paraId="5F511D3F" w14:textId="77777777" w:rsidR="00217CE6" w:rsidRPr="00217CE6" w:rsidRDefault="00217CE6" w:rsidP="00217CE6">
      <w:pPr>
        <w:pStyle w:val="ListParagraph"/>
        <w:numPr>
          <w:ilvl w:val="0"/>
          <w:numId w:val="14"/>
        </w:numPr>
        <w:spacing w:before="100" w:beforeAutospacing="1" w:after="100" w:afterAutospacing="1"/>
        <w:jc w:val="left"/>
        <w:rPr>
          <w:rFonts w:eastAsia="Times New Roman" w:cs="Times New Roman"/>
          <w:szCs w:val="24"/>
          <w:lang w:val="en-US"/>
        </w:rPr>
      </w:pPr>
      <w:r w:rsidRPr="00217CE6">
        <w:rPr>
          <w:rFonts w:eastAsia="Times New Roman" w:cs="Times New Roman"/>
          <w:b/>
          <w:bCs/>
          <w:szCs w:val="24"/>
          <w:lang w:val="en-US"/>
        </w:rPr>
        <w:t xml:space="preserve">Bir </w:t>
      </w:r>
      <w:proofErr w:type="spellStart"/>
      <w:r w:rsidRPr="00217CE6">
        <w:rPr>
          <w:rFonts w:eastAsia="Times New Roman" w:cs="Times New Roman"/>
          <w:b/>
          <w:bCs/>
          <w:szCs w:val="24"/>
          <w:lang w:val="en-US"/>
        </w:rPr>
        <w:t>Entelektüel</w:t>
      </w:r>
      <w:proofErr w:type="spellEnd"/>
      <w:r w:rsidRPr="00217CE6">
        <w:rPr>
          <w:rFonts w:eastAsia="Times New Roman" w:cs="Times New Roman"/>
          <w:b/>
          <w:bCs/>
          <w:szCs w:val="24"/>
          <w:lang w:val="en-US"/>
        </w:rPr>
        <w:t xml:space="preserve"> </w:t>
      </w:r>
      <w:proofErr w:type="spellStart"/>
      <w:r w:rsidRPr="00217CE6">
        <w:rPr>
          <w:rFonts w:eastAsia="Times New Roman" w:cs="Times New Roman"/>
          <w:b/>
          <w:bCs/>
          <w:szCs w:val="24"/>
          <w:lang w:val="en-US"/>
        </w:rPr>
        <w:t>Gündem</w:t>
      </w:r>
      <w:proofErr w:type="spellEnd"/>
    </w:p>
    <w:p w14:paraId="4505E163" w14:textId="77777777" w:rsidR="00217CE6" w:rsidRDefault="00217CE6" w:rsidP="00217CE6">
      <w:pPr>
        <w:rPr>
          <w:lang w:val="en-US"/>
        </w:rPr>
      </w:pPr>
      <w:proofErr w:type="spellStart"/>
      <w:r w:rsidRPr="00217CE6">
        <w:rPr>
          <w:lang w:val="en-US"/>
        </w:rPr>
        <w:t>Çağdaş</w:t>
      </w:r>
      <w:proofErr w:type="spellEnd"/>
      <w:r w:rsidRPr="00217CE6">
        <w:rPr>
          <w:lang w:val="en-US"/>
        </w:rPr>
        <w:t xml:space="preserve"> </w:t>
      </w:r>
      <w:proofErr w:type="spellStart"/>
      <w:r w:rsidRPr="00217CE6">
        <w:rPr>
          <w:lang w:val="en-US"/>
        </w:rPr>
        <w:t>anayasal</w:t>
      </w:r>
      <w:proofErr w:type="spellEnd"/>
      <w:r w:rsidRPr="00217CE6">
        <w:rPr>
          <w:lang w:val="en-US"/>
        </w:rPr>
        <w:t xml:space="preserve"> </w:t>
      </w:r>
      <w:proofErr w:type="spellStart"/>
      <w:r w:rsidRPr="00217CE6">
        <w:rPr>
          <w:lang w:val="en-US"/>
        </w:rPr>
        <w:t>kültürümüzün</w:t>
      </w:r>
      <w:proofErr w:type="spellEnd"/>
      <w:r w:rsidRPr="00217CE6">
        <w:rPr>
          <w:lang w:val="en-US"/>
        </w:rPr>
        <w:t xml:space="preserve"> </w:t>
      </w:r>
      <w:proofErr w:type="spellStart"/>
      <w:r w:rsidRPr="00217CE6">
        <w:rPr>
          <w:lang w:val="en-US"/>
        </w:rPr>
        <w:t>dinamiklerini</w:t>
      </w:r>
      <w:proofErr w:type="spellEnd"/>
      <w:r w:rsidRPr="00217CE6">
        <w:rPr>
          <w:lang w:val="en-US"/>
        </w:rPr>
        <w:t xml:space="preserve"> </w:t>
      </w:r>
      <w:proofErr w:type="spellStart"/>
      <w:r w:rsidRPr="00217CE6">
        <w:rPr>
          <w:lang w:val="en-US"/>
        </w:rPr>
        <w:t>anlamamıza</w:t>
      </w:r>
      <w:proofErr w:type="spellEnd"/>
      <w:r w:rsidRPr="00217CE6">
        <w:rPr>
          <w:lang w:val="en-US"/>
        </w:rPr>
        <w:t xml:space="preserve"> </w:t>
      </w:r>
      <w:proofErr w:type="spellStart"/>
      <w:r w:rsidRPr="00217CE6">
        <w:rPr>
          <w:lang w:val="en-US"/>
        </w:rPr>
        <w:t>katkıda</w:t>
      </w:r>
      <w:proofErr w:type="spellEnd"/>
      <w:r w:rsidRPr="00217CE6">
        <w:rPr>
          <w:lang w:val="en-US"/>
        </w:rPr>
        <w:t xml:space="preserve"> </w:t>
      </w:r>
      <w:proofErr w:type="spellStart"/>
      <w:r w:rsidRPr="00217CE6">
        <w:rPr>
          <w:lang w:val="en-US"/>
        </w:rPr>
        <w:t>bulunabilecek</w:t>
      </w:r>
      <w:proofErr w:type="spellEnd"/>
      <w:r w:rsidRPr="00217CE6">
        <w:rPr>
          <w:lang w:val="en-US"/>
        </w:rPr>
        <w:t xml:space="preserve"> </w:t>
      </w:r>
      <w:proofErr w:type="spellStart"/>
      <w:r w:rsidRPr="00217CE6">
        <w:rPr>
          <w:lang w:val="en-US"/>
        </w:rPr>
        <w:t>çok</w:t>
      </w:r>
      <w:proofErr w:type="spellEnd"/>
      <w:r w:rsidRPr="00217CE6">
        <w:rPr>
          <w:lang w:val="en-US"/>
        </w:rPr>
        <w:t xml:space="preserve"> </w:t>
      </w:r>
      <w:proofErr w:type="spellStart"/>
      <w:r w:rsidRPr="00217CE6">
        <w:rPr>
          <w:lang w:val="en-US"/>
        </w:rPr>
        <w:t>çeşitli</w:t>
      </w:r>
      <w:proofErr w:type="spellEnd"/>
      <w:r w:rsidRPr="00217CE6">
        <w:rPr>
          <w:lang w:val="en-US"/>
        </w:rPr>
        <w:t xml:space="preserve"> </w:t>
      </w:r>
      <w:proofErr w:type="spellStart"/>
      <w:r w:rsidRPr="00217CE6">
        <w:rPr>
          <w:lang w:val="en-US"/>
        </w:rPr>
        <w:t>çalışmalar</w:t>
      </w:r>
      <w:proofErr w:type="spellEnd"/>
      <w:r w:rsidRPr="00217CE6">
        <w:rPr>
          <w:lang w:val="en-US"/>
        </w:rPr>
        <w:t xml:space="preserve"> </w:t>
      </w:r>
      <w:proofErr w:type="spellStart"/>
      <w:r w:rsidRPr="00217CE6">
        <w:rPr>
          <w:lang w:val="en-US"/>
        </w:rPr>
        <w:t>hayal</w:t>
      </w:r>
      <w:proofErr w:type="spellEnd"/>
      <w:r w:rsidRPr="00217CE6">
        <w:rPr>
          <w:lang w:val="en-US"/>
        </w:rPr>
        <w:t xml:space="preserve"> </w:t>
      </w:r>
      <w:proofErr w:type="spellStart"/>
      <w:r w:rsidRPr="00217CE6">
        <w:rPr>
          <w:lang w:val="en-US"/>
        </w:rPr>
        <w:t>edilebilir</w:t>
      </w:r>
      <w:proofErr w:type="spellEnd"/>
      <w:r w:rsidRPr="00217CE6">
        <w:rPr>
          <w:lang w:val="en-US"/>
        </w:rPr>
        <w:t xml:space="preserve">. Bu </w:t>
      </w:r>
      <w:proofErr w:type="spellStart"/>
      <w:r w:rsidRPr="00217CE6">
        <w:rPr>
          <w:lang w:val="en-US"/>
        </w:rPr>
        <w:t>çalışmaların</w:t>
      </w:r>
      <w:proofErr w:type="spellEnd"/>
      <w:r w:rsidRPr="00217CE6">
        <w:rPr>
          <w:lang w:val="en-US"/>
        </w:rPr>
        <w:t xml:space="preserve"> </w:t>
      </w:r>
      <w:proofErr w:type="spellStart"/>
      <w:r w:rsidRPr="00217CE6">
        <w:rPr>
          <w:lang w:val="en-US"/>
        </w:rPr>
        <w:t>büyük</w:t>
      </w:r>
      <w:proofErr w:type="spellEnd"/>
      <w:r w:rsidRPr="00217CE6">
        <w:rPr>
          <w:lang w:val="en-US"/>
        </w:rPr>
        <w:t xml:space="preserve"> </w:t>
      </w:r>
      <w:proofErr w:type="spellStart"/>
      <w:r w:rsidRPr="00217CE6">
        <w:rPr>
          <w:lang w:val="en-US"/>
        </w:rPr>
        <w:t>bir</w:t>
      </w:r>
      <w:proofErr w:type="spellEnd"/>
      <w:r w:rsidRPr="00217CE6">
        <w:rPr>
          <w:lang w:val="en-US"/>
        </w:rPr>
        <w:t xml:space="preserve"> </w:t>
      </w:r>
      <w:proofErr w:type="spellStart"/>
      <w:r w:rsidRPr="00217CE6">
        <w:rPr>
          <w:lang w:val="en-US"/>
        </w:rPr>
        <w:t>kısmı</w:t>
      </w:r>
      <w:proofErr w:type="spellEnd"/>
      <w:r w:rsidRPr="00217CE6">
        <w:rPr>
          <w:lang w:val="en-US"/>
        </w:rPr>
        <w:t xml:space="preserve"> </w:t>
      </w:r>
      <w:proofErr w:type="spellStart"/>
      <w:r w:rsidRPr="00217CE6">
        <w:rPr>
          <w:lang w:val="en-US"/>
        </w:rPr>
        <w:t>betimleyicidir</w:t>
      </w:r>
      <w:proofErr w:type="spellEnd"/>
      <w:r w:rsidRPr="00217CE6">
        <w:rPr>
          <w:lang w:val="en-US"/>
        </w:rPr>
        <w:t xml:space="preserve">. Makro </w:t>
      </w:r>
      <w:proofErr w:type="spellStart"/>
      <w:r w:rsidRPr="00217CE6">
        <w:rPr>
          <w:lang w:val="en-US"/>
        </w:rPr>
        <w:t>düzeyde</w:t>
      </w:r>
      <w:proofErr w:type="spellEnd"/>
      <w:r w:rsidRPr="00217CE6">
        <w:rPr>
          <w:lang w:val="en-US"/>
        </w:rPr>
        <w:t xml:space="preserve">, </w:t>
      </w:r>
      <w:proofErr w:type="spellStart"/>
      <w:r w:rsidRPr="00217CE6">
        <w:rPr>
          <w:lang w:val="en-US"/>
        </w:rPr>
        <w:t>antropoloji</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kültürel</w:t>
      </w:r>
      <w:proofErr w:type="spellEnd"/>
      <w:r w:rsidRPr="00217CE6">
        <w:rPr>
          <w:lang w:val="en-US"/>
        </w:rPr>
        <w:t xml:space="preserve"> </w:t>
      </w:r>
      <w:proofErr w:type="spellStart"/>
      <w:r w:rsidRPr="00217CE6">
        <w:rPr>
          <w:lang w:val="en-US"/>
        </w:rPr>
        <w:t>tarih</w:t>
      </w:r>
      <w:proofErr w:type="spellEnd"/>
      <w:r w:rsidRPr="00217CE6">
        <w:rPr>
          <w:lang w:val="en-US"/>
        </w:rPr>
        <w:t xml:space="preserve"> </w:t>
      </w:r>
      <w:proofErr w:type="spellStart"/>
      <w:r w:rsidRPr="00217CE6">
        <w:rPr>
          <w:lang w:val="en-US"/>
        </w:rPr>
        <w:t>disiplinlerinin</w:t>
      </w:r>
      <w:proofErr w:type="spellEnd"/>
      <w:r w:rsidRPr="00217CE6">
        <w:rPr>
          <w:lang w:val="en-US"/>
        </w:rPr>
        <w:t xml:space="preserve"> </w:t>
      </w:r>
      <w:proofErr w:type="spellStart"/>
      <w:r w:rsidRPr="00217CE6">
        <w:rPr>
          <w:lang w:val="en-US"/>
        </w:rPr>
        <w:t>araçlarını</w:t>
      </w:r>
      <w:proofErr w:type="spellEnd"/>
      <w:r w:rsidRPr="00217CE6">
        <w:rPr>
          <w:lang w:val="en-US"/>
        </w:rPr>
        <w:t xml:space="preserve"> </w:t>
      </w:r>
      <w:proofErr w:type="spellStart"/>
      <w:r w:rsidRPr="00217CE6">
        <w:rPr>
          <w:lang w:val="en-US"/>
        </w:rPr>
        <w:t>kullanarak</w:t>
      </w:r>
      <w:proofErr w:type="spellEnd"/>
      <w:r w:rsidRPr="00217CE6">
        <w:rPr>
          <w:lang w:val="en-US"/>
        </w:rPr>
        <w:t xml:space="preserve"> </w:t>
      </w:r>
      <w:proofErr w:type="spellStart"/>
      <w:r w:rsidRPr="00217CE6">
        <w:rPr>
          <w:lang w:val="en-US"/>
        </w:rPr>
        <w:t>anayasal</w:t>
      </w:r>
      <w:proofErr w:type="spellEnd"/>
      <w:r w:rsidRPr="00217CE6">
        <w:rPr>
          <w:lang w:val="en-US"/>
        </w:rPr>
        <w:t xml:space="preserve"> </w:t>
      </w:r>
      <w:proofErr w:type="spellStart"/>
      <w:r w:rsidRPr="00217CE6">
        <w:rPr>
          <w:lang w:val="en-US"/>
        </w:rPr>
        <w:t>kültürümüzü</w:t>
      </w:r>
      <w:proofErr w:type="spellEnd"/>
      <w:r w:rsidRPr="00217CE6">
        <w:rPr>
          <w:lang w:val="en-US"/>
        </w:rPr>
        <w:t xml:space="preserve"> </w:t>
      </w:r>
      <w:proofErr w:type="spellStart"/>
      <w:r w:rsidRPr="00217CE6">
        <w:rPr>
          <w:lang w:val="en-US"/>
        </w:rPr>
        <w:t>veya</w:t>
      </w:r>
      <w:proofErr w:type="spellEnd"/>
      <w:r w:rsidRPr="00217CE6">
        <w:rPr>
          <w:lang w:val="en-US"/>
        </w:rPr>
        <w:t xml:space="preserve"> </w:t>
      </w:r>
      <w:proofErr w:type="spellStart"/>
      <w:r w:rsidRPr="00217CE6">
        <w:rPr>
          <w:lang w:val="en-US"/>
        </w:rPr>
        <w:t>onun</w:t>
      </w:r>
      <w:proofErr w:type="spellEnd"/>
      <w:r w:rsidRPr="00217CE6">
        <w:rPr>
          <w:lang w:val="en-US"/>
        </w:rPr>
        <w:t xml:space="preserve"> </w:t>
      </w:r>
      <w:proofErr w:type="spellStart"/>
      <w:r w:rsidRPr="00217CE6">
        <w:rPr>
          <w:lang w:val="en-US"/>
        </w:rPr>
        <w:t>belirli</w:t>
      </w:r>
      <w:proofErr w:type="spellEnd"/>
      <w:r w:rsidRPr="00217CE6">
        <w:rPr>
          <w:lang w:val="en-US"/>
        </w:rPr>
        <w:t xml:space="preserve"> </w:t>
      </w:r>
      <w:proofErr w:type="spellStart"/>
      <w:r w:rsidRPr="00217CE6">
        <w:rPr>
          <w:lang w:val="en-US"/>
        </w:rPr>
        <w:t>önemli</w:t>
      </w:r>
      <w:proofErr w:type="spellEnd"/>
      <w:r w:rsidRPr="00217CE6">
        <w:rPr>
          <w:lang w:val="en-US"/>
        </w:rPr>
        <w:t xml:space="preserve"> </w:t>
      </w:r>
      <w:proofErr w:type="spellStart"/>
      <w:r w:rsidRPr="00217CE6">
        <w:rPr>
          <w:lang w:val="en-US"/>
        </w:rPr>
        <w:t>yönlerini</w:t>
      </w:r>
      <w:proofErr w:type="spellEnd"/>
      <w:r w:rsidRPr="00217CE6">
        <w:rPr>
          <w:lang w:val="en-US"/>
        </w:rPr>
        <w:t xml:space="preserve"> (</w:t>
      </w:r>
      <w:proofErr w:type="spellStart"/>
      <w:r w:rsidRPr="00217CE6">
        <w:rPr>
          <w:lang w:val="en-US"/>
        </w:rPr>
        <w:t>örneğin</w:t>
      </w:r>
      <w:proofErr w:type="spellEnd"/>
      <w:r w:rsidRPr="00217CE6">
        <w:rPr>
          <w:lang w:val="en-US"/>
        </w:rPr>
        <w:t xml:space="preserve">, Yüksek </w:t>
      </w:r>
      <w:proofErr w:type="spellStart"/>
      <w:r w:rsidRPr="00217CE6">
        <w:rPr>
          <w:lang w:val="en-US"/>
        </w:rPr>
        <w:t>Mahkeme'nin</w:t>
      </w:r>
      <w:proofErr w:type="spellEnd"/>
      <w:r w:rsidRPr="00217CE6">
        <w:rPr>
          <w:lang w:val="en-US"/>
        </w:rPr>
        <w:t xml:space="preserve"> </w:t>
      </w:r>
      <w:proofErr w:type="spellStart"/>
      <w:r w:rsidRPr="00217CE6">
        <w:rPr>
          <w:lang w:val="en-US"/>
        </w:rPr>
        <w:t>karar</w:t>
      </w:r>
      <w:proofErr w:type="spellEnd"/>
      <w:r w:rsidRPr="00217CE6">
        <w:rPr>
          <w:lang w:val="en-US"/>
        </w:rPr>
        <w:t xml:space="preserve"> alma </w:t>
      </w:r>
      <w:proofErr w:type="spellStart"/>
      <w:r w:rsidRPr="00217CE6">
        <w:rPr>
          <w:lang w:val="en-US"/>
        </w:rPr>
        <w:t>süreçlerini</w:t>
      </w:r>
      <w:proofErr w:type="spellEnd"/>
      <w:r w:rsidRPr="00217CE6">
        <w:rPr>
          <w:lang w:val="en-US"/>
        </w:rPr>
        <w:t xml:space="preserve">) </w:t>
      </w:r>
      <w:proofErr w:type="spellStart"/>
      <w:r w:rsidRPr="00217CE6">
        <w:rPr>
          <w:lang w:val="en-US"/>
        </w:rPr>
        <w:t>ayrıntılı</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nüanslı</w:t>
      </w:r>
      <w:proofErr w:type="spellEnd"/>
      <w:r w:rsidRPr="00217CE6">
        <w:rPr>
          <w:lang w:val="en-US"/>
        </w:rPr>
        <w:t xml:space="preserve"> </w:t>
      </w:r>
      <w:proofErr w:type="spellStart"/>
      <w:r w:rsidRPr="00217CE6">
        <w:rPr>
          <w:lang w:val="en-US"/>
        </w:rPr>
        <w:t>bir</w:t>
      </w:r>
      <w:proofErr w:type="spellEnd"/>
      <w:r w:rsidRPr="00217CE6">
        <w:rPr>
          <w:lang w:val="en-US"/>
        </w:rPr>
        <w:t xml:space="preserve"> </w:t>
      </w:r>
      <w:proofErr w:type="spellStart"/>
      <w:r w:rsidRPr="00217CE6">
        <w:rPr>
          <w:lang w:val="en-US"/>
        </w:rPr>
        <w:t>şekilde</w:t>
      </w:r>
      <w:proofErr w:type="spellEnd"/>
      <w:r w:rsidRPr="00217CE6">
        <w:rPr>
          <w:lang w:val="en-US"/>
        </w:rPr>
        <w:t xml:space="preserve"> </w:t>
      </w:r>
      <w:proofErr w:type="spellStart"/>
      <w:r w:rsidRPr="00217CE6">
        <w:rPr>
          <w:lang w:val="en-US"/>
        </w:rPr>
        <w:t>haritalayan</w:t>
      </w:r>
      <w:proofErr w:type="spellEnd"/>
      <w:r w:rsidRPr="00217CE6">
        <w:rPr>
          <w:lang w:val="en-US"/>
        </w:rPr>
        <w:t xml:space="preserve">, </w:t>
      </w:r>
      <w:proofErr w:type="spellStart"/>
      <w:r w:rsidRPr="00217CE6">
        <w:rPr>
          <w:lang w:val="en-US"/>
        </w:rPr>
        <w:t>kitap</w:t>
      </w:r>
      <w:proofErr w:type="spellEnd"/>
      <w:r w:rsidRPr="00217CE6">
        <w:rPr>
          <w:lang w:val="en-US"/>
        </w:rPr>
        <w:t xml:space="preserve"> </w:t>
      </w:r>
      <w:proofErr w:type="spellStart"/>
      <w:r w:rsidRPr="00217CE6">
        <w:rPr>
          <w:lang w:val="en-US"/>
        </w:rPr>
        <w:t>uzunluğunda</w:t>
      </w:r>
      <w:proofErr w:type="spellEnd"/>
      <w:r w:rsidRPr="00217CE6">
        <w:rPr>
          <w:lang w:val="en-US"/>
        </w:rPr>
        <w:t xml:space="preserve"> </w:t>
      </w:r>
      <w:proofErr w:type="spellStart"/>
      <w:r w:rsidRPr="00217CE6">
        <w:rPr>
          <w:lang w:val="en-US"/>
        </w:rPr>
        <w:t>çalışmalar</w:t>
      </w:r>
      <w:proofErr w:type="spellEnd"/>
      <w:r w:rsidRPr="00217CE6">
        <w:rPr>
          <w:lang w:val="en-US"/>
        </w:rPr>
        <w:t xml:space="preserve"> </w:t>
      </w:r>
      <w:proofErr w:type="spellStart"/>
      <w:r w:rsidRPr="00217CE6">
        <w:rPr>
          <w:lang w:val="en-US"/>
        </w:rPr>
        <w:t>büyük</w:t>
      </w:r>
      <w:proofErr w:type="spellEnd"/>
      <w:r w:rsidRPr="00217CE6">
        <w:rPr>
          <w:lang w:val="en-US"/>
        </w:rPr>
        <w:t xml:space="preserve"> </w:t>
      </w:r>
      <w:proofErr w:type="spellStart"/>
      <w:r w:rsidRPr="00217CE6">
        <w:rPr>
          <w:lang w:val="en-US"/>
        </w:rPr>
        <w:t>fayda</w:t>
      </w:r>
      <w:proofErr w:type="spellEnd"/>
      <w:r w:rsidRPr="00217CE6">
        <w:rPr>
          <w:lang w:val="en-US"/>
        </w:rPr>
        <w:t xml:space="preserve"> </w:t>
      </w:r>
      <w:proofErr w:type="spellStart"/>
      <w:r w:rsidRPr="00217CE6">
        <w:rPr>
          <w:lang w:val="en-US"/>
        </w:rPr>
        <w:t>sağlayacaktır</w:t>
      </w:r>
      <w:proofErr w:type="spellEnd"/>
      <w:r w:rsidRPr="00217CE6">
        <w:rPr>
          <w:lang w:val="en-US"/>
        </w:rPr>
        <w:t xml:space="preserve">. Bu </w:t>
      </w:r>
      <w:proofErr w:type="spellStart"/>
      <w:r w:rsidRPr="00217CE6">
        <w:rPr>
          <w:lang w:val="en-US"/>
        </w:rPr>
        <w:t>tür</w:t>
      </w:r>
      <w:proofErr w:type="spellEnd"/>
      <w:r w:rsidRPr="00217CE6">
        <w:rPr>
          <w:lang w:val="en-US"/>
        </w:rPr>
        <w:t xml:space="preserve"> </w:t>
      </w:r>
      <w:proofErr w:type="spellStart"/>
      <w:r w:rsidRPr="00217CE6">
        <w:rPr>
          <w:lang w:val="en-US"/>
        </w:rPr>
        <w:t>çalışmalar</w:t>
      </w:r>
      <w:proofErr w:type="spellEnd"/>
      <w:r w:rsidRPr="00217CE6">
        <w:rPr>
          <w:lang w:val="en-US"/>
        </w:rPr>
        <w:t xml:space="preserve"> </w:t>
      </w:r>
      <w:proofErr w:type="spellStart"/>
      <w:r w:rsidRPr="00217CE6">
        <w:rPr>
          <w:lang w:val="en-US"/>
        </w:rPr>
        <w:t>açıkça</w:t>
      </w:r>
      <w:proofErr w:type="spellEnd"/>
      <w:r w:rsidRPr="00217CE6">
        <w:rPr>
          <w:lang w:val="en-US"/>
        </w:rPr>
        <w:t xml:space="preserve"> </w:t>
      </w:r>
      <w:proofErr w:type="spellStart"/>
      <w:r w:rsidRPr="00217CE6">
        <w:rPr>
          <w:lang w:val="en-US"/>
        </w:rPr>
        <w:t>tarihsel</w:t>
      </w:r>
      <w:proofErr w:type="spellEnd"/>
      <w:r w:rsidRPr="00217CE6">
        <w:rPr>
          <w:lang w:val="en-US"/>
        </w:rPr>
        <w:t xml:space="preserve"> </w:t>
      </w:r>
      <w:proofErr w:type="spellStart"/>
      <w:r w:rsidRPr="00217CE6">
        <w:rPr>
          <w:lang w:val="en-US"/>
        </w:rPr>
        <w:t>olabilir</w:t>
      </w:r>
      <w:proofErr w:type="spellEnd"/>
      <w:r w:rsidRPr="00217CE6">
        <w:rPr>
          <w:lang w:val="en-US"/>
        </w:rPr>
        <w:t xml:space="preserve"> </w:t>
      </w:r>
      <w:proofErr w:type="spellStart"/>
      <w:r w:rsidRPr="00217CE6">
        <w:rPr>
          <w:lang w:val="en-US"/>
        </w:rPr>
        <w:t>ve</w:t>
      </w:r>
      <w:proofErr w:type="spellEnd"/>
      <w:r w:rsidRPr="00217CE6">
        <w:rPr>
          <w:lang w:val="en-US"/>
        </w:rPr>
        <w:t xml:space="preserve"> zaman </w:t>
      </w:r>
      <w:proofErr w:type="spellStart"/>
      <w:r w:rsidRPr="00217CE6">
        <w:rPr>
          <w:lang w:val="en-US"/>
        </w:rPr>
        <w:t>içindeki</w:t>
      </w:r>
      <w:proofErr w:type="spellEnd"/>
      <w:r w:rsidRPr="00217CE6">
        <w:rPr>
          <w:lang w:val="en-US"/>
        </w:rPr>
        <w:t xml:space="preserve"> </w:t>
      </w:r>
      <w:proofErr w:type="spellStart"/>
      <w:r w:rsidRPr="00217CE6">
        <w:rPr>
          <w:lang w:val="en-US"/>
        </w:rPr>
        <w:t>değişime</w:t>
      </w:r>
      <w:proofErr w:type="spellEnd"/>
      <w:r w:rsidRPr="00217CE6">
        <w:rPr>
          <w:lang w:val="en-US"/>
        </w:rPr>
        <w:t xml:space="preserve"> </w:t>
      </w:r>
      <w:proofErr w:type="spellStart"/>
      <w:r w:rsidRPr="00217CE6">
        <w:rPr>
          <w:lang w:val="en-US"/>
        </w:rPr>
        <w:t>odaklanabilir</w:t>
      </w:r>
      <w:proofErr w:type="spellEnd"/>
      <w:r w:rsidRPr="00217CE6">
        <w:rPr>
          <w:lang w:val="en-US"/>
        </w:rPr>
        <w:t xml:space="preserve"> </w:t>
      </w:r>
      <w:proofErr w:type="spellStart"/>
      <w:r w:rsidRPr="00217CE6">
        <w:rPr>
          <w:lang w:val="en-US"/>
        </w:rPr>
        <w:t>ya</w:t>
      </w:r>
      <w:proofErr w:type="spellEnd"/>
      <w:r w:rsidRPr="00217CE6">
        <w:rPr>
          <w:lang w:val="en-US"/>
        </w:rPr>
        <w:t xml:space="preserve"> da </w:t>
      </w:r>
      <w:proofErr w:type="spellStart"/>
      <w:r w:rsidRPr="00217CE6">
        <w:rPr>
          <w:lang w:val="en-US"/>
        </w:rPr>
        <w:t>doğrudan</w:t>
      </w:r>
      <w:proofErr w:type="spellEnd"/>
      <w:r w:rsidRPr="00217CE6">
        <w:rPr>
          <w:lang w:val="en-US"/>
        </w:rPr>
        <w:t xml:space="preserve"> </w:t>
      </w:r>
      <w:proofErr w:type="spellStart"/>
      <w:r w:rsidRPr="00217CE6">
        <w:rPr>
          <w:lang w:val="en-US"/>
        </w:rPr>
        <w:t>günümüze</w:t>
      </w:r>
      <w:proofErr w:type="spellEnd"/>
      <w:r w:rsidRPr="00217CE6">
        <w:rPr>
          <w:lang w:val="en-US"/>
        </w:rPr>
        <w:t xml:space="preserve"> </w:t>
      </w:r>
      <w:proofErr w:type="spellStart"/>
      <w:r w:rsidRPr="00217CE6">
        <w:rPr>
          <w:lang w:val="en-US"/>
        </w:rPr>
        <w:t>yönelerek</w:t>
      </w:r>
      <w:proofErr w:type="spellEnd"/>
      <w:r w:rsidRPr="00217CE6">
        <w:rPr>
          <w:lang w:val="en-US"/>
        </w:rPr>
        <w:t xml:space="preserve"> </w:t>
      </w:r>
      <w:proofErr w:type="spellStart"/>
      <w:r w:rsidRPr="00217CE6">
        <w:rPr>
          <w:lang w:val="en-US"/>
        </w:rPr>
        <w:t>çağdaş</w:t>
      </w:r>
      <w:proofErr w:type="spellEnd"/>
      <w:r w:rsidRPr="00217CE6">
        <w:rPr>
          <w:lang w:val="en-US"/>
        </w:rPr>
        <w:t xml:space="preserve"> </w:t>
      </w:r>
      <w:proofErr w:type="spellStart"/>
      <w:r w:rsidRPr="00217CE6">
        <w:rPr>
          <w:lang w:val="en-US"/>
        </w:rPr>
        <w:t>kurumların</w:t>
      </w:r>
      <w:proofErr w:type="spellEnd"/>
      <w:r w:rsidRPr="00217CE6">
        <w:rPr>
          <w:lang w:val="en-US"/>
        </w:rPr>
        <w:t xml:space="preserve"> </w:t>
      </w:r>
      <w:proofErr w:type="spellStart"/>
      <w:r w:rsidRPr="00217CE6">
        <w:rPr>
          <w:lang w:val="en-US"/>
        </w:rPr>
        <w:t>çok</w:t>
      </w:r>
      <w:proofErr w:type="spellEnd"/>
      <w:r w:rsidRPr="00217CE6">
        <w:rPr>
          <w:lang w:val="en-US"/>
        </w:rPr>
        <w:t xml:space="preserve"> </w:t>
      </w:r>
      <w:proofErr w:type="spellStart"/>
      <w:r w:rsidRPr="00217CE6">
        <w:rPr>
          <w:lang w:val="en-US"/>
        </w:rPr>
        <w:t>katmanlı</w:t>
      </w:r>
      <w:proofErr w:type="spellEnd"/>
      <w:r w:rsidRPr="00217CE6">
        <w:rPr>
          <w:lang w:val="en-US"/>
        </w:rPr>
        <w:t xml:space="preserve"> </w:t>
      </w:r>
      <w:proofErr w:type="spellStart"/>
      <w:r w:rsidRPr="00217CE6">
        <w:rPr>
          <w:lang w:val="en-US"/>
        </w:rPr>
        <w:t>portrelerini</w:t>
      </w:r>
      <w:proofErr w:type="spellEnd"/>
      <w:r w:rsidRPr="00217CE6">
        <w:rPr>
          <w:lang w:val="en-US"/>
        </w:rPr>
        <w:t xml:space="preserve"> </w:t>
      </w:r>
      <w:proofErr w:type="spellStart"/>
      <w:r w:rsidRPr="00217CE6">
        <w:rPr>
          <w:lang w:val="en-US"/>
        </w:rPr>
        <w:t>çizmeyi</w:t>
      </w:r>
      <w:proofErr w:type="spellEnd"/>
      <w:r w:rsidRPr="00217CE6">
        <w:rPr>
          <w:lang w:val="en-US"/>
        </w:rPr>
        <w:t xml:space="preserve"> </w:t>
      </w:r>
      <w:proofErr w:type="spellStart"/>
      <w:r w:rsidRPr="00217CE6">
        <w:rPr>
          <w:lang w:val="en-US"/>
        </w:rPr>
        <w:t>tercih</w:t>
      </w:r>
      <w:proofErr w:type="spellEnd"/>
      <w:r w:rsidRPr="00217CE6">
        <w:rPr>
          <w:lang w:val="en-US"/>
        </w:rPr>
        <w:t xml:space="preserve"> </w:t>
      </w:r>
      <w:proofErr w:type="spellStart"/>
      <w:r w:rsidRPr="00217CE6">
        <w:rPr>
          <w:lang w:val="en-US"/>
        </w:rPr>
        <w:t>edebilir</w:t>
      </w:r>
      <w:proofErr w:type="spellEnd"/>
      <w:r w:rsidRPr="00217CE6">
        <w:rPr>
          <w:lang w:val="en-US"/>
        </w:rPr>
        <w:t xml:space="preserve">. </w:t>
      </w:r>
      <w:proofErr w:type="spellStart"/>
      <w:r w:rsidRPr="00217CE6">
        <w:rPr>
          <w:lang w:val="en-US"/>
        </w:rPr>
        <w:t>Ancak</w:t>
      </w:r>
      <w:proofErr w:type="spellEnd"/>
      <w:r w:rsidRPr="00217CE6">
        <w:rPr>
          <w:lang w:val="en-US"/>
        </w:rPr>
        <w:t xml:space="preserve"> </w:t>
      </w:r>
      <w:proofErr w:type="spellStart"/>
      <w:r w:rsidRPr="00217CE6">
        <w:rPr>
          <w:lang w:val="en-US"/>
        </w:rPr>
        <w:t>özünde</w:t>
      </w:r>
      <w:proofErr w:type="spellEnd"/>
      <w:r w:rsidRPr="00217CE6">
        <w:rPr>
          <w:lang w:val="en-US"/>
        </w:rPr>
        <w:t xml:space="preserve">, </w:t>
      </w:r>
      <w:proofErr w:type="spellStart"/>
      <w:r w:rsidRPr="00217CE6">
        <w:rPr>
          <w:lang w:val="en-US"/>
        </w:rPr>
        <w:t>bu</w:t>
      </w:r>
      <w:proofErr w:type="spellEnd"/>
      <w:r w:rsidRPr="00217CE6">
        <w:rPr>
          <w:lang w:val="en-US"/>
        </w:rPr>
        <w:t xml:space="preserve"> </w:t>
      </w:r>
      <w:proofErr w:type="spellStart"/>
      <w:r w:rsidRPr="00217CE6">
        <w:rPr>
          <w:lang w:val="en-US"/>
        </w:rPr>
        <w:t>projeler</w:t>
      </w:r>
      <w:proofErr w:type="spellEnd"/>
      <w:r w:rsidRPr="00217CE6">
        <w:rPr>
          <w:lang w:val="en-US"/>
        </w:rPr>
        <w:t xml:space="preserve"> </w:t>
      </w:r>
      <w:proofErr w:type="spellStart"/>
      <w:r w:rsidRPr="00217CE6">
        <w:rPr>
          <w:lang w:val="en-US"/>
        </w:rPr>
        <w:t>kapsamlı</w:t>
      </w:r>
      <w:proofErr w:type="spellEnd"/>
      <w:r w:rsidRPr="00217CE6">
        <w:rPr>
          <w:lang w:val="en-US"/>
        </w:rPr>
        <w:t xml:space="preserve"> </w:t>
      </w:r>
      <w:proofErr w:type="spellStart"/>
      <w:r w:rsidRPr="00217CE6">
        <w:rPr>
          <w:lang w:val="en-US"/>
        </w:rPr>
        <w:t>olmayı</w:t>
      </w:r>
      <w:proofErr w:type="spellEnd"/>
      <w:r w:rsidRPr="00217CE6">
        <w:rPr>
          <w:lang w:val="en-US"/>
        </w:rPr>
        <w:t xml:space="preserve"> </w:t>
      </w:r>
      <w:proofErr w:type="spellStart"/>
      <w:r w:rsidRPr="00217CE6">
        <w:rPr>
          <w:lang w:val="en-US"/>
        </w:rPr>
        <w:t>hedefleyerek</w:t>
      </w:r>
      <w:proofErr w:type="spellEnd"/>
      <w:r w:rsidRPr="00217CE6">
        <w:rPr>
          <w:lang w:val="en-US"/>
        </w:rPr>
        <w:t xml:space="preserve">, </w:t>
      </w:r>
      <w:proofErr w:type="spellStart"/>
      <w:r w:rsidRPr="00217CE6">
        <w:rPr>
          <w:lang w:val="en-US"/>
        </w:rPr>
        <w:t>çağdaş</w:t>
      </w:r>
      <w:proofErr w:type="spellEnd"/>
      <w:r w:rsidRPr="00217CE6">
        <w:rPr>
          <w:lang w:val="en-US"/>
        </w:rPr>
        <w:t xml:space="preserve"> </w:t>
      </w:r>
      <w:proofErr w:type="spellStart"/>
      <w:r w:rsidRPr="00217CE6">
        <w:rPr>
          <w:lang w:val="en-US"/>
        </w:rPr>
        <w:t>anayasa</w:t>
      </w:r>
      <w:proofErr w:type="spellEnd"/>
      <w:r w:rsidRPr="00217CE6">
        <w:rPr>
          <w:lang w:val="en-US"/>
        </w:rPr>
        <w:t xml:space="preserve"> </w:t>
      </w:r>
      <w:proofErr w:type="spellStart"/>
      <w:r w:rsidRPr="00217CE6">
        <w:rPr>
          <w:lang w:val="en-US"/>
        </w:rPr>
        <w:t>hukukunun</w:t>
      </w:r>
      <w:proofErr w:type="spellEnd"/>
      <w:r w:rsidRPr="00217CE6">
        <w:rPr>
          <w:lang w:val="en-US"/>
        </w:rPr>
        <w:t xml:space="preserve"> </w:t>
      </w:r>
      <w:proofErr w:type="spellStart"/>
      <w:r w:rsidRPr="00217CE6">
        <w:rPr>
          <w:lang w:val="en-US"/>
        </w:rPr>
        <w:t>oluşumunu</w:t>
      </w:r>
      <w:proofErr w:type="spellEnd"/>
      <w:r w:rsidRPr="00217CE6">
        <w:rPr>
          <w:lang w:val="en-US"/>
        </w:rPr>
        <w:t xml:space="preserve"> </w:t>
      </w:r>
      <w:proofErr w:type="spellStart"/>
      <w:r w:rsidRPr="00217CE6">
        <w:rPr>
          <w:lang w:val="en-US"/>
        </w:rPr>
        <w:t>şekillendiren</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yönlendiren</w:t>
      </w:r>
      <w:proofErr w:type="spellEnd"/>
      <w:r w:rsidRPr="00217CE6">
        <w:rPr>
          <w:lang w:val="en-US"/>
        </w:rPr>
        <w:t xml:space="preserve"> </w:t>
      </w:r>
      <w:proofErr w:type="spellStart"/>
      <w:r w:rsidRPr="00217CE6">
        <w:rPr>
          <w:lang w:val="en-US"/>
        </w:rPr>
        <w:t>çeşitli</w:t>
      </w:r>
      <w:proofErr w:type="spellEnd"/>
      <w:r w:rsidRPr="00217CE6">
        <w:rPr>
          <w:lang w:val="en-US"/>
        </w:rPr>
        <w:t xml:space="preserve"> </w:t>
      </w:r>
      <w:proofErr w:type="spellStart"/>
      <w:r w:rsidRPr="00217CE6">
        <w:rPr>
          <w:lang w:val="en-US"/>
        </w:rPr>
        <w:t>normları</w:t>
      </w:r>
      <w:proofErr w:type="spellEnd"/>
      <w:r w:rsidRPr="00217CE6">
        <w:rPr>
          <w:lang w:val="en-US"/>
        </w:rPr>
        <w:t xml:space="preserve">, </w:t>
      </w:r>
      <w:proofErr w:type="spellStart"/>
      <w:r w:rsidRPr="00217CE6">
        <w:rPr>
          <w:lang w:val="en-US"/>
        </w:rPr>
        <w:t>düzenlemeleri</w:t>
      </w:r>
      <w:proofErr w:type="spellEnd"/>
      <w:r w:rsidRPr="00217CE6">
        <w:rPr>
          <w:lang w:val="en-US"/>
        </w:rPr>
        <w:t xml:space="preserve">, </w:t>
      </w:r>
      <w:proofErr w:type="spellStart"/>
      <w:r w:rsidRPr="00217CE6">
        <w:rPr>
          <w:lang w:val="en-US"/>
        </w:rPr>
        <w:t>uygulamaları</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düşünce</w:t>
      </w:r>
      <w:proofErr w:type="spellEnd"/>
      <w:r w:rsidRPr="00217CE6">
        <w:rPr>
          <w:lang w:val="en-US"/>
        </w:rPr>
        <w:t xml:space="preserve"> </w:t>
      </w:r>
      <w:proofErr w:type="spellStart"/>
      <w:r w:rsidRPr="00217CE6">
        <w:rPr>
          <w:lang w:val="en-US"/>
        </w:rPr>
        <w:t>alışkanlıklarını</w:t>
      </w:r>
      <w:proofErr w:type="spellEnd"/>
      <w:r w:rsidRPr="00217CE6">
        <w:rPr>
          <w:lang w:val="en-US"/>
        </w:rPr>
        <w:t xml:space="preserve"> </w:t>
      </w:r>
      <w:proofErr w:type="spellStart"/>
      <w:r w:rsidRPr="00217CE6">
        <w:rPr>
          <w:lang w:val="en-US"/>
        </w:rPr>
        <w:t>kataloglamaya</w:t>
      </w:r>
      <w:proofErr w:type="spellEnd"/>
      <w:r w:rsidRPr="00217CE6">
        <w:rPr>
          <w:lang w:val="en-US"/>
        </w:rPr>
        <w:t xml:space="preserve"> </w:t>
      </w:r>
      <w:proofErr w:type="spellStart"/>
      <w:r w:rsidRPr="00217CE6">
        <w:rPr>
          <w:lang w:val="en-US"/>
        </w:rPr>
        <w:t>çalışacaktır</w:t>
      </w:r>
      <w:proofErr w:type="spellEnd"/>
      <w:r w:rsidRPr="00217CE6">
        <w:rPr>
          <w:lang w:val="en-US"/>
        </w:rPr>
        <w:t xml:space="preserve">. </w:t>
      </w:r>
      <w:proofErr w:type="spellStart"/>
      <w:r w:rsidRPr="00217CE6">
        <w:rPr>
          <w:lang w:val="en-US"/>
        </w:rPr>
        <w:t>Aynı</w:t>
      </w:r>
      <w:proofErr w:type="spellEnd"/>
      <w:r w:rsidRPr="00217CE6">
        <w:rPr>
          <w:lang w:val="en-US"/>
        </w:rPr>
        <w:t xml:space="preserve"> </w:t>
      </w:r>
      <w:proofErr w:type="spellStart"/>
      <w:r w:rsidRPr="00217CE6">
        <w:rPr>
          <w:lang w:val="en-US"/>
        </w:rPr>
        <w:t>zamanda</w:t>
      </w:r>
      <w:proofErr w:type="spellEnd"/>
      <w:r w:rsidRPr="00217CE6">
        <w:rPr>
          <w:lang w:val="en-US"/>
        </w:rPr>
        <w:t xml:space="preserve">, </w:t>
      </w:r>
      <w:proofErr w:type="spellStart"/>
      <w:r w:rsidRPr="00217CE6">
        <w:rPr>
          <w:lang w:val="en-US"/>
        </w:rPr>
        <w:t>yalnızca</w:t>
      </w:r>
      <w:proofErr w:type="spellEnd"/>
      <w:r w:rsidRPr="00217CE6">
        <w:rPr>
          <w:lang w:val="en-US"/>
        </w:rPr>
        <w:t xml:space="preserve"> </w:t>
      </w:r>
      <w:proofErr w:type="spellStart"/>
      <w:r w:rsidRPr="00217CE6">
        <w:rPr>
          <w:lang w:val="en-US"/>
        </w:rPr>
        <w:t>bu</w:t>
      </w:r>
      <w:proofErr w:type="spellEnd"/>
      <w:r w:rsidRPr="00217CE6">
        <w:rPr>
          <w:lang w:val="en-US"/>
        </w:rPr>
        <w:t xml:space="preserve"> </w:t>
      </w:r>
      <w:proofErr w:type="spellStart"/>
      <w:r w:rsidRPr="00217CE6">
        <w:rPr>
          <w:lang w:val="en-US"/>
        </w:rPr>
        <w:t>unsurların</w:t>
      </w:r>
      <w:proofErr w:type="spellEnd"/>
      <w:r w:rsidRPr="00217CE6">
        <w:rPr>
          <w:lang w:val="en-US"/>
        </w:rPr>
        <w:t xml:space="preserve"> </w:t>
      </w:r>
      <w:proofErr w:type="spellStart"/>
      <w:r w:rsidRPr="00217CE6">
        <w:rPr>
          <w:lang w:val="en-US"/>
        </w:rPr>
        <w:t>varlığını</w:t>
      </w:r>
      <w:proofErr w:type="spellEnd"/>
      <w:r w:rsidRPr="00217CE6">
        <w:rPr>
          <w:lang w:val="en-US"/>
        </w:rPr>
        <w:t xml:space="preserve"> </w:t>
      </w:r>
      <w:proofErr w:type="spellStart"/>
      <w:r w:rsidRPr="00217CE6">
        <w:rPr>
          <w:lang w:val="en-US"/>
        </w:rPr>
        <w:t>haritalamakla</w:t>
      </w:r>
      <w:proofErr w:type="spellEnd"/>
      <w:r w:rsidRPr="00217CE6">
        <w:rPr>
          <w:lang w:val="en-US"/>
        </w:rPr>
        <w:t xml:space="preserve"> </w:t>
      </w:r>
      <w:proofErr w:type="spellStart"/>
      <w:r w:rsidRPr="00217CE6">
        <w:rPr>
          <w:lang w:val="en-US"/>
        </w:rPr>
        <w:t>kalmayıp</w:t>
      </w:r>
      <w:proofErr w:type="spellEnd"/>
      <w:r w:rsidRPr="00217CE6">
        <w:rPr>
          <w:lang w:val="en-US"/>
        </w:rPr>
        <w:t xml:space="preserve">, </w:t>
      </w:r>
      <w:proofErr w:type="spellStart"/>
      <w:r w:rsidRPr="00217CE6">
        <w:rPr>
          <w:lang w:val="en-US"/>
        </w:rPr>
        <w:t>bunların</w:t>
      </w:r>
      <w:proofErr w:type="spellEnd"/>
      <w:r w:rsidRPr="00217CE6">
        <w:rPr>
          <w:lang w:val="en-US"/>
        </w:rPr>
        <w:t xml:space="preserve"> </w:t>
      </w:r>
      <w:proofErr w:type="spellStart"/>
      <w:r w:rsidRPr="00217CE6">
        <w:rPr>
          <w:lang w:val="en-US"/>
        </w:rPr>
        <w:t>birbirlerini</w:t>
      </w:r>
      <w:proofErr w:type="spellEnd"/>
      <w:r w:rsidRPr="00217CE6">
        <w:rPr>
          <w:lang w:val="en-US"/>
        </w:rPr>
        <w:t xml:space="preserve"> </w:t>
      </w:r>
      <w:proofErr w:type="spellStart"/>
      <w:r w:rsidRPr="00217CE6">
        <w:rPr>
          <w:lang w:val="en-US"/>
        </w:rPr>
        <w:t>nasıl</w:t>
      </w:r>
      <w:proofErr w:type="spellEnd"/>
      <w:r w:rsidRPr="00217CE6">
        <w:rPr>
          <w:lang w:val="en-US"/>
        </w:rPr>
        <w:t xml:space="preserve"> </w:t>
      </w:r>
      <w:proofErr w:type="spellStart"/>
      <w:r w:rsidRPr="00217CE6">
        <w:rPr>
          <w:lang w:val="en-US"/>
        </w:rPr>
        <w:t>güçlendirdiğine</w:t>
      </w:r>
      <w:proofErr w:type="spellEnd"/>
      <w:r w:rsidRPr="00217CE6">
        <w:rPr>
          <w:lang w:val="en-US"/>
        </w:rPr>
        <w:t xml:space="preserve"> </w:t>
      </w:r>
      <w:proofErr w:type="spellStart"/>
      <w:r w:rsidRPr="00217CE6">
        <w:rPr>
          <w:lang w:val="en-US"/>
        </w:rPr>
        <w:t>veya</w:t>
      </w:r>
      <w:proofErr w:type="spellEnd"/>
      <w:r w:rsidRPr="00217CE6">
        <w:rPr>
          <w:lang w:val="en-US"/>
        </w:rPr>
        <w:t xml:space="preserve"> </w:t>
      </w:r>
      <w:proofErr w:type="spellStart"/>
      <w:r w:rsidRPr="00217CE6">
        <w:rPr>
          <w:lang w:val="en-US"/>
        </w:rPr>
        <w:t>zayıflattığına</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ortak</w:t>
      </w:r>
      <w:proofErr w:type="spellEnd"/>
      <w:r w:rsidRPr="00217CE6">
        <w:rPr>
          <w:lang w:val="en-US"/>
        </w:rPr>
        <w:t xml:space="preserve"> </w:t>
      </w:r>
      <w:proofErr w:type="spellStart"/>
      <w:r w:rsidRPr="00217CE6">
        <w:rPr>
          <w:lang w:val="en-US"/>
        </w:rPr>
        <w:t>entelektüel</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kültürel</w:t>
      </w:r>
      <w:proofErr w:type="spellEnd"/>
      <w:r w:rsidRPr="00217CE6">
        <w:rPr>
          <w:lang w:val="en-US"/>
        </w:rPr>
        <w:t xml:space="preserve"> </w:t>
      </w:r>
      <w:proofErr w:type="spellStart"/>
      <w:r w:rsidRPr="00217CE6">
        <w:rPr>
          <w:lang w:val="en-US"/>
        </w:rPr>
        <w:t>köklerine</w:t>
      </w:r>
      <w:proofErr w:type="spellEnd"/>
      <w:r w:rsidRPr="00217CE6">
        <w:rPr>
          <w:lang w:val="en-US"/>
        </w:rPr>
        <w:t xml:space="preserve"> </w:t>
      </w:r>
      <w:proofErr w:type="spellStart"/>
      <w:r w:rsidRPr="00217CE6">
        <w:rPr>
          <w:lang w:val="en-US"/>
        </w:rPr>
        <w:t>nasıl</w:t>
      </w:r>
      <w:proofErr w:type="spellEnd"/>
      <w:r w:rsidRPr="00217CE6">
        <w:rPr>
          <w:lang w:val="en-US"/>
        </w:rPr>
        <w:t xml:space="preserve"> </w:t>
      </w:r>
      <w:proofErr w:type="spellStart"/>
      <w:r w:rsidRPr="00217CE6">
        <w:rPr>
          <w:lang w:val="en-US"/>
        </w:rPr>
        <w:t>dayandığına</w:t>
      </w:r>
      <w:proofErr w:type="spellEnd"/>
      <w:r w:rsidRPr="00217CE6">
        <w:rPr>
          <w:lang w:val="en-US"/>
        </w:rPr>
        <w:t xml:space="preserve"> </w:t>
      </w:r>
      <w:proofErr w:type="spellStart"/>
      <w:r w:rsidRPr="00217CE6">
        <w:rPr>
          <w:lang w:val="en-US"/>
        </w:rPr>
        <w:t>dair</w:t>
      </w:r>
      <w:proofErr w:type="spellEnd"/>
      <w:r w:rsidRPr="00217CE6">
        <w:rPr>
          <w:lang w:val="en-US"/>
        </w:rPr>
        <w:t xml:space="preserve"> </w:t>
      </w:r>
      <w:proofErr w:type="spellStart"/>
      <w:r w:rsidRPr="00217CE6">
        <w:rPr>
          <w:lang w:val="en-US"/>
        </w:rPr>
        <w:t>ince</w:t>
      </w:r>
      <w:proofErr w:type="spellEnd"/>
      <w:r w:rsidRPr="00217CE6">
        <w:rPr>
          <w:lang w:val="en-US"/>
        </w:rPr>
        <w:t xml:space="preserve"> </w:t>
      </w:r>
      <w:proofErr w:type="spellStart"/>
      <w:r w:rsidRPr="00217CE6">
        <w:rPr>
          <w:lang w:val="en-US"/>
        </w:rPr>
        <w:t>bağlantılara</w:t>
      </w:r>
      <w:proofErr w:type="spellEnd"/>
      <w:r w:rsidRPr="00217CE6">
        <w:rPr>
          <w:lang w:val="en-US"/>
        </w:rPr>
        <w:t xml:space="preserve"> da </w:t>
      </w:r>
      <w:proofErr w:type="spellStart"/>
      <w:r w:rsidRPr="00217CE6">
        <w:rPr>
          <w:lang w:val="en-US"/>
        </w:rPr>
        <w:t>dikkat</w:t>
      </w:r>
      <w:proofErr w:type="spellEnd"/>
      <w:r w:rsidRPr="00217CE6">
        <w:rPr>
          <w:lang w:val="en-US"/>
        </w:rPr>
        <w:t xml:space="preserve"> </w:t>
      </w:r>
      <w:proofErr w:type="spellStart"/>
      <w:r w:rsidRPr="00217CE6">
        <w:rPr>
          <w:lang w:val="en-US"/>
        </w:rPr>
        <w:t>edecektir</w:t>
      </w:r>
      <w:proofErr w:type="spellEnd"/>
      <w:r w:rsidRPr="00217CE6">
        <w:rPr>
          <w:lang w:val="en-US"/>
        </w:rPr>
        <w:t>.</w:t>
      </w:r>
    </w:p>
    <w:p w14:paraId="43AC8338" w14:textId="3A5072B8" w:rsidR="00217CE6" w:rsidRDefault="00217CE6" w:rsidP="00217CE6">
      <w:pPr>
        <w:rPr>
          <w:lang w:val="en-US"/>
        </w:rPr>
      </w:pPr>
      <w:proofErr w:type="spellStart"/>
      <w:r w:rsidRPr="00217CE6">
        <w:rPr>
          <w:lang w:val="en-US"/>
        </w:rPr>
        <w:t>Mikro</w:t>
      </w:r>
      <w:proofErr w:type="spellEnd"/>
      <w:r w:rsidRPr="00217CE6">
        <w:rPr>
          <w:lang w:val="en-US"/>
        </w:rPr>
        <w:t xml:space="preserve"> </w:t>
      </w:r>
      <w:proofErr w:type="spellStart"/>
      <w:r w:rsidRPr="00217CE6">
        <w:rPr>
          <w:lang w:val="en-US"/>
        </w:rPr>
        <w:t>düzeyde</w:t>
      </w:r>
      <w:proofErr w:type="spellEnd"/>
      <w:r w:rsidRPr="00217CE6">
        <w:rPr>
          <w:lang w:val="en-US"/>
        </w:rPr>
        <w:t xml:space="preserve">, </w:t>
      </w:r>
      <w:proofErr w:type="spellStart"/>
      <w:r w:rsidRPr="00217CE6">
        <w:rPr>
          <w:lang w:val="en-US"/>
        </w:rPr>
        <w:t>belirli</w:t>
      </w:r>
      <w:proofErr w:type="spellEnd"/>
      <w:r w:rsidRPr="00217CE6">
        <w:rPr>
          <w:lang w:val="en-US"/>
        </w:rPr>
        <w:t xml:space="preserve"> </w:t>
      </w:r>
      <w:proofErr w:type="spellStart"/>
      <w:r w:rsidRPr="00217CE6">
        <w:rPr>
          <w:lang w:val="en-US"/>
        </w:rPr>
        <w:t>kurumsal</w:t>
      </w:r>
      <w:proofErr w:type="spellEnd"/>
      <w:r w:rsidRPr="00217CE6">
        <w:rPr>
          <w:lang w:val="en-US"/>
        </w:rPr>
        <w:t xml:space="preserve"> </w:t>
      </w:r>
      <w:proofErr w:type="spellStart"/>
      <w:r w:rsidRPr="00217CE6">
        <w:rPr>
          <w:lang w:val="en-US"/>
        </w:rPr>
        <w:t>düzenlemeleri</w:t>
      </w:r>
      <w:proofErr w:type="spellEnd"/>
      <w:r w:rsidRPr="00217CE6">
        <w:rPr>
          <w:lang w:val="en-US"/>
        </w:rPr>
        <w:t xml:space="preserve"> (</w:t>
      </w:r>
      <w:proofErr w:type="spellStart"/>
      <w:r w:rsidRPr="00217CE6">
        <w:rPr>
          <w:lang w:val="en-US"/>
        </w:rPr>
        <w:t>örneğin</w:t>
      </w:r>
      <w:proofErr w:type="spellEnd"/>
      <w:r w:rsidRPr="00217CE6">
        <w:rPr>
          <w:lang w:val="en-US"/>
        </w:rPr>
        <w:t xml:space="preserve">, </w:t>
      </w:r>
      <w:r w:rsidRPr="00217CE6">
        <w:rPr>
          <w:i/>
          <w:iCs/>
          <w:lang w:val="en-US"/>
        </w:rPr>
        <w:t>amicus curiae</w:t>
      </w:r>
      <w:r w:rsidRPr="00217CE6">
        <w:rPr>
          <w:lang w:val="en-US"/>
        </w:rPr>
        <w:t xml:space="preserve"> </w:t>
      </w:r>
      <w:proofErr w:type="spellStart"/>
      <w:r w:rsidRPr="00217CE6">
        <w:rPr>
          <w:lang w:val="en-US"/>
        </w:rPr>
        <w:t>görüşlerinin</w:t>
      </w:r>
      <w:proofErr w:type="spellEnd"/>
      <w:r w:rsidRPr="00217CE6">
        <w:rPr>
          <w:lang w:val="en-US"/>
        </w:rPr>
        <w:t xml:space="preserve"> </w:t>
      </w:r>
      <w:proofErr w:type="spellStart"/>
      <w:r w:rsidRPr="00217CE6">
        <w:rPr>
          <w:lang w:val="en-US"/>
        </w:rPr>
        <w:t>artışı</w:t>
      </w:r>
      <w:proofErr w:type="spellEnd"/>
      <w:r w:rsidRPr="00217CE6">
        <w:rPr>
          <w:lang w:val="en-US"/>
        </w:rPr>
        <w:t xml:space="preserve">, </w:t>
      </w:r>
      <w:proofErr w:type="spellStart"/>
      <w:r w:rsidRPr="00217CE6">
        <w:rPr>
          <w:lang w:val="en-US"/>
        </w:rPr>
        <w:t>karar</w:t>
      </w:r>
      <w:proofErr w:type="spellEnd"/>
      <w:r w:rsidRPr="00217CE6">
        <w:rPr>
          <w:lang w:val="en-US"/>
        </w:rPr>
        <w:t xml:space="preserve"> </w:t>
      </w:r>
      <w:proofErr w:type="spellStart"/>
      <w:r w:rsidRPr="00217CE6">
        <w:rPr>
          <w:lang w:val="en-US"/>
        </w:rPr>
        <w:t>yazımı</w:t>
      </w:r>
      <w:proofErr w:type="spellEnd"/>
      <w:r w:rsidRPr="00217CE6">
        <w:rPr>
          <w:lang w:val="en-US"/>
        </w:rPr>
        <w:t xml:space="preserve"> </w:t>
      </w:r>
      <w:proofErr w:type="spellStart"/>
      <w:r w:rsidRPr="00217CE6">
        <w:rPr>
          <w:lang w:val="en-US"/>
        </w:rPr>
        <w:t>protokollerindeki</w:t>
      </w:r>
      <w:proofErr w:type="spellEnd"/>
      <w:r w:rsidRPr="00217CE6">
        <w:rPr>
          <w:lang w:val="en-US"/>
        </w:rPr>
        <w:t xml:space="preserve"> </w:t>
      </w:r>
      <w:proofErr w:type="spellStart"/>
      <w:r w:rsidRPr="00217CE6">
        <w:rPr>
          <w:lang w:val="en-US"/>
        </w:rPr>
        <w:t>değişimler</w:t>
      </w:r>
      <w:proofErr w:type="spellEnd"/>
      <w:r w:rsidRPr="00217CE6">
        <w:rPr>
          <w:lang w:val="en-US"/>
        </w:rPr>
        <w:t xml:space="preserve"> </w:t>
      </w:r>
      <w:proofErr w:type="spellStart"/>
      <w:r w:rsidRPr="00217CE6">
        <w:rPr>
          <w:lang w:val="en-US"/>
        </w:rPr>
        <w:t>veya</w:t>
      </w:r>
      <w:proofErr w:type="spellEnd"/>
      <w:r w:rsidRPr="00217CE6">
        <w:rPr>
          <w:lang w:val="en-US"/>
        </w:rPr>
        <w:t xml:space="preserve"> federal </w:t>
      </w:r>
      <w:proofErr w:type="spellStart"/>
      <w:r w:rsidRPr="00217CE6">
        <w:rPr>
          <w:lang w:val="en-US"/>
        </w:rPr>
        <w:t>yargıçlar</w:t>
      </w:r>
      <w:proofErr w:type="spellEnd"/>
      <w:r w:rsidRPr="00217CE6">
        <w:rPr>
          <w:lang w:val="en-US"/>
        </w:rPr>
        <w:t xml:space="preserve"> </w:t>
      </w:r>
      <w:proofErr w:type="spellStart"/>
      <w:r w:rsidRPr="00217CE6">
        <w:rPr>
          <w:lang w:val="en-US"/>
        </w:rPr>
        <w:t>için</w:t>
      </w:r>
      <w:proofErr w:type="spellEnd"/>
      <w:r w:rsidRPr="00217CE6">
        <w:rPr>
          <w:lang w:val="en-US"/>
        </w:rPr>
        <w:t xml:space="preserve"> </w:t>
      </w:r>
      <w:proofErr w:type="spellStart"/>
      <w:r w:rsidRPr="00217CE6">
        <w:rPr>
          <w:lang w:val="en-US"/>
        </w:rPr>
        <w:t>uygun</w:t>
      </w:r>
      <w:proofErr w:type="spellEnd"/>
      <w:r w:rsidRPr="00217CE6">
        <w:rPr>
          <w:lang w:val="en-US"/>
        </w:rPr>
        <w:t xml:space="preserve"> </w:t>
      </w:r>
      <w:proofErr w:type="spellStart"/>
      <w:r w:rsidRPr="00217CE6">
        <w:rPr>
          <w:lang w:val="en-US"/>
        </w:rPr>
        <w:t>niteliklere</w:t>
      </w:r>
      <w:proofErr w:type="spellEnd"/>
      <w:r w:rsidRPr="00217CE6">
        <w:rPr>
          <w:lang w:val="en-US"/>
        </w:rPr>
        <w:t xml:space="preserve"> </w:t>
      </w:r>
      <w:proofErr w:type="spellStart"/>
      <w:r w:rsidRPr="00217CE6">
        <w:rPr>
          <w:lang w:val="en-US"/>
        </w:rPr>
        <w:t>ilişkin</w:t>
      </w:r>
      <w:proofErr w:type="spellEnd"/>
      <w:r w:rsidRPr="00217CE6">
        <w:rPr>
          <w:lang w:val="en-US"/>
        </w:rPr>
        <w:t xml:space="preserve"> </w:t>
      </w:r>
      <w:proofErr w:type="spellStart"/>
      <w:r w:rsidRPr="00217CE6">
        <w:rPr>
          <w:lang w:val="en-US"/>
        </w:rPr>
        <w:t>normlardaki</w:t>
      </w:r>
      <w:proofErr w:type="spellEnd"/>
      <w:r w:rsidRPr="00217CE6">
        <w:rPr>
          <w:lang w:val="en-US"/>
        </w:rPr>
        <w:t xml:space="preserve"> </w:t>
      </w:r>
      <w:proofErr w:type="spellStart"/>
      <w:r w:rsidRPr="00217CE6">
        <w:rPr>
          <w:lang w:val="en-US"/>
        </w:rPr>
        <w:t>dönüşümler</w:t>
      </w:r>
      <w:proofErr w:type="spellEnd"/>
      <w:r w:rsidRPr="00217CE6">
        <w:rPr>
          <w:lang w:val="en-US"/>
        </w:rPr>
        <w:t xml:space="preserve">) </w:t>
      </w:r>
      <w:proofErr w:type="spellStart"/>
      <w:r w:rsidRPr="00217CE6">
        <w:rPr>
          <w:lang w:val="en-US"/>
        </w:rPr>
        <w:t>evrimleşen</w:t>
      </w:r>
      <w:proofErr w:type="spellEnd"/>
      <w:r w:rsidRPr="00217CE6">
        <w:rPr>
          <w:lang w:val="en-US"/>
        </w:rPr>
        <w:t xml:space="preserve"> </w:t>
      </w:r>
      <w:proofErr w:type="spellStart"/>
      <w:r w:rsidRPr="00217CE6">
        <w:rPr>
          <w:lang w:val="en-US"/>
        </w:rPr>
        <w:t>kültürel</w:t>
      </w:r>
      <w:proofErr w:type="spellEnd"/>
      <w:r w:rsidRPr="00217CE6">
        <w:rPr>
          <w:lang w:val="en-US"/>
        </w:rPr>
        <w:t xml:space="preserve"> </w:t>
      </w:r>
      <w:proofErr w:type="spellStart"/>
      <w:r w:rsidRPr="00217CE6">
        <w:rPr>
          <w:lang w:val="en-US"/>
        </w:rPr>
        <w:t>biçimler</w:t>
      </w:r>
      <w:proofErr w:type="spellEnd"/>
      <w:r w:rsidRPr="00217CE6">
        <w:rPr>
          <w:lang w:val="en-US"/>
        </w:rPr>
        <w:t xml:space="preserve"> </w:t>
      </w:r>
      <w:proofErr w:type="spellStart"/>
      <w:r w:rsidRPr="00217CE6">
        <w:rPr>
          <w:lang w:val="en-US"/>
        </w:rPr>
        <w:t>olarak</w:t>
      </w:r>
      <w:proofErr w:type="spellEnd"/>
      <w:r w:rsidRPr="00217CE6">
        <w:rPr>
          <w:lang w:val="en-US"/>
        </w:rPr>
        <w:t xml:space="preserve"> </w:t>
      </w:r>
      <w:proofErr w:type="spellStart"/>
      <w:r w:rsidRPr="00217CE6">
        <w:rPr>
          <w:lang w:val="en-US"/>
        </w:rPr>
        <w:t>inceleyen</w:t>
      </w:r>
      <w:proofErr w:type="spellEnd"/>
      <w:r w:rsidRPr="00217CE6">
        <w:rPr>
          <w:lang w:val="en-US"/>
        </w:rPr>
        <w:t xml:space="preserve"> </w:t>
      </w:r>
      <w:proofErr w:type="spellStart"/>
      <w:r w:rsidRPr="00217CE6">
        <w:rPr>
          <w:lang w:val="en-US"/>
        </w:rPr>
        <w:t>çeşitli</w:t>
      </w:r>
      <w:proofErr w:type="spellEnd"/>
      <w:r w:rsidRPr="00217CE6">
        <w:rPr>
          <w:lang w:val="en-US"/>
        </w:rPr>
        <w:t xml:space="preserve"> </w:t>
      </w:r>
      <w:proofErr w:type="spellStart"/>
      <w:r w:rsidRPr="00217CE6">
        <w:rPr>
          <w:lang w:val="en-US"/>
        </w:rPr>
        <w:t>betimleyici</w:t>
      </w:r>
      <w:proofErr w:type="spellEnd"/>
      <w:r w:rsidRPr="00217CE6">
        <w:rPr>
          <w:lang w:val="en-US"/>
        </w:rPr>
        <w:t xml:space="preserve"> </w:t>
      </w:r>
      <w:proofErr w:type="spellStart"/>
      <w:r w:rsidRPr="00217CE6">
        <w:rPr>
          <w:lang w:val="en-US"/>
        </w:rPr>
        <w:t>projeler</w:t>
      </w:r>
      <w:proofErr w:type="spellEnd"/>
      <w:r w:rsidRPr="00217CE6">
        <w:rPr>
          <w:lang w:val="en-US"/>
        </w:rPr>
        <w:t xml:space="preserve"> </w:t>
      </w:r>
      <w:proofErr w:type="spellStart"/>
      <w:r w:rsidRPr="00217CE6">
        <w:rPr>
          <w:lang w:val="en-US"/>
        </w:rPr>
        <w:t>tasavvur</w:t>
      </w:r>
      <w:proofErr w:type="spellEnd"/>
      <w:r w:rsidRPr="00217CE6">
        <w:rPr>
          <w:lang w:val="en-US"/>
        </w:rPr>
        <w:t xml:space="preserve"> </w:t>
      </w:r>
      <w:proofErr w:type="spellStart"/>
      <w:r w:rsidRPr="00217CE6">
        <w:rPr>
          <w:lang w:val="en-US"/>
        </w:rPr>
        <w:t>edilebilir</w:t>
      </w:r>
      <w:proofErr w:type="spellEnd"/>
      <w:r w:rsidRPr="00217CE6">
        <w:rPr>
          <w:lang w:val="en-US"/>
        </w:rPr>
        <w:t xml:space="preserve">. Bu </w:t>
      </w:r>
      <w:proofErr w:type="spellStart"/>
      <w:r w:rsidRPr="00217CE6">
        <w:rPr>
          <w:lang w:val="en-US"/>
        </w:rPr>
        <w:t>projeler</w:t>
      </w:r>
      <w:proofErr w:type="spellEnd"/>
      <w:r w:rsidRPr="00217CE6">
        <w:rPr>
          <w:lang w:val="en-US"/>
        </w:rPr>
        <w:t xml:space="preserve">, </w:t>
      </w:r>
      <w:proofErr w:type="spellStart"/>
      <w:r w:rsidRPr="00217CE6">
        <w:rPr>
          <w:lang w:val="en-US"/>
        </w:rPr>
        <w:t>söz</w:t>
      </w:r>
      <w:proofErr w:type="spellEnd"/>
      <w:r w:rsidRPr="00217CE6">
        <w:rPr>
          <w:lang w:val="en-US"/>
        </w:rPr>
        <w:t xml:space="preserve"> </w:t>
      </w:r>
      <w:proofErr w:type="spellStart"/>
      <w:r w:rsidRPr="00217CE6">
        <w:rPr>
          <w:lang w:val="en-US"/>
        </w:rPr>
        <w:t>konusu</w:t>
      </w:r>
      <w:proofErr w:type="spellEnd"/>
      <w:r w:rsidRPr="00217CE6">
        <w:rPr>
          <w:lang w:val="en-US"/>
        </w:rPr>
        <w:t xml:space="preserve"> </w:t>
      </w:r>
      <w:proofErr w:type="spellStart"/>
      <w:r w:rsidRPr="00217CE6">
        <w:rPr>
          <w:lang w:val="en-US"/>
        </w:rPr>
        <w:t>düzenlemelerin</w:t>
      </w:r>
      <w:proofErr w:type="spellEnd"/>
      <w:r w:rsidRPr="00217CE6">
        <w:rPr>
          <w:lang w:val="en-US"/>
        </w:rPr>
        <w:t xml:space="preserve"> </w:t>
      </w:r>
      <w:proofErr w:type="spellStart"/>
      <w:r w:rsidRPr="00217CE6">
        <w:rPr>
          <w:lang w:val="en-US"/>
        </w:rPr>
        <w:t>neden</w:t>
      </w:r>
      <w:proofErr w:type="spellEnd"/>
      <w:r w:rsidRPr="00217CE6">
        <w:rPr>
          <w:lang w:val="en-US"/>
        </w:rPr>
        <w:t xml:space="preserve"> tam da </w:t>
      </w:r>
      <w:proofErr w:type="spellStart"/>
      <w:r w:rsidRPr="00217CE6">
        <w:rPr>
          <w:lang w:val="en-US"/>
        </w:rPr>
        <w:t>bu</w:t>
      </w:r>
      <w:proofErr w:type="spellEnd"/>
      <w:r w:rsidRPr="00217CE6">
        <w:rPr>
          <w:lang w:val="en-US"/>
        </w:rPr>
        <w:t xml:space="preserve"> </w:t>
      </w:r>
      <w:proofErr w:type="spellStart"/>
      <w:r w:rsidRPr="00217CE6">
        <w:rPr>
          <w:lang w:val="en-US"/>
        </w:rPr>
        <w:t>dönemde</w:t>
      </w:r>
      <w:proofErr w:type="spellEnd"/>
      <w:r w:rsidRPr="00217CE6">
        <w:rPr>
          <w:lang w:val="en-US"/>
        </w:rPr>
        <w:t xml:space="preserve"> </w:t>
      </w:r>
      <w:proofErr w:type="spellStart"/>
      <w:r w:rsidRPr="00217CE6">
        <w:rPr>
          <w:lang w:val="en-US"/>
        </w:rPr>
        <w:t>ortaya</w:t>
      </w:r>
      <w:proofErr w:type="spellEnd"/>
      <w:r w:rsidRPr="00217CE6">
        <w:rPr>
          <w:lang w:val="en-US"/>
        </w:rPr>
        <w:t xml:space="preserve"> </w:t>
      </w:r>
      <w:proofErr w:type="spellStart"/>
      <w:r w:rsidRPr="00217CE6">
        <w:rPr>
          <w:lang w:val="en-US"/>
        </w:rPr>
        <w:t>çıktığını</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anayasal</w:t>
      </w:r>
      <w:proofErr w:type="spellEnd"/>
      <w:r w:rsidRPr="00217CE6">
        <w:rPr>
          <w:lang w:val="en-US"/>
        </w:rPr>
        <w:t xml:space="preserve"> </w:t>
      </w:r>
      <w:proofErr w:type="spellStart"/>
      <w:r w:rsidRPr="00217CE6">
        <w:rPr>
          <w:lang w:val="en-US"/>
        </w:rPr>
        <w:t>karar</w:t>
      </w:r>
      <w:proofErr w:type="spellEnd"/>
      <w:r w:rsidRPr="00217CE6">
        <w:rPr>
          <w:lang w:val="en-US"/>
        </w:rPr>
        <w:t xml:space="preserve"> alma </w:t>
      </w:r>
      <w:proofErr w:type="spellStart"/>
      <w:r w:rsidRPr="00217CE6">
        <w:rPr>
          <w:lang w:val="en-US"/>
        </w:rPr>
        <w:t>süreçlerimizin</w:t>
      </w:r>
      <w:proofErr w:type="spellEnd"/>
      <w:r w:rsidRPr="00217CE6">
        <w:rPr>
          <w:lang w:val="en-US"/>
        </w:rPr>
        <w:t xml:space="preserve"> </w:t>
      </w:r>
      <w:proofErr w:type="spellStart"/>
      <w:r w:rsidRPr="00217CE6">
        <w:rPr>
          <w:lang w:val="en-US"/>
        </w:rPr>
        <w:t>içeriği</w:t>
      </w:r>
      <w:proofErr w:type="spellEnd"/>
      <w:r w:rsidRPr="00217CE6">
        <w:rPr>
          <w:lang w:val="en-US"/>
        </w:rPr>
        <w:t xml:space="preserve"> </w:t>
      </w:r>
      <w:proofErr w:type="spellStart"/>
      <w:r w:rsidRPr="00217CE6">
        <w:rPr>
          <w:lang w:val="en-US"/>
        </w:rPr>
        <w:t>üzerindeki</w:t>
      </w:r>
      <w:proofErr w:type="spellEnd"/>
      <w:r w:rsidRPr="00217CE6">
        <w:rPr>
          <w:lang w:val="en-US"/>
        </w:rPr>
        <w:t xml:space="preserve"> </w:t>
      </w:r>
      <w:proofErr w:type="spellStart"/>
      <w:r w:rsidRPr="00217CE6">
        <w:rPr>
          <w:lang w:val="en-US"/>
        </w:rPr>
        <w:t>etkilerini</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sonuçlarını</w:t>
      </w:r>
      <w:proofErr w:type="spellEnd"/>
      <w:r w:rsidRPr="00217CE6">
        <w:rPr>
          <w:lang w:val="en-US"/>
        </w:rPr>
        <w:t xml:space="preserve"> </w:t>
      </w:r>
      <w:proofErr w:type="spellStart"/>
      <w:r w:rsidRPr="00217CE6">
        <w:rPr>
          <w:lang w:val="en-US"/>
        </w:rPr>
        <w:t>analiz</w:t>
      </w:r>
      <w:proofErr w:type="spellEnd"/>
      <w:r w:rsidRPr="00217CE6">
        <w:rPr>
          <w:lang w:val="en-US"/>
        </w:rPr>
        <w:t xml:space="preserve"> </w:t>
      </w:r>
      <w:proofErr w:type="spellStart"/>
      <w:r w:rsidRPr="00217CE6">
        <w:rPr>
          <w:lang w:val="en-US"/>
        </w:rPr>
        <w:t>edebilir</w:t>
      </w:r>
      <w:proofErr w:type="spellEnd"/>
      <w:r w:rsidRPr="00217CE6">
        <w:rPr>
          <w:lang w:val="en-US"/>
        </w:rPr>
        <w:t>.</w:t>
      </w:r>
      <w:r>
        <w:rPr>
          <w:lang w:val="en-US"/>
        </w:rPr>
        <w:t xml:space="preserve"> </w:t>
      </w:r>
      <w:proofErr w:type="spellStart"/>
      <w:r w:rsidRPr="00217CE6">
        <w:rPr>
          <w:lang w:val="en-US"/>
        </w:rPr>
        <w:t>Ayrıca</w:t>
      </w:r>
      <w:proofErr w:type="spellEnd"/>
      <w:r w:rsidRPr="00217CE6">
        <w:rPr>
          <w:lang w:val="en-US"/>
        </w:rPr>
        <w:t xml:space="preserve">, </w:t>
      </w:r>
      <w:proofErr w:type="spellStart"/>
      <w:r w:rsidRPr="00217CE6">
        <w:rPr>
          <w:lang w:val="en-US"/>
        </w:rPr>
        <w:t>belirli</w:t>
      </w:r>
      <w:proofErr w:type="spellEnd"/>
      <w:r w:rsidRPr="00217CE6">
        <w:rPr>
          <w:lang w:val="en-US"/>
        </w:rPr>
        <w:t xml:space="preserve"> </w:t>
      </w:r>
      <w:proofErr w:type="spellStart"/>
      <w:r w:rsidRPr="00217CE6">
        <w:rPr>
          <w:lang w:val="en-US"/>
        </w:rPr>
        <w:t>davaları</w:t>
      </w:r>
      <w:proofErr w:type="spellEnd"/>
      <w:r w:rsidRPr="00217CE6">
        <w:rPr>
          <w:lang w:val="en-US"/>
        </w:rPr>
        <w:t xml:space="preserve">, </w:t>
      </w:r>
      <w:proofErr w:type="spellStart"/>
      <w:r w:rsidRPr="00217CE6">
        <w:rPr>
          <w:lang w:val="en-US"/>
        </w:rPr>
        <w:t>meseleleri</w:t>
      </w:r>
      <w:proofErr w:type="spellEnd"/>
      <w:r w:rsidRPr="00217CE6">
        <w:rPr>
          <w:lang w:val="en-US"/>
        </w:rPr>
        <w:t xml:space="preserve"> </w:t>
      </w:r>
      <w:proofErr w:type="spellStart"/>
      <w:r w:rsidRPr="00217CE6">
        <w:rPr>
          <w:lang w:val="en-US"/>
        </w:rPr>
        <w:t>veya</w:t>
      </w:r>
      <w:proofErr w:type="spellEnd"/>
      <w:r w:rsidRPr="00217CE6">
        <w:rPr>
          <w:lang w:val="en-US"/>
        </w:rPr>
        <w:t xml:space="preserve"> </w:t>
      </w:r>
      <w:proofErr w:type="spellStart"/>
      <w:r w:rsidRPr="00217CE6">
        <w:rPr>
          <w:lang w:val="en-US"/>
        </w:rPr>
        <w:t>temaları</w:t>
      </w:r>
      <w:proofErr w:type="spellEnd"/>
      <w:r w:rsidRPr="00217CE6">
        <w:rPr>
          <w:lang w:val="en-US"/>
        </w:rPr>
        <w:t xml:space="preserve"> </w:t>
      </w:r>
      <w:proofErr w:type="spellStart"/>
      <w:r w:rsidRPr="00217CE6">
        <w:rPr>
          <w:lang w:val="en-US"/>
        </w:rPr>
        <w:t>anayasal</w:t>
      </w:r>
      <w:proofErr w:type="spellEnd"/>
      <w:r w:rsidRPr="00217CE6">
        <w:rPr>
          <w:lang w:val="en-US"/>
        </w:rPr>
        <w:t xml:space="preserve"> </w:t>
      </w:r>
      <w:proofErr w:type="spellStart"/>
      <w:r w:rsidRPr="00217CE6">
        <w:rPr>
          <w:lang w:val="en-US"/>
        </w:rPr>
        <w:t>kültürün</w:t>
      </w:r>
      <w:proofErr w:type="spellEnd"/>
      <w:r w:rsidRPr="00217CE6">
        <w:rPr>
          <w:lang w:val="en-US"/>
        </w:rPr>
        <w:t xml:space="preserve"> “</w:t>
      </w:r>
      <w:proofErr w:type="spellStart"/>
      <w:r w:rsidRPr="00217CE6">
        <w:rPr>
          <w:lang w:val="en-US"/>
        </w:rPr>
        <w:t>bölümleri</w:t>
      </w:r>
      <w:proofErr w:type="spellEnd"/>
      <w:r w:rsidRPr="00217CE6">
        <w:rPr>
          <w:lang w:val="en-US"/>
        </w:rPr>
        <w:t xml:space="preserve">” </w:t>
      </w:r>
      <w:proofErr w:type="spellStart"/>
      <w:r w:rsidRPr="00217CE6">
        <w:rPr>
          <w:lang w:val="en-US"/>
        </w:rPr>
        <w:t>olarak</w:t>
      </w:r>
      <w:proofErr w:type="spellEnd"/>
      <w:r w:rsidRPr="00217CE6">
        <w:rPr>
          <w:lang w:val="en-US"/>
        </w:rPr>
        <w:t xml:space="preserve"> </w:t>
      </w:r>
      <w:proofErr w:type="spellStart"/>
      <w:r w:rsidRPr="00217CE6">
        <w:rPr>
          <w:lang w:val="en-US"/>
        </w:rPr>
        <w:t>ele</w:t>
      </w:r>
      <w:proofErr w:type="spellEnd"/>
      <w:r w:rsidRPr="00217CE6">
        <w:rPr>
          <w:lang w:val="en-US"/>
        </w:rPr>
        <w:t xml:space="preserve"> </w:t>
      </w:r>
      <w:proofErr w:type="spellStart"/>
      <w:r w:rsidRPr="00217CE6">
        <w:rPr>
          <w:lang w:val="en-US"/>
        </w:rPr>
        <w:t>alarak</w:t>
      </w:r>
      <w:proofErr w:type="spellEnd"/>
      <w:r w:rsidRPr="00217CE6">
        <w:rPr>
          <w:lang w:val="en-US"/>
        </w:rPr>
        <w:t xml:space="preserve">, </w:t>
      </w:r>
      <w:proofErr w:type="spellStart"/>
      <w:r w:rsidRPr="00217CE6">
        <w:rPr>
          <w:lang w:val="en-US"/>
        </w:rPr>
        <w:t>bu</w:t>
      </w:r>
      <w:proofErr w:type="spellEnd"/>
      <w:r w:rsidRPr="00217CE6">
        <w:rPr>
          <w:lang w:val="en-US"/>
        </w:rPr>
        <w:t xml:space="preserve"> </w:t>
      </w:r>
      <w:proofErr w:type="spellStart"/>
      <w:r w:rsidRPr="00217CE6">
        <w:rPr>
          <w:lang w:val="en-US"/>
        </w:rPr>
        <w:t>davaların</w:t>
      </w:r>
      <w:proofErr w:type="spellEnd"/>
      <w:r w:rsidRPr="00217CE6">
        <w:rPr>
          <w:lang w:val="en-US"/>
        </w:rPr>
        <w:t xml:space="preserve"> </w:t>
      </w:r>
      <w:proofErr w:type="spellStart"/>
      <w:r w:rsidRPr="00217CE6">
        <w:rPr>
          <w:lang w:val="en-US"/>
        </w:rPr>
        <w:t>seyrini</w:t>
      </w:r>
      <w:proofErr w:type="spellEnd"/>
      <w:r w:rsidRPr="00217CE6">
        <w:rPr>
          <w:lang w:val="en-US"/>
        </w:rPr>
        <w:t xml:space="preserve"> </w:t>
      </w:r>
      <w:proofErr w:type="spellStart"/>
      <w:r w:rsidRPr="00217CE6">
        <w:rPr>
          <w:lang w:val="en-US"/>
        </w:rPr>
        <w:t>yönlendiren</w:t>
      </w:r>
      <w:proofErr w:type="spellEnd"/>
      <w:r w:rsidRPr="00217CE6">
        <w:rPr>
          <w:lang w:val="en-US"/>
        </w:rPr>
        <w:t xml:space="preserve">, </w:t>
      </w:r>
      <w:proofErr w:type="spellStart"/>
      <w:r w:rsidRPr="00217CE6">
        <w:rPr>
          <w:lang w:val="en-US"/>
        </w:rPr>
        <w:t>meselelere</w:t>
      </w:r>
      <w:proofErr w:type="spellEnd"/>
      <w:r w:rsidRPr="00217CE6">
        <w:rPr>
          <w:lang w:val="en-US"/>
        </w:rPr>
        <w:t xml:space="preserve"> </w:t>
      </w:r>
      <w:proofErr w:type="spellStart"/>
      <w:r w:rsidRPr="00217CE6">
        <w:rPr>
          <w:lang w:val="en-US"/>
        </w:rPr>
        <w:t>ilişkin</w:t>
      </w:r>
      <w:proofErr w:type="spellEnd"/>
      <w:r w:rsidRPr="00217CE6">
        <w:rPr>
          <w:lang w:val="en-US"/>
        </w:rPr>
        <w:t xml:space="preserve"> </w:t>
      </w:r>
      <w:proofErr w:type="spellStart"/>
      <w:r w:rsidRPr="00217CE6">
        <w:rPr>
          <w:lang w:val="en-US"/>
        </w:rPr>
        <w:t>etkileşimimizin</w:t>
      </w:r>
      <w:proofErr w:type="spellEnd"/>
      <w:r w:rsidRPr="00217CE6">
        <w:rPr>
          <w:lang w:val="en-US"/>
        </w:rPr>
        <w:t xml:space="preserve"> </w:t>
      </w:r>
      <w:proofErr w:type="spellStart"/>
      <w:r w:rsidRPr="00217CE6">
        <w:rPr>
          <w:lang w:val="en-US"/>
        </w:rPr>
        <w:t>çerçevesini</w:t>
      </w:r>
      <w:proofErr w:type="spellEnd"/>
      <w:r w:rsidRPr="00217CE6">
        <w:rPr>
          <w:lang w:val="en-US"/>
        </w:rPr>
        <w:t xml:space="preserve"> </w:t>
      </w:r>
      <w:proofErr w:type="spellStart"/>
      <w:r w:rsidRPr="00217CE6">
        <w:rPr>
          <w:lang w:val="en-US"/>
        </w:rPr>
        <w:t>çizen</w:t>
      </w:r>
      <w:proofErr w:type="spellEnd"/>
      <w:r w:rsidRPr="00217CE6">
        <w:rPr>
          <w:lang w:val="en-US"/>
        </w:rPr>
        <w:t xml:space="preserve"> </w:t>
      </w:r>
      <w:proofErr w:type="spellStart"/>
      <w:r w:rsidRPr="00217CE6">
        <w:rPr>
          <w:lang w:val="en-US"/>
        </w:rPr>
        <w:t>veya</w:t>
      </w:r>
      <w:proofErr w:type="spellEnd"/>
      <w:r w:rsidRPr="00217CE6">
        <w:rPr>
          <w:lang w:val="en-US"/>
        </w:rPr>
        <w:t xml:space="preserve"> </w:t>
      </w:r>
      <w:proofErr w:type="spellStart"/>
      <w:r w:rsidRPr="00217CE6">
        <w:rPr>
          <w:lang w:val="en-US"/>
        </w:rPr>
        <w:t>belirli</w:t>
      </w:r>
      <w:proofErr w:type="spellEnd"/>
      <w:r w:rsidRPr="00217CE6">
        <w:rPr>
          <w:lang w:val="en-US"/>
        </w:rPr>
        <w:t xml:space="preserve"> </w:t>
      </w:r>
      <w:proofErr w:type="spellStart"/>
      <w:r w:rsidRPr="00217CE6">
        <w:rPr>
          <w:lang w:val="en-US"/>
        </w:rPr>
        <w:t>bir</w:t>
      </w:r>
      <w:proofErr w:type="spellEnd"/>
      <w:r w:rsidRPr="00217CE6">
        <w:rPr>
          <w:lang w:val="en-US"/>
        </w:rPr>
        <w:t xml:space="preserve"> </w:t>
      </w:r>
      <w:proofErr w:type="spellStart"/>
      <w:r w:rsidRPr="00217CE6">
        <w:rPr>
          <w:lang w:val="en-US"/>
        </w:rPr>
        <w:t>temanın</w:t>
      </w:r>
      <w:proofErr w:type="spellEnd"/>
      <w:r w:rsidRPr="00217CE6">
        <w:rPr>
          <w:lang w:val="en-US"/>
        </w:rPr>
        <w:t xml:space="preserve"> </w:t>
      </w:r>
      <w:proofErr w:type="spellStart"/>
      <w:r w:rsidRPr="00217CE6">
        <w:rPr>
          <w:lang w:val="en-US"/>
        </w:rPr>
        <w:t>öne</w:t>
      </w:r>
      <w:proofErr w:type="spellEnd"/>
      <w:r w:rsidRPr="00217CE6">
        <w:rPr>
          <w:lang w:val="en-US"/>
        </w:rPr>
        <w:t xml:space="preserve"> </w:t>
      </w:r>
      <w:proofErr w:type="spellStart"/>
      <w:r w:rsidRPr="00217CE6">
        <w:rPr>
          <w:lang w:val="en-US"/>
        </w:rPr>
        <w:t>çıkmasını</w:t>
      </w:r>
      <w:proofErr w:type="spellEnd"/>
      <w:r w:rsidRPr="00217CE6">
        <w:rPr>
          <w:lang w:val="en-US"/>
        </w:rPr>
        <w:t xml:space="preserve"> </w:t>
      </w:r>
      <w:proofErr w:type="spellStart"/>
      <w:r w:rsidRPr="00217CE6">
        <w:rPr>
          <w:lang w:val="en-US"/>
        </w:rPr>
        <w:t>açıklayan</w:t>
      </w:r>
      <w:proofErr w:type="spellEnd"/>
      <w:r w:rsidRPr="00217CE6">
        <w:rPr>
          <w:lang w:val="en-US"/>
        </w:rPr>
        <w:t xml:space="preserve"> </w:t>
      </w:r>
      <w:proofErr w:type="spellStart"/>
      <w:r w:rsidRPr="00217CE6">
        <w:rPr>
          <w:lang w:val="en-US"/>
        </w:rPr>
        <w:t>kurumsal</w:t>
      </w:r>
      <w:proofErr w:type="spellEnd"/>
      <w:r w:rsidRPr="00217CE6">
        <w:rPr>
          <w:lang w:val="en-US"/>
        </w:rPr>
        <w:t xml:space="preserve"> </w:t>
      </w:r>
      <w:proofErr w:type="spellStart"/>
      <w:r w:rsidRPr="00217CE6">
        <w:rPr>
          <w:lang w:val="en-US"/>
        </w:rPr>
        <w:t>düzenlemeleri</w:t>
      </w:r>
      <w:proofErr w:type="spellEnd"/>
      <w:r w:rsidRPr="00217CE6">
        <w:rPr>
          <w:lang w:val="en-US"/>
        </w:rPr>
        <w:t xml:space="preserve">, </w:t>
      </w:r>
      <w:proofErr w:type="spellStart"/>
      <w:r w:rsidRPr="00217CE6">
        <w:rPr>
          <w:lang w:val="en-US"/>
        </w:rPr>
        <w:t>normları</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unsurları</w:t>
      </w:r>
      <w:proofErr w:type="spellEnd"/>
      <w:r w:rsidRPr="00217CE6">
        <w:rPr>
          <w:lang w:val="en-US"/>
        </w:rPr>
        <w:t xml:space="preserve"> </w:t>
      </w:r>
      <w:proofErr w:type="spellStart"/>
      <w:r w:rsidRPr="00217CE6">
        <w:rPr>
          <w:lang w:val="en-US"/>
        </w:rPr>
        <w:t>çözümleyen</w:t>
      </w:r>
      <w:proofErr w:type="spellEnd"/>
      <w:r w:rsidRPr="00217CE6">
        <w:rPr>
          <w:lang w:val="en-US"/>
        </w:rPr>
        <w:t xml:space="preserve"> </w:t>
      </w:r>
      <w:proofErr w:type="spellStart"/>
      <w:r w:rsidRPr="00217CE6">
        <w:rPr>
          <w:lang w:val="en-US"/>
        </w:rPr>
        <w:t>projeler</w:t>
      </w:r>
      <w:proofErr w:type="spellEnd"/>
      <w:r w:rsidRPr="00217CE6">
        <w:rPr>
          <w:lang w:val="en-US"/>
        </w:rPr>
        <w:t xml:space="preserve"> de </w:t>
      </w:r>
      <w:proofErr w:type="spellStart"/>
      <w:r w:rsidRPr="00217CE6">
        <w:rPr>
          <w:lang w:val="en-US"/>
        </w:rPr>
        <w:t>tanımlanabilir</w:t>
      </w:r>
      <w:proofErr w:type="spellEnd"/>
      <w:r w:rsidRPr="00217CE6">
        <w:rPr>
          <w:lang w:val="en-US"/>
        </w:rPr>
        <w:t xml:space="preserve">. Bu </w:t>
      </w:r>
      <w:proofErr w:type="spellStart"/>
      <w:r w:rsidRPr="00217CE6">
        <w:rPr>
          <w:lang w:val="en-US"/>
        </w:rPr>
        <w:t>perspektiften</w:t>
      </w:r>
      <w:proofErr w:type="spellEnd"/>
      <w:r w:rsidRPr="00217CE6">
        <w:rPr>
          <w:lang w:val="en-US"/>
        </w:rPr>
        <w:t xml:space="preserve"> </w:t>
      </w:r>
      <w:proofErr w:type="spellStart"/>
      <w:r w:rsidRPr="00217CE6">
        <w:rPr>
          <w:lang w:val="en-US"/>
        </w:rPr>
        <w:t>hareketle</w:t>
      </w:r>
      <w:proofErr w:type="spellEnd"/>
      <w:r w:rsidRPr="00217CE6">
        <w:rPr>
          <w:lang w:val="en-US"/>
        </w:rPr>
        <w:t xml:space="preserve">, </w:t>
      </w:r>
      <w:r w:rsidRPr="00217CE6">
        <w:rPr>
          <w:i/>
          <w:iCs/>
          <w:lang w:val="en-US"/>
        </w:rPr>
        <w:t>Lawrence</w:t>
      </w:r>
      <w:r w:rsidRPr="00217CE6">
        <w:rPr>
          <w:lang w:val="en-US"/>
        </w:rPr>
        <w:t>¹⁶⁸</w:t>
      </w:r>
      <w:r>
        <w:rPr>
          <w:lang w:val="en-US"/>
        </w:rPr>
        <w:t xml:space="preserve"> </w:t>
      </w:r>
      <w:r>
        <w:rPr>
          <w:rStyle w:val="FootnoteReference"/>
          <w:lang w:val="en-US"/>
        </w:rPr>
        <w:footnoteReference w:id="168"/>
      </w:r>
      <w:r w:rsidRPr="00217CE6">
        <w:rPr>
          <w:lang w:val="en-US"/>
        </w:rPr>
        <w:t xml:space="preserve">, </w:t>
      </w:r>
      <w:r w:rsidRPr="00217CE6">
        <w:rPr>
          <w:i/>
          <w:iCs/>
          <w:lang w:val="en-US"/>
        </w:rPr>
        <w:t>Kelo</w:t>
      </w:r>
      <w:r w:rsidRPr="00217CE6">
        <w:rPr>
          <w:lang w:val="en-US"/>
        </w:rPr>
        <w:t>¹⁶⁹</w:t>
      </w:r>
      <w:r>
        <w:rPr>
          <w:lang w:val="en-US"/>
        </w:rPr>
        <w:t xml:space="preserve"> </w:t>
      </w:r>
      <w:r>
        <w:rPr>
          <w:rStyle w:val="FootnoteReference"/>
          <w:lang w:val="en-US"/>
        </w:rPr>
        <w:footnoteReference w:id="169"/>
      </w:r>
      <w:r w:rsidRPr="00217CE6">
        <w:rPr>
          <w:lang w:val="en-US"/>
        </w:rPr>
        <w:t xml:space="preserve"> </w:t>
      </w:r>
      <w:proofErr w:type="spellStart"/>
      <w:r w:rsidRPr="00217CE6">
        <w:rPr>
          <w:lang w:val="en-US"/>
        </w:rPr>
        <w:t>veya</w:t>
      </w:r>
      <w:proofErr w:type="spellEnd"/>
      <w:r w:rsidRPr="00217CE6">
        <w:rPr>
          <w:lang w:val="en-US"/>
        </w:rPr>
        <w:t xml:space="preserve"> </w:t>
      </w:r>
      <w:proofErr w:type="spellStart"/>
      <w:r w:rsidRPr="00217CE6">
        <w:rPr>
          <w:lang w:val="en-US"/>
        </w:rPr>
        <w:t>sağlık</w:t>
      </w:r>
      <w:proofErr w:type="spellEnd"/>
      <w:r w:rsidRPr="00217CE6">
        <w:rPr>
          <w:lang w:val="en-US"/>
        </w:rPr>
        <w:t xml:space="preserve"> </w:t>
      </w:r>
      <w:proofErr w:type="spellStart"/>
      <w:r w:rsidRPr="00217CE6">
        <w:rPr>
          <w:lang w:val="en-US"/>
        </w:rPr>
        <w:t>hizmetlerine</w:t>
      </w:r>
      <w:proofErr w:type="spellEnd"/>
      <w:r w:rsidRPr="00217CE6">
        <w:rPr>
          <w:lang w:val="en-US"/>
        </w:rPr>
        <w:t xml:space="preserve"> </w:t>
      </w:r>
      <w:proofErr w:type="spellStart"/>
      <w:r w:rsidRPr="00217CE6">
        <w:rPr>
          <w:lang w:val="en-US"/>
        </w:rPr>
        <w:t>ilişkin</w:t>
      </w:r>
      <w:proofErr w:type="spellEnd"/>
      <w:r w:rsidRPr="00217CE6">
        <w:rPr>
          <w:lang w:val="en-US"/>
        </w:rPr>
        <w:t xml:space="preserve"> davalar¹⁷⁰</w:t>
      </w:r>
      <w:r>
        <w:rPr>
          <w:lang w:val="en-US"/>
        </w:rPr>
        <w:t xml:space="preserve"> </w:t>
      </w:r>
      <w:r>
        <w:rPr>
          <w:rStyle w:val="FootnoteReference"/>
          <w:lang w:val="en-US"/>
        </w:rPr>
        <w:footnoteReference w:id="170"/>
      </w:r>
      <w:r w:rsidRPr="00217CE6">
        <w:rPr>
          <w:lang w:val="en-US"/>
        </w:rPr>
        <w:t xml:space="preserve"> </w:t>
      </w:r>
      <w:proofErr w:type="spellStart"/>
      <w:r w:rsidRPr="00217CE6">
        <w:rPr>
          <w:lang w:val="en-US"/>
        </w:rPr>
        <w:t>üzerine</w:t>
      </w:r>
      <w:proofErr w:type="spellEnd"/>
      <w:r w:rsidRPr="00217CE6">
        <w:rPr>
          <w:lang w:val="en-US"/>
        </w:rPr>
        <w:t xml:space="preserve"> </w:t>
      </w:r>
      <w:proofErr w:type="spellStart"/>
      <w:r w:rsidRPr="00217CE6">
        <w:rPr>
          <w:lang w:val="en-US"/>
        </w:rPr>
        <w:t>kapsamlı</w:t>
      </w:r>
      <w:proofErr w:type="spellEnd"/>
      <w:r w:rsidRPr="00217CE6">
        <w:rPr>
          <w:lang w:val="en-US"/>
        </w:rPr>
        <w:t xml:space="preserve"> </w:t>
      </w:r>
      <w:proofErr w:type="spellStart"/>
      <w:r w:rsidRPr="00217CE6">
        <w:rPr>
          <w:lang w:val="en-US"/>
        </w:rPr>
        <w:t>çalışmalar</w:t>
      </w:r>
      <w:proofErr w:type="spellEnd"/>
      <w:r w:rsidRPr="00217CE6">
        <w:rPr>
          <w:lang w:val="en-US"/>
        </w:rPr>
        <w:t xml:space="preserve"> </w:t>
      </w:r>
      <w:proofErr w:type="spellStart"/>
      <w:r w:rsidRPr="00217CE6">
        <w:rPr>
          <w:lang w:val="en-US"/>
        </w:rPr>
        <w:t>hayal</w:t>
      </w:r>
      <w:proofErr w:type="spellEnd"/>
      <w:r w:rsidRPr="00217CE6">
        <w:rPr>
          <w:lang w:val="en-US"/>
        </w:rPr>
        <w:t xml:space="preserve"> </w:t>
      </w:r>
      <w:proofErr w:type="spellStart"/>
      <w:r w:rsidRPr="00217CE6">
        <w:rPr>
          <w:lang w:val="en-US"/>
        </w:rPr>
        <w:t>edilebilir</w:t>
      </w:r>
      <w:proofErr w:type="spellEnd"/>
      <w:r w:rsidRPr="00217CE6">
        <w:rPr>
          <w:lang w:val="en-US"/>
        </w:rPr>
        <w:t xml:space="preserve">; 11 Eylül </w:t>
      </w:r>
      <w:proofErr w:type="spellStart"/>
      <w:r w:rsidRPr="00217CE6">
        <w:rPr>
          <w:lang w:val="en-US"/>
        </w:rPr>
        <w:t>sonrası</w:t>
      </w:r>
      <w:proofErr w:type="spellEnd"/>
      <w:r w:rsidRPr="00217CE6">
        <w:rPr>
          <w:lang w:val="en-US"/>
        </w:rPr>
        <w:t xml:space="preserve"> </w:t>
      </w:r>
      <w:proofErr w:type="spellStart"/>
      <w:r w:rsidRPr="00217CE6">
        <w:rPr>
          <w:lang w:val="en-US"/>
        </w:rPr>
        <w:t>dönemde</w:t>
      </w:r>
      <w:proofErr w:type="spellEnd"/>
      <w:r w:rsidRPr="00217CE6">
        <w:rPr>
          <w:lang w:val="en-US"/>
        </w:rPr>
        <w:t xml:space="preserve"> </w:t>
      </w:r>
      <w:proofErr w:type="spellStart"/>
      <w:r w:rsidRPr="00217CE6">
        <w:rPr>
          <w:lang w:val="en-US"/>
        </w:rPr>
        <w:t>Anayasa</w:t>
      </w:r>
      <w:proofErr w:type="spellEnd"/>
      <w:r w:rsidRPr="00217CE6">
        <w:rPr>
          <w:lang w:val="en-US"/>
        </w:rPr>
        <w:t xml:space="preserve"> </w:t>
      </w:r>
      <w:proofErr w:type="spellStart"/>
      <w:r w:rsidRPr="00217CE6">
        <w:rPr>
          <w:lang w:val="en-US"/>
        </w:rPr>
        <w:t>ve</w:t>
      </w:r>
      <w:proofErr w:type="spellEnd"/>
      <w:r w:rsidRPr="00217CE6">
        <w:rPr>
          <w:lang w:val="en-US"/>
        </w:rPr>
        <w:t xml:space="preserve"> </w:t>
      </w:r>
      <w:proofErr w:type="spellStart"/>
      <w:r w:rsidRPr="00217CE6">
        <w:rPr>
          <w:lang w:val="en-US"/>
        </w:rPr>
        <w:t>terörle</w:t>
      </w:r>
      <w:proofErr w:type="spellEnd"/>
      <w:r w:rsidRPr="00217CE6">
        <w:rPr>
          <w:lang w:val="en-US"/>
        </w:rPr>
        <w:t xml:space="preserve"> </w:t>
      </w:r>
      <w:proofErr w:type="spellStart"/>
      <w:r w:rsidRPr="00217CE6">
        <w:rPr>
          <w:lang w:val="en-US"/>
        </w:rPr>
        <w:t>mücadeleye</w:t>
      </w:r>
      <w:proofErr w:type="spellEnd"/>
      <w:r w:rsidRPr="00217CE6">
        <w:rPr>
          <w:lang w:val="en-US"/>
        </w:rPr>
        <w:t xml:space="preserve"> </w:t>
      </w:r>
      <w:proofErr w:type="spellStart"/>
      <w:r w:rsidRPr="00217CE6">
        <w:rPr>
          <w:lang w:val="en-US"/>
        </w:rPr>
        <w:t>yaklaşımımız</w:t>
      </w:r>
      <w:proofErr w:type="spellEnd"/>
      <w:r w:rsidRPr="00217CE6">
        <w:rPr>
          <w:lang w:val="en-US"/>
        </w:rPr>
        <w:t xml:space="preserve"> </w:t>
      </w:r>
      <w:proofErr w:type="spellStart"/>
      <w:r w:rsidRPr="00217CE6">
        <w:rPr>
          <w:lang w:val="en-US"/>
        </w:rPr>
        <w:t>incelenebilir</w:t>
      </w:r>
      <w:proofErr w:type="spellEnd"/>
      <w:r w:rsidRPr="00217CE6">
        <w:rPr>
          <w:lang w:val="en-US"/>
        </w:rPr>
        <w:t xml:space="preserve">; </w:t>
      </w:r>
      <w:proofErr w:type="spellStart"/>
      <w:r w:rsidRPr="00217CE6">
        <w:rPr>
          <w:lang w:val="en-US"/>
        </w:rPr>
        <w:t>ya</w:t>
      </w:r>
      <w:proofErr w:type="spellEnd"/>
      <w:r w:rsidRPr="00217CE6">
        <w:rPr>
          <w:lang w:val="en-US"/>
        </w:rPr>
        <w:t xml:space="preserve"> da Yüksek </w:t>
      </w:r>
      <w:proofErr w:type="spellStart"/>
      <w:r w:rsidRPr="00217CE6">
        <w:rPr>
          <w:lang w:val="en-US"/>
        </w:rPr>
        <w:t>Mahkeme’nin</w:t>
      </w:r>
      <w:proofErr w:type="spellEnd"/>
      <w:r w:rsidRPr="00217CE6">
        <w:rPr>
          <w:lang w:val="en-US"/>
        </w:rPr>
        <w:t xml:space="preserve"> modern </w:t>
      </w:r>
      <w:proofErr w:type="spellStart"/>
      <w:r w:rsidRPr="00217CE6">
        <w:rPr>
          <w:lang w:val="en-US"/>
        </w:rPr>
        <w:t>dönemde</w:t>
      </w:r>
      <w:proofErr w:type="spellEnd"/>
      <w:r w:rsidRPr="00217CE6">
        <w:rPr>
          <w:lang w:val="en-US"/>
        </w:rPr>
        <w:t xml:space="preserve"> </w:t>
      </w:r>
      <w:proofErr w:type="spellStart"/>
      <w:r w:rsidRPr="00217CE6">
        <w:rPr>
          <w:lang w:val="en-US"/>
        </w:rPr>
        <w:t>dava</w:t>
      </w:r>
      <w:proofErr w:type="spellEnd"/>
      <w:r w:rsidRPr="00217CE6">
        <w:rPr>
          <w:lang w:val="en-US"/>
        </w:rPr>
        <w:t xml:space="preserve"> </w:t>
      </w:r>
      <w:proofErr w:type="spellStart"/>
      <w:r w:rsidRPr="00217CE6">
        <w:rPr>
          <w:lang w:val="en-US"/>
        </w:rPr>
        <w:t>yoluyla</w:t>
      </w:r>
      <w:proofErr w:type="spellEnd"/>
      <w:r w:rsidRPr="00217CE6">
        <w:rPr>
          <w:lang w:val="en-US"/>
        </w:rPr>
        <w:t xml:space="preserve"> </w:t>
      </w:r>
      <w:proofErr w:type="spellStart"/>
      <w:r w:rsidRPr="00217CE6">
        <w:rPr>
          <w:lang w:val="en-US"/>
        </w:rPr>
        <w:t>hak</w:t>
      </w:r>
      <w:proofErr w:type="spellEnd"/>
      <w:r w:rsidRPr="00217CE6">
        <w:rPr>
          <w:lang w:val="en-US"/>
        </w:rPr>
        <w:t xml:space="preserve"> </w:t>
      </w:r>
      <w:proofErr w:type="spellStart"/>
      <w:r w:rsidRPr="00217CE6">
        <w:rPr>
          <w:lang w:val="en-US"/>
        </w:rPr>
        <w:t>arayışına</w:t>
      </w:r>
      <w:proofErr w:type="spellEnd"/>
      <w:r w:rsidRPr="00217CE6">
        <w:rPr>
          <w:lang w:val="en-US"/>
        </w:rPr>
        <w:t xml:space="preserve"> </w:t>
      </w:r>
      <w:proofErr w:type="spellStart"/>
      <w:r w:rsidRPr="00217CE6">
        <w:rPr>
          <w:lang w:val="en-US"/>
        </w:rPr>
        <w:t>karşı</w:t>
      </w:r>
      <w:proofErr w:type="spellEnd"/>
      <w:r w:rsidRPr="00217CE6">
        <w:rPr>
          <w:lang w:val="en-US"/>
        </w:rPr>
        <w:t xml:space="preserve"> </w:t>
      </w:r>
      <w:proofErr w:type="spellStart"/>
      <w:r w:rsidRPr="00217CE6">
        <w:rPr>
          <w:lang w:val="en-US"/>
        </w:rPr>
        <w:t>gösterdiği</w:t>
      </w:r>
      <w:proofErr w:type="spellEnd"/>
      <w:r w:rsidRPr="00217CE6">
        <w:rPr>
          <w:lang w:val="en-US"/>
        </w:rPr>
        <w:t xml:space="preserve"> </w:t>
      </w:r>
      <w:proofErr w:type="spellStart"/>
      <w:r w:rsidRPr="00217CE6">
        <w:rPr>
          <w:lang w:val="en-US"/>
        </w:rPr>
        <w:t>mesafe</w:t>
      </w:r>
      <w:proofErr w:type="spellEnd"/>
      <w:r w:rsidRPr="00217CE6">
        <w:rPr>
          <w:lang w:val="en-US"/>
        </w:rPr>
        <w:t xml:space="preserve"> araştırılabilir.¹⁷¹</w:t>
      </w:r>
      <w:r>
        <w:rPr>
          <w:lang w:val="en-US"/>
        </w:rPr>
        <w:t xml:space="preserve"> </w:t>
      </w:r>
      <w:r>
        <w:rPr>
          <w:rStyle w:val="FootnoteReference"/>
          <w:lang w:val="en-US"/>
        </w:rPr>
        <w:footnoteReference w:id="171"/>
      </w:r>
      <w:r w:rsidRPr="00217CE6">
        <w:rPr>
          <w:lang w:val="en-US"/>
        </w:rPr>
        <w:t xml:space="preserve"> Bu </w:t>
      </w:r>
      <w:proofErr w:type="spellStart"/>
      <w:r w:rsidRPr="00217CE6">
        <w:rPr>
          <w:lang w:val="en-US"/>
        </w:rPr>
        <w:t>tür</w:t>
      </w:r>
      <w:proofErr w:type="spellEnd"/>
      <w:r w:rsidRPr="00217CE6">
        <w:rPr>
          <w:lang w:val="en-US"/>
        </w:rPr>
        <w:t xml:space="preserve"> </w:t>
      </w:r>
      <w:proofErr w:type="spellStart"/>
      <w:r w:rsidRPr="00217CE6">
        <w:rPr>
          <w:lang w:val="en-US"/>
        </w:rPr>
        <w:t>çalışmalar</w:t>
      </w:r>
      <w:proofErr w:type="spellEnd"/>
      <w:r w:rsidRPr="00217CE6">
        <w:rPr>
          <w:lang w:val="en-US"/>
        </w:rPr>
        <w:t xml:space="preserve">, </w:t>
      </w:r>
      <w:proofErr w:type="spellStart"/>
      <w:r w:rsidRPr="00217CE6">
        <w:rPr>
          <w:lang w:val="en-US"/>
        </w:rPr>
        <w:t>bağımsız</w:t>
      </w:r>
      <w:proofErr w:type="spellEnd"/>
      <w:r w:rsidRPr="00217CE6">
        <w:rPr>
          <w:lang w:val="en-US"/>
        </w:rPr>
        <w:t xml:space="preserve"> </w:t>
      </w:r>
      <w:proofErr w:type="spellStart"/>
      <w:r w:rsidRPr="00217CE6">
        <w:rPr>
          <w:lang w:val="en-US"/>
        </w:rPr>
        <w:lastRenderedPageBreak/>
        <w:t>olarak</w:t>
      </w:r>
      <w:proofErr w:type="spellEnd"/>
      <w:r w:rsidRPr="00217CE6">
        <w:rPr>
          <w:lang w:val="en-US"/>
        </w:rPr>
        <w:t xml:space="preserve"> </w:t>
      </w:r>
      <w:proofErr w:type="spellStart"/>
      <w:r w:rsidRPr="00217CE6">
        <w:rPr>
          <w:lang w:val="en-US"/>
        </w:rPr>
        <w:t>değerli</w:t>
      </w:r>
      <w:proofErr w:type="spellEnd"/>
      <w:r w:rsidRPr="00217CE6">
        <w:rPr>
          <w:lang w:val="en-US"/>
        </w:rPr>
        <w:t xml:space="preserve"> </w:t>
      </w:r>
      <w:proofErr w:type="spellStart"/>
      <w:r w:rsidRPr="00217CE6">
        <w:rPr>
          <w:lang w:val="en-US"/>
        </w:rPr>
        <w:t>bilgiler</w:t>
      </w:r>
      <w:proofErr w:type="spellEnd"/>
      <w:r w:rsidRPr="00217CE6">
        <w:rPr>
          <w:lang w:val="en-US"/>
        </w:rPr>
        <w:t xml:space="preserve"> </w:t>
      </w:r>
      <w:proofErr w:type="spellStart"/>
      <w:r w:rsidRPr="00217CE6">
        <w:rPr>
          <w:lang w:val="en-US"/>
        </w:rPr>
        <w:t>sunmanın</w:t>
      </w:r>
      <w:proofErr w:type="spellEnd"/>
      <w:r w:rsidRPr="00217CE6">
        <w:rPr>
          <w:lang w:val="en-US"/>
        </w:rPr>
        <w:t xml:space="preserve"> </w:t>
      </w:r>
      <w:proofErr w:type="spellStart"/>
      <w:r w:rsidRPr="00217CE6">
        <w:rPr>
          <w:lang w:val="en-US"/>
        </w:rPr>
        <w:t>yanı</w:t>
      </w:r>
      <w:proofErr w:type="spellEnd"/>
      <w:r w:rsidRPr="00217CE6">
        <w:rPr>
          <w:lang w:val="en-US"/>
        </w:rPr>
        <w:t xml:space="preserve"> </w:t>
      </w:r>
      <w:proofErr w:type="spellStart"/>
      <w:r w:rsidRPr="00217CE6">
        <w:rPr>
          <w:lang w:val="en-US"/>
        </w:rPr>
        <w:t>sıra</w:t>
      </w:r>
      <w:proofErr w:type="spellEnd"/>
      <w:r w:rsidRPr="00217CE6">
        <w:rPr>
          <w:lang w:val="en-US"/>
        </w:rPr>
        <w:t xml:space="preserve">, </w:t>
      </w:r>
      <w:proofErr w:type="spellStart"/>
      <w:r w:rsidRPr="00217CE6">
        <w:rPr>
          <w:lang w:val="en-US"/>
        </w:rPr>
        <w:t>çağdaş</w:t>
      </w:r>
      <w:proofErr w:type="spellEnd"/>
      <w:r w:rsidRPr="00217CE6">
        <w:rPr>
          <w:lang w:val="en-US"/>
        </w:rPr>
        <w:t xml:space="preserve"> </w:t>
      </w:r>
      <w:proofErr w:type="spellStart"/>
      <w:r w:rsidRPr="00217CE6">
        <w:rPr>
          <w:lang w:val="en-US"/>
        </w:rPr>
        <w:t>anayasal</w:t>
      </w:r>
      <w:proofErr w:type="spellEnd"/>
      <w:r w:rsidRPr="00217CE6">
        <w:rPr>
          <w:lang w:val="en-US"/>
        </w:rPr>
        <w:t xml:space="preserve"> </w:t>
      </w:r>
      <w:proofErr w:type="spellStart"/>
      <w:r w:rsidRPr="00217CE6">
        <w:rPr>
          <w:lang w:val="en-US"/>
        </w:rPr>
        <w:t>karar</w:t>
      </w:r>
      <w:proofErr w:type="spellEnd"/>
      <w:r w:rsidRPr="00217CE6">
        <w:rPr>
          <w:lang w:val="en-US"/>
        </w:rPr>
        <w:t xml:space="preserve"> alma </w:t>
      </w:r>
      <w:proofErr w:type="spellStart"/>
      <w:r w:rsidRPr="00217CE6">
        <w:rPr>
          <w:lang w:val="en-US"/>
        </w:rPr>
        <w:t>süreçlerine</w:t>
      </w:r>
      <w:proofErr w:type="spellEnd"/>
      <w:r w:rsidRPr="00217CE6">
        <w:rPr>
          <w:lang w:val="en-US"/>
        </w:rPr>
        <w:t xml:space="preserve"> </w:t>
      </w:r>
      <w:proofErr w:type="spellStart"/>
      <w:r w:rsidRPr="00217CE6">
        <w:rPr>
          <w:lang w:val="en-US"/>
        </w:rPr>
        <w:t>ilişkin</w:t>
      </w:r>
      <w:proofErr w:type="spellEnd"/>
      <w:r w:rsidRPr="00217CE6">
        <w:rPr>
          <w:lang w:val="en-US"/>
        </w:rPr>
        <w:t xml:space="preserve"> </w:t>
      </w:r>
      <w:proofErr w:type="spellStart"/>
      <w:r w:rsidRPr="00217CE6">
        <w:rPr>
          <w:lang w:val="en-US"/>
        </w:rPr>
        <w:t>vaka</w:t>
      </w:r>
      <w:proofErr w:type="spellEnd"/>
      <w:r w:rsidRPr="00217CE6">
        <w:rPr>
          <w:lang w:val="en-US"/>
        </w:rPr>
        <w:t xml:space="preserve"> </w:t>
      </w:r>
      <w:proofErr w:type="spellStart"/>
      <w:r w:rsidRPr="00217CE6">
        <w:rPr>
          <w:lang w:val="en-US"/>
        </w:rPr>
        <w:t>incelemeleri</w:t>
      </w:r>
      <w:proofErr w:type="spellEnd"/>
      <w:r w:rsidRPr="00217CE6">
        <w:rPr>
          <w:lang w:val="en-US"/>
        </w:rPr>
        <w:t xml:space="preserve"> </w:t>
      </w:r>
      <w:proofErr w:type="spellStart"/>
      <w:r w:rsidRPr="00217CE6">
        <w:rPr>
          <w:lang w:val="en-US"/>
        </w:rPr>
        <w:t>olarak</w:t>
      </w:r>
      <w:proofErr w:type="spellEnd"/>
      <w:r w:rsidRPr="00217CE6">
        <w:rPr>
          <w:lang w:val="en-US"/>
        </w:rPr>
        <w:t xml:space="preserve"> da </w:t>
      </w:r>
      <w:proofErr w:type="spellStart"/>
      <w:r w:rsidRPr="00217CE6">
        <w:rPr>
          <w:lang w:val="en-US"/>
        </w:rPr>
        <w:t>işlev</w:t>
      </w:r>
      <w:proofErr w:type="spellEnd"/>
      <w:r w:rsidRPr="00217CE6">
        <w:rPr>
          <w:lang w:val="en-US"/>
        </w:rPr>
        <w:t xml:space="preserve"> </w:t>
      </w:r>
      <w:proofErr w:type="spellStart"/>
      <w:r w:rsidRPr="00217CE6">
        <w:rPr>
          <w:lang w:val="en-US"/>
        </w:rPr>
        <w:t>görecektir</w:t>
      </w:r>
      <w:proofErr w:type="spellEnd"/>
      <w:r w:rsidRPr="00217CE6">
        <w:rPr>
          <w:lang w:val="en-US"/>
        </w:rPr>
        <w:t>.</w:t>
      </w:r>
      <w:r>
        <w:rPr>
          <w:lang w:val="en-US"/>
        </w:rPr>
        <w:t xml:space="preserve"> [1114 - 1115]</w:t>
      </w:r>
    </w:p>
    <w:p w14:paraId="084FAE2D" w14:textId="77777777" w:rsidR="006532A6" w:rsidRDefault="006532A6" w:rsidP="006532A6">
      <w:pPr>
        <w:rPr>
          <w:lang w:val="en-US"/>
        </w:rPr>
      </w:pPr>
      <w:proofErr w:type="spellStart"/>
      <w:r w:rsidRPr="006532A6">
        <w:rPr>
          <w:lang w:val="en-US"/>
        </w:rPr>
        <w:t>Anayasal</w:t>
      </w:r>
      <w:proofErr w:type="spellEnd"/>
      <w:r w:rsidRPr="006532A6">
        <w:rPr>
          <w:lang w:val="en-US"/>
        </w:rPr>
        <w:t xml:space="preserve"> </w:t>
      </w:r>
      <w:proofErr w:type="spellStart"/>
      <w:r w:rsidRPr="006532A6">
        <w:rPr>
          <w:lang w:val="en-US"/>
        </w:rPr>
        <w:t>kültür</w:t>
      </w:r>
      <w:proofErr w:type="spellEnd"/>
      <w:r w:rsidRPr="006532A6">
        <w:rPr>
          <w:lang w:val="en-US"/>
        </w:rPr>
        <w:t xml:space="preserve"> </w:t>
      </w:r>
      <w:proofErr w:type="spellStart"/>
      <w:r w:rsidRPr="006532A6">
        <w:rPr>
          <w:lang w:val="en-US"/>
        </w:rPr>
        <w:t>perspektifi</w:t>
      </w:r>
      <w:proofErr w:type="spellEnd"/>
      <w:r w:rsidRPr="006532A6">
        <w:rPr>
          <w:lang w:val="en-US"/>
        </w:rPr>
        <w:t xml:space="preserve"> </w:t>
      </w:r>
      <w:proofErr w:type="spellStart"/>
      <w:r w:rsidRPr="006532A6">
        <w:rPr>
          <w:lang w:val="en-US"/>
        </w:rPr>
        <w:t>aynı</w:t>
      </w:r>
      <w:proofErr w:type="spellEnd"/>
      <w:r w:rsidRPr="006532A6">
        <w:rPr>
          <w:lang w:val="en-US"/>
        </w:rPr>
        <w:t xml:space="preserve"> </w:t>
      </w:r>
      <w:proofErr w:type="spellStart"/>
      <w:r w:rsidRPr="006532A6">
        <w:rPr>
          <w:lang w:val="en-US"/>
        </w:rPr>
        <w:t>zamanda</w:t>
      </w:r>
      <w:proofErr w:type="spellEnd"/>
      <w:r w:rsidRPr="006532A6">
        <w:rPr>
          <w:lang w:val="en-US"/>
        </w:rPr>
        <w:t xml:space="preserve"> </w:t>
      </w:r>
      <w:proofErr w:type="spellStart"/>
      <w:r w:rsidRPr="006532A6">
        <w:rPr>
          <w:lang w:val="en-US"/>
        </w:rPr>
        <w:t>değerlendirmeye</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normatif</w:t>
      </w:r>
      <w:proofErr w:type="spellEnd"/>
      <w:r w:rsidRPr="006532A6">
        <w:rPr>
          <w:lang w:val="en-US"/>
        </w:rPr>
        <w:t xml:space="preserve"> </w:t>
      </w:r>
      <w:proofErr w:type="spellStart"/>
      <w:r w:rsidRPr="006532A6">
        <w:rPr>
          <w:lang w:val="en-US"/>
        </w:rPr>
        <w:t>analizlere</w:t>
      </w:r>
      <w:proofErr w:type="spellEnd"/>
      <w:r w:rsidRPr="006532A6">
        <w:rPr>
          <w:lang w:val="en-US"/>
        </w:rPr>
        <w:t xml:space="preserve"> </w:t>
      </w:r>
      <w:proofErr w:type="spellStart"/>
      <w:r w:rsidRPr="006532A6">
        <w:rPr>
          <w:lang w:val="en-US"/>
        </w:rPr>
        <w:t>dayalı</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gündemi</w:t>
      </w:r>
      <w:proofErr w:type="spellEnd"/>
      <w:r w:rsidRPr="006532A6">
        <w:rPr>
          <w:lang w:val="en-US"/>
        </w:rPr>
        <w:t xml:space="preserve"> de </w:t>
      </w:r>
      <w:proofErr w:type="spellStart"/>
      <w:r w:rsidRPr="006532A6">
        <w:rPr>
          <w:lang w:val="en-US"/>
        </w:rPr>
        <w:t>önermektedir</w:t>
      </w:r>
      <w:proofErr w:type="spellEnd"/>
      <w:r w:rsidRPr="006532A6">
        <w:rPr>
          <w:lang w:val="en-US"/>
        </w:rPr>
        <w:t xml:space="preserve">. </w:t>
      </w:r>
      <w:proofErr w:type="spellStart"/>
      <w:r w:rsidRPr="006532A6">
        <w:rPr>
          <w:lang w:val="en-US"/>
        </w:rPr>
        <w:t>Özellikle</w:t>
      </w:r>
      <w:proofErr w:type="spellEnd"/>
      <w:r w:rsidRPr="006532A6">
        <w:rPr>
          <w:lang w:val="en-US"/>
        </w:rPr>
        <w:t xml:space="preserve">, </w:t>
      </w:r>
      <w:proofErr w:type="spellStart"/>
      <w:r w:rsidRPr="006532A6">
        <w:rPr>
          <w:lang w:val="en-US"/>
        </w:rPr>
        <w:t>bu</w:t>
      </w:r>
      <w:proofErr w:type="spellEnd"/>
      <w:r w:rsidRPr="006532A6">
        <w:rPr>
          <w:lang w:val="en-US"/>
        </w:rPr>
        <w:t xml:space="preserve"> </w:t>
      </w:r>
      <w:proofErr w:type="spellStart"/>
      <w:r w:rsidRPr="006532A6">
        <w:rPr>
          <w:lang w:val="en-US"/>
        </w:rPr>
        <w:t>makalenin</w:t>
      </w:r>
      <w:proofErr w:type="spellEnd"/>
      <w:r w:rsidRPr="006532A6">
        <w:rPr>
          <w:lang w:val="en-US"/>
        </w:rPr>
        <w:t xml:space="preserve"> </w:t>
      </w:r>
      <w:proofErr w:type="spellStart"/>
      <w:r w:rsidRPr="006532A6">
        <w:rPr>
          <w:lang w:val="en-US"/>
        </w:rPr>
        <w:t>içgörülerini</w:t>
      </w:r>
      <w:proofErr w:type="spellEnd"/>
      <w:r w:rsidRPr="006532A6">
        <w:rPr>
          <w:lang w:val="en-US"/>
        </w:rPr>
        <w:t xml:space="preserve"> </w:t>
      </w:r>
      <w:proofErr w:type="spellStart"/>
      <w:r w:rsidRPr="006532A6">
        <w:rPr>
          <w:lang w:val="en-US"/>
        </w:rPr>
        <w:t>benimseyen</w:t>
      </w:r>
      <w:proofErr w:type="spellEnd"/>
      <w:r w:rsidRPr="006532A6">
        <w:rPr>
          <w:lang w:val="en-US"/>
        </w:rPr>
        <w:t xml:space="preserve">, </w:t>
      </w:r>
      <w:proofErr w:type="spellStart"/>
      <w:r w:rsidRPr="006532A6">
        <w:rPr>
          <w:lang w:val="en-US"/>
        </w:rPr>
        <w:t>kurumlarımızın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normlarımızın</w:t>
      </w:r>
      <w:proofErr w:type="spellEnd"/>
      <w:r w:rsidRPr="006532A6">
        <w:rPr>
          <w:lang w:val="en-US"/>
        </w:rPr>
        <w:t xml:space="preserve"> </w:t>
      </w:r>
      <w:proofErr w:type="spellStart"/>
      <w:r w:rsidRPr="006532A6">
        <w:rPr>
          <w:lang w:val="en-US"/>
        </w:rPr>
        <w:t>olumsal</w:t>
      </w:r>
      <w:proofErr w:type="spellEnd"/>
      <w:r w:rsidRPr="006532A6">
        <w:rPr>
          <w:lang w:val="en-US"/>
        </w:rPr>
        <w:t xml:space="preserve"> (contingent) </w:t>
      </w:r>
      <w:proofErr w:type="spellStart"/>
      <w:r w:rsidRPr="006532A6">
        <w:rPr>
          <w:lang w:val="en-US"/>
        </w:rPr>
        <w:t>ve</w:t>
      </w:r>
      <w:proofErr w:type="spellEnd"/>
      <w:r w:rsidRPr="006532A6">
        <w:rPr>
          <w:lang w:val="en-US"/>
        </w:rPr>
        <w:t xml:space="preserve"> </w:t>
      </w:r>
      <w:proofErr w:type="spellStart"/>
      <w:r w:rsidRPr="006532A6">
        <w:rPr>
          <w:lang w:val="en-US"/>
        </w:rPr>
        <w:t>evrimsel</w:t>
      </w:r>
      <w:proofErr w:type="spellEnd"/>
      <w:r w:rsidRPr="006532A6">
        <w:rPr>
          <w:lang w:val="en-US"/>
        </w:rPr>
        <w:t xml:space="preserve"> </w:t>
      </w:r>
      <w:proofErr w:type="spellStart"/>
      <w:r w:rsidRPr="006532A6">
        <w:rPr>
          <w:lang w:val="en-US"/>
        </w:rPr>
        <w:t>doğasını</w:t>
      </w:r>
      <w:proofErr w:type="spellEnd"/>
      <w:r w:rsidRPr="006532A6">
        <w:rPr>
          <w:lang w:val="en-US"/>
        </w:rPr>
        <w:t xml:space="preserve"> </w:t>
      </w:r>
      <w:proofErr w:type="spellStart"/>
      <w:r w:rsidRPr="006532A6">
        <w:rPr>
          <w:lang w:val="en-US"/>
        </w:rPr>
        <w:t>kabul</w:t>
      </w:r>
      <w:proofErr w:type="spellEnd"/>
      <w:r w:rsidRPr="006532A6">
        <w:rPr>
          <w:lang w:val="en-US"/>
        </w:rPr>
        <w:t xml:space="preserve"> </w:t>
      </w:r>
      <w:proofErr w:type="spellStart"/>
      <w:r w:rsidRPr="006532A6">
        <w:rPr>
          <w:lang w:val="en-US"/>
        </w:rPr>
        <w:t>eden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analizlerine</w:t>
      </w:r>
      <w:proofErr w:type="spellEnd"/>
      <w:r w:rsidRPr="006532A6">
        <w:rPr>
          <w:lang w:val="en-US"/>
        </w:rPr>
        <w:t xml:space="preserve"> </w:t>
      </w:r>
      <w:proofErr w:type="spellStart"/>
      <w:r w:rsidRPr="006532A6">
        <w:rPr>
          <w:lang w:val="en-US"/>
        </w:rPr>
        <w:t>hukuk</w:t>
      </w:r>
      <w:proofErr w:type="spellEnd"/>
      <w:r w:rsidRPr="006532A6">
        <w:rPr>
          <w:lang w:val="en-US"/>
        </w:rPr>
        <w:t xml:space="preserve"> </w:t>
      </w:r>
      <w:proofErr w:type="spellStart"/>
      <w:r w:rsidRPr="006532A6">
        <w:rPr>
          <w:lang w:val="en-US"/>
        </w:rPr>
        <w:t>kâtiplerinin</w:t>
      </w:r>
      <w:proofErr w:type="spellEnd"/>
      <w:r w:rsidRPr="006532A6">
        <w:rPr>
          <w:lang w:val="en-US"/>
        </w:rPr>
        <w:t xml:space="preserve"> </w:t>
      </w:r>
      <w:proofErr w:type="spellStart"/>
      <w:r w:rsidRPr="006532A6">
        <w:rPr>
          <w:lang w:val="en-US"/>
        </w:rPr>
        <w:t>yükselişi</w:t>
      </w:r>
      <w:proofErr w:type="spellEnd"/>
      <w:r w:rsidRPr="006532A6">
        <w:rPr>
          <w:lang w:val="en-US"/>
        </w:rPr>
        <w:t xml:space="preserve">, </w:t>
      </w:r>
      <w:r w:rsidRPr="006532A6">
        <w:rPr>
          <w:i/>
          <w:iCs/>
          <w:lang w:val="en-US"/>
        </w:rPr>
        <w:t>amicus curiae</w:t>
      </w:r>
      <w:r w:rsidRPr="006532A6">
        <w:rPr>
          <w:lang w:val="en-US"/>
        </w:rPr>
        <w:t xml:space="preserve"> </w:t>
      </w:r>
      <w:proofErr w:type="spellStart"/>
      <w:r w:rsidRPr="006532A6">
        <w:rPr>
          <w:lang w:val="en-US"/>
        </w:rPr>
        <w:t>görüşlerinin</w:t>
      </w:r>
      <w:proofErr w:type="spellEnd"/>
      <w:r w:rsidRPr="006532A6">
        <w:rPr>
          <w:lang w:val="en-US"/>
        </w:rPr>
        <w:t xml:space="preserve"> </w:t>
      </w:r>
      <w:proofErr w:type="spellStart"/>
      <w:r w:rsidRPr="006532A6">
        <w:rPr>
          <w:lang w:val="en-US"/>
        </w:rPr>
        <w:t>değişen</w:t>
      </w:r>
      <w:proofErr w:type="spellEnd"/>
      <w:r w:rsidRPr="006532A6">
        <w:rPr>
          <w:lang w:val="en-US"/>
        </w:rPr>
        <w:t xml:space="preserve"> </w:t>
      </w:r>
      <w:proofErr w:type="spellStart"/>
      <w:r w:rsidRPr="006532A6">
        <w:rPr>
          <w:lang w:val="en-US"/>
        </w:rPr>
        <w:t>rolü</w:t>
      </w:r>
      <w:proofErr w:type="spellEnd"/>
      <w:r w:rsidRPr="006532A6">
        <w:rPr>
          <w:lang w:val="en-US"/>
        </w:rPr>
        <w:t xml:space="preserve"> </w:t>
      </w:r>
      <w:proofErr w:type="spellStart"/>
      <w:r w:rsidRPr="006532A6">
        <w:rPr>
          <w:lang w:val="en-US"/>
        </w:rPr>
        <w:t>ve</w:t>
      </w:r>
      <w:proofErr w:type="spellEnd"/>
      <w:r w:rsidRPr="006532A6">
        <w:rPr>
          <w:lang w:val="en-US"/>
        </w:rPr>
        <w:t xml:space="preserve"> Yüksek </w:t>
      </w:r>
      <w:proofErr w:type="spellStart"/>
      <w:r w:rsidRPr="006532A6">
        <w:rPr>
          <w:lang w:val="en-US"/>
        </w:rPr>
        <w:t>Mahkeme</w:t>
      </w:r>
      <w:proofErr w:type="spellEnd"/>
      <w:r w:rsidRPr="006532A6">
        <w:rPr>
          <w:lang w:val="en-US"/>
        </w:rPr>
        <w:t xml:space="preserve"> </w:t>
      </w:r>
      <w:proofErr w:type="spellStart"/>
      <w:r w:rsidRPr="006532A6">
        <w:rPr>
          <w:lang w:val="en-US"/>
        </w:rPr>
        <w:t>kararlarının</w:t>
      </w:r>
      <w:proofErr w:type="spellEnd"/>
      <w:r w:rsidRPr="006532A6">
        <w:rPr>
          <w:lang w:val="en-US"/>
        </w:rPr>
        <w:t xml:space="preserve"> </w:t>
      </w:r>
      <w:proofErr w:type="spellStart"/>
      <w:r w:rsidRPr="006532A6">
        <w:rPr>
          <w:lang w:val="en-US"/>
        </w:rPr>
        <w:t>kamuoyuna</w:t>
      </w:r>
      <w:proofErr w:type="spellEnd"/>
      <w:r w:rsidRPr="006532A6">
        <w:rPr>
          <w:lang w:val="en-US"/>
        </w:rPr>
        <w:t xml:space="preserve"> </w:t>
      </w:r>
      <w:proofErr w:type="spellStart"/>
      <w:r w:rsidRPr="006532A6">
        <w:rPr>
          <w:lang w:val="en-US"/>
        </w:rPr>
        <w:t>sunumunda</w:t>
      </w:r>
      <w:proofErr w:type="spellEnd"/>
      <w:r w:rsidRPr="006532A6">
        <w:rPr>
          <w:lang w:val="en-US"/>
        </w:rPr>
        <w:t xml:space="preserve"> </w:t>
      </w:r>
      <w:proofErr w:type="spellStart"/>
      <w:r w:rsidRPr="006532A6">
        <w:rPr>
          <w:lang w:val="en-US"/>
        </w:rPr>
        <w:t>televizyon</w:t>
      </w:r>
      <w:proofErr w:type="spellEnd"/>
      <w:r w:rsidRPr="006532A6">
        <w:rPr>
          <w:lang w:val="en-US"/>
        </w:rPr>
        <w:t xml:space="preserve"> </w:t>
      </w:r>
      <w:proofErr w:type="spellStart"/>
      <w:r w:rsidRPr="006532A6">
        <w:rPr>
          <w:lang w:val="en-US"/>
        </w:rPr>
        <w:t>yorumcuları</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basın</w:t>
      </w:r>
      <w:proofErr w:type="spellEnd"/>
      <w:r w:rsidRPr="006532A6">
        <w:rPr>
          <w:lang w:val="en-US"/>
        </w:rPr>
        <w:t xml:space="preserve"> </w:t>
      </w:r>
      <w:proofErr w:type="spellStart"/>
      <w:r w:rsidRPr="006532A6">
        <w:rPr>
          <w:lang w:val="en-US"/>
        </w:rPr>
        <w:t>açıklamalarının</w:t>
      </w:r>
      <w:proofErr w:type="spellEnd"/>
      <w:r w:rsidRPr="006532A6">
        <w:rPr>
          <w:lang w:val="en-US"/>
        </w:rPr>
        <w:t xml:space="preserve"> </w:t>
      </w:r>
      <w:proofErr w:type="spellStart"/>
      <w:r w:rsidRPr="006532A6">
        <w:rPr>
          <w:lang w:val="en-US"/>
        </w:rPr>
        <w:t>artan</w:t>
      </w:r>
      <w:proofErr w:type="spellEnd"/>
      <w:r w:rsidRPr="006532A6">
        <w:rPr>
          <w:lang w:val="en-US"/>
        </w:rPr>
        <w:t xml:space="preserve"> </w:t>
      </w:r>
      <w:proofErr w:type="spellStart"/>
      <w:r w:rsidRPr="006532A6">
        <w:rPr>
          <w:lang w:val="en-US"/>
        </w:rPr>
        <w:t>önemi</w:t>
      </w:r>
      <w:proofErr w:type="spellEnd"/>
      <w:r w:rsidRPr="006532A6">
        <w:rPr>
          <w:lang w:val="en-US"/>
        </w:rPr>
        <w:t xml:space="preserve"> </w:t>
      </w:r>
      <w:proofErr w:type="spellStart"/>
      <w:r w:rsidRPr="006532A6">
        <w:rPr>
          <w:lang w:val="en-US"/>
        </w:rPr>
        <w:t>gibi</w:t>
      </w:r>
      <w:proofErr w:type="spellEnd"/>
      <w:r w:rsidRPr="006532A6">
        <w:rPr>
          <w:lang w:val="en-US"/>
        </w:rPr>
        <w:t xml:space="preserve"> </w:t>
      </w:r>
      <w:proofErr w:type="spellStart"/>
      <w:r w:rsidRPr="006532A6">
        <w:rPr>
          <w:lang w:val="en-US"/>
        </w:rPr>
        <w:t>güncel</w:t>
      </w:r>
      <w:proofErr w:type="spellEnd"/>
      <w:r w:rsidRPr="006532A6">
        <w:rPr>
          <w:lang w:val="en-US"/>
        </w:rPr>
        <w:t xml:space="preserve"> </w:t>
      </w:r>
      <w:proofErr w:type="spellStart"/>
      <w:r w:rsidRPr="006532A6">
        <w:rPr>
          <w:lang w:val="en-US"/>
        </w:rPr>
        <w:t>gelişmeleri</w:t>
      </w:r>
      <w:proofErr w:type="spellEnd"/>
      <w:r w:rsidRPr="006532A6">
        <w:rPr>
          <w:lang w:val="en-US"/>
        </w:rPr>
        <w:t xml:space="preserve"> </w:t>
      </w:r>
      <w:proofErr w:type="spellStart"/>
      <w:r w:rsidRPr="006532A6">
        <w:rPr>
          <w:lang w:val="en-US"/>
        </w:rPr>
        <w:t>entegre</w:t>
      </w:r>
      <w:proofErr w:type="spellEnd"/>
      <w:r w:rsidRPr="006532A6">
        <w:rPr>
          <w:lang w:val="en-US"/>
        </w:rPr>
        <w:t xml:space="preserve"> </w:t>
      </w:r>
      <w:proofErr w:type="spellStart"/>
      <w:r w:rsidRPr="006532A6">
        <w:rPr>
          <w:lang w:val="en-US"/>
        </w:rPr>
        <w:t>eden</w:t>
      </w:r>
      <w:proofErr w:type="spellEnd"/>
      <w:r w:rsidRPr="006532A6">
        <w:rPr>
          <w:lang w:val="en-US"/>
        </w:rPr>
        <w:t xml:space="preserve"> </w:t>
      </w:r>
      <w:proofErr w:type="spellStart"/>
      <w:r w:rsidRPr="006532A6">
        <w:rPr>
          <w:lang w:val="en-US"/>
        </w:rPr>
        <w:t>anayasa</w:t>
      </w:r>
      <w:proofErr w:type="spellEnd"/>
      <w:r w:rsidRPr="006532A6">
        <w:rPr>
          <w:lang w:val="en-US"/>
        </w:rPr>
        <w:t xml:space="preserve"> </w:t>
      </w:r>
      <w:proofErr w:type="spellStart"/>
      <w:r w:rsidRPr="006532A6">
        <w:rPr>
          <w:lang w:val="en-US"/>
        </w:rPr>
        <w:t>teorisi</w:t>
      </w:r>
      <w:proofErr w:type="spellEnd"/>
      <w:r w:rsidRPr="006532A6">
        <w:rPr>
          <w:lang w:val="en-US"/>
        </w:rPr>
        <w:t xml:space="preserve"> </w:t>
      </w:r>
      <w:proofErr w:type="spellStart"/>
      <w:r w:rsidRPr="006532A6">
        <w:rPr>
          <w:lang w:val="en-US"/>
        </w:rPr>
        <w:t>çalışmaları</w:t>
      </w:r>
      <w:proofErr w:type="spellEnd"/>
      <w:r w:rsidRPr="006532A6">
        <w:rPr>
          <w:lang w:val="en-US"/>
        </w:rPr>
        <w:t xml:space="preserve"> </w:t>
      </w:r>
      <w:proofErr w:type="spellStart"/>
      <w:r w:rsidRPr="006532A6">
        <w:rPr>
          <w:lang w:val="en-US"/>
        </w:rPr>
        <w:t>büyük</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fayda</w:t>
      </w:r>
      <w:proofErr w:type="spellEnd"/>
      <w:r w:rsidRPr="006532A6">
        <w:rPr>
          <w:lang w:val="en-US"/>
        </w:rPr>
        <w:t xml:space="preserve"> </w:t>
      </w:r>
      <w:proofErr w:type="spellStart"/>
      <w:r w:rsidRPr="006532A6">
        <w:rPr>
          <w:lang w:val="en-US"/>
        </w:rPr>
        <w:t>sağlayacaktır</w:t>
      </w:r>
      <w:proofErr w:type="spellEnd"/>
      <w:r w:rsidRPr="006532A6">
        <w:rPr>
          <w:lang w:val="en-US"/>
        </w:rPr>
        <w:t xml:space="preserve">. </w:t>
      </w:r>
      <w:proofErr w:type="spellStart"/>
      <w:r w:rsidRPr="006532A6">
        <w:rPr>
          <w:lang w:val="en-US"/>
        </w:rPr>
        <w:t>Böyle</w:t>
      </w:r>
      <w:proofErr w:type="spellEnd"/>
      <w:r w:rsidRPr="006532A6">
        <w:rPr>
          <w:lang w:val="en-US"/>
        </w:rPr>
        <w:t xml:space="preserve"> </w:t>
      </w:r>
      <w:proofErr w:type="spellStart"/>
      <w:r w:rsidRPr="006532A6">
        <w:rPr>
          <w:lang w:val="en-US"/>
        </w:rPr>
        <w:t>çalışmalar</w:t>
      </w:r>
      <w:proofErr w:type="spellEnd"/>
      <w:r w:rsidRPr="006532A6">
        <w:rPr>
          <w:lang w:val="en-US"/>
        </w:rPr>
        <w:t xml:space="preserve">, </w:t>
      </w:r>
      <w:proofErr w:type="spellStart"/>
      <w:r w:rsidRPr="006532A6">
        <w:rPr>
          <w:lang w:val="en-US"/>
        </w:rPr>
        <w:t>anayasa</w:t>
      </w:r>
      <w:proofErr w:type="spellEnd"/>
      <w:r w:rsidRPr="006532A6">
        <w:rPr>
          <w:lang w:val="en-US"/>
        </w:rPr>
        <w:t xml:space="preserve"> </w:t>
      </w:r>
      <w:proofErr w:type="spellStart"/>
      <w:r w:rsidRPr="006532A6">
        <w:rPr>
          <w:lang w:val="en-US"/>
        </w:rPr>
        <w:t>hukukunun</w:t>
      </w:r>
      <w:proofErr w:type="spellEnd"/>
      <w:r w:rsidRPr="006532A6">
        <w:rPr>
          <w:lang w:val="en-US"/>
        </w:rPr>
        <w:t xml:space="preserve"> ideal </w:t>
      </w:r>
      <w:proofErr w:type="spellStart"/>
      <w:r w:rsidRPr="006532A6">
        <w:rPr>
          <w:lang w:val="en-US"/>
        </w:rPr>
        <w:t>bir</w:t>
      </w:r>
      <w:proofErr w:type="spellEnd"/>
      <w:r w:rsidRPr="006532A6">
        <w:rPr>
          <w:lang w:val="en-US"/>
        </w:rPr>
        <w:t xml:space="preserve"> </w:t>
      </w:r>
      <w:proofErr w:type="spellStart"/>
      <w:r w:rsidRPr="006532A6">
        <w:rPr>
          <w:lang w:val="en-US"/>
        </w:rPr>
        <w:t>dünyada</w:t>
      </w:r>
      <w:proofErr w:type="spellEnd"/>
      <w:r w:rsidRPr="006532A6">
        <w:rPr>
          <w:lang w:val="en-US"/>
        </w:rPr>
        <w:t xml:space="preserve"> </w:t>
      </w:r>
      <w:proofErr w:type="spellStart"/>
      <w:r w:rsidRPr="006532A6">
        <w:rPr>
          <w:lang w:val="en-US"/>
        </w:rPr>
        <w:t>ya</w:t>
      </w:r>
      <w:proofErr w:type="spellEnd"/>
      <w:r w:rsidRPr="006532A6">
        <w:rPr>
          <w:lang w:val="en-US"/>
        </w:rPr>
        <w:t xml:space="preserve"> da </w:t>
      </w:r>
      <w:proofErr w:type="spellStart"/>
      <w:r w:rsidRPr="006532A6">
        <w:rPr>
          <w:lang w:val="en-US"/>
        </w:rPr>
        <w:t>tarihsel</w:t>
      </w:r>
      <w:proofErr w:type="spellEnd"/>
      <w:r w:rsidRPr="006532A6">
        <w:rPr>
          <w:lang w:val="en-US"/>
        </w:rPr>
        <w:t xml:space="preserve"> </w:t>
      </w:r>
      <w:proofErr w:type="spellStart"/>
      <w:r w:rsidRPr="006532A6">
        <w:rPr>
          <w:lang w:val="en-US"/>
        </w:rPr>
        <w:t>deneyimimizden</w:t>
      </w:r>
      <w:proofErr w:type="spellEnd"/>
      <w:r w:rsidRPr="006532A6">
        <w:rPr>
          <w:lang w:val="en-US"/>
        </w:rPr>
        <w:t xml:space="preserve"> </w:t>
      </w:r>
      <w:proofErr w:type="spellStart"/>
      <w:r w:rsidRPr="006532A6">
        <w:rPr>
          <w:lang w:val="en-US"/>
        </w:rPr>
        <w:t>soyutlanmış</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çerçevede</w:t>
      </w:r>
      <w:proofErr w:type="spellEnd"/>
      <w:r w:rsidRPr="006532A6">
        <w:rPr>
          <w:lang w:val="en-US"/>
        </w:rPr>
        <w:t xml:space="preserve"> </w:t>
      </w:r>
      <w:proofErr w:type="spellStart"/>
      <w:r w:rsidRPr="006532A6">
        <w:rPr>
          <w:lang w:val="en-US"/>
        </w:rPr>
        <w:t>değil</w:t>
      </w:r>
      <w:proofErr w:type="spellEnd"/>
      <w:r w:rsidRPr="006532A6">
        <w:rPr>
          <w:lang w:val="en-US"/>
        </w:rPr>
        <w:t xml:space="preserve">, </w:t>
      </w:r>
      <w:proofErr w:type="spellStart"/>
      <w:r w:rsidRPr="006532A6">
        <w:rPr>
          <w:lang w:val="en-US"/>
        </w:rPr>
        <w:t>günümüzün</w:t>
      </w:r>
      <w:proofErr w:type="spellEnd"/>
      <w:r w:rsidRPr="006532A6">
        <w:rPr>
          <w:lang w:val="en-US"/>
        </w:rPr>
        <w:t xml:space="preserve"> </w:t>
      </w:r>
      <w:proofErr w:type="spellStart"/>
      <w:r w:rsidRPr="006532A6">
        <w:rPr>
          <w:lang w:val="en-US"/>
        </w:rPr>
        <w:t>gerçek</w:t>
      </w:r>
      <w:proofErr w:type="spellEnd"/>
      <w:r w:rsidRPr="006532A6">
        <w:rPr>
          <w:lang w:val="en-US"/>
        </w:rPr>
        <w:t xml:space="preserve"> </w:t>
      </w:r>
      <w:proofErr w:type="spellStart"/>
      <w:r w:rsidRPr="006532A6">
        <w:rPr>
          <w:lang w:val="en-US"/>
        </w:rPr>
        <w:t>dünyasında</w:t>
      </w:r>
      <w:proofErr w:type="spellEnd"/>
      <w:r w:rsidRPr="006532A6">
        <w:rPr>
          <w:lang w:val="en-US"/>
        </w:rPr>
        <w:t xml:space="preserve"> </w:t>
      </w:r>
      <w:proofErr w:type="spellStart"/>
      <w:r w:rsidRPr="006532A6">
        <w:rPr>
          <w:lang w:val="en-US"/>
        </w:rPr>
        <w:t>nasıl</w:t>
      </w:r>
      <w:proofErr w:type="spellEnd"/>
      <w:r w:rsidRPr="006532A6">
        <w:rPr>
          <w:lang w:val="en-US"/>
        </w:rPr>
        <w:t xml:space="preserve"> </w:t>
      </w:r>
      <w:proofErr w:type="spellStart"/>
      <w:r w:rsidRPr="006532A6">
        <w:rPr>
          <w:lang w:val="en-US"/>
        </w:rPr>
        <w:t>şekillendiğini</w:t>
      </w:r>
      <w:proofErr w:type="spellEnd"/>
      <w:r w:rsidRPr="006532A6">
        <w:rPr>
          <w:lang w:val="en-US"/>
        </w:rPr>
        <w:t xml:space="preserve"> </w:t>
      </w:r>
      <w:proofErr w:type="spellStart"/>
      <w:r w:rsidRPr="006532A6">
        <w:rPr>
          <w:lang w:val="en-US"/>
        </w:rPr>
        <w:t>açık</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şekilde</w:t>
      </w:r>
      <w:proofErr w:type="spellEnd"/>
      <w:r w:rsidRPr="006532A6">
        <w:rPr>
          <w:lang w:val="en-US"/>
        </w:rPr>
        <w:t xml:space="preserve"> </w:t>
      </w:r>
      <w:proofErr w:type="spellStart"/>
      <w:r w:rsidRPr="006532A6">
        <w:rPr>
          <w:lang w:val="en-US"/>
        </w:rPr>
        <w:t>değerlendirecektir</w:t>
      </w:r>
      <w:proofErr w:type="spellEnd"/>
      <w:r w:rsidRPr="006532A6">
        <w:rPr>
          <w:lang w:val="en-US"/>
        </w:rPr>
        <w:t>.</w:t>
      </w:r>
      <w:r>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kültürümüze</w:t>
      </w:r>
      <w:proofErr w:type="spellEnd"/>
      <w:r w:rsidRPr="006532A6">
        <w:rPr>
          <w:lang w:val="en-US"/>
        </w:rPr>
        <w:t xml:space="preserve"> </w:t>
      </w:r>
      <w:proofErr w:type="spellStart"/>
      <w:r w:rsidRPr="006532A6">
        <w:rPr>
          <w:lang w:val="en-US"/>
        </w:rPr>
        <w:t>farklı</w:t>
      </w:r>
      <w:proofErr w:type="spellEnd"/>
      <w:r w:rsidRPr="006532A6">
        <w:rPr>
          <w:lang w:val="en-US"/>
        </w:rPr>
        <w:t xml:space="preserve"> </w:t>
      </w:r>
      <w:proofErr w:type="spellStart"/>
      <w:r w:rsidRPr="006532A6">
        <w:rPr>
          <w:lang w:val="en-US"/>
        </w:rPr>
        <w:t>perspektiflerden</w:t>
      </w:r>
      <w:proofErr w:type="spellEnd"/>
      <w:r w:rsidRPr="006532A6">
        <w:rPr>
          <w:lang w:val="en-US"/>
        </w:rPr>
        <w:t xml:space="preserve"> </w:t>
      </w:r>
      <w:proofErr w:type="spellStart"/>
      <w:r w:rsidRPr="006532A6">
        <w:rPr>
          <w:lang w:val="en-US"/>
        </w:rPr>
        <w:t>yaklaşan</w:t>
      </w:r>
      <w:proofErr w:type="spellEnd"/>
      <w:r w:rsidRPr="006532A6">
        <w:rPr>
          <w:lang w:val="en-US"/>
        </w:rPr>
        <w:t xml:space="preserve"> </w:t>
      </w:r>
      <w:proofErr w:type="spellStart"/>
      <w:r w:rsidRPr="006532A6">
        <w:rPr>
          <w:lang w:val="en-US"/>
        </w:rPr>
        <w:t>akademisyenlerin</w:t>
      </w:r>
      <w:proofErr w:type="spellEnd"/>
      <w:r w:rsidRPr="006532A6">
        <w:rPr>
          <w:lang w:val="en-US"/>
        </w:rPr>
        <w:t xml:space="preserve"> </w:t>
      </w:r>
      <w:proofErr w:type="spellStart"/>
      <w:r w:rsidRPr="006532A6">
        <w:rPr>
          <w:lang w:val="en-US"/>
        </w:rPr>
        <w:t>oldukça</w:t>
      </w:r>
      <w:proofErr w:type="spellEnd"/>
      <w:r w:rsidRPr="006532A6">
        <w:rPr>
          <w:lang w:val="en-US"/>
        </w:rPr>
        <w:t xml:space="preserve"> </w:t>
      </w:r>
      <w:proofErr w:type="spellStart"/>
      <w:r w:rsidRPr="006532A6">
        <w:rPr>
          <w:lang w:val="en-US"/>
        </w:rPr>
        <w:t>farklı</w:t>
      </w:r>
      <w:proofErr w:type="spellEnd"/>
      <w:r w:rsidRPr="006532A6">
        <w:rPr>
          <w:lang w:val="en-US"/>
        </w:rPr>
        <w:t xml:space="preserve"> </w:t>
      </w:r>
      <w:proofErr w:type="spellStart"/>
      <w:r w:rsidRPr="006532A6">
        <w:rPr>
          <w:lang w:val="en-US"/>
        </w:rPr>
        <w:t>normatif</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değerlendirmeye</w:t>
      </w:r>
      <w:proofErr w:type="spellEnd"/>
      <w:r w:rsidRPr="006532A6">
        <w:rPr>
          <w:lang w:val="en-US"/>
        </w:rPr>
        <w:t xml:space="preserve"> </w:t>
      </w:r>
      <w:proofErr w:type="spellStart"/>
      <w:r w:rsidRPr="006532A6">
        <w:rPr>
          <w:lang w:val="en-US"/>
        </w:rPr>
        <w:t>dayalı</w:t>
      </w:r>
      <w:proofErr w:type="spellEnd"/>
      <w:r w:rsidRPr="006532A6">
        <w:rPr>
          <w:lang w:val="en-US"/>
        </w:rPr>
        <w:t xml:space="preserve"> </w:t>
      </w:r>
      <w:proofErr w:type="spellStart"/>
      <w:r w:rsidRPr="006532A6">
        <w:rPr>
          <w:lang w:val="en-US"/>
        </w:rPr>
        <w:t>sonuçlara</w:t>
      </w:r>
      <w:proofErr w:type="spellEnd"/>
      <w:r w:rsidRPr="006532A6">
        <w:rPr>
          <w:lang w:val="en-US"/>
        </w:rPr>
        <w:t xml:space="preserve"> </w:t>
      </w:r>
      <w:proofErr w:type="spellStart"/>
      <w:r w:rsidRPr="006532A6">
        <w:rPr>
          <w:lang w:val="en-US"/>
        </w:rPr>
        <w:t>ulaşması</w:t>
      </w:r>
      <w:proofErr w:type="spellEnd"/>
      <w:r w:rsidRPr="006532A6">
        <w:rPr>
          <w:lang w:val="en-US"/>
        </w:rPr>
        <w:t xml:space="preserve"> </w:t>
      </w:r>
      <w:proofErr w:type="spellStart"/>
      <w:r w:rsidRPr="006532A6">
        <w:rPr>
          <w:lang w:val="en-US"/>
        </w:rPr>
        <w:t>muhtemeldir</w:t>
      </w:r>
      <w:proofErr w:type="spellEnd"/>
      <w:r w:rsidRPr="006532A6">
        <w:rPr>
          <w:lang w:val="en-US"/>
        </w:rPr>
        <w:t xml:space="preserve">. </w:t>
      </w:r>
      <w:proofErr w:type="spellStart"/>
      <w:r w:rsidRPr="006532A6">
        <w:rPr>
          <w:lang w:val="en-US"/>
        </w:rPr>
        <w:t>Örneğin</w:t>
      </w:r>
      <w:proofErr w:type="spellEnd"/>
      <w:r w:rsidRPr="006532A6">
        <w:rPr>
          <w:lang w:val="en-US"/>
        </w:rPr>
        <w:t xml:space="preserve">, </w:t>
      </w:r>
      <w:proofErr w:type="spellStart"/>
      <w:r w:rsidRPr="006532A6">
        <w:rPr>
          <w:lang w:val="en-US"/>
        </w:rPr>
        <w:t>internetin</w:t>
      </w:r>
      <w:proofErr w:type="spellEnd"/>
      <w:r w:rsidRPr="006532A6">
        <w:rPr>
          <w:lang w:val="en-US"/>
        </w:rPr>
        <w:t xml:space="preserve"> </w:t>
      </w:r>
      <w:proofErr w:type="spellStart"/>
      <w:r w:rsidRPr="006532A6">
        <w:rPr>
          <w:lang w:val="en-US"/>
        </w:rPr>
        <w:t>yükselişi</w:t>
      </w:r>
      <w:proofErr w:type="spellEnd"/>
      <w:r w:rsidRPr="006532A6">
        <w:rPr>
          <w:lang w:val="en-US"/>
        </w:rPr>
        <w:t xml:space="preserve">, </w:t>
      </w:r>
      <w:proofErr w:type="spellStart"/>
      <w:r w:rsidRPr="006532A6">
        <w:rPr>
          <w:lang w:val="en-US"/>
        </w:rPr>
        <w:t>artan</w:t>
      </w:r>
      <w:proofErr w:type="spellEnd"/>
      <w:r w:rsidRPr="006532A6">
        <w:rPr>
          <w:lang w:val="en-US"/>
        </w:rPr>
        <w:t xml:space="preserve"> </w:t>
      </w:r>
      <w:proofErr w:type="spellStart"/>
      <w:r w:rsidRPr="006532A6">
        <w:rPr>
          <w:lang w:val="en-US"/>
        </w:rPr>
        <w:t>partizanlık</w:t>
      </w:r>
      <w:proofErr w:type="spellEnd"/>
      <w:r w:rsidRPr="006532A6">
        <w:rPr>
          <w:lang w:val="en-US"/>
        </w:rPr>
        <w:t xml:space="preserve">, </w:t>
      </w:r>
      <w:proofErr w:type="spellStart"/>
      <w:r w:rsidRPr="006532A6">
        <w:rPr>
          <w:lang w:val="en-US"/>
        </w:rPr>
        <w:t>hukuk</w:t>
      </w:r>
      <w:proofErr w:type="spellEnd"/>
      <w:r w:rsidRPr="006532A6">
        <w:rPr>
          <w:lang w:val="en-US"/>
        </w:rPr>
        <w:t xml:space="preserve"> </w:t>
      </w:r>
      <w:proofErr w:type="spellStart"/>
      <w:r w:rsidRPr="006532A6">
        <w:rPr>
          <w:lang w:val="en-US"/>
        </w:rPr>
        <w:t>kâtiplerinin</w:t>
      </w:r>
      <w:proofErr w:type="spellEnd"/>
      <w:r w:rsidRPr="006532A6">
        <w:rPr>
          <w:lang w:val="en-US"/>
        </w:rPr>
        <w:t xml:space="preserve"> </w:t>
      </w:r>
      <w:proofErr w:type="spellStart"/>
      <w:r w:rsidRPr="006532A6">
        <w:rPr>
          <w:lang w:val="en-US"/>
        </w:rPr>
        <w:t>büyüyen</w:t>
      </w:r>
      <w:proofErr w:type="spellEnd"/>
      <w:r w:rsidRPr="006532A6">
        <w:rPr>
          <w:lang w:val="en-US"/>
        </w:rPr>
        <w:t xml:space="preserve"> </w:t>
      </w:r>
      <w:proofErr w:type="spellStart"/>
      <w:r w:rsidRPr="006532A6">
        <w:rPr>
          <w:lang w:val="en-US"/>
        </w:rPr>
        <w:t>etkisi</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içeriğin</w:t>
      </w:r>
      <w:proofErr w:type="spellEnd"/>
      <w:r w:rsidRPr="006532A6">
        <w:rPr>
          <w:lang w:val="en-US"/>
        </w:rPr>
        <w:t xml:space="preserve"> </w:t>
      </w:r>
      <w:proofErr w:type="spellStart"/>
      <w:r w:rsidRPr="006532A6">
        <w:rPr>
          <w:lang w:val="en-US"/>
        </w:rPr>
        <w:t>televizyon</w:t>
      </w:r>
      <w:proofErr w:type="spellEnd"/>
      <w:r w:rsidRPr="006532A6">
        <w:rPr>
          <w:lang w:val="en-US"/>
        </w:rPr>
        <w:t xml:space="preserve"> </w:t>
      </w:r>
      <w:proofErr w:type="spellStart"/>
      <w:r w:rsidRPr="006532A6">
        <w:rPr>
          <w:lang w:val="en-US"/>
        </w:rPr>
        <w:t>yorumcuları</w:t>
      </w:r>
      <w:proofErr w:type="spellEnd"/>
      <w:r w:rsidRPr="006532A6">
        <w:rPr>
          <w:lang w:val="en-US"/>
        </w:rPr>
        <w:t xml:space="preserve"> </w:t>
      </w:r>
      <w:proofErr w:type="spellStart"/>
      <w:r w:rsidRPr="006532A6">
        <w:rPr>
          <w:lang w:val="en-US"/>
        </w:rPr>
        <w:t>aracılığıyla</w:t>
      </w:r>
      <w:proofErr w:type="spellEnd"/>
      <w:r w:rsidRPr="006532A6">
        <w:rPr>
          <w:lang w:val="en-US"/>
        </w:rPr>
        <w:t xml:space="preserve"> </w:t>
      </w:r>
      <w:proofErr w:type="spellStart"/>
      <w:r w:rsidRPr="006532A6">
        <w:rPr>
          <w:lang w:val="en-US"/>
        </w:rPr>
        <w:t>yaygın</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şekilde</w:t>
      </w:r>
      <w:proofErr w:type="spellEnd"/>
      <w:r w:rsidRPr="006532A6">
        <w:rPr>
          <w:lang w:val="en-US"/>
        </w:rPr>
        <w:t xml:space="preserve"> </w:t>
      </w:r>
      <w:proofErr w:type="spellStart"/>
      <w:r w:rsidRPr="006532A6">
        <w:rPr>
          <w:lang w:val="en-US"/>
        </w:rPr>
        <w:t>filtrelenmesi</w:t>
      </w:r>
      <w:proofErr w:type="spellEnd"/>
      <w:r w:rsidRPr="006532A6">
        <w:rPr>
          <w:lang w:val="en-US"/>
        </w:rPr>
        <w:t xml:space="preserve"> </w:t>
      </w:r>
      <w:proofErr w:type="spellStart"/>
      <w:r w:rsidRPr="006532A6">
        <w:rPr>
          <w:lang w:val="en-US"/>
        </w:rPr>
        <w:t>gibi</w:t>
      </w:r>
      <w:proofErr w:type="spellEnd"/>
      <w:r w:rsidRPr="006532A6">
        <w:rPr>
          <w:lang w:val="en-US"/>
        </w:rPr>
        <w:t xml:space="preserve"> </w:t>
      </w:r>
      <w:proofErr w:type="spellStart"/>
      <w:r w:rsidRPr="006532A6">
        <w:rPr>
          <w:lang w:val="en-US"/>
        </w:rPr>
        <w:t>olgulara</w:t>
      </w:r>
      <w:proofErr w:type="spellEnd"/>
      <w:r w:rsidRPr="006532A6">
        <w:rPr>
          <w:lang w:val="en-US"/>
        </w:rPr>
        <w:t xml:space="preserve"> </w:t>
      </w:r>
      <w:proofErr w:type="spellStart"/>
      <w:r w:rsidRPr="006532A6">
        <w:rPr>
          <w:lang w:val="en-US"/>
        </w:rPr>
        <w:t>odaklanan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yargının</w:t>
      </w:r>
      <w:proofErr w:type="spellEnd"/>
      <w:r w:rsidRPr="006532A6">
        <w:rPr>
          <w:lang w:val="en-US"/>
        </w:rPr>
        <w:t xml:space="preserve"> </w:t>
      </w:r>
      <w:proofErr w:type="spellStart"/>
      <w:r w:rsidRPr="006532A6">
        <w:rPr>
          <w:lang w:val="en-US"/>
        </w:rPr>
        <w:t>belirgin</w:t>
      </w:r>
      <w:proofErr w:type="spellEnd"/>
      <w:r w:rsidRPr="006532A6">
        <w:rPr>
          <w:lang w:val="en-US"/>
        </w:rPr>
        <w:t xml:space="preserve"> </w:t>
      </w:r>
      <w:proofErr w:type="spellStart"/>
      <w:r w:rsidRPr="006532A6">
        <w:rPr>
          <w:lang w:val="en-US"/>
        </w:rPr>
        <w:t>rolünü</w:t>
      </w:r>
      <w:proofErr w:type="spellEnd"/>
      <w:r w:rsidRPr="006532A6">
        <w:rPr>
          <w:lang w:val="en-US"/>
        </w:rPr>
        <w:t xml:space="preserve"> </w:t>
      </w:r>
      <w:proofErr w:type="spellStart"/>
      <w:r w:rsidRPr="006532A6">
        <w:rPr>
          <w:lang w:val="en-US"/>
        </w:rPr>
        <w:t>haklı</w:t>
      </w:r>
      <w:proofErr w:type="spellEnd"/>
      <w:r w:rsidRPr="006532A6">
        <w:rPr>
          <w:lang w:val="en-US"/>
        </w:rPr>
        <w:t xml:space="preserve"> </w:t>
      </w:r>
      <w:proofErr w:type="spellStart"/>
      <w:r w:rsidRPr="006532A6">
        <w:rPr>
          <w:lang w:val="en-US"/>
        </w:rPr>
        <w:t>kılan</w:t>
      </w:r>
      <w:proofErr w:type="spellEnd"/>
      <w:r w:rsidRPr="006532A6">
        <w:rPr>
          <w:lang w:val="en-US"/>
        </w:rPr>
        <w:t xml:space="preserve"> </w:t>
      </w:r>
      <w:proofErr w:type="spellStart"/>
      <w:r w:rsidRPr="006532A6">
        <w:rPr>
          <w:lang w:val="en-US"/>
        </w:rPr>
        <w:t>unsurları</w:t>
      </w:r>
      <w:proofErr w:type="spellEnd"/>
      <w:r w:rsidRPr="006532A6">
        <w:rPr>
          <w:lang w:val="en-US"/>
        </w:rPr>
        <w:t xml:space="preserve"> </w:t>
      </w:r>
      <w:proofErr w:type="spellStart"/>
      <w:r w:rsidRPr="006532A6">
        <w:rPr>
          <w:lang w:val="en-US"/>
        </w:rPr>
        <w:t>zayıflattığını</w:t>
      </w:r>
      <w:proofErr w:type="spellEnd"/>
      <w:r w:rsidRPr="006532A6">
        <w:rPr>
          <w:lang w:val="en-US"/>
        </w:rPr>
        <w:t xml:space="preserve"> </w:t>
      </w:r>
      <w:proofErr w:type="spellStart"/>
      <w:r w:rsidRPr="006532A6">
        <w:rPr>
          <w:lang w:val="en-US"/>
        </w:rPr>
        <w:t>savunan</w:t>
      </w:r>
      <w:proofErr w:type="spellEnd"/>
      <w:r w:rsidRPr="006532A6">
        <w:rPr>
          <w:lang w:val="en-US"/>
        </w:rPr>
        <w:t xml:space="preserve"> </w:t>
      </w:r>
      <w:proofErr w:type="spellStart"/>
      <w:r w:rsidRPr="006532A6">
        <w:rPr>
          <w:lang w:val="en-US"/>
        </w:rPr>
        <w:t>sert</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eleştiri</w:t>
      </w:r>
      <w:proofErr w:type="spellEnd"/>
      <w:r w:rsidRPr="006532A6">
        <w:rPr>
          <w:lang w:val="en-US"/>
        </w:rPr>
        <w:t xml:space="preserve"> </w:t>
      </w:r>
      <w:proofErr w:type="spellStart"/>
      <w:r w:rsidRPr="006532A6">
        <w:rPr>
          <w:lang w:val="en-US"/>
        </w:rPr>
        <w:t>düşünülebilir</w:t>
      </w:r>
      <w:proofErr w:type="spellEnd"/>
      <w:r w:rsidRPr="006532A6">
        <w:rPr>
          <w:lang w:val="en-US"/>
        </w:rPr>
        <w:t xml:space="preserve">. </w:t>
      </w:r>
      <w:proofErr w:type="spellStart"/>
      <w:r w:rsidRPr="006532A6">
        <w:rPr>
          <w:lang w:val="en-US"/>
        </w:rPr>
        <w:t>Öte</w:t>
      </w:r>
      <w:proofErr w:type="spellEnd"/>
      <w:r w:rsidRPr="006532A6">
        <w:rPr>
          <w:lang w:val="en-US"/>
        </w:rPr>
        <w:t xml:space="preserve"> </w:t>
      </w:r>
      <w:proofErr w:type="spellStart"/>
      <w:r w:rsidRPr="006532A6">
        <w:rPr>
          <w:lang w:val="en-US"/>
        </w:rPr>
        <w:t>yandan</w:t>
      </w:r>
      <w:proofErr w:type="spellEnd"/>
      <w:r w:rsidRPr="006532A6">
        <w:rPr>
          <w:lang w:val="en-US"/>
        </w:rPr>
        <w:t xml:space="preserve">, </w:t>
      </w:r>
      <w:proofErr w:type="spellStart"/>
      <w:r w:rsidRPr="006532A6">
        <w:rPr>
          <w:lang w:val="en-US"/>
        </w:rPr>
        <w:t>mevcut</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kültürümüzü</w:t>
      </w:r>
      <w:proofErr w:type="spellEnd"/>
      <w:r w:rsidRPr="006532A6">
        <w:rPr>
          <w:lang w:val="en-US"/>
        </w:rPr>
        <w:t xml:space="preserve"> </w:t>
      </w:r>
      <w:proofErr w:type="spellStart"/>
      <w:r w:rsidRPr="006532A6">
        <w:rPr>
          <w:lang w:val="en-US"/>
        </w:rPr>
        <w:t>tutkuyla</w:t>
      </w:r>
      <w:proofErr w:type="spellEnd"/>
      <w:r w:rsidRPr="006532A6">
        <w:rPr>
          <w:lang w:val="en-US"/>
        </w:rPr>
        <w:t xml:space="preserve"> </w:t>
      </w:r>
      <w:proofErr w:type="spellStart"/>
      <w:r w:rsidRPr="006532A6">
        <w:rPr>
          <w:lang w:val="en-US"/>
        </w:rPr>
        <w:t>savunan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kurumlarımızın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uygulamalarımızın</w:t>
      </w:r>
      <w:proofErr w:type="spellEnd"/>
      <w:r w:rsidRPr="006532A6">
        <w:rPr>
          <w:lang w:val="en-US"/>
        </w:rPr>
        <w:t xml:space="preserve"> </w:t>
      </w:r>
      <w:proofErr w:type="spellStart"/>
      <w:r w:rsidRPr="006532A6">
        <w:rPr>
          <w:lang w:val="en-US"/>
        </w:rPr>
        <w:t>daha</w:t>
      </w:r>
      <w:proofErr w:type="spellEnd"/>
      <w:r w:rsidRPr="006532A6">
        <w:rPr>
          <w:lang w:val="en-US"/>
        </w:rPr>
        <w:t xml:space="preserve"> </w:t>
      </w:r>
      <w:proofErr w:type="spellStart"/>
      <w:r w:rsidRPr="006532A6">
        <w:rPr>
          <w:lang w:val="en-US"/>
        </w:rPr>
        <w:t>temsili</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katılımcı</w:t>
      </w:r>
      <w:proofErr w:type="spellEnd"/>
      <w:r w:rsidRPr="006532A6">
        <w:rPr>
          <w:lang w:val="en-US"/>
        </w:rPr>
        <w:t xml:space="preserve"> hale </w:t>
      </w:r>
      <w:proofErr w:type="spellStart"/>
      <w:r w:rsidRPr="006532A6">
        <w:rPr>
          <w:lang w:val="en-US"/>
        </w:rPr>
        <w:t>gelecek</w:t>
      </w:r>
      <w:proofErr w:type="spellEnd"/>
      <w:r w:rsidRPr="006532A6">
        <w:rPr>
          <w:lang w:val="en-US"/>
        </w:rPr>
        <w:t xml:space="preserve"> </w:t>
      </w:r>
      <w:proofErr w:type="spellStart"/>
      <w:r w:rsidRPr="006532A6">
        <w:rPr>
          <w:lang w:val="en-US"/>
        </w:rPr>
        <w:t>şekilde</w:t>
      </w:r>
      <w:proofErr w:type="spellEnd"/>
      <w:r w:rsidRPr="006532A6">
        <w:rPr>
          <w:lang w:val="en-US"/>
        </w:rPr>
        <w:t xml:space="preserve"> </w:t>
      </w:r>
      <w:proofErr w:type="spellStart"/>
      <w:r w:rsidRPr="006532A6">
        <w:rPr>
          <w:lang w:val="en-US"/>
        </w:rPr>
        <w:t>evrildiğini</w:t>
      </w:r>
      <w:proofErr w:type="spellEnd"/>
      <w:r w:rsidRPr="006532A6">
        <w:rPr>
          <w:lang w:val="en-US"/>
        </w:rPr>
        <w:t xml:space="preserve"> </w:t>
      </w:r>
      <w:proofErr w:type="spellStart"/>
      <w:r w:rsidRPr="006532A6">
        <w:rPr>
          <w:lang w:val="en-US"/>
        </w:rPr>
        <w:t>ileri</w:t>
      </w:r>
      <w:proofErr w:type="spellEnd"/>
      <w:r w:rsidRPr="006532A6">
        <w:rPr>
          <w:lang w:val="en-US"/>
        </w:rPr>
        <w:t xml:space="preserve"> </w:t>
      </w:r>
      <w:proofErr w:type="spellStart"/>
      <w:r w:rsidRPr="006532A6">
        <w:rPr>
          <w:lang w:val="en-US"/>
        </w:rPr>
        <w:t>süren</w:t>
      </w:r>
      <w:proofErr w:type="spellEnd"/>
      <w:r w:rsidRPr="006532A6">
        <w:rPr>
          <w:lang w:val="en-US"/>
        </w:rPr>
        <w:t xml:space="preserve">, </w:t>
      </w:r>
      <w:proofErr w:type="spellStart"/>
      <w:r w:rsidRPr="006532A6">
        <w:rPr>
          <w:lang w:val="en-US"/>
        </w:rPr>
        <w:t>böylece</w:t>
      </w:r>
      <w:proofErr w:type="spellEnd"/>
      <w:r w:rsidRPr="006532A6">
        <w:rPr>
          <w:lang w:val="en-US"/>
        </w:rPr>
        <w:t xml:space="preserve"> </w:t>
      </w:r>
      <w:proofErr w:type="spellStart"/>
      <w:r w:rsidRPr="006532A6">
        <w:rPr>
          <w:lang w:val="en-US"/>
        </w:rPr>
        <w:t>geleneksel</w:t>
      </w:r>
      <w:proofErr w:type="spellEnd"/>
      <w:r w:rsidRPr="006532A6">
        <w:rPr>
          <w:lang w:val="en-US"/>
        </w:rPr>
        <w:t xml:space="preserve"> </w:t>
      </w:r>
      <w:proofErr w:type="spellStart"/>
      <w:r w:rsidRPr="006532A6">
        <w:rPr>
          <w:lang w:val="en-US"/>
        </w:rPr>
        <w:t>karşı</w:t>
      </w:r>
      <w:proofErr w:type="spellEnd"/>
      <w:r w:rsidRPr="006532A6">
        <w:rPr>
          <w:lang w:val="en-US"/>
        </w:rPr>
        <w:t xml:space="preserve"> </w:t>
      </w:r>
      <w:proofErr w:type="spellStart"/>
      <w:r w:rsidRPr="006532A6">
        <w:rPr>
          <w:lang w:val="en-US"/>
        </w:rPr>
        <w:t>çoğunlukçu</w:t>
      </w:r>
      <w:proofErr w:type="spellEnd"/>
      <w:r w:rsidRPr="006532A6">
        <w:rPr>
          <w:lang w:val="en-US"/>
        </w:rPr>
        <w:t xml:space="preserve"> (</w:t>
      </w:r>
      <w:proofErr w:type="spellStart"/>
      <w:r w:rsidRPr="006532A6">
        <w:rPr>
          <w:lang w:val="en-US"/>
        </w:rPr>
        <w:t>countermajoritarian</w:t>
      </w:r>
      <w:proofErr w:type="spellEnd"/>
      <w:r w:rsidRPr="006532A6">
        <w:rPr>
          <w:lang w:val="en-US"/>
        </w:rPr>
        <w:t xml:space="preserve">) </w:t>
      </w:r>
      <w:proofErr w:type="spellStart"/>
      <w:r w:rsidRPr="006532A6">
        <w:rPr>
          <w:lang w:val="en-US"/>
        </w:rPr>
        <w:t>eleştiriyi</w:t>
      </w:r>
      <w:proofErr w:type="spellEnd"/>
      <w:r w:rsidRPr="006532A6">
        <w:rPr>
          <w:lang w:val="en-US"/>
        </w:rPr>
        <w:t xml:space="preserve"> </w:t>
      </w:r>
      <w:proofErr w:type="spellStart"/>
      <w:r w:rsidRPr="006532A6">
        <w:rPr>
          <w:lang w:val="en-US"/>
        </w:rPr>
        <w:t>zayıflatan</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değerlendirme</w:t>
      </w:r>
      <w:proofErr w:type="spellEnd"/>
      <w:r w:rsidRPr="006532A6">
        <w:rPr>
          <w:lang w:val="en-US"/>
        </w:rPr>
        <w:t xml:space="preserve"> de </w:t>
      </w:r>
      <w:proofErr w:type="spellStart"/>
      <w:r w:rsidRPr="006532A6">
        <w:rPr>
          <w:lang w:val="en-US"/>
        </w:rPr>
        <w:t>yapılabilir</w:t>
      </w:r>
      <w:proofErr w:type="spellEnd"/>
      <w:r>
        <w:rPr>
          <w:lang w:val="en-US"/>
        </w:rPr>
        <w:t xml:space="preserve">. </w:t>
      </w:r>
    </w:p>
    <w:p w14:paraId="6B5C129B" w14:textId="2EB2A070" w:rsidR="006532A6" w:rsidRPr="006532A6" w:rsidRDefault="006532A6" w:rsidP="006532A6">
      <w:pPr>
        <w:pStyle w:val="ListParagraph"/>
        <w:numPr>
          <w:ilvl w:val="0"/>
          <w:numId w:val="14"/>
        </w:numPr>
        <w:rPr>
          <w:lang w:val="en-US"/>
        </w:rPr>
      </w:pPr>
      <w:proofErr w:type="spellStart"/>
      <w:r w:rsidRPr="006532A6">
        <w:rPr>
          <w:b/>
          <w:bCs/>
          <w:lang w:val="en-US"/>
        </w:rPr>
        <w:t>Gelişmekte</w:t>
      </w:r>
      <w:proofErr w:type="spellEnd"/>
      <w:r w:rsidRPr="006532A6">
        <w:rPr>
          <w:b/>
          <w:bCs/>
          <w:lang w:val="en-US"/>
        </w:rPr>
        <w:t xml:space="preserve"> Olan Bir </w:t>
      </w:r>
      <w:proofErr w:type="spellStart"/>
      <w:r w:rsidRPr="006532A6">
        <w:rPr>
          <w:b/>
          <w:bCs/>
          <w:lang w:val="en-US"/>
        </w:rPr>
        <w:t>Literatür</w:t>
      </w:r>
      <w:proofErr w:type="spellEnd"/>
    </w:p>
    <w:p w14:paraId="4C273768" w14:textId="7B1EE03C" w:rsidR="006532A6" w:rsidRDefault="006532A6" w:rsidP="006532A6">
      <w:pPr>
        <w:rPr>
          <w:lang w:val="en-US"/>
        </w:rPr>
      </w:pPr>
      <w:r w:rsidRPr="006532A6">
        <w:rPr>
          <w:lang w:val="en-US"/>
        </w:rPr>
        <w:t xml:space="preserve">Her ne </w:t>
      </w:r>
      <w:proofErr w:type="spellStart"/>
      <w:r w:rsidRPr="006532A6">
        <w:rPr>
          <w:lang w:val="en-US"/>
        </w:rPr>
        <w:t>kadar</w:t>
      </w:r>
      <w:proofErr w:type="spellEnd"/>
      <w:r w:rsidRPr="006532A6">
        <w:rPr>
          <w:lang w:val="en-US"/>
        </w:rPr>
        <w:t xml:space="preserve"> </w:t>
      </w:r>
      <w:proofErr w:type="spellStart"/>
      <w:r w:rsidRPr="006532A6">
        <w:rPr>
          <w:lang w:val="en-US"/>
        </w:rPr>
        <w:t>entelektüel</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gündemi</w:t>
      </w:r>
      <w:proofErr w:type="spellEnd"/>
      <w:r w:rsidRPr="006532A6">
        <w:rPr>
          <w:lang w:val="en-US"/>
        </w:rPr>
        <w:t xml:space="preserve"> </w:t>
      </w:r>
      <w:proofErr w:type="spellStart"/>
      <w:r w:rsidRPr="006532A6">
        <w:rPr>
          <w:lang w:val="en-US"/>
        </w:rPr>
        <w:t>gelecekte</w:t>
      </w:r>
      <w:proofErr w:type="spellEnd"/>
      <w:r w:rsidRPr="006532A6">
        <w:rPr>
          <w:lang w:val="en-US"/>
        </w:rPr>
        <w:t xml:space="preserve"> </w:t>
      </w:r>
      <w:proofErr w:type="spellStart"/>
      <w:r w:rsidRPr="006532A6">
        <w:rPr>
          <w:lang w:val="en-US"/>
        </w:rPr>
        <w:t>yapılacak</w:t>
      </w:r>
      <w:proofErr w:type="spellEnd"/>
      <w:r w:rsidRPr="006532A6">
        <w:rPr>
          <w:lang w:val="en-US"/>
        </w:rPr>
        <w:t xml:space="preserve"> </w:t>
      </w:r>
      <w:proofErr w:type="spellStart"/>
      <w:r w:rsidRPr="006532A6">
        <w:rPr>
          <w:lang w:val="en-US"/>
        </w:rPr>
        <w:t>çalışmaları</w:t>
      </w:r>
      <w:proofErr w:type="spellEnd"/>
      <w:r w:rsidRPr="006532A6">
        <w:rPr>
          <w:lang w:val="en-US"/>
        </w:rPr>
        <w:t xml:space="preserve"> </w:t>
      </w:r>
      <w:proofErr w:type="spellStart"/>
      <w:r w:rsidRPr="006532A6">
        <w:rPr>
          <w:lang w:val="en-US"/>
        </w:rPr>
        <w:t>dikkate</w:t>
      </w:r>
      <w:proofErr w:type="spellEnd"/>
      <w:r w:rsidRPr="006532A6">
        <w:rPr>
          <w:lang w:val="en-US"/>
        </w:rPr>
        <w:t xml:space="preserve"> </w:t>
      </w:r>
      <w:proofErr w:type="spellStart"/>
      <w:r w:rsidRPr="006532A6">
        <w:rPr>
          <w:lang w:val="en-US"/>
        </w:rPr>
        <w:t>alarak</w:t>
      </w:r>
      <w:proofErr w:type="spellEnd"/>
      <w:r w:rsidRPr="006532A6">
        <w:rPr>
          <w:lang w:val="en-US"/>
        </w:rPr>
        <w:t xml:space="preserve"> </w:t>
      </w:r>
      <w:proofErr w:type="spellStart"/>
      <w:r w:rsidRPr="006532A6">
        <w:rPr>
          <w:lang w:val="en-US"/>
        </w:rPr>
        <w:t>ortaya</w:t>
      </w:r>
      <w:proofErr w:type="spellEnd"/>
      <w:r w:rsidRPr="006532A6">
        <w:rPr>
          <w:lang w:val="en-US"/>
        </w:rPr>
        <w:t xml:space="preserve"> </w:t>
      </w:r>
      <w:proofErr w:type="spellStart"/>
      <w:r w:rsidRPr="006532A6">
        <w:rPr>
          <w:lang w:val="en-US"/>
        </w:rPr>
        <w:t>koyuyorsam</w:t>
      </w:r>
      <w:proofErr w:type="spellEnd"/>
      <w:r w:rsidRPr="006532A6">
        <w:rPr>
          <w:lang w:val="en-US"/>
        </w:rPr>
        <w:t xml:space="preserve"> da, </w:t>
      </w:r>
      <w:proofErr w:type="spellStart"/>
      <w:r w:rsidRPr="006532A6">
        <w:rPr>
          <w:lang w:val="en-US"/>
        </w:rPr>
        <w:t>anayasal</w:t>
      </w:r>
      <w:proofErr w:type="spellEnd"/>
      <w:r w:rsidRPr="006532A6">
        <w:rPr>
          <w:lang w:val="en-US"/>
        </w:rPr>
        <w:t xml:space="preserve"> </w:t>
      </w:r>
      <w:proofErr w:type="spellStart"/>
      <w:r w:rsidRPr="006532A6">
        <w:rPr>
          <w:lang w:val="en-US"/>
        </w:rPr>
        <w:t>teori</w:t>
      </w:r>
      <w:proofErr w:type="spellEnd"/>
      <w:r w:rsidRPr="006532A6">
        <w:rPr>
          <w:lang w:val="en-US"/>
        </w:rPr>
        <w:t xml:space="preserve"> </w:t>
      </w:r>
      <w:proofErr w:type="spellStart"/>
      <w:r w:rsidRPr="006532A6">
        <w:rPr>
          <w:lang w:val="en-US"/>
        </w:rPr>
        <w:t>projesiyle</w:t>
      </w:r>
      <w:proofErr w:type="spellEnd"/>
      <w:r w:rsidRPr="006532A6">
        <w:rPr>
          <w:lang w:val="en-US"/>
        </w:rPr>
        <w:t xml:space="preserve"> </w:t>
      </w:r>
      <w:proofErr w:type="spellStart"/>
      <w:r w:rsidRPr="006532A6">
        <w:rPr>
          <w:lang w:val="en-US"/>
        </w:rPr>
        <w:t>ortak</w:t>
      </w:r>
      <w:proofErr w:type="spellEnd"/>
      <w:r w:rsidRPr="006532A6">
        <w:rPr>
          <w:lang w:val="en-US"/>
        </w:rPr>
        <w:t xml:space="preserve"> </w:t>
      </w:r>
      <w:proofErr w:type="spellStart"/>
      <w:r w:rsidRPr="006532A6">
        <w:rPr>
          <w:lang w:val="en-US"/>
        </w:rPr>
        <w:t>etkilere</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içgörülere</w:t>
      </w:r>
      <w:proofErr w:type="spellEnd"/>
      <w:r w:rsidRPr="006532A6">
        <w:rPr>
          <w:lang w:val="en-US"/>
        </w:rPr>
        <w:t xml:space="preserve"> </w:t>
      </w:r>
      <w:proofErr w:type="spellStart"/>
      <w:r w:rsidRPr="006532A6">
        <w:rPr>
          <w:lang w:val="en-US"/>
        </w:rPr>
        <w:t>sahip</w:t>
      </w:r>
      <w:proofErr w:type="spellEnd"/>
      <w:r w:rsidRPr="006532A6">
        <w:rPr>
          <w:lang w:val="en-US"/>
        </w:rPr>
        <w:t xml:space="preserve"> </w:t>
      </w:r>
      <w:proofErr w:type="spellStart"/>
      <w:r w:rsidRPr="006532A6">
        <w:rPr>
          <w:lang w:val="en-US"/>
        </w:rPr>
        <w:t>olan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hâlihazırda</w:t>
      </w:r>
      <w:proofErr w:type="spellEnd"/>
      <w:r w:rsidRPr="006532A6">
        <w:rPr>
          <w:lang w:val="en-US"/>
        </w:rPr>
        <w:t xml:space="preserve"> </w:t>
      </w:r>
      <w:proofErr w:type="spellStart"/>
      <w:r w:rsidRPr="006532A6">
        <w:rPr>
          <w:lang w:val="en-US"/>
        </w:rPr>
        <w:t>gelişmekte</w:t>
      </w:r>
      <w:proofErr w:type="spellEnd"/>
      <w:r w:rsidRPr="006532A6">
        <w:rPr>
          <w:lang w:val="en-US"/>
        </w:rPr>
        <w:t xml:space="preserve"> </w:t>
      </w:r>
      <w:proofErr w:type="spellStart"/>
      <w:r w:rsidRPr="006532A6">
        <w:rPr>
          <w:lang w:val="en-US"/>
        </w:rPr>
        <w:t>bulunan</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literatür</w:t>
      </w:r>
      <w:proofErr w:type="spellEnd"/>
      <w:r w:rsidRPr="006532A6">
        <w:rPr>
          <w:lang w:val="en-US"/>
        </w:rPr>
        <w:t xml:space="preserve"> de </w:t>
      </w:r>
      <w:proofErr w:type="spellStart"/>
      <w:r w:rsidRPr="006532A6">
        <w:rPr>
          <w:lang w:val="en-US"/>
        </w:rPr>
        <w:t>mevcuttur</w:t>
      </w:r>
      <w:proofErr w:type="spellEnd"/>
      <w:r w:rsidRPr="006532A6">
        <w:rPr>
          <w:lang w:val="en-US"/>
        </w:rPr>
        <w:t xml:space="preserve">. Makro </w:t>
      </w:r>
      <w:proofErr w:type="spellStart"/>
      <w:r w:rsidRPr="006532A6">
        <w:rPr>
          <w:lang w:val="en-US"/>
        </w:rPr>
        <w:t>düzeyde</w:t>
      </w:r>
      <w:proofErr w:type="spellEnd"/>
      <w:r w:rsidRPr="006532A6">
        <w:rPr>
          <w:lang w:val="en-US"/>
        </w:rPr>
        <w:t xml:space="preserve">, </w:t>
      </w:r>
      <w:proofErr w:type="spellStart"/>
      <w:r w:rsidRPr="006532A6">
        <w:rPr>
          <w:lang w:val="en-US"/>
        </w:rPr>
        <w:t>pozitif</w:t>
      </w:r>
      <w:proofErr w:type="spellEnd"/>
      <w:r w:rsidRPr="006532A6">
        <w:rPr>
          <w:lang w:val="en-US"/>
        </w:rPr>
        <w:t xml:space="preserve"> </w:t>
      </w:r>
      <w:proofErr w:type="spellStart"/>
      <w:r w:rsidRPr="006532A6">
        <w:rPr>
          <w:lang w:val="en-US"/>
        </w:rPr>
        <w:t>siyaset</w:t>
      </w:r>
      <w:proofErr w:type="spellEnd"/>
      <w:r w:rsidRPr="006532A6">
        <w:rPr>
          <w:lang w:val="en-US"/>
        </w:rPr>
        <w:t xml:space="preserve"> </w:t>
      </w:r>
      <w:proofErr w:type="spellStart"/>
      <w:r w:rsidRPr="006532A6">
        <w:rPr>
          <w:lang w:val="en-US"/>
        </w:rPr>
        <w:t>teorisinin</w:t>
      </w:r>
      <w:proofErr w:type="spellEnd"/>
      <w:r w:rsidRPr="006532A6">
        <w:rPr>
          <w:lang w:val="en-US"/>
        </w:rPr>
        <w:t xml:space="preserve"> </w:t>
      </w:r>
      <w:proofErr w:type="spellStart"/>
      <w:r w:rsidRPr="006532A6">
        <w:rPr>
          <w:lang w:val="en-US"/>
        </w:rPr>
        <w:t>derslerinin</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teorisyenler</w:t>
      </w:r>
      <w:proofErr w:type="spellEnd"/>
      <w:r w:rsidRPr="006532A6">
        <w:rPr>
          <w:lang w:val="en-US"/>
        </w:rPr>
        <w:t xml:space="preserve"> </w:t>
      </w:r>
      <w:proofErr w:type="spellStart"/>
      <w:r w:rsidRPr="006532A6">
        <w:rPr>
          <w:lang w:val="en-US"/>
        </w:rPr>
        <w:t>tarafından</w:t>
      </w:r>
      <w:proofErr w:type="spellEnd"/>
      <w:r w:rsidRPr="006532A6">
        <w:rPr>
          <w:lang w:val="en-US"/>
        </w:rPr>
        <w:t xml:space="preserve"> </w:t>
      </w:r>
      <w:proofErr w:type="spellStart"/>
      <w:r w:rsidRPr="006532A6">
        <w:rPr>
          <w:lang w:val="en-US"/>
        </w:rPr>
        <w:t>dikkate</w:t>
      </w:r>
      <w:proofErr w:type="spellEnd"/>
      <w:r w:rsidRPr="006532A6">
        <w:rPr>
          <w:lang w:val="en-US"/>
        </w:rPr>
        <w:t xml:space="preserve"> </w:t>
      </w:r>
      <w:proofErr w:type="spellStart"/>
      <w:r w:rsidRPr="006532A6">
        <w:rPr>
          <w:lang w:val="en-US"/>
        </w:rPr>
        <w:t>alınmasını</w:t>
      </w:r>
      <w:proofErr w:type="spellEnd"/>
      <w:r w:rsidRPr="006532A6">
        <w:rPr>
          <w:lang w:val="en-US"/>
        </w:rPr>
        <w:t xml:space="preserve"> </w:t>
      </w:r>
      <w:proofErr w:type="spellStart"/>
      <w:r w:rsidRPr="006532A6">
        <w:rPr>
          <w:lang w:val="en-US"/>
        </w:rPr>
        <w:t>tekrar</w:t>
      </w:r>
      <w:proofErr w:type="spellEnd"/>
      <w:r w:rsidRPr="006532A6">
        <w:rPr>
          <w:lang w:val="en-US"/>
        </w:rPr>
        <w:t xml:space="preserve"> </w:t>
      </w:r>
      <w:proofErr w:type="spellStart"/>
      <w:r w:rsidRPr="006532A6">
        <w:rPr>
          <w:lang w:val="en-US"/>
        </w:rPr>
        <w:t>tekrar</w:t>
      </w:r>
      <w:proofErr w:type="spellEnd"/>
      <w:r w:rsidRPr="006532A6">
        <w:rPr>
          <w:lang w:val="en-US"/>
        </w:rPr>
        <w:t xml:space="preserve"> </w:t>
      </w:r>
      <w:proofErr w:type="spellStart"/>
      <w:r w:rsidRPr="006532A6">
        <w:rPr>
          <w:lang w:val="en-US"/>
        </w:rPr>
        <w:t>teşvik</w:t>
      </w:r>
      <w:proofErr w:type="spellEnd"/>
      <w:r w:rsidRPr="006532A6">
        <w:rPr>
          <w:lang w:val="en-US"/>
        </w:rPr>
        <w:t xml:space="preserve"> </w:t>
      </w:r>
      <w:proofErr w:type="spellStart"/>
      <w:r w:rsidRPr="006532A6">
        <w:rPr>
          <w:lang w:val="en-US"/>
        </w:rPr>
        <w:t>eden</w:t>
      </w:r>
      <w:proofErr w:type="spellEnd"/>
      <w:r w:rsidRPr="006532A6">
        <w:rPr>
          <w:lang w:val="en-US"/>
        </w:rPr>
        <w:t xml:space="preserve"> Barry Friedman’ın;¹⁷² </w:t>
      </w:r>
      <w:r>
        <w:rPr>
          <w:lang w:val="en-US"/>
        </w:rPr>
        <w:t xml:space="preserve"> </w:t>
      </w:r>
      <w:r>
        <w:rPr>
          <w:rStyle w:val="FootnoteReference"/>
          <w:lang w:val="en-US"/>
        </w:rPr>
        <w:footnoteReference w:id="172"/>
      </w:r>
      <w:r>
        <w:rPr>
          <w:lang w:val="en-US"/>
        </w:rPr>
        <w:t xml:space="preserve">  </w:t>
      </w:r>
      <w:proofErr w:type="spellStart"/>
      <w:r w:rsidRPr="006532A6">
        <w:rPr>
          <w:lang w:val="en-US"/>
        </w:rPr>
        <w:t>yargıçların</w:t>
      </w:r>
      <w:proofErr w:type="spellEnd"/>
      <w:r w:rsidRPr="006532A6">
        <w:rPr>
          <w:lang w:val="en-US"/>
        </w:rPr>
        <w:t xml:space="preserve"> </w:t>
      </w:r>
      <w:proofErr w:type="spellStart"/>
      <w:r w:rsidRPr="006532A6">
        <w:rPr>
          <w:lang w:val="en-US"/>
        </w:rPr>
        <w:t>kararlarını</w:t>
      </w:r>
      <w:proofErr w:type="spellEnd"/>
      <w:r w:rsidRPr="006532A6">
        <w:rPr>
          <w:lang w:val="en-US"/>
        </w:rPr>
        <w:t xml:space="preserve"> </w:t>
      </w:r>
      <w:proofErr w:type="spellStart"/>
      <w:r w:rsidRPr="006532A6">
        <w:rPr>
          <w:lang w:val="en-US"/>
        </w:rPr>
        <w:t>aldığı</w:t>
      </w:r>
      <w:proofErr w:type="spellEnd"/>
      <w:r w:rsidRPr="006532A6">
        <w:rPr>
          <w:lang w:val="en-US"/>
        </w:rPr>
        <w:t xml:space="preserve"> </w:t>
      </w:r>
      <w:proofErr w:type="spellStart"/>
      <w:r w:rsidRPr="006532A6">
        <w:rPr>
          <w:lang w:val="en-US"/>
        </w:rPr>
        <w:t>kurumlara</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normlara</w:t>
      </w:r>
      <w:proofErr w:type="spellEnd"/>
      <w:r w:rsidRPr="006532A6">
        <w:rPr>
          <w:lang w:val="en-US"/>
        </w:rPr>
        <w:t xml:space="preserve"> </w:t>
      </w:r>
      <w:proofErr w:type="spellStart"/>
      <w:r w:rsidRPr="006532A6">
        <w:rPr>
          <w:lang w:val="en-US"/>
        </w:rPr>
        <w:t>özel</w:t>
      </w:r>
      <w:proofErr w:type="spellEnd"/>
      <w:r w:rsidRPr="006532A6">
        <w:rPr>
          <w:lang w:val="en-US"/>
        </w:rPr>
        <w:t xml:space="preserve"> </w:t>
      </w:r>
      <w:proofErr w:type="spellStart"/>
      <w:r w:rsidRPr="006532A6">
        <w:rPr>
          <w:lang w:val="en-US"/>
        </w:rPr>
        <w:t>önem</w:t>
      </w:r>
      <w:proofErr w:type="spellEnd"/>
      <w:r w:rsidRPr="006532A6">
        <w:rPr>
          <w:lang w:val="en-US"/>
        </w:rPr>
        <w:t xml:space="preserve"> </w:t>
      </w:r>
      <w:proofErr w:type="spellStart"/>
      <w:r w:rsidRPr="006532A6">
        <w:rPr>
          <w:lang w:val="en-US"/>
        </w:rPr>
        <w:t>atfeden</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karar</w:t>
      </w:r>
      <w:proofErr w:type="spellEnd"/>
      <w:r w:rsidRPr="006532A6">
        <w:rPr>
          <w:lang w:val="en-US"/>
        </w:rPr>
        <w:t xml:space="preserve"> alma </w:t>
      </w:r>
      <w:proofErr w:type="spellStart"/>
      <w:r w:rsidRPr="006532A6">
        <w:rPr>
          <w:lang w:val="en-US"/>
        </w:rPr>
        <w:t>anlatısı</w:t>
      </w:r>
      <w:proofErr w:type="spellEnd"/>
      <w:r w:rsidRPr="006532A6">
        <w:rPr>
          <w:lang w:val="en-US"/>
        </w:rPr>
        <w:t xml:space="preserve"> </w:t>
      </w:r>
      <w:proofErr w:type="spellStart"/>
      <w:r w:rsidRPr="006532A6">
        <w:rPr>
          <w:lang w:val="en-US"/>
        </w:rPr>
        <w:t>sunan</w:t>
      </w:r>
      <w:proofErr w:type="spellEnd"/>
      <w:r w:rsidRPr="006532A6">
        <w:rPr>
          <w:lang w:val="en-US"/>
        </w:rPr>
        <w:t xml:space="preserve"> Richard Fallon’ın;¹⁷³</w:t>
      </w:r>
      <w:r>
        <w:rPr>
          <w:lang w:val="en-US"/>
        </w:rPr>
        <w:t xml:space="preserve"> </w:t>
      </w:r>
      <w:r>
        <w:rPr>
          <w:rStyle w:val="FootnoteReference"/>
          <w:lang w:val="en-US"/>
        </w:rPr>
        <w:footnoteReference w:id="173"/>
      </w:r>
      <w:r w:rsidRPr="006532A6">
        <w:rPr>
          <w:lang w:val="en-US"/>
        </w:rPr>
        <w:t xml:space="preserve"> </w:t>
      </w:r>
      <w:proofErr w:type="spellStart"/>
      <w:r w:rsidRPr="006532A6">
        <w:rPr>
          <w:lang w:val="en-US"/>
        </w:rPr>
        <w:t>ya</w:t>
      </w:r>
      <w:proofErr w:type="spellEnd"/>
      <w:r w:rsidRPr="006532A6">
        <w:rPr>
          <w:lang w:val="en-US"/>
        </w:rPr>
        <w:t xml:space="preserve"> da </w:t>
      </w:r>
      <w:proofErr w:type="spellStart"/>
      <w:r w:rsidRPr="006532A6">
        <w:rPr>
          <w:lang w:val="en-US"/>
        </w:rPr>
        <w:t>yargının</w:t>
      </w:r>
      <w:proofErr w:type="spellEnd"/>
      <w:r w:rsidRPr="006532A6">
        <w:rPr>
          <w:lang w:val="en-US"/>
        </w:rPr>
        <w:t xml:space="preserve"> </w:t>
      </w:r>
      <w:proofErr w:type="spellStart"/>
      <w:r w:rsidRPr="006532A6">
        <w:rPr>
          <w:lang w:val="en-US"/>
        </w:rPr>
        <w:t>daha</w:t>
      </w:r>
      <w:proofErr w:type="spellEnd"/>
      <w:r w:rsidRPr="006532A6">
        <w:rPr>
          <w:lang w:val="en-US"/>
        </w:rPr>
        <w:t xml:space="preserve"> </w:t>
      </w:r>
      <w:proofErr w:type="spellStart"/>
      <w:r w:rsidRPr="006532A6">
        <w:rPr>
          <w:lang w:val="en-US"/>
        </w:rPr>
        <w:t>açık</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şekilde</w:t>
      </w:r>
      <w:proofErr w:type="spellEnd"/>
      <w:r w:rsidRPr="006532A6">
        <w:rPr>
          <w:lang w:val="en-US"/>
        </w:rPr>
        <w:t xml:space="preserve"> </w:t>
      </w:r>
      <w:proofErr w:type="spellStart"/>
      <w:r w:rsidRPr="006532A6">
        <w:rPr>
          <w:lang w:val="en-US"/>
        </w:rPr>
        <w:t>siyasi</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nitelik</w:t>
      </w:r>
      <w:proofErr w:type="spellEnd"/>
      <w:r w:rsidRPr="006532A6">
        <w:rPr>
          <w:lang w:val="en-US"/>
        </w:rPr>
        <w:t xml:space="preserve"> </w:t>
      </w:r>
      <w:proofErr w:type="spellStart"/>
      <w:r w:rsidRPr="006532A6">
        <w:rPr>
          <w:lang w:val="en-US"/>
        </w:rPr>
        <w:t>taşımasını</w:t>
      </w:r>
      <w:proofErr w:type="spellEnd"/>
      <w:r w:rsidRPr="006532A6">
        <w:rPr>
          <w:lang w:val="en-US"/>
        </w:rPr>
        <w:t xml:space="preserve"> </w:t>
      </w:r>
      <w:proofErr w:type="spellStart"/>
      <w:r w:rsidRPr="006532A6">
        <w:rPr>
          <w:lang w:val="en-US"/>
        </w:rPr>
        <w:t>savunan</w:t>
      </w:r>
      <w:proofErr w:type="spellEnd"/>
      <w:r w:rsidRPr="006532A6">
        <w:rPr>
          <w:lang w:val="en-US"/>
        </w:rPr>
        <w:t xml:space="preserve"> </w:t>
      </w:r>
      <w:proofErr w:type="spellStart"/>
      <w:r w:rsidRPr="006532A6">
        <w:rPr>
          <w:lang w:val="en-US"/>
        </w:rPr>
        <w:t>çeşitli</w:t>
      </w:r>
      <w:proofErr w:type="spellEnd"/>
      <w:r w:rsidRPr="006532A6">
        <w:rPr>
          <w:lang w:val="en-US"/>
        </w:rPr>
        <w:t xml:space="preserve"> </w:t>
      </w:r>
      <w:proofErr w:type="spellStart"/>
      <w:r w:rsidRPr="006532A6">
        <w:rPr>
          <w:lang w:val="en-US"/>
        </w:rPr>
        <w:t>teorisyenlerin</w:t>
      </w:r>
      <w:proofErr w:type="spellEnd"/>
      <w:r w:rsidRPr="006532A6">
        <w:rPr>
          <w:lang w:val="en-US"/>
        </w:rPr>
        <w:t xml:space="preserve"> </w:t>
      </w:r>
      <w:proofErr w:type="spellStart"/>
      <w:r w:rsidRPr="006532A6">
        <w:rPr>
          <w:lang w:val="en-US"/>
        </w:rPr>
        <w:t>çalışmaları</w:t>
      </w:r>
      <w:proofErr w:type="spellEnd"/>
      <w:r w:rsidRPr="006532A6">
        <w:rPr>
          <w:lang w:val="en-US"/>
        </w:rPr>
        <w:t xml:space="preserve"> incelenebilir.¹⁷⁴</w:t>
      </w:r>
      <w:r>
        <w:rPr>
          <w:lang w:val="en-US"/>
        </w:rPr>
        <w:t xml:space="preserve">  </w:t>
      </w:r>
      <w:r>
        <w:rPr>
          <w:rStyle w:val="FootnoteReference"/>
          <w:lang w:val="en-US"/>
        </w:rPr>
        <w:footnoteReference w:id="174"/>
      </w:r>
      <w:r w:rsidRPr="006532A6">
        <w:rPr>
          <w:lang w:val="en-US"/>
        </w:rPr>
        <w:t xml:space="preserve"> Daha </w:t>
      </w:r>
      <w:proofErr w:type="spellStart"/>
      <w:r w:rsidRPr="006532A6">
        <w:rPr>
          <w:lang w:val="en-US"/>
        </w:rPr>
        <w:t>mikro</w:t>
      </w:r>
      <w:proofErr w:type="spellEnd"/>
      <w:r w:rsidRPr="006532A6">
        <w:rPr>
          <w:lang w:val="en-US"/>
        </w:rPr>
        <w:t xml:space="preserve"> </w:t>
      </w:r>
      <w:proofErr w:type="spellStart"/>
      <w:r w:rsidRPr="006532A6">
        <w:rPr>
          <w:lang w:val="en-US"/>
        </w:rPr>
        <w:t>düzeyde</w:t>
      </w:r>
      <w:proofErr w:type="spellEnd"/>
      <w:r w:rsidRPr="006532A6">
        <w:rPr>
          <w:lang w:val="en-US"/>
        </w:rPr>
        <w:t xml:space="preserve"> </w:t>
      </w:r>
      <w:proofErr w:type="spellStart"/>
      <w:r w:rsidRPr="006532A6">
        <w:rPr>
          <w:lang w:val="en-US"/>
        </w:rPr>
        <w:t>ise</w:t>
      </w:r>
      <w:proofErr w:type="spellEnd"/>
      <w:r w:rsidRPr="006532A6">
        <w:rPr>
          <w:lang w:val="en-US"/>
        </w:rPr>
        <w:t xml:space="preserve">, Josh </w:t>
      </w:r>
      <w:proofErr w:type="spellStart"/>
      <w:r w:rsidRPr="006532A6">
        <w:rPr>
          <w:lang w:val="en-US"/>
        </w:rPr>
        <w:t>Blackman’ın</w:t>
      </w:r>
      <w:proofErr w:type="spellEnd"/>
      <w:r w:rsidRPr="006532A6">
        <w:rPr>
          <w:lang w:val="en-US"/>
        </w:rPr>
        <w:t xml:space="preserve"> </w:t>
      </w:r>
      <w:proofErr w:type="spellStart"/>
      <w:r w:rsidRPr="006532A6">
        <w:rPr>
          <w:lang w:val="en-US"/>
        </w:rPr>
        <w:t>sağlık</w:t>
      </w:r>
      <w:proofErr w:type="spellEnd"/>
      <w:r w:rsidRPr="006532A6">
        <w:rPr>
          <w:lang w:val="en-US"/>
        </w:rPr>
        <w:t xml:space="preserve"> </w:t>
      </w:r>
      <w:proofErr w:type="spellStart"/>
      <w:r w:rsidRPr="006532A6">
        <w:rPr>
          <w:lang w:val="en-US"/>
        </w:rPr>
        <w:t>hizmetlerine</w:t>
      </w:r>
      <w:proofErr w:type="spellEnd"/>
      <w:r w:rsidRPr="006532A6">
        <w:rPr>
          <w:lang w:val="en-US"/>
        </w:rPr>
        <w:t xml:space="preserve"> </w:t>
      </w:r>
      <w:proofErr w:type="spellStart"/>
      <w:r w:rsidRPr="006532A6">
        <w:rPr>
          <w:lang w:val="en-US"/>
        </w:rPr>
        <w:t>ilişkin</w:t>
      </w:r>
      <w:proofErr w:type="spellEnd"/>
      <w:r w:rsidRPr="006532A6">
        <w:rPr>
          <w:lang w:val="en-US"/>
        </w:rPr>
        <w:t xml:space="preserve"> </w:t>
      </w:r>
      <w:proofErr w:type="spellStart"/>
      <w:r w:rsidRPr="006532A6">
        <w:rPr>
          <w:lang w:val="en-US"/>
        </w:rPr>
        <w:t>dava</w:t>
      </w:r>
      <w:proofErr w:type="spellEnd"/>
      <w:r w:rsidRPr="006532A6">
        <w:rPr>
          <w:lang w:val="en-US"/>
        </w:rPr>
        <w:t xml:space="preserve"> </w:t>
      </w:r>
      <w:proofErr w:type="spellStart"/>
      <w:r w:rsidRPr="006532A6">
        <w:rPr>
          <w:lang w:val="en-US"/>
        </w:rPr>
        <w:t>üzerine</w:t>
      </w:r>
      <w:proofErr w:type="spellEnd"/>
      <w:r w:rsidRPr="006532A6">
        <w:rPr>
          <w:lang w:val="en-US"/>
        </w:rPr>
        <w:t xml:space="preserve"> </w:t>
      </w:r>
      <w:proofErr w:type="spellStart"/>
      <w:r w:rsidRPr="006532A6">
        <w:rPr>
          <w:lang w:val="en-US"/>
        </w:rPr>
        <w:t>yazdığı</w:t>
      </w:r>
      <w:proofErr w:type="spellEnd"/>
      <w:r w:rsidRPr="006532A6">
        <w:rPr>
          <w:lang w:val="en-US"/>
        </w:rPr>
        <w:t xml:space="preserve"> </w:t>
      </w:r>
      <w:proofErr w:type="spellStart"/>
      <w:r w:rsidRPr="006532A6">
        <w:rPr>
          <w:lang w:val="en-US"/>
        </w:rPr>
        <w:t>kitap</w:t>
      </w:r>
      <w:proofErr w:type="spellEnd"/>
      <w:r w:rsidRPr="006532A6">
        <w:rPr>
          <w:lang w:val="en-US"/>
        </w:rPr>
        <w:t xml:space="preserve">, </w:t>
      </w:r>
      <w:proofErr w:type="spellStart"/>
      <w:r w:rsidRPr="006532A6">
        <w:rPr>
          <w:lang w:val="en-US"/>
        </w:rPr>
        <w:t>davanın</w:t>
      </w:r>
      <w:proofErr w:type="spellEnd"/>
      <w:r w:rsidRPr="006532A6">
        <w:rPr>
          <w:lang w:val="en-US"/>
        </w:rPr>
        <w:t xml:space="preserve"> </w:t>
      </w:r>
      <w:proofErr w:type="spellStart"/>
      <w:r w:rsidRPr="006532A6">
        <w:rPr>
          <w:lang w:val="en-US"/>
        </w:rPr>
        <w:t>seyrini</w:t>
      </w:r>
      <w:proofErr w:type="spellEnd"/>
      <w:r w:rsidRPr="006532A6">
        <w:rPr>
          <w:lang w:val="en-US"/>
        </w:rPr>
        <w:t xml:space="preserve"> </w:t>
      </w:r>
      <w:proofErr w:type="spellStart"/>
      <w:r w:rsidRPr="006532A6">
        <w:rPr>
          <w:lang w:val="en-US"/>
        </w:rPr>
        <w:t>şekillendiren</w:t>
      </w:r>
      <w:proofErr w:type="spellEnd"/>
      <w:r w:rsidRPr="006532A6">
        <w:rPr>
          <w:lang w:val="en-US"/>
        </w:rPr>
        <w:t xml:space="preserve"> </w:t>
      </w:r>
      <w:proofErr w:type="spellStart"/>
      <w:r w:rsidRPr="006532A6">
        <w:rPr>
          <w:lang w:val="en-US"/>
        </w:rPr>
        <w:t>yakın</w:t>
      </w:r>
      <w:proofErr w:type="spellEnd"/>
      <w:r w:rsidRPr="006532A6">
        <w:rPr>
          <w:lang w:val="en-US"/>
        </w:rPr>
        <w:t xml:space="preserve"> </w:t>
      </w:r>
      <w:proofErr w:type="spellStart"/>
      <w:r w:rsidRPr="006532A6">
        <w:rPr>
          <w:lang w:val="en-US"/>
        </w:rPr>
        <w:t>tarihli</w:t>
      </w:r>
      <w:proofErr w:type="spellEnd"/>
      <w:r w:rsidRPr="006532A6">
        <w:rPr>
          <w:lang w:val="en-US"/>
        </w:rPr>
        <w:t xml:space="preserve"> </w:t>
      </w:r>
      <w:proofErr w:type="spellStart"/>
      <w:r w:rsidRPr="006532A6">
        <w:rPr>
          <w:lang w:val="en-US"/>
        </w:rPr>
        <w:t>birçok</w:t>
      </w:r>
      <w:proofErr w:type="spellEnd"/>
      <w:r w:rsidRPr="006532A6">
        <w:rPr>
          <w:lang w:val="en-US"/>
        </w:rPr>
        <w:t xml:space="preserve"> </w:t>
      </w:r>
      <w:proofErr w:type="spellStart"/>
      <w:r w:rsidRPr="006532A6">
        <w:rPr>
          <w:lang w:val="en-US"/>
        </w:rPr>
        <w:t>kültürel</w:t>
      </w:r>
      <w:proofErr w:type="spellEnd"/>
      <w:r w:rsidRPr="006532A6">
        <w:rPr>
          <w:lang w:val="en-US"/>
        </w:rPr>
        <w:t xml:space="preserve"> </w:t>
      </w:r>
      <w:proofErr w:type="spellStart"/>
      <w:r w:rsidRPr="006532A6">
        <w:rPr>
          <w:lang w:val="en-US"/>
        </w:rPr>
        <w:t>yeniliğe</w:t>
      </w:r>
      <w:proofErr w:type="spellEnd"/>
      <w:r w:rsidRPr="006532A6">
        <w:rPr>
          <w:lang w:val="en-US"/>
        </w:rPr>
        <w:t xml:space="preserve"> odaklanırken,¹⁷⁵</w:t>
      </w:r>
      <w:r>
        <w:rPr>
          <w:lang w:val="en-US"/>
        </w:rPr>
        <w:t xml:space="preserve"> </w:t>
      </w:r>
      <w:r>
        <w:rPr>
          <w:rStyle w:val="FootnoteReference"/>
          <w:lang w:val="en-US"/>
        </w:rPr>
        <w:footnoteReference w:id="175"/>
      </w:r>
      <w:r w:rsidRPr="006532A6">
        <w:rPr>
          <w:lang w:val="en-US"/>
        </w:rPr>
        <w:t xml:space="preserve"> </w:t>
      </w:r>
      <w:proofErr w:type="spellStart"/>
      <w:r w:rsidRPr="006532A6">
        <w:rPr>
          <w:lang w:val="en-US"/>
        </w:rPr>
        <w:t>başka</w:t>
      </w:r>
      <w:proofErr w:type="spellEnd"/>
      <w:r w:rsidRPr="006532A6">
        <w:rPr>
          <w:lang w:val="en-US"/>
        </w:rPr>
        <w:t xml:space="preserve"> </w:t>
      </w:r>
      <w:proofErr w:type="spellStart"/>
      <w:r w:rsidRPr="006532A6">
        <w:rPr>
          <w:lang w:val="en-US"/>
        </w:rPr>
        <w:t>akademisyenler</w:t>
      </w:r>
      <w:proofErr w:type="spellEnd"/>
      <w:r w:rsidRPr="006532A6">
        <w:rPr>
          <w:lang w:val="en-US"/>
        </w:rPr>
        <w:t xml:space="preserve"> de </w:t>
      </w:r>
      <w:r w:rsidRPr="006532A6">
        <w:rPr>
          <w:i/>
          <w:iCs/>
          <w:lang w:val="en-US"/>
        </w:rPr>
        <w:t>amicus curiae</w:t>
      </w:r>
      <w:r w:rsidRPr="006532A6">
        <w:rPr>
          <w:lang w:val="en-US"/>
        </w:rPr>
        <w:t xml:space="preserve"> </w:t>
      </w:r>
      <w:proofErr w:type="spellStart"/>
      <w:r w:rsidRPr="006532A6">
        <w:rPr>
          <w:lang w:val="en-US"/>
        </w:rPr>
        <w:t>görüşlerinin</w:t>
      </w:r>
      <w:proofErr w:type="spellEnd"/>
      <w:r w:rsidRPr="006532A6">
        <w:rPr>
          <w:lang w:val="en-US"/>
        </w:rPr>
        <w:t xml:space="preserve"> </w:t>
      </w:r>
      <w:proofErr w:type="spellStart"/>
      <w:r w:rsidRPr="006532A6">
        <w:rPr>
          <w:lang w:val="en-US"/>
        </w:rPr>
        <w:t>değişen</w:t>
      </w:r>
      <w:proofErr w:type="spellEnd"/>
      <w:r w:rsidRPr="006532A6">
        <w:rPr>
          <w:lang w:val="en-US"/>
        </w:rPr>
        <w:t xml:space="preserve"> rolü,¹⁷⁶</w:t>
      </w:r>
      <w:r w:rsidR="00EA39BB">
        <w:rPr>
          <w:lang w:val="en-US"/>
        </w:rPr>
        <w:t xml:space="preserve"> </w:t>
      </w:r>
      <w:r w:rsidR="00EA39BB">
        <w:rPr>
          <w:rStyle w:val="FootnoteReference"/>
          <w:lang w:val="en-US"/>
        </w:rPr>
        <w:footnoteReference w:id="176"/>
      </w:r>
      <w:r w:rsidRPr="006532A6">
        <w:rPr>
          <w:lang w:val="en-US"/>
        </w:rPr>
        <w:t xml:space="preserve"> </w:t>
      </w:r>
      <w:proofErr w:type="spellStart"/>
      <w:r w:rsidRPr="006532A6">
        <w:rPr>
          <w:lang w:val="en-US"/>
        </w:rPr>
        <w:t>hukuk</w:t>
      </w:r>
      <w:proofErr w:type="spellEnd"/>
      <w:r w:rsidRPr="006532A6">
        <w:rPr>
          <w:lang w:val="en-US"/>
        </w:rPr>
        <w:t xml:space="preserve"> </w:t>
      </w:r>
      <w:proofErr w:type="spellStart"/>
      <w:r w:rsidRPr="006532A6">
        <w:rPr>
          <w:lang w:val="en-US"/>
        </w:rPr>
        <w:t>kâtiplerinin</w:t>
      </w:r>
      <w:proofErr w:type="spellEnd"/>
      <w:r w:rsidRPr="006532A6">
        <w:rPr>
          <w:lang w:val="en-US"/>
        </w:rPr>
        <w:t xml:space="preserve"> etkisi¹⁷⁷</w:t>
      </w:r>
      <w:r w:rsidR="00EA39BB">
        <w:rPr>
          <w:lang w:val="en-US"/>
        </w:rPr>
        <w:t xml:space="preserve"> </w:t>
      </w:r>
      <w:r w:rsidR="00EA39BB">
        <w:rPr>
          <w:rStyle w:val="FootnoteReference"/>
          <w:lang w:val="en-US"/>
        </w:rPr>
        <w:footnoteReference w:id="177"/>
      </w:r>
      <w:r w:rsidRPr="006532A6">
        <w:rPr>
          <w:lang w:val="en-US"/>
        </w:rPr>
        <w:t xml:space="preserve"> </w:t>
      </w:r>
      <w:proofErr w:type="spellStart"/>
      <w:r w:rsidRPr="006532A6">
        <w:rPr>
          <w:lang w:val="en-US"/>
        </w:rPr>
        <w:t>veya</w:t>
      </w:r>
      <w:proofErr w:type="spellEnd"/>
      <w:r w:rsidRPr="006532A6">
        <w:rPr>
          <w:lang w:val="en-US"/>
        </w:rPr>
        <w:t xml:space="preserve"> Yüksek </w:t>
      </w:r>
      <w:proofErr w:type="spellStart"/>
      <w:r w:rsidRPr="006532A6">
        <w:rPr>
          <w:lang w:val="en-US"/>
        </w:rPr>
        <w:t>Mahkeme</w:t>
      </w:r>
      <w:proofErr w:type="spellEnd"/>
      <w:r w:rsidRPr="006532A6">
        <w:rPr>
          <w:lang w:val="en-US"/>
        </w:rPr>
        <w:t xml:space="preserve"> </w:t>
      </w:r>
      <w:proofErr w:type="spellStart"/>
      <w:r w:rsidRPr="006532A6">
        <w:rPr>
          <w:lang w:val="en-US"/>
        </w:rPr>
        <w:t>avukatları</w:t>
      </w:r>
      <w:proofErr w:type="spellEnd"/>
      <w:r w:rsidRPr="006532A6">
        <w:rPr>
          <w:lang w:val="en-US"/>
        </w:rPr>
        <w:t xml:space="preserve"> </w:t>
      </w:r>
      <w:proofErr w:type="spellStart"/>
      <w:r w:rsidRPr="006532A6">
        <w:rPr>
          <w:lang w:val="en-US"/>
        </w:rPr>
        <w:t>alanının</w:t>
      </w:r>
      <w:proofErr w:type="spellEnd"/>
      <w:r w:rsidRPr="006532A6">
        <w:rPr>
          <w:lang w:val="en-US"/>
        </w:rPr>
        <w:t xml:space="preserve"> </w:t>
      </w:r>
      <w:proofErr w:type="spellStart"/>
      <w:r w:rsidRPr="006532A6">
        <w:rPr>
          <w:lang w:val="en-US"/>
        </w:rPr>
        <w:t>yeniden</w:t>
      </w:r>
      <w:proofErr w:type="spellEnd"/>
      <w:r w:rsidRPr="006532A6">
        <w:rPr>
          <w:lang w:val="en-US"/>
        </w:rPr>
        <w:t xml:space="preserve"> uzmanlaşması¹⁷⁸</w:t>
      </w:r>
      <w:r w:rsidR="00EA39BB">
        <w:rPr>
          <w:lang w:val="en-US"/>
        </w:rPr>
        <w:t xml:space="preserve"> </w:t>
      </w:r>
      <w:r w:rsidR="00EA39BB">
        <w:rPr>
          <w:rStyle w:val="FootnoteReference"/>
          <w:lang w:val="en-US"/>
        </w:rPr>
        <w:footnoteReference w:id="178"/>
      </w:r>
      <w:r w:rsidRPr="006532A6">
        <w:rPr>
          <w:lang w:val="en-US"/>
        </w:rPr>
        <w:t xml:space="preserve"> </w:t>
      </w:r>
      <w:proofErr w:type="spellStart"/>
      <w:r w:rsidRPr="006532A6">
        <w:rPr>
          <w:lang w:val="en-US"/>
        </w:rPr>
        <w:t>gibi</w:t>
      </w:r>
      <w:proofErr w:type="spellEnd"/>
      <w:r w:rsidRPr="006532A6">
        <w:rPr>
          <w:lang w:val="en-US"/>
        </w:rPr>
        <w:t xml:space="preserve"> </w:t>
      </w:r>
      <w:proofErr w:type="spellStart"/>
      <w:r w:rsidRPr="006532A6">
        <w:rPr>
          <w:lang w:val="en-US"/>
        </w:rPr>
        <w:t>belirli</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uygulamalar</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kurumlar</w:t>
      </w:r>
      <w:proofErr w:type="spellEnd"/>
      <w:r w:rsidRPr="006532A6">
        <w:rPr>
          <w:lang w:val="en-US"/>
        </w:rPr>
        <w:t xml:space="preserve"> </w:t>
      </w:r>
      <w:proofErr w:type="spellStart"/>
      <w:r w:rsidRPr="006532A6">
        <w:rPr>
          <w:lang w:val="en-US"/>
        </w:rPr>
        <w:t>üzerine</w:t>
      </w:r>
      <w:proofErr w:type="spellEnd"/>
      <w:r w:rsidRPr="006532A6">
        <w:rPr>
          <w:lang w:val="en-US"/>
        </w:rPr>
        <w:t xml:space="preserve"> </w:t>
      </w:r>
      <w:proofErr w:type="spellStart"/>
      <w:r w:rsidRPr="006532A6">
        <w:rPr>
          <w:lang w:val="en-US"/>
        </w:rPr>
        <w:t>ikna</w:t>
      </w:r>
      <w:proofErr w:type="spellEnd"/>
      <w:r w:rsidRPr="006532A6">
        <w:rPr>
          <w:lang w:val="en-US"/>
        </w:rPr>
        <w:t xml:space="preserve"> </w:t>
      </w:r>
      <w:proofErr w:type="spellStart"/>
      <w:r w:rsidRPr="006532A6">
        <w:rPr>
          <w:lang w:val="en-US"/>
        </w:rPr>
        <w:t>edici</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ayrıntılı</w:t>
      </w:r>
      <w:proofErr w:type="spellEnd"/>
      <w:r w:rsidRPr="006532A6">
        <w:rPr>
          <w:lang w:val="en-US"/>
        </w:rPr>
        <w:t xml:space="preserve"> </w:t>
      </w:r>
      <w:proofErr w:type="spellStart"/>
      <w:r w:rsidRPr="006532A6">
        <w:rPr>
          <w:lang w:val="en-US"/>
        </w:rPr>
        <w:t>çalışmalar</w:t>
      </w:r>
      <w:proofErr w:type="spellEnd"/>
      <w:r w:rsidRPr="006532A6">
        <w:rPr>
          <w:lang w:val="en-US"/>
        </w:rPr>
        <w:t xml:space="preserve"> </w:t>
      </w:r>
      <w:proofErr w:type="spellStart"/>
      <w:r w:rsidRPr="006532A6">
        <w:rPr>
          <w:lang w:val="en-US"/>
        </w:rPr>
        <w:t>ortaya</w:t>
      </w:r>
      <w:proofErr w:type="spellEnd"/>
      <w:r w:rsidRPr="006532A6">
        <w:rPr>
          <w:lang w:val="en-US"/>
        </w:rPr>
        <w:t xml:space="preserve"> </w:t>
      </w:r>
      <w:proofErr w:type="spellStart"/>
      <w:r w:rsidRPr="006532A6">
        <w:rPr>
          <w:lang w:val="en-US"/>
        </w:rPr>
        <w:t>koymuştur</w:t>
      </w:r>
      <w:proofErr w:type="spellEnd"/>
      <w:r w:rsidRPr="006532A6">
        <w:rPr>
          <w:lang w:val="en-US"/>
        </w:rPr>
        <w:t xml:space="preserve">. Daha </w:t>
      </w:r>
      <w:proofErr w:type="spellStart"/>
      <w:r w:rsidRPr="006532A6">
        <w:rPr>
          <w:lang w:val="en-US"/>
        </w:rPr>
        <w:t>soyut</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düzlemde</w:t>
      </w:r>
      <w:proofErr w:type="spellEnd"/>
      <w:r w:rsidRPr="006532A6">
        <w:rPr>
          <w:lang w:val="en-US"/>
        </w:rPr>
        <w:t xml:space="preserve"> </w:t>
      </w:r>
      <w:proofErr w:type="spellStart"/>
      <w:r w:rsidRPr="006532A6">
        <w:rPr>
          <w:lang w:val="en-US"/>
        </w:rPr>
        <w:t>ise</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kültür</w:t>
      </w:r>
      <w:proofErr w:type="spellEnd"/>
      <w:r w:rsidRPr="006532A6">
        <w:rPr>
          <w:lang w:val="en-US"/>
        </w:rPr>
        <w:t xml:space="preserve"> </w:t>
      </w:r>
      <w:proofErr w:type="spellStart"/>
      <w:r w:rsidRPr="006532A6">
        <w:rPr>
          <w:lang w:val="en-US"/>
        </w:rPr>
        <w:t>perspektifi</w:t>
      </w:r>
      <w:proofErr w:type="spellEnd"/>
      <w:r w:rsidRPr="006532A6">
        <w:rPr>
          <w:lang w:val="en-US"/>
        </w:rPr>
        <w:t xml:space="preserve">, </w:t>
      </w:r>
      <w:proofErr w:type="spellStart"/>
      <w:r w:rsidRPr="006532A6">
        <w:rPr>
          <w:lang w:val="en-US"/>
        </w:rPr>
        <w:t>anayasal</w:t>
      </w:r>
      <w:proofErr w:type="spellEnd"/>
      <w:r w:rsidRPr="006532A6">
        <w:rPr>
          <w:lang w:val="en-US"/>
        </w:rPr>
        <w:t xml:space="preserve"> </w:t>
      </w:r>
      <w:proofErr w:type="spellStart"/>
      <w:r w:rsidRPr="006532A6">
        <w:rPr>
          <w:lang w:val="en-US"/>
        </w:rPr>
        <w:t>yorumlamayı</w:t>
      </w:r>
      <w:proofErr w:type="spellEnd"/>
      <w:r w:rsidRPr="006532A6">
        <w:rPr>
          <w:lang w:val="en-US"/>
        </w:rPr>
        <w:t xml:space="preserve"> </w:t>
      </w:r>
      <w:proofErr w:type="spellStart"/>
      <w:r w:rsidRPr="006532A6">
        <w:rPr>
          <w:lang w:val="en-US"/>
        </w:rPr>
        <w:t>soyut</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entelektüel</w:t>
      </w:r>
      <w:proofErr w:type="spellEnd"/>
      <w:r w:rsidRPr="006532A6">
        <w:rPr>
          <w:lang w:val="en-US"/>
        </w:rPr>
        <w:t xml:space="preserve"> </w:t>
      </w:r>
      <w:proofErr w:type="spellStart"/>
      <w:r w:rsidRPr="006532A6">
        <w:rPr>
          <w:lang w:val="en-US"/>
        </w:rPr>
        <w:t>faaliyet</w:t>
      </w:r>
      <w:proofErr w:type="spellEnd"/>
      <w:r w:rsidRPr="006532A6">
        <w:rPr>
          <w:lang w:val="en-US"/>
        </w:rPr>
        <w:t xml:space="preserve"> </w:t>
      </w:r>
      <w:proofErr w:type="spellStart"/>
      <w:r w:rsidRPr="006532A6">
        <w:rPr>
          <w:lang w:val="en-US"/>
        </w:rPr>
        <w:t>olarak</w:t>
      </w:r>
      <w:proofErr w:type="spellEnd"/>
      <w:r w:rsidRPr="006532A6">
        <w:rPr>
          <w:lang w:val="en-US"/>
        </w:rPr>
        <w:t xml:space="preserve"> </w:t>
      </w:r>
      <w:proofErr w:type="spellStart"/>
      <w:r w:rsidRPr="006532A6">
        <w:rPr>
          <w:lang w:val="en-US"/>
        </w:rPr>
        <w:t>tasvir</w:t>
      </w:r>
      <w:proofErr w:type="spellEnd"/>
      <w:r w:rsidRPr="006532A6">
        <w:rPr>
          <w:lang w:val="en-US"/>
        </w:rPr>
        <w:t xml:space="preserve"> </w:t>
      </w:r>
      <w:proofErr w:type="spellStart"/>
      <w:r w:rsidRPr="006532A6">
        <w:rPr>
          <w:lang w:val="en-US"/>
        </w:rPr>
        <w:t>etmek</w:t>
      </w:r>
      <w:proofErr w:type="spellEnd"/>
      <w:r w:rsidRPr="006532A6">
        <w:rPr>
          <w:lang w:val="en-US"/>
        </w:rPr>
        <w:t xml:space="preserve"> </w:t>
      </w:r>
      <w:proofErr w:type="spellStart"/>
      <w:r w:rsidRPr="006532A6">
        <w:rPr>
          <w:lang w:val="en-US"/>
        </w:rPr>
        <w:t>yerine</w:t>
      </w:r>
      <w:proofErr w:type="spellEnd"/>
      <w:r w:rsidRPr="006532A6">
        <w:rPr>
          <w:lang w:val="en-US"/>
        </w:rPr>
        <w:t xml:space="preserve"> </w:t>
      </w:r>
      <w:proofErr w:type="spellStart"/>
      <w:r w:rsidRPr="006532A6">
        <w:rPr>
          <w:lang w:val="en-US"/>
        </w:rPr>
        <w:t>siyasi</w:t>
      </w:r>
      <w:proofErr w:type="spellEnd"/>
      <w:r w:rsidRPr="006532A6">
        <w:rPr>
          <w:lang w:val="en-US"/>
        </w:rPr>
        <w:t xml:space="preserve"> </w:t>
      </w:r>
      <w:proofErr w:type="spellStart"/>
      <w:r w:rsidRPr="006532A6">
        <w:rPr>
          <w:lang w:val="en-US"/>
        </w:rPr>
        <w:t>mücadele</w:t>
      </w:r>
      <w:proofErr w:type="spellEnd"/>
      <w:r w:rsidRPr="006532A6">
        <w:rPr>
          <w:lang w:val="en-US"/>
        </w:rPr>
        <w:t xml:space="preserve">, </w:t>
      </w:r>
      <w:proofErr w:type="spellStart"/>
      <w:r w:rsidRPr="006532A6">
        <w:rPr>
          <w:lang w:val="en-US"/>
        </w:rPr>
        <w:t>kültürel</w:t>
      </w:r>
      <w:proofErr w:type="spellEnd"/>
      <w:r w:rsidRPr="006532A6">
        <w:rPr>
          <w:lang w:val="en-US"/>
        </w:rPr>
        <w:t xml:space="preserve"> </w:t>
      </w:r>
      <w:proofErr w:type="spellStart"/>
      <w:r w:rsidRPr="006532A6">
        <w:rPr>
          <w:lang w:val="en-US"/>
        </w:rPr>
        <w:t>adaptasyon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hatta</w:t>
      </w:r>
      <w:proofErr w:type="spellEnd"/>
      <w:r w:rsidRPr="006532A6">
        <w:rPr>
          <w:lang w:val="en-US"/>
        </w:rPr>
        <w:t xml:space="preserve"> </w:t>
      </w:r>
      <w:proofErr w:type="spellStart"/>
      <w:r w:rsidRPr="006532A6">
        <w:rPr>
          <w:lang w:val="en-US"/>
        </w:rPr>
        <w:t>açık</w:t>
      </w:r>
      <w:proofErr w:type="spellEnd"/>
      <w:r w:rsidRPr="006532A6">
        <w:rPr>
          <w:lang w:val="en-US"/>
        </w:rPr>
        <w:t xml:space="preserve"> </w:t>
      </w:r>
      <w:proofErr w:type="spellStart"/>
      <w:r w:rsidRPr="006532A6">
        <w:rPr>
          <w:lang w:val="en-US"/>
        </w:rPr>
        <w:t>güç</w:t>
      </w:r>
      <w:proofErr w:type="spellEnd"/>
      <w:r w:rsidRPr="006532A6">
        <w:rPr>
          <w:lang w:val="en-US"/>
        </w:rPr>
        <w:t xml:space="preserve"> </w:t>
      </w:r>
      <w:proofErr w:type="spellStart"/>
      <w:r w:rsidRPr="006532A6">
        <w:rPr>
          <w:lang w:val="en-US"/>
        </w:rPr>
        <w:t>kullanımının</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alanı</w:t>
      </w:r>
      <w:proofErr w:type="spellEnd"/>
      <w:r w:rsidRPr="006532A6">
        <w:rPr>
          <w:lang w:val="en-US"/>
        </w:rPr>
        <w:t xml:space="preserve"> </w:t>
      </w:r>
      <w:proofErr w:type="spellStart"/>
      <w:r w:rsidRPr="006532A6">
        <w:rPr>
          <w:lang w:val="en-US"/>
        </w:rPr>
        <w:t>olarak</w:t>
      </w:r>
      <w:proofErr w:type="spellEnd"/>
      <w:r w:rsidRPr="006532A6">
        <w:rPr>
          <w:lang w:val="en-US"/>
        </w:rPr>
        <w:t xml:space="preserve"> </w:t>
      </w:r>
      <w:proofErr w:type="spellStart"/>
      <w:r w:rsidRPr="006532A6">
        <w:rPr>
          <w:lang w:val="en-US"/>
        </w:rPr>
        <w:t>gören</w:t>
      </w:r>
      <w:proofErr w:type="spellEnd"/>
      <w:r w:rsidRPr="006532A6">
        <w:rPr>
          <w:lang w:val="en-US"/>
        </w:rPr>
        <w:t xml:space="preserve"> </w:t>
      </w:r>
      <w:proofErr w:type="spellStart"/>
      <w:r w:rsidRPr="006532A6">
        <w:rPr>
          <w:lang w:val="en-US"/>
        </w:rPr>
        <w:t>ve</w:t>
      </w:r>
      <w:proofErr w:type="spellEnd"/>
      <w:r w:rsidRPr="006532A6">
        <w:rPr>
          <w:lang w:val="en-US"/>
        </w:rPr>
        <w:t xml:space="preserve"> </w:t>
      </w:r>
      <w:proofErr w:type="spellStart"/>
      <w:r w:rsidRPr="006532A6">
        <w:rPr>
          <w:lang w:val="en-US"/>
        </w:rPr>
        <w:t>anayasa</w:t>
      </w:r>
      <w:proofErr w:type="spellEnd"/>
      <w:r w:rsidRPr="006532A6">
        <w:rPr>
          <w:lang w:val="en-US"/>
        </w:rPr>
        <w:t xml:space="preserve"> </w:t>
      </w:r>
      <w:proofErr w:type="spellStart"/>
      <w:r w:rsidRPr="006532A6">
        <w:rPr>
          <w:lang w:val="en-US"/>
        </w:rPr>
        <w:t>teorisyenlerinin</w:t>
      </w:r>
      <w:proofErr w:type="spellEnd"/>
      <w:r w:rsidRPr="006532A6">
        <w:rPr>
          <w:lang w:val="en-US"/>
        </w:rPr>
        <w:t xml:space="preserve"> </w:t>
      </w:r>
      <w:proofErr w:type="spellStart"/>
      <w:r w:rsidRPr="006532A6">
        <w:rPr>
          <w:lang w:val="en-US"/>
        </w:rPr>
        <w:t>bu</w:t>
      </w:r>
      <w:proofErr w:type="spellEnd"/>
      <w:r w:rsidRPr="006532A6">
        <w:rPr>
          <w:lang w:val="en-US"/>
        </w:rPr>
        <w:t xml:space="preserve"> </w:t>
      </w:r>
      <w:proofErr w:type="spellStart"/>
      <w:r w:rsidRPr="006532A6">
        <w:rPr>
          <w:lang w:val="en-US"/>
        </w:rPr>
        <w:lastRenderedPageBreak/>
        <w:t>konudaki</w:t>
      </w:r>
      <w:proofErr w:type="spellEnd"/>
      <w:r w:rsidRPr="006532A6">
        <w:rPr>
          <w:lang w:val="en-US"/>
        </w:rPr>
        <w:t xml:space="preserve"> </w:t>
      </w:r>
      <w:proofErr w:type="spellStart"/>
      <w:r w:rsidRPr="006532A6">
        <w:rPr>
          <w:lang w:val="en-US"/>
        </w:rPr>
        <w:t>çabalarına</w:t>
      </w:r>
      <w:proofErr w:type="spellEnd"/>
      <w:r w:rsidRPr="006532A6">
        <w:rPr>
          <w:lang w:val="en-US"/>
        </w:rPr>
        <w:t xml:space="preserve"> </w:t>
      </w:r>
      <w:proofErr w:type="spellStart"/>
      <w:r w:rsidRPr="006532A6">
        <w:rPr>
          <w:lang w:val="en-US"/>
        </w:rPr>
        <w:t>meydan</w:t>
      </w:r>
      <w:proofErr w:type="spellEnd"/>
      <w:r w:rsidRPr="006532A6">
        <w:rPr>
          <w:lang w:val="en-US"/>
        </w:rPr>
        <w:t xml:space="preserve"> </w:t>
      </w:r>
      <w:proofErr w:type="spellStart"/>
      <w:r w:rsidRPr="006532A6">
        <w:rPr>
          <w:lang w:val="en-US"/>
        </w:rPr>
        <w:t>okuyan</w:t>
      </w:r>
      <w:proofErr w:type="spellEnd"/>
      <w:r w:rsidRPr="006532A6">
        <w:rPr>
          <w:lang w:val="en-US"/>
        </w:rPr>
        <w:t xml:space="preserve"> Derrick Bell </w:t>
      </w:r>
      <w:proofErr w:type="spellStart"/>
      <w:r w:rsidRPr="006532A6">
        <w:rPr>
          <w:lang w:val="en-US"/>
        </w:rPr>
        <w:t>gibi</w:t>
      </w:r>
      <w:proofErr w:type="spellEnd"/>
      <w:r w:rsidRPr="006532A6">
        <w:rPr>
          <w:lang w:val="en-US"/>
        </w:rPr>
        <w:t xml:space="preserve"> </w:t>
      </w:r>
      <w:proofErr w:type="spellStart"/>
      <w:r w:rsidRPr="006532A6">
        <w:rPr>
          <w:lang w:val="en-US"/>
        </w:rPr>
        <w:t>eleştirel</w:t>
      </w:r>
      <w:proofErr w:type="spellEnd"/>
      <w:r w:rsidRPr="006532A6">
        <w:rPr>
          <w:lang w:val="en-US"/>
        </w:rPr>
        <w:t xml:space="preserve"> </w:t>
      </w:r>
      <w:proofErr w:type="spellStart"/>
      <w:r w:rsidRPr="006532A6">
        <w:rPr>
          <w:lang w:val="en-US"/>
        </w:rPr>
        <w:t>yaklaşıma</w:t>
      </w:r>
      <w:proofErr w:type="spellEnd"/>
      <w:r w:rsidRPr="006532A6">
        <w:rPr>
          <w:lang w:val="en-US"/>
        </w:rPr>
        <w:t xml:space="preserve"> </w:t>
      </w:r>
      <w:proofErr w:type="spellStart"/>
      <w:r w:rsidRPr="006532A6">
        <w:rPr>
          <w:lang w:val="en-US"/>
        </w:rPr>
        <w:t>sahip</w:t>
      </w:r>
      <w:proofErr w:type="spellEnd"/>
      <w:r w:rsidRPr="006532A6">
        <w:rPr>
          <w:lang w:val="en-US"/>
        </w:rPr>
        <w:t xml:space="preserve"> </w:t>
      </w:r>
      <w:proofErr w:type="spellStart"/>
      <w:r w:rsidRPr="006532A6">
        <w:rPr>
          <w:lang w:val="en-US"/>
        </w:rPr>
        <w:t>akademisyenlerin</w:t>
      </w:r>
      <w:proofErr w:type="spellEnd"/>
      <w:r w:rsidRPr="006532A6">
        <w:rPr>
          <w:lang w:val="en-US"/>
        </w:rPr>
        <w:t xml:space="preserve"> </w:t>
      </w:r>
      <w:proofErr w:type="spellStart"/>
      <w:r w:rsidRPr="006532A6">
        <w:rPr>
          <w:lang w:val="en-US"/>
        </w:rPr>
        <w:t>projeleriyle</w:t>
      </w:r>
      <w:proofErr w:type="spellEnd"/>
      <w:r w:rsidRPr="006532A6">
        <w:rPr>
          <w:lang w:val="en-US"/>
        </w:rPr>
        <w:t xml:space="preserve"> de </w:t>
      </w:r>
      <w:proofErr w:type="spellStart"/>
      <w:r w:rsidRPr="006532A6">
        <w:rPr>
          <w:lang w:val="en-US"/>
        </w:rPr>
        <w:t>ortak</w:t>
      </w:r>
      <w:proofErr w:type="spellEnd"/>
      <w:r w:rsidRPr="006532A6">
        <w:rPr>
          <w:lang w:val="en-US"/>
        </w:rPr>
        <w:t xml:space="preserve"> </w:t>
      </w:r>
      <w:proofErr w:type="spellStart"/>
      <w:r w:rsidRPr="006532A6">
        <w:rPr>
          <w:lang w:val="en-US"/>
        </w:rPr>
        <w:t>bir</w:t>
      </w:r>
      <w:proofErr w:type="spellEnd"/>
      <w:r w:rsidRPr="006532A6">
        <w:rPr>
          <w:lang w:val="en-US"/>
        </w:rPr>
        <w:t xml:space="preserve"> </w:t>
      </w:r>
      <w:proofErr w:type="spellStart"/>
      <w:r w:rsidRPr="006532A6">
        <w:rPr>
          <w:lang w:val="en-US"/>
        </w:rPr>
        <w:t>ruhu</w:t>
      </w:r>
      <w:proofErr w:type="spellEnd"/>
      <w:r w:rsidRPr="006532A6">
        <w:rPr>
          <w:lang w:val="en-US"/>
        </w:rPr>
        <w:t xml:space="preserve"> paylaşmaktadır.¹⁷⁹</w:t>
      </w:r>
      <w:r w:rsidR="00EA39BB">
        <w:rPr>
          <w:lang w:val="en-US"/>
        </w:rPr>
        <w:t xml:space="preserve"> </w:t>
      </w:r>
      <w:r w:rsidR="00EA39BB">
        <w:rPr>
          <w:rStyle w:val="FootnoteReference"/>
          <w:lang w:val="en-US"/>
        </w:rPr>
        <w:footnoteReference w:id="179"/>
      </w:r>
      <w:r>
        <w:rPr>
          <w:lang w:val="en-US"/>
        </w:rPr>
        <w:t xml:space="preserve"> </w:t>
      </w:r>
      <w:r w:rsidRPr="006532A6">
        <w:rPr>
          <w:lang w:val="en-US"/>
        </w:rPr>
        <w:t>[1115 - 1116]</w:t>
      </w:r>
    </w:p>
    <w:p w14:paraId="778F24F8" w14:textId="52E25869" w:rsidR="00EA39BB" w:rsidRDefault="00EA39BB" w:rsidP="00EA39BB">
      <w:pPr>
        <w:rPr>
          <w:lang w:val="en-US"/>
        </w:rPr>
      </w:pPr>
      <w:r w:rsidRPr="00EA39BB">
        <w:rPr>
          <w:lang w:val="en-US"/>
        </w:rPr>
        <w:t xml:space="preserve">Bir </w:t>
      </w:r>
      <w:proofErr w:type="spellStart"/>
      <w:r w:rsidRPr="00EA39BB">
        <w:rPr>
          <w:lang w:val="en-US"/>
        </w:rPr>
        <w:t>anayasa</w:t>
      </w:r>
      <w:proofErr w:type="spellEnd"/>
      <w:r w:rsidRPr="00EA39BB">
        <w:rPr>
          <w:lang w:val="en-US"/>
        </w:rPr>
        <w:t xml:space="preserve"> </w:t>
      </w:r>
      <w:proofErr w:type="spellStart"/>
      <w:r w:rsidRPr="00EA39BB">
        <w:rPr>
          <w:lang w:val="en-US"/>
        </w:rPr>
        <w:t>hukukçusunun</w:t>
      </w:r>
      <w:proofErr w:type="spellEnd"/>
      <w:r w:rsidRPr="00EA39BB">
        <w:rPr>
          <w:lang w:val="en-US"/>
        </w:rPr>
        <w:t xml:space="preserve"> </w:t>
      </w:r>
      <w:proofErr w:type="spellStart"/>
      <w:r w:rsidRPr="00EA39BB">
        <w:rPr>
          <w:lang w:val="en-US"/>
        </w:rPr>
        <w:t>kısa</w:t>
      </w:r>
      <w:proofErr w:type="spellEnd"/>
      <w:r w:rsidRPr="00EA39BB">
        <w:rPr>
          <w:lang w:val="en-US"/>
        </w:rPr>
        <w:t xml:space="preserve"> </w:t>
      </w:r>
      <w:proofErr w:type="spellStart"/>
      <w:r w:rsidRPr="00EA39BB">
        <w:rPr>
          <w:lang w:val="en-US"/>
        </w:rPr>
        <w:t>süre</w:t>
      </w:r>
      <w:proofErr w:type="spellEnd"/>
      <w:r w:rsidRPr="00EA39BB">
        <w:rPr>
          <w:lang w:val="en-US"/>
        </w:rPr>
        <w:t xml:space="preserve"> </w:t>
      </w:r>
      <w:proofErr w:type="spellStart"/>
      <w:r w:rsidRPr="00EA39BB">
        <w:rPr>
          <w:lang w:val="en-US"/>
        </w:rPr>
        <w:t>önce</w:t>
      </w:r>
      <w:proofErr w:type="spellEnd"/>
      <w:r w:rsidRPr="00EA39BB">
        <w:rPr>
          <w:lang w:val="en-US"/>
        </w:rPr>
        <w:t xml:space="preserve"> </w:t>
      </w:r>
      <w:r w:rsidRPr="00EA39BB">
        <w:rPr>
          <w:i/>
          <w:iCs/>
          <w:lang w:val="en-US"/>
        </w:rPr>
        <w:t xml:space="preserve">Harvard Law </w:t>
      </w:r>
      <w:proofErr w:type="spellStart"/>
      <w:r w:rsidRPr="00EA39BB">
        <w:rPr>
          <w:i/>
          <w:iCs/>
          <w:lang w:val="en-US"/>
        </w:rPr>
        <w:t>Review</w:t>
      </w:r>
      <w:r w:rsidRPr="00EA39BB">
        <w:rPr>
          <w:lang w:val="en-US"/>
        </w:rPr>
        <w:t>’de</w:t>
      </w:r>
      <w:proofErr w:type="spellEnd"/>
      <w:r w:rsidRPr="00EA39BB">
        <w:rPr>
          <w:lang w:val="en-US"/>
        </w:rPr>
        <w:t xml:space="preserve"> </w:t>
      </w:r>
      <w:proofErr w:type="spellStart"/>
      <w:r w:rsidRPr="00EA39BB">
        <w:rPr>
          <w:lang w:val="en-US"/>
        </w:rPr>
        <w:t>belirttiği</w:t>
      </w:r>
      <w:proofErr w:type="spellEnd"/>
      <w:r w:rsidRPr="00EA39BB">
        <w:rPr>
          <w:lang w:val="en-US"/>
        </w:rPr>
        <w:t xml:space="preserve"> </w:t>
      </w:r>
      <w:proofErr w:type="spellStart"/>
      <w:r w:rsidRPr="00EA39BB">
        <w:rPr>
          <w:lang w:val="en-US"/>
        </w:rPr>
        <w:t>gibi</w:t>
      </w:r>
      <w:proofErr w:type="spellEnd"/>
      <w:r w:rsidRPr="00EA39BB">
        <w:rPr>
          <w:lang w:val="en-US"/>
        </w:rPr>
        <w:t xml:space="preserve">, son </w:t>
      </w:r>
      <w:proofErr w:type="spellStart"/>
      <w:r w:rsidRPr="00EA39BB">
        <w:rPr>
          <w:lang w:val="en-US"/>
        </w:rPr>
        <w:t>yıllarda</w:t>
      </w:r>
      <w:proofErr w:type="spellEnd"/>
      <w:r w:rsidRPr="00EA39BB">
        <w:rPr>
          <w:lang w:val="en-US"/>
        </w:rPr>
        <w:t xml:space="preserve"> </w:t>
      </w:r>
      <w:proofErr w:type="spellStart"/>
      <w:r w:rsidRPr="00EA39BB">
        <w:rPr>
          <w:lang w:val="en-US"/>
        </w:rPr>
        <w:t>genel</w:t>
      </w:r>
      <w:proofErr w:type="spellEnd"/>
      <w:r w:rsidRPr="00EA39BB">
        <w:rPr>
          <w:lang w:val="en-US"/>
        </w:rPr>
        <w:t xml:space="preserve"> </w:t>
      </w:r>
      <w:proofErr w:type="spellStart"/>
      <w:r w:rsidRPr="00EA39BB">
        <w:rPr>
          <w:lang w:val="en-US"/>
        </w:rPr>
        <w:t>olarak</w:t>
      </w:r>
      <w:proofErr w:type="spellEnd"/>
      <w:r w:rsidRPr="00EA39BB">
        <w:rPr>
          <w:lang w:val="en-US"/>
        </w:rPr>
        <w:t xml:space="preserve"> </w:t>
      </w:r>
      <w:proofErr w:type="spellStart"/>
      <w:r w:rsidRPr="00EA39BB">
        <w:rPr>
          <w:lang w:val="en-US"/>
        </w:rPr>
        <w:t>anayasal</w:t>
      </w:r>
      <w:proofErr w:type="spellEnd"/>
      <w:r w:rsidRPr="00EA39BB">
        <w:rPr>
          <w:lang w:val="en-US"/>
        </w:rPr>
        <w:t xml:space="preserve"> </w:t>
      </w:r>
      <w:proofErr w:type="spellStart"/>
      <w:r w:rsidRPr="00EA39BB">
        <w:rPr>
          <w:lang w:val="en-US"/>
        </w:rPr>
        <w:t>gelişmelerin</w:t>
      </w:r>
      <w:proofErr w:type="spellEnd"/>
      <w:r w:rsidRPr="00EA39BB">
        <w:rPr>
          <w:lang w:val="en-US"/>
        </w:rPr>
        <w:t xml:space="preserve"> </w:t>
      </w:r>
      <w:proofErr w:type="spellStart"/>
      <w:r w:rsidRPr="00EA39BB">
        <w:rPr>
          <w:lang w:val="en-US"/>
        </w:rPr>
        <w:t>daha</w:t>
      </w:r>
      <w:proofErr w:type="spellEnd"/>
      <w:r w:rsidRPr="00EA39BB">
        <w:rPr>
          <w:lang w:val="en-US"/>
        </w:rPr>
        <w:t xml:space="preserve"> </w:t>
      </w:r>
      <w:proofErr w:type="spellStart"/>
      <w:r w:rsidRPr="00EA39BB">
        <w:rPr>
          <w:lang w:val="en-US"/>
        </w:rPr>
        <w:t>geniş</w:t>
      </w:r>
      <w:proofErr w:type="spellEnd"/>
      <w:r w:rsidRPr="00EA39BB">
        <w:rPr>
          <w:lang w:val="en-US"/>
        </w:rPr>
        <w:t xml:space="preserve"> </w:t>
      </w:r>
      <w:proofErr w:type="spellStart"/>
      <w:r w:rsidRPr="00EA39BB">
        <w:rPr>
          <w:lang w:val="en-US"/>
        </w:rPr>
        <w:t>kültürel</w:t>
      </w:r>
      <w:proofErr w:type="spellEnd"/>
      <w:r w:rsidRPr="00EA39BB">
        <w:rPr>
          <w:lang w:val="en-US"/>
        </w:rPr>
        <w:t xml:space="preserve"> </w:t>
      </w:r>
      <w:proofErr w:type="spellStart"/>
      <w:r w:rsidRPr="00EA39BB">
        <w:rPr>
          <w:lang w:val="en-US"/>
        </w:rPr>
        <w:t>dinamikleri</w:t>
      </w:r>
      <w:proofErr w:type="spellEnd"/>
      <w:r w:rsidRPr="00EA39BB">
        <w:rPr>
          <w:lang w:val="en-US"/>
        </w:rPr>
        <w:t xml:space="preserve"> </w:t>
      </w:r>
      <w:proofErr w:type="spellStart"/>
      <w:r w:rsidRPr="00EA39BB">
        <w:rPr>
          <w:lang w:val="en-US"/>
        </w:rPr>
        <w:t>yansıttığını</w:t>
      </w:r>
      <w:proofErr w:type="spellEnd"/>
      <w:r w:rsidRPr="00EA39BB">
        <w:rPr>
          <w:lang w:val="en-US"/>
        </w:rPr>
        <w:t xml:space="preserve"> </w:t>
      </w:r>
      <w:proofErr w:type="spellStart"/>
      <w:r w:rsidRPr="00EA39BB">
        <w:rPr>
          <w:lang w:val="en-US"/>
        </w:rPr>
        <w:t>vurgulayan</w:t>
      </w:r>
      <w:proofErr w:type="spellEnd"/>
      <w:r w:rsidRPr="00EA39BB">
        <w:rPr>
          <w:lang w:val="en-US"/>
        </w:rPr>
        <w:t xml:space="preserve"> </w:t>
      </w:r>
      <w:proofErr w:type="spellStart"/>
      <w:r w:rsidRPr="00EA39BB">
        <w:rPr>
          <w:lang w:val="en-US"/>
        </w:rPr>
        <w:t>akademik</w:t>
      </w:r>
      <w:proofErr w:type="spellEnd"/>
      <w:r w:rsidRPr="00EA39BB">
        <w:rPr>
          <w:lang w:val="en-US"/>
        </w:rPr>
        <w:t xml:space="preserve"> </w:t>
      </w:r>
      <w:proofErr w:type="spellStart"/>
      <w:r w:rsidRPr="00EA39BB">
        <w:rPr>
          <w:lang w:val="en-US"/>
        </w:rPr>
        <w:t>çalışmaların</w:t>
      </w:r>
      <w:proofErr w:type="spellEnd"/>
      <w:r w:rsidRPr="00EA39BB">
        <w:rPr>
          <w:lang w:val="en-US"/>
        </w:rPr>
        <w:t xml:space="preserve"> </w:t>
      </w:r>
      <w:proofErr w:type="spellStart"/>
      <w:r w:rsidRPr="00EA39BB">
        <w:rPr>
          <w:lang w:val="en-US"/>
        </w:rPr>
        <w:t>çoğaldığı</w:t>
      </w:r>
      <w:proofErr w:type="spellEnd"/>
      <w:r w:rsidRPr="00EA39BB">
        <w:rPr>
          <w:lang w:val="en-US"/>
        </w:rPr>
        <w:t xml:space="preserve"> gözlemlenmektedir.¹⁸⁰</w:t>
      </w:r>
      <w:r>
        <w:rPr>
          <w:lang w:val="en-US"/>
        </w:rPr>
        <w:t xml:space="preserve"> </w:t>
      </w:r>
      <w:r>
        <w:rPr>
          <w:rStyle w:val="FootnoteReference"/>
          <w:lang w:val="en-US"/>
        </w:rPr>
        <w:footnoteReference w:id="180"/>
      </w:r>
      <w:r w:rsidRPr="00EA39BB">
        <w:rPr>
          <w:lang w:val="en-US"/>
        </w:rPr>
        <w:t xml:space="preserve"> Bu çalışmalar¹⁸¹</w:t>
      </w:r>
      <w:r>
        <w:rPr>
          <w:lang w:val="en-US"/>
        </w:rPr>
        <w:t xml:space="preserve"> </w:t>
      </w:r>
      <w:r>
        <w:rPr>
          <w:rStyle w:val="FootnoteReference"/>
          <w:lang w:val="en-US"/>
        </w:rPr>
        <w:footnoteReference w:id="181"/>
      </w:r>
      <w:r w:rsidRPr="00EA39BB">
        <w:rPr>
          <w:lang w:val="en-US"/>
        </w:rPr>
        <w:t xml:space="preserve"> </w:t>
      </w:r>
      <w:proofErr w:type="spellStart"/>
      <w:r w:rsidRPr="00EA39BB">
        <w:rPr>
          <w:lang w:val="en-US"/>
        </w:rPr>
        <w:t>farklı</w:t>
      </w:r>
      <w:proofErr w:type="spellEnd"/>
      <w:r w:rsidRPr="00EA39BB">
        <w:rPr>
          <w:lang w:val="en-US"/>
        </w:rPr>
        <w:t xml:space="preserve"> </w:t>
      </w:r>
      <w:proofErr w:type="spellStart"/>
      <w:r w:rsidRPr="00EA39BB">
        <w:rPr>
          <w:lang w:val="en-US"/>
        </w:rPr>
        <w:t>biçimlerde</w:t>
      </w:r>
      <w:proofErr w:type="spellEnd"/>
      <w:r w:rsidRPr="00EA39BB">
        <w:rPr>
          <w:lang w:val="en-US"/>
        </w:rPr>
        <w:t xml:space="preserve"> </w:t>
      </w:r>
      <w:proofErr w:type="spellStart"/>
      <w:r w:rsidRPr="00EA39BB">
        <w:rPr>
          <w:lang w:val="en-US"/>
        </w:rPr>
        <w:t>olup</w:t>
      </w:r>
      <w:proofErr w:type="spellEnd"/>
      <w:r w:rsidRPr="00EA39BB">
        <w:rPr>
          <w:lang w:val="en-US"/>
        </w:rPr>
        <w:t xml:space="preserve">, </w:t>
      </w:r>
      <w:proofErr w:type="spellStart"/>
      <w:r w:rsidRPr="00EA39BB">
        <w:rPr>
          <w:lang w:val="en-US"/>
        </w:rPr>
        <w:t>farklı</w:t>
      </w:r>
      <w:proofErr w:type="spellEnd"/>
      <w:r w:rsidRPr="00EA39BB">
        <w:rPr>
          <w:lang w:val="en-US"/>
        </w:rPr>
        <w:t xml:space="preserve"> </w:t>
      </w:r>
      <w:proofErr w:type="spellStart"/>
      <w:r w:rsidRPr="00EA39BB">
        <w:rPr>
          <w:lang w:val="en-US"/>
        </w:rPr>
        <w:t>metodolojiler</w:t>
      </w:r>
      <w:proofErr w:type="spellEnd"/>
      <w:r w:rsidRPr="00EA39BB">
        <w:rPr>
          <w:lang w:val="en-US"/>
        </w:rPr>
        <w:t xml:space="preserve"> </w:t>
      </w:r>
      <w:proofErr w:type="spellStart"/>
      <w:r w:rsidRPr="00EA39BB">
        <w:rPr>
          <w:lang w:val="en-US"/>
        </w:rPr>
        <w:t>benimsemekte</w:t>
      </w:r>
      <w:proofErr w:type="spellEnd"/>
      <w:r w:rsidRPr="00EA39BB">
        <w:rPr>
          <w:lang w:val="en-US"/>
        </w:rPr>
        <w:t xml:space="preserve"> </w:t>
      </w:r>
      <w:proofErr w:type="spellStart"/>
      <w:r w:rsidRPr="00EA39BB">
        <w:rPr>
          <w:lang w:val="en-US"/>
        </w:rPr>
        <w:t>ve</w:t>
      </w:r>
      <w:proofErr w:type="spellEnd"/>
      <w:r w:rsidRPr="00EA39BB">
        <w:rPr>
          <w:lang w:val="en-US"/>
        </w:rPr>
        <w:t xml:space="preserve"> </w:t>
      </w:r>
      <w:proofErr w:type="spellStart"/>
      <w:r w:rsidRPr="00EA39BB">
        <w:rPr>
          <w:lang w:val="en-US"/>
        </w:rPr>
        <w:t>çeşitli</w:t>
      </w:r>
      <w:proofErr w:type="spellEnd"/>
      <w:r w:rsidRPr="00EA39BB">
        <w:rPr>
          <w:lang w:val="en-US"/>
        </w:rPr>
        <w:t xml:space="preserve"> </w:t>
      </w:r>
      <w:proofErr w:type="spellStart"/>
      <w:r w:rsidRPr="00EA39BB">
        <w:rPr>
          <w:lang w:val="en-US"/>
        </w:rPr>
        <w:t>normatif</w:t>
      </w:r>
      <w:proofErr w:type="spellEnd"/>
      <w:r w:rsidRPr="00EA39BB">
        <w:rPr>
          <w:lang w:val="en-US"/>
        </w:rPr>
        <w:t xml:space="preserve"> </w:t>
      </w:r>
      <w:proofErr w:type="spellStart"/>
      <w:r w:rsidRPr="00EA39BB">
        <w:rPr>
          <w:lang w:val="en-US"/>
        </w:rPr>
        <w:t>gündemler</w:t>
      </w:r>
      <w:proofErr w:type="spellEnd"/>
      <w:r w:rsidRPr="00EA39BB">
        <w:rPr>
          <w:lang w:val="en-US"/>
        </w:rPr>
        <w:t xml:space="preserve"> </w:t>
      </w:r>
      <w:proofErr w:type="spellStart"/>
      <w:r w:rsidRPr="00EA39BB">
        <w:rPr>
          <w:lang w:val="en-US"/>
        </w:rPr>
        <w:t>öne</w:t>
      </w:r>
      <w:proofErr w:type="spellEnd"/>
      <w:r w:rsidRPr="00EA39BB">
        <w:rPr>
          <w:lang w:val="en-US"/>
        </w:rPr>
        <w:t xml:space="preserve"> </w:t>
      </w:r>
      <w:proofErr w:type="spellStart"/>
      <w:r w:rsidRPr="00EA39BB">
        <w:rPr>
          <w:lang w:val="en-US"/>
        </w:rPr>
        <w:t>sürmektedir</w:t>
      </w:r>
      <w:proofErr w:type="spellEnd"/>
      <w:r w:rsidRPr="00EA39BB">
        <w:rPr>
          <w:lang w:val="en-US"/>
        </w:rPr>
        <w:t xml:space="preserve">. </w:t>
      </w:r>
      <w:proofErr w:type="spellStart"/>
      <w:r w:rsidRPr="00EA39BB">
        <w:rPr>
          <w:lang w:val="en-US"/>
        </w:rPr>
        <w:t>Ancak</w:t>
      </w:r>
      <w:proofErr w:type="spellEnd"/>
      <w:r w:rsidRPr="00EA39BB">
        <w:rPr>
          <w:lang w:val="en-US"/>
        </w:rPr>
        <w:t xml:space="preserve"> </w:t>
      </w:r>
      <w:proofErr w:type="spellStart"/>
      <w:r w:rsidRPr="00EA39BB">
        <w:rPr>
          <w:lang w:val="en-US"/>
        </w:rPr>
        <w:t>ortak</w:t>
      </w:r>
      <w:proofErr w:type="spellEnd"/>
      <w:r w:rsidRPr="00EA39BB">
        <w:rPr>
          <w:lang w:val="en-US"/>
        </w:rPr>
        <w:t xml:space="preserve"> </w:t>
      </w:r>
      <w:proofErr w:type="spellStart"/>
      <w:r w:rsidRPr="00EA39BB">
        <w:rPr>
          <w:lang w:val="en-US"/>
        </w:rPr>
        <w:t>noktaları</w:t>
      </w:r>
      <w:proofErr w:type="spellEnd"/>
      <w:r w:rsidRPr="00EA39BB">
        <w:rPr>
          <w:lang w:val="en-US"/>
        </w:rPr>
        <w:t xml:space="preserve">, </w:t>
      </w:r>
      <w:proofErr w:type="spellStart"/>
      <w:r w:rsidRPr="00EA39BB">
        <w:rPr>
          <w:lang w:val="en-US"/>
        </w:rPr>
        <w:t>anayasa</w:t>
      </w:r>
      <w:proofErr w:type="spellEnd"/>
      <w:r w:rsidRPr="00EA39BB">
        <w:rPr>
          <w:lang w:val="en-US"/>
        </w:rPr>
        <w:t xml:space="preserve"> </w:t>
      </w:r>
      <w:proofErr w:type="spellStart"/>
      <w:r w:rsidRPr="00EA39BB">
        <w:rPr>
          <w:lang w:val="en-US"/>
        </w:rPr>
        <w:t>hukukunun</w:t>
      </w:r>
      <w:proofErr w:type="spellEnd"/>
      <w:r w:rsidRPr="00EA39BB">
        <w:rPr>
          <w:lang w:val="en-US"/>
        </w:rPr>
        <w:t xml:space="preserve"> </w:t>
      </w:r>
      <w:proofErr w:type="spellStart"/>
      <w:r w:rsidRPr="00EA39BB">
        <w:rPr>
          <w:lang w:val="en-US"/>
        </w:rPr>
        <w:t>oluşturulma</w:t>
      </w:r>
      <w:proofErr w:type="spellEnd"/>
      <w:r w:rsidRPr="00EA39BB">
        <w:rPr>
          <w:lang w:val="en-US"/>
        </w:rPr>
        <w:t xml:space="preserve"> </w:t>
      </w:r>
      <w:proofErr w:type="spellStart"/>
      <w:r w:rsidRPr="00EA39BB">
        <w:rPr>
          <w:lang w:val="en-US"/>
        </w:rPr>
        <w:t>sürecinin</w:t>
      </w:r>
      <w:proofErr w:type="spellEnd"/>
      <w:r w:rsidRPr="00EA39BB">
        <w:rPr>
          <w:lang w:val="en-US"/>
        </w:rPr>
        <w:t xml:space="preserve"> </w:t>
      </w:r>
      <w:proofErr w:type="spellStart"/>
      <w:r w:rsidRPr="00EA39BB">
        <w:rPr>
          <w:lang w:val="en-US"/>
        </w:rPr>
        <w:t>belirli</w:t>
      </w:r>
      <w:proofErr w:type="spellEnd"/>
      <w:r w:rsidRPr="00EA39BB">
        <w:rPr>
          <w:lang w:val="en-US"/>
        </w:rPr>
        <w:t xml:space="preserve"> </w:t>
      </w:r>
      <w:proofErr w:type="spellStart"/>
      <w:r w:rsidRPr="00EA39BB">
        <w:rPr>
          <w:lang w:val="en-US"/>
        </w:rPr>
        <w:t>bir</w:t>
      </w:r>
      <w:proofErr w:type="spellEnd"/>
      <w:r w:rsidRPr="00EA39BB">
        <w:rPr>
          <w:lang w:val="en-US"/>
        </w:rPr>
        <w:t xml:space="preserve"> zaman </w:t>
      </w:r>
      <w:proofErr w:type="spellStart"/>
      <w:r w:rsidRPr="00EA39BB">
        <w:rPr>
          <w:lang w:val="en-US"/>
        </w:rPr>
        <w:t>ve</w:t>
      </w:r>
      <w:proofErr w:type="spellEnd"/>
      <w:r w:rsidRPr="00EA39BB">
        <w:rPr>
          <w:lang w:val="en-US"/>
        </w:rPr>
        <w:t xml:space="preserve"> </w:t>
      </w:r>
      <w:proofErr w:type="spellStart"/>
      <w:r w:rsidRPr="00EA39BB">
        <w:rPr>
          <w:lang w:val="en-US"/>
        </w:rPr>
        <w:t>mekâna</w:t>
      </w:r>
      <w:proofErr w:type="spellEnd"/>
      <w:r w:rsidRPr="00EA39BB">
        <w:rPr>
          <w:lang w:val="en-US"/>
        </w:rPr>
        <w:t xml:space="preserve"> </w:t>
      </w:r>
      <w:proofErr w:type="spellStart"/>
      <w:r w:rsidRPr="00EA39BB">
        <w:rPr>
          <w:lang w:val="en-US"/>
        </w:rPr>
        <w:t>özgü</w:t>
      </w:r>
      <w:proofErr w:type="spellEnd"/>
      <w:r w:rsidRPr="00EA39BB">
        <w:rPr>
          <w:lang w:val="en-US"/>
        </w:rPr>
        <w:t xml:space="preserve"> </w:t>
      </w:r>
      <w:proofErr w:type="spellStart"/>
      <w:r w:rsidRPr="00EA39BB">
        <w:rPr>
          <w:lang w:val="en-US"/>
        </w:rPr>
        <w:t>kültürel</w:t>
      </w:r>
      <w:proofErr w:type="spellEnd"/>
      <w:r w:rsidRPr="00EA39BB">
        <w:rPr>
          <w:lang w:val="en-US"/>
        </w:rPr>
        <w:t xml:space="preserve"> </w:t>
      </w:r>
      <w:proofErr w:type="spellStart"/>
      <w:r w:rsidRPr="00EA39BB">
        <w:rPr>
          <w:lang w:val="en-US"/>
        </w:rPr>
        <w:t>akıntılarla</w:t>
      </w:r>
      <w:proofErr w:type="spellEnd"/>
      <w:r w:rsidRPr="00EA39BB">
        <w:rPr>
          <w:lang w:val="en-US"/>
        </w:rPr>
        <w:t xml:space="preserve"> </w:t>
      </w:r>
      <w:proofErr w:type="spellStart"/>
      <w:r w:rsidRPr="00EA39BB">
        <w:rPr>
          <w:lang w:val="en-US"/>
        </w:rPr>
        <w:t>derin</w:t>
      </w:r>
      <w:proofErr w:type="spellEnd"/>
      <w:r w:rsidRPr="00EA39BB">
        <w:rPr>
          <w:lang w:val="en-US"/>
        </w:rPr>
        <w:t xml:space="preserve"> </w:t>
      </w:r>
      <w:proofErr w:type="spellStart"/>
      <w:r w:rsidRPr="00EA39BB">
        <w:rPr>
          <w:lang w:val="en-US"/>
        </w:rPr>
        <w:t>bir</w:t>
      </w:r>
      <w:proofErr w:type="spellEnd"/>
      <w:r w:rsidRPr="00EA39BB">
        <w:rPr>
          <w:lang w:val="en-US"/>
        </w:rPr>
        <w:t xml:space="preserve"> </w:t>
      </w:r>
      <w:proofErr w:type="spellStart"/>
      <w:r w:rsidRPr="00EA39BB">
        <w:rPr>
          <w:lang w:val="en-US"/>
        </w:rPr>
        <w:t>şekilde</w:t>
      </w:r>
      <w:proofErr w:type="spellEnd"/>
      <w:r w:rsidRPr="00EA39BB">
        <w:rPr>
          <w:lang w:val="en-US"/>
        </w:rPr>
        <w:t xml:space="preserve"> </w:t>
      </w:r>
      <w:proofErr w:type="spellStart"/>
      <w:r w:rsidRPr="00EA39BB">
        <w:rPr>
          <w:lang w:val="en-US"/>
        </w:rPr>
        <w:t>iç</w:t>
      </w:r>
      <w:proofErr w:type="spellEnd"/>
      <w:r w:rsidRPr="00EA39BB">
        <w:rPr>
          <w:lang w:val="en-US"/>
        </w:rPr>
        <w:t xml:space="preserve"> </w:t>
      </w:r>
      <w:proofErr w:type="spellStart"/>
      <w:r w:rsidRPr="00EA39BB">
        <w:rPr>
          <w:lang w:val="en-US"/>
        </w:rPr>
        <w:t>içe</w:t>
      </w:r>
      <w:proofErr w:type="spellEnd"/>
      <w:r w:rsidRPr="00EA39BB">
        <w:rPr>
          <w:lang w:val="en-US"/>
        </w:rPr>
        <w:t xml:space="preserve"> </w:t>
      </w:r>
      <w:proofErr w:type="spellStart"/>
      <w:r w:rsidRPr="00EA39BB">
        <w:rPr>
          <w:lang w:val="en-US"/>
        </w:rPr>
        <w:t>geçtiğine</w:t>
      </w:r>
      <w:proofErr w:type="spellEnd"/>
      <w:r w:rsidRPr="00EA39BB">
        <w:rPr>
          <w:lang w:val="en-US"/>
        </w:rPr>
        <w:t xml:space="preserve"> </w:t>
      </w:r>
      <w:proofErr w:type="spellStart"/>
      <w:r w:rsidRPr="00EA39BB">
        <w:rPr>
          <w:lang w:val="en-US"/>
        </w:rPr>
        <w:t>dair</w:t>
      </w:r>
      <w:proofErr w:type="spellEnd"/>
      <w:r w:rsidRPr="00EA39BB">
        <w:rPr>
          <w:lang w:val="en-US"/>
        </w:rPr>
        <w:t xml:space="preserve"> </w:t>
      </w:r>
      <w:proofErr w:type="spellStart"/>
      <w:r w:rsidRPr="00EA39BB">
        <w:rPr>
          <w:lang w:val="en-US"/>
        </w:rPr>
        <w:t>paylaştıkları</w:t>
      </w:r>
      <w:proofErr w:type="spellEnd"/>
      <w:r w:rsidRPr="00EA39BB">
        <w:rPr>
          <w:lang w:val="en-US"/>
        </w:rPr>
        <w:t xml:space="preserve"> </w:t>
      </w:r>
      <w:proofErr w:type="spellStart"/>
      <w:r w:rsidRPr="00EA39BB">
        <w:rPr>
          <w:lang w:val="en-US"/>
        </w:rPr>
        <w:t>temel</w:t>
      </w:r>
      <w:proofErr w:type="spellEnd"/>
      <w:r w:rsidRPr="00EA39BB">
        <w:rPr>
          <w:lang w:val="en-US"/>
        </w:rPr>
        <w:t xml:space="preserve"> inançtır.¹⁸²</w:t>
      </w:r>
      <w:r>
        <w:rPr>
          <w:lang w:val="en-US"/>
        </w:rPr>
        <w:t xml:space="preserve"> </w:t>
      </w:r>
      <w:r>
        <w:rPr>
          <w:rStyle w:val="FootnoteReference"/>
          <w:lang w:val="en-US"/>
        </w:rPr>
        <w:footnoteReference w:id="182"/>
      </w:r>
      <w:r>
        <w:rPr>
          <w:lang w:val="en-US"/>
        </w:rPr>
        <w:t xml:space="preserve"> [1116 – 1117 ]</w:t>
      </w:r>
    </w:p>
    <w:p w14:paraId="60DF96D7" w14:textId="3DCE9158" w:rsidR="00EA39BB" w:rsidRDefault="00EA39BB" w:rsidP="00EA39BB">
      <w:pPr>
        <w:rPr>
          <w:lang w:val="en-US"/>
        </w:rPr>
      </w:pPr>
      <w:r w:rsidRPr="00EA39BB">
        <w:rPr>
          <w:lang w:val="en-US"/>
        </w:rPr>
        <w:t xml:space="preserve">Bu </w:t>
      </w:r>
      <w:proofErr w:type="spellStart"/>
      <w:r w:rsidRPr="00EA39BB">
        <w:rPr>
          <w:lang w:val="en-US"/>
        </w:rPr>
        <w:t>kültürel</w:t>
      </w:r>
      <w:proofErr w:type="spellEnd"/>
      <w:r w:rsidRPr="00EA39BB">
        <w:rPr>
          <w:lang w:val="en-US"/>
        </w:rPr>
        <w:t xml:space="preserve"> </w:t>
      </w:r>
      <w:proofErr w:type="spellStart"/>
      <w:r w:rsidRPr="00EA39BB">
        <w:rPr>
          <w:lang w:val="en-US"/>
        </w:rPr>
        <w:t>dönüşü</w:t>
      </w:r>
      <w:proofErr w:type="spellEnd"/>
      <w:r w:rsidRPr="00EA39BB">
        <w:rPr>
          <w:lang w:val="en-US"/>
        </w:rPr>
        <w:t xml:space="preserve"> </w:t>
      </w:r>
      <w:proofErr w:type="spellStart"/>
      <w:r w:rsidRPr="00EA39BB">
        <w:rPr>
          <w:lang w:val="en-US"/>
        </w:rPr>
        <w:t>besleyen</w:t>
      </w:r>
      <w:proofErr w:type="spellEnd"/>
      <w:r w:rsidRPr="00EA39BB">
        <w:rPr>
          <w:lang w:val="en-US"/>
        </w:rPr>
        <w:t xml:space="preserve"> </w:t>
      </w:r>
      <w:proofErr w:type="spellStart"/>
      <w:r w:rsidRPr="00EA39BB">
        <w:rPr>
          <w:lang w:val="en-US"/>
        </w:rPr>
        <w:t>entelektüel</w:t>
      </w:r>
      <w:proofErr w:type="spellEnd"/>
      <w:r w:rsidRPr="00EA39BB">
        <w:rPr>
          <w:lang w:val="en-US"/>
        </w:rPr>
        <w:t xml:space="preserve"> </w:t>
      </w:r>
      <w:proofErr w:type="spellStart"/>
      <w:r w:rsidRPr="00EA39BB">
        <w:rPr>
          <w:lang w:val="en-US"/>
        </w:rPr>
        <w:t>güçler</w:t>
      </w:r>
      <w:proofErr w:type="spellEnd"/>
      <w:r w:rsidRPr="00EA39BB">
        <w:rPr>
          <w:lang w:val="en-US"/>
        </w:rPr>
        <w:t xml:space="preserve"> son </w:t>
      </w:r>
      <w:proofErr w:type="spellStart"/>
      <w:r w:rsidRPr="00EA39BB">
        <w:rPr>
          <w:lang w:val="en-US"/>
        </w:rPr>
        <w:t>derece</w:t>
      </w:r>
      <w:proofErr w:type="spellEnd"/>
      <w:r w:rsidRPr="00EA39BB">
        <w:rPr>
          <w:lang w:val="en-US"/>
        </w:rPr>
        <w:t xml:space="preserve"> </w:t>
      </w:r>
      <w:proofErr w:type="spellStart"/>
      <w:r w:rsidRPr="00EA39BB">
        <w:rPr>
          <w:lang w:val="en-US"/>
        </w:rPr>
        <w:t>çeşitlidir</w:t>
      </w:r>
      <w:proofErr w:type="spellEnd"/>
      <w:r w:rsidRPr="00EA39BB">
        <w:rPr>
          <w:lang w:val="en-US"/>
        </w:rPr>
        <w:t xml:space="preserve">. </w:t>
      </w:r>
      <w:proofErr w:type="spellStart"/>
      <w:r w:rsidRPr="00EA39BB">
        <w:rPr>
          <w:lang w:val="en-US"/>
        </w:rPr>
        <w:t>Anayasa</w:t>
      </w:r>
      <w:proofErr w:type="spellEnd"/>
      <w:r w:rsidRPr="00EA39BB">
        <w:rPr>
          <w:lang w:val="en-US"/>
        </w:rPr>
        <w:t xml:space="preserve"> </w:t>
      </w:r>
      <w:proofErr w:type="spellStart"/>
      <w:r w:rsidRPr="00EA39BB">
        <w:rPr>
          <w:lang w:val="en-US"/>
        </w:rPr>
        <w:t>hukuku</w:t>
      </w:r>
      <w:proofErr w:type="spellEnd"/>
      <w:r w:rsidRPr="00EA39BB">
        <w:rPr>
          <w:lang w:val="en-US"/>
        </w:rPr>
        <w:t xml:space="preserve"> </w:t>
      </w:r>
      <w:proofErr w:type="spellStart"/>
      <w:r w:rsidRPr="00EA39BB">
        <w:rPr>
          <w:lang w:val="en-US"/>
        </w:rPr>
        <w:t>üzerine</w:t>
      </w:r>
      <w:proofErr w:type="spellEnd"/>
      <w:r w:rsidRPr="00EA39BB">
        <w:rPr>
          <w:lang w:val="en-US"/>
        </w:rPr>
        <w:t xml:space="preserve"> </w:t>
      </w:r>
      <w:proofErr w:type="spellStart"/>
      <w:r w:rsidRPr="00EA39BB">
        <w:rPr>
          <w:lang w:val="en-US"/>
        </w:rPr>
        <w:t>bu</w:t>
      </w:r>
      <w:proofErr w:type="spellEnd"/>
      <w:r w:rsidRPr="00EA39BB">
        <w:rPr>
          <w:lang w:val="en-US"/>
        </w:rPr>
        <w:t xml:space="preserve"> </w:t>
      </w:r>
      <w:proofErr w:type="spellStart"/>
      <w:r w:rsidRPr="00EA39BB">
        <w:rPr>
          <w:lang w:val="en-US"/>
        </w:rPr>
        <w:t>bakış</w:t>
      </w:r>
      <w:proofErr w:type="spellEnd"/>
      <w:r w:rsidRPr="00EA39BB">
        <w:rPr>
          <w:lang w:val="en-US"/>
        </w:rPr>
        <w:t xml:space="preserve"> </w:t>
      </w:r>
      <w:proofErr w:type="spellStart"/>
      <w:r w:rsidRPr="00EA39BB">
        <w:rPr>
          <w:lang w:val="en-US"/>
        </w:rPr>
        <w:t>açısıyla</w:t>
      </w:r>
      <w:proofErr w:type="spellEnd"/>
      <w:r w:rsidRPr="00EA39BB">
        <w:rPr>
          <w:lang w:val="en-US"/>
        </w:rPr>
        <w:t xml:space="preserve"> </w:t>
      </w:r>
      <w:proofErr w:type="spellStart"/>
      <w:r w:rsidRPr="00EA39BB">
        <w:rPr>
          <w:lang w:val="en-US"/>
        </w:rPr>
        <w:t>yazan</w:t>
      </w:r>
      <w:proofErr w:type="spellEnd"/>
      <w:r w:rsidRPr="00EA39BB">
        <w:rPr>
          <w:lang w:val="en-US"/>
        </w:rPr>
        <w:t xml:space="preserve"> </w:t>
      </w:r>
      <w:proofErr w:type="spellStart"/>
      <w:r w:rsidRPr="00EA39BB">
        <w:rPr>
          <w:lang w:val="en-US"/>
        </w:rPr>
        <w:t>birçok</w:t>
      </w:r>
      <w:proofErr w:type="spellEnd"/>
      <w:r w:rsidRPr="00EA39BB">
        <w:rPr>
          <w:lang w:val="en-US"/>
        </w:rPr>
        <w:t xml:space="preserve"> </w:t>
      </w:r>
      <w:proofErr w:type="spellStart"/>
      <w:r w:rsidRPr="00EA39BB">
        <w:rPr>
          <w:lang w:val="en-US"/>
        </w:rPr>
        <w:t>akademisyen</w:t>
      </w:r>
      <w:proofErr w:type="spellEnd"/>
      <w:r w:rsidRPr="00EA39BB">
        <w:rPr>
          <w:lang w:val="en-US"/>
        </w:rPr>
        <w:t xml:space="preserve"> </w:t>
      </w:r>
      <w:proofErr w:type="spellStart"/>
      <w:r w:rsidRPr="00EA39BB">
        <w:rPr>
          <w:lang w:val="en-US"/>
        </w:rPr>
        <w:t>tarihsel</w:t>
      </w:r>
      <w:proofErr w:type="spellEnd"/>
      <w:r w:rsidRPr="00EA39BB">
        <w:rPr>
          <w:lang w:val="en-US"/>
        </w:rPr>
        <w:t xml:space="preserve"> </w:t>
      </w:r>
      <w:proofErr w:type="spellStart"/>
      <w:r w:rsidRPr="00EA39BB">
        <w:rPr>
          <w:lang w:val="en-US"/>
        </w:rPr>
        <w:t>eğitim</w:t>
      </w:r>
      <w:proofErr w:type="spellEnd"/>
      <w:r w:rsidRPr="00EA39BB">
        <w:rPr>
          <w:lang w:val="en-US"/>
        </w:rPr>
        <w:t xml:space="preserve"> </w:t>
      </w:r>
      <w:proofErr w:type="spellStart"/>
      <w:r w:rsidRPr="00EA39BB">
        <w:rPr>
          <w:lang w:val="en-US"/>
        </w:rPr>
        <w:t>almış</w:t>
      </w:r>
      <w:proofErr w:type="spellEnd"/>
      <w:r w:rsidRPr="00EA39BB">
        <w:rPr>
          <w:lang w:val="en-US"/>
        </w:rPr>
        <w:t xml:space="preserve"> </w:t>
      </w:r>
      <w:proofErr w:type="spellStart"/>
      <w:r w:rsidRPr="00EA39BB">
        <w:rPr>
          <w:lang w:val="en-US"/>
        </w:rPr>
        <w:t>olup</w:t>
      </w:r>
      <w:proofErr w:type="spellEnd"/>
      <w:r w:rsidRPr="00EA39BB">
        <w:rPr>
          <w:lang w:val="en-US"/>
        </w:rPr>
        <w:t xml:space="preserve">, </w:t>
      </w:r>
      <w:proofErr w:type="spellStart"/>
      <w:r w:rsidRPr="00EA39BB">
        <w:rPr>
          <w:lang w:val="en-US"/>
        </w:rPr>
        <w:t>bu</w:t>
      </w:r>
      <w:proofErr w:type="spellEnd"/>
      <w:r w:rsidRPr="00EA39BB">
        <w:rPr>
          <w:lang w:val="en-US"/>
        </w:rPr>
        <w:t xml:space="preserve"> </w:t>
      </w:r>
      <w:proofErr w:type="spellStart"/>
      <w:r w:rsidRPr="00EA39BB">
        <w:rPr>
          <w:lang w:val="en-US"/>
        </w:rPr>
        <w:t>nedenle</w:t>
      </w:r>
      <w:proofErr w:type="spellEnd"/>
      <w:r w:rsidRPr="00EA39BB">
        <w:rPr>
          <w:lang w:val="en-US"/>
        </w:rPr>
        <w:t xml:space="preserve"> </w:t>
      </w:r>
      <w:proofErr w:type="spellStart"/>
      <w:r w:rsidRPr="00EA39BB">
        <w:rPr>
          <w:lang w:val="en-US"/>
        </w:rPr>
        <w:t>kültürel</w:t>
      </w:r>
      <w:proofErr w:type="spellEnd"/>
      <w:r w:rsidRPr="00EA39BB">
        <w:rPr>
          <w:lang w:val="en-US"/>
        </w:rPr>
        <w:t xml:space="preserve"> </w:t>
      </w:r>
      <w:proofErr w:type="spellStart"/>
      <w:r w:rsidRPr="00EA39BB">
        <w:rPr>
          <w:lang w:val="en-US"/>
        </w:rPr>
        <w:t>bağlantıları</w:t>
      </w:r>
      <w:proofErr w:type="spellEnd"/>
      <w:r w:rsidRPr="00EA39BB">
        <w:rPr>
          <w:lang w:val="en-US"/>
        </w:rPr>
        <w:t xml:space="preserve"> </w:t>
      </w:r>
      <w:proofErr w:type="spellStart"/>
      <w:r w:rsidRPr="00EA39BB">
        <w:rPr>
          <w:lang w:val="en-US"/>
        </w:rPr>
        <w:t>belirlemeye</w:t>
      </w:r>
      <w:proofErr w:type="spellEnd"/>
      <w:r w:rsidRPr="00EA39BB">
        <w:rPr>
          <w:lang w:val="en-US"/>
        </w:rPr>
        <w:t xml:space="preserve"> </w:t>
      </w:r>
      <w:proofErr w:type="spellStart"/>
      <w:r w:rsidRPr="00EA39BB">
        <w:rPr>
          <w:lang w:val="en-US"/>
        </w:rPr>
        <w:t>ve</w:t>
      </w:r>
      <w:proofErr w:type="spellEnd"/>
      <w:r w:rsidRPr="00EA39BB">
        <w:rPr>
          <w:lang w:val="en-US"/>
        </w:rPr>
        <w:t xml:space="preserve"> </w:t>
      </w:r>
      <w:proofErr w:type="spellStart"/>
      <w:r w:rsidRPr="00EA39BB">
        <w:rPr>
          <w:lang w:val="en-US"/>
        </w:rPr>
        <w:t>anayasal</w:t>
      </w:r>
      <w:proofErr w:type="spellEnd"/>
      <w:r w:rsidRPr="00EA39BB">
        <w:rPr>
          <w:lang w:val="en-US"/>
        </w:rPr>
        <w:t xml:space="preserve"> </w:t>
      </w:r>
      <w:proofErr w:type="spellStart"/>
      <w:r w:rsidRPr="00EA39BB">
        <w:rPr>
          <w:lang w:val="en-US"/>
        </w:rPr>
        <w:t>evrimin</w:t>
      </w:r>
      <w:proofErr w:type="spellEnd"/>
      <w:r w:rsidRPr="00EA39BB">
        <w:rPr>
          <w:lang w:val="en-US"/>
        </w:rPr>
        <w:t xml:space="preserve"> nominal </w:t>
      </w:r>
      <w:proofErr w:type="spellStart"/>
      <w:r w:rsidRPr="00EA39BB">
        <w:rPr>
          <w:lang w:val="en-US"/>
        </w:rPr>
        <w:t>ve</w:t>
      </w:r>
      <w:proofErr w:type="spellEnd"/>
      <w:r w:rsidRPr="00EA39BB">
        <w:rPr>
          <w:lang w:val="en-US"/>
        </w:rPr>
        <w:t xml:space="preserve"> </w:t>
      </w:r>
      <w:proofErr w:type="spellStart"/>
      <w:r w:rsidRPr="00EA39BB">
        <w:rPr>
          <w:lang w:val="en-US"/>
        </w:rPr>
        <w:t>olumsal</w:t>
      </w:r>
      <w:proofErr w:type="spellEnd"/>
      <w:r w:rsidRPr="00EA39BB">
        <w:rPr>
          <w:lang w:val="en-US"/>
        </w:rPr>
        <w:t xml:space="preserve"> (contingent) </w:t>
      </w:r>
      <w:proofErr w:type="spellStart"/>
      <w:r w:rsidRPr="00EA39BB">
        <w:rPr>
          <w:lang w:val="en-US"/>
        </w:rPr>
        <w:t>yönlerini</w:t>
      </w:r>
      <w:proofErr w:type="spellEnd"/>
      <w:r w:rsidRPr="00EA39BB">
        <w:rPr>
          <w:lang w:val="en-US"/>
        </w:rPr>
        <w:t xml:space="preserve"> </w:t>
      </w:r>
      <w:proofErr w:type="spellStart"/>
      <w:r w:rsidRPr="00EA39BB">
        <w:rPr>
          <w:lang w:val="en-US"/>
        </w:rPr>
        <w:t>kavramaya</w:t>
      </w:r>
      <w:proofErr w:type="spellEnd"/>
      <w:r w:rsidRPr="00EA39BB">
        <w:rPr>
          <w:lang w:val="en-US"/>
        </w:rPr>
        <w:t xml:space="preserve"> yatkındır.¹⁸³</w:t>
      </w:r>
      <w:r>
        <w:rPr>
          <w:lang w:val="en-US"/>
        </w:rPr>
        <w:t xml:space="preserve"> </w:t>
      </w:r>
      <w:r>
        <w:rPr>
          <w:rStyle w:val="FootnoteReference"/>
          <w:lang w:val="en-US"/>
        </w:rPr>
        <w:footnoteReference w:id="183"/>
      </w:r>
      <w:r w:rsidRPr="00EA39BB">
        <w:rPr>
          <w:lang w:val="en-US"/>
        </w:rPr>
        <w:t xml:space="preserve"> </w:t>
      </w:r>
      <w:proofErr w:type="spellStart"/>
      <w:r w:rsidRPr="00EA39BB">
        <w:rPr>
          <w:lang w:val="en-US"/>
        </w:rPr>
        <w:t>Oldukça</w:t>
      </w:r>
      <w:proofErr w:type="spellEnd"/>
      <w:r w:rsidRPr="00EA39BB">
        <w:rPr>
          <w:lang w:val="en-US"/>
        </w:rPr>
        <w:t xml:space="preserve"> </w:t>
      </w:r>
      <w:proofErr w:type="spellStart"/>
      <w:r w:rsidRPr="00EA39BB">
        <w:rPr>
          <w:lang w:val="en-US"/>
        </w:rPr>
        <w:t>fazla</w:t>
      </w:r>
      <w:proofErr w:type="spellEnd"/>
      <w:r w:rsidRPr="00EA39BB">
        <w:rPr>
          <w:lang w:val="en-US"/>
        </w:rPr>
        <w:t xml:space="preserve"> </w:t>
      </w:r>
      <w:proofErr w:type="spellStart"/>
      <w:r w:rsidRPr="00EA39BB">
        <w:rPr>
          <w:lang w:val="en-US"/>
        </w:rPr>
        <w:t>sayıda</w:t>
      </w:r>
      <w:proofErr w:type="spellEnd"/>
      <w:r w:rsidRPr="00EA39BB">
        <w:rPr>
          <w:lang w:val="en-US"/>
        </w:rPr>
        <w:t xml:space="preserve"> </w:t>
      </w:r>
      <w:proofErr w:type="spellStart"/>
      <w:r w:rsidRPr="00EA39BB">
        <w:rPr>
          <w:lang w:val="en-US"/>
        </w:rPr>
        <w:t>akademisyen</w:t>
      </w:r>
      <w:proofErr w:type="spellEnd"/>
      <w:r w:rsidRPr="00EA39BB">
        <w:rPr>
          <w:lang w:val="en-US"/>
        </w:rPr>
        <w:t xml:space="preserve">, </w:t>
      </w:r>
      <w:proofErr w:type="spellStart"/>
      <w:r w:rsidRPr="00EA39BB">
        <w:rPr>
          <w:lang w:val="en-US"/>
        </w:rPr>
        <w:t>anayasa</w:t>
      </w:r>
      <w:proofErr w:type="spellEnd"/>
      <w:r w:rsidRPr="00EA39BB">
        <w:rPr>
          <w:lang w:val="en-US"/>
        </w:rPr>
        <w:t xml:space="preserve"> </w:t>
      </w:r>
      <w:proofErr w:type="spellStart"/>
      <w:r w:rsidRPr="00EA39BB">
        <w:rPr>
          <w:lang w:val="en-US"/>
        </w:rPr>
        <w:t>hukukunu</w:t>
      </w:r>
      <w:proofErr w:type="spellEnd"/>
      <w:r w:rsidRPr="00EA39BB">
        <w:rPr>
          <w:lang w:val="en-US"/>
        </w:rPr>
        <w:t xml:space="preserve"> </w:t>
      </w:r>
      <w:proofErr w:type="spellStart"/>
      <w:r w:rsidRPr="00EA39BB">
        <w:rPr>
          <w:lang w:val="en-US"/>
        </w:rPr>
        <w:t>siyasi</w:t>
      </w:r>
      <w:proofErr w:type="spellEnd"/>
      <w:r w:rsidRPr="00EA39BB">
        <w:rPr>
          <w:lang w:val="en-US"/>
        </w:rPr>
        <w:t xml:space="preserve"> </w:t>
      </w:r>
      <w:proofErr w:type="spellStart"/>
      <w:r w:rsidRPr="00EA39BB">
        <w:rPr>
          <w:lang w:val="en-US"/>
        </w:rPr>
        <w:t>mücadele</w:t>
      </w:r>
      <w:proofErr w:type="spellEnd"/>
      <w:r w:rsidRPr="00EA39BB">
        <w:rPr>
          <w:lang w:val="en-US"/>
        </w:rPr>
        <w:t xml:space="preserve"> </w:t>
      </w:r>
      <w:proofErr w:type="spellStart"/>
      <w:r w:rsidRPr="00EA39BB">
        <w:rPr>
          <w:lang w:val="en-US"/>
        </w:rPr>
        <w:t>ve</w:t>
      </w:r>
      <w:proofErr w:type="spellEnd"/>
      <w:r w:rsidRPr="00EA39BB">
        <w:rPr>
          <w:lang w:val="en-US"/>
        </w:rPr>
        <w:t xml:space="preserve"> </w:t>
      </w:r>
      <w:proofErr w:type="spellStart"/>
      <w:r w:rsidRPr="00EA39BB">
        <w:rPr>
          <w:lang w:val="en-US"/>
        </w:rPr>
        <w:t>olumsal</w:t>
      </w:r>
      <w:proofErr w:type="spellEnd"/>
      <w:r w:rsidRPr="00EA39BB">
        <w:rPr>
          <w:lang w:val="en-US"/>
        </w:rPr>
        <w:t xml:space="preserve"> </w:t>
      </w:r>
      <w:proofErr w:type="spellStart"/>
      <w:r w:rsidRPr="00EA39BB">
        <w:rPr>
          <w:lang w:val="en-US"/>
        </w:rPr>
        <w:t>deneyim</w:t>
      </w:r>
      <w:proofErr w:type="spellEnd"/>
      <w:r w:rsidRPr="00EA39BB">
        <w:rPr>
          <w:lang w:val="en-US"/>
        </w:rPr>
        <w:t xml:space="preserve"> </w:t>
      </w:r>
      <w:proofErr w:type="spellStart"/>
      <w:r w:rsidRPr="00EA39BB">
        <w:rPr>
          <w:lang w:val="en-US"/>
        </w:rPr>
        <w:t>alanı</w:t>
      </w:r>
      <w:proofErr w:type="spellEnd"/>
      <w:r w:rsidRPr="00EA39BB">
        <w:rPr>
          <w:lang w:val="en-US"/>
        </w:rPr>
        <w:t xml:space="preserve"> </w:t>
      </w:r>
      <w:proofErr w:type="spellStart"/>
      <w:r w:rsidRPr="00EA39BB">
        <w:rPr>
          <w:lang w:val="en-US"/>
        </w:rPr>
        <w:t>olarak</w:t>
      </w:r>
      <w:proofErr w:type="spellEnd"/>
      <w:r w:rsidRPr="00EA39BB">
        <w:rPr>
          <w:lang w:val="en-US"/>
        </w:rPr>
        <w:t xml:space="preserve"> </w:t>
      </w:r>
      <w:proofErr w:type="spellStart"/>
      <w:r w:rsidRPr="00EA39BB">
        <w:rPr>
          <w:lang w:val="en-US"/>
        </w:rPr>
        <w:t>kavramsallaştıran</w:t>
      </w:r>
      <w:proofErr w:type="spellEnd"/>
      <w:r w:rsidRPr="00EA39BB">
        <w:rPr>
          <w:lang w:val="en-US"/>
        </w:rPr>
        <w:t xml:space="preserve"> Derrick Bell </w:t>
      </w:r>
      <w:proofErr w:type="spellStart"/>
      <w:r w:rsidRPr="00EA39BB">
        <w:rPr>
          <w:lang w:val="en-US"/>
        </w:rPr>
        <w:t>ve</w:t>
      </w:r>
      <w:proofErr w:type="spellEnd"/>
      <w:r w:rsidRPr="00EA39BB">
        <w:rPr>
          <w:lang w:val="en-US"/>
        </w:rPr>
        <w:t xml:space="preserve"> </w:t>
      </w:r>
      <w:proofErr w:type="spellStart"/>
      <w:r w:rsidRPr="00EA39BB">
        <w:rPr>
          <w:lang w:val="en-US"/>
        </w:rPr>
        <w:t>diğer</w:t>
      </w:r>
      <w:proofErr w:type="spellEnd"/>
      <w:r w:rsidRPr="00EA39BB">
        <w:rPr>
          <w:lang w:val="en-US"/>
        </w:rPr>
        <w:t xml:space="preserve"> </w:t>
      </w:r>
      <w:proofErr w:type="spellStart"/>
      <w:r w:rsidRPr="00EA39BB">
        <w:rPr>
          <w:lang w:val="en-US"/>
        </w:rPr>
        <w:t>erken</w:t>
      </w:r>
      <w:proofErr w:type="spellEnd"/>
      <w:r w:rsidRPr="00EA39BB">
        <w:rPr>
          <w:lang w:val="en-US"/>
        </w:rPr>
        <w:t xml:space="preserve"> </w:t>
      </w:r>
      <w:proofErr w:type="spellStart"/>
      <w:r w:rsidRPr="00EA39BB">
        <w:rPr>
          <w:lang w:val="en-US"/>
        </w:rPr>
        <w:t>dönem</w:t>
      </w:r>
      <w:proofErr w:type="spellEnd"/>
      <w:r w:rsidRPr="00EA39BB">
        <w:rPr>
          <w:lang w:val="en-US"/>
        </w:rPr>
        <w:t xml:space="preserve"> </w:t>
      </w:r>
      <w:proofErr w:type="spellStart"/>
      <w:r w:rsidRPr="00EA39BB">
        <w:rPr>
          <w:lang w:val="en-US"/>
        </w:rPr>
        <w:t>eleştirel</w:t>
      </w:r>
      <w:proofErr w:type="spellEnd"/>
      <w:r w:rsidRPr="00EA39BB">
        <w:rPr>
          <w:lang w:val="en-US"/>
        </w:rPr>
        <w:t xml:space="preserve"> </w:t>
      </w:r>
      <w:proofErr w:type="spellStart"/>
      <w:r w:rsidRPr="00EA39BB">
        <w:rPr>
          <w:lang w:val="en-US"/>
        </w:rPr>
        <w:t>ırk</w:t>
      </w:r>
      <w:proofErr w:type="spellEnd"/>
      <w:r w:rsidRPr="00EA39BB">
        <w:rPr>
          <w:lang w:val="en-US"/>
        </w:rPr>
        <w:t xml:space="preserve"> </w:t>
      </w:r>
      <w:proofErr w:type="spellStart"/>
      <w:r w:rsidRPr="00EA39BB">
        <w:rPr>
          <w:lang w:val="en-US"/>
        </w:rPr>
        <w:t>kuramcılarının</w:t>
      </w:r>
      <w:proofErr w:type="spellEnd"/>
      <w:r w:rsidRPr="00EA39BB">
        <w:rPr>
          <w:lang w:val="en-US"/>
        </w:rPr>
        <w:t xml:space="preserve"> </w:t>
      </w:r>
      <w:proofErr w:type="spellStart"/>
      <w:r w:rsidRPr="00EA39BB">
        <w:rPr>
          <w:lang w:val="en-US"/>
        </w:rPr>
        <w:t>çalışmalarından</w:t>
      </w:r>
      <w:proofErr w:type="spellEnd"/>
      <w:r w:rsidRPr="00EA39BB">
        <w:rPr>
          <w:lang w:val="en-US"/>
        </w:rPr>
        <w:t xml:space="preserve"> </w:t>
      </w:r>
      <w:proofErr w:type="spellStart"/>
      <w:r w:rsidRPr="00EA39BB">
        <w:rPr>
          <w:lang w:val="en-US"/>
        </w:rPr>
        <w:t>açıkça</w:t>
      </w:r>
      <w:proofErr w:type="spellEnd"/>
      <w:r w:rsidRPr="00EA39BB">
        <w:rPr>
          <w:lang w:val="en-US"/>
        </w:rPr>
        <w:t xml:space="preserve"> </w:t>
      </w:r>
      <w:proofErr w:type="spellStart"/>
      <w:r w:rsidRPr="00EA39BB">
        <w:rPr>
          <w:lang w:val="en-US"/>
        </w:rPr>
        <w:t>ilham</w:t>
      </w:r>
      <w:proofErr w:type="spellEnd"/>
      <w:r w:rsidRPr="00EA39BB">
        <w:rPr>
          <w:lang w:val="en-US"/>
        </w:rPr>
        <w:t xml:space="preserve"> almaktadır.¹⁸⁴</w:t>
      </w:r>
      <w:r>
        <w:rPr>
          <w:lang w:val="en-US"/>
        </w:rPr>
        <w:t xml:space="preserve"> </w:t>
      </w:r>
      <w:r>
        <w:rPr>
          <w:rStyle w:val="FootnoteReference"/>
          <w:lang w:val="en-US"/>
        </w:rPr>
        <w:footnoteReference w:id="184"/>
      </w:r>
      <w:r w:rsidRPr="00EA39BB">
        <w:rPr>
          <w:lang w:val="en-US"/>
        </w:rPr>
        <w:t xml:space="preserve"> </w:t>
      </w:r>
      <w:proofErr w:type="spellStart"/>
      <w:r w:rsidRPr="00EA39BB">
        <w:rPr>
          <w:lang w:val="en-US"/>
        </w:rPr>
        <w:t>Diğerleri</w:t>
      </w:r>
      <w:proofErr w:type="spellEnd"/>
      <w:r w:rsidRPr="00EA39BB">
        <w:rPr>
          <w:lang w:val="en-US"/>
        </w:rPr>
        <w:t xml:space="preserve"> </w:t>
      </w:r>
      <w:proofErr w:type="spellStart"/>
      <w:r w:rsidRPr="00EA39BB">
        <w:rPr>
          <w:lang w:val="en-US"/>
        </w:rPr>
        <w:t>ise</w:t>
      </w:r>
      <w:proofErr w:type="spellEnd"/>
      <w:r w:rsidRPr="00EA39BB">
        <w:rPr>
          <w:lang w:val="en-US"/>
        </w:rPr>
        <w:t xml:space="preserve">, </w:t>
      </w:r>
      <w:proofErr w:type="spellStart"/>
      <w:r w:rsidRPr="00EA39BB">
        <w:rPr>
          <w:lang w:val="en-US"/>
        </w:rPr>
        <w:t>pozitif</w:t>
      </w:r>
      <w:proofErr w:type="spellEnd"/>
      <w:r w:rsidRPr="00EA39BB">
        <w:rPr>
          <w:lang w:val="en-US"/>
        </w:rPr>
        <w:t xml:space="preserve"> </w:t>
      </w:r>
      <w:proofErr w:type="spellStart"/>
      <w:r w:rsidRPr="00EA39BB">
        <w:rPr>
          <w:lang w:val="en-US"/>
        </w:rPr>
        <w:t>siyaset</w:t>
      </w:r>
      <w:proofErr w:type="spellEnd"/>
      <w:r w:rsidRPr="00EA39BB">
        <w:rPr>
          <w:lang w:val="en-US"/>
        </w:rPr>
        <w:t xml:space="preserve"> </w:t>
      </w:r>
      <w:proofErr w:type="spellStart"/>
      <w:r w:rsidRPr="00EA39BB">
        <w:rPr>
          <w:lang w:val="en-US"/>
        </w:rPr>
        <w:t>teorisinin</w:t>
      </w:r>
      <w:proofErr w:type="spellEnd"/>
      <w:r w:rsidRPr="00EA39BB">
        <w:rPr>
          <w:lang w:val="en-US"/>
        </w:rPr>
        <w:t xml:space="preserve"> </w:t>
      </w:r>
      <w:proofErr w:type="spellStart"/>
      <w:r w:rsidRPr="00EA39BB">
        <w:rPr>
          <w:lang w:val="en-US"/>
        </w:rPr>
        <w:t>sunduğu</w:t>
      </w:r>
      <w:proofErr w:type="spellEnd"/>
      <w:r w:rsidRPr="00EA39BB">
        <w:rPr>
          <w:lang w:val="en-US"/>
        </w:rPr>
        <w:t xml:space="preserve"> </w:t>
      </w:r>
      <w:proofErr w:type="spellStart"/>
      <w:r w:rsidRPr="00EA39BB">
        <w:rPr>
          <w:lang w:val="en-US"/>
        </w:rPr>
        <w:t>derslere</w:t>
      </w:r>
      <w:proofErr w:type="spellEnd"/>
      <w:r w:rsidRPr="00EA39BB">
        <w:rPr>
          <w:lang w:val="en-US"/>
        </w:rPr>
        <w:t xml:space="preserve"> </w:t>
      </w:r>
      <w:proofErr w:type="spellStart"/>
      <w:r w:rsidRPr="00EA39BB">
        <w:rPr>
          <w:lang w:val="en-US"/>
        </w:rPr>
        <w:t>duydukları</w:t>
      </w:r>
      <w:proofErr w:type="spellEnd"/>
      <w:r w:rsidRPr="00EA39BB">
        <w:rPr>
          <w:lang w:val="en-US"/>
        </w:rPr>
        <w:t xml:space="preserve"> </w:t>
      </w:r>
      <w:proofErr w:type="spellStart"/>
      <w:r w:rsidRPr="00EA39BB">
        <w:rPr>
          <w:lang w:val="en-US"/>
        </w:rPr>
        <w:t>ilgi</w:t>
      </w:r>
      <w:proofErr w:type="spellEnd"/>
      <w:r w:rsidRPr="00EA39BB">
        <w:rPr>
          <w:lang w:val="en-US"/>
        </w:rPr>
        <w:t xml:space="preserve"> </w:t>
      </w:r>
      <w:proofErr w:type="spellStart"/>
      <w:r w:rsidRPr="00EA39BB">
        <w:rPr>
          <w:lang w:val="en-US"/>
        </w:rPr>
        <w:t>ve</w:t>
      </w:r>
      <w:proofErr w:type="spellEnd"/>
      <w:r w:rsidRPr="00EA39BB">
        <w:rPr>
          <w:lang w:val="en-US"/>
        </w:rPr>
        <w:t xml:space="preserve"> </w:t>
      </w:r>
      <w:proofErr w:type="spellStart"/>
      <w:r w:rsidRPr="00EA39BB">
        <w:rPr>
          <w:lang w:val="en-US"/>
        </w:rPr>
        <w:t>anayasa</w:t>
      </w:r>
      <w:proofErr w:type="spellEnd"/>
      <w:r w:rsidRPr="00EA39BB">
        <w:rPr>
          <w:lang w:val="en-US"/>
        </w:rPr>
        <w:t xml:space="preserve"> </w:t>
      </w:r>
      <w:proofErr w:type="spellStart"/>
      <w:r w:rsidRPr="00EA39BB">
        <w:rPr>
          <w:lang w:val="en-US"/>
        </w:rPr>
        <w:t>teorisinin</w:t>
      </w:r>
      <w:proofErr w:type="spellEnd"/>
      <w:r w:rsidRPr="00EA39BB">
        <w:rPr>
          <w:lang w:val="en-US"/>
        </w:rPr>
        <w:t xml:space="preserve"> </w:t>
      </w:r>
      <w:proofErr w:type="spellStart"/>
      <w:r w:rsidRPr="00EA39BB">
        <w:rPr>
          <w:lang w:val="en-US"/>
        </w:rPr>
        <w:t>bu</w:t>
      </w:r>
      <w:proofErr w:type="spellEnd"/>
      <w:r w:rsidRPr="00EA39BB">
        <w:rPr>
          <w:lang w:val="en-US"/>
        </w:rPr>
        <w:t xml:space="preserve"> </w:t>
      </w:r>
      <w:proofErr w:type="spellStart"/>
      <w:r w:rsidRPr="00EA39BB">
        <w:rPr>
          <w:lang w:val="en-US"/>
        </w:rPr>
        <w:t>literatürü</w:t>
      </w:r>
      <w:proofErr w:type="spellEnd"/>
      <w:r w:rsidRPr="00EA39BB">
        <w:rPr>
          <w:lang w:val="en-US"/>
        </w:rPr>
        <w:t xml:space="preserve"> </w:t>
      </w:r>
      <w:proofErr w:type="spellStart"/>
      <w:r w:rsidRPr="00EA39BB">
        <w:rPr>
          <w:lang w:val="en-US"/>
        </w:rPr>
        <w:t>dikkate</w:t>
      </w:r>
      <w:proofErr w:type="spellEnd"/>
      <w:r w:rsidRPr="00EA39BB">
        <w:rPr>
          <w:lang w:val="en-US"/>
        </w:rPr>
        <w:t xml:space="preserve"> </w:t>
      </w:r>
      <w:proofErr w:type="spellStart"/>
      <w:r w:rsidRPr="00EA39BB">
        <w:rPr>
          <w:lang w:val="en-US"/>
        </w:rPr>
        <w:t>almaya</w:t>
      </w:r>
      <w:proofErr w:type="spellEnd"/>
      <w:r w:rsidRPr="00EA39BB">
        <w:rPr>
          <w:lang w:val="en-US"/>
        </w:rPr>
        <w:t xml:space="preserve"> </w:t>
      </w:r>
      <w:proofErr w:type="spellStart"/>
      <w:r w:rsidRPr="00EA39BB">
        <w:rPr>
          <w:lang w:val="en-US"/>
        </w:rPr>
        <w:t>yanaşmamasının</w:t>
      </w:r>
      <w:proofErr w:type="spellEnd"/>
      <w:r w:rsidRPr="00EA39BB">
        <w:rPr>
          <w:lang w:val="en-US"/>
        </w:rPr>
        <w:t xml:space="preserve"> </w:t>
      </w:r>
      <w:proofErr w:type="spellStart"/>
      <w:r w:rsidRPr="00EA39BB">
        <w:rPr>
          <w:lang w:val="en-US"/>
        </w:rPr>
        <w:t>neden</w:t>
      </w:r>
      <w:proofErr w:type="spellEnd"/>
      <w:r w:rsidRPr="00EA39BB">
        <w:rPr>
          <w:lang w:val="en-US"/>
        </w:rPr>
        <w:t xml:space="preserve"> </w:t>
      </w:r>
      <w:proofErr w:type="spellStart"/>
      <w:r w:rsidRPr="00EA39BB">
        <w:rPr>
          <w:lang w:val="en-US"/>
        </w:rPr>
        <w:t>olduğu</w:t>
      </w:r>
      <w:proofErr w:type="spellEnd"/>
      <w:r w:rsidRPr="00EA39BB">
        <w:rPr>
          <w:lang w:val="en-US"/>
        </w:rPr>
        <w:t xml:space="preserve"> </w:t>
      </w:r>
      <w:proofErr w:type="spellStart"/>
      <w:r w:rsidRPr="00EA39BB">
        <w:rPr>
          <w:lang w:val="en-US"/>
        </w:rPr>
        <w:t>betimleyici</w:t>
      </w:r>
      <w:proofErr w:type="spellEnd"/>
      <w:r w:rsidRPr="00EA39BB">
        <w:rPr>
          <w:lang w:val="en-US"/>
        </w:rPr>
        <w:t xml:space="preserve"> </w:t>
      </w:r>
      <w:proofErr w:type="spellStart"/>
      <w:r w:rsidRPr="00EA39BB">
        <w:rPr>
          <w:lang w:val="en-US"/>
        </w:rPr>
        <w:t>yanlışlıklara</w:t>
      </w:r>
      <w:proofErr w:type="spellEnd"/>
      <w:r w:rsidRPr="00EA39BB">
        <w:rPr>
          <w:lang w:val="en-US"/>
        </w:rPr>
        <w:t xml:space="preserve"> </w:t>
      </w:r>
      <w:proofErr w:type="spellStart"/>
      <w:r w:rsidRPr="00EA39BB">
        <w:rPr>
          <w:lang w:val="en-US"/>
        </w:rPr>
        <w:t>yönelik</w:t>
      </w:r>
      <w:proofErr w:type="spellEnd"/>
      <w:r w:rsidRPr="00EA39BB">
        <w:rPr>
          <w:lang w:val="en-US"/>
        </w:rPr>
        <w:t xml:space="preserve"> </w:t>
      </w:r>
      <w:proofErr w:type="spellStart"/>
      <w:r w:rsidRPr="00EA39BB">
        <w:rPr>
          <w:lang w:val="en-US"/>
        </w:rPr>
        <w:t>kaygıları</w:t>
      </w:r>
      <w:proofErr w:type="spellEnd"/>
      <w:r w:rsidRPr="00EA39BB">
        <w:rPr>
          <w:lang w:val="en-US"/>
        </w:rPr>
        <w:t xml:space="preserve"> </w:t>
      </w:r>
      <w:proofErr w:type="spellStart"/>
      <w:r w:rsidRPr="00EA39BB">
        <w:rPr>
          <w:lang w:val="en-US"/>
        </w:rPr>
        <w:t>nedeniyle</w:t>
      </w:r>
      <w:proofErr w:type="spellEnd"/>
      <w:r w:rsidRPr="00EA39BB">
        <w:rPr>
          <w:lang w:val="en-US"/>
        </w:rPr>
        <w:t xml:space="preserve"> </w:t>
      </w:r>
      <w:proofErr w:type="spellStart"/>
      <w:r w:rsidRPr="00EA39BB">
        <w:rPr>
          <w:lang w:val="en-US"/>
        </w:rPr>
        <w:t>bu</w:t>
      </w:r>
      <w:proofErr w:type="spellEnd"/>
      <w:r w:rsidRPr="00EA39BB">
        <w:rPr>
          <w:lang w:val="en-US"/>
        </w:rPr>
        <w:t xml:space="preserve"> </w:t>
      </w:r>
      <w:proofErr w:type="spellStart"/>
      <w:r w:rsidRPr="00EA39BB">
        <w:rPr>
          <w:lang w:val="en-US"/>
        </w:rPr>
        <w:t>yönde</w:t>
      </w:r>
      <w:proofErr w:type="spellEnd"/>
      <w:r w:rsidRPr="00EA39BB">
        <w:rPr>
          <w:lang w:val="en-US"/>
        </w:rPr>
        <w:t xml:space="preserve"> </w:t>
      </w:r>
      <w:proofErr w:type="spellStart"/>
      <w:r w:rsidRPr="00EA39BB">
        <w:rPr>
          <w:lang w:val="en-US"/>
        </w:rPr>
        <w:t>bir</w:t>
      </w:r>
      <w:proofErr w:type="spellEnd"/>
      <w:r w:rsidRPr="00EA39BB">
        <w:rPr>
          <w:lang w:val="en-US"/>
        </w:rPr>
        <w:t xml:space="preserve"> </w:t>
      </w:r>
      <w:proofErr w:type="spellStart"/>
      <w:r w:rsidRPr="00EA39BB">
        <w:rPr>
          <w:lang w:val="en-US"/>
        </w:rPr>
        <w:t>yaklaşıma</w:t>
      </w:r>
      <w:proofErr w:type="spellEnd"/>
      <w:r w:rsidRPr="00EA39BB">
        <w:rPr>
          <w:lang w:val="en-US"/>
        </w:rPr>
        <w:t xml:space="preserve"> yönelmiştir.¹⁸⁵</w:t>
      </w:r>
      <w:r>
        <w:rPr>
          <w:lang w:val="en-US"/>
        </w:rPr>
        <w:t xml:space="preserve"> </w:t>
      </w:r>
      <w:r>
        <w:rPr>
          <w:rStyle w:val="FootnoteReference"/>
          <w:lang w:val="en-US"/>
        </w:rPr>
        <w:footnoteReference w:id="185"/>
      </w:r>
    </w:p>
    <w:p w14:paraId="1E9B838F" w14:textId="65B9E8AE" w:rsidR="00EA39BB" w:rsidRDefault="00CD7604" w:rsidP="00CD7604">
      <w:pPr>
        <w:rPr>
          <w:lang w:val="en-US"/>
        </w:rPr>
      </w:pPr>
      <w:proofErr w:type="spellStart"/>
      <w:r w:rsidRPr="00CD7604">
        <w:rPr>
          <w:lang w:val="en-US"/>
        </w:rPr>
        <w:t>Günümüz</w:t>
      </w:r>
      <w:proofErr w:type="spellEnd"/>
      <w:r w:rsidRPr="00CD7604">
        <w:rPr>
          <w:lang w:val="en-US"/>
        </w:rPr>
        <w:t xml:space="preserve"> </w:t>
      </w:r>
      <w:proofErr w:type="spellStart"/>
      <w:r w:rsidRPr="00CD7604">
        <w:rPr>
          <w:lang w:val="en-US"/>
        </w:rPr>
        <w:t>olayları</w:t>
      </w:r>
      <w:proofErr w:type="spellEnd"/>
      <w:r w:rsidRPr="00CD7604">
        <w:rPr>
          <w:lang w:val="en-US"/>
        </w:rPr>
        <w:t xml:space="preserve"> da </w:t>
      </w:r>
      <w:proofErr w:type="spellStart"/>
      <w:r w:rsidRPr="00CD7604">
        <w:rPr>
          <w:lang w:val="en-US"/>
        </w:rPr>
        <w:t>anayasa</w:t>
      </w:r>
      <w:proofErr w:type="spellEnd"/>
      <w:r w:rsidRPr="00CD7604">
        <w:rPr>
          <w:lang w:val="en-US"/>
        </w:rPr>
        <w:t xml:space="preserve"> </w:t>
      </w:r>
      <w:proofErr w:type="spellStart"/>
      <w:r w:rsidRPr="00CD7604">
        <w:rPr>
          <w:lang w:val="en-US"/>
        </w:rPr>
        <w:t>hukukunu</w:t>
      </w:r>
      <w:proofErr w:type="spellEnd"/>
      <w:r w:rsidRPr="00CD7604">
        <w:rPr>
          <w:lang w:val="en-US"/>
        </w:rPr>
        <w:t xml:space="preserve"> </w:t>
      </w:r>
      <w:proofErr w:type="spellStart"/>
      <w:r w:rsidRPr="00CD7604">
        <w:rPr>
          <w:lang w:val="en-US"/>
        </w:rPr>
        <w:t>olumsal</w:t>
      </w:r>
      <w:proofErr w:type="spellEnd"/>
      <w:r w:rsidRPr="00CD7604">
        <w:rPr>
          <w:lang w:val="en-US"/>
        </w:rPr>
        <w:t xml:space="preserve"> (contingent) </w:t>
      </w:r>
      <w:proofErr w:type="spellStart"/>
      <w:r w:rsidRPr="00CD7604">
        <w:rPr>
          <w:lang w:val="en-US"/>
        </w:rPr>
        <w:t>ve</w:t>
      </w:r>
      <w:proofErr w:type="spellEnd"/>
      <w:r w:rsidRPr="00CD7604">
        <w:rPr>
          <w:lang w:val="en-US"/>
        </w:rPr>
        <w:t xml:space="preserve"> </w:t>
      </w:r>
      <w:proofErr w:type="spellStart"/>
      <w:r w:rsidRPr="00CD7604">
        <w:rPr>
          <w:lang w:val="en-US"/>
        </w:rPr>
        <w:t>kültürel</w:t>
      </w:r>
      <w:proofErr w:type="spellEnd"/>
      <w:r w:rsidRPr="00CD7604">
        <w:rPr>
          <w:lang w:val="en-US"/>
        </w:rPr>
        <w:t xml:space="preserve"> </w:t>
      </w:r>
      <w:proofErr w:type="spellStart"/>
      <w:r w:rsidRPr="00CD7604">
        <w:rPr>
          <w:lang w:val="en-US"/>
        </w:rPr>
        <w:t>terimlerle</w:t>
      </w:r>
      <w:proofErr w:type="spellEnd"/>
      <w:r w:rsidRPr="00CD7604">
        <w:rPr>
          <w:lang w:val="en-US"/>
        </w:rPr>
        <w:t xml:space="preserve"> </w:t>
      </w:r>
      <w:proofErr w:type="spellStart"/>
      <w:r w:rsidRPr="00CD7604">
        <w:rPr>
          <w:lang w:val="en-US"/>
        </w:rPr>
        <w:t>düşünme</w:t>
      </w:r>
      <w:proofErr w:type="spellEnd"/>
      <w:r w:rsidRPr="00CD7604">
        <w:rPr>
          <w:lang w:val="en-US"/>
        </w:rPr>
        <w:t xml:space="preserve"> </w:t>
      </w:r>
      <w:proofErr w:type="spellStart"/>
      <w:r w:rsidRPr="00CD7604">
        <w:rPr>
          <w:lang w:val="en-US"/>
        </w:rPr>
        <w:t>eğilimini</w:t>
      </w:r>
      <w:proofErr w:type="spellEnd"/>
      <w:r w:rsidRPr="00CD7604">
        <w:rPr>
          <w:lang w:val="en-US"/>
        </w:rPr>
        <w:t xml:space="preserve"> </w:t>
      </w:r>
      <w:proofErr w:type="spellStart"/>
      <w:r w:rsidRPr="00CD7604">
        <w:rPr>
          <w:lang w:val="en-US"/>
        </w:rPr>
        <w:t>teşvik</w:t>
      </w:r>
      <w:proofErr w:type="spellEnd"/>
      <w:r w:rsidRPr="00CD7604">
        <w:rPr>
          <w:lang w:val="en-US"/>
        </w:rPr>
        <w:t xml:space="preserve"> </w:t>
      </w:r>
      <w:proofErr w:type="spellStart"/>
      <w:r w:rsidRPr="00CD7604">
        <w:rPr>
          <w:lang w:val="en-US"/>
        </w:rPr>
        <w:t>etmiştir</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hukuk</w:t>
      </w:r>
      <w:proofErr w:type="spellEnd"/>
      <w:r w:rsidRPr="00CD7604">
        <w:rPr>
          <w:lang w:val="en-US"/>
        </w:rPr>
        <w:t xml:space="preserve"> </w:t>
      </w:r>
      <w:proofErr w:type="spellStart"/>
      <w:r w:rsidRPr="00CD7604">
        <w:rPr>
          <w:lang w:val="en-US"/>
        </w:rPr>
        <w:t>yapımının</w:t>
      </w:r>
      <w:proofErr w:type="spellEnd"/>
      <w:r w:rsidRPr="00CD7604">
        <w:rPr>
          <w:lang w:val="en-US"/>
        </w:rPr>
        <w:t xml:space="preserve"> </w:t>
      </w:r>
      <w:proofErr w:type="spellStart"/>
      <w:r w:rsidRPr="00CD7604">
        <w:rPr>
          <w:lang w:val="en-US"/>
        </w:rPr>
        <w:t>dinamiklerine</w:t>
      </w:r>
      <w:proofErr w:type="spellEnd"/>
      <w:r w:rsidRPr="00CD7604">
        <w:rPr>
          <w:lang w:val="en-US"/>
        </w:rPr>
        <w:t xml:space="preserve"> </w:t>
      </w:r>
      <w:proofErr w:type="spellStart"/>
      <w:r w:rsidRPr="00CD7604">
        <w:rPr>
          <w:lang w:val="en-US"/>
        </w:rPr>
        <w:t>dair</w:t>
      </w:r>
      <w:proofErr w:type="spellEnd"/>
      <w:r w:rsidRPr="00CD7604">
        <w:rPr>
          <w:lang w:val="en-US"/>
        </w:rPr>
        <w:t xml:space="preserve"> </w:t>
      </w:r>
      <w:proofErr w:type="spellStart"/>
      <w:r w:rsidRPr="00CD7604">
        <w:rPr>
          <w:lang w:val="en-US"/>
        </w:rPr>
        <w:t>en</w:t>
      </w:r>
      <w:proofErr w:type="spellEnd"/>
      <w:r w:rsidRPr="00CD7604">
        <w:rPr>
          <w:lang w:val="en-US"/>
        </w:rPr>
        <w:t xml:space="preserve"> </w:t>
      </w:r>
      <w:proofErr w:type="spellStart"/>
      <w:r w:rsidRPr="00CD7604">
        <w:rPr>
          <w:lang w:val="en-US"/>
        </w:rPr>
        <w:t>ilginç</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yaratıcı</w:t>
      </w:r>
      <w:proofErr w:type="spellEnd"/>
      <w:r w:rsidRPr="00CD7604">
        <w:rPr>
          <w:lang w:val="en-US"/>
        </w:rPr>
        <w:t xml:space="preserve"> </w:t>
      </w:r>
      <w:proofErr w:type="spellStart"/>
      <w:r w:rsidRPr="00CD7604">
        <w:rPr>
          <w:lang w:val="en-US"/>
        </w:rPr>
        <w:t>çağdaş</w:t>
      </w:r>
      <w:proofErr w:type="spellEnd"/>
      <w:r w:rsidRPr="00CD7604">
        <w:rPr>
          <w:lang w:val="en-US"/>
        </w:rPr>
        <w:t xml:space="preserve"> </w:t>
      </w:r>
      <w:proofErr w:type="spellStart"/>
      <w:r w:rsidRPr="00CD7604">
        <w:rPr>
          <w:lang w:val="en-US"/>
        </w:rPr>
        <w:t>düşüncelerden</w:t>
      </w:r>
      <w:proofErr w:type="spellEnd"/>
      <w:r w:rsidRPr="00CD7604">
        <w:rPr>
          <w:lang w:val="en-US"/>
        </w:rPr>
        <w:t xml:space="preserve"> </w:t>
      </w:r>
      <w:proofErr w:type="spellStart"/>
      <w:r w:rsidRPr="00CD7604">
        <w:rPr>
          <w:lang w:val="en-US"/>
        </w:rPr>
        <w:t>bazıları</w:t>
      </w:r>
      <w:proofErr w:type="spellEnd"/>
      <w:r w:rsidRPr="00CD7604">
        <w:rPr>
          <w:lang w:val="en-US"/>
        </w:rPr>
        <w:t xml:space="preserve">, </w:t>
      </w:r>
      <w:proofErr w:type="spellStart"/>
      <w:r w:rsidRPr="00CD7604">
        <w:rPr>
          <w:lang w:val="en-US"/>
        </w:rPr>
        <w:t>eşcinsel</w:t>
      </w:r>
      <w:proofErr w:type="spellEnd"/>
      <w:r w:rsidRPr="00CD7604">
        <w:rPr>
          <w:lang w:val="en-US"/>
        </w:rPr>
        <w:t xml:space="preserve"> evlilik,¹⁸⁶</w:t>
      </w:r>
      <w:r>
        <w:rPr>
          <w:lang w:val="en-US"/>
        </w:rPr>
        <w:t xml:space="preserve"> </w:t>
      </w:r>
      <w:r>
        <w:rPr>
          <w:rStyle w:val="FootnoteReference"/>
          <w:lang w:val="en-US"/>
        </w:rPr>
        <w:footnoteReference w:id="186"/>
      </w:r>
      <w:r w:rsidRPr="00CD7604">
        <w:rPr>
          <w:lang w:val="en-US"/>
        </w:rPr>
        <w:t xml:space="preserve"> din özgürlüğü,¹⁸⁷</w:t>
      </w:r>
      <w:r>
        <w:rPr>
          <w:lang w:val="en-US"/>
        </w:rPr>
        <w:t xml:space="preserve"> </w:t>
      </w:r>
      <w:r>
        <w:rPr>
          <w:rStyle w:val="FootnoteReference"/>
          <w:lang w:val="en-US"/>
        </w:rPr>
        <w:footnoteReference w:id="187"/>
      </w:r>
      <w:r w:rsidRPr="00CD7604">
        <w:rPr>
          <w:lang w:val="en-US"/>
        </w:rPr>
        <w:t xml:space="preserve"> </w:t>
      </w:r>
      <w:proofErr w:type="spellStart"/>
      <w:r w:rsidRPr="00CD7604">
        <w:rPr>
          <w:lang w:val="en-US"/>
        </w:rPr>
        <w:t>Kongre’nin</w:t>
      </w:r>
      <w:proofErr w:type="spellEnd"/>
      <w:r w:rsidRPr="00CD7604">
        <w:rPr>
          <w:lang w:val="en-US"/>
        </w:rPr>
        <w:t xml:space="preserve"> </w:t>
      </w:r>
      <w:proofErr w:type="spellStart"/>
      <w:r w:rsidRPr="00CD7604">
        <w:rPr>
          <w:lang w:val="en-US"/>
        </w:rPr>
        <w:t>yetkilerinin</w:t>
      </w:r>
      <w:proofErr w:type="spellEnd"/>
      <w:r w:rsidRPr="00CD7604">
        <w:rPr>
          <w:lang w:val="en-US"/>
        </w:rPr>
        <w:t xml:space="preserve"> kapsamı¹⁸⁸ </w:t>
      </w:r>
      <w:r>
        <w:rPr>
          <w:rStyle w:val="FootnoteReference"/>
          <w:lang w:val="en-US"/>
        </w:rPr>
        <w:lastRenderedPageBreak/>
        <w:footnoteReference w:id="188"/>
      </w:r>
      <w:proofErr w:type="spellStart"/>
      <w:r w:rsidRPr="00CD7604">
        <w:rPr>
          <w:lang w:val="en-US"/>
        </w:rPr>
        <w:t>ve</w:t>
      </w:r>
      <w:proofErr w:type="spellEnd"/>
      <w:r w:rsidRPr="00CD7604">
        <w:rPr>
          <w:lang w:val="en-US"/>
        </w:rPr>
        <w:t xml:space="preserve"> </w:t>
      </w:r>
      <w:proofErr w:type="spellStart"/>
      <w:r w:rsidRPr="00CD7604">
        <w:rPr>
          <w:lang w:val="en-US"/>
        </w:rPr>
        <w:t>İkinci</w:t>
      </w:r>
      <w:proofErr w:type="spellEnd"/>
      <w:r w:rsidRPr="00CD7604">
        <w:rPr>
          <w:lang w:val="en-US"/>
        </w:rPr>
        <w:t xml:space="preserve"> Değişiklik¹⁸⁹</w:t>
      </w:r>
      <w:r>
        <w:rPr>
          <w:lang w:val="en-US"/>
        </w:rPr>
        <w:t xml:space="preserve"> </w:t>
      </w:r>
      <w:r>
        <w:rPr>
          <w:rStyle w:val="FootnoteReference"/>
          <w:lang w:val="en-US"/>
        </w:rPr>
        <w:footnoteReference w:id="189"/>
      </w:r>
      <w:r w:rsidRPr="00CD7604">
        <w:rPr>
          <w:lang w:val="en-US"/>
        </w:rPr>
        <w:t xml:space="preserve"> </w:t>
      </w:r>
      <w:proofErr w:type="spellStart"/>
      <w:r w:rsidRPr="00CD7604">
        <w:rPr>
          <w:lang w:val="en-US"/>
        </w:rPr>
        <w:t>gibi</w:t>
      </w:r>
      <w:proofErr w:type="spellEnd"/>
      <w:r w:rsidRPr="00CD7604">
        <w:rPr>
          <w:lang w:val="en-US"/>
        </w:rPr>
        <w:t xml:space="preserve"> </w:t>
      </w:r>
      <w:proofErr w:type="spellStart"/>
      <w:r w:rsidRPr="00CD7604">
        <w:rPr>
          <w:lang w:val="en-US"/>
        </w:rPr>
        <w:t>alanlarda</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değişimin</w:t>
      </w:r>
      <w:proofErr w:type="spellEnd"/>
      <w:r w:rsidRPr="00CD7604">
        <w:rPr>
          <w:lang w:val="en-US"/>
        </w:rPr>
        <w:t xml:space="preserve"> </w:t>
      </w:r>
      <w:proofErr w:type="spellStart"/>
      <w:r w:rsidRPr="00CD7604">
        <w:rPr>
          <w:lang w:val="en-US"/>
        </w:rPr>
        <w:t>hızını</w:t>
      </w:r>
      <w:proofErr w:type="spellEnd"/>
      <w:r w:rsidRPr="00CD7604">
        <w:rPr>
          <w:lang w:val="en-US"/>
        </w:rPr>
        <w:t xml:space="preserve"> </w:t>
      </w:r>
      <w:proofErr w:type="spellStart"/>
      <w:r w:rsidRPr="00CD7604">
        <w:rPr>
          <w:lang w:val="en-US"/>
        </w:rPr>
        <w:t>açıklamayı</w:t>
      </w:r>
      <w:proofErr w:type="spellEnd"/>
      <w:r w:rsidRPr="00CD7604">
        <w:rPr>
          <w:lang w:val="en-US"/>
        </w:rPr>
        <w:t xml:space="preserve"> </w:t>
      </w:r>
      <w:proofErr w:type="spellStart"/>
      <w:r w:rsidRPr="00CD7604">
        <w:rPr>
          <w:lang w:val="en-US"/>
        </w:rPr>
        <w:t>amaçlayan</w:t>
      </w:r>
      <w:proofErr w:type="spellEnd"/>
      <w:r w:rsidRPr="00CD7604">
        <w:rPr>
          <w:lang w:val="en-US"/>
        </w:rPr>
        <w:t xml:space="preserve"> </w:t>
      </w:r>
      <w:proofErr w:type="spellStart"/>
      <w:r w:rsidRPr="00CD7604">
        <w:rPr>
          <w:lang w:val="en-US"/>
        </w:rPr>
        <w:t>akademik</w:t>
      </w:r>
      <w:proofErr w:type="spellEnd"/>
      <w:r w:rsidRPr="00CD7604">
        <w:rPr>
          <w:lang w:val="en-US"/>
        </w:rPr>
        <w:t xml:space="preserve"> </w:t>
      </w:r>
      <w:proofErr w:type="spellStart"/>
      <w:r w:rsidRPr="00CD7604">
        <w:rPr>
          <w:lang w:val="en-US"/>
        </w:rPr>
        <w:t>projelerden</w:t>
      </w:r>
      <w:proofErr w:type="spellEnd"/>
      <w:r w:rsidRPr="00CD7604">
        <w:rPr>
          <w:lang w:val="en-US"/>
        </w:rPr>
        <w:t xml:space="preserve"> </w:t>
      </w:r>
      <w:proofErr w:type="spellStart"/>
      <w:r w:rsidRPr="00CD7604">
        <w:rPr>
          <w:lang w:val="en-US"/>
        </w:rPr>
        <w:t>doğmuştur</w:t>
      </w:r>
      <w:proofErr w:type="spellEnd"/>
      <w:r w:rsidRPr="00CD7604">
        <w:rPr>
          <w:lang w:val="en-US"/>
        </w:rPr>
        <w:t xml:space="preserve">. Benzer </w:t>
      </w:r>
      <w:proofErr w:type="spellStart"/>
      <w:r w:rsidRPr="00CD7604">
        <w:rPr>
          <w:lang w:val="en-US"/>
        </w:rPr>
        <w:t>ancak</w:t>
      </w:r>
      <w:proofErr w:type="spellEnd"/>
      <w:r w:rsidRPr="00CD7604">
        <w:rPr>
          <w:lang w:val="en-US"/>
        </w:rPr>
        <w:t xml:space="preserve"> </w:t>
      </w:r>
      <w:proofErr w:type="spellStart"/>
      <w:r w:rsidRPr="00CD7604">
        <w:rPr>
          <w:lang w:val="en-US"/>
        </w:rPr>
        <w:t>daha</w:t>
      </w:r>
      <w:proofErr w:type="spellEnd"/>
      <w:r w:rsidRPr="00CD7604">
        <w:rPr>
          <w:lang w:val="en-US"/>
        </w:rPr>
        <w:t xml:space="preserve"> </w:t>
      </w:r>
      <w:proofErr w:type="spellStart"/>
      <w:r w:rsidRPr="00CD7604">
        <w:rPr>
          <w:lang w:val="en-US"/>
        </w:rPr>
        <w:t>az</w:t>
      </w:r>
      <w:proofErr w:type="spellEnd"/>
      <w:r w:rsidRPr="00CD7604">
        <w:rPr>
          <w:lang w:val="en-US"/>
        </w:rPr>
        <w:t xml:space="preserve"> </w:t>
      </w:r>
      <w:proofErr w:type="spellStart"/>
      <w:r w:rsidRPr="00CD7604">
        <w:rPr>
          <w:lang w:val="en-US"/>
        </w:rPr>
        <w:t>dramatik</w:t>
      </w:r>
      <w:proofErr w:type="spellEnd"/>
      <w:r w:rsidRPr="00CD7604">
        <w:rPr>
          <w:lang w:val="en-US"/>
        </w:rPr>
        <w:t xml:space="preserve"> </w:t>
      </w:r>
      <w:proofErr w:type="spellStart"/>
      <w:r w:rsidRPr="00CD7604">
        <w:rPr>
          <w:lang w:val="en-US"/>
        </w:rPr>
        <w:t>bir</w:t>
      </w:r>
      <w:proofErr w:type="spellEnd"/>
      <w:r w:rsidRPr="00CD7604">
        <w:rPr>
          <w:lang w:val="en-US"/>
        </w:rPr>
        <w:t xml:space="preserve"> </w:t>
      </w:r>
      <w:proofErr w:type="spellStart"/>
      <w:r w:rsidRPr="00CD7604">
        <w:rPr>
          <w:lang w:val="en-US"/>
        </w:rPr>
        <w:t>şekilde</w:t>
      </w:r>
      <w:proofErr w:type="spellEnd"/>
      <w:r w:rsidRPr="00CD7604">
        <w:rPr>
          <w:lang w:val="en-US"/>
        </w:rPr>
        <w:t xml:space="preserve">, </w:t>
      </w:r>
      <w:proofErr w:type="spellStart"/>
      <w:r w:rsidRPr="00CD7604">
        <w:rPr>
          <w:lang w:val="en-US"/>
        </w:rPr>
        <w:t>toplumumuzun</w:t>
      </w:r>
      <w:proofErr w:type="spellEnd"/>
      <w:r w:rsidRPr="00CD7604">
        <w:rPr>
          <w:lang w:val="en-US"/>
        </w:rPr>
        <w:t xml:space="preserve"> Yüksek </w:t>
      </w:r>
      <w:proofErr w:type="spellStart"/>
      <w:r w:rsidRPr="00CD7604">
        <w:rPr>
          <w:lang w:val="en-US"/>
        </w:rPr>
        <w:t>Mahkeme’nin</w:t>
      </w:r>
      <w:proofErr w:type="spellEnd"/>
      <w:r w:rsidRPr="00CD7604">
        <w:rPr>
          <w:lang w:val="en-US"/>
        </w:rPr>
        <w:t xml:space="preserve"> </w:t>
      </w:r>
      <w:proofErr w:type="spellStart"/>
      <w:r w:rsidRPr="00CD7604">
        <w:rPr>
          <w:lang w:val="en-US"/>
        </w:rPr>
        <w:t>işleyişi</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müzakere</w:t>
      </w:r>
      <w:proofErr w:type="spellEnd"/>
      <w:r w:rsidRPr="00CD7604">
        <w:rPr>
          <w:lang w:val="en-US"/>
        </w:rPr>
        <w:t xml:space="preserve"> </w:t>
      </w:r>
      <w:proofErr w:type="spellStart"/>
      <w:r w:rsidRPr="00CD7604">
        <w:rPr>
          <w:lang w:val="en-US"/>
        </w:rPr>
        <w:t>süreçlerinin</w:t>
      </w:r>
      <w:proofErr w:type="spellEnd"/>
      <w:r w:rsidRPr="00CD7604">
        <w:rPr>
          <w:lang w:val="en-US"/>
        </w:rPr>
        <w:t xml:space="preserve"> </w:t>
      </w:r>
      <w:proofErr w:type="spellStart"/>
      <w:r w:rsidRPr="00CD7604">
        <w:rPr>
          <w:lang w:val="en-US"/>
        </w:rPr>
        <w:t>ayrıntılarına</w:t>
      </w:r>
      <w:proofErr w:type="spellEnd"/>
      <w:r w:rsidRPr="00CD7604">
        <w:rPr>
          <w:lang w:val="en-US"/>
        </w:rPr>
        <w:t xml:space="preserve"> </w:t>
      </w:r>
      <w:proofErr w:type="spellStart"/>
      <w:r w:rsidRPr="00CD7604">
        <w:rPr>
          <w:lang w:val="en-US"/>
        </w:rPr>
        <w:t>artan</w:t>
      </w:r>
      <w:proofErr w:type="spellEnd"/>
      <w:r w:rsidRPr="00CD7604">
        <w:rPr>
          <w:lang w:val="en-US"/>
        </w:rPr>
        <w:t xml:space="preserve"> </w:t>
      </w:r>
      <w:proofErr w:type="spellStart"/>
      <w:r w:rsidRPr="00CD7604">
        <w:rPr>
          <w:lang w:val="en-US"/>
        </w:rPr>
        <w:t>ilgisi</w:t>
      </w:r>
      <w:proofErr w:type="spellEnd"/>
      <w:r w:rsidRPr="00CD7604">
        <w:rPr>
          <w:lang w:val="en-US"/>
        </w:rPr>
        <w:t xml:space="preserve">, </w:t>
      </w:r>
      <w:proofErr w:type="spellStart"/>
      <w:r w:rsidRPr="00CD7604">
        <w:rPr>
          <w:lang w:val="en-US"/>
        </w:rPr>
        <w:t>yukarıda</w:t>
      </w:r>
      <w:proofErr w:type="spellEnd"/>
      <w:r w:rsidRPr="00CD7604">
        <w:rPr>
          <w:lang w:val="en-US"/>
        </w:rPr>
        <w:t xml:space="preserve"> </w:t>
      </w:r>
      <w:proofErr w:type="spellStart"/>
      <w:r w:rsidRPr="00CD7604">
        <w:rPr>
          <w:lang w:val="en-US"/>
        </w:rPr>
        <w:t>bahsedilen</w:t>
      </w:r>
      <w:proofErr w:type="spellEnd"/>
      <w:r w:rsidRPr="00CD7604">
        <w:rPr>
          <w:lang w:val="en-US"/>
        </w:rPr>
        <w:t xml:space="preserve"> </w:t>
      </w:r>
      <w:proofErr w:type="spellStart"/>
      <w:r w:rsidRPr="00CD7604">
        <w:rPr>
          <w:lang w:val="en-US"/>
        </w:rPr>
        <w:t>belirli</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uygulamalara</w:t>
      </w:r>
      <w:proofErr w:type="spellEnd"/>
      <w:r w:rsidRPr="00CD7604">
        <w:rPr>
          <w:lang w:val="en-US"/>
        </w:rPr>
        <w:t xml:space="preserve"> </w:t>
      </w:r>
      <w:proofErr w:type="spellStart"/>
      <w:r w:rsidRPr="00CD7604">
        <w:rPr>
          <w:lang w:val="en-US"/>
        </w:rPr>
        <w:t>yönelik</w:t>
      </w:r>
      <w:proofErr w:type="spellEnd"/>
      <w:r w:rsidRPr="00CD7604">
        <w:rPr>
          <w:lang w:val="en-US"/>
        </w:rPr>
        <w:t xml:space="preserve"> </w:t>
      </w:r>
      <w:proofErr w:type="spellStart"/>
      <w:r w:rsidRPr="00CD7604">
        <w:rPr>
          <w:lang w:val="en-US"/>
        </w:rPr>
        <w:t>ayrıntılı</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titiz</w:t>
      </w:r>
      <w:proofErr w:type="spellEnd"/>
      <w:r w:rsidRPr="00CD7604">
        <w:rPr>
          <w:lang w:val="en-US"/>
        </w:rPr>
        <w:t xml:space="preserve"> </w:t>
      </w:r>
      <w:proofErr w:type="spellStart"/>
      <w:r w:rsidRPr="00CD7604">
        <w:rPr>
          <w:lang w:val="en-US"/>
        </w:rPr>
        <w:t>betimlemelerin</w:t>
      </w:r>
      <w:proofErr w:type="spellEnd"/>
      <w:r w:rsidRPr="00CD7604">
        <w:rPr>
          <w:lang w:val="en-US"/>
        </w:rPr>
        <w:t xml:space="preserve"> </w:t>
      </w:r>
      <w:proofErr w:type="spellStart"/>
      <w:r w:rsidRPr="00CD7604">
        <w:rPr>
          <w:lang w:val="en-US"/>
        </w:rPr>
        <w:t>gelişmesinde</w:t>
      </w:r>
      <w:proofErr w:type="spellEnd"/>
      <w:r w:rsidRPr="00CD7604">
        <w:rPr>
          <w:lang w:val="en-US"/>
        </w:rPr>
        <w:t xml:space="preserve"> </w:t>
      </w:r>
      <w:proofErr w:type="spellStart"/>
      <w:r w:rsidRPr="00CD7604">
        <w:rPr>
          <w:lang w:val="en-US"/>
        </w:rPr>
        <w:t>merkezi</w:t>
      </w:r>
      <w:proofErr w:type="spellEnd"/>
      <w:r w:rsidRPr="00CD7604">
        <w:rPr>
          <w:lang w:val="en-US"/>
        </w:rPr>
        <w:t xml:space="preserve"> </w:t>
      </w:r>
      <w:proofErr w:type="spellStart"/>
      <w:r w:rsidRPr="00CD7604">
        <w:rPr>
          <w:lang w:val="en-US"/>
        </w:rPr>
        <w:t>bir</w:t>
      </w:r>
      <w:proofErr w:type="spellEnd"/>
      <w:r w:rsidRPr="00CD7604">
        <w:rPr>
          <w:lang w:val="en-US"/>
        </w:rPr>
        <w:t xml:space="preserve"> </w:t>
      </w:r>
      <w:proofErr w:type="spellStart"/>
      <w:r w:rsidRPr="00CD7604">
        <w:rPr>
          <w:lang w:val="en-US"/>
        </w:rPr>
        <w:t>rol</w:t>
      </w:r>
      <w:proofErr w:type="spellEnd"/>
      <w:r w:rsidRPr="00CD7604">
        <w:rPr>
          <w:lang w:val="en-US"/>
        </w:rPr>
        <w:t xml:space="preserve"> oynamıştır.¹⁹⁰</w:t>
      </w:r>
      <w:r>
        <w:rPr>
          <w:lang w:val="en-US"/>
        </w:rPr>
        <w:t xml:space="preserve"> </w:t>
      </w:r>
      <w:r>
        <w:rPr>
          <w:rStyle w:val="FootnoteReference"/>
          <w:lang w:val="en-US"/>
        </w:rPr>
        <w:footnoteReference w:id="190"/>
      </w:r>
      <w:r>
        <w:rPr>
          <w:lang w:val="en-US"/>
        </w:rPr>
        <w:t xml:space="preserve"> [1117 - 1118]</w:t>
      </w:r>
    </w:p>
    <w:p w14:paraId="6C78A40A" w14:textId="5C8C5ED6" w:rsidR="00CD7604" w:rsidRDefault="00CD7604" w:rsidP="00CD7604">
      <w:pPr>
        <w:rPr>
          <w:lang w:val="en-US"/>
        </w:rPr>
      </w:pPr>
      <w:proofErr w:type="spellStart"/>
      <w:r w:rsidRPr="00CD7604">
        <w:rPr>
          <w:lang w:val="en-US"/>
        </w:rPr>
        <w:t>Özgüncülüğün</w:t>
      </w:r>
      <w:proofErr w:type="spellEnd"/>
      <w:r w:rsidRPr="00CD7604">
        <w:rPr>
          <w:lang w:val="en-US"/>
        </w:rPr>
        <w:t xml:space="preserve"> (originalism) </w:t>
      </w:r>
      <w:proofErr w:type="spellStart"/>
      <w:r w:rsidRPr="00CD7604">
        <w:rPr>
          <w:lang w:val="en-US"/>
        </w:rPr>
        <w:t>anayasal</w:t>
      </w:r>
      <w:proofErr w:type="spellEnd"/>
      <w:r w:rsidRPr="00CD7604">
        <w:rPr>
          <w:lang w:val="en-US"/>
        </w:rPr>
        <w:t xml:space="preserve"> </w:t>
      </w:r>
      <w:proofErr w:type="spellStart"/>
      <w:r w:rsidRPr="00CD7604">
        <w:rPr>
          <w:lang w:val="en-US"/>
        </w:rPr>
        <w:t>tartışmalarımızı</w:t>
      </w:r>
      <w:proofErr w:type="spellEnd"/>
      <w:r w:rsidRPr="00CD7604">
        <w:rPr>
          <w:lang w:val="en-US"/>
        </w:rPr>
        <w:t xml:space="preserve"> </w:t>
      </w:r>
      <w:proofErr w:type="spellStart"/>
      <w:r w:rsidRPr="00CD7604">
        <w:rPr>
          <w:lang w:val="en-US"/>
        </w:rPr>
        <w:t>şekillendirmedeki</w:t>
      </w:r>
      <w:proofErr w:type="spellEnd"/>
      <w:r w:rsidRPr="00CD7604">
        <w:rPr>
          <w:lang w:val="en-US"/>
        </w:rPr>
        <w:t xml:space="preserve"> </w:t>
      </w:r>
      <w:proofErr w:type="spellStart"/>
      <w:r w:rsidRPr="00CD7604">
        <w:rPr>
          <w:lang w:val="en-US"/>
        </w:rPr>
        <w:t>merkezi</w:t>
      </w:r>
      <w:proofErr w:type="spellEnd"/>
      <w:r w:rsidRPr="00CD7604">
        <w:rPr>
          <w:lang w:val="en-US"/>
        </w:rPr>
        <w:t xml:space="preserve"> </w:t>
      </w:r>
      <w:proofErr w:type="spellStart"/>
      <w:r w:rsidRPr="00CD7604">
        <w:rPr>
          <w:lang w:val="en-US"/>
        </w:rPr>
        <w:t>rolü</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kültürümüzün</w:t>
      </w:r>
      <w:proofErr w:type="spellEnd"/>
      <w:r w:rsidRPr="00CD7604">
        <w:rPr>
          <w:lang w:val="en-US"/>
        </w:rPr>
        <w:t xml:space="preserve"> </w:t>
      </w:r>
      <w:proofErr w:type="spellStart"/>
      <w:r w:rsidRPr="00CD7604">
        <w:rPr>
          <w:lang w:val="en-US"/>
        </w:rPr>
        <w:t>sınırlarını</w:t>
      </w:r>
      <w:proofErr w:type="spellEnd"/>
      <w:r w:rsidRPr="00CD7604">
        <w:rPr>
          <w:lang w:val="en-US"/>
        </w:rPr>
        <w:t xml:space="preserve"> </w:t>
      </w:r>
      <w:proofErr w:type="spellStart"/>
      <w:r w:rsidRPr="00CD7604">
        <w:rPr>
          <w:lang w:val="en-US"/>
        </w:rPr>
        <w:t>haritalandırmaya</w:t>
      </w:r>
      <w:proofErr w:type="spellEnd"/>
      <w:r w:rsidRPr="00CD7604">
        <w:rPr>
          <w:lang w:val="en-US"/>
        </w:rPr>
        <w:t xml:space="preserve"> </w:t>
      </w:r>
      <w:proofErr w:type="spellStart"/>
      <w:r w:rsidRPr="00CD7604">
        <w:rPr>
          <w:lang w:val="en-US"/>
        </w:rPr>
        <w:t>yönelik</w:t>
      </w:r>
      <w:proofErr w:type="spellEnd"/>
      <w:r w:rsidRPr="00CD7604">
        <w:rPr>
          <w:lang w:val="en-US"/>
        </w:rPr>
        <w:t xml:space="preserve"> </w:t>
      </w:r>
      <w:proofErr w:type="spellStart"/>
      <w:r w:rsidRPr="00CD7604">
        <w:rPr>
          <w:lang w:val="en-US"/>
        </w:rPr>
        <w:t>akademik</w:t>
      </w:r>
      <w:proofErr w:type="spellEnd"/>
      <w:r w:rsidRPr="00CD7604">
        <w:rPr>
          <w:lang w:val="en-US"/>
        </w:rPr>
        <w:t xml:space="preserve"> </w:t>
      </w:r>
      <w:proofErr w:type="spellStart"/>
      <w:r w:rsidRPr="00CD7604">
        <w:rPr>
          <w:lang w:val="en-US"/>
        </w:rPr>
        <w:t>çalışmaları</w:t>
      </w:r>
      <w:proofErr w:type="spellEnd"/>
      <w:r w:rsidRPr="00CD7604">
        <w:rPr>
          <w:lang w:val="en-US"/>
        </w:rPr>
        <w:t xml:space="preserve"> </w:t>
      </w:r>
      <w:proofErr w:type="spellStart"/>
      <w:r w:rsidRPr="00CD7604">
        <w:rPr>
          <w:lang w:val="en-US"/>
        </w:rPr>
        <w:t>teşvik</w:t>
      </w:r>
      <w:proofErr w:type="spellEnd"/>
      <w:r w:rsidRPr="00CD7604">
        <w:rPr>
          <w:lang w:val="en-US"/>
        </w:rPr>
        <w:t xml:space="preserve"> </w:t>
      </w:r>
      <w:proofErr w:type="spellStart"/>
      <w:r w:rsidRPr="00CD7604">
        <w:rPr>
          <w:lang w:val="en-US"/>
        </w:rPr>
        <w:t>etmede</w:t>
      </w:r>
      <w:proofErr w:type="spellEnd"/>
      <w:r w:rsidRPr="00CD7604">
        <w:rPr>
          <w:lang w:val="en-US"/>
        </w:rPr>
        <w:t xml:space="preserve"> </w:t>
      </w:r>
      <w:proofErr w:type="spellStart"/>
      <w:r w:rsidRPr="00CD7604">
        <w:rPr>
          <w:lang w:val="en-US"/>
        </w:rPr>
        <w:t>yeterince</w:t>
      </w:r>
      <w:proofErr w:type="spellEnd"/>
      <w:r w:rsidRPr="00CD7604">
        <w:rPr>
          <w:lang w:val="en-US"/>
        </w:rPr>
        <w:t xml:space="preserve"> </w:t>
      </w:r>
      <w:proofErr w:type="spellStart"/>
      <w:r w:rsidRPr="00CD7604">
        <w:rPr>
          <w:lang w:val="en-US"/>
        </w:rPr>
        <w:t>takdir</w:t>
      </w:r>
      <w:proofErr w:type="spellEnd"/>
      <w:r w:rsidRPr="00CD7604">
        <w:rPr>
          <w:lang w:val="en-US"/>
        </w:rPr>
        <w:t xml:space="preserve"> </w:t>
      </w:r>
      <w:proofErr w:type="spellStart"/>
      <w:r w:rsidRPr="00CD7604">
        <w:rPr>
          <w:lang w:val="en-US"/>
        </w:rPr>
        <w:t>edilmeyen</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bir</w:t>
      </w:r>
      <w:proofErr w:type="spellEnd"/>
      <w:r w:rsidRPr="00CD7604">
        <w:rPr>
          <w:lang w:val="en-US"/>
        </w:rPr>
        <w:t xml:space="preserve"> </w:t>
      </w:r>
      <w:proofErr w:type="spellStart"/>
      <w:r w:rsidRPr="00CD7604">
        <w:rPr>
          <w:lang w:val="en-US"/>
        </w:rPr>
        <w:t>ölçüde</w:t>
      </w:r>
      <w:proofErr w:type="spellEnd"/>
      <w:r w:rsidRPr="00CD7604">
        <w:rPr>
          <w:lang w:val="en-US"/>
        </w:rPr>
        <w:t xml:space="preserve"> </w:t>
      </w:r>
      <w:proofErr w:type="spellStart"/>
      <w:r w:rsidRPr="00CD7604">
        <w:rPr>
          <w:lang w:val="en-US"/>
        </w:rPr>
        <w:t>ironik</w:t>
      </w:r>
      <w:proofErr w:type="spellEnd"/>
      <w:r w:rsidRPr="00CD7604">
        <w:rPr>
          <w:lang w:val="en-US"/>
        </w:rPr>
        <w:t xml:space="preserve"> </w:t>
      </w:r>
      <w:proofErr w:type="spellStart"/>
      <w:r w:rsidRPr="00CD7604">
        <w:rPr>
          <w:lang w:val="en-US"/>
        </w:rPr>
        <w:t>bir</w:t>
      </w:r>
      <w:proofErr w:type="spellEnd"/>
      <w:r w:rsidRPr="00CD7604">
        <w:rPr>
          <w:lang w:val="en-US"/>
        </w:rPr>
        <w:t xml:space="preserve"> </w:t>
      </w:r>
      <w:proofErr w:type="spellStart"/>
      <w:r w:rsidRPr="00CD7604">
        <w:rPr>
          <w:lang w:val="en-US"/>
        </w:rPr>
        <w:t>işlev</w:t>
      </w:r>
      <w:proofErr w:type="spellEnd"/>
      <w:r w:rsidRPr="00CD7604">
        <w:rPr>
          <w:lang w:val="en-US"/>
        </w:rPr>
        <w:t xml:space="preserve"> </w:t>
      </w:r>
      <w:proofErr w:type="spellStart"/>
      <w:r w:rsidRPr="00CD7604">
        <w:rPr>
          <w:lang w:val="en-US"/>
        </w:rPr>
        <w:t>görmüştür</w:t>
      </w:r>
      <w:proofErr w:type="spellEnd"/>
      <w:r w:rsidRPr="00CD7604">
        <w:rPr>
          <w:lang w:val="en-US"/>
        </w:rPr>
        <w:t xml:space="preserve">. </w:t>
      </w:r>
      <w:proofErr w:type="spellStart"/>
      <w:r w:rsidRPr="00CD7604">
        <w:rPr>
          <w:lang w:val="en-US"/>
        </w:rPr>
        <w:t>Tarihsel</w:t>
      </w:r>
      <w:proofErr w:type="spellEnd"/>
      <w:r w:rsidRPr="00CD7604">
        <w:rPr>
          <w:lang w:val="en-US"/>
        </w:rPr>
        <w:t xml:space="preserve"> </w:t>
      </w:r>
      <w:proofErr w:type="spellStart"/>
      <w:r w:rsidRPr="00CD7604">
        <w:rPr>
          <w:lang w:val="en-US"/>
        </w:rPr>
        <w:t>uygulamalar</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tasarım</w:t>
      </w:r>
      <w:proofErr w:type="spellEnd"/>
      <w:r w:rsidRPr="00CD7604">
        <w:rPr>
          <w:lang w:val="en-US"/>
        </w:rPr>
        <w:t xml:space="preserve"> </w:t>
      </w:r>
      <w:proofErr w:type="spellStart"/>
      <w:r w:rsidRPr="00CD7604">
        <w:rPr>
          <w:lang w:val="en-US"/>
        </w:rPr>
        <w:t>hakkında</w:t>
      </w:r>
      <w:proofErr w:type="spellEnd"/>
      <w:r w:rsidRPr="00CD7604">
        <w:rPr>
          <w:lang w:val="en-US"/>
        </w:rPr>
        <w:t xml:space="preserve"> </w:t>
      </w:r>
      <w:proofErr w:type="spellStart"/>
      <w:r w:rsidRPr="00CD7604">
        <w:rPr>
          <w:lang w:val="en-US"/>
        </w:rPr>
        <w:t>argümanları</w:t>
      </w:r>
      <w:proofErr w:type="spellEnd"/>
      <w:r w:rsidRPr="00CD7604">
        <w:rPr>
          <w:lang w:val="en-US"/>
        </w:rPr>
        <w:t xml:space="preserve"> </w:t>
      </w:r>
      <w:proofErr w:type="spellStart"/>
      <w:r w:rsidRPr="00CD7604">
        <w:rPr>
          <w:lang w:val="en-US"/>
        </w:rPr>
        <w:t>anlamak</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harekete</w:t>
      </w:r>
      <w:proofErr w:type="spellEnd"/>
      <w:r w:rsidRPr="00CD7604">
        <w:rPr>
          <w:lang w:val="en-US"/>
        </w:rPr>
        <w:t xml:space="preserve"> </w:t>
      </w:r>
      <w:proofErr w:type="spellStart"/>
      <w:r w:rsidRPr="00CD7604">
        <w:rPr>
          <w:lang w:val="en-US"/>
        </w:rPr>
        <w:t>geçirmek</w:t>
      </w:r>
      <w:proofErr w:type="spellEnd"/>
      <w:r w:rsidRPr="00CD7604">
        <w:rPr>
          <w:lang w:val="en-US"/>
        </w:rPr>
        <w:t xml:space="preserve"> </w:t>
      </w:r>
      <w:proofErr w:type="spellStart"/>
      <w:r w:rsidRPr="00CD7604">
        <w:rPr>
          <w:lang w:val="en-US"/>
        </w:rPr>
        <w:t>yetisi</w:t>
      </w:r>
      <w:proofErr w:type="spellEnd"/>
      <w:r w:rsidRPr="00CD7604">
        <w:rPr>
          <w:lang w:val="en-US"/>
        </w:rPr>
        <w:t xml:space="preserve">, </w:t>
      </w:r>
      <w:proofErr w:type="spellStart"/>
      <w:r w:rsidRPr="00CD7604">
        <w:rPr>
          <w:lang w:val="en-US"/>
        </w:rPr>
        <w:t>günümüzde</w:t>
      </w:r>
      <w:proofErr w:type="spellEnd"/>
      <w:r w:rsidRPr="00CD7604">
        <w:rPr>
          <w:lang w:val="en-US"/>
        </w:rPr>
        <w:t xml:space="preserve"> hem </w:t>
      </w:r>
      <w:proofErr w:type="spellStart"/>
      <w:r w:rsidRPr="00CD7604">
        <w:rPr>
          <w:lang w:val="en-US"/>
        </w:rPr>
        <w:t>anayasa</w:t>
      </w:r>
      <w:proofErr w:type="spellEnd"/>
      <w:r w:rsidRPr="00CD7604">
        <w:rPr>
          <w:lang w:val="en-US"/>
        </w:rPr>
        <w:t xml:space="preserve"> </w:t>
      </w:r>
      <w:proofErr w:type="spellStart"/>
      <w:r w:rsidRPr="00CD7604">
        <w:rPr>
          <w:lang w:val="en-US"/>
        </w:rPr>
        <w:t>teorisi</w:t>
      </w:r>
      <w:proofErr w:type="spellEnd"/>
      <w:r w:rsidRPr="00CD7604">
        <w:rPr>
          <w:lang w:val="en-US"/>
        </w:rPr>
        <w:t xml:space="preserve"> hem de </w:t>
      </w:r>
      <w:proofErr w:type="spellStart"/>
      <w:r w:rsidRPr="00CD7604">
        <w:rPr>
          <w:lang w:val="en-US"/>
        </w:rPr>
        <w:t>maddi</w:t>
      </w:r>
      <w:proofErr w:type="spellEnd"/>
      <w:r w:rsidRPr="00CD7604">
        <w:rPr>
          <w:lang w:val="en-US"/>
        </w:rPr>
        <w:t xml:space="preserve"> </w:t>
      </w:r>
      <w:proofErr w:type="spellStart"/>
      <w:r w:rsidRPr="00CD7604">
        <w:rPr>
          <w:lang w:val="en-US"/>
        </w:rPr>
        <w:t>anayasa</w:t>
      </w:r>
      <w:proofErr w:type="spellEnd"/>
      <w:r w:rsidRPr="00CD7604">
        <w:rPr>
          <w:lang w:val="en-US"/>
        </w:rPr>
        <w:t xml:space="preserve"> </w:t>
      </w:r>
      <w:proofErr w:type="spellStart"/>
      <w:r w:rsidRPr="00CD7604">
        <w:rPr>
          <w:lang w:val="en-US"/>
        </w:rPr>
        <w:t>hukuku</w:t>
      </w:r>
      <w:proofErr w:type="spellEnd"/>
      <w:r w:rsidRPr="00CD7604">
        <w:rPr>
          <w:lang w:val="en-US"/>
        </w:rPr>
        <w:t xml:space="preserve"> </w:t>
      </w:r>
      <w:proofErr w:type="spellStart"/>
      <w:r w:rsidRPr="00CD7604">
        <w:rPr>
          <w:lang w:val="en-US"/>
        </w:rPr>
        <w:t>tartışmalarına</w:t>
      </w:r>
      <w:proofErr w:type="spellEnd"/>
      <w:r w:rsidRPr="00CD7604">
        <w:rPr>
          <w:lang w:val="en-US"/>
        </w:rPr>
        <w:t xml:space="preserve"> </w:t>
      </w:r>
      <w:proofErr w:type="spellStart"/>
      <w:r w:rsidRPr="00CD7604">
        <w:rPr>
          <w:lang w:val="en-US"/>
        </w:rPr>
        <w:t>katılım</w:t>
      </w:r>
      <w:proofErr w:type="spellEnd"/>
      <w:r w:rsidRPr="00CD7604">
        <w:rPr>
          <w:lang w:val="en-US"/>
        </w:rPr>
        <w:t xml:space="preserve"> </w:t>
      </w:r>
      <w:proofErr w:type="spellStart"/>
      <w:r w:rsidRPr="00CD7604">
        <w:rPr>
          <w:lang w:val="en-US"/>
        </w:rPr>
        <w:t>için</w:t>
      </w:r>
      <w:proofErr w:type="spellEnd"/>
      <w:r w:rsidRPr="00CD7604">
        <w:rPr>
          <w:lang w:val="en-US"/>
        </w:rPr>
        <w:t xml:space="preserve"> </w:t>
      </w:r>
      <w:proofErr w:type="spellStart"/>
      <w:r w:rsidRPr="00CD7604">
        <w:rPr>
          <w:lang w:val="en-US"/>
        </w:rPr>
        <w:t>bir</w:t>
      </w:r>
      <w:proofErr w:type="spellEnd"/>
      <w:r w:rsidRPr="00CD7604">
        <w:rPr>
          <w:lang w:val="en-US"/>
        </w:rPr>
        <w:t xml:space="preserve"> </w:t>
      </w:r>
      <w:r w:rsidRPr="00CD7604">
        <w:rPr>
          <w:i/>
          <w:iCs/>
          <w:lang w:val="en-US"/>
        </w:rPr>
        <w:t>sine qua non</w:t>
      </w:r>
      <w:r w:rsidRPr="00CD7604">
        <w:rPr>
          <w:lang w:val="en-US"/>
        </w:rPr>
        <w:t xml:space="preserve"> </w:t>
      </w:r>
      <w:proofErr w:type="spellStart"/>
      <w:r w:rsidRPr="00CD7604">
        <w:rPr>
          <w:lang w:val="en-US"/>
        </w:rPr>
        <w:t>haline</w:t>
      </w:r>
      <w:proofErr w:type="spellEnd"/>
      <w:r w:rsidRPr="00CD7604">
        <w:rPr>
          <w:lang w:val="en-US"/>
        </w:rPr>
        <w:t xml:space="preserve"> geldiğinden,¹⁹¹</w:t>
      </w:r>
      <w:r>
        <w:rPr>
          <w:lang w:val="en-US"/>
        </w:rPr>
        <w:t xml:space="preserve"> </w:t>
      </w:r>
      <w:r>
        <w:rPr>
          <w:rStyle w:val="FootnoteReference"/>
          <w:lang w:val="en-US"/>
        </w:rPr>
        <w:footnoteReference w:id="191"/>
      </w:r>
      <w:r w:rsidRPr="00CD7604">
        <w:rPr>
          <w:lang w:val="en-US"/>
        </w:rPr>
        <w:t xml:space="preserve"> </w:t>
      </w:r>
      <w:proofErr w:type="spellStart"/>
      <w:r w:rsidRPr="00CD7604">
        <w:rPr>
          <w:lang w:val="en-US"/>
        </w:rPr>
        <w:t>ideolojik</w:t>
      </w:r>
      <w:proofErr w:type="spellEnd"/>
      <w:r w:rsidRPr="00CD7604">
        <w:rPr>
          <w:lang w:val="en-US"/>
        </w:rPr>
        <w:t xml:space="preserve"> </w:t>
      </w:r>
      <w:proofErr w:type="spellStart"/>
      <w:r w:rsidRPr="00CD7604">
        <w:rPr>
          <w:lang w:val="en-US"/>
        </w:rPr>
        <w:t>yelpazenin</w:t>
      </w:r>
      <w:proofErr w:type="spellEnd"/>
      <w:r w:rsidRPr="00CD7604">
        <w:rPr>
          <w:lang w:val="en-US"/>
        </w:rPr>
        <w:t xml:space="preserve"> her </w:t>
      </w:r>
      <w:proofErr w:type="spellStart"/>
      <w:r w:rsidRPr="00CD7604">
        <w:rPr>
          <w:lang w:val="en-US"/>
        </w:rPr>
        <w:t>kesiminden</w:t>
      </w:r>
      <w:proofErr w:type="spellEnd"/>
      <w:r w:rsidRPr="00CD7604">
        <w:rPr>
          <w:lang w:val="en-US"/>
        </w:rPr>
        <w:t xml:space="preserve"> </w:t>
      </w:r>
      <w:proofErr w:type="spellStart"/>
      <w:r w:rsidRPr="00CD7604">
        <w:rPr>
          <w:lang w:val="en-US"/>
        </w:rPr>
        <w:t>akademisyenler</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kurumlarımızı</w:t>
      </w:r>
      <w:proofErr w:type="spellEnd"/>
      <w:r w:rsidRPr="00CD7604">
        <w:rPr>
          <w:lang w:val="en-US"/>
        </w:rPr>
        <w:t xml:space="preserve"> </w:t>
      </w:r>
      <w:proofErr w:type="spellStart"/>
      <w:r w:rsidRPr="00CD7604">
        <w:rPr>
          <w:lang w:val="en-US"/>
        </w:rPr>
        <w:t>keşfetme</w:t>
      </w:r>
      <w:proofErr w:type="spellEnd"/>
      <w:r w:rsidRPr="00CD7604">
        <w:rPr>
          <w:lang w:val="en-US"/>
        </w:rPr>
        <w:t xml:space="preserve">, </w:t>
      </w:r>
      <w:proofErr w:type="spellStart"/>
      <w:r w:rsidRPr="00CD7604">
        <w:rPr>
          <w:lang w:val="en-US"/>
        </w:rPr>
        <w:t>farklı</w:t>
      </w:r>
      <w:proofErr w:type="spellEnd"/>
      <w:r w:rsidRPr="00CD7604">
        <w:rPr>
          <w:lang w:val="en-US"/>
        </w:rPr>
        <w:t xml:space="preserve"> </w:t>
      </w:r>
      <w:proofErr w:type="spellStart"/>
      <w:r w:rsidRPr="00CD7604">
        <w:rPr>
          <w:lang w:val="en-US"/>
        </w:rPr>
        <w:t>dönemleri</w:t>
      </w:r>
      <w:proofErr w:type="spellEnd"/>
      <w:r w:rsidRPr="00CD7604">
        <w:rPr>
          <w:lang w:val="en-US"/>
        </w:rPr>
        <w:t xml:space="preserve"> </w:t>
      </w:r>
      <w:proofErr w:type="spellStart"/>
      <w:r w:rsidRPr="00CD7604">
        <w:rPr>
          <w:lang w:val="en-US"/>
        </w:rPr>
        <w:t>karakterize</w:t>
      </w:r>
      <w:proofErr w:type="spellEnd"/>
      <w:r w:rsidRPr="00CD7604">
        <w:rPr>
          <w:lang w:val="en-US"/>
        </w:rPr>
        <w:t xml:space="preserve"> </w:t>
      </w:r>
      <w:proofErr w:type="spellStart"/>
      <w:r w:rsidRPr="00CD7604">
        <w:rPr>
          <w:lang w:val="en-US"/>
        </w:rPr>
        <w:t>eden</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uygulamaları</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varsayımları</w:t>
      </w:r>
      <w:proofErr w:type="spellEnd"/>
      <w:r w:rsidRPr="00CD7604">
        <w:rPr>
          <w:lang w:val="en-US"/>
        </w:rPr>
        <w:t xml:space="preserve"> </w:t>
      </w:r>
      <w:proofErr w:type="spellStart"/>
      <w:r w:rsidRPr="00CD7604">
        <w:rPr>
          <w:lang w:val="en-US"/>
        </w:rPr>
        <w:t>anlama</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değişimi</w:t>
      </w:r>
      <w:proofErr w:type="spellEnd"/>
      <w:r w:rsidRPr="00CD7604">
        <w:rPr>
          <w:lang w:val="en-US"/>
        </w:rPr>
        <w:t xml:space="preserve"> </w:t>
      </w:r>
      <w:proofErr w:type="spellStart"/>
      <w:r w:rsidRPr="00CD7604">
        <w:rPr>
          <w:lang w:val="en-US"/>
        </w:rPr>
        <w:t>yönlendiren</w:t>
      </w:r>
      <w:proofErr w:type="spellEnd"/>
      <w:r w:rsidRPr="00CD7604">
        <w:rPr>
          <w:lang w:val="en-US"/>
        </w:rPr>
        <w:t xml:space="preserve"> </w:t>
      </w:r>
      <w:proofErr w:type="spellStart"/>
      <w:r w:rsidRPr="00CD7604">
        <w:rPr>
          <w:lang w:val="en-US"/>
        </w:rPr>
        <w:t>dinamikleri</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araçları</w:t>
      </w:r>
      <w:proofErr w:type="spellEnd"/>
      <w:r w:rsidRPr="00CD7604">
        <w:rPr>
          <w:lang w:val="en-US"/>
        </w:rPr>
        <w:t xml:space="preserve"> </w:t>
      </w:r>
      <w:proofErr w:type="spellStart"/>
      <w:r w:rsidRPr="00CD7604">
        <w:rPr>
          <w:lang w:val="en-US"/>
        </w:rPr>
        <w:t>belirleme</w:t>
      </w:r>
      <w:proofErr w:type="spellEnd"/>
      <w:r w:rsidRPr="00CD7604">
        <w:rPr>
          <w:lang w:val="en-US"/>
        </w:rPr>
        <w:t xml:space="preserve"> </w:t>
      </w:r>
      <w:proofErr w:type="spellStart"/>
      <w:r w:rsidRPr="00CD7604">
        <w:rPr>
          <w:lang w:val="en-US"/>
        </w:rPr>
        <w:t>konusunda</w:t>
      </w:r>
      <w:proofErr w:type="spellEnd"/>
      <w:r w:rsidRPr="00CD7604">
        <w:rPr>
          <w:lang w:val="en-US"/>
        </w:rPr>
        <w:t xml:space="preserve"> </w:t>
      </w:r>
      <w:proofErr w:type="spellStart"/>
      <w:r w:rsidRPr="00CD7604">
        <w:rPr>
          <w:lang w:val="en-US"/>
        </w:rPr>
        <w:t>daha</w:t>
      </w:r>
      <w:proofErr w:type="spellEnd"/>
      <w:r w:rsidRPr="00CD7604">
        <w:rPr>
          <w:lang w:val="en-US"/>
        </w:rPr>
        <w:t xml:space="preserve"> </w:t>
      </w:r>
      <w:proofErr w:type="spellStart"/>
      <w:r w:rsidRPr="00CD7604">
        <w:rPr>
          <w:lang w:val="en-US"/>
        </w:rPr>
        <w:t>yetkin</w:t>
      </w:r>
      <w:proofErr w:type="spellEnd"/>
      <w:r w:rsidRPr="00CD7604">
        <w:rPr>
          <w:lang w:val="en-US"/>
        </w:rPr>
        <w:t xml:space="preserve"> hale </w:t>
      </w:r>
      <w:proofErr w:type="spellStart"/>
      <w:r w:rsidRPr="00CD7604">
        <w:rPr>
          <w:lang w:val="en-US"/>
        </w:rPr>
        <w:t>gelmiştir</w:t>
      </w:r>
      <w:proofErr w:type="spellEnd"/>
      <w:r w:rsidRPr="00CD7604">
        <w:rPr>
          <w:lang w:val="en-US"/>
        </w:rPr>
        <w:t xml:space="preserve">. </w:t>
      </w:r>
      <w:proofErr w:type="spellStart"/>
      <w:r w:rsidRPr="00CD7604">
        <w:rPr>
          <w:lang w:val="en-US"/>
        </w:rPr>
        <w:t>Siyasi</w:t>
      </w:r>
      <w:proofErr w:type="spellEnd"/>
      <w:r w:rsidRPr="00CD7604">
        <w:rPr>
          <w:lang w:val="en-US"/>
        </w:rPr>
        <w:t xml:space="preserve"> </w:t>
      </w:r>
      <w:proofErr w:type="spellStart"/>
      <w:r w:rsidRPr="00CD7604">
        <w:rPr>
          <w:lang w:val="en-US"/>
        </w:rPr>
        <w:t>yelpazenin</w:t>
      </w:r>
      <w:proofErr w:type="spellEnd"/>
      <w:r w:rsidRPr="00CD7604">
        <w:rPr>
          <w:lang w:val="en-US"/>
        </w:rPr>
        <w:t xml:space="preserve"> her </w:t>
      </w:r>
      <w:proofErr w:type="spellStart"/>
      <w:r w:rsidRPr="00CD7604">
        <w:rPr>
          <w:lang w:val="en-US"/>
        </w:rPr>
        <w:t>tarafında</w:t>
      </w:r>
      <w:proofErr w:type="spellEnd"/>
      <w:r w:rsidRPr="00CD7604">
        <w:rPr>
          <w:lang w:val="en-US"/>
        </w:rPr>
        <w:t xml:space="preserve">, </w:t>
      </w:r>
      <w:proofErr w:type="spellStart"/>
      <w:r w:rsidRPr="00CD7604">
        <w:rPr>
          <w:lang w:val="en-US"/>
        </w:rPr>
        <w:t>bu</w:t>
      </w:r>
      <w:proofErr w:type="spellEnd"/>
      <w:r w:rsidRPr="00CD7604">
        <w:rPr>
          <w:lang w:val="en-US"/>
        </w:rPr>
        <w:t xml:space="preserve"> </w:t>
      </w:r>
      <w:proofErr w:type="spellStart"/>
      <w:r w:rsidRPr="00CD7604">
        <w:rPr>
          <w:lang w:val="en-US"/>
        </w:rPr>
        <w:t>yöntemlere</w:t>
      </w:r>
      <w:proofErr w:type="spellEnd"/>
      <w:r w:rsidRPr="00CD7604">
        <w:rPr>
          <w:lang w:val="en-US"/>
        </w:rPr>
        <w:t xml:space="preserve"> </w:t>
      </w:r>
      <w:proofErr w:type="spellStart"/>
      <w:r w:rsidRPr="00CD7604">
        <w:rPr>
          <w:lang w:val="en-US"/>
        </w:rPr>
        <w:t>hâkim</w:t>
      </w:r>
      <w:proofErr w:type="spellEnd"/>
      <w:r w:rsidRPr="00CD7604">
        <w:rPr>
          <w:lang w:val="en-US"/>
        </w:rPr>
        <w:t xml:space="preserve"> </w:t>
      </w:r>
      <w:proofErr w:type="spellStart"/>
      <w:r w:rsidRPr="00CD7604">
        <w:rPr>
          <w:lang w:val="en-US"/>
        </w:rPr>
        <w:t>olan</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biriktirdikleri</w:t>
      </w:r>
      <w:proofErr w:type="spellEnd"/>
      <w:r w:rsidRPr="00CD7604">
        <w:rPr>
          <w:lang w:val="en-US"/>
        </w:rPr>
        <w:t xml:space="preserve"> </w:t>
      </w:r>
      <w:proofErr w:type="spellStart"/>
      <w:r w:rsidRPr="00CD7604">
        <w:rPr>
          <w:lang w:val="en-US"/>
        </w:rPr>
        <w:t>bilgiyle</w:t>
      </w:r>
      <w:proofErr w:type="spellEnd"/>
      <w:r w:rsidRPr="00CD7604">
        <w:rPr>
          <w:lang w:val="en-US"/>
        </w:rPr>
        <w:t xml:space="preserve"> </w:t>
      </w:r>
      <w:proofErr w:type="spellStart"/>
      <w:r w:rsidRPr="00CD7604">
        <w:rPr>
          <w:lang w:val="en-US"/>
        </w:rPr>
        <w:t>donanmış</w:t>
      </w:r>
      <w:proofErr w:type="spellEnd"/>
      <w:r w:rsidRPr="00CD7604">
        <w:rPr>
          <w:lang w:val="en-US"/>
        </w:rPr>
        <w:t xml:space="preserve"> </w:t>
      </w:r>
      <w:proofErr w:type="spellStart"/>
      <w:r w:rsidRPr="00CD7604">
        <w:rPr>
          <w:lang w:val="en-US"/>
        </w:rPr>
        <w:t>akademisyenler</w:t>
      </w:r>
      <w:proofErr w:type="spellEnd"/>
      <w:r w:rsidRPr="00CD7604">
        <w:rPr>
          <w:lang w:val="en-US"/>
        </w:rPr>
        <w:t xml:space="preserve">, </w:t>
      </w:r>
      <w:proofErr w:type="spellStart"/>
      <w:r w:rsidRPr="00CD7604">
        <w:rPr>
          <w:lang w:val="en-US"/>
        </w:rPr>
        <w:t>anayasal</w:t>
      </w:r>
      <w:proofErr w:type="spellEnd"/>
      <w:r w:rsidRPr="00CD7604">
        <w:rPr>
          <w:lang w:val="en-US"/>
        </w:rPr>
        <w:t xml:space="preserve"> </w:t>
      </w:r>
      <w:proofErr w:type="spellStart"/>
      <w:r w:rsidRPr="00CD7604">
        <w:rPr>
          <w:lang w:val="en-US"/>
        </w:rPr>
        <w:t>uygulamalarımıza</w:t>
      </w:r>
      <w:proofErr w:type="spellEnd"/>
      <w:r w:rsidRPr="00CD7604">
        <w:rPr>
          <w:lang w:val="en-US"/>
        </w:rPr>
        <w:t xml:space="preserve"> </w:t>
      </w:r>
      <w:proofErr w:type="spellStart"/>
      <w:r w:rsidRPr="00CD7604">
        <w:rPr>
          <w:lang w:val="en-US"/>
        </w:rPr>
        <w:t>ve</w:t>
      </w:r>
      <w:proofErr w:type="spellEnd"/>
      <w:r w:rsidRPr="00CD7604">
        <w:rPr>
          <w:lang w:val="en-US"/>
        </w:rPr>
        <w:t xml:space="preserve"> </w:t>
      </w:r>
      <w:proofErr w:type="spellStart"/>
      <w:r w:rsidRPr="00CD7604">
        <w:rPr>
          <w:lang w:val="en-US"/>
        </w:rPr>
        <w:t>tarihsel</w:t>
      </w:r>
      <w:proofErr w:type="spellEnd"/>
      <w:r w:rsidRPr="00CD7604">
        <w:rPr>
          <w:lang w:val="en-US"/>
        </w:rPr>
        <w:t xml:space="preserve"> </w:t>
      </w:r>
      <w:proofErr w:type="spellStart"/>
      <w:r w:rsidRPr="00CD7604">
        <w:rPr>
          <w:lang w:val="en-US"/>
        </w:rPr>
        <w:t>olarak</w:t>
      </w:r>
      <w:proofErr w:type="spellEnd"/>
      <w:r w:rsidRPr="00CD7604">
        <w:rPr>
          <w:lang w:val="en-US"/>
        </w:rPr>
        <w:t xml:space="preserve"> </w:t>
      </w:r>
      <w:proofErr w:type="spellStart"/>
      <w:r w:rsidRPr="00CD7604">
        <w:rPr>
          <w:lang w:val="en-US"/>
        </w:rPr>
        <w:t>değişken</w:t>
      </w:r>
      <w:proofErr w:type="spellEnd"/>
      <w:r w:rsidRPr="00CD7604">
        <w:rPr>
          <w:lang w:val="en-US"/>
        </w:rPr>
        <w:t xml:space="preserve"> </w:t>
      </w:r>
      <w:proofErr w:type="spellStart"/>
      <w:r w:rsidRPr="00CD7604">
        <w:rPr>
          <w:lang w:val="en-US"/>
        </w:rPr>
        <w:t>geleneklerimize</w:t>
      </w:r>
      <w:proofErr w:type="spellEnd"/>
      <w:r w:rsidRPr="00CD7604">
        <w:rPr>
          <w:lang w:val="en-US"/>
        </w:rPr>
        <w:t xml:space="preserve"> </w:t>
      </w:r>
      <w:proofErr w:type="spellStart"/>
      <w:r w:rsidRPr="00CD7604">
        <w:rPr>
          <w:lang w:val="en-US"/>
        </w:rPr>
        <w:t>dair</w:t>
      </w:r>
      <w:proofErr w:type="spellEnd"/>
      <w:r w:rsidRPr="00CD7604">
        <w:rPr>
          <w:lang w:val="en-US"/>
        </w:rPr>
        <w:t xml:space="preserve"> </w:t>
      </w:r>
      <w:proofErr w:type="spellStart"/>
      <w:r w:rsidRPr="00CD7604">
        <w:rPr>
          <w:lang w:val="en-US"/>
        </w:rPr>
        <w:t>kritik</w:t>
      </w:r>
      <w:proofErr w:type="spellEnd"/>
      <w:r w:rsidRPr="00CD7604">
        <w:rPr>
          <w:lang w:val="en-US"/>
        </w:rPr>
        <w:t xml:space="preserve"> </w:t>
      </w:r>
      <w:proofErr w:type="spellStart"/>
      <w:r w:rsidRPr="00CD7604">
        <w:rPr>
          <w:lang w:val="en-US"/>
        </w:rPr>
        <w:t>ayrıntıları</w:t>
      </w:r>
      <w:proofErr w:type="spellEnd"/>
      <w:r w:rsidRPr="00CD7604">
        <w:rPr>
          <w:lang w:val="en-US"/>
        </w:rPr>
        <w:t xml:space="preserve"> </w:t>
      </w:r>
      <w:proofErr w:type="spellStart"/>
      <w:r w:rsidRPr="00CD7604">
        <w:rPr>
          <w:lang w:val="en-US"/>
        </w:rPr>
        <w:t>tamamlayan</w:t>
      </w:r>
      <w:proofErr w:type="spellEnd"/>
      <w:r w:rsidRPr="00CD7604">
        <w:rPr>
          <w:lang w:val="en-US"/>
        </w:rPr>
        <w:t xml:space="preserve"> </w:t>
      </w:r>
      <w:proofErr w:type="spellStart"/>
      <w:r w:rsidRPr="00CD7604">
        <w:rPr>
          <w:lang w:val="en-US"/>
        </w:rPr>
        <w:t>önemli</w:t>
      </w:r>
      <w:proofErr w:type="spellEnd"/>
      <w:r w:rsidRPr="00CD7604">
        <w:rPr>
          <w:lang w:val="en-US"/>
        </w:rPr>
        <w:t xml:space="preserve"> </w:t>
      </w:r>
      <w:proofErr w:type="spellStart"/>
      <w:r w:rsidRPr="00CD7604">
        <w:rPr>
          <w:lang w:val="en-US"/>
        </w:rPr>
        <w:t>çalışmalar</w:t>
      </w:r>
      <w:proofErr w:type="spellEnd"/>
      <w:r w:rsidRPr="00CD7604">
        <w:rPr>
          <w:lang w:val="en-US"/>
        </w:rPr>
        <w:t xml:space="preserve"> üretmiştir.¹⁹²</w:t>
      </w:r>
      <w:r>
        <w:rPr>
          <w:lang w:val="en-US"/>
        </w:rPr>
        <w:t xml:space="preserve">  </w:t>
      </w:r>
      <w:r>
        <w:rPr>
          <w:rStyle w:val="FootnoteReference"/>
          <w:lang w:val="en-US"/>
        </w:rPr>
        <w:footnoteReference w:id="192"/>
      </w:r>
    </w:p>
    <w:p w14:paraId="385EAC47" w14:textId="08C1E47E" w:rsidR="005D7E78" w:rsidRDefault="005D7E78" w:rsidP="005D7E78">
      <w:pPr>
        <w:rPr>
          <w:lang w:val="en-US"/>
        </w:rPr>
      </w:pPr>
      <w:r>
        <w:rPr>
          <w:lang w:val="en-US"/>
        </w:rPr>
        <w:t xml:space="preserve"> </w:t>
      </w:r>
      <w:r w:rsidRPr="005D7E78">
        <w:rPr>
          <w:lang w:val="en-US"/>
        </w:rPr>
        <w:t xml:space="preserve">Son </w:t>
      </w:r>
      <w:proofErr w:type="spellStart"/>
      <w:r w:rsidRPr="005D7E78">
        <w:rPr>
          <w:lang w:val="en-US"/>
        </w:rPr>
        <w:t>olarak</w:t>
      </w:r>
      <w:proofErr w:type="spellEnd"/>
      <w:r w:rsidRPr="005D7E78">
        <w:rPr>
          <w:lang w:val="en-US"/>
        </w:rPr>
        <w:t xml:space="preserve">, </w:t>
      </w:r>
      <w:proofErr w:type="spellStart"/>
      <w:r w:rsidRPr="005D7E78">
        <w:rPr>
          <w:lang w:val="en-US"/>
        </w:rPr>
        <w:t>daha</w:t>
      </w:r>
      <w:proofErr w:type="spellEnd"/>
      <w:r w:rsidRPr="005D7E78">
        <w:rPr>
          <w:lang w:val="en-US"/>
        </w:rPr>
        <w:t xml:space="preserve"> </w:t>
      </w:r>
      <w:proofErr w:type="spellStart"/>
      <w:r w:rsidRPr="005D7E78">
        <w:rPr>
          <w:lang w:val="en-US"/>
        </w:rPr>
        <w:t>kişisel</w:t>
      </w:r>
      <w:proofErr w:type="spellEnd"/>
      <w:r w:rsidRPr="005D7E78">
        <w:rPr>
          <w:lang w:val="en-US"/>
        </w:rPr>
        <w:t xml:space="preserve"> </w:t>
      </w:r>
      <w:proofErr w:type="spellStart"/>
      <w:r w:rsidRPr="005D7E78">
        <w:rPr>
          <w:lang w:val="en-US"/>
        </w:rPr>
        <w:t>bir</w:t>
      </w:r>
      <w:proofErr w:type="spellEnd"/>
      <w:r w:rsidRPr="005D7E78">
        <w:rPr>
          <w:lang w:val="en-US"/>
        </w:rPr>
        <w:t xml:space="preserve"> </w:t>
      </w:r>
      <w:proofErr w:type="spellStart"/>
      <w:r w:rsidRPr="005D7E78">
        <w:rPr>
          <w:lang w:val="en-US"/>
        </w:rPr>
        <w:t>düzeyde</w:t>
      </w:r>
      <w:proofErr w:type="spellEnd"/>
      <w:r w:rsidRPr="005D7E78">
        <w:rPr>
          <w:lang w:val="en-US"/>
        </w:rPr>
        <w:t xml:space="preserve">, </w:t>
      </w:r>
      <w:proofErr w:type="spellStart"/>
      <w:r w:rsidRPr="005D7E78">
        <w:rPr>
          <w:lang w:val="en-US"/>
        </w:rPr>
        <w:t>kültürel</w:t>
      </w:r>
      <w:proofErr w:type="spellEnd"/>
      <w:r w:rsidRPr="005D7E78">
        <w:rPr>
          <w:lang w:val="en-US"/>
        </w:rPr>
        <w:t xml:space="preserve"> </w:t>
      </w:r>
      <w:proofErr w:type="spellStart"/>
      <w:r w:rsidRPr="005D7E78">
        <w:rPr>
          <w:lang w:val="en-US"/>
        </w:rPr>
        <w:t>dinamikler</w:t>
      </w:r>
      <w:proofErr w:type="spellEnd"/>
      <w:r w:rsidRPr="005D7E78">
        <w:rPr>
          <w:lang w:val="en-US"/>
        </w:rPr>
        <w:t xml:space="preserve">, </w:t>
      </w:r>
      <w:proofErr w:type="spellStart"/>
      <w:r w:rsidRPr="005D7E78">
        <w:rPr>
          <w:lang w:val="en-US"/>
        </w:rPr>
        <w:t>anayasal</w:t>
      </w:r>
      <w:proofErr w:type="spellEnd"/>
      <w:r w:rsidRPr="005D7E78">
        <w:rPr>
          <w:lang w:val="en-US"/>
        </w:rPr>
        <w:t xml:space="preserve"> </w:t>
      </w:r>
      <w:proofErr w:type="spellStart"/>
      <w:r w:rsidRPr="005D7E78">
        <w:rPr>
          <w:lang w:val="en-US"/>
        </w:rPr>
        <w:t>pratik</w:t>
      </w:r>
      <w:proofErr w:type="spellEnd"/>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anayasal</w:t>
      </w:r>
      <w:proofErr w:type="spellEnd"/>
      <w:r w:rsidRPr="005D7E78">
        <w:rPr>
          <w:lang w:val="en-US"/>
        </w:rPr>
        <w:t xml:space="preserve"> </w:t>
      </w:r>
      <w:proofErr w:type="spellStart"/>
      <w:r w:rsidRPr="005D7E78">
        <w:rPr>
          <w:lang w:val="en-US"/>
        </w:rPr>
        <w:t>doktrin</w:t>
      </w:r>
      <w:proofErr w:type="spellEnd"/>
      <w:r w:rsidRPr="005D7E78">
        <w:rPr>
          <w:lang w:val="en-US"/>
        </w:rPr>
        <w:t xml:space="preserve"> </w:t>
      </w:r>
      <w:proofErr w:type="spellStart"/>
      <w:r w:rsidRPr="005D7E78">
        <w:rPr>
          <w:lang w:val="en-US"/>
        </w:rPr>
        <w:t>arasındaki</w:t>
      </w:r>
      <w:proofErr w:type="spellEnd"/>
      <w:r w:rsidRPr="005D7E78">
        <w:rPr>
          <w:lang w:val="en-US"/>
        </w:rPr>
        <w:t xml:space="preserve"> </w:t>
      </w:r>
      <w:proofErr w:type="spellStart"/>
      <w:r w:rsidRPr="005D7E78">
        <w:rPr>
          <w:lang w:val="en-US"/>
        </w:rPr>
        <w:t>karmaşık</w:t>
      </w:r>
      <w:proofErr w:type="spellEnd"/>
      <w:r w:rsidRPr="005D7E78">
        <w:rPr>
          <w:lang w:val="en-US"/>
        </w:rPr>
        <w:t xml:space="preserve"> </w:t>
      </w:r>
      <w:proofErr w:type="spellStart"/>
      <w:r w:rsidRPr="005D7E78">
        <w:rPr>
          <w:lang w:val="en-US"/>
        </w:rPr>
        <w:t>ilişkilerin</w:t>
      </w:r>
      <w:proofErr w:type="spellEnd"/>
      <w:r w:rsidRPr="005D7E78">
        <w:rPr>
          <w:lang w:val="en-US"/>
        </w:rPr>
        <w:t xml:space="preserve"> </w:t>
      </w:r>
      <w:proofErr w:type="spellStart"/>
      <w:r w:rsidRPr="005D7E78">
        <w:rPr>
          <w:lang w:val="en-US"/>
        </w:rPr>
        <w:t>akademik</w:t>
      </w:r>
      <w:proofErr w:type="spellEnd"/>
      <w:r w:rsidRPr="005D7E78">
        <w:rPr>
          <w:lang w:val="en-US"/>
        </w:rPr>
        <w:t xml:space="preserve"> </w:t>
      </w:r>
      <w:proofErr w:type="spellStart"/>
      <w:r w:rsidRPr="005D7E78">
        <w:rPr>
          <w:lang w:val="en-US"/>
        </w:rPr>
        <w:t>düzeyde</w:t>
      </w:r>
      <w:proofErr w:type="spellEnd"/>
      <w:r w:rsidRPr="005D7E78">
        <w:rPr>
          <w:lang w:val="en-US"/>
        </w:rPr>
        <w:t xml:space="preserve"> </w:t>
      </w:r>
      <w:proofErr w:type="spellStart"/>
      <w:r w:rsidRPr="005D7E78">
        <w:rPr>
          <w:lang w:val="en-US"/>
        </w:rPr>
        <w:t>anlaşılmasını</w:t>
      </w:r>
      <w:proofErr w:type="spellEnd"/>
      <w:r w:rsidRPr="005D7E78">
        <w:rPr>
          <w:lang w:val="en-US"/>
        </w:rPr>
        <w:t xml:space="preserve"> </w:t>
      </w:r>
      <w:proofErr w:type="spellStart"/>
      <w:r w:rsidRPr="005D7E78">
        <w:rPr>
          <w:lang w:val="en-US"/>
        </w:rPr>
        <w:t>ilerletme</w:t>
      </w:r>
      <w:proofErr w:type="spellEnd"/>
      <w:r w:rsidRPr="005D7E78">
        <w:rPr>
          <w:lang w:val="en-US"/>
        </w:rPr>
        <w:t xml:space="preserve"> </w:t>
      </w:r>
      <w:proofErr w:type="spellStart"/>
      <w:r w:rsidRPr="005D7E78">
        <w:rPr>
          <w:lang w:val="en-US"/>
        </w:rPr>
        <w:t>konusunda</w:t>
      </w:r>
      <w:proofErr w:type="spellEnd"/>
      <w:r w:rsidRPr="005D7E78">
        <w:rPr>
          <w:lang w:val="en-US"/>
        </w:rPr>
        <w:t xml:space="preserve"> Sandy Levinson, Jack Balkin, Robert Post </w:t>
      </w:r>
      <w:proofErr w:type="spellStart"/>
      <w:r w:rsidRPr="005D7E78">
        <w:rPr>
          <w:lang w:val="en-US"/>
        </w:rPr>
        <w:t>ve</w:t>
      </w:r>
      <w:proofErr w:type="spellEnd"/>
      <w:r w:rsidRPr="005D7E78">
        <w:rPr>
          <w:lang w:val="en-US"/>
        </w:rPr>
        <w:t xml:space="preserve"> Reva Siegel </w:t>
      </w:r>
      <w:proofErr w:type="spellStart"/>
      <w:r w:rsidRPr="005D7E78">
        <w:rPr>
          <w:lang w:val="en-US"/>
        </w:rPr>
        <w:t>dörtlüsünden</w:t>
      </w:r>
      <w:proofErr w:type="spellEnd"/>
      <w:r w:rsidRPr="005D7E78">
        <w:rPr>
          <w:lang w:val="en-US"/>
        </w:rPr>
        <w:t xml:space="preserve"> </w:t>
      </w:r>
      <w:proofErr w:type="spellStart"/>
      <w:r w:rsidRPr="005D7E78">
        <w:rPr>
          <w:lang w:val="en-US"/>
        </w:rPr>
        <w:t>daha</w:t>
      </w:r>
      <w:proofErr w:type="spellEnd"/>
      <w:r w:rsidRPr="005D7E78">
        <w:rPr>
          <w:lang w:val="en-US"/>
        </w:rPr>
        <w:t xml:space="preserve"> </w:t>
      </w:r>
      <w:proofErr w:type="spellStart"/>
      <w:r w:rsidRPr="005D7E78">
        <w:rPr>
          <w:lang w:val="en-US"/>
        </w:rPr>
        <w:t>fazla</w:t>
      </w:r>
      <w:proofErr w:type="spellEnd"/>
      <w:r w:rsidRPr="005D7E78">
        <w:rPr>
          <w:lang w:val="en-US"/>
        </w:rPr>
        <w:t xml:space="preserve"> </w:t>
      </w:r>
      <w:proofErr w:type="spellStart"/>
      <w:r w:rsidRPr="005D7E78">
        <w:rPr>
          <w:lang w:val="en-US"/>
        </w:rPr>
        <w:t>katkıda</w:t>
      </w:r>
      <w:proofErr w:type="spellEnd"/>
      <w:r w:rsidRPr="005D7E78">
        <w:rPr>
          <w:lang w:val="en-US"/>
        </w:rPr>
        <w:t xml:space="preserve"> </w:t>
      </w:r>
      <w:proofErr w:type="spellStart"/>
      <w:r w:rsidRPr="005D7E78">
        <w:rPr>
          <w:lang w:val="en-US"/>
        </w:rPr>
        <w:t>bulunan</w:t>
      </w:r>
      <w:proofErr w:type="spellEnd"/>
      <w:r w:rsidRPr="005D7E78">
        <w:rPr>
          <w:lang w:val="en-US"/>
        </w:rPr>
        <w:t xml:space="preserve"> </w:t>
      </w:r>
      <w:proofErr w:type="spellStart"/>
      <w:r w:rsidRPr="005D7E78">
        <w:rPr>
          <w:lang w:val="en-US"/>
        </w:rPr>
        <w:t>çok</w:t>
      </w:r>
      <w:proofErr w:type="spellEnd"/>
      <w:r w:rsidRPr="005D7E78">
        <w:rPr>
          <w:lang w:val="en-US"/>
        </w:rPr>
        <w:t xml:space="preserve"> </w:t>
      </w:r>
      <w:proofErr w:type="spellStart"/>
      <w:r w:rsidRPr="005D7E78">
        <w:rPr>
          <w:lang w:val="en-US"/>
        </w:rPr>
        <w:t>az</w:t>
      </w:r>
      <w:proofErr w:type="spellEnd"/>
      <w:r w:rsidRPr="005D7E78">
        <w:rPr>
          <w:lang w:val="en-US"/>
        </w:rPr>
        <w:t xml:space="preserve"> </w:t>
      </w:r>
      <w:proofErr w:type="spellStart"/>
      <w:r w:rsidRPr="005D7E78">
        <w:rPr>
          <w:lang w:val="en-US"/>
        </w:rPr>
        <w:t>kişi</w:t>
      </w:r>
      <w:proofErr w:type="spellEnd"/>
      <w:r w:rsidRPr="005D7E78">
        <w:rPr>
          <w:lang w:val="en-US"/>
        </w:rPr>
        <w:t xml:space="preserve"> </w:t>
      </w:r>
      <w:proofErr w:type="spellStart"/>
      <w:r w:rsidRPr="005D7E78">
        <w:rPr>
          <w:lang w:val="en-US"/>
        </w:rPr>
        <w:t>vardır</w:t>
      </w:r>
      <w:proofErr w:type="spellEnd"/>
      <w:r w:rsidRPr="005D7E78">
        <w:rPr>
          <w:lang w:val="en-US"/>
        </w:rPr>
        <w:t xml:space="preserve">, </w:t>
      </w:r>
      <w:proofErr w:type="spellStart"/>
      <w:r w:rsidRPr="005D7E78">
        <w:rPr>
          <w:lang w:val="en-US"/>
        </w:rPr>
        <w:t>belki</w:t>
      </w:r>
      <w:proofErr w:type="spellEnd"/>
      <w:r w:rsidRPr="005D7E78">
        <w:rPr>
          <w:lang w:val="en-US"/>
        </w:rPr>
        <w:t xml:space="preserve"> de </w:t>
      </w:r>
      <w:proofErr w:type="spellStart"/>
      <w:r w:rsidRPr="005D7E78">
        <w:rPr>
          <w:lang w:val="en-US"/>
        </w:rPr>
        <w:t>hiç</w:t>
      </w:r>
      <w:proofErr w:type="spellEnd"/>
      <w:r w:rsidRPr="005D7E78">
        <w:rPr>
          <w:lang w:val="en-US"/>
        </w:rPr>
        <w:t xml:space="preserve"> yoktur.¹⁹³</w:t>
      </w:r>
      <w:r>
        <w:rPr>
          <w:lang w:val="en-US"/>
        </w:rPr>
        <w:t xml:space="preserve"> </w:t>
      </w:r>
      <w:r>
        <w:rPr>
          <w:rStyle w:val="FootnoteReference"/>
          <w:lang w:val="en-US"/>
        </w:rPr>
        <w:footnoteReference w:id="193"/>
      </w:r>
      <w:r w:rsidRPr="005D7E78">
        <w:rPr>
          <w:lang w:val="en-US"/>
        </w:rPr>
        <w:t xml:space="preserve"> </w:t>
      </w:r>
      <w:proofErr w:type="spellStart"/>
      <w:r w:rsidRPr="005D7E78">
        <w:rPr>
          <w:lang w:val="en-US"/>
        </w:rPr>
        <w:t>Onlar</w:t>
      </w:r>
      <w:proofErr w:type="spellEnd"/>
      <w:r w:rsidRPr="005D7E78">
        <w:rPr>
          <w:lang w:val="en-US"/>
        </w:rPr>
        <w:t xml:space="preserve">, </w:t>
      </w:r>
      <w:proofErr w:type="spellStart"/>
      <w:r w:rsidRPr="005D7E78">
        <w:rPr>
          <w:lang w:val="en-US"/>
        </w:rPr>
        <w:t>burada</w:t>
      </w:r>
      <w:proofErr w:type="spellEnd"/>
      <w:r w:rsidRPr="005D7E78">
        <w:rPr>
          <w:lang w:val="en-US"/>
        </w:rPr>
        <w:t xml:space="preserve"> </w:t>
      </w:r>
      <w:proofErr w:type="spellStart"/>
      <w:r w:rsidRPr="005D7E78">
        <w:rPr>
          <w:lang w:val="en-US"/>
        </w:rPr>
        <w:t>ayrıntılı</w:t>
      </w:r>
      <w:proofErr w:type="spellEnd"/>
      <w:r w:rsidRPr="005D7E78">
        <w:rPr>
          <w:lang w:val="en-US"/>
        </w:rPr>
        <w:t xml:space="preserve"> </w:t>
      </w:r>
      <w:proofErr w:type="spellStart"/>
      <w:r w:rsidRPr="005D7E78">
        <w:rPr>
          <w:lang w:val="en-US"/>
        </w:rPr>
        <w:t>olarak</w:t>
      </w:r>
      <w:proofErr w:type="spellEnd"/>
      <w:r w:rsidRPr="005D7E78">
        <w:rPr>
          <w:lang w:val="en-US"/>
        </w:rPr>
        <w:t xml:space="preserve"> </w:t>
      </w:r>
      <w:proofErr w:type="spellStart"/>
      <w:r w:rsidRPr="005D7E78">
        <w:rPr>
          <w:lang w:val="en-US"/>
        </w:rPr>
        <w:t>ele</w:t>
      </w:r>
      <w:proofErr w:type="spellEnd"/>
      <w:r w:rsidRPr="005D7E78">
        <w:rPr>
          <w:lang w:val="en-US"/>
        </w:rPr>
        <w:t xml:space="preserve"> </w:t>
      </w:r>
      <w:proofErr w:type="spellStart"/>
      <w:r w:rsidRPr="005D7E78">
        <w:rPr>
          <w:lang w:val="en-US"/>
        </w:rPr>
        <w:t>alınamayacak</w:t>
      </w:r>
      <w:proofErr w:type="spellEnd"/>
      <w:r w:rsidRPr="005D7E78">
        <w:rPr>
          <w:lang w:val="en-US"/>
        </w:rPr>
        <w:t xml:space="preserve"> </w:t>
      </w:r>
      <w:proofErr w:type="spellStart"/>
      <w:r w:rsidRPr="005D7E78">
        <w:rPr>
          <w:lang w:val="en-US"/>
        </w:rPr>
        <w:t>kadar</w:t>
      </w:r>
      <w:proofErr w:type="spellEnd"/>
      <w:r w:rsidRPr="005D7E78">
        <w:rPr>
          <w:lang w:val="en-US"/>
        </w:rPr>
        <w:t xml:space="preserve"> </w:t>
      </w:r>
      <w:proofErr w:type="spellStart"/>
      <w:r w:rsidRPr="005D7E78">
        <w:rPr>
          <w:lang w:val="en-US"/>
        </w:rPr>
        <w:t>çok</w:t>
      </w:r>
      <w:proofErr w:type="spellEnd"/>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karmaşık</w:t>
      </w:r>
      <w:proofErr w:type="spellEnd"/>
      <w:r w:rsidRPr="005D7E78">
        <w:rPr>
          <w:lang w:val="en-US"/>
        </w:rPr>
        <w:t xml:space="preserve"> </w:t>
      </w:r>
      <w:proofErr w:type="spellStart"/>
      <w:r w:rsidRPr="005D7E78">
        <w:rPr>
          <w:lang w:val="en-US"/>
        </w:rPr>
        <w:t>olan</w:t>
      </w:r>
      <w:proofErr w:type="spellEnd"/>
      <w:r w:rsidRPr="005D7E78">
        <w:rPr>
          <w:lang w:val="en-US"/>
        </w:rPr>
        <w:t xml:space="preserve"> </w:t>
      </w:r>
      <w:proofErr w:type="spellStart"/>
      <w:r w:rsidRPr="005D7E78">
        <w:rPr>
          <w:lang w:val="en-US"/>
        </w:rPr>
        <w:t>onlarca</w:t>
      </w:r>
      <w:proofErr w:type="spellEnd"/>
      <w:r w:rsidRPr="005D7E78">
        <w:rPr>
          <w:lang w:val="en-US"/>
        </w:rPr>
        <w:t xml:space="preserve"> </w:t>
      </w:r>
      <w:proofErr w:type="spellStart"/>
      <w:r w:rsidRPr="005D7E78">
        <w:rPr>
          <w:lang w:val="en-US"/>
        </w:rPr>
        <w:t>yıllık</w:t>
      </w:r>
      <w:proofErr w:type="spellEnd"/>
      <w:r w:rsidRPr="005D7E78">
        <w:rPr>
          <w:lang w:val="en-US"/>
        </w:rPr>
        <w:t xml:space="preserve"> </w:t>
      </w:r>
      <w:proofErr w:type="spellStart"/>
      <w:r w:rsidRPr="005D7E78">
        <w:rPr>
          <w:lang w:val="en-US"/>
        </w:rPr>
        <w:t>kitap</w:t>
      </w:r>
      <w:proofErr w:type="spellEnd"/>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makalelerinde</w:t>
      </w:r>
      <w:proofErr w:type="spellEnd"/>
      <w:r w:rsidRPr="005D7E78">
        <w:rPr>
          <w:lang w:val="en-US"/>
        </w:rPr>
        <w:t xml:space="preserve">, </w:t>
      </w:r>
      <w:proofErr w:type="spellStart"/>
      <w:r w:rsidRPr="005D7E78">
        <w:rPr>
          <w:lang w:val="en-US"/>
        </w:rPr>
        <w:t>bu</w:t>
      </w:r>
      <w:proofErr w:type="spellEnd"/>
      <w:r w:rsidRPr="005D7E78">
        <w:rPr>
          <w:lang w:val="en-US"/>
        </w:rPr>
        <w:t xml:space="preserve"> </w:t>
      </w:r>
      <w:proofErr w:type="spellStart"/>
      <w:r w:rsidRPr="005D7E78">
        <w:rPr>
          <w:lang w:val="en-US"/>
        </w:rPr>
        <w:t>iç</w:t>
      </w:r>
      <w:proofErr w:type="spellEnd"/>
      <w:r w:rsidRPr="005D7E78">
        <w:rPr>
          <w:lang w:val="en-US"/>
        </w:rPr>
        <w:t xml:space="preserve"> </w:t>
      </w:r>
      <w:proofErr w:type="spellStart"/>
      <w:r w:rsidRPr="005D7E78">
        <w:rPr>
          <w:lang w:val="en-US"/>
        </w:rPr>
        <w:t>içe</w:t>
      </w:r>
      <w:proofErr w:type="spellEnd"/>
      <w:r w:rsidRPr="005D7E78">
        <w:rPr>
          <w:lang w:val="en-US"/>
        </w:rPr>
        <w:t xml:space="preserve"> </w:t>
      </w:r>
      <w:proofErr w:type="spellStart"/>
      <w:r w:rsidRPr="005D7E78">
        <w:rPr>
          <w:lang w:val="en-US"/>
        </w:rPr>
        <w:t>geçmiş</w:t>
      </w:r>
      <w:proofErr w:type="spellEnd"/>
      <w:r w:rsidRPr="005D7E78">
        <w:rPr>
          <w:lang w:val="en-US"/>
        </w:rPr>
        <w:t xml:space="preserve"> </w:t>
      </w:r>
      <w:proofErr w:type="spellStart"/>
      <w:r w:rsidRPr="005D7E78">
        <w:rPr>
          <w:lang w:val="en-US"/>
        </w:rPr>
        <w:t>dinamiklerin</w:t>
      </w:r>
      <w:proofErr w:type="spellEnd"/>
      <w:r w:rsidRPr="005D7E78">
        <w:rPr>
          <w:lang w:val="en-US"/>
        </w:rPr>
        <w:t xml:space="preserve"> </w:t>
      </w:r>
      <w:proofErr w:type="spellStart"/>
      <w:r w:rsidRPr="005D7E78">
        <w:rPr>
          <w:lang w:val="en-US"/>
        </w:rPr>
        <w:t>sınırlarını</w:t>
      </w:r>
      <w:proofErr w:type="spellEnd"/>
      <w:r w:rsidRPr="005D7E78">
        <w:rPr>
          <w:lang w:val="en-US"/>
        </w:rPr>
        <w:t xml:space="preserve"> keşfetmiş,¹⁹⁴</w:t>
      </w:r>
      <w:r>
        <w:rPr>
          <w:lang w:val="en-US"/>
        </w:rPr>
        <w:t xml:space="preserve"> </w:t>
      </w:r>
      <w:r>
        <w:rPr>
          <w:rStyle w:val="FootnoteReference"/>
          <w:lang w:val="en-US"/>
        </w:rPr>
        <w:footnoteReference w:id="194"/>
      </w:r>
      <w:r w:rsidRPr="005D7E78">
        <w:rPr>
          <w:lang w:val="en-US"/>
        </w:rPr>
        <w:t xml:space="preserve"> </w:t>
      </w:r>
      <w:proofErr w:type="spellStart"/>
      <w:r w:rsidRPr="005D7E78">
        <w:rPr>
          <w:lang w:val="en-US"/>
        </w:rPr>
        <w:t>anayasal</w:t>
      </w:r>
      <w:proofErr w:type="spellEnd"/>
      <w:r w:rsidRPr="005D7E78">
        <w:rPr>
          <w:lang w:val="en-US"/>
        </w:rPr>
        <w:t xml:space="preserve"> </w:t>
      </w:r>
      <w:proofErr w:type="spellStart"/>
      <w:r w:rsidRPr="005D7E78">
        <w:rPr>
          <w:lang w:val="en-US"/>
        </w:rPr>
        <w:t>değerlerin</w:t>
      </w:r>
      <w:proofErr w:type="spellEnd"/>
      <w:r w:rsidRPr="005D7E78">
        <w:rPr>
          <w:lang w:val="en-US"/>
        </w:rPr>
        <w:t xml:space="preserve"> </w:t>
      </w:r>
      <w:proofErr w:type="spellStart"/>
      <w:r w:rsidRPr="005D7E78">
        <w:rPr>
          <w:lang w:val="en-US"/>
        </w:rPr>
        <w:t>eşitlik</w:t>
      </w:r>
      <w:proofErr w:type="spellEnd"/>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adalet</w:t>
      </w:r>
      <w:proofErr w:type="spellEnd"/>
      <w:r w:rsidRPr="005D7E78">
        <w:rPr>
          <w:lang w:val="en-US"/>
        </w:rPr>
        <w:t xml:space="preserve"> </w:t>
      </w:r>
      <w:proofErr w:type="spellStart"/>
      <w:r w:rsidRPr="005D7E78">
        <w:rPr>
          <w:lang w:val="en-US"/>
        </w:rPr>
        <w:t>mücadelesinde</w:t>
      </w:r>
      <w:proofErr w:type="spellEnd"/>
      <w:r w:rsidRPr="005D7E78">
        <w:rPr>
          <w:lang w:val="en-US"/>
        </w:rPr>
        <w:t xml:space="preserve"> </w:t>
      </w:r>
      <w:proofErr w:type="spellStart"/>
      <w:r w:rsidRPr="005D7E78">
        <w:rPr>
          <w:lang w:val="en-US"/>
        </w:rPr>
        <w:t>nasıl</w:t>
      </w:r>
      <w:proofErr w:type="spellEnd"/>
      <w:r w:rsidRPr="005D7E78">
        <w:rPr>
          <w:lang w:val="en-US"/>
        </w:rPr>
        <w:t xml:space="preserve"> </w:t>
      </w:r>
      <w:proofErr w:type="spellStart"/>
      <w:r w:rsidRPr="005D7E78">
        <w:rPr>
          <w:lang w:val="en-US"/>
        </w:rPr>
        <w:t>harekete</w:t>
      </w:r>
      <w:proofErr w:type="spellEnd"/>
      <w:r w:rsidRPr="005D7E78">
        <w:rPr>
          <w:lang w:val="en-US"/>
        </w:rPr>
        <w:t xml:space="preserve"> </w:t>
      </w:r>
      <w:proofErr w:type="spellStart"/>
      <w:r w:rsidRPr="005D7E78">
        <w:rPr>
          <w:lang w:val="en-US"/>
        </w:rPr>
        <w:t>geçirilebileceğine</w:t>
      </w:r>
      <w:proofErr w:type="spellEnd"/>
      <w:r w:rsidRPr="005D7E78">
        <w:rPr>
          <w:lang w:val="en-US"/>
        </w:rPr>
        <w:t xml:space="preserve"> </w:t>
      </w:r>
      <w:proofErr w:type="spellStart"/>
      <w:r w:rsidRPr="005D7E78">
        <w:rPr>
          <w:lang w:val="en-US"/>
        </w:rPr>
        <w:t>dair</w:t>
      </w:r>
      <w:proofErr w:type="spellEnd"/>
      <w:r w:rsidRPr="005D7E78">
        <w:rPr>
          <w:lang w:val="en-US"/>
        </w:rPr>
        <w:t xml:space="preserve"> </w:t>
      </w:r>
      <w:proofErr w:type="spellStart"/>
      <w:r w:rsidRPr="005D7E78">
        <w:rPr>
          <w:lang w:val="en-US"/>
        </w:rPr>
        <w:t>kritik</w:t>
      </w:r>
      <w:proofErr w:type="spellEnd"/>
      <w:r w:rsidRPr="005D7E78">
        <w:rPr>
          <w:lang w:val="en-US"/>
        </w:rPr>
        <w:t xml:space="preserve"> </w:t>
      </w:r>
      <w:proofErr w:type="spellStart"/>
      <w:r w:rsidRPr="005D7E78">
        <w:rPr>
          <w:lang w:val="en-US"/>
        </w:rPr>
        <w:t>sorular</w:t>
      </w:r>
      <w:proofErr w:type="spellEnd"/>
      <w:r w:rsidRPr="005D7E78">
        <w:rPr>
          <w:lang w:val="en-US"/>
        </w:rPr>
        <w:t xml:space="preserve"> sormuş,¹⁹⁵</w:t>
      </w:r>
      <w:r>
        <w:rPr>
          <w:lang w:val="en-US"/>
        </w:rPr>
        <w:t xml:space="preserve"> </w:t>
      </w:r>
      <w:r>
        <w:rPr>
          <w:rStyle w:val="FootnoteReference"/>
          <w:lang w:val="en-US"/>
        </w:rPr>
        <w:footnoteReference w:id="195"/>
      </w:r>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anayasal</w:t>
      </w:r>
      <w:proofErr w:type="spellEnd"/>
      <w:r w:rsidRPr="005D7E78">
        <w:rPr>
          <w:lang w:val="en-US"/>
        </w:rPr>
        <w:t xml:space="preserve"> </w:t>
      </w:r>
      <w:proofErr w:type="spellStart"/>
      <w:r w:rsidRPr="005D7E78">
        <w:rPr>
          <w:lang w:val="en-US"/>
        </w:rPr>
        <w:t>tasarımımızın</w:t>
      </w:r>
      <w:proofErr w:type="spellEnd"/>
      <w:r w:rsidRPr="005D7E78">
        <w:rPr>
          <w:lang w:val="en-US"/>
        </w:rPr>
        <w:t xml:space="preserve"> </w:t>
      </w:r>
      <w:proofErr w:type="spellStart"/>
      <w:r w:rsidRPr="005D7E78">
        <w:rPr>
          <w:lang w:val="en-US"/>
        </w:rPr>
        <w:t>merkezi</w:t>
      </w:r>
      <w:proofErr w:type="spellEnd"/>
      <w:r w:rsidRPr="005D7E78">
        <w:rPr>
          <w:lang w:val="en-US"/>
        </w:rPr>
        <w:t xml:space="preserve"> </w:t>
      </w:r>
      <w:proofErr w:type="spellStart"/>
      <w:r w:rsidRPr="005D7E78">
        <w:rPr>
          <w:lang w:val="en-US"/>
        </w:rPr>
        <w:t>yönlerine</w:t>
      </w:r>
      <w:proofErr w:type="spellEnd"/>
      <w:r w:rsidRPr="005D7E78">
        <w:rPr>
          <w:lang w:val="en-US"/>
        </w:rPr>
        <w:t xml:space="preserve"> </w:t>
      </w:r>
      <w:proofErr w:type="spellStart"/>
      <w:r w:rsidRPr="005D7E78">
        <w:rPr>
          <w:lang w:val="en-US"/>
        </w:rPr>
        <w:t>keskin</w:t>
      </w:r>
      <w:proofErr w:type="spellEnd"/>
      <w:r w:rsidRPr="005D7E78">
        <w:rPr>
          <w:lang w:val="en-US"/>
        </w:rPr>
        <w:t xml:space="preserve"> </w:t>
      </w:r>
      <w:proofErr w:type="spellStart"/>
      <w:r w:rsidRPr="005D7E78">
        <w:rPr>
          <w:lang w:val="en-US"/>
        </w:rPr>
        <w:t>eleştiriler</w:t>
      </w:r>
      <w:proofErr w:type="spellEnd"/>
      <w:r w:rsidRPr="005D7E78">
        <w:rPr>
          <w:lang w:val="en-US"/>
        </w:rPr>
        <w:t xml:space="preserve"> getirmişlerdir.¹⁹⁶</w:t>
      </w:r>
      <w:r>
        <w:rPr>
          <w:lang w:val="en-US"/>
        </w:rPr>
        <w:t xml:space="preserve"> </w:t>
      </w:r>
      <w:r>
        <w:rPr>
          <w:rStyle w:val="FootnoteReference"/>
          <w:lang w:val="en-US"/>
        </w:rPr>
        <w:footnoteReference w:id="196"/>
      </w:r>
      <w:r>
        <w:rPr>
          <w:lang w:val="en-US"/>
        </w:rPr>
        <w:t xml:space="preserve"> </w:t>
      </w:r>
      <w:r w:rsidRPr="005D7E78">
        <w:rPr>
          <w:lang w:val="en-US"/>
        </w:rPr>
        <w:t xml:space="preserve">Bu </w:t>
      </w:r>
      <w:proofErr w:type="spellStart"/>
      <w:r w:rsidRPr="005D7E78">
        <w:rPr>
          <w:lang w:val="en-US"/>
        </w:rPr>
        <w:t>sorular</w:t>
      </w:r>
      <w:proofErr w:type="spellEnd"/>
      <w:r w:rsidRPr="005D7E78">
        <w:rPr>
          <w:lang w:val="en-US"/>
        </w:rPr>
        <w:t xml:space="preserve"> </w:t>
      </w:r>
      <w:proofErr w:type="spellStart"/>
      <w:r w:rsidRPr="005D7E78">
        <w:rPr>
          <w:lang w:val="en-US"/>
        </w:rPr>
        <w:t>üzerine</w:t>
      </w:r>
      <w:proofErr w:type="spellEnd"/>
      <w:r w:rsidRPr="005D7E78">
        <w:rPr>
          <w:lang w:val="en-US"/>
        </w:rPr>
        <w:t xml:space="preserve"> </w:t>
      </w:r>
      <w:proofErr w:type="spellStart"/>
      <w:r w:rsidRPr="005D7E78">
        <w:rPr>
          <w:lang w:val="en-US"/>
        </w:rPr>
        <w:t>üretken</w:t>
      </w:r>
      <w:proofErr w:type="spellEnd"/>
      <w:r w:rsidRPr="005D7E78">
        <w:rPr>
          <w:lang w:val="en-US"/>
        </w:rPr>
        <w:t xml:space="preserve"> </w:t>
      </w:r>
      <w:proofErr w:type="spellStart"/>
      <w:r w:rsidRPr="005D7E78">
        <w:rPr>
          <w:lang w:val="en-US"/>
        </w:rPr>
        <w:t>bir</w:t>
      </w:r>
      <w:proofErr w:type="spellEnd"/>
      <w:r w:rsidRPr="005D7E78">
        <w:rPr>
          <w:lang w:val="en-US"/>
        </w:rPr>
        <w:t xml:space="preserve"> </w:t>
      </w:r>
      <w:proofErr w:type="spellStart"/>
      <w:r w:rsidRPr="005D7E78">
        <w:rPr>
          <w:lang w:val="en-US"/>
        </w:rPr>
        <w:t>şekilde</w:t>
      </w:r>
      <w:proofErr w:type="spellEnd"/>
      <w:r w:rsidRPr="005D7E78">
        <w:rPr>
          <w:lang w:val="en-US"/>
        </w:rPr>
        <w:t xml:space="preserve"> </w:t>
      </w:r>
      <w:proofErr w:type="spellStart"/>
      <w:r w:rsidRPr="005D7E78">
        <w:rPr>
          <w:lang w:val="en-US"/>
        </w:rPr>
        <w:t>çalışarak</w:t>
      </w:r>
      <w:proofErr w:type="spellEnd"/>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sık</w:t>
      </w:r>
      <w:proofErr w:type="spellEnd"/>
      <w:r w:rsidRPr="005D7E78">
        <w:rPr>
          <w:lang w:val="en-US"/>
        </w:rPr>
        <w:t xml:space="preserve"> </w:t>
      </w:r>
      <w:proofErr w:type="spellStart"/>
      <w:r w:rsidRPr="005D7E78">
        <w:rPr>
          <w:lang w:val="en-US"/>
        </w:rPr>
        <w:t>sık</w:t>
      </w:r>
      <w:proofErr w:type="spellEnd"/>
      <w:r w:rsidRPr="005D7E78">
        <w:rPr>
          <w:lang w:val="en-US"/>
        </w:rPr>
        <w:t xml:space="preserve"> </w:t>
      </w:r>
      <w:proofErr w:type="spellStart"/>
      <w:r w:rsidRPr="005D7E78">
        <w:rPr>
          <w:lang w:val="en-US"/>
        </w:rPr>
        <w:t>seminerlere</w:t>
      </w:r>
      <w:proofErr w:type="spellEnd"/>
      <w:r w:rsidRPr="005D7E78">
        <w:rPr>
          <w:lang w:val="en-US"/>
        </w:rPr>
        <w:t xml:space="preserve">, </w:t>
      </w:r>
      <w:proofErr w:type="spellStart"/>
      <w:r w:rsidRPr="005D7E78">
        <w:rPr>
          <w:lang w:val="en-US"/>
        </w:rPr>
        <w:t>akademik</w:t>
      </w:r>
      <w:proofErr w:type="spellEnd"/>
      <w:r w:rsidRPr="005D7E78">
        <w:rPr>
          <w:lang w:val="en-US"/>
        </w:rPr>
        <w:t xml:space="preserve"> </w:t>
      </w:r>
      <w:proofErr w:type="spellStart"/>
      <w:r w:rsidRPr="005D7E78">
        <w:rPr>
          <w:lang w:val="en-US"/>
        </w:rPr>
        <w:t>mentörlük</w:t>
      </w:r>
      <w:proofErr w:type="spellEnd"/>
      <w:r w:rsidRPr="005D7E78">
        <w:rPr>
          <w:lang w:val="en-US"/>
        </w:rPr>
        <w:t xml:space="preserve"> </w:t>
      </w:r>
      <w:proofErr w:type="spellStart"/>
      <w:r w:rsidRPr="005D7E78">
        <w:rPr>
          <w:lang w:val="en-US"/>
        </w:rPr>
        <w:t>faaliyetlerine</w:t>
      </w:r>
      <w:proofErr w:type="spellEnd"/>
      <w:r w:rsidRPr="005D7E78">
        <w:rPr>
          <w:lang w:val="en-US"/>
        </w:rPr>
        <w:t xml:space="preserve"> </w:t>
      </w:r>
      <w:proofErr w:type="spellStart"/>
      <w:r w:rsidRPr="005D7E78">
        <w:rPr>
          <w:lang w:val="en-US"/>
        </w:rPr>
        <w:t>ve</w:t>
      </w:r>
      <w:proofErr w:type="spellEnd"/>
      <w:r w:rsidRPr="005D7E78">
        <w:rPr>
          <w:lang w:val="en-US"/>
        </w:rPr>
        <w:t xml:space="preserve"> </w:t>
      </w:r>
      <w:proofErr w:type="spellStart"/>
      <w:r w:rsidRPr="005D7E78">
        <w:rPr>
          <w:lang w:val="en-US"/>
        </w:rPr>
        <w:t>diğer</w:t>
      </w:r>
      <w:proofErr w:type="spellEnd"/>
      <w:r w:rsidRPr="005D7E78">
        <w:rPr>
          <w:lang w:val="en-US"/>
        </w:rPr>
        <w:t xml:space="preserve"> </w:t>
      </w:r>
      <w:proofErr w:type="spellStart"/>
      <w:r w:rsidRPr="005D7E78">
        <w:rPr>
          <w:lang w:val="en-US"/>
        </w:rPr>
        <w:t>akademisyenlerle</w:t>
      </w:r>
      <w:proofErr w:type="spellEnd"/>
      <w:r w:rsidRPr="005D7E78">
        <w:rPr>
          <w:lang w:val="en-US"/>
        </w:rPr>
        <w:t xml:space="preserve"> </w:t>
      </w:r>
      <w:proofErr w:type="spellStart"/>
      <w:r w:rsidRPr="005D7E78">
        <w:rPr>
          <w:lang w:val="en-US"/>
        </w:rPr>
        <w:t>ortak</w:t>
      </w:r>
      <w:proofErr w:type="spellEnd"/>
      <w:r w:rsidRPr="005D7E78">
        <w:rPr>
          <w:lang w:val="en-US"/>
        </w:rPr>
        <w:t xml:space="preserve"> </w:t>
      </w:r>
      <w:proofErr w:type="spellStart"/>
      <w:r w:rsidRPr="005D7E78">
        <w:rPr>
          <w:lang w:val="en-US"/>
        </w:rPr>
        <w:t>projelere</w:t>
      </w:r>
      <w:proofErr w:type="spellEnd"/>
      <w:r w:rsidRPr="005D7E78">
        <w:rPr>
          <w:lang w:val="en-US"/>
        </w:rPr>
        <w:t xml:space="preserve"> </w:t>
      </w:r>
      <w:proofErr w:type="spellStart"/>
      <w:r w:rsidRPr="005D7E78">
        <w:rPr>
          <w:lang w:val="en-US"/>
        </w:rPr>
        <w:t>katılarak</w:t>
      </w:r>
      <w:proofErr w:type="spellEnd"/>
      <w:r w:rsidRPr="005D7E78">
        <w:rPr>
          <w:lang w:val="en-US"/>
        </w:rPr>
        <w:t xml:space="preserve">, </w:t>
      </w:r>
      <w:proofErr w:type="spellStart"/>
      <w:r w:rsidRPr="005D7E78">
        <w:rPr>
          <w:lang w:val="en-US"/>
        </w:rPr>
        <w:t>anayasa</w:t>
      </w:r>
      <w:proofErr w:type="spellEnd"/>
      <w:r w:rsidRPr="005D7E78">
        <w:rPr>
          <w:lang w:val="en-US"/>
        </w:rPr>
        <w:t xml:space="preserve"> </w:t>
      </w:r>
      <w:proofErr w:type="spellStart"/>
      <w:r w:rsidRPr="005D7E78">
        <w:rPr>
          <w:lang w:val="en-US"/>
        </w:rPr>
        <w:t>hukuku</w:t>
      </w:r>
      <w:proofErr w:type="spellEnd"/>
      <w:r w:rsidRPr="005D7E78">
        <w:rPr>
          <w:lang w:val="en-US"/>
        </w:rPr>
        <w:t xml:space="preserve"> </w:t>
      </w:r>
      <w:proofErr w:type="spellStart"/>
      <w:r w:rsidRPr="005D7E78">
        <w:rPr>
          <w:lang w:val="en-US"/>
        </w:rPr>
        <w:t>çalışmalarında</w:t>
      </w:r>
      <w:proofErr w:type="spellEnd"/>
      <w:r w:rsidRPr="005D7E78">
        <w:rPr>
          <w:lang w:val="en-US"/>
        </w:rPr>
        <w:t xml:space="preserve"> </w:t>
      </w:r>
      <w:proofErr w:type="spellStart"/>
      <w:r w:rsidRPr="005D7E78">
        <w:rPr>
          <w:lang w:val="en-US"/>
        </w:rPr>
        <w:t>Anayasamızın</w:t>
      </w:r>
      <w:proofErr w:type="spellEnd"/>
      <w:r w:rsidRPr="005D7E78">
        <w:rPr>
          <w:lang w:val="en-US"/>
        </w:rPr>
        <w:t xml:space="preserve"> </w:t>
      </w:r>
      <w:proofErr w:type="spellStart"/>
      <w:r w:rsidRPr="005D7E78">
        <w:rPr>
          <w:lang w:val="en-US"/>
        </w:rPr>
        <w:t>anlaşılmasına</w:t>
      </w:r>
      <w:proofErr w:type="spellEnd"/>
      <w:r w:rsidRPr="005D7E78">
        <w:rPr>
          <w:lang w:val="en-US"/>
        </w:rPr>
        <w:t xml:space="preserve"> </w:t>
      </w:r>
      <w:proofErr w:type="spellStart"/>
      <w:r w:rsidRPr="005D7E78">
        <w:rPr>
          <w:lang w:val="en-US"/>
        </w:rPr>
        <w:t>yönelik</w:t>
      </w:r>
      <w:proofErr w:type="spellEnd"/>
      <w:r w:rsidRPr="005D7E78">
        <w:rPr>
          <w:lang w:val="en-US"/>
        </w:rPr>
        <w:t xml:space="preserve"> </w:t>
      </w:r>
      <w:proofErr w:type="spellStart"/>
      <w:r w:rsidRPr="005D7E78">
        <w:rPr>
          <w:lang w:val="en-US"/>
        </w:rPr>
        <w:t>bitmeyen</w:t>
      </w:r>
      <w:proofErr w:type="spellEnd"/>
      <w:r w:rsidRPr="005D7E78">
        <w:rPr>
          <w:lang w:val="en-US"/>
        </w:rPr>
        <w:t xml:space="preserve"> </w:t>
      </w:r>
      <w:proofErr w:type="spellStart"/>
      <w:r w:rsidRPr="005D7E78">
        <w:rPr>
          <w:lang w:val="en-US"/>
        </w:rPr>
        <w:t>akademik</w:t>
      </w:r>
      <w:proofErr w:type="spellEnd"/>
      <w:r w:rsidRPr="005D7E78">
        <w:rPr>
          <w:lang w:val="en-US"/>
        </w:rPr>
        <w:t xml:space="preserve"> </w:t>
      </w:r>
      <w:proofErr w:type="spellStart"/>
      <w:r w:rsidRPr="005D7E78">
        <w:rPr>
          <w:lang w:val="en-US"/>
        </w:rPr>
        <w:t>mücadelenin</w:t>
      </w:r>
      <w:proofErr w:type="spellEnd"/>
      <w:r w:rsidRPr="005D7E78">
        <w:rPr>
          <w:lang w:val="en-US"/>
        </w:rPr>
        <w:t xml:space="preserve"> </w:t>
      </w:r>
      <w:proofErr w:type="spellStart"/>
      <w:r w:rsidRPr="005D7E78">
        <w:rPr>
          <w:lang w:val="en-US"/>
        </w:rPr>
        <w:t>ikinci</w:t>
      </w:r>
      <w:proofErr w:type="spellEnd"/>
      <w:r w:rsidRPr="005D7E78">
        <w:rPr>
          <w:lang w:val="en-US"/>
        </w:rPr>
        <w:t xml:space="preserve"> </w:t>
      </w:r>
      <w:proofErr w:type="spellStart"/>
      <w:r w:rsidRPr="005D7E78">
        <w:rPr>
          <w:lang w:val="en-US"/>
        </w:rPr>
        <w:t>bir</w:t>
      </w:r>
      <w:proofErr w:type="spellEnd"/>
      <w:r w:rsidRPr="005D7E78">
        <w:rPr>
          <w:lang w:val="en-US"/>
        </w:rPr>
        <w:t xml:space="preserve"> </w:t>
      </w:r>
      <w:proofErr w:type="spellStart"/>
      <w:r w:rsidRPr="005D7E78">
        <w:rPr>
          <w:lang w:val="en-US"/>
        </w:rPr>
        <w:t>cephesini</w:t>
      </w:r>
      <w:proofErr w:type="spellEnd"/>
      <w:r w:rsidRPr="005D7E78">
        <w:rPr>
          <w:lang w:val="en-US"/>
        </w:rPr>
        <w:t xml:space="preserve"> </w:t>
      </w:r>
      <w:proofErr w:type="spellStart"/>
      <w:r w:rsidRPr="005D7E78">
        <w:rPr>
          <w:lang w:val="en-US"/>
        </w:rPr>
        <w:t>açmada</w:t>
      </w:r>
      <w:proofErr w:type="spellEnd"/>
      <w:r w:rsidRPr="005D7E78">
        <w:rPr>
          <w:lang w:val="en-US"/>
        </w:rPr>
        <w:t xml:space="preserve"> </w:t>
      </w:r>
      <w:proofErr w:type="spellStart"/>
      <w:r w:rsidRPr="005D7E78">
        <w:rPr>
          <w:lang w:val="en-US"/>
        </w:rPr>
        <w:t>etkili</w:t>
      </w:r>
      <w:proofErr w:type="spellEnd"/>
      <w:r w:rsidRPr="005D7E78">
        <w:rPr>
          <w:lang w:val="en-US"/>
        </w:rPr>
        <w:t xml:space="preserve"> </w:t>
      </w:r>
      <w:proofErr w:type="spellStart"/>
      <w:r w:rsidRPr="005D7E78">
        <w:rPr>
          <w:lang w:val="en-US"/>
        </w:rPr>
        <w:lastRenderedPageBreak/>
        <w:t>olmuşlardır</w:t>
      </w:r>
      <w:proofErr w:type="spellEnd"/>
      <w:r w:rsidRPr="005D7E78">
        <w:rPr>
          <w:lang w:val="en-US"/>
        </w:rPr>
        <w:t xml:space="preserve">. Bu </w:t>
      </w:r>
      <w:proofErr w:type="spellStart"/>
      <w:r w:rsidRPr="005D7E78">
        <w:rPr>
          <w:lang w:val="en-US"/>
        </w:rPr>
        <w:t>ikinci</w:t>
      </w:r>
      <w:proofErr w:type="spellEnd"/>
      <w:r w:rsidRPr="005D7E78">
        <w:rPr>
          <w:lang w:val="en-US"/>
        </w:rPr>
        <w:t xml:space="preserve"> </w:t>
      </w:r>
      <w:proofErr w:type="spellStart"/>
      <w:r w:rsidRPr="005D7E78">
        <w:rPr>
          <w:lang w:val="en-US"/>
        </w:rPr>
        <w:t>cephe</w:t>
      </w:r>
      <w:proofErr w:type="spellEnd"/>
      <w:r w:rsidRPr="005D7E78">
        <w:rPr>
          <w:lang w:val="en-US"/>
        </w:rPr>
        <w:t xml:space="preserve">, </w:t>
      </w:r>
      <w:proofErr w:type="spellStart"/>
      <w:r w:rsidRPr="005D7E78">
        <w:rPr>
          <w:lang w:val="en-US"/>
        </w:rPr>
        <w:t>bu</w:t>
      </w:r>
      <w:proofErr w:type="spellEnd"/>
      <w:r w:rsidRPr="005D7E78">
        <w:rPr>
          <w:lang w:val="en-US"/>
        </w:rPr>
        <w:t xml:space="preserve"> </w:t>
      </w:r>
      <w:proofErr w:type="spellStart"/>
      <w:r w:rsidRPr="005D7E78">
        <w:rPr>
          <w:lang w:val="en-US"/>
        </w:rPr>
        <w:t>makalenin</w:t>
      </w:r>
      <w:proofErr w:type="spellEnd"/>
      <w:r w:rsidRPr="005D7E78">
        <w:rPr>
          <w:lang w:val="en-US"/>
        </w:rPr>
        <w:t xml:space="preserve"> </w:t>
      </w:r>
      <w:proofErr w:type="spellStart"/>
      <w:r w:rsidRPr="005D7E78">
        <w:rPr>
          <w:lang w:val="en-US"/>
        </w:rPr>
        <w:t>sunduğu</w:t>
      </w:r>
      <w:proofErr w:type="spellEnd"/>
      <w:r w:rsidRPr="005D7E78">
        <w:rPr>
          <w:lang w:val="en-US"/>
        </w:rPr>
        <w:t xml:space="preserve"> </w:t>
      </w:r>
      <w:proofErr w:type="spellStart"/>
      <w:r w:rsidRPr="005D7E78">
        <w:rPr>
          <w:lang w:val="en-US"/>
        </w:rPr>
        <w:t>perspektifle</w:t>
      </w:r>
      <w:proofErr w:type="spellEnd"/>
      <w:r w:rsidRPr="005D7E78">
        <w:rPr>
          <w:lang w:val="en-US"/>
        </w:rPr>
        <w:t xml:space="preserve"> </w:t>
      </w:r>
      <w:proofErr w:type="spellStart"/>
      <w:r w:rsidRPr="005D7E78">
        <w:rPr>
          <w:lang w:val="en-US"/>
        </w:rPr>
        <w:t>çok</w:t>
      </w:r>
      <w:proofErr w:type="spellEnd"/>
      <w:r w:rsidRPr="005D7E78">
        <w:rPr>
          <w:lang w:val="en-US"/>
        </w:rPr>
        <w:t xml:space="preserve"> </w:t>
      </w:r>
      <w:proofErr w:type="spellStart"/>
      <w:r w:rsidRPr="005D7E78">
        <w:rPr>
          <w:lang w:val="en-US"/>
        </w:rPr>
        <w:t>daha</w:t>
      </w:r>
      <w:proofErr w:type="spellEnd"/>
      <w:r w:rsidRPr="005D7E78">
        <w:rPr>
          <w:lang w:val="en-US"/>
        </w:rPr>
        <w:t xml:space="preserve"> </w:t>
      </w:r>
      <w:proofErr w:type="spellStart"/>
      <w:r w:rsidRPr="005D7E78">
        <w:rPr>
          <w:lang w:val="en-US"/>
        </w:rPr>
        <w:t>uyumlu</w:t>
      </w:r>
      <w:proofErr w:type="spellEnd"/>
      <w:r w:rsidRPr="005D7E78">
        <w:rPr>
          <w:lang w:val="en-US"/>
        </w:rPr>
        <w:t xml:space="preserve"> </w:t>
      </w:r>
      <w:proofErr w:type="spellStart"/>
      <w:r w:rsidRPr="005D7E78">
        <w:rPr>
          <w:lang w:val="en-US"/>
        </w:rPr>
        <w:t>bir</w:t>
      </w:r>
      <w:proofErr w:type="spellEnd"/>
      <w:r w:rsidRPr="005D7E78">
        <w:rPr>
          <w:lang w:val="en-US"/>
        </w:rPr>
        <w:t xml:space="preserve"> </w:t>
      </w:r>
      <w:proofErr w:type="spellStart"/>
      <w:r w:rsidRPr="005D7E78">
        <w:rPr>
          <w:lang w:val="en-US"/>
        </w:rPr>
        <w:t>yaklaşımı</w:t>
      </w:r>
      <w:proofErr w:type="spellEnd"/>
      <w:r w:rsidRPr="005D7E78">
        <w:rPr>
          <w:lang w:val="en-US"/>
        </w:rPr>
        <w:t xml:space="preserve"> </w:t>
      </w:r>
      <w:proofErr w:type="spellStart"/>
      <w:r w:rsidRPr="005D7E78">
        <w:rPr>
          <w:lang w:val="en-US"/>
        </w:rPr>
        <w:t>temsil</w:t>
      </w:r>
      <w:proofErr w:type="spellEnd"/>
      <w:r w:rsidRPr="005D7E78">
        <w:rPr>
          <w:lang w:val="en-US"/>
        </w:rPr>
        <w:t xml:space="preserve"> etmektedir.¹⁹⁷</w:t>
      </w:r>
      <w:r>
        <w:rPr>
          <w:lang w:val="en-US"/>
        </w:rPr>
        <w:t xml:space="preserve"> </w:t>
      </w:r>
      <w:r>
        <w:rPr>
          <w:rStyle w:val="FootnoteReference"/>
          <w:lang w:val="en-US"/>
        </w:rPr>
        <w:footnoteReference w:id="197"/>
      </w:r>
      <w:r>
        <w:rPr>
          <w:lang w:val="en-US"/>
        </w:rPr>
        <w:t xml:space="preserve"> </w:t>
      </w:r>
      <w:r>
        <w:rPr>
          <w:rStyle w:val="FootnoteReference"/>
          <w:lang w:val="en-US"/>
        </w:rPr>
        <w:footnoteReference w:id="198"/>
      </w:r>
      <w:r>
        <w:rPr>
          <w:lang w:val="en-US"/>
        </w:rPr>
        <w:t xml:space="preserve"> [1118 - 1119]</w:t>
      </w:r>
    </w:p>
    <w:p w14:paraId="641CEFEC" w14:textId="3334CBA5" w:rsidR="005D7E78" w:rsidRPr="005D7E78" w:rsidRDefault="005D7E78" w:rsidP="005D7E78">
      <w:pPr>
        <w:pStyle w:val="ListParagraph"/>
        <w:numPr>
          <w:ilvl w:val="0"/>
          <w:numId w:val="14"/>
        </w:numPr>
        <w:rPr>
          <w:lang w:val="en-US"/>
        </w:rPr>
      </w:pPr>
      <w:proofErr w:type="spellStart"/>
      <w:r w:rsidRPr="005D7E78">
        <w:rPr>
          <w:b/>
          <w:bCs/>
          <w:lang w:val="en-US"/>
        </w:rPr>
        <w:t>Mevcut</w:t>
      </w:r>
      <w:proofErr w:type="spellEnd"/>
      <w:r w:rsidRPr="005D7E78">
        <w:rPr>
          <w:b/>
          <w:bCs/>
          <w:lang w:val="en-US"/>
        </w:rPr>
        <w:t xml:space="preserve"> </w:t>
      </w:r>
      <w:proofErr w:type="spellStart"/>
      <w:r w:rsidRPr="005D7E78">
        <w:rPr>
          <w:b/>
          <w:bCs/>
          <w:lang w:val="en-US"/>
        </w:rPr>
        <w:t>Literatürün</w:t>
      </w:r>
      <w:proofErr w:type="spellEnd"/>
      <w:r w:rsidRPr="005D7E78">
        <w:rPr>
          <w:b/>
          <w:bCs/>
          <w:lang w:val="en-US"/>
        </w:rPr>
        <w:t xml:space="preserve"> </w:t>
      </w:r>
      <w:proofErr w:type="spellStart"/>
      <w:r w:rsidRPr="005D7E78">
        <w:rPr>
          <w:b/>
          <w:bCs/>
          <w:lang w:val="en-US"/>
        </w:rPr>
        <w:t>Ötesine</w:t>
      </w:r>
      <w:proofErr w:type="spellEnd"/>
      <w:r w:rsidRPr="005D7E78">
        <w:rPr>
          <w:b/>
          <w:bCs/>
          <w:lang w:val="en-US"/>
        </w:rPr>
        <w:t xml:space="preserve"> </w:t>
      </w:r>
      <w:proofErr w:type="spellStart"/>
      <w:r w:rsidRPr="005D7E78">
        <w:rPr>
          <w:b/>
          <w:bCs/>
          <w:lang w:val="en-US"/>
        </w:rPr>
        <w:t>Geçmek</w:t>
      </w:r>
      <w:proofErr w:type="spellEnd"/>
    </w:p>
    <w:p w14:paraId="21117E48" w14:textId="2B6ACFBB" w:rsidR="005D7E78" w:rsidRDefault="00937211" w:rsidP="00937211">
      <w:pPr>
        <w:rPr>
          <w:lang w:val="en-US"/>
        </w:rPr>
      </w:pPr>
      <w:proofErr w:type="spellStart"/>
      <w:r w:rsidRPr="00937211">
        <w:rPr>
          <w:lang w:val="en-US"/>
        </w:rPr>
        <w:t>Yukarıda</w:t>
      </w:r>
      <w:proofErr w:type="spellEnd"/>
      <w:r w:rsidRPr="00937211">
        <w:rPr>
          <w:lang w:val="en-US"/>
        </w:rPr>
        <w:t xml:space="preserve"> </w:t>
      </w:r>
      <w:proofErr w:type="spellStart"/>
      <w:r w:rsidRPr="00937211">
        <w:rPr>
          <w:lang w:val="en-US"/>
        </w:rPr>
        <w:t>tartışılan</w:t>
      </w:r>
      <w:proofErr w:type="spellEnd"/>
      <w:r w:rsidRPr="00937211">
        <w:rPr>
          <w:lang w:val="en-US"/>
        </w:rPr>
        <w:t xml:space="preserve"> </w:t>
      </w:r>
      <w:proofErr w:type="spellStart"/>
      <w:r w:rsidRPr="00937211">
        <w:rPr>
          <w:lang w:val="en-US"/>
        </w:rPr>
        <w:t>çalışmalar</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makalede</w:t>
      </w:r>
      <w:proofErr w:type="spellEnd"/>
      <w:r w:rsidRPr="00937211">
        <w:rPr>
          <w:lang w:val="en-US"/>
        </w:rPr>
        <w:t xml:space="preserve"> </w:t>
      </w:r>
      <w:proofErr w:type="spellStart"/>
      <w:r w:rsidRPr="00937211">
        <w:rPr>
          <w:lang w:val="en-US"/>
        </w:rPr>
        <w:t>önerilen</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kültür</w:t>
      </w:r>
      <w:proofErr w:type="spellEnd"/>
      <w:r w:rsidRPr="00937211">
        <w:rPr>
          <w:lang w:val="en-US"/>
        </w:rPr>
        <w:t xml:space="preserve"> </w:t>
      </w:r>
      <w:proofErr w:type="spellStart"/>
      <w:r w:rsidRPr="00937211">
        <w:rPr>
          <w:lang w:val="en-US"/>
        </w:rPr>
        <w:t>çerçevesiyle</w:t>
      </w:r>
      <w:proofErr w:type="spellEnd"/>
      <w:r w:rsidRPr="00937211">
        <w:rPr>
          <w:lang w:val="en-US"/>
        </w:rPr>
        <w:t xml:space="preserve"> </w:t>
      </w:r>
      <w:proofErr w:type="spellStart"/>
      <w:r w:rsidRPr="00937211">
        <w:rPr>
          <w:lang w:val="en-US"/>
        </w:rPr>
        <w:t>varsayımlar</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yaklaşım</w:t>
      </w:r>
      <w:proofErr w:type="spellEnd"/>
      <w:r w:rsidRPr="00937211">
        <w:rPr>
          <w:lang w:val="en-US"/>
        </w:rPr>
        <w:t xml:space="preserve"> </w:t>
      </w:r>
      <w:proofErr w:type="spellStart"/>
      <w:r w:rsidRPr="00937211">
        <w:rPr>
          <w:lang w:val="en-US"/>
        </w:rPr>
        <w:t>açısından</w:t>
      </w:r>
      <w:proofErr w:type="spellEnd"/>
      <w:r w:rsidRPr="00937211">
        <w:rPr>
          <w:lang w:val="en-US"/>
        </w:rPr>
        <w:t xml:space="preserve"> </w:t>
      </w:r>
      <w:proofErr w:type="spellStart"/>
      <w:r w:rsidRPr="00937211">
        <w:rPr>
          <w:lang w:val="en-US"/>
        </w:rPr>
        <w:t>benzerlikler</w:t>
      </w:r>
      <w:proofErr w:type="spellEnd"/>
      <w:r w:rsidRPr="00937211">
        <w:rPr>
          <w:lang w:val="en-US"/>
        </w:rPr>
        <w:t xml:space="preserve"> </w:t>
      </w:r>
      <w:proofErr w:type="spellStart"/>
      <w:r w:rsidRPr="00937211">
        <w:rPr>
          <w:lang w:val="en-US"/>
        </w:rPr>
        <w:t>taşımaktadır</w:t>
      </w:r>
      <w:proofErr w:type="spellEnd"/>
      <w:r w:rsidRPr="00937211">
        <w:rPr>
          <w:lang w:val="en-US"/>
        </w:rPr>
        <w:t xml:space="preserve">. </w:t>
      </w:r>
      <w:proofErr w:type="spellStart"/>
      <w:r w:rsidRPr="00937211">
        <w:rPr>
          <w:lang w:val="en-US"/>
        </w:rPr>
        <w:t>Ancak</w:t>
      </w:r>
      <w:proofErr w:type="spellEnd"/>
      <w:r w:rsidRPr="00937211">
        <w:rPr>
          <w:lang w:val="en-US"/>
        </w:rPr>
        <w:t xml:space="preserve"> nadir </w:t>
      </w:r>
      <w:proofErr w:type="spellStart"/>
      <w:r w:rsidRPr="00937211">
        <w:rPr>
          <w:lang w:val="en-US"/>
        </w:rPr>
        <w:t>istisnalar</w:t>
      </w:r>
      <w:proofErr w:type="spellEnd"/>
      <w:r w:rsidRPr="00937211">
        <w:rPr>
          <w:lang w:val="en-US"/>
        </w:rPr>
        <w:t xml:space="preserve"> dışında,¹⁹⁹</w:t>
      </w:r>
      <w:r>
        <w:rPr>
          <w:lang w:val="en-US"/>
        </w:rPr>
        <w:t xml:space="preserve"> </w:t>
      </w:r>
      <w:r>
        <w:rPr>
          <w:rStyle w:val="FootnoteReference"/>
          <w:lang w:val="en-US"/>
        </w:rPr>
        <w:footnoteReference w:id="199"/>
      </w:r>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çalışmalar</w:t>
      </w:r>
      <w:proofErr w:type="spellEnd"/>
      <w:r w:rsidRPr="00937211">
        <w:rPr>
          <w:lang w:val="en-US"/>
        </w:rPr>
        <w:t xml:space="preserve"> </w:t>
      </w:r>
      <w:proofErr w:type="spellStart"/>
      <w:r w:rsidRPr="00937211">
        <w:rPr>
          <w:lang w:val="en-US"/>
        </w:rPr>
        <w:t>içgörülerini</w:t>
      </w:r>
      <w:proofErr w:type="spellEnd"/>
      <w:r w:rsidRPr="00937211">
        <w:rPr>
          <w:lang w:val="en-US"/>
        </w:rPr>
        <w:t xml:space="preserve"> </w:t>
      </w:r>
      <w:proofErr w:type="spellStart"/>
      <w:r w:rsidRPr="00937211">
        <w:rPr>
          <w:lang w:val="en-US"/>
        </w:rPr>
        <w:t>belirli</w:t>
      </w:r>
      <w:proofErr w:type="spellEnd"/>
      <w:r w:rsidRPr="00937211">
        <w:rPr>
          <w:lang w:val="en-US"/>
        </w:rPr>
        <w:t xml:space="preserve"> </w:t>
      </w:r>
      <w:proofErr w:type="spellStart"/>
      <w:r w:rsidRPr="00937211">
        <w:rPr>
          <w:lang w:val="en-US"/>
        </w:rPr>
        <w:t>olaylar</w:t>
      </w:r>
      <w:proofErr w:type="spellEnd"/>
      <w:r w:rsidRPr="00937211">
        <w:rPr>
          <w:lang w:val="en-US"/>
        </w:rPr>
        <w:t xml:space="preserve"> </w:t>
      </w:r>
      <w:proofErr w:type="spellStart"/>
      <w:r w:rsidRPr="00937211">
        <w:rPr>
          <w:lang w:val="en-US"/>
        </w:rPr>
        <w:t>veya</w:t>
      </w:r>
      <w:proofErr w:type="spellEnd"/>
      <w:r w:rsidRPr="00937211">
        <w:rPr>
          <w:lang w:val="en-US"/>
        </w:rPr>
        <w:t xml:space="preserve"> </w:t>
      </w:r>
      <w:proofErr w:type="spellStart"/>
      <w:r w:rsidRPr="00937211">
        <w:rPr>
          <w:lang w:val="en-US"/>
        </w:rPr>
        <w:t>bağlamlarla</w:t>
      </w:r>
      <w:proofErr w:type="spellEnd"/>
      <w:r w:rsidRPr="00937211">
        <w:rPr>
          <w:lang w:val="en-US"/>
        </w:rPr>
        <w:t xml:space="preserve"> </w:t>
      </w:r>
      <w:proofErr w:type="spellStart"/>
      <w:r w:rsidRPr="00937211">
        <w:rPr>
          <w:lang w:val="en-US"/>
        </w:rPr>
        <w:t>sınırlamakta</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karar</w:t>
      </w:r>
      <w:proofErr w:type="spellEnd"/>
      <w:r w:rsidRPr="00937211">
        <w:rPr>
          <w:lang w:val="en-US"/>
        </w:rPr>
        <w:t xml:space="preserve"> alma </w:t>
      </w:r>
      <w:proofErr w:type="spellStart"/>
      <w:r w:rsidRPr="00937211">
        <w:rPr>
          <w:lang w:val="en-US"/>
        </w:rPr>
        <w:t>sürecine</w:t>
      </w:r>
      <w:proofErr w:type="spellEnd"/>
      <w:r w:rsidRPr="00937211">
        <w:rPr>
          <w:lang w:val="en-US"/>
        </w:rPr>
        <w:t xml:space="preserve"> </w:t>
      </w:r>
      <w:proofErr w:type="spellStart"/>
      <w:r w:rsidRPr="00937211">
        <w:rPr>
          <w:lang w:val="en-US"/>
        </w:rPr>
        <w:t>dair</w:t>
      </w:r>
      <w:proofErr w:type="spellEnd"/>
      <w:r w:rsidRPr="00937211">
        <w:rPr>
          <w:lang w:val="en-US"/>
        </w:rPr>
        <w:t xml:space="preserve"> </w:t>
      </w:r>
      <w:proofErr w:type="spellStart"/>
      <w:r w:rsidRPr="00937211">
        <w:rPr>
          <w:lang w:val="en-US"/>
        </w:rPr>
        <w:t>geniş</w:t>
      </w:r>
      <w:proofErr w:type="spellEnd"/>
      <w:r w:rsidRPr="00937211">
        <w:rPr>
          <w:lang w:val="en-US"/>
        </w:rPr>
        <w:t xml:space="preserve"> </w:t>
      </w:r>
      <w:proofErr w:type="spellStart"/>
      <w:r w:rsidRPr="00937211">
        <w:rPr>
          <w:lang w:val="en-US"/>
        </w:rPr>
        <w:t>kapsamlı</w:t>
      </w:r>
      <w:proofErr w:type="spellEnd"/>
      <w:r w:rsidRPr="00937211">
        <w:rPr>
          <w:lang w:val="en-US"/>
        </w:rPr>
        <w:t xml:space="preserve"> </w:t>
      </w:r>
      <w:proofErr w:type="spellStart"/>
      <w:r w:rsidRPr="00937211">
        <w:rPr>
          <w:lang w:val="en-US"/>
        </w:rPr>
        <w:t>içgörüler</w:t>
      </w:r>
      <w:proofErr w:type="spellEnd"/>
      <w:r w:rsidRPr="00937211">
        <w:rPr>
          <w:lang w:val="en-US"/>
        </w:rPr>
        <w:t xml:space="preserve"> </w:t>
      </w:r>
      <w:proofErr w:type="spellStart"/>
      <w:r w:rsidRPr="00937211">
        <w:rPr>
          <w:lang w:val="en-US"/>
        </w:rPr>
        <w:t>sunma</w:t>
      </w:r>
      <w:proofErr w:type="spellEnd"/>
      <w:r w:rsidRPr="00937211">
        <w:rPr>
          <w:lang w:val="en-US"/>
        </w:rPr>
        <w:t xml:space="preserve"> </w:t>
      </w:r>
      <w:proofErr w:type="spellStart"/>
      <w:r w:rsidRPr="00937211">
        <w:rPr>
          <w:lang w:val="en-US"/>
        </w:rPr>
        <w:t>çabasına</w:t>
      </w:r>
      <w:proofErr w:type="spellEnd"/>
      <w:r w:rsidRPr="00937211">
        <w:rPr>
          <w:lang w:val="en-US"/>
        </w:rPr>
        <w:t xml:space="preserve"> </w:t>
      </w:r>
      <w:proofErr w:type="spellStart"/>
      <w:r w:rsidRPr="00937211">
        <w:rPr>
          <w:lang w:val="en-US"/>
        </w:rPr>
        <w:t>girişmemektedir</w:t>
      </w:r>
      <w:proofErr w:type="spellEnd"/>
      <w:r w:rsidRPr="00937211">
        <w:rPr>
          <w:lang w:val="en-US"/>
        </w:rPr>
        <w:t xml:space="preserve">. </w:t>
      </w:r>
      <w:proofErr w:type="spellStart"/>
      <w:r w:rsidRPr="00937211">
        <w:rPr>
          <w:lang w:val="en-US"/>
        </w:rPr>
        <w:t>Analizlerinden</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geniş</w:t>
      </w:r>
      <w:proofErr w:type="spellEnd"/>
      <w:r w:rsidRPr="00937211">
        <w:rPr>
          <w:lang w:val="en-US"/>
        </w:rPr>
        <w:t xml:space="preserve"> </w:t>
      </w:r>
      <w:proofErr w:type="spellStart"/>
      <w:r w:rsidRPr="00937211">
        <w:rPr>
          <w:lang w:val="en-US"/>
        </w:rPr>
        <w:t>dersler</w:t>
      </w:r>
      <w:proofErr w:type="spellEnd"/>
      <w:r w:rsidRPr="00937211">
        <w:rPr>
          <w:lang w:val="en-US"/>
        </w:rPr>
        <w:t xml:space="preserve"> </w:t>
      </w:r>
      <w:proofErr w:type="spellStart"/>
      <w:r w:rsidRPr="00937211">
        <w:rPr>
          <w:lang w:val="en-US"/>
        </w:rPr>
        <w:t>çıkarmaya</w:t>
      </w:r>
      <w:proofErr w:type="spellEnd"/>
      <w:r w:rsidRPr="00937211">
        <w:rPr>
          <w:lang w:val="en-US"/>
        </w:rPr>
        <w:t xml:space="preserve"> </w:t>
      </w:r>
      <w:proofErr w:type="spellStart"/>
      <w:r w:rsidRPr="00937211">
        <w:rPr>
          <w:lang w:val="en-US"/>
        </w:rPr>
        <w:t>çalışanlar</w:t>
      </w:r>
      <w:proofErr w:type="spellEnd"/>
      <w:r w:rsidRPr="00937211">
        <w:rPr>
          <w:lang w:val="en-US"/>
        </w:rPr>
        <w:t xml:space="preserve"> bile, </w:t>
      </w:r>
      <w:proofErr w:type="spellStart"/>
      <w:r w:rsidRPr="00937211">
        <w:rPr>
          <w:lang w:val="en-US"/>
        </w:rPr>
        <w:t>yaklaşımlarının</w:t>
      </w:r>
      <w:proofErr w:type="spellEnd"/>
      <w:r w:rsidRPr="00937211">
        <w:rPr>
          <w:lang w:val="en-US"/>
        </w:rPr>
        <w:t xml:space="preserve"> ana </w:t>
      </w:r>
      <w:proofErr w:type="spellStart"/>
      <w:r w:rsidRPr="00937211">
        <w:rPr>
          <w:lang w:val="en-US"/>
        </w:rPr>
        <w:t>akım</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teorisine</w:t>
      </w:r>
      <w:proofErr w:type="spellEnd"/>
      <w:r w:rsidRPr="00937211">
        <w:rPr>
          <w:lang w:val="en-US"/>
        </w:rPr>
        <w:t xml:space="preserve"> ne </w:t>
      </w:r>
      <w:proofErr w:type="spellStart"/>
      <w:r w:rsidRPr="00937211">
        <w:rPr>
          <w:lang w:val="en-US"/>
        </w:rPr>
        <w:t>ölçüde</w:t>
      </w:r>
      <w:proofErr w:type="spellEnd"/>
      <w:r w:rsidRPr="00937211">
        <w:rPr>
          <w:lang w:val="en-US"/>
        </w:rPr>
        <w:t xml:space="preserve"> </w:t>
      </w:r>
      <w:proofErr w:type="spellStart"/>
      <w:r w:rsidRPr="00937211">
        <w:rPr>
          <w:lang w:val="en-US"/>
        </w:rPr>
        <w:t>temel</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meydan</w:t>
      </w:r>
      <w:proofErr w:type="spellEnd"/>
      <w:r w:rsidRPr="00937211">
        <w:rPr>
          <w:lang w:val="en-US"/>
        </w:rPr>
        <w:t xml:space="preserve"> </w:t>
      </w:r>
      <w:proofErr w:type="spellStart"/>
      <w:r w:rsidRPr="00937211">
        <w:rPr>
          <w:lang w:val="en-US"/>
        </w:rPr>
        <w:t>okuma</w:t>
      </w:r>
      <w:proofErr w:type="spellEnd"/>
      <w:r w:rsidRPr="00937211">
        <w:rPr>
          <w:lang w:val="en-US"/>
        </w:rPr>
        <w:t xml:space="preserve"> </w:t>
      </w:r>
      <w:proofErr w:type="spellStart"/>
      <w:r w:rsidRPr="00937211">
        <w:rPr>
          <w:lang w:val="en-US"/>
        </w:rPr>
        <w:t>sunduğunu</w:t>
      </w:r>
      <w:proofErr w:type="spellEnd"/>
      <w:r w:rsidRPr="00937211">
        <w:rPr>
          <w:lang w:val="en-US"/>
        </w:rPr>
        <w:t xml:space="preserve"> tam </w:t>
      </w:r>
      <w:proofErr w:type="spellStart"/>
      <w:r w:rsidRPr="00937211">
        <w:rPr>
          <w:lang w:val="en-US"/>
        </w:rPr>
        <w:t>anlamıyla</w:t>
      </w:r>
      <w:proofErr w:type="spellEnd"/>
      <w:r w:rsidRPr="00937211">
        <w:rPr>
          <w:lang w:val="en-US"/>
        </w:rPr>
        <w:t xml:space="preserve"> </w:t>
      </w:r>
      <w:proofErr w:type="spellStart"/>
      <w:r w:rsidRPr="00937211">
        <w:rPr>
          <w:lang w:val="en-US"/>
        </w:rPr>
        <w:t>kavrayamamakta</w:t>
      </w:r>
      <w:proofErr w:type="spellEnd"/>
      <w:r w:rsidRPr="00937211">
        <w:rPr>
          <w:lang w:val="en-US"/>
        </w:rPr>
        <w:t xml:space="preserve">, </w:t>
      </w:r>
      <w:proofErr w:type="spellStart"/>
      <w:r w:rsidRPr="00937211">
        <w:rPr>
          <w:lang w:val="en-US"/>
        </w:rPr>
        <w:t>özellikle</w:t>
      </w:r>
      <w:proofErr w:type="spellEnd"/>
      <w:r w:rsidRPr="00937211">
        <w:rPr>
          <w:lang w:val="en-US"/>
        </w:rPr>
        <w:t xml:space="preserve"> de </w:t>
      </w:r>
      <w:proofErr w:type="spellStart"/>
      <w:r w:rsidRPr="00937211">
        <w:rPr>
          <w:lang w:val="en-US"/>
        </w:rPr>
        <w:t>benzer</w:t>
      </w:r>
      <w:proofErr w:type="spellEnd"/>
      <w:r w:rsidRPr="00937211">
        <w:rPr>
          <w:lang w:val="en-US"/>
        </w:rPr>
        <w:t xml:space="preserve"> </w:t>
      </w:r>
      <w:proofErr w:type="spellStart"/>
      <w:r w:rsidRPr="00937211">
        <w:rPr>
          <w:lang w:val="en-US"/>
        </w:rPr>
        <w:t>düşüncelere</w:t>
      </w:r>
      <w:proofErr w:type="spellEnd"/>
      <w:r w:rsidRPr="00937211">
        <w:rPr>
          <w:lang w:val="en-US"/>
        </w:rPr>
        <w:t xml:space="preserve"> </w:t>
      </w:r>
      <w:proofErr w:type="spellStart"/>
      <w:r w:rsidRPr="00937211">
        <w:rPr>
          <w:lang w:val="en-US"/>
        </w:rPr>
        <w:t>sahip</w:t>
      </w:r>
      <w:proofErr w:type="spellEnd"/>
      <w:r w:rsidRPr="00937211">
        <w:rPr>
          <w:lang w:val="en-US"/>
        </w:rPr>
        <w:t xml:space="preserve"> </w:t>
      </w:r>
      <w:proofErr w:type="spellStart"/>
      <w:r w:rsidRPr="00937211">
        <w:rPr>
          <w:lang w:val="en-US"/>
        </w:rPr>
        <w:t>akademisyenlerin</w:t>
      </w:r>
      <w:proofErr w:type="spellEnd"/>
      <w:r w:rsidRPr="00937211">
        <w:rPr>
          <w:lang w:val="en-US"/>
        </w:rPr>
        <w:t xml:space="preserve"> </w:t>
      </w:r>
      <w:proofErr w:type="spellStart"/>
      <w:r w:rsidRPr="00937211">
        <w:rPr>
          <w:lang w:val="en-US"/>
        </w:rPr>
        <w:t>içgörüleriyle</w:t>
      </w:r>
      <w:proofErr w:type="spellEnd"/>
      <w:r w:rsidRPr="00937211">
        <w:rPr>
          <w:lang w:val="en-US"/>
        </w:rPr>
        <w:t xml:space="preserve"> </w:t>
      </w:r>
      <w:proofErr w:type="spellStart"/>
      <w:r w:rsidRPr="00937211">
        <w:rPr>
          <w:lang w:val="en-US"/>
        </w:rPr>
        <w:t>birleştirildiğinde</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meydan</w:t>
      </w:r>
      <w:proofErr w:type="spellEnd"/>
      <w:r w:rsidRPr="00937211">
        <w:rPr>
          <w:lang w:val="en-US"/>
        </w:rPr>
        <w:t xml:space="preserve"> </w:t>
      </w:r>
      <w:proofErr w:type="spellStart"/>
      <w:r w:rsidRPr="00937211">
        <w:rPr>
          <w:lang w:val="en-US"/>
        </w:rPr>
        <w:t>okumanın</w:t>
      </w:r>
      <w:proofErr w:type="spellEnd"/>
      <w:r w:rsidRPr="00937211">
        <w:rPr>
          <w:lang w:val="en-US"/>
        </w:rPr>
        <w:t xml:space="preserve"> </w:t>
      </w:r>
      <w:proofErr w:type="spellStart"/>
      <w:r w:rsidRPr="00937211">
        <w:rPr>
          <w:lang w:val="en-US"/>
        </w:rPr>
        <w:t>gücünü</w:t>
      </w:r>
      <w:proofErr w:type="spellEnd"/>
      <w:r w:rsidRPr="00937211">
        <w:rPr>
          <w:lang w:val="en-US"/>
        </w:rPr>
        <w:t xml:space="preserve"> </w:t>
      </w:r>
      <w:proofErr w:type="spellStart"/>
      <w:r w:rsidRPr="00937211">
        <w:rPr>
          <w:lang w:val="en-US"/>
        </w:rPr>
        <w:t>göz</w:t>
      </w:r>
      <w:proofErr w:type="spellEnd"/>
      <w:r w:rsidRPr="00937211">
        <w:rPr>
          <w:lang w:val="en-US"/>
        </w:rPr>
        <w:t xml:space="preserve"> </w:t>
      </w:r>
      <w:proofErr w:type="spellStart"/>
      <w:r w:rsidRPr="00937211">
        <w:rPr>
          <w:lang w:val="en-US"/>
        </w:rPr>
        <w:t>ardı</w:t>
      </w:r>
      <w:proofErr w:type="spellEnd"/>
      <w:r w:rsidRPr="00937211">
        <w:rPr>
          <w:lang w:val="en-US"/>
        </w:rPr>
        <w:t xml:space="preserve"> </w:t>
      </w:r>
      <w:proofErr w:type="spellStart"/>
      <w:r w:rsidRPr="00937211">
        <w:rPr>
          <w:lang w:val="en-US"/>
        </w:rPr>
        <w:t>etmektedir</w:t>
      </w:r>
      <w:proofErr w:type="spellEnd"/>
      <w:r w:rsidRPr="00937211">
        <w:rPr>
          <w:lang w:val="en-US"/>
        </w:rPr>
        <w:t>.</w:t>
      </w:r>
      <w:r>
        <w:rPr>
          <w:lang w:val="en-US"/>
        </w:rPr>
        <w:t xml:space="preserve"> </w:t>
      </w:r>
      <w:r w:rsidRPr="00937211">
        <w:rPr>
          <w:lang w:val="en-US"/>
        </w:rPr>
        <w:t xml:space="preserve">Bu </w:t>
      </w:r>
      <w:proofErr w:type="spellStart"/>
      <w:r w:rsidRPr="00937211">
        <w:rPr>
          <w:lang w:val="en-US"/>
        </w:rPr>
        <w:t>kitaplar</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makaleler</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hukuku</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teorisinde</w:t>
      </w:r>
      <w:proofErr w:type="spellEnd"/>
      <w:r w:rsidRPr="00937211">
        <w:rPr>
          <w:lang w:val="en-US"/>
        </w:rPr>
        <w:t xml:space="preserve"> yeni </w:t>
      </w:r>
      <w:proofErr w:type="spellStart"/>
      <w:r w:rsidRPr="00937211">
        <w:rPr>
          <w:lang w:val="en-US"/>
        </w:rPr>
        <w:t>bir</w:t>
      </w:r>
      <w:proofErr w:type="spellEnd"/>
      <w:r w:rsidRPr="00937211">
        <w:rPr>
          <w:lang w:val="en-US"/>
        </w:rPr>
        <w:t xml:space="preserve"> </w:t>
      </w:r>
      <w:proofErr w:type="spellStart"/>
      <w:r w:rsidRPr="00937211">
        <w:rPr>
          <w:lang w:val="en-US"/>
        </w:rPr>
        <w:t>paradigmanın</w:t>
      </w:r>
      <w:proofErr w:type="spellEnd"/>
      <w:r w:rsidRPr="00937211">
        <w:rPr>
          <w:lang w:val="en-US"/>
        </w:rPr>
        <w:t xml:space="preserve"> </w:t>
      </w:r>
      <w:proofErr w:type="spellStart"/>
      <w:r w:rsidRPr="00937211">
        <w:rPr>
          <w:lang w:val="en-US"/>
        </w:rPr>
        <w:t>tezahürleri</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değerlendirildiği</w:t>
      </w:r>
      <w:proofErr w:type="spellEnd"/>
      <w:r w:rsidRPr="00937211">
        <w:rPr>
          <w:lang w:val="en-US"/>
        </w:rPr>
        <w:t xml:space="preserve"> </w:t>
      </w:r>
      <w:proofErr w:type="spellStart"/>
      <w:r w:rsidRPr="00937211">
        <w:rPr>
          <w:lang w:val="en-US"/>
        </w:rPr>
        <w:t>ölçüde</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paradigma</w:t>
      </w:r>
      <w:proofErr w:type="spellEnd"/>
      <w:r w:rsidRPr="00937211">
        <w:rPr>
          <w:lang w:val="en-US"/>
        </w:rPr>
        <w:t xml:space="preserve"> </w:t>
      </w:r>
      <w:proofErr w:type="spellStart"/>
      <w:r w:rsidRPr="00937211">
        <w:rPr>
          <w:lang w:val="en-US"/>
        </w:rPr>
        <w:t>henüz</w:t>
      </w:r>
      <w:proofErr w:type="spellEnd"/>
      <w:r w:rsidRPr="00937211">
        <w:rPr>
          <w:lang w:val="en-US"/>
        </w:rPr>
        <w:t xml:space="preserve"> tam </w:t>
      </w:r>
      <w:proofErr w:type="spellStart"/>
      <w:r w:rsidRPr="00937211">
        <w:rPr>
          <w:lang w:val="en-US"/>
        </w:rPr>
        <w:t>anlamıyla</w:t>
      </w:r>
      <w:proofErr w:type="spellEnd"/>
      <w:r w:rsidRPr="00937211">
        <w:rPr>
          <w:lang w:val="en-US"/>
        </w:rPr>
        <w:t xml:space="preserve"> </w:t>
      </w:r>
      <w:proofErr w:type="spellStart"/>
      <w:r w:rsidRPr="00937211">
        <w:rPr>
          <w:lang w:val="en-US"/>
        </w:rPr>
        <w:t>kabul</w:t>
      </w:r>
      <w:proofErr w:type="spellEnd"/>
      <w:r w:rsidRPr="00937211">
        <w:rPr>
          <w:lang w:val="en-US"/>
        </w:rPr>
        <w:t xml:space="preserve"> </w:t>
      </w:r>
      <w:proofErr w:type="spellStart"/>
      <w:r w:rsidRPr="00937211">
        <w:rPr>
          <w:lang w:val="en-US"/>
        </w:rPr>
        <w:t>edilmemiş</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teorik</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bütünüyle</w:t>
      </w:r>
      <w:proofErr w:type="spellEnd"/>
      <w:r w:rsidRPr="00937211">
        <w:rPr>
          <w:lang w:val="en-US"/>
        </w:rPr>
        <w:t xml:space="preserve"> </w:t>
      </w:r>
      <w:proofErr w:type="spellStart"/>
      <w:r w:rsidRPr="00937211">
        <w:rPr>
          <w:lang w:val="en-US"/>
        </w:rPr>
        <w:t>ele</w:t>
      </w:r>
      <w:proofErr w:type="spellEnd"/>
      <w:r w:rsidRPr="00937211">
        <w:rPr>
          <w:lang w:val="en-US"/>
        </w:rPr>
        <w:t xml:space="preserve"> </w:t>
      </w:r>
      <w:proofErr w:type="spellStart"/>
      <w:r w:rsidRPr="00937211">
        <w:rPr>
          <w:lang w:val="en-US"/>
        </w:rPr>
        <w:t>alınmamıştır</w:t>
      </w:r>
      <w:proofErr w:type="spellEnd"/>
      <w:r w:rsidRPr="00937211">
        <w:rPr>
          <w:lang w:val="en-US"/>
        </w:rPr>
        <w:t>.</w:t>
      </w:r>
      <w:r>
        <w:rPr>
          <w:lang w:val="en-US"/>
        </w:rPr>
        <w:t xml:space="preserve"> </w:t>
      </w:r>
      <w:r w:rsidRPr="00937211">
        <w:rPr>
          <w:lang w:val="en-US"/>
        </w:rPr>
        <w:t>[1119 - 1120]</w:t>
      </w:r>
    </w:p>
    <w:p w14:paraId="2670C0BA" w14:textId="4C89DCFA" w:rsidR="00937211" w:rsidRDefault="00937211" w:rsidP="00937211">
      <w:pPr>
        <w:rPr>
          <w:lang w:val="en-US"/>
        </w:rPr>
      </w:pPr>
      <w:proofErr w:type="spellStart"/>
      <w:r w:rsidRPr="00937211">
        <w:rPr>
          <w:lang w:val="en-US"/>
        </w:rPr>
        <w:t>Ayrıca</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kültür</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pratik</w:t>
      </w:r>
      <w:proofErr w:type="spellEnd"/>
      <w:r w:rsidRPr="00937211">
        <w:rPr>
          <w:lang w:val="en-US"/>
        </w:rPr>
        <w:t xml:space="preserve"> </w:t>
      </w:r>
      <w:proofErr w:type="spellStart"/>
      <w:r w:rsidRPr="00937211">
        <w:rPr>
          <w:lang w:val="en-US"/>
        </w:rPr>
        <w:t>üzerine</w:t>
      </w:r>
      <w:proofErr w:type="spellEnd"/>
      <w:r w:rsidRPr="00937211">
        <w:rPr>
          <w:lang w:val="en-US"/>
        </w:rPr>
        <w:t xml:space="preserve"> </w:t>
      </w:r>
      <w:proofErr w:type="spellStart"/>
      <w:r w:rsidRPr="00937211">
        <w:rPr>
          <w:lang w:val="en-US"/>
        </w:rPr>
        <w:t>mevcut</w:t>
      </w:r>
      <w:proofErr w:type="spellEnd"/>
      <w:r w:rsidRPr="00937211">
        <w:rPr>
          <w:lang w:val="en-US"/>
        </w:rPr>
        <w:t xml:space="preserve"> </w:t>
      </w:r>
      <w:proofErr w:type="spellStart"/>
      <w:r w:rsidRPr="00937211">
        <w:rPr>
          <w:lang w:val="en-US"/>
        </w:rPr>
        <w:t>literatür</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karar</w:t>
      </w:r>
      <w:proofErr w:type="spellEnd"/>
      <w:r w:rsidRPr="00937211">
        <w:rPr>
          <w:lang w:val="en-US"/>
        </w:rPr>
        <w:t xml:space="preserve"> alma </w:t>
      </w:r>
      <w:proofErr w:type="spellStart"/>
      <w:r w:rsidRPr="00937211">
        <w:rPr>
          <w:lang w:val="en-US"/>
        </w:rPr>
        <w:t>sürecine</w:t>
      </w:r>
      <w:proofErr w:type="spellEnd"/>
      <w:r w:rsidRPr="00937211">
        <w:rPr>
          <w:lang w:val="en-US"/>
        </w:rPr>
        <w:t xml:space="preserve"> </w:t>
      </w:r>
      <w:proofErr w:type="spellStart"/>
      <w:r w:rsidRPr="00937211">
        <w:rPr>
          <w:lang w:val="en-US"/>
        </w:rPr>
        <w:t>dair</w:t>
      </w:r>
      <w:proofErr w:type="spellEnd"/>
      <w:r w:rsidRPr="00937211">
        <w:rPr>
          <w:lang w:val="en-US"/>
        </w:rPr>
        <w:t xml:space="preserve"> </w:t>
      </w:r>
      <w:proofErr w:type="spellStart"/>
      <w:r w:rsidRPr="00937211">
        <w:rPr>
          <w:lang w:val="en-US"/>
        </w:rPr>
        <w:t>açık</w:t>
      </w:r>
      <w:proofErr w:type="spellEnd"/>
      <w:r w:rsidRPr="00937211">
        <w:rPr>
          <w:lang w:val="en-US"/>
        </w:rPr>
        <w:t xml:space="preserve"> </w:t>
      </w:r>
      <w:proofErr w:type="spellStart"/>
      <w:r w:rsidRPr="00937211">
        <w:rPr>
          <w:lang w:val="en-US"/>
        </w:rPr>
        <w:t>veya</w:t>
      </w:r>
      <w:proofErr w:type="spellEnd"/>
      <w:r w:rsidRPr="00937211">
        <w:rPr>
          <w:lang w:val="en-US"/>
        </w:rPr>
        <w:t xml:space="preserve"> </w:t>
      </w:r>
      <w:proofErr w:type="spellStart"/>
      <w:r w:rsidRPr="00937211">
        <w:rPr>
          <w:lang w:val="en-US"/>
        </w:rPr>
        <w:t>örtük</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teorik</w:t>
      </w:r>
      <w:proofErr w:type="spellEnd"/>
      <w:r w:rsidRPr="00937211">
        <w:rPr>
          <w:lang w:val="en-US"/>
        </w:rPr>
        <w:t xml:space="preserve"> model </w:t>
      </w:r>
      <w:proofErr w:type="spellStart"/>
      <w:r w:rsidRPr="00937211">
        <w:rPr>
          <w:lang w:val="en-US"/>
        </w:rPr>
        <w:t>öne</w:t>
      </w:r>
      <w:proofErr w:type="spellEnd"/>
      <w:r w:rsidRPr="00937211">
        <w:rPr>
          <w:lang w:val="en-US"/>
        </w:rPr>
        <w:t xml:space="preserve"> </w:t>
      </w:r>
      <w:proofErr w:type="spellStart"/>
      <w:r w:rsidRPr="00937211">
        <w:rPr>
          <w:lang w:val="en-US"/>
        </w:rPr>
        <w:t>sürdüğü</w:t>
      </w:r>
      <w:proofErr w:type="spellEnd"/>
      <w:r w:rsidRPr="00937211">
        <w:rPr>
          <w:lang w:val="en-US"/>
        </w:rPr>
        <w:t xml:space="preserve"> </w:t>
      </w:r>
      <w:proofErr w:type="spellStart"/>
      <w:r w:rsidRPr="00937211">
        <w:rPr>
          <w:lang w:val="en-US"/>
        </w:rPr>
        <w:t>ölçüde</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makalede</w:t>
      </w:r>
      <w:proofErr w:type="spellEnd"/>
      <w:r w:rsidRPr="00937211">
        <w:rPr>
          <w:lang w:val="en-US"/>
        </w:rPr>
        <w:t xml:space="preserve"> </w:t>
      </w:r>
      <w:proofErr w:type="spellStart"/>
      <w:r w:rsidRPr="00937211">
        <w:rPr>
          <w:lang w:val="en-US"/>
        </w:rPr>
        <w:t>önerilen</w:t>
      </w:r>
      <w:proofErr w:type="spellEnd"/>
      <w:r w:rsidRPr="00937211">
        <w:rPr>
          <w:lang w:val="en-US"/>
        </w:rPr>
        <w:t xml:space="preserve"> </w:t>
      </w:r>
      <w:proofErr w:type="spellStart"/>
      <w:r w:rsidRPr="00937211">
        <w:rPr>
          <w:lang w:val="en-US"/>
        </w:rPr>
        <w:t>yaklaşımla</w:t>
      </w:r>
      <w:proofErr w:type="spellEnd"/>
      <w:r w:rsidRPr="00937211">
        <w:rPr>
          <w:lang w:val="en-US"/>
        </w:rPr>
        <w:t xml:space="preserve"> hem </w:t>
      </w:r>
      <w:proofErr w:type="spellStart"/>
      <w:r w:rsidRPr="00937211">
        <w:rPr>
          <w:lang w:val="en-US"/>
        </w:rPr>
        <w:t>benzerlikler</w:t>
      </w:r>
      <w:proofErr w:type="spellEnd"/>
      <w:r w:rsidRPr="00937211">
        <w:rPr>
          <w:lang w:val="en-US"/>
        </w:rPr>
        <w:t xml:space="preserve"> hem de </w:t>
      </w:r>
      <w:proofErr w:type="spellStart"/>
      <w:r w:rsidRPr="00937211">
        <w:rPr>
          <w:lang w:val="en-US"/>
        </w:rPr>
        <w:t>farklılıklar</w:t>
      </w:r>
      <w:proofErr w:type="spellEnd"/>
      <w:r w:rsidRPr="00937211">
        <w:rPr>
          <w:lang w:val="en-US"/>
        </w:rPr>
        <w:t xml:space="preserve"> </w:t>
      </w:r>
      <w:proofErr w:type="spellStart"/>
      <w:r w:rsidRPr="00937211">
        <w:rPr>
          <w:lang w:val="en-US"/>
        </w:rPr>
        <w:t>göstermektedir</w:t>
      </w:r>
      <w:proofErr w:type="spellEnd"/>
      <w:r w:rsidRPr="00937211">
        <w:rPr>
          <w:lang w:val="en-US"/>
        </w:rPr>
        <w:t xml:space="preserve">. İlk </w:t>
      </w:r>
      <w:proofErr w:type="spellStart"/>
      <w:r w:rsidRPr="00937211">
        <w:rPr>
          <w:lang w:val="en-US"/>
        </w:rPr>
        <w:t>olarak</w:t>
      </w:r>
      <w:proofErr w:type="spellEnd"/>
      <w:r w:rsidRPr="00937211">
        <w:rPr>
          <w:lang w:val="en-US"/>
        </w:rPr>
        <w:t xml:space="preserve">, </w:t>
      </w:r>
      <w:proofErr w:type="spellStart"/>
      <w:r w:rsidRPr="00937211">
        <w:rPr>
          <w:lang w:val="en-US"/>
        </w:rPr>
        <w:t>yukarıda</w:t>
      </w:r>
      <w:proofErr w:type="spellEnd"/>
      <w:r w:rsidRPr="00937211">
        <w:rPr>
          <w:lang w:val="en-US"/>
        </w:rPr>
        <w:t xml:space="preserve"> belirtildiği²⁰⁰</w:t>
      </w:r>
      <w:r>
        <w:rPr>
          <w:lang w:val="en-US"/>
        </w:rPr>
        <w:t xml:space="preserve"> </w:t>
      </w:r>
      <w:r>
        <w:rPr>
          <w:rStyle w:val="FootnoteReference"/>
          <w:lang w:val="en-US"/>
        </w:rPr>
        <w:footnoteReference w:id="200"/>
      </w:r>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aşağıda</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ayrıntılı</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ele</w:t>
      </w:r>
      <w:proofErr w:type="spellEnd"/>
      <w:r w:rsidRPr="00937211">
        <w:rPr>
          <w:lang w:val="en-US"/>
        </w:rPr>
        <w:t xml:space="preserve"> alınacağı²⁰¹</w:t>
      </w:r>
      <w:r>
        <w:rPr>
          <w:lang w:val="en-US"/>
        </w:rPr>
        <w:t xml:space="preserve"> </w:t>
      </w:r>
      <w:r>
        <w:rPr>
          <w:rStyle w:val="FootnoteReference"/>
          <w:lang w:val="en-US"/>
        </w:rPr>
        <w:footnoteReference w:id="201"/>
      </w:r>
      <w:r w:rsidRPr="00937211">
        <w:rPr>
          <w:lang w:val="en-US"/>
        </w:rPr>
        <w:t xml:space="preserve"> </w:t>
      </w:r>
      <w:proofErr w:type="spellStart"/>
      <w:r w:rsidRPr="00937211">
        <w:rPr>
          <w:lang w:val="en-US"/>
        </w:rPr>
        <w:t>üzere</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tür</w:t>
      </w:r>
      <w:proofErr w:type="spellEnd"/>
      <w:r w:rsidRPr="00937211">
        <w:rPr>
          <w:lang w:val="en-US"/>
        </w:rPr>
        <w:t xml:space="preserve"> </w:t>
      </w:r>
      <w:proofErr w:type="spellStart"/>
      <w:r w:rsidRPr="00937211">
        <w:rPr>
          <w:lang w:val="en-US"/>
        </w:rPr>
        <w:t>çalışmaların</w:t>
      </w:r>
      <w:proofErr w:type="spellEnd"/>
      <w:r w:rsidRPr="00937211">
        <w:rPr>
          <w:lang w:val="en-US"/>
        </w:rPr>
        <w:t xml:space="preserve"> </w:t>
      </w:r>
      <w:proofErr w:type="spellStart"/>
      <w:r w:rsidRPr="00937211">
        <w:rPr>
          <w:lang w:val="en-US"/>
        </w:rPr>
        <w:t>birincil</w:t>
      </w:r>
      <w:proofErr w:type="spellEnd"/>
      <w:r w:rsidRPr="00937211">
        <w:rPr>
          <w:lang w:val="en-US"/>
        </w:rPr>
        <w:t xml:space="preserve"> </w:t>
      </w:r>
      <w:proofErr w:type="spellStart"/>
      <w:r w:rsidRPr="00937211">
        <w:rPr>
          <w:lang w:val="en-US"/>
        </w:rPr>
        <w:t>odak</w:t>
      </w:r>
      <w:proofErr w:type="spellEnd"/>
      <w:r w:rsidRPr="00937211">
        <w:rPr>
          <w:lang w:val="en-US"/>
        </w:rPr>
        <w:t xml:space="preserve"> </w:t>
      </w:r>
      <w:proofErr w:type="spellStart"/>
      <w:r w:rsidRPr="00937211">
        <w:rPr>
          <w:lang w:val="en-US"/>
        </w:rPr>
        <w:t>noktası</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geniş</w:t>
      </w:r>
      <w:proofErr w:type="spellEnd"/>
      <w:r w:rsidRPr="00937211">
        <w:rPr>
          <w:lang w:val="en-US"/>
        </w:rPr>
        <w:t xml:space="preserve"> </w:t>
      </w:r>
      <w:proofErr w:type="spellStart"/>
      <w:r w:rsidRPr="00937211">
        <w:rPr>
          <w:lang w:val="en-US"/>
        </w:rPr>
        <w:t>kültürdeki</w:t>
      </w:r>
      <w:proofErr w:type="spellEnd"/>
      <w:r w:rsidRPr="00937211">
        <w:rPr>
          <w:lang w:val="en-US"/>
        </w:rPr>
        <w:t xml:space="preserve"> </w:t>
      </w:r>
      <w:proofErr w:type="spellStart"/>
      <w:r w:rsidRPr="00937211">
        <w:rPr>
          <w:lang w:val="en-US"/>
        </w:rPr>
        <w:t>olayların</w:t>
      </w:r>
      <w:proofErr w:type="spellEnd"/>
      <w:r w:rsidRPr="00937211">
        <w:rPr>
          <w:lang w:val="en-US"/>
        </w:rPr>
        <w:t xml:space="preserve">, </w:t>
      </w:r>
      <w:proofErr w:type="spellStart"/>
      <w:r w:rsidRPr="00937211">
        <w:rPr>
          <w:lang w:val="en-US"/>
        </w:rPr>
        <w:t>fikirlerin</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hareketlerin</w:t>
      </w:r>
      <w:proofErr w:type="spellEnd"/>
      <w:r w:rsidRPr="00937211">
        <w:rPr>
          <w:lang w:val="en-US"/>
        </w:rPr>
        <w:t xml:space="preserve"> </w:t>
      </w:r>
      <w:proofErr w:type="spellStart"/>
      <w:r w:rsidRPr="00937211">
        <w:rPr>
          <w:lang w:val="en-US"/>
        </w:rPr>
        <w:t>mahkemelerin</w:t>
      </w:r>
      <w:proofErr w:type="spellEnd"/>
      <w:r w:rsidRPr="00937211">
        <w:rPr>
          <w:lang w:val="en-US"/>
        </w:rPr>
        <w:t xml:space="preserve"> </w:t>
      </w:r>
      <w:proofErr w:type="spellStart"/>
      <w:r w:rsidRPr="00937211">
        <w:rPr>
          <w:lang w:val="en-US"/>
        </w:rPr>
        <w:t>kararlarını</w:t>
      </w:r>
      <w:proofErr w:type="spellEnd"/>
      <w:r w:rsidRPr="00937211">
        <w:rPr>
          <w:lang w:val="en-US"/>
        </w:rPr>
        <w:t xml:space="preserve"> </w:t>
      </w:r>
      <w:proofErr w:type="spellStart"/>
      <w:r w:rsidRPr="00937211">
        <w:rPr>
          <w:lang w:val="en-US"/>
        </w:rPr>
        <w:t>nasıl</w:t>
      </w:r>
      <w:proofErr w:type="spellEnd"/>
      <w:r w:rsidRPr="00937211">
        <w:rPr>
          <w:lang w:val="en-US"/>
        </w:rPr>
        <w:t xml:space="preserve"> </w:t>
      </w:r>
      <w:proofErr w:type="spellStart"/>
      <w:r w:rsidRPr="00937211">
        <w:rPr>
          <w:lang w:val="en-US"/>
        </w:rPr>
        <w:t>etkilediği</w:t>
      </w:r>
      <w:proofErr w:type="spellEnd"/>
      <w:r w:rsidRPr="00937211">
        <w:rPr>
          <w:lang w:val="en-US"/>
        </w:rPr>
        <w:t xml:space="preserve"> </w:t>
      </w:r>
      <w:proofErr w:type="spellStart"/>
      <w:r w:rsidRPr="00937211">
        <w:rPr>
          <w:lang w:val="en-US"/>
        </w:rPr>
        <w:t>üzerinedir</w:t>
      </w:r>
      <w:proofErr w:type="spellEnd"/>
      <w:r w:rsidRPr="00937211">
        <w:rPr>
          <w:lang w:val="en-US"/>
        </w:rPr>
        <w:t xml:space="preserve">. </w:t>
      </w:r>
      <w:proofErr w:type="spellStart"/>
      <w:r w:rsidRPr="00937211">
        <w:rPr>
          <w:lang w:val="en-US"/>
        </w:rPr>
        <w:t>Bazı</w:t>
      </w:r>
      <w:proofErr w:type="spellEnd"/>
      <w:r w:rsidRPr="00937211">
        <w:rPr>
          <w:lang w:val="en-US"/>
        </w:rPr>
        <w:t xml:space="preserve"> </w:t>
      </w:r>
      <w:proofErr w:type="spellStart"/>
      <w:r w:rsidRPr="00937211">
        <w:rPr>
          <w:lang w:val="en-US"/>
        </w:rPr>
        <w:t>durumlarda</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analiz</w:t>
      </w:r>
      <w:proofErr w:type="spellEnd"/>
      <w:r w:rsidRPr="00937211">
        <w:rPr>
          <w:lang w:val="en-US"/>
        </w:rPr>
        <w:t xml:space="preserve">, </w:t>
      </w:r>
      <w:proofErr w:type="spellStart"/>
      <w:r w:rsidRPr="00937211">
        <w:rPr>
          <w:lang w:val="en-US"/>
        </w:rPr>
        <w:t>mahkemelerin</w:t>
      </w:r>
      <w:proofErr w:type="spellEnd"/>
      <w:r w:rsidRPr="00937211">
        <w:rPr>
          <w:lang w:val="en-US"/>
        </w:rPr>
        <w:t xml:space="preserve"> </w:t>
      </w:r>
      <w:proofErr w:type="spellStart"/>
      <w:r w:rsidRPr="00937211">
        <w:rPr>
          <w:lang w:val="en-US"/>
        </w:rPr>
        <w:t>kararlarının</w:t>
      </w:r>
      <w:proofErr w:type="spellEnd"/>
      <w:r w:rsidRPr="00937211">
        <w:rPr>
          <w:lang w:val="en-US"/>
        </w:rPr>
        <w:t xml:space="preserve"> </w:t>
      </w:r>
      <w:proofErr w:type="spellStart"/>
      <w:r w:rsidRPr="00937211">
        <w:rPr>
          <w:lang w:val="en-US"/>
        </w:rPr>
        <w:t>geniş</w:t>
      </w:r>
      <w:proofErr w:type="spellEnd"/>
      <w:r w:rsidRPr="00937211">
        <w:rPr>
          <w:lang w:val="en-US"/>
        </w:rPr>
        <w:t xml:space="preserve"> </w:t>
      </w:r>
      <w:proofErr w:type="spellStart"/>
      <w:r w:rsidRPr="00937211">
        <w:rPr>
          <w:lang w:val="en-US"/>
        </w:rPr>
        <w:t>kültüre</w:t>
      </w:r>
      <w:proofErr w:type="spellEnd"/>
      <w:r w:rsidRPr="00937211">
        <w:rPr>
          <w:lang w:val="en-US"/>
        </w:rPr>
        <w:t xml:space="preserve"> </w:t>
      </w:r>
      <w:proofErr w:type="spellStart"/>
      <w:r w:rsidRPr="00937211">
        <w:rPr>
          <w:lang w:val="en-US"/>
        </w:rPr>
        <w:t>olan</w:t>
      </w:r>
      <w:proofErr w:type="spellEnd"/>
      <w:r w:rsidRPr="00937211">
        <w:rPr>
          <w:lang w:val="en-US"/>
        </w:rPr>
        <w:t xml:space="preserve"> </w:t>
      </w:r>
      <w:proofErr w:type="spellStart"/>
      <w:r w:rsidRPr="00937211">
        <w:rPr>
          <w:lang w:val="en-US"/>
        </w:rPr>
        <w:t>etkilerine</w:t>
      </w:r>
      <w:proofErr w:type="spellEnd"/>
      <w:r w:rsidRPr="00937211">
        <w:rPr>
          <w:lang w:val="en-US"/>
        </w:rPr>
        <w:t xml:space="preserve"> </w:t>
      </w:r>
      <w:proofErr w:type="spellStart"/>
      <w:r w:rsidRPr="00937211">
        <w:rPr>
          <w:lang w:val="en-US"/>
        </w:rPr>
        <w:t>yönelik</w:t>
      </w:r>
      <w:proofErr w:type="spellEnd"/>
      <w:r w:rsidRPr="00937211">
        <w:rPr>
          <w:lang w:val="en-US"/>
        </w:rPr>
        <w:t xml:space="preserve"> </w:t>
      </w:r>
      <w:proofErr w:type="spellStart"/>
      <w:r w:rsidRPr="00937211">
        <w:rPr>
          <w:lang w:val="en-US"/>
        </w:rPr>
        <w:t>karşılıklı</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ilgiyle</w:t>
      </w:r>
      <w:proofErr w:type="spellEnd"/>
      <w:r w:rsidRPr="00937211">
        <w:rPr>
          <w:lang w:val="en-US"/>
        </w:rPr>
        <w:t xml:space="preserve"> birleşmektedir.²⁰²</w:t>
      </w:r>
      <w:r>
        <w:rPr>
          <w:lang w:val="en-US"/>
        </w:rPr>
        <w:t xml:space="preserve"> </w:t>
      </w:r>
      <w:r>
        <w:rPr>
          <w:rStyle w:val="FootnoteReference"/>
          <w:lang w:val="en-US"/>
        </w:rPr>
        <w:footnoteReference w:id="202"/>
      </w:r>
      <w:r>
        <w:rPr>
          <w:lang w:val="en-US"/>
        </w:rPr>
        <w:t xml:space="preserve"> </w:t>
      </w:r>
      <w:r w:rsidRPr="00937211">
        <w:rPr>
          <w:lang w:val="en-US"/>
        </w:rPr>
        <w:t xml:space="preserve">Bu </w:t>
      </w:r>
      <w:proofErr w:type="spellStart"/>
      <w:r w:rsidRPr="00937211">
        <w:rPr>
          <w:lang w:val="en-US"/>
        </w:rPr>
        <w:t>makale</w:t>
      </w:r>
      <w:proofErr w:type="spellEnd"/>
      <w:r w:rsidRPr="00937211">
        <w:rPr>
          <w:lang w:val="en-US"/>
        </w:rPr>
        <w:t xml:space="preserve"> </w:t>
      </w:r>
      <w:proofErr w:type="spellStart"/>
      <w:r w:rsidRPr="00937211">
        <w:rPr>
          <w:lang w:val="en-US"/>
        </w:rPr>
        <w:t>ise</w:t>
      </w:r>
      <w:proofErr w:type="spellEnd"/>
      <w:r w:rsidRPr="00937211">
        <w:rPr>
          <w:lang w:val="en-US"/>
        </w:rPr>
        <w:t>, hem “</w:t>
      </w:r>
      <w:proofErr w:type="spellStart"/>
      <w:r w:rsidRPr="00937211">
        <w:rPr>
          <w:lang w:val="en-US"/>
        </w:rPr>
        <w:t>anayasal</w:t>
      </w:r>
      <w:proofErr w:type="spellEnd"/>
      <w:r w:rsidRPr="00937211">
        <w:rPr>
          <w:lang w:val="en-US"/>
        </w:rPr>
        <w:t xml:space="preserve"> </w:t>
      </w:r>
      <w:proofErr w:type="spellStart"/>
      <w:r w:rsidRPr="00937211">
        <w:rPr>
          <w:lang w:val="en-US"/>
        </w:rPr>
        <w:t>kültür”ün</w:t>
      </w:r>
      <w:proofErr w:type="spellEnd"/>
      <w:r w:rsidRPr="00937211">
        <w:rPr>
          <w:lang w:val="en-US"/>
        </w:rPr>
        <w:t xml:space="preserve"> </w:t>
      </w:r>
      <w:proofErr w:type="spellStart"/>
      <w:r w:rsidRPr="00937211">
        <w:rPr>
          <w:lang w:val="en-US"/>
        </w:rPr>
        <w:t>doğasını</w:t>
      </w:r>
      <w:proofErr w:type="spellEnd"/>
      <w:r w:rsidRPr="00937211">
        <w:rPr>
          <w:lang w:val="en-US"/>
        </w:rPr>
        <w:t xml:space="preserve"> hem de </w:t>
      </w:r>
      <w:proofErr w:type="spellStart"/>
      <w:r w:rsidRPr="00937211">
        <w:rPr>
          <w:lang w:val="en-US"/>
        </w:rPr>
        <w:t>anayasal</w:t>
      </w:r>
      <w:proofErr w:type="spellEnd"/>
      <w:r w:rsidRPr="00937211">
        <w:rPr>
          <w:lang w:val="en-US"/>
        </w:rPr>
        <w:t xml:space="preserve"> </w:t>
      </w:r>
      <w:proofErr w:type="spellStart"/>
      <w:r w:rsidRPr="00937211">
        <w:rPr>
          <w:lang w:val="en-US"/>
        </w:rPr>
        <w:t>karar</w:t>
      </w:r>
      <w:proofErr w:type="spellEnd"/>
      <w:r w:rsidRPr="00937211">
        <w:rPr>
          <w:lang w:val="en-US"/>
        </w:rPr>
        <w:t xml:space="preserve"> alma </w:t>
      </w:r>
      <w:proofErr w:type="spellStart"/>
      <w:r w:rsidRPr="00937211">
        <w:rPr>
          <w:lang w:val="en-US"/>
        </w:rPr>
        <w:t>sürecini</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geniş</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perspektiften</w:t>
      </w:r>
      <w:proofErr w:type="spellEnd"/>
      <w:r w:rsidRPr="00937211">
        <w:rPr>
          <w:lang w:val="en-US"/>
        </w:rPr>
        <w:t xml:space="preserve"> </w:t>
      </w:r>
      <w:proofErr w:type="spellStart"/>
      <w:r w:rsidRPr="00937211">
        <w:rPr>
          <w:lang w:val="en-US"/>
        </w:rPr>
        <w:t>anlamayı</w:t>
      </w:r>
      <w:proofErr w:type="spellEnd"/>
      <w:r w:rsidRPr="00937211">
        <w:rPr>
          <w:lang w:val="en-US"/>
        </w:rPr>
        <w:t xml:space="preserve"> </w:t>
      </w:r>
      <w:proofErr w:type="spellStart"/>
      <w:r w:rsidRPr="00937211">
        <w:rPr>
          <w:lang w:val="en-US"/>
        </w:rPr>
        <w:t>öneren</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bakış</w:t>
      </w:r>
      <w:proofErr w:type="spellEnd"/>
      <w:r w:rsidRPr="00937211">
        <w:rPr>
          <w:lang w:val="en-US"/>
        </w:rPr>
        <w:t xml:space="preserve"> </w:t>
      </w:r>
      <w:proofErr w:type="spellStart"/>
      <w:r w:rsidRPr="00937211">
        <w:rPr>
          <w:lang w:val="en-US"/>
        </w:rPr>
        <w:t>açısını</w:t>
      </w:r>
      <w:proofErr w:type="spellEnd"/>
      <w:r w:rsidRPr="00937211">
        <w:rPr>
          <w:lang w:val="en-US"/>
        </w:rPr>
        <w:t xml:space="preserve"> </w:t>
      </w:r>
      <w:proofErr w:type="spellStart"/>
      <w:r w:rsidRPr="00937211">
        <w:rPr>
          <w:lang w:val="en-US"/>
        </w:rPr>
        <w:t>savunmaktadır</w:t>
      </w:r>
      <w:proofErr w:type="spellEnd"/>
      <w:r w:rsidRPr="00937211">
        <w:rPr>
          <w:lang w:val="en-US"/>
        </w:rPr>
        <w:t xml:space="preserve">. </w:t>
      </w:r>
      <w:proofErr w:type="spellStart"/>
      <w:r w:rsidRPr="00937211">
        <w:rPr>
          <w:lang w:val="en-US"/>
        </w:rPr>
        <w:t>Aşağıda</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ayrıntılı</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geliştirileceği</w:t>
      </w:r>
      <w:proofErr w:type="spellEnd"/>
      <w:r w:rsidRPr="00937211">
        <w:rPr>
          <w:lang w:val="en-US"/>
        </w:rPr>
        <w:t xml:space="preserve"> üzere,²⁰³</w:t>
      </w:r>
      <w:r>
        <w:rPr>
          <w:lang w:val="en-US"/>
        </w:rPr>
        <w:t xml:space="preserve"> </w:t>
      </w:r>
      <w:r>
        <w:rPr>
          <w:rStyle w:val="FootnoteReference"/>
          <w:lang w:val="en-US"/>
        </w:rPr>
        <w:footnoteReference w:id="203"/>
      </w:r>
      <w:r w:rsidRPr="00937211">
        <w:rPr>
          <w:lang w:val="en-US"/>
        </w:rPr>
        <w:t xml:space="preserve"> </w:t>
      </w:r>
      <w:proofErr w:type="spellStart"/>
      <w:r w:rsidRPr="00937211">
        <w:rPr>
          <w:lang w:val="en-US"/>
        </w:rPr>
        <w:t>burada</w:t>
      </w:r>
      <w:proofErr w:type="spellEnd"/>
      <w:r w:rsidRPr="00937211">
        <w:rPr>
          <w:lang w:val="en-US"/>
        </w:rPr>
        <w:t xml:space="preserve"> </w:t>
      </w:r>
      <w:proofErr w:type="spellStart"/>
      <w:r w:rsidRPr="00937211">
        <w:rPr>
          <w:lang w:val="en-US"/>
        </w:rPr>
        <w:t>taslak</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sunulan</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kültür</w:t>
      </w:r>
      <w:proofErr w:type="spellEnd"/>
      <w:r w:rsidRPr="00937211">
        <w:rPr>
          <w:lang w:val="en-US"/>
        </w:rPr>
        <w:t xml:space="preserve"> </w:t>
      </w:r>
      <w:proofErr w:type="spellStart"/>
      <w:r w:rsidRPr="00937211">
        <w:rPr>
          <w:lang w:val="en-US"/>
        </w:rPr>
        <w:t>yaklaşımı</w:t>
      </w:r>
      <w:proofErr w:type="spellEnd"/>
      <w:r w:rsidRPr="00937211">
        <w:rPr>
          <w:lang w:val="en-US"/>
        </w:rPr>
        <w:t xml:space="preserve">, </w:t>
      </w:r>
      <w:proofErr w:type="spellStart"/>
      <w:r w:rsidRPr="00937211">
        <w:rPr>
          <w:lang w:val="en-US"/>
        </w:rPr>
        <w:t>mahkemelerin</w:t>
      </w:r>
      <w:proofErr w:type="spellEnd"/>
      <w:r w:rsidRPr="00937211">
        <w:rPr>
          <w:lang w:val="en-US"/>
        </w:rPr>
        <w:t xml:space="preserve"> </w:t>
      </w:r>
      <w:proofErr w:type="spellStart"/>
      <w:r w:rsidRPr="00937211">
        <w:rPr>
          <w:lang w:val="en-US"/>
        </w:rPr>
        <w:t>nasıl</w:t>
      </w:r>
      <w:proofErr w:type="spellEnd"/>
      <w:r w:rsidRPr="00937211">
        <w:rPr>
          <w:lang w:val="en-US"/>
        </w:rPr>
        <w:t xml:space="preserve"> </w:t>
      </w:r>
      <w:proofErr w:type="spellStart"/>
      <w:r w:rsidRPr="00937211">
        <w:rPr>
          <w:lang w:val="en-US"/>
        </w:rPr>
        <w:t>yapılandırıldığı</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işleyişinin</w:t>
      </w:r>
      <w:proofErr w:type="spellEnd"/>
      <w:r w:rsidRPr="00937211">
        <w:rPr>
          <w:lang w:val="en-US"/>
        </w:rPr>
        <w:t xml:space="preserve"> </w:t>
      </w:r>
      <w:proofErr w:type="spellStart"/>
      <w:r w:rsidRPr="00937211">
        <w:rPr>
          <w:lang w:val="en-US"/>
        </w:rPr>
        <w:t>nasıl</w:t>
      </w:r>
      <w:proofErr w:type="spellEnd"/>
      <w:r w:rsidRPr="00937211">
        <w:rPr>
          <w:lang w:val="en-US"/>
        </w:rPr>
        <w:t xml:space="preserve"> </w:t>
      </w:r>
      <w:proofErr w:type="spellStart"/>
      <w:r w:rsidRPr="00937211">
        <w:rPr>
          <w:lang w:val="en-US"/>
        </w:rPr>
        <w:t>düzenlendiği</w:t>
      </w:r>
      <w:proofErr w:type="spellEnd"/>
      <w:r w:rsidRPr="00937211">
        <w:rPr>
          <w:lang w:val="en-US"/>
        </w:rPr>
        <w:t xml:space="preserve"> </w:t>
      </w:r>
      <w:proofErr w:type="spellStart"/>
      <w:r w:rsidRPr="00937211">
        <w:rPr>
          <w:lang w:val="en-US"/>
        </w:rPr>
        <w:t>sorularını</w:t>
      </w:r>
      <w:proofErr w:type="spellEnd"/>
      <w:r w:rsidRPr="00937211">
        <w:rPr>
          <w:lang w:val="en-US"/>
        </w:rPr>
        <w:t xml:space="preserve">, </w:t>
      </w:r>
      <w:proofErr w:type="spellStart"/>
      <w:r w:rsidRPr="00937211">
        <w:rPr>
          <w:lang w:val="en-US"/>
        </w:rPr>
        <w:t>diğer</w:t>
      </w:r>
      <w:proofErr w:type="spellEnd"/>
      <w:r w:rsidRPr="00937211">
        <w:rPr>
          <w:lang w:val="en-US"/>
        </w:rPr>
        <w:t xml:space="preserve"> </w:t>
      </w:r>
      <w:proofErr w:type="spellStart"/>
      <w:r w:rsidRPr="00937211">
        <w:rPr>
          <w:lang w:val="en-US"/>
        </w:rPr>
        <w:t>kültürel</w:t>
      </w:r>
      <w:proofErr w:type="spellEnd"/>
      <w:r w:rsidRPr="00937211">
        <w:rPr>
          <w:lang w:val="en-US"/>
        </w:rPr>
        <w:t xml:space="preserve"> </w:t>
      </w:r>
      <w:proofErr w:type="spellStart"/>
      <w:r w:rsidRPr="00937211">
        <w:rPr>
          <w:lang w:val="en-US"/>
        </w:rPr>
        <w:t>biçimlerden</w:t>
      </w:r>
      <w:proofErr w:type="spellEnd"/>
      <w:r w:rsidRPr="00937211">
        <w:rPr>
          <w:lang w:val="en-US"/>
        </w:rPr>
        <w:t xml:space="preserve"> </w:t>
      </w:r>
      <w:proofErr w:type="spellStart"/>
      <w:r w:rsidRPr="00937211">
        <w:rPr>
          <w:lang w:val="en-US"/>
        </w:rPr>
        <w:t>ayrıştırılamayacak</w:t>
      </w:r>
      <w:proofErr w:type="spellEnd"/>
      <w:r w:rsidRPr="00937211">
        <w:rPr>
          <w:lang w:val="en-US"/>
        </w:rPr>
        <w:t xml:space="preserve"> </w:t>
      </w:r>
      <w:proofErr w:type="spellStart"/>
      <w:r w:rsidRPr="00937211">
        <w:rPr>
          <w:lang w:val="en-US"/>
        </w:rPr>
        <w:t>kültürel</w:t>
      </w:r>
      <w:proofErr w:type="spellEnd"/>
      <w:r w:rsidRPr="00937211">
        <w:rPr>
          <w:lang w:val="en-US"/>
        </w:rPr>
        <w:t xml:space="preserve"> </w:t>
      </w:r>
      <w:proofErr w:type="spellStart"/>
      <w:r w:rsidRPr="00937211">
        <w:rPr>
          <w:lang w:val="en-US"/>
        </w:rPr>
        <w:t>unsurlar</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ele</w:t>
      </w:r>
      <w:proofErr w:type="spellEnd"/>
      <w:r w:rsidRPr="00937211">
        <w:rPr>
          <w:lang w:val="en-US"/>
        </w:rPr>
        <w:t xml:space="preserve"> </w:t>
      </w:r>
      <w:proofErr w:type="spellStart"/>
      <w:r w:rsidRPr="00937211">
        <w:rPr>
          <w:lang w:val="en-US"/>
        </w:rPr>
        <w:t>almaktadır</w:t>
      </w:r>
      <w:proofErr w:type="spellEnd"/>
      <w:r w:rsidRPr="00937211">
        <w:rPr>
          <w:lang w:val="en-US"/>
        </w:rPr>
        <w:t xml:space="preserve">. </w:t>
      </w:r>
      <w:proofErr w:type="spellStart"/>
      <w:r w:rsidRPr="00937211">
        <w:rPr>
          <w:lang w:val="en-US"/>
        </w:rPr>
        <w:t>Dahası</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makale</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teorisinin</w:t>
      </w:r>
      <w:proofErr w:type="spellEnd"/>
      <w:r w:rsidRPr="00937211">
        <w:rPr>
          <w:lang w:val="en-US"/>
        </w:rPr>
        <w:t xml:space="preserve"> </w:t>
      </w:r>
      <w:proofErr w:type="spellStart"/>
      <w:r w:rsidRPr="00937211">
        <w:rPr>
          <w:lang w:val="en-US"/>
        </w:rPr>
        <w:t>hedeflerini</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geniş</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çerçevede</w:t>
      </w:r>
      <w:proofErr w:type="spellEnd"/>
      <w:r w:rsidRPr="00937211">
        <w:rPr>
          <w:lang w:val="en-US"/>
        </w:rPr>
        <w:t xml:space="preserve"> </w:t>
      </w:r>
      <w:proofErr w:type="spellStart"/>
      <w:r w:rsidRPr="00937211">
        <w:rPr>
          <w:lang w:val="en-US"/>
        </w:rPr>
        <w:t>değerlendirmekte</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metin</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düşüncenin</w:t>
      </w:r>
      <w:proofErr w:type="spellEnd"/>
      <w:r w:rsidRPr="00937211">
        <w:rPr>
          <w:lang w:val="en-US"/>
        </w:rPr>
        <w:t xml:space="preserve"> </w:t>
      </w:r>
      <w:proofErr w:type="spellStart"/>
      <w:r w:rsidRPr="00937211">
        <w:rPr>
          <w:lang w:val="en-US"/>
        </w:rPr>
        <w:t>somut</w:t>
      </w:r>
      <w:proofErr w:type="spellEnd"/>
      <w:r w:rsidRPr="00937211">
        <w:rPr>
          <w:lang w:val="en-US"/>
        </w:rPr>
        <w:t xml:space="preserve"> </w:t>
      </w:r>
      <w:proofErr w:type="spellStart"/>
      <w:r w:rsidRPr="00937211">
        <w:rPr>
          <w:lang w:val="en-US"/>
        </w:rPr>
        <w:t>sonuçları</w:t>
      </w:r>
      <w:proofErr w:type="spellEnd"/>
      <w:r w:rsidRPr="00937211">
        <w:rPr>
          <w:lang w:val="en-US"/>
        </w:rPr>
        <w:t xml:space="preserve"> </w:t>
      </w:r>
      <w:proofErr w:type="spellStart"/>
      <w:r w:rsidRPr="00937211">
        <w:rPr>
          <w:lang w:val="en-US"/>
        </w:rPr>
        <w:t>hakkında</w:t>
      </w:r>
      <w:proofErr w:type="spellEnd"/>
      <w:r w:rsidRPr="00937211">
        <w:rPr>
          <w:lang w:val="en-US"/>
        </w:rPr>
        <w:t xml:space="preserve"> </w:t>
      </w:r>
      <w:proofErr w:type="spellStart"/>
      <w:r w:rsidRPr="00937211">
        <w:rPr>
          <w:lang w:val="en-US"/>
        </w:rPr>
        <w:t>sorular</w:t>
      </w:r>
      <w:proofErr w:type="spellEnd"/>
      <w:r w:rsidRPr="00937211">
        <w:rPr>
          <w:lang w:val="en-US"/>
        </w:rPr>
        <w:t xml:space="preserve"> </w:t>
      </w:r>
      <w:proofErr w:type="spellStart"/>
      <w:r w:rsidRPr="00937211">
        <w:rPr>
          <w:lang w:val="en-US"/>
        </w:rPr>
        <w:t>sormayı</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bunlara</w:t>
      </w:r>
      <w:proofErr w:type="spellEnd"/>
      <w:r w:rsidRPr="00937211">
        <w:rPr>
          <w:lang w:val="en-US"/>
        </w:rPr>
        <w:t xml:space="preserve"> </w:t>
      </w:r>
      <w:proofErr w:type="spellStart"/>
      <w:r w:rsidRPr="00937211">
        <w:rPr>
          <w:lang w:val="en-US"/>
        </w:rPr>
        <w:t>yanıt</w:t>
      </w:r>
      <w:proofErr w:type="spellEnd"/>
      <w:r w:rsidRPr="00937211">
        <w:rPr>
          <w:lang w:val="en-US"/>
        </w:rPr>
        <w:t xml:space="preserve"> </w:t>
      </w:r>
      <w:proofErr w:type="spellStart"/>
      <w:r w:rsidRPr="00937211">
        <w:rPr>
          <w:lang w:val="en-US"/>
        </w:rPr>
        <w:t>aramayı</w:t>
      </w:r>
      <w:proofErr w:type="spellEnd"/>
      <w:r w:rsidRPr="00937211">
        <w:rPr>
          <w:lang w:val="en-US"/>
        </w:rPr>
        <w:t xml:space="preserve"> </w:t>
      </w:r>
      <w:proofErr w:type="spellStart"/>
      <w:r w:rsidRPr="00937211">
        <w:rPr>
          <w:lang w:val="en-US"/>
        </w:rPr>
        <w:t>önermektedir</w:t>
      </w:r>
      <w:proofErr w:type="spellEnd"/>
      <w:r w:rsidRPr="00937211">
        <w:rPr>
          <w:lang w:val="en-US"/>
        </w:rPr>
        <w:t xml:space="preserve">. Bu </w:t>
      </w:r>
      <w:proofErr w:type="spellStart"/>
      <w:r w:rsidRPr="00937211">
        <w:rPr>
          <w:lang w:val="en-US"/>
        </w:rPr>
        <w:t>doğrultuda</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adına</w:t>
      </w:r>
      <w:proofErr w:type="spellEnd"/>
      <w:r w:rsidRPr="00937211">
        <w:rPr>
          <w:lang w:val="en-US"/>
        </w:rPr>
        <w:t xml:space="preserve"> </w:t>
      </w:r>
      <w:proofErr w:type="spellStart"/>
      <w:r w:rsidRPr="00937211">
        <w:rPr>
          <w:lang w:val="en-US"/>
        </w:rPr>
        <w:t>oluşturulan</w:t>
      </w:r>
      <w:proofErr w:type="spellEnd"/>
      <w:r w:rsidRPr="00937211">
        <w:rPr>
          <w:lang w:val="en-US"/>
        </w:rPr>
        <w:t xml:space="preserve"> </w:t>
      </w:r>
      <w:proofErr w:type="spellStart"/>
      <w:r w:rsidRPr="00937211">
        <w:rPr>
          <w:lang w:val="en-US"/>
        </w:rPr>
        <w:t>doktriner</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karar</w:t>
      </w:r>
      <w:proofErr w:type="spellEnd"/>
      <w:r w:rsidRPr="00937211">
        <w:rPr>
          <w:lang w:val="en-US"/>
        </w:rPr>
        <w:t xml:space="preserve"> </w:t>
      </w:r>
      <w:proofErr w:type="spellStart"/>
      <w:r w:rsidRPr="00937211">
        <w:rPr>
          <w:lang w:val="en-US"/>
        </w:rPr>
        <w:t>hukukundan</w:t>
      </w:r>
      <w:proofErr w:type="spellEnd"/>
      <w:r w:rsidRPr="00937211">
        <w:rPr>
          <w:lang w:val="en-US"/>
        </w:rPr>
        <w:t xml:space="preserve"> </w:t>
      </w:r>
      <w:proofErr w:type="spellStart"/>
      <w:r w:rsidRPr="00937211">
        <w:rPr>
          <w:lang w:val="en-US"/>
        </w:rPr>
        <w:t>ziyade</w:t>
      </w:r>
      <w:proofErr w:type="spellEnd"/>
      <w:r w:rsidRPr="00937211">
        <w:rPr>
          <w:lang w:val="en-US"/>
        </w:rPr>
        <w:t xml:space="preserve">, </w:t>
      </w:r>
      <w:proofErr w:type="spellStart"/>
      <w:r w:rsidRPr="00937211">
        <w:rPr>
          <w:lang w:val="en-US"/>
        </w:rPr>
        <w:t>anayasanın</w:t>
      </w:r>
      <w:proofErr w:type="spellEnd"/>
      <w:r w:rsidRPr="00937211">
        <w:rPr>
          <w:lang w:val="en-US"/>
        </w:rPr>
        <w:t xml:space="preserve"> </w:t>
      </w:r>
      <w:proofErr w:type="spellStart"/>
      <w:r w:rsidRPr="00937211">
        <w:rPr>
          <w:lang w:val="en-US"/>
        </w:rPr>
        <w:t>pratik</w:t>
      </w:r>
      <w:proofErr w:type="spellEnd"/>
      <w:r w:rsidRPr="00937211">
        <w:rPr>
          <w:lang w:val="en-US"/>
        </w:rPr>
        <w:t xml:space="preserve"> </w:t>
      </w:r>
      <w:proofErr w:type="spellStart"/>
      <w:r w:rsidRPr="00937211">
        <w:rPr>
          <w:lang w:val="en-US"/>
        </w:rPr>
        <w:t>etkileri</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sonuçları</w:t>
      </w:r>
      <w:proofErr w:type="spellEnd"/>
      <w:r w:rsidRPr="00937211">
        <w:rPr>
          <w:lang w:val="en-US"/>
        </w:rPr>
        <w:t xml:space="preserve"> </w:t>
      </w:r>
      <w:proofErr w:type="spellStart"/>
      <w:r w:rsidRPr="00937211">
        <w:rPr>
          <w:lang w:val="en-US"/>
        </w:rPr>
        <w:t>üzerine</w:t>
      </w:r>
      <w:proofErr w:type="spellEnd"/>
      <w:r w:rsidRPr="00937211">
        <w:rPr>
          <w:lang w:val="en-US"/>
        </w:rPr>
        <w:t xml:space="preserve"> </w:t>
      </w:r>
      <w:proofErr w:type="spellStart"/>
      <w:r w:rsidRPr="00937211">
        <w:rPr>
          <w:lang w:val="en-US"/>
        </w:rPr>
        <w:t>odaklanan</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yaklaşımı</w:t>
      </w:r>
      <w:proofErr w:type="spellEnd"/>
      <w:r w:rsidRPr="00937211">
        <w:rPr>
          <w:lang w:val="en-US"/>
        </w:rPr>
        <w:t xml:space="preserve"> </w:t>
      </w:r>
      <w:proofErr w:type="spellStart"/>
      <w:r w:rsidRPr="00937211">
        <w:rPr>
          <w:lang w:val="en-US"/>
        </w:rPr>
        <w:t>benimsemektedir</w:t>
      </w:r>
      <w:proofErr w:type="spellEnd"/>
      <w:r w:rsidRPr="00937211">
        <w:rPr>
          <w:lang w:val="en-US"/>
        </w:rPr>
        <w:t>.</w:t>
      </w:r>
    </w:p>
    <w:p w14:paraId="1C0F197E" w14:textId="7A6AB022" w:rsidR="00937211" w:rsidRDefault="00937211" w:rsidP="00937211">
      <w:pPr>
        <w:rPr>
          <w:lang w:val="en-US"/>
        </w:rPr>
      </w:pPr>
      <w:proofErr w:type="spellStart"/>
      <w:r w:rsidRPr="00937211">
        <w:rPr>
          <w:lang w:val="en-US"/>
        </w:rPr>
        <w:lastRenderedPageBreak/>
        <w:t>İkinci</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tarih</w:t>
      </w:r>
      <w:proofErr w:type="spellEnd"/>
      <w:r w:rsidRPr="00937211">
        <w:rPr>
          <w:lang w:val="en-US"/>
        </w:rPr>
        <w:t xml:space="preserve">, </w:t>
      </w:r>
      <w:proofErr w:type="spellStart"/>
      <w:r w:rsidRPr="00937211">
        <w:rPr>
          <w:lang w:val="en-US"/>
        </w:rPr>
        <w:t>siyaset</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kültürün</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uygulamalarımızı</w:t>
      </w:r>
      <w:proofErr w:type="spellEnd"/>
      <w:r w:rsidRPr="00937211">
        <w:rPr>
          <w:lang w:val="en-US"/>
        </w:rPr>
        <w:t xml:space="preserve"> </w:t>
      </w:r>
      <w:proofErr w:type="spellStart"/>
      <w:r w:rsidRPr="00937211">
        <w:rPr>
          <w:lang w:val="en-US"/>
        </w:rPr>
        <w:t>nasıl</w:t>
      </w:r>
      <w:proofErr w:type="spellEnd"/>
      <w:r w:rsidRPr="00937211">
        <w:rPr>
          <w:lang w:val="en-US"/>
        </w:rPr>
        <w:t xml:space="preserve"> </w:t>
      </w:r>
      <w:proofErr w:type="spellStart"/>
      <w:r w:rsidRPr="00937211">
        <w:rPr>
          <w:lang w:val="en-US"/>
        </w:rPr>
        <w:t>şekillendirdiğine</w:t>
      </w:r>
      <w:proofErr w:type="spellEnd"/>
      <w:r w:rsidRPr="00937211">
        <w:rPr>
          <w:lang w:val="en-US"/>
        </w:rPr>
        <w:t xml:space="preserve"> </w:t>
      </w:r>
      <w:proofErr w:type="spellStart"/>
      <w:r w:rsidRPr="00937211">
        <w:rPr>
          <w:lang w:val="en-US"/>
        </w:rPr>
        <w:t>dair</w:t>
      </w:r>
      <w:proofErr w:type="spellEnd"/>
      <w:r w:rsidRPr="00937211">
        <w:rPr>
          <w:lang w:val="en-US"/>
        </w:rPr>
        <w:t xml:space="preserve"> </w:t>
      </w:r>
      <w:proofErr w:type="spellStart"/>
      <w:r w:rsidRPr="00937211">
        <w:rPr>
          <w:lang w:val="en-US"/>
        </w:rPr>
        <w:t>en</w:t>
      </w:r>
      <w:proofErr w:type="spellEnd"/>
      <w:r w:rsidRPr="00937211">
        <w:rPr>
          <w:lang w:val="en-US"/>
        </w:rPr>
        <w:t xml:space="preserve"> iyi </w:t>
      </w:r>
      <w:proofErr w:type="spellStart"/>
      <w:r w:rsidRPr="00937211">
        <w:rPr>
          <w:lang w:val="en-US"/>
        </w:rPr>
        <w:t>çalışmaların</w:t>
      </w:r>
      <w:proofErr w:type="spellEnd"/>
      <w:r w:rsidRPr="00937211">
        <w:rPr>
          <w:lang w:val="en-US"/>
        </w:rPr>
        <w:t xml:space="preserve"> </w:t>
      </w:r>
      <w:proofErr w:type="spellStart"/>
      <w:r w:rsidRPr="00937211">
        <w:rPr>
          <w:lang w:val="en-US"/>
        </w:rPr>
        <w:t>bazıları</w:t>
      </w:r>
      <w:proofErr w:type="spellEnd"/>
      <w:r w:rsidRPr="00937211">
        <w:rPr>
          <w:lang w:val="en-US"/>
        </w:rPr>
        <w:t xml:space="preserve">, zaman </w:t>
      </w:r>
      <w:proofErr w:type="spellStart"/>
      <w:r w:rsidRPr="00937211">
        <w:rPr>
          <w:lang w:val="en-US"/>
        </w:rPr>
        <w:t>ufuklarını</w:t>
      </w:r>
      <w:proofErr w:type="spellEnd"/>
      <w:r w:rsidRPr="00937211">
        <w:rPr>
          <w:lang w:val="en-US"/>
        </w:rPr>
        <w:t xml:space="preserve"> </w:t>
      </w:r>
      <w:proofErr w:type="spellStart"/>
      <w:r w:rsidRPr="00937211">
        <w:rPr>
          <w:lang w:val="en-US"/>
        </w:rPr>
        <w:t>yapay</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şekilde</w:t>
      </w:r>
      <w:proofErr w:type="spellEnd"/>
      <w:r w:rsidRPr="00937211">
        <w:rPr>
          <w:lang w:val="en-US"/>
        </w:rPr>
        <w:t xml:space="preserve"> </w:t>
      </w:r>
      <w:proofErr w:type="spellStart"/>
      <w:r w:rsidRPr="00937211">
        <w:rPr>
          <w:lang w:val="en-US"/>
        </w:rPr>
        <w:t>daraltarak</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yapımızın</w:t>
      </w:r>
      <w:proofErr w:type="spellEnd"/>
      <w:r w:rsidRPr="00937211">
        <w:rPr>
          <w:lang w:val="en-US"/>
        </w:rPr>
        <w:t xml:space="preserve"> </w:t>
      </w:r>
      <w:proofErr w:type="spellStart"/>
      <w:r w:rsidRPr="00937211">
        <w:rPr>
          <w:lang w:val="en-US"/>
        </w:rPr>
        <w:t>istikrara</w:t>
      </w:r>
      <w:proofErr w:type="spellEnd"/>
      <w:r w:rsidRPr="00937211">
        <w:rPr>
          <w:lang w:val="en-US"/>
        </w:rPr>
        <w:t xml:space="preserve"> </w:t>
      </w:r>
      <w:proofErr w:type="spellStart"/>
      <w:r w:rsidRPr="00937211">
        <w:rPr>
          <w:lang w:val="en-US"/>
        </w:rPr>
        <w:t>kavuştuğu</w:t>
      </w:r>
      <w:proofErr w:type="spellEnd"/>
      <w:r w:rsidRPr="00937211">
        <w:rPr>
          <w:lang w:val="en-US"/>
        </w:rPr>
        <w:t xml:space="preserve"> </w:t>
      </w:r>
      <w:proofErr w:type="spellStart"/>
      <w:r w:rsidRPr="00937211">
        <w:rPr>
          <w:lang w:val="en-US"/>
        </w:rPr>
        <w:t>yönündeki</w:t>
      </w:r>
      <w:proofErr w:type="spellEnd"/>
      <w:r w:rsidRPr="00937211">
        <w:rPr>
          <w:lang w:val="en-US"/>
        </w:rPr>
        <w:t xml:space="preserve"> </w:t>
      </w:r>
      <w:proofErr w:type="spellStart"/>
      <w:r w:rsidRPr="00937211">
        <w:rPr>
          <w:lang w:val="en-US"/>
        </w:rPr>
        <w:t>yanlış</w:t>
      </w:r>
      <w:proofErr w:type="spellEnd"/>
      <w:r w:rsidRPr="00937211">
        <w:rPr>
          <w:lang w:val="en-US"/>
        </w:rPr>
        <w:t xml:space="preserve"> </w:t>
      </w:r>
      <w:proofErr w:type="spellStart"/>
      <w:r w:rsidRPr="00937211">
        <w:rPr>
          <w:lang w:val="en-US"/>
        </w:rPr>
        <w:t>algıyı</w:t>
      </w:r>
      <w:proofErr w:type="spellEnd"/>
      <w:r w:rsidRPr="00937211">
        <w:rPr>
          <w:lang w:val="en-US"/>
        </w:rPr>
        <w:t xml:space="preserve"> doğurmaktadır.²⁰⁴</w:t>
      </w:r>
      <w:r>
        <w:rPr>
          <w:lang w:val="en-US"/>
        </w:rPr>
        <w:t xml:space="preserve"> </w:t>
      </w:r>
      <w:r>
        <w:rPr>
          <w:rStyle w:val="FootnoteReference"/>
          <w:lang w:val="en-US"/>
        </w:rPr>
        <w:footnoteReference w:id="204"/>
      </w:r>
      <w:r w:rsidRPr="00937211">
        <w:rPr>
          <w:lang w:val="en-US"/>
        </w:rPr>
        <w:t xml:space="preserve"> Bu </w:t>
      </w:r>
      <w:proofErr w:type="spellStart"/>
      <w:r w:rsidRPr="00937211">
        <w:rPr>
          <w:lang w:val="en-US"/>
        </w:rPr>
        <w:t>tür</w:t>
      </w:r>
      <w:proofErr w:type="spellEnd"/>
      <w:r w:rsidRPr="00937211">
        <w:rPr>
          <w:lang w:val="en-US"/>
        </w:rPr>
        <w:t xml:space="preserve"> </w:t>
      </w:r>
      <w:proofErr w:type="spellStart"/>
      <w:r w:rsidRPr="00937211">
        <w:rPr>
          <w:lang w:val="en-US"/>
        </w:rPr>
        <w:t>çalışmalar</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uygulamalarımızın</w:t>
      </w:r>
      <w:proofErr w:type="spellEnd"/>
      <w:r w:rsidRPr="00937211">
        <w:rPr>
          <w:lang w:val="en-US"/>
        </w:rPr>
        <w:t xml:space="preserve">, </w:t>
      </w:r>
      <w:proofErr w:type="spellStart"/>
      <w:r w:rsidRPr="00937211">
        <w:rPr>
          <w:lang w:val="en-US"/>
        </w:rPr>
        <w:t>kurumsal</w:t>
      </w:r>
      <w:proofErr w:type="spellEnd"/>
      <w:r w:rsidRPr="00937211">
        <w:rPr>
          <w:lang w:val="en-US"/>
        </w:rPr>
        <w:t xml:space="preserve"> </w:t>
      </w:r>
      <w:proofErr w:type="spellStart"/>
      <w:r w:rsidRPr="00937211">
        <w:rPr>
          <w:lang w:val="en-US"/>
        </w:rPr>
        <w:t>düzenlemelerimizin</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düşünce</w:t>
      </w:r>
      <w:proofErr w:type="spellEnd"/>
      <w:r w:rsidRPr="00937211">
        <w:rPr>
          <w:lang w:val="en-US"/>
        </w:rPr>
        <w:t xml:space="preserve"> </w:t>
      </w:r>
      <w:proofErr w:type="spellStart"/>
      <w:r w:rsidRPr="00937211">
        <w:rPr>
          <w:lang w:val="en-US"/>
        </w:rPr>
        <w:t>alışkanlıklarımızın</w:t>
      </w:r>
      <w:proofErr w:type="spellEnd"/>
      <w:r w:rsidRPr="00937211">
        <w:rPr>
          <w:lang w:val="en-US"/>
        </w:rPr>
        <w:t xml:space="preserve"> </w:t>
      </w:r>
      <w:proofErr w:type="spellStart"/>
      <w:r w:rsidRPr="00937211">
        <w:rPr>
          <w:lang w:val="en-US"/>
        </w:rPr>
        <w:t>olumsallığını</w:t>
      </w:r>
      <w:proofErr w:type="spellEnd"/>
      <w:r w:rsidRPr="00937211">
        <w:rPr>
          <w:lang w:val="en-US"/>
        </w:rPr>
        <w:t xml:space="preserve"> (contingency) </w:t>
      </w:r>
      <w:proofErr w:type="spellStart"/>
      <w:r w:rsidRPr="00937211">
        <w:rPr>
          <w:lang w:val="en-US"/>
        </w:rPr>
        <w:t>kabul</w:t>
      </w:r>
      <w:proofErr w:type="spellEnd"/>
      <w:r w:rsidRPr="00937211">
        <w:rPr>
          <w:lang w:val="en-US"/>
        </w:rPr>
        <w:t xml:space="preserve"> </w:t>
      </w:r>
      <w:proofErr w:type="spellStart"/>
      <w:r w:rsidRPr="00937211">
        <w:rPr>
          <w:lang w:val="en-US"/>
        </w:rPr>
        <w:t>etmekle</w:t>
      </w:r>
      <w:proofErr w:type="spellEnd"/>
      <w:r w:rsidRPr="00937211">
        <w:rPr>
          <w:lang w:val="en-US"/>
        </w:rPr>
        <w:t xml:space="preserve"> </w:t>
      </w:r>
      <w:proofErr w:type="spellStart"/>
      <w:r w:rsidRPr="00937211">
        <w:rPr>
          <w:lang w:val="en-US"/>
        </w:rPr>
        <w:t>birlikte</w:t>
      </w:r>
      <w:proofErr w:type="spellEnd"/>
      <w:r w:rsidRPr="00937211">
        <w:rPr>
          <w:lang w:val="en-US"/>
        </w:rPr>
        <w:t xml:space="preserve">, </w:t>
      </w:r>
      <w:proofErr w:type="spellStart"/>
      <w:r w:rsidRPr="00937211">
        <w:rPr>
          <w:lang w:val="en-US"/>
        </w:rPr>
        <w:t>kasıtlı</w:t>
      </w:r>
      <w:proofErr w:type="spellEnd"/>
      <w:r w:rsidRPr="00937211">
        <w:rPr>
          <w:lang w:val="en-US"/>
        </w:rPr>
        <w:t xml:space="preserve"> </w:t>
      </w:r>
      <w:proofErr w:type="spellStart"/>
      <w:r w:rsidRPr="00937211">
        <w:rPr>
          <w:lang w:val="en-US"/>
        </w:rPr>
        <w:t>veya</w:t>
      </w:r>
      <w:proofErr w:type="spellEnd"/>
      <w:r w:rsidRPr="00937211">
        <w:rPr>
          <w:lang w:val="en-US"/>
        </w:rPr>
        <w:t xml:space="preserve"> </w:t>
      </w:r>
      <w:proofErr w:type="spellStart"/>
      <w:r w:rsidRPr="00937211">
        <w:rPr>
          <w:lang w:val="en-US"/>
        </w:rPr>
        <w:t>kasıtsız</w:t>
      </w:r>
      <w:proofErr w:type="spellEnd"/>
      <w:r w:rsidRPr="00937211">
        <w:rPr>
          <w:lang w:val="en-US"/>
        </w:rPr>
        <w:t xml:space="preserve"> </w:t>
      </w:r>
      <w:proofErr w:type="spellStart"/>
      <w:r w:rsidRPr="00937211">
        <w:rPr>
          <w:lang w:val="en-US"/>
        </w:rPr>
        <w:t>olarak</w:t>
      </w:r>
      <w:proofErr w:type="spellEnd"/>
      <w:r w:rsidRPr="00937211">
        <w:rPr>
          <w:lang w:val="en-US"/>
        </w:rPr>
        <w:t xml:space="preserve">, ana </w:t>
      </w:r>
      <w:proofErr w:type="spellStart"/>
      <w:r w:rsidRPr="00937211">
        <w:rPr>
          <w:lang w:val="en-US"/>
        </w:rPr>
        <w:t>akım</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teorisinin</w:t>
      </w:r>
      <w:proofErr w:type="spellEnd"/>
      <w:r w:rsidRPr="00937211">
        <w:rPr>
          <w:lang w:val="en-US"/>
        </w:rPr>
        <w:t xml:space="preserve"> </w:t>
      </w:r>
      <w:proofErr w:type="spellStart"/>
      <w:r w:rsidRPr="00937211">
        <w:rPr>
          <w:lang w:val="en-US"/>
        </w:rPr>
        <w:t>bazı</w:t>
      </w:r>
      <w:proofErr w:type="spellEnd"/>
      <w:r w:rsidRPr="00937211">
        <w:rPr>
          <w:lang w:val="en-US"/>
        </w:rPr>
        <w:t xml:space="preserve"> </w:t>
      </w:r>
      <w:proofErr w:type="spellStart"/>
      <w:r w:rsidRPr="00937211">
        <w:rPr>
          <w:lang w:val="en-US"/>
        </w:rPr>
        <w:t>kusurlarına</w:t>
      </w:r>
      <w:proofErr w:type="spellEnd"/>
      <w:r w:rsidRPr="00937211">
        <w:rPr>
          <w:lang w:val="en-US"/>
        </w:rPr>
        <w:t xml:space="preserve"> </w:t>
      </w:r>
      <w:proofErr w:type="spellStart"/>
      <w:r w:rsidRPr="00937211">
        <w:rPr>
          <w:lang w:val="en-US"/>
        </w:rPr>
        <w:t>düşmektedir</w:t>
      </w:r>
      <w:proofErr w:type="spellEnd"/>
      <w:r w:rsidRPr="00937211">
        <w:rPr>
          <w:lang w:val="en-US"/>
        </w:rPr>
        <w:t xml:space="preserve">: </w:t>
      </w:r>
      <w:proofErr w:type="spellStart"/>
      <w:r w:rsidRPr="00937211">
        <w:rPr>
          <w:lang w:val="en-US"/>
        </w:rPr>
        <w:t>mevcut</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kültürümüzün</w:t>
      </w:r>
      <w:proofErr w:type="spellEnd"/>
      <w:r w:rsidRPr="00937211">
        <w:rPr>
          <w:lang w:val="en-US"/>
        </w:rPr>
        <w:t xml:space="preserve"> </w:t>
      </w:r>
      <w:proofErr w:type="spellStart"/>
      <w:r w:rsidRPr="00937211">
        <w:rPr>
          <w:lang w:val="en-US"/>
        </w:rPr>
        <w:t>istikrarını</w:t>
      </w:r>
      <w:proofErr w:type="spellEnd"/>
      <w:r w:rsidRPr="00937211">
        <w:rPr>
          <w:lang w:val="en-US"/>
        </w:rPr>
        <w:t xml:space="preserve"> </w:t>
      </w:r>
      <w:proofErr w:type="spellStart"/>
      <w:r w:rsidRPr="00937211">
        <w:rPr>
          <w:lang w:val="en-US"/>
        </w:rPr>
        <w:t>gereğinden</w:t>
      </w:r>
      <w:proofErr w:type="spellEnd"/>
      <w:r w:rsidRPr="00937211">
        <w:rPr>
          <w:lang w:val="en-US"/>
        </w:rPr>
        <w:t xml:space="preserve"> </w:t>
      </w:r>
      <w:proofErr w:type="spellStart"/>
      <w:r w:rsidRPr="00937211">
        <w:rPr>
          <w:lang w:val="en-US"/>
        </w:rPr>
        <w:t>fazla</w:t>
      </w:r>
      <w:proofErr w:type="spellEnd"/>
      <w:r w:rsidRPr="00937211">
        <w:rPr>
          <w:lang w:val="en-US"/>
        </w:rPr>
        <w:t xml:space="preserve"> </w:t>
      </w:r>
      <w:proofErr w:type="spellStart"/>
      <w:r w:rsidRPr="00937211">
        <w:rPr>
          <w:lang w:val="en-US"/>
        </w:rPr>
        <w:t>vurgulamak</w:t>
      </w:r>
      <w:proofErr w:type="spellEnd"/>
      <w:r w:rsidRPr="00937211">
        <w:rPr>
          <w:lang w:val="en-US"/>
        </w:rPr>
        <w:t xml:space="preserve">, </w:t>
      </w:r>
      <w:proofErr w:type="spellStart"/>
      <w:r w:rsidRPr="00937211">
        <w:rPr>
          <w:lang w:val="en-US"/>
        </w:rPr>
        <w:t>daha</w:t>
      </w:r>
      <w:proofErr w:type="spellEnd"/>
      <w:r w:rsidRPr="00937211">
        <w:rPr>
          <w:lang w:val="en-US"/>
        </w:rPr>
        <w:t xml:space="preserve"> yeni </w:t>
      </w:r>
      <w:proofErr w:type="spellStart"/>
      <w:r w:rsidRPr="00937211">
        <w:rPr>
          <w:lang w:val="en-US"/>
        </w:rPr>
        <w:t>anayasal</w:t>
      </w:r>
      <w:proofErr w:type="spellEnd"/>
      <w:r w:rsidRPr="00937211">
        <w:rPr>
          <w:lang w:val="en-US"/>
        </w:rPr>
        <w:t xml:space="preserve"> </w:t>
      </w:r>
      <w:proofErr w:type="spellStart"/>
      <w:r w:rsidRPr="00937211">
        <w:rPr>
          <w:lang w:val="en-US"/>
        </w:rPr>
        <w:t>uygulamaları</w:t>
      </w:r>
      <w:proofErr w:type="spellEnd"/>
      <w:r w:rsidRPr="00937211">
        <w:rPr>
          <w:lang w:val="en-US"/>
        </w:rPr>
        <w:t xml:space="preserve"> </w:t>
      </w:r>
      <w:proofErr w:type="spellStart"/>
      <w:r w:rsidRPr="00937211">
        <w:rPr>
          <w:lang w:val="en-US"/>
        </w:rPr>
        <w:t>göz</w:t>
      </w:r>
      <w:proofErr w:type="spellEnd"/>
      <w:r w:rsidRPr="00937211">
        <w:rPr>
          <w:lang w:val="en-US"/>
        </w:rPr>
        <w:t xml:space="preserve"> </w:t>
      </w:r>
      <w:proofErr w:type="spellStart"/>
      <w:r w:rsidRPr="00937211">
        <w:rPr>
          <w:lang w:val="en-US"/>
        </w:rPr>
        <w:t>ardı</w:t>
      </w:r>
      <w:proofErr w:type="spellEnd"/>
      <w:r w:rsidRPr="00937211">
        <w:rPr>
          <w:lang w:val="en-US"/>
        </w:rPr>
        <w:t xml:space="preserve"> </w:t>
      </w:r>
      <w:proofErr w:type="spellStart"/>
      <w:r w:rsidRPr="00937211">
        <w:rPr>
          <w:lang w:val="en-US"/>
        </w:rPr>
        <w:t>etmek</w:t>
      </w:r>
      <w:proofErr w:type="spellEnd"/>
      <w:r w:rsidRPr="00937211">
        <w:rPr>
          <w:lang w:val="en-US"/>
        </w:rPr>
        <w:t xml:space="preserve"> </w:t>
      </w:r>
      <w:proofErr w:type="spellStart"/>
      <w:r w:rsidRPr="00937211">
        <w:rPr>
          <w:lang w:val="en-US"/>
        </w:rPr>
        <w:t>veya</w:t>
      </w:r>
      <w:proofErr w:type="spellEnd"/>
      <w:r w:rsidRPr="00937211">
        <w:rPr>
          <w:lang w:val="en-US"/>
        </w:rPr>
        <w:t xml:space="preserve"> </w:t>
      </w:r>
      <w:proofErr w:type="spellStart"/>
      <w:r w:rsidRPr="00937211">
        <w:rPr>
          <w:lang w:val="en-US"/>
        </w:rPr>
        <w:t>önemini</w:t>
      </w:r>
      <w:proofErr w:type="spellEnd"/>
      <w:r w:rsidRPr="00937211">
        <w:rPr>
          <w:lang w:val="en-US"/>
        </w:rPr>
        <w:t xml:space="preserve"> </w:t>
      </w:r>
      <w:proofErr w:type="spellStart"/>
      <w:r w:rsidRPr="00937211">
        <w:rPr>
          <w:lang w:val="en-US"/>
        </w:rPr>
        <w:t>azaltmak</w:t>
      </w:r>
      <w:proofErr w:type="spellEnd"/>
      <w:r w:rsidRPr="00937211">
        <w:rPr>
          <w:lang w:val="en-US"/>
        </w:rPr>
        <w:t xml:space="preserve">, </w:t>
      </w:r>
      <w:proofErr w:type="spellStart"/>
      <w:r w:rsidRPr="00937211">
        <w:rPr>
          <w:lang w:val="en-US"/>
        </w:rPr>
        <w:t>belirli</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zamandaki</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uygulamalarımızın</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kurumlarımızın</w:t>
      </w:r>
      <w:proofErr w:type="spellEnd"/>
      <w:r w:rsidRPr="00937211">
        <w:rPr>
          <w:lang w:val="en-US"/>
        </w:rPr>
        <w:t xml:space="preserve"> </w:t>
      </w:r>
      <w:proofErr w:type="spellStart"/>
      <w:r w:rsidRPr="00937211">
        <w:rPr>
          <w:lang w:val="en-US"/>
        </w:rPr>
        <w:t>ayrıntılı</w:t>
      </w:r>
      <w:proofErr w:type="spellEnd"/>
      <w:r w:rsidRPr="00937211">
        <w:rPr>
          <w:lang w:val="en-US"/>
        </w:rPr>
        <w:t xml:space="preserve"> </w:t>
      </w:r>
      <w:proofErr w:type="spellStart"/>
      <w:r w:rsidRPr="00937211">
        <w:rPr>
          <w:lang w:val="en-US"/>
        </w:rPr>
        <w:t>betimlemelerini</w:t>
      </w:r>
      <w:proofErr w:type="spellEnd"/>
      <w:r w:rsidRPr="00937211">
        <w:rPr>
          <w:lang w:val="en-US"/>
        </w:rPr>
        <w:t xml:space="preserve"> </w:t>
      </w:r>
      <w:proofErr w:type="spellStart"/>
      <w:r w:rsidRPr="00937211">
        <w:rPr>
          <w:lang w:val="en-US"/>
        </w:rPr>
        <w:t>daha</w:t>
      </w:r>
      <w:proofErr w:type="spellEnd"/>
      <w:r w:rsidRPr="00937211">
        <w:rPr>
          <w:lang w:val="en-US"/>
        </w:rPr>
        <w:t xml:space="preserve"> </w:t>
      </w:r>
      <w:proofErr w:type="spellStart"/>
      <w:r w:rsidRPr="00937211">
        <w:rPr>
          <w:lang w:val="en-US"/>
        </w:rPr>
        <w:t>geniş</w:t>
      </w:r>
      <w:proofErr w:type="spellEnd"/>
      <w:r w:rsidRPr="00937211">
        <w:rPr>
          <w:lang w:val="en-US"/>
        </w:rPr>
        <w:t xml:space="preserve"> zaman </w:t>
      </w:r>
      <w:proofErr w:type="spellStart"/>
      <w:r w:rsidRPr="00937211">
        <w:rPr>
          <w:lang w:val="en-US"/>
        </w:rPr>
        <w:t>dilimleri</w:t>
      </w:r>
      <w:proofErr w:type="spellEnd"/>
      <w:r w:rsidRPr="00937211">
        <w:rPr>
          <w:lang w:val="en-US"/>
        </w:rPr>
        <w:t xml:space="preserve"> </w:t>
      </w:r>
      <w:proofErr w:type="spellStart"/>
      <w:r w:rsidRPr="00937211">
        <w:rPr>
          <w:lang w:val="en-US"/>
        </w:rPr>
        <w:t>için</w:t>
      </w:r>
      <w:proofErr w:type="spellEnd"/>
      <w:r w:rsidRPr="00937211">
        <w:rPr>
          <w:lang w:val="en-US"/>
        </w:rPr>
        <w:t xml:space="preserve"> </w:t>
      </w:r>
      <w:proofErr w:type="spellStart"/>
      <w:r w:rsidRPr="00937211">
        <w:rPr>
          <w:lang w:val="en-US"/>
        </w:rPr>
        <w:t>geçerli</w:t>
      </w:r>
      <w:proofErr w:type="spellEnd"/>
      <w:r w:rsidRPr="00937211">
        <w:rPr>
          <w:lang w:val="en-US"/>
        </w:rPr>
        <w:t xml:space="preserve"> </w:t>
      </w:r>
      <w:proofErr w:type="spellStart"/>
      <w:r w:rsidRPr="00937211">
        <w:rPr>
          <w:lang w:val="en-US"/>
        </w:rPr>
        <w:t>olan</w:t>
      </w:r>
      <w:proofErr w:type="spellEnd"/>
      <w:r w:rsidRPr="00937211">
        <w:rPr>
          <w:lang w:val="en-US"/>
        </w:rPr>
        <w:t xml:space="preserve"> </w:t>
      </w:r>
      <w:proofErr w:type="spellStart"/>
      <w:r w:rsidRPr="00937211">
        <w:rPr>
          <w:lang w:val="en-US"/>
        </w:rPr>
        <w:t>yüzeysel</w:t>
      </w:r>
      <w:proofErr w:type="spellEnd"/>
      <w:r w:rsidRPr="00937211">
        <w:rPr>
          <w:lang w:val="en-US"/>
        </w:rPr>
        <w:t xml:space="preserve"> </w:t>
      </w:r>
      <w:proofErr w:type="spellStart"/>
      <w:r w:rsidRPr="00937211">
        <w:rPr>
          <w:lang w:val="en-US"/>
        </w:rPr>
        <w:t>anlatılara</w:t>
      </w:r>
      <w:proofErr w:type="spellEnd"/>
      <w:r w:rsidRPr="00937211">
        <w:rPr>
          <w:lang w:val="en-US"/>
        </w:rPr>
        <w:t xml:space="preserve"> </w:t>
      </w:r>
      <w:proofErr w:type="spellStart"/>
      <w:r w:rsidRPr="00937211">
        <w:rPr>
          <w:lang w:val="en-US"/>
        </w:rPr>
        <w:t>feda</w:t>
      </w:r>
      <w:proofErr w:type="spellEnd"/>
      <w:r w:rsidRPr="00937211">
        <w:rPr>
          <w:lang w:val="en-US"/>
        </w:rPr>
        <w:t xml:space="preserve"> </w:t>
      </w:r>
      <w:proofErr w:type="spellStart"/>
      <w:r w:rsidRPr="00937211">
        <w:rPr>
          <w:lang w:val="en-US"/>
        </w:rPr>
        <w:t>etmek</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düzenimizin</w:t>
      </w:r>
      <w:proofErr w:type="spellEnd"/>
      <w:r w:rsidRPr="00937211">
        <w:rPr>
          <w:lang w:val="en-US"/>
        </w:rPr>
        <w:t xml:space="preserve"> ne </w:t>
      </w:r>
      <w:proofErr w:type="spellStart"/>
      <w:r w:rsidRPr="00937211">
        <w:rPr>
          <w:lang w:val="en-US"/>
        </w:rPr>
        <w:t>kadar</w:t>
      </w:r>
      <w:proofErr w:type="spellEnd"/>
      <w:r w:rsidRPr="00937211">
        <w:rPr>
          <w:lang w:val="en-US"/>
        </w:rPr>
        <w:t xml:space="preserve"> iyi </w:t>
      </w:r>
      <w:proofErr w:type="spellStart"/>
      <w:r w:rsidRPr="00937211">
        <w:rPr>
          <w:lang w:val="en-US"/>
        </w:rPr>
        <w:t>işlediğine</w:t>
      </w:r>
      <w:proofErr w:type="spellEnd"/>
      <w:r w:rsidRPr="00937211">
        <w:rPr>
          <w:lang w:val="en-US"/>
        </w:rPr>
        <w:t xml:space="preserve"> </w:t>
      </w:r>
      <w:proofErr w:type="spellStart"/>
      <w:r w:rsidRPr="00937211">
        <w:rPr>
          <w:lang w:val="en-US"/>
        </w:rPr>
        <w:t>dair</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tür</w:t>
      </w:r>
      <w:proofErr w:type="spellEnd"/>
      <w:r w:rsidRPr="00937211">
        <w:rPr>
          <w:lang w:val="en-US"/>
        </w:rPr>
        <w:t xml:space="preserve"> Whig </w:t>
      </w:r>
      <w:proofErr w:type="spellStart"/>
      <w:r w:rsidRPr="00937211">
        <w:rPr>
          <w:lang w:val="en-US"/>
        </w:rPr>
        <w:t>tarih</w:t>
      </w:r>
      <w:proofErr w:type="spellEnd"/>
      <w:r w:rsidRPr="00937211">
        <w:rPr>
          <w:lang w:val="en-US"/>
        </w:rPr>
        <w:t xml:space="preserve"> </w:t>
      </w:r>
      <w:proofErr w:type="spellStart"/>
      <w:r w:rsidRPr="00937211">
        <w:rPr>
          <w:lang w:val="en-US"/>
        </w:rPr>
        <w:t>anlayışıyla</w:t>
      </w:r>
      <w:proofErr w:type="spellEnd"/>
      <w:r w:rsidRPr="00937211">
        <w:rPr>
          <w:lang w:val="en-US"/>
        </w:rPr>
        <w:t xml:space="preserve"> </w:t>
      </w:r>
      <w:proofErr w:type="spellStart"/>
      <w:r w:rsidRPr="00937211">
        <w:rPr>
          <w:lang w:val="en-US"/>
        </w:rPr>
        <w:t>aşırı</w:t>
      </w:r>
      <w:proofErr w:type="spellEnd"/>
      <w:r w:rsidRPr="00937211">
        <w:rPr>
          <w:lang w:val="en-US"/>
        </w:rPr>
        <w:t xml:space="preserve"> </w:t>
      </w:r>
      <w:proofErr w:type="spellStart"/>
      <w:r w:rsidRPr="00937211">
        <w:rPr>
          <w:lang w:val="en-US"/>
        </w:rPr>
        <w:t>iyimser</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bakış</w:t>
      </w:r>
      <w:proofErr w:type="spellEnd"/>
      <w:r w:rsidRPr="00937211">
        <w:rPr>
          <w:lang w:val="en-US"/>
        </w:rPr>
        <w:t xml:space="preserve"> </w:t>
      </w:r>
      <w:proofErr w:type="spellStart"/>
      <w:r w:rsidRPr="00937211">
        <w:rPr>
          <w:lang w:val="en-US"/>
        </w:rPr>
        <w:t>açısını</w:t>
      </w:r>
      <w:proofErr w:type="spellEnd"/>
      <w:r w:rsidRPr="00937211">
        <w:rPr>
          <w:lang w:val="en-US"/>
        </w:rPr>
        <w:t xml:space="preserve"> </w:t>
      </w:r>
      <w:proofErr w:type="spellStart"/>
      <w:r w:rsidRPr="00937211">
        <w:rPr>
          <w:lang w:val="en-US"/>
        </w:rPr>
        <w:t>içeriye</w:t>
      </w:r>
      <w:proofErr w:type="spellEnd"/>
      <w:r w:rsidRPr="00937211">
        <w:rPr>
          <w:lang w:val="en-US"/>
        </w:rPr>
        <w:t xml:space="preserve"> sızdırmak.²⁰⁵</w:t>
      </w:r>
      <w:r>
        <w:rPr>
          <w:lang w:val="en-US"/>
        </w:rPr>
        <w:t xml:space="preserve"> </w:t>
      </w:r>
      <w:r>
        <w:rPr>
          <w:rStyle w:val="FootnoteReference"/>
          <w:lang w:val="en-US"/>
        </w:rPr>
        <w:footnoteReference w:id="205"/>
      </w:r>
      <w:r>
        <w:rPr>
          <w:lang w:val="en-US"/>
        </w:rPr>
        <w:t xml:space="preserve"> </w:t>
      </w:r>
      <w:r w:rsidRPr="00937211">
        <w:rPr>
          <w:lang w:val="en-US"/>
        </w:rPr>
        <w:t xml:space="preserve">Bu </w:t>
      </w:r>
      <w:proofErr w:type="spellStart"/>
      <w:r w:rsidRPr="00937211">
        <w:rPr>
          <w:lang w:val="en-US"/>
        </w:rPr>
        <w:t>çalışmalar</w:t>
      </w:r>
      <w:proofErr w:type="spellEnd"/>
      <w:r w:rsidRPr="00937211">
        <w:rPr>
          <w:lang w:val="en-US"/>
        </w:rPr>
        <w:t xml:space="preserve">, </w:t>
      </w:r>
      <w:proofErr w:type="spellStart"/>
      <w:r w:rsidRPr="00937211">
        <w:rPr>
          <w:lang w:val="en-US"/>
        </w:rPr>
        <w:t>kendi</w:t>
      </w:r>
      <w:proofErr w:type="spellEnd"/>
      <w:r w:rsidRPr="00937211">
        <w:rPr>
          <w:lang w:val="en-US"/>
        </w:rPr>
        <w:t xml:space="preserve"> </w:t>
      </w:r>
      <w:proofErr w:type="spellStart"/>
      <w:r w:rsidRPr="00937211">
        <w:rPr>
          <w:lang w:val="en-US"/>
        </w:rPr>
        <w:t>içlerinde</w:t>
      </w:r>
      <w:proofErr w:type="spellEnd"/>
      <w:r w:rsidRPr="00937211">
        <w:rPr>
          <w:lang w:val="en-US"/>
        </w:rPr>
        <w:t xml:space="preserve"> </w:t>
      </w:r>
      <w:proofErr w:type="spellStart"/>
      <w:r w:rsidRPr="00937211">
        <w:rPr>
          <w:lang w:val="en-US"/>
        </w:rPr>
        <w:t>çoğu</w:t>
      </w:r>
      <w:proofErr w:type="spellEnd"/>
      <w:r w:rsidRPr="00937211">
        <w:rPr>
          <w:lang w:val="en-US"/>
        </w:rPr>
        <w:t xml:space="preserve"> zaman son </w:t>
      </w:r>
      <w:proofErr w:type="spellStart"/>
      <w:r w:rsidRPr="00937211">
        <w:rPr>
          <w:lang w:val="en-US"/>
        </w:rPr>
        <w:t>derece</w:t>
      </w:r>
      <w:proofErr w:type="spellEnd"/>
      <w:r w:rsidRPr="00937211">
        <w:rPr>
          <w:lang w:val="en-US"/>
        </w:rPr>
        <w:t xml:space="preserve"> </w:t>
      </w:r>
      <w:proofErr w:type="spellStart"/>
      <w:r w:rsidRPr="00937211">
        <w:rPr>
          <w:lang w:val="en-US"/>
        </w:rPr>
        <w:t>başarılı</w:t>
      </w:r>
      <w:proofErr w:type="spellEnd"/>
      <w:r w:rsidRPr="00937211">
        <w:rPr>
          <w:lang w:val="en-US"/>
        </w:rPr>
        <w:t xml:space="preserve"> </w:t>
      </w:r>
      <w:proofErr w:type="spellStart"/>
      <w:r w:rsidRPr="00937211">
        <w:rPr>
          <w:lang w:val="en-US"/>
        </w:rPr>
        <w:t>olsa</w:t>
      </w:r>
      <w:proofErr w:type="spellEnd"/>
      <w:r w:rsidRPr="00937211">
        <w:rPr>
          <w:lang w:val="en-US"/>
        </w:rPr>
        <w:t xml:space="preserve"> da, </w:t>
      </w:r>
      <w:proofErr w:type="spellStart"/>
      <w:r w:rsidRPr="00937211">
        <w:rPr>
          <w:lang w:val="en-US"/>
        </w:rPr>
        <w:t>nihayetinde</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makalenin</w:t>
      </w:r>
      <w:proofErr w:type="spellEnd"/>
      <w:r w:rsidRPr="00937211">
        <w:rPr>
          <w:lang w:val="en-US"/>
        </w:rPr>
        <w:t xml:space="preserve"> </w:t>
      </w:r>
      <w:proofErr w:type="spellStart"/>
      <w:r w:rsidRPr="00937211">
        <w:rPr>
          <w:lang w:val="en-US"/>
        </w:rPr>
        <w:t>projesinden</w:t>
      </w:r>
      <w:proofErr w:type="spellEnd"/>
      <w:r w:rsidRPr="00937211">
        <w:rPr>
          <w:lang w:val="en-US"/>
        </w:rPr>
        <w:t xml:space="preserve"> </w:t>
      </w:r>
      <w:proofErr w:type="spellStart"/>
      <w:r w:rsidRPr="00937211">
        <w:rPr>
          <w:lang w:val="en-US"/>
        </w:rPr>
        <w:t>farklı</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yaklaşıma</w:t>
      </w:r>
      <w:proofErr w:type="spellEnd"/>
      <w:r w:rsidRPr="00937211">
        <w:rPr>
          <w:lang w:val="en-US"/>
        </w:rPr>
        <w:t xml:space="preserve"> </w:t>
      </w:r>
      <w:proofErr w:type="spellStart"/>
      <w:r w:rsidRPr="00937211">
        <w:rPr>
          <w:lang w:val="en-US"/>
        </w:rPr>
        <w:t>dayanmaktadır</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yalnızca</w:t>
      </w:r>
      <w:proofErr w:type="spellEnd"/>
      <w:r w:rsidRPr="00937211">
        <w:rPr>
          <w:lang w:val="en-US"/>
        </w:rPr>
        <w:t xml:space="preserve"> </w:t>
      </w:r>
      <w:proofErr w:type="spellStart"/>
      <w:r w:rsidRPr="00937211">
        <w:rPr>
          <w:lang w:val="en-US"/>
        </w:rPr>
        <w:t>kısmen</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makalenin</w:t>
      </w:r>
      <w:proofErr w:type="spellEnd"/>
      <w:r w:rsidRPr="00937211">
        <w:rPr>
          <w:lang w:val="en-US"/>
        </w:rPr>
        <w:t xml:space="preserve"> </w:t>
      </w:r>
      <w:proofErr w:type="spellStart"/>
      <w:r w:rsidRPr="00937211">
        <w:rPr>
          <w:lang w:val="en-US"/>
        </w:rPr>
        <w:t>perspektifiyle</w:t>
      </w:r>
      <w:proofErr w:type="spellEnd"/>
      <w:r w:rsidRPr="00937211">
        <w:rPr>
          <w:lang w:val="en-US"/>
        </w:rPr>
        <w:t xml:space="preserve"> </w:t>
      </w:r>
      <w:proofErr w:type="spellStart"/>
      <w:r w:rsidRPr="00937211">
        <w:rPr>
          <w:lang w:val="en-US"/>
        </w:rPr>
        <w:t>uyumludur</w:t>
      </w:r>
      <w:proofErr w:type="spellEnd"/>
      <w:r w:rsidRPr="00937211">
        <w:rPr>
          <w:lang w:val="en-US"/>
        </w:rPr>
        <w:t>.</w:t>
      </w:r>
      <w:r>
        <w:rPr>
          <w:lang w:val="en-US"/>
        </w:rPr>
        <w:t xml:space="preserve"> [1120 - 1121]</w:t>
      </w:r>
    </w:p>
    <w:p w14:paraId="2FBD5B94" w14:textId="77777777" w:rsidR="00937211" w:rsidRDefault="00937211" w:rsidP="00937211">
      <w:pPr>
        <w:pStyle w:val="Heading2"/>
      </w:pPr>
      <w:r w:rsidRPr="00937211">
        <w:t>TEMALAR VE GÖZLEMLER</w:t>
      </w:r>
    </w:p>
    <w:p w14:paraId="06B2BB40" w14:textId="77777777" w:rsidR="00937211" w:rsidRDefault="00937211" w:rsidP="00937211">
      <w:pPr>
        <w:rPr>
          <w:lang w:val="en-US"/>
        </w:rPr>
      </w:pPr>
      <w:r w:rsidRPr="00937211">
        <w:rPr>
          <w:lang w:val="en-US"/>
        </w:rPr>
        <w:t xml:space="preserve">Bu </w:t>
      </w:r>
      <w:proofErr w:type="spellStart"/>
      <w:r w:rsidRPr="00937211">
        <w:rPr>
          <w:lang w:val="en-US"/>
        </w:rPr>
        <w:t>makalenin</w:t>
      </w:r>
      <w:proofErr w:type="spellEnd"/>
      <w:r w:rsidRPr="00937211">
        <w:rPr>
          <w:lang w:val="en-US"/>
        </w:rPr>
        <w:t xml:space="preserve"> </w:t>
      </w:r>
      <w:proofErr w:type="spellStart"/>
      <w:r w:rsidRPr="00937211">
        <w:rPr>
          <w:lang w:val="en-US"/>
        </w:rPr>
        <w:t>temel</w:t>
      </w:r>
      <w:proofErr w:type="spellEnd"/>
      <w:r w:rsidRPr="00937211">
        <w:rPr>
          <w:lang w:val="en-US"/>
        </w:rPr>
        <w:t xml:space="preserve"> </w:t>
      </w:r>
      <w:proofErr w:type="spellStart"/>
      <w:r w:rsidRPr="00937211">
        <w:rPr>
          <w:lang w:val="en-US"/>
        </w:rPr>
        <w:t>amaçları</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teorisinin</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pratiği</w:t>
      </w:r>
      <w:proofErr w:type="spellEnd"/>
      <w:r w:rsidRPr="00937211">
        <w:rPr>
          <w:lang w:val="en-US"/>
        </w:rPr>
        <w:t xml:space="preserve"> </w:t>
      </w:r>
      <w:proofErr w:type="spellStart"/>
      <w:r w:rsidRPr="00937211">
        <w:rPr>
          <w:lang w:val="en-US"/>
        </w:rPr>
        <w:t>ele</w:t>
      </w:r>
      <w:proofErr w:type="spellEnd"/>
      <w:r w:rsidRPr="00937211">
        <w:rPr>
          <w:lang w:val="en-US"/>
        </w:rPr>
        <w:t xml:space="preserve"> </w:t>
      </w:r>
      <w:proofErr w:type="spellStart"/>
      <w:r w:rsidRPr="00937211">
        <w:rPr>
          <w:lang w:val="en-US"/>
        </w:rPr>
        <w:t>alış</w:t>
      </w:r>
      <w:proofErr w:type="spellEnd"/>
      <w:r w:rsidRPr="00937211">
        <w:rPr>
          <w:lang w:val="en-US"/>
        </w:rPr>
        <w:t xml:space="preserve"> </w:t>
      </w:r>
      <w:proofErr w:type="spellStart"/>
      <w:r w:rsidRPr="00937211">
        <w:rPr>
          <w:lang w:val="en-US"/>
        </w:rPr>
        <w:t>biçimlerini</w:t>
      </w:r>
      <w:proofErr w:type="spellEnd"/>
      <w:r w:rsidRPr="00937211">
        <w:rPr>
          <w:lang w:val="en-US"/>
        </w:rPr>
        <w:t xml:space="preserve"> </w:t>
      </w:r>
      <w:proofErr w:type="spellStart"/>
      <w:r w:rsidRPr="00937211">
        <w:rPr>
          <w:lang w:val="en-US"/>
        </w:rPr>
        <w:t>eleştirmek</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bunun</w:t>
      </w:r>
      <w:proofErr w:type="spellEnd"/>
      <w:r w:rsidRPr="00937211">
        <w:rPr>
          <w:lang w:val="en-US"/>
        </w:rPr>
        <w:t xml:space="preserve"> </w:t>
      </w:r>
      <w:proofErr w:type="spellStart"/>
      <w:r w:rsidRPr="00937211">
        <w:rPr>
          <w:lang w:val="en-US"/>
        </w:rPr>
        <w:t>yerine</w:t>
      </w:r>
      <w:proofErr w:type="spellEnd"/>
      <w:r w:rsidRPr="00937211">
        <w:rPr>
          <w:lang w:val="en-US"/>
        </w:rPr>
        <w:t xml:space="preserve"> </w:t>
      </w:r>
      <w:proofErr w:type="spellStart"/>
      <w:r w:rsidRPr="00937211">
        <w:rPr>
          <w:lang w:val="en-US"/>
        </w:rPr>
        <w:t>alternatif</w:t>
      </w:r>
      <w:proofErr w:type="spellEnd"/>
      <w:r w:rsidRPr="00937211">
        <w:rPr>
          <w:lang w:val="en-US"/>
        </w:rPr>
        <w:t xml:space="preserve"> </w:t>
      </w:r>
      <w:proofErr w:type="spellStart"/>
      <w:r w:rsidRPr="00937211">
        <w:rPr>
          <w:lang w:val="en-US"/>
        </w:rPr>
        <w:t>bir</w:t>
      </w:r>
      <w:proofErr w:type="spellEnd"/>
      <w:r w:rsidRPr="00937211">
        <w:rPr>
          <w:lang w:val="en-US"/>
        </w:rPr>
        <w:t xml:space="preserve"> </w:t>
      </w:r>
      <w:proofErr w:type="spellStart"/>
      <w:r w:rsidRPr="00937211">
        <w:rPr>
          <w:lang w:val="en-US"/>
        </w:rPr>
        <w:t>çerçeve</w:t>
      </w:r>
      <w:proofErr w:type="spellEnd"/>
      <w:r w:rsidRPr="00937211">
        <w:rPr>
          <w:lang w:val="en-US"/>
        </w:rPr>
        <w:t xml:space="preserve"> </w:t>
      </w:r>
      <w:proofErr w:type="spellStart"/>
      <w:r w:rsidRPr="00937211">
        <w:rPr>
          <w:lang w:val="en-US"/>
        </w:rPr>
        <w:t>sunmak</w:t>
      </w:r>
      <w:proofErr w:type="spellEnd"/>
      <w:r w:rsidRPr="00937211">
        <w:rPr>
          <w:lang w:val="en-US"/>
        </w:rPr>
        <w:t xml:space="preserve"> </w:t>
      </w:r>
      <w:proofErr w:type="spellStart"/>
      <w:r w:rsidRPr="00937211">
        <w:rPr>
          <w:lang w:val="en-US"/>
        </w:rPr>
        <w:t>olsa</w:t>
      </w:r>
      <w:proofErr w:type="spellEnd"/>
      <w:r w:rsidRPr="00937211">
        <w:rPr>
          <w:lang w:val="en-US"/>
        </w:rPr>
        <w:t xml:space="preserve"> da, </w:t>
      </w:r>
      <w:proofErr w:type="spellStart"/>
      <w:r w:rsidRPr="00937211">
        <w:rPr>
          <w:lang w:val="en-US"/>
        </w:rPr>
        <w:t>bu</w:t>
      </w:r>
      <w:proofErr w:type="spellEnd"/>
      <w:r w:rsidRPr="00937211">
        <w:rPr>
          <w:lang w:val="en-US"/>
        </w:rPr>
        <w:t xml:space="preserve"> </w:t>
      </w:r>
      <w:proofErr w:type="spellStart"/>
      <w:r w:rsidRPr="00937211">
        <w:rPr>
          <w:lang w:val="en-US"/>
        </w:rPr>
        <w:t>süreçte</w:t>
      </w:r>
      <w:proofErr w:type="spellEnd"/>
      <w:r w:rsidRPr="00937211">
        <w:rPr>
          <w:lang w:val="en-US"/>
        </w:rPr>
        <w:t xml:space="preserve"> </w:t>
      </w:r>
      <w:proofErr w:type="spellStart"/>
      <w:r w:rsidRPr="00937211">
        <w:rPr>
          <w:lang w:val="en-US"/>
        </w:rPr>
        <w:t>zorunlu</w:t>
      </w:r>
      <w:proofErr w:type="spellEnd"/>
      <w:r w:rsidRPr="00937211">
        <w:rPr>
          <w:lang w:val="en-US"/>
        </w:rPr>
        <w:t xml:space="preserve"> </w:t>
      </w:r>
      <w:proofErr w:type="spellStart"/>
      <w:r w:rsidRPr="00937211">
        <w:rPr>
          <w:lang w:val="en-US"/>
        </w:rPr>
        <w:t>olarak</w:t>
      </w:r>
      <w:proofErr w:type="spellEnd"/>
      <w:r w:rsidRPr="00937211">
        <w:rPr>
          <w:lang w:val="en-US"/>
        </w:rPr>
        <w:t xml:space="preserve"> </w:t>
      </w:r>
      <w:proofErr w:type="spellStart"/>
      <w:r w:rsidRPr="00937211">
        <w:rPr>
          <w:lang w:val="en-US"/>
        </w:rPr>
        <w:t>anayasa</w:t>
      </w:r>
      <w:proofErr w:type="spellEnd"/>
      <w:r w:rsidRPr="00937211">
        <w:rPr>
          <w:lang w:val="en-US"/>
        </w:rPr>
        <w:t xml:space="preserve"> </w:t>
      </w:r>
      <w:proofErr w:type="spellStart"/>
      <w:r w:rsidRPr="00937211">
        <w:rPr>
          <w:lang w:val="en-US"/>
        </w:rPr>
        <w:t>teorisi</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anayasal</w:t>
      </w:r>
      <w:proofErr w:type="spellEnd"/>
      <w:r w:rsidRPr="00937211">
        <w:rPr>
          <w:lang w:val="en-US"/>
        </w:rPr>
        <w:t xml:space="preserve"> </w:t>
      </w:r>
      <w:proofErr w:type="spellStart"/>
      <w:r w:rsidRPr="00937211">
        <w:rPr>
          <w:lang w:val="en-US"/>
        </w:rPr>
        <w:t>kültür</w:t>
      </w:r>
      <w:proofErr w:type="spellEnd"/>
      <w:r w:rsidRPr="00937211">
        <w:rPr>
          <w:lang w:val="en-US"/>
        </w:rPr>
        <w:t xml:space="preserve"> </w:t>
      </w:r>
      <w:proofErr w:type="spellStart"/>
      <w:r w:rsidRPr="00937211">
        <w:rPr>
          <w:lang w:val="en-US"/>
        </w:rPr>
        <w:t>hakkında</w:t>
      </w:r>
      <w:proofErr w:type="spellEnd"/>
      <w:r w:rsidRPr="00937211">
        <w:rPr>
          <w:lang w:val="en-US"/>
        </w:rPr>
        <w:t xml:space="preserve"> </w:t>
      </w:r>
      <w:proofErr w:type="spellStart"/>
      <w:r w:rsidRPr="00937211">
        <w:rPr>
          <w:lang w:val="en-US"/>
        </w:rPr>
        <w:t>çeşitli</w:t>
      </w:r>
      <w:proofErr w:type="spellEnd"/>
      <w:r w:rsidRPr="00937211">
        <w:rPr>
          <w:lang w:val="en-US"/>
        </w:rPr>
        <w:t xml:space="preserve"> </w:t>
      </w:r>
      <w:proofErr w:type="spellStart"/>
      <w:r w:rsidRPr="00937211">
        <w:rPr>
          <w:lang w:val="en-US"/>
        </w:rPr>
        <w:t>özlü</w:t>
      </w:r>
      <w:proofErr w:type="spellEnd"/>
      <w:r w:rsidRPr="00937211">
        <w:rPr>
          <w:lang w:val="en-US"/>
        </w:rPr>
        <w:t xml:space="preserve"> </w:t>
      </w:r>
      <w:proofErr w:type="spellStart"/>
      <w:r w:rsidRPr="00937211">
        <w:rPr>
          <w:lang w:val="en-US"/>
        </w:rPr>
        <w:t>gözlemler</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hipotezler</w:t>
      </w:r>
      <w:proofErr w:type="spellEnd"/>
      <w:r w:rsidRPr="00937211">
        <w:rPr>
          <w:lang w:val="en-US"/>
        </w:rPr>
        <w:t xml:space="preserve"> </w:t>
      </w:r>
      <w:proofErr w:type="spellStart"/>
      <w:r w:rsidRPr="00937211">
        <w:rPr>
          <w:lang w:val="en-US"/>
        </w:rPr>
        <w:t>geliştirmiş</w:t>
      </w:r>
      <w:proofErr w:type="spellEnd"/>
      <w:r w:rsidRPr="00937211">
        <w:rPr>
          <w:lang w:val="en-US"/>
        </w:rPr>
        <w:t xml:space="preserve"> </w:t>
      </w:r>
      <w:proofErr w:type="spellStart"/>
      <w:r w:rsidRPr="00937211">
        <w:rPr>
          <w:lang w:val="en-US"/>
        </w:rPr>
        <w:t>bulunmaktayım</w:t>
      </w:r>
      <w:proofErr w:type="spellEnd"/>
      <w:r w:rsidRPr="00937211">
        <w:rPr>
          <w:lang w:val="en-US"/>
        </w:rPr>
        <w:t xml:space="preserve">. Bu </w:t>
      </w:r>
      <w:proofErr w:type="spellStart"/>
      <w:r w:rsidRPr="00937211">
        <w:rPr>
          <w:lang w:val="en-US"/>
        </w:rPr>
        <w:t>bölüm</w:t>
      </w:r>
      <w:proofErr w:type="spellEnd"/>
      <w:r w:rsidRPr="00937211">
        <w:rPr>
          <w:lang w:val="en-US"/>
        </w:rPr>
        <w:t xml:space="preserve">, </w:t>
      </w:r>
      <w:proofErr w:type="spellStart"/>
      <w:r w:rsidRPr="00937211">
        <w:rPr>
          <w:lang w:val="en-US"/>
        </w:rPr>
        <w:t>makaleyi</w:t>
      </w:r>
      <w:proofErr w:type="spellEnd"/>
      <w:r w:rsidRPr="00937211">
        <w:rPr>
          <w:lang w:val="en-US"/>
        </w:rPr>
        <w:t xml:space="preserve"> </w:t>
      </w:r>
      <w:proofErr w:type="spellStart"/>
      <w:r w:rsidRPr="00937211">
        <w:rPr>
          <w:lang w:val="en-US"/>
        </w:rPr>
        <w:t>sonlandırırken</w:t>
      </w:r>
      <w:proofErr w:type="spellEnd"/>
      <w:r w:rsidRPr="00937211">
        <w:rPr>
          <w:lang w:val="en-US"/>
        </w:rPr>
        <w:t xml:space="preserve"> </w:t>
      </w:r>
      <w:proofErr w:type="spellStart"/>
      <w:r w:rsidRPr="00937211">
        <w:rPr>
          <w:lang w:val="en-US"/>
        </w:rPr>
        <w:t>bu</w:t>
      </w:r>
      <w:proofErr w:type="spellEnd"/>
      <w:r w:rsidRPr="00937211">
        <w:rPr>
          <w:lang w:val="en-US"/>
        </w:rPr>
        <w:t xml:space="preserve"> </w:t>
      </w:r>
      <w:proofErr w:type="spellStart"/>
      <w:r w:rsidRPr="00937211">
        <w:rPr>
          <w:lang w:val="en-US"/>
        </w:rPr>
        <w:t>gözlemlerden</w:t>
      </w:r>
      <w:proofErr w:type="spellEnd"/>
      <w:r w:rsidRPr="00937211">
        <w:rPr>
          <w:lang w:val="en-US"/>
        </w:rPr>
        <w:t xml:space="preserve"> </w:t>
      </w:r>
      <w:proofErr w:type="spellStart"/>
      <w:r w:rsidRPr="00937211">
        <w:rPr>
          <w:lang w:val="en-US"/>
        </w:rPr>
        <w:t>bazılarını</w:t>
      </w:r>
      <w:proofErr w:type="spellEnd"/>
      <w:r w:rsidRPr="00937211">
        <w:rPr>
          <w:lang w:val="en-US"/>
        </w:rPr>
        <w:t xml:space="preserve"> </w:t>
      </w:r>
      <w:proofErr w:type="spellStart"/>
      <w:r w:rsidRPr="00937211">
        <w:rPr>
          <w:lang w:val="en-US"/>
        </w:rPr>
        <w:t>ve</w:t>
      </w:r>
      <w:proofErr w:type="spellEnd"/>
      <w:r w:rsidRPr="00937211">
        <w:rPr>
          <w:lang w:val="en-US"/>
        </w:rPr>
        <w:t xml:space="preserve"> </w:t>
      </w:r>
      <w:proofErr w:type="spellStart"/>
      <w:r w:rsidRPr="00937211">
        <w:rPr>
          <w:lang w:val="en-US"/>
        </w:rPr>
        <w:t>ilgili</w:t>
      </w:r>
      <w:proofErr w:type="spellEnd"/>
      <w:r w:rsidRPr="00937211">
        <w:rPr>
          <w:lang w:val="en-US"/>
        </w:rPr>
        <w:t xml:space="preserve"> </w:t>
      </w:r>
      <w:proofErr w:type="spellStart"/>
      <w:r w:rsidRPr="00937211">
        <w:rPr>
          <w:lang w:val="en-US"/>
        </w:rPr>
        <w:t>temaları</w:t>
      </w:r>
      <w:proofErr w:type="spellEnd"/>
      <w:r w:rsidRPr="00937211">
        <w:rPr>
          <w:lang w:val="en-US"/>
        </w:rPr>
        <w:t xml:space="preserve"> ana </w:t>
      </w:r>
      <w:proofErr w:type="spellStart"/>
      <w:r w:rsidRPr="00937211">
        <w:rPr>
          <w:lang w:val="en-US"/>
        </w:rPr>
        <w:t>hatlarıyla</w:t>
      </w:r>
      <w:proofErr w:type="spellEnd"/>
      <w:r w:rsidRPr="00937211">
        <w:rPr>
          <w:lang w:val="en-US"/>
        </w:rPr>
        <w:t xml:space="preserve"> </w:t>
      </w:r>
      <w:proofErr w:type="spellStart"/>
      <w:r w:rsidRPr="00937211">
        <w:rPr>
          <w:lang w:val="en-US"/>
        </w:rPr>
        <w:t>ortaya</w:t>
      </w:r>
      <w:proofErr w:type="spellEnd"/>
      <w:r w:rsidRPr="00937211">
        <w:rPr>
          <w:lang w:val="en-US"/>
        </w:rPr>
        <w:t xml:space="preserve"> </w:t>
      </w:r>
      <w:proofErr w:type="spellStart"/>
      <w:r w:rsidRPr="00937211">
        <w:rPr>
          <w:lang w:val="en-US"/>
        </w:rPr>
        <w:t>koymaktadır</w:t>
      </w:r>
      <w:proofErr w:type="spellEnd"/>
      <w:r w:rsidRPr="00937211">
        <w:rPr>
          <w:lang w:val="en-US"/>
        </w:rPr>
        <w:t>.</w:t>
      </w:r>
    </w:p>
    <w:p w14:paraId="01B999FC" w14:textId="5A8ADCEF" w:rsidR="00937211" w:rsidRDefault="00937211" w:rsidP="00937211">
      <w:pPr>
        <w:pStyle w:val="ListParagraph"/>
        <w:numPr>
          <w:ilvl w:val="0"/>
          <w:numId w:val="17"/>
        </w:numPr>
        <w:rPr>
          <w:rFonts w:eastAsia="Times New Roman" w:cstheme="majorBidi"/>
          <w:b/>
          <w:bCs/>
          <w:szCs w:val="26"/>
          <w:lang w:val="en-US"/>
        </w:rPr>
      </w:pPr>
      <w:proofErr w:type="spellStart"/>
      <w:r w:rsidRPr="00937211">
        <w:rPr>
          <w:rFonts w:eastAsia="Times New Roman" w:cstheme="majorBidi"/>
          <w:b/>
          <w:bCs/>
          <w:szCs w:val="26"/>
          <w:lang w:val="en-US"/>
        </w:rPr>
        <w:t>Yargı</w:t>
      </w:r>
      <w:proofErr w:type="spellEnd"/>
      <w:r w:rsidRPr="00937211">
        <w:rPr>
          <w:rFonts w:eastAsia="Times New Roman" w:cstheme="majorBidi"/>
          <w:b/>
          <w:bCs/>
          <w:szCs w:val="26"/>
          <w:lang w:val="en-US"/>
        </w:rPr>
        <w:t xml:space="preserve"> </w:t>
      </w:r>
      <w:proofErr w:type="spellStart"/>
      <w:r w:rsidRPr="00937211">
        <w:rPr>
          <w:rFonts w:eastAsia="Times New Roman" w:cstheme="majorBidi"/>
          <w:b/>
          <w:bCs/>
          <w:szCs w:val="26"/>
          <w:lang w:val="en-US"/>
        </w:rPr>
        <w:t>Görüşünün</w:t>
      </w:r>
      <w:proofErr w:type="spellEnd"/>
      <w:r w:rsidRPr="00937211">
        <w:rPr>
          <w:rFonts w:eastAsia="Times New Roman" w:cstheme="majorBidi"/>
          <w:b/>
          <w:bCs/>
          <w:szCs w:val="26"/>
          <w:lang w:val="en-US"/>
        </w:rPr>
        <w:t xml:space="preserve"> </w:t>
      </w:r>
      <w:proofErr w:type="spellStart"/>
      <w:r w:rsidRPr="00937211">
        <w:rPr>
          <w:rFonts w:eastAsia="Times New Roman" w:cstheme="majorBidi"/>
          <w:b/>
          <w:bCs/>
          <w:szCs w:val="26"/>
          <w:lang w:val="en-US"/>
        </w:rPr>
        <w:t>Tuhaf</w:t>
      </w:r>
      <w:proofErr w:type="spellEnd"/>
      <w:r w:rsidRPr="00937211">
        <w:rPr>
          <w:rFonts w:eastAsia="Times New Roman" w:cstheme="majorBidi"/>
          <w:b/>
          <w:bCs/>
          <w:szCs w:val="26"/>
          <w:lang w:val="en-US"/>
        </w:rPr>
        <w:t xml:space="preserve"> </w:t>
      </w:r>
      <w:proofErr w:type="spellStart"/>
      <w:r w:rsidRPr="00937211">
        <w:rPr>
          <w:rFonts w:eastAsia="Times New Roman" w:cstheme="majorBidi"/>
          <w:b/>
          <w:bCs/>
          <w:szCs w:val="26"/>
          <w:lang w:val="en-US"/>
        </w:rPr>
        <w:t>Fetişleştirilmesi</w:t>
      </w:r>
      <w:proofErr w:type="spellEnd"/>
    </w:p>
    <w:p w14:paraId="44DC81F2" w14:textId="601C65C4" w:rsidR="006C59AC" w:rsidRDefault="006C59AC" w:rsidP="006C59AC">
      <w:pPr>
        <w:rPr>
          <w:lang w:val="en-US"/>
        </w:rPr>
      </w:pPr>
      <w:proofErr w:type="spellStart"/>
      <w:r w:rsidRPr="006C59AC">
        <w:rPr>
          <w:lang w:val="en-US"/>
        </w:rPr>
        <w:t>Çoğu</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hukuku</w:t>
      </w:r>
      <w:proofErr w:type="spellEnd"/>
      <w:r w:rsidRPr="006C59AC">
        <w:rPr>
          <w:lang w:val="en-US"/>
        </w:rPr>
        <w:t xml:space="preserve"> </w:t>
      </w:r>
      <w:proofErr w:type="spellStart"/>
      <w:r w:rsidRPr="006C59AC">
        <w:rPr>
          <w:lang w:val="en-US"/>
        </w:rPr>
        <w:t>çalışması</w:t>
      </w:r>
      <w:proofErr w:type="spellEnd"/>
      <w:r w:rsidRPr="006C59AC">
        <w:rPr>
          <w:lang w:val="en-US"/>
        </w:rPr>
        <w:t>—</w:t>
      </w:r>
      <w:proofErr w:type="spellStart"/>
      <w:r w:rsidRPr="006C59AC">
        <w:rPr>
          <w:lang w:val="en-US"/>
        </w:rPr>
        <w:t>ister</w:t>
      </w:r>
      <w:proofErr w:type="spellEnd"/>
      <w:r w:rsidRPr="006C59AC">
        <w:rPr>
          <w:lang w:val="en-US"/>
        </w:rPr>
        <w:t xml:space="preserve"> </w:t>
      </w:r>
      <w:proofErr w:type="spellStart"/>
      <w:r w:rsidRPr="006C59AC">
        <w:rPr>
          <w:lang w:val="en-US"/>
        </w:rPr>
        <w:t>teorik</w:t>
      </w:r>
      <w:proofErr w:type="spellEnd"/>
      <w:r w:rsidRPr="006C59AC">
        <w:rPr>
          <w:lang w:val="en-US"/>
        </w:rPr>
        <w:t xml:space="preserve">, </w:t>
      </w:r>
      <w:proofErr w:type="spellStart"/>
      <w:r w:rsidRPr="006C59AC">
        <w:rPr>
          <w:lang w:val="en-US"/>
        </w:rPr>
        <w:t>ister</w:t>
      </w:r>
      <w:proofErr w:type="spellEnd"/>
      <w:r w:rsidRPr="006C59AC">
        <w:rPr>
          <w:lang w:val="en-US"/>
        </w:rPr>
        <w:t xml:space="preserve"> </w:t>
      </w:r>
      <w:proofErr w:type="spellStart"/>
      <w:r w:rsidRPr="006C59AC">
        <w:rPr>
          <w:lang w:val="en-US"/>
        </w:rPr>
        <w:t>betimleyici</w:t>
      </w:r>
      <w:proofErr w:type="spellEnd"/>
      <w:r w:rsidRPr="006C59AC">
        <w:rPr>
          <w:lang w:val="en-US"/>
        </w:rPr>
        <w:t xml:space="preserve">, </w:t>
      </w:r>
      <w:proofErr w:type="spellStart"/>
      <w:r w:rsidRPr="006C59AC">
        <w:rPr>
          <w:lang w:val="en-US"/>
        </w:rPr>
        <w:t>isterse</w:t>
      </w:r>
      <w:proofErr w:type="spellEnd"/>
      <w:r w:rsidRPr="006C59AC">
        <w:rPr>
          <w:lang w:val="en-US"/>
        </w:rPr>
        <w:t xml:space="preserve"> </w:t>
      </w:r>
      <w:proofErr w:type="spellStart"/>
      <w:r w:rsidRPr="006C59AC">
        <w:rPr>
          <w:lang w:val="en-US"/>
        </w:rPr>
        <w:t>öngörüye</w:t>
      </w:r>
      <w:proofErr w:type="spellEnd"/>
      <w:r w:rsidRPr="006C59AC">
        <w:rPr>
          <w:lang w:val="en-US"/>
        </w:rPr>
        <w:t xml:space="preserve"> </w:t>
      </w:r>
      <w:proofErr w:type="spellStart"/>
      <w:r w:rsidRPr="006C59AC">
        <w:rPr>
          <w:lang w:val="en-US"/>
        </w:rPr>
        <w:t>dayalı</w:t>
      </w:r>
      <w:proofErr w:type="spellEnd"/>
      <w:r w:rsidRPr="006C59AC">
        <w:rPr>
          <w:lang w:val="en-US"/>
        </w:rPr>
        <w:t xml:space="preserve"> </w:t>
      </w:r>
      <w:proofErr w:type="spellStart"/>
      <w:r w:rsidRPr="006C59AC">
        <w:rPr>
          <w:lang w:val="en-US"/>
        </w:rPr>
        <w:t>olsun</w:t>
      </w:r>
      <w:proofErr w:type="spellEnd"/>
      <w:r w:rsidRPr="006C59AC">
        <w:rPr>
          <w:lang w:val="en-US"/>
        </w:rPr>
        <w:t>—</w:t>
      </w:r>
      <w:proofErr w:type="spellStart"/>
      <w:r w:rsidRPr="006C59AC">
        <w:rPr>
          <w:lang w:val="en-US"/>
        </w:rPr>
        <w:t>yoğun</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şekilde</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görüşüne</w:t>
      </w:r>
      <w:proofErr w:type="spellEnd"/>
      <w:r w:rsidRPr="006C59AC">
        <w:rPr>
          <w:lang w:val="en-US"/>
        </w:rPr>
        <w:t xml:space="preserve"> </w:t>
      </w:r>
      <w:proofErr w:type="spellStart"/>
      <w:r w:rsidRPr="006C59AC">
        <w:rPr>
          <w:lang w:val="en-US"/>
        </w:rPr>
        <w:t>odaklanmaktadır</w:t>
      </w:r>
      <w:proofErr w:type="spellEnd"/>
      <w:r w:rsidRPr="006C59AC">
        <w:rPr>
          <w:lang w:val="en-US"/>
        </w:rPr>
        <w:t xml:space="preserve">. Bir </w:t>
      </w:r>
      <w:proofErr w:type="spellStart"/>
      <w:r w:rsidRPr="006C59AC">
        <w:rPr>
          <w:lang w:val="en-US"/>
        </w:rPr>
        <w:t>noktaya</w:t>
      </w:r>
      <w:proofErr w:type="spellEnd"/>
      <w:r w:rsidRPr="006C59AC">
        <w:rPr>
          <w:lang w:val="en-US"/>
        </w:rPr>
        <w:t xml:space="preserve"> </w:t>
      </w:r>
      <w:proofErr w:type="spellStart"/>
      <w:r w:rsidRPr="006C59AC">
        <w:rPr>
          <w:lang w:val="en-US"/>
        </w:rPr>
        <w:t>kadar</w:t>
      </w:r>
      <w:proofErr w:type="spellEnd"/>
      <w:r w:rsidRPr="006C59AC">
        <w:rPr>
          <w:lang w:val="en-US"/>
        </w:rPr>
        <w:t xml:space="preserve">, </w:t>
      </w:r>
      <w:proofErr w:type="spellStart"/>
      <w:r w:rsidRPr="006C59AC">
        <w:rPr>
          <w:lang w:val="en-US"/>
        </w:rPr>
        <w:t>yargıçların</w:t>
      </w:r>
      <w:proofErr w:type="spellEnd"/>
      <w:r w:rsidRPr="006C59AC">
        <w:rPr>
          <w:lang w:val="en-US"/>
        </w:rPr>
        <w:t xml:space="preserve"> </w:t>
      </w:r>
      <w:proofErr w:type="spellStart"/>
      <w:r w:rsidRPr="006C59AC">
        <w:rPr>
          <w:lang w:val="en-US"/>
        </w:rPr>
        <w:t>söylediklerine</w:t>
      </w:r>
      <w:proofErr w:type="spellEnd"/>
      <w:r w:rsidRPr="006C59AC">
        <w:rPr>
          <w:lang w:val="en-US"/>
        </w:rPr>
        <w:t xml:space="preserve"> </w:t>
      </w:r>
      <w:proofErr w:type="spellStart"/>
      <w:r w:rsidRPr="006C59AC">
        <w:rPr>
          <w:lang w:val="en-US"/>
        </w:rPr>
        <w:t>duyulan</w:t>
      </w:r>
      <w:proofErr w:type="spellEnd"/>
      <w:r w:rsidRPr="006C59AC">
        <w:rPr>
          <w:lang w:val="en-US"/>
        </w:rPr>
        <w:t xml:space="preserve"> </w:t>
      </w:r>
      <w:proofErr w:type="spellStart"/>
      <w:r w:rsidRPr="006C59AC">
        <w:rPr>
          <w:lang w:val="en-US"/>
        </w:rPr>
        <w:t>bu</w:t>
      </w:r>
      <w:proofErr w:type="spellEnd"/>
      <w:r w:rsidRPr="006C59AC">
        <w:rPr>
          <w:lang w:val="en-US"/>
        </w:rPr>
        <w:t xml:space="preserve"> </w:t>
      </w:r>
      <w:proofErr w:type="spellStart"/>
      <w:r w:rsidRPr="006C59AC">
        <w:rPr>
          <w:lang w:val="en-US"/>
        </w:rPr>
        <w:t>ilgi</w:t>
      </w:r>
      <w:proofErr w:type="spellEnd"/>
      <w:r w:rsidRPr="006C59AC">
        <w:rPr>
          <w:lang w:val="en-US"/>
        </w:rPr>
        <w:t xml:space="preserve"> </w:t>
      </w:r>
      <w:proofErr w:type="spellStart"/>
      <w:r w:rsidRPr="006C59AC">
        <w:rPr>
          <w:lang w:val="en-US"/>
        </w:rPr>
        <w:t>anlaşılabilirdir</w:t>
      </w:r>
      <w:proofErr w:type="spellEnd"/>
      <w:r w:rsidRPr="006C59AC">
        <w:rPr>
          <w:lang w:val="en-US"/>
        </w:rPr>
        <w:t xml:space="preserve">; </w:t>
      </w:r>
      <w:proofErr w:type="spellStart"/>
      <w:r w:rsidRPr="006C59AC">
        <w:rPr>
          <w:lang w:val="en-US"/>
        </w:rPr>
        <w:t>zira</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görüşleri</w:t>
      </w:r>
      <w:proofErr w:type="spellEnd"/>
      <w:r w:rsidRPr="006C59AC">
        <w:rPr>
          <w:lang w:val="en-US"/>
        </w:rPr>
        <w:t xml:space="preserve"> </w:t>
      </w:r>
      <w:proofErr w:type="spellStart"/>
      <w:r w:rsidRPr="006C59AC">
        <w:rPr>
          <w:lang w:val="en-US"/>
        </w:rPr>
        <w:t>hukuk</w:t>
      </w:r>
      <w:proofErr w:type="spellEnd"/>
      <w:r w:rsidRPr="006C59AC">
        <w:rPr>
          <w:lang w:val="en-US"/>
        </w:rPr>
        <w:t xml:space="preserve"> </w:t>
      </w:r>
      <w:proofErr w:type="spellStart"/>
      <w:r w:rsidRPr="006C59AC">
        <w:rPr>
          <w:lang w:val="en-US"/>
        </w:rPr>
        <w:t>fakültelerinde</w:t>
      </w:r>
      <w:proofErr w:type="spellEnd"/>
      <w:r w:rsidRPr="006C59AC">
        <w:rPr>
          <w:lang w:val="en-US"/>
        </w:rPr>
        <w:t xml:space="preserve"> </w:t>
      </w:r>
      <w:proofErr w:type="spellStart"/>
      <w:r w:rsidRPr="006C59AC">
        <w:rPr>
          <w:lang w:val="en-US"/>
        </w:rPr>
        <w:t>temel</w:t>
      </w:r>
      <w:proofErr w:type="spellEnd"/>
      <w:r w:rsidRPr="006C59AC">
        <w:rPr>
          <w:lang w:val="en-US"/>
        </w:rPr>
        <w:t xml:space="preserve"> </w:t>
      </w:r>
      <w:proofErr w:type="spellStart"/>
      <w:r w:rsidRPr="006C59AC">
        <w:rPr>
          <w:lang w:val="en-US"/>
        </w:rPr>
        <w:t>metin</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kullanılmakta</w:t>
      </w:r>
      <w:proofErr w:type="spellEnd"/>
      <w:r w:rsidRPr="006C59AC">
        <w:rPr>
          <w:lang w:val="en-US"/>
        </w:rPr>
        <w:t xml:space="preserve">, federal </w:t>
      </w:r>
      <w:proofErr w:type="spellStart"/>
      <w:r w:rsidRPr="006C59AC">
        <w:rPr>
          <w:lang w:val="en-US"/>
        </w:rPr>
        <w:t>yargıçlar</w:t>
      </w:r>
      <w:proofErr w:type="spellEnd"/>
      <w:r w:rsidRPr="006C59AC">
        <w:rPr>
          <w:lang w:val="en-US"/>
        </w:rPr>
        <w:t xml:space="preserve"> </w:t>
      </w:r>
      <w:proofErr w:type="spellStart"/>
      <w:r w:rsidRPr="006C59AC">
        <w:rPr>
          <w:lang w:val="en-US"/>
        </w:rPr>
        <w:t>için</w:t>
      </w:r>
      <w:proofErr w:type="spellEnd"/>
      <w:r w:rsidRPr="006C59AC">
        <w:rPr>
          <w:lang w:val="en-US"/>
        </w:rPr>
        <w:t xml:space="preserve"> </w:t>
      </w:r>
      <w:proofErr w:type="spellStart"/>
      <w:r w:rsidRPr="006C59AC">
        <w:rPr>
          <w:lang w:val="en-US"/>
        </w:rPr>
        <w:t>birincil</w:t>
      </w:r>
      <w:proofErr w:type="spellEnd"/>
      <w:r w:rsidRPr="006C59AC">
        <w:rPr>
          <w:lang w:val="en-US"/>
        </w:rPr>
        <w:t xml:space="preserve"> </w:t>
      </w:r>
      <w:proofErr w:type="spellStart"/>
      <w:r w:rsidRPr="006C59AC">
        <w:rPr>
          <w:lang w:val="en-US"/>
        </w:rPr>
        <w:t>iletişim</w:t>
      </w:r>
      <w:proofErr w:type="spellEnd"/>
      <w:r w:rsidRPr="006C59AC">
        <w:rPr>
          <w:lang w:val="en-US"/>
        </w:rPr>
        <w:t xml:space="preserve"> </w:t>
      </w:r>
      <w:proofErr w:type="spellStart"/>
      <w:r w:rsidRPr="006C59AC">
        <w:rPr>
          <w:lang w:val="en-US"/>
        </w:rPr>
        <w:t>yöntemi</w:t>
      </w:r>
      <w:proofErr w:type="spellEnd"/>
      <w:r w:rsidRPr="006C59AC">
        <w:rPr>
          <w:lang w:val="en-US"/>
        </w:rPr>
        <w:t xml:space="preserve"> </w:t>
      </w:r>
      <w:proofErr w:type="spellStart"/>
      <w:r w:rsidRPr="006C59AC">
        <w:rPr>
          <w:lang w:val="en-US"/>
        </w:rPr>
        <w:t>işlevi</w:t>
      </w:r>
      <w:proofErr w:type="spellEnd"/>
      <w:r w:rsidRPr="006C59AC">
        <w:rPr>
          <w:lang w:val="en-US"/>
        </w:rPr>
        <w:t xml:space="preserve"> </w:t>
      </w:r>
      <w:proofErr w:type="spellStart"/>
      <w:r w:rsidRPr="006C59AC">
        <w:rPr>
          <w:lang w:val="en-US"/>
        </w:rPr>
        <w:t>görmekte</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analiz</w:t>
      </w:r>
      <w:proofErr w:type="spellEnd"/>
      <w:r w:rsidRPr="006C59AC">
        <w:rPr>
          <w:lang w:val="en-US"/>
        </w:rPr>
        <w:t xml:space="preserve"> </w:t>
      </w:r>
      <w:proofErr w:type="spellStart"/>
      <w:r w:rsidRPr="006C59AC">
        <w:rPr>
          <w:lang w:val="en-US"/>
        </w:rPr>
        <w:t>açısından</w:t>
      </w:r>
      <w:proofErr w:type="spellEnd"/>
      <w:r w:rsidRPr="006C59AC">
        <w:rPr>
          <w:lang w:val="en-US"/>
        </w:rPr>
        <w:t xml:space="preserve"> </w:t>
      </w:r>
      <w:proofErr w:type="spellStart"/>
      <w:r w:rsidRPr="006C59AC">
        <w:rPr>
          <w:lang w:val="en-US"/>
        </w:rPr>
        <w:t>en</w:t>
      </w:r>
      <w:proofErr w:type="spellEnd"/>
      <w:r w:rsidRPr="006C59AC">
        <w:rPr>
          <w:lang w:val="en-US"/>
        </w:rPr>
        <w:t xml:space="preserve"> </w:t>
      </w:r>
      <w:proofErr w:type="spellStart"/>
      <w:r w:rsidRPr="006C59AC">
        <w:rPr>
          <w:lang w:val="en-US"/>
        </w:rPr>
        <w:t>kolay</w:t>
      </w:r>
      <w:proofErr w:type="spellEnd"/>
      <w:r w:rsidRPr="006C59AC">
        <w:rPr>
          <w:lang w:val="en-US"/>
        </w:rPr>
        <w:t xml:space="preserve"> </w:t>
      </w:r>
      <w:proofErr w:type="spellStart"/>
      <w:r w:rsidRPr="006C59AC">
        <w:rPr>
          <w:lang w:val="en-US"/>
        </w:rPr>
        <w:t>erişilebilir</w:t>
      </w:r>
      <w:proofErr w:type="spellEnd"/>
      <w:r w:rsidRPr="006C59AC">
        <w:rPr>
          <w:lang w:val="en-US"/>
        </w:rPr>
        <w:t xml:space="preserve"> </w:t>
      </w:r>
      <w:proofErr w:type="spellStart"/>
      <w:r w:rsidRPr="006C59AC">
        <w:rPr>
          <w:lang w:val="en-US"/>
        </w:rPr>
        <w:t>birincil</w:t>
      </w:r>
      <w:proofErr w:type="spellEnd"/>
      <w:r w:rsidRPr="006C59AC">
        <w:rPr>
          <w:lang w:val="en-US"/>
        </w:rPr>
        <w:t xml:space="preserve"> </w:t>
      </w:r>
      <w:proofErr w:type="spellStart"/>
      <w:r w:rsidRPr="006C59AC">
        <w:rPr>
          <w:lang w:val="en-US"/>
        </w:rPr>
        <w:t>kaynak</w:t>
      </w:r>
      <w:proofErr w:type="spellEnd"/>
      <w:r w:rsidRPr="006C59AC">
        <w:rPr>
          <w:lang w:val="en-US"/>
        </w:rPr>
        <w:t xml:space="preserve"> </w:t>
      </w:r>
      <w:proofErr w:type="spellStart"/>
      <w:r w:rsidRPr="006C59AC">
        <w:rPr>
          <w:lang w:val="en-US"/>
        </w:rPr>
        <w:t>niteliği</w:t>
      </w:r>
      <w:proofErr w:type="spellEnd"/>
      <w:r w:rsidRPr="006C59AC">
        <w:rPr>
          <w:lang w:val="en-US"/>
        </w:rPr>
        <w:t xml:space="preserve"> </w:t>
      </w:r>
      <w:proofErr w:type="spellStart"/>
      <w:r w:rsidRPr="006C59AC">
        <w:rPr>
          <w:lang w:val="en-US"/>
        </w:rPr>
        <w:t>taşımaktadır</w:t>
      </w:r>
      <w:proofErr w:type="spellEnd"/>
      <w:r w:rsidRPr="006C59AC">
        <w:rPr>
          <w:lang w:val="en-US"/>
        </w:rPr>
        <w:t>.</w:t>
      </w:r>
      <w:r>
        <w:rPr>
          <w:lang w:val="en-US"/>
        </w:rPr>
        <w:t xml:space="preserve"> </w:t>
      </w:r>
      <w:proofErr w:type="spellStart"/>
      <w:r w:rsidRPr="006C59AC">
        <w:rPr>
          <w:lang w:val="en-US"/>
        </w:rPr>
        <w:t>Yine</w:t>
      </w:r>
      <w:proofErr w:type="spellEnd"/>
      <w:r w:rsidRPr="006C59AC">
        <w:rPr>
          <w:lang w:val="en-US"/>
        </w:rPr>
        <w:t xml:space="preserve"> de, </w:t>
      </w:r>
      <w:proofErr w:type="spellStart"/>
      <w:r w:rsidRPr="006C59AC">
        <w:rPr>
          <w:lang w:val="en-US"/>
        </w:rPr>
        <w:t>üzerine</w:t>
      </w:r>
      <w:proofErr w:type="spellEnd"/>
      <w:r w:rsidRPr="006C59AC">
        <w:rPr>
          <w:lang w:val="en-US"/>
        </w:rPr>
        <w:t xml:space="preserve"> </w:t>
      </w:r>
      <w:proofErr w:type="spellStart"/>
      <w:r w:rsidRPr="006C59AC">
        <w:rPr>
          <w:lang w:val="en-US"/>
        </w:rPr>
        <w:t>biraz</w:t>
      </w:r>
      <w:proofErr w:type="spellEnd"/>
      <w:r w:rsidRPr="006C59AC">
        <w:rPr>
          <w:lang w:val="en-US"/>
        </w:rPr>
        <w:t xml:space="preserve"> </w:t>
      </w:r>
      <w:proofErr w:type="spellStart"/>
      <w:r w:rsidRPr="006C59AC">
        <w:rPr>
          <w:lang w:val="en-US"/>
        </w:rPr>
        <w:t>düşününce</w:t>
      </w:r>
      <w:proofErr w:type="spellEnd"/>
      <w:r w:rsidRPr="006C59AC">
        <w:rPr>
          <w:lang w:val="en-US"/>
        </w:rPr>
        <w:t xml:space="preserve">, </w:t>
      </w:r>
      <w:proofErr w:type="spellStart"/>
      <w:r w:rsidRPr="006C59AC">
        <w:rPr>
          <w:lang w:val="en-US"/>
        </w:rPr>
        <w:t>Anayasa'nın</w:t>
      </w:r>
      <w:proofErr w:type="spellEnd"/>
      <w:r w:rsidRPr="006C59AC">
        <w:rPr>
          <w:lang w:val="en-US"/>
        </w:rPr>
        <w:t xml:space="preserve"> </w:t>
      </w:r>
      <w:proofErr w:type="spellStart"/>
      <w:r w:rsidRPr="006C59AC">
        <w:rPr>
          <w:lang w:val="en-US"/>
        </w:rPr>
        <w:t>kelimelerinin</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görüşlerine</w:t>
      </w:r>
      <w:proofErr w:type="spellEnd"/>
      <w:r w:rsidRPr="006C59AC">
        <w:rPr>
          <w:lang w:val="en-US"/>
        </w:rPr>
        <w:t xml:space="preserve"> </w:t>
      </w:r>
      <w:proofErr w:type="spellStart"/>
      <w:r w:rsidRPr="006C59AC">
        <w:rPr>
          <w:lang w:val="en-US"/>
        </w:rPr>
        <w:t>nasıl</w:t>
      </w:r>
      <w:proofErr w:type="spellEnd"/>
      <w:r w:rsidRPr="006C59AC">
        <w:rPr>
          <w:lang w:val="en-US"/>
        </w:rPr>
        <w:t xml:space="preserve"> </w:t>
      </w:r>
      <w:proofErr w:type="spellStart"/>
      <w:r w:rsidRPr="006C59AC">
        <w:rPr>
          <w:lang w:val="en-US"/>
        </w:rPr>
        <w:t>dönüştüğüne</w:t>
      </w:r>
      <w:proofErr w:type="spellEnd"/>
      <w:r w:rsidRPr="006C59AC">
        <w:rPr>
          <w:lang w:val="en-US"/>
        </w:rPr>
        <w:t xml:space="preserve"> </w:t>
      </w:r>
      <w:proofErr w:type="spellStart"/>
      <w:r w:rsidRPr="006C59AC">
        <w:rPr>
          <w:lang w:val="en-US"/>
        </w:rPr>
        <w:t>odaklanan</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analizlerin</w:t>
      </w:r>
      <w:proofErr w:type="spellEnd"/>
      <w:r w:rsidRPr="006C59AC">
        <w:rPr>
          <w:lang w:val="en-US"/>
        </w:rPr>
        <w:t xml:space="preserve"> </w:t>
      </w:r>
      <w:proofErr w:type="spellStart"/>
      <w:r w:rsidRPr="006C59AC">
        <w:rPr>
          <w:lang w:val="en-US"/>
        </w:rPr>
        <w:t>eksik</w:t>
      </w:r>
      <w:proofErr w:type="spellEnd"/>
      <w:r w:rsidRPr="006C59AC">
        <w:rPr>
          <w:lang w:val="en-US"/>
        </w:rPr>
        <w:t xml:space="preserve"> </w:t>
      </w:r>
      <w:proofErr w:type="spellStart"/>
      <w:r w:rsidRPr="006C59AC">
        <w:rPr>
          <w:lang w:val="en-US"/>
        </w:rPr>
        <w:t>kaldığı</w:t>
      </w:r>
      <w:proofErr w:type="spellEnd"/>
      <w:r w:rsidRPr="006C59AC">
        <w:rPr>
          <w:lang w:val="en-US"/>
        </w:rPr>
        <w:t xml:space="preserve"> </w:t>
      </w:r>
      <w:proofErr w:type="spellStart"/>
      <w:r w:rsidRPr="006C59AC">
        <w:rPr>
          <w:lang w:val="en-US"/>
        </w:rPr>
        <w:t>açıktır</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görüşler</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fikirleri</w:t>
      </w:r>
      <w:proofErr w:type="spellEnd"/>
      <w:r w:rsidRPr="006C59AC">
        <w:rPr>
          <w:lang w:val="en-US"/>
        </w:rPr>
        <w:t xml:space="preserve"> </w:t>
      </w:r>
      <w:proofErr w:type="spellStart"/>
      <w:r w:rsidRPr="006C59AC">
        <w:rPr>
          <w:lang w:val="en-US"/>
        </w:rPr>
        <w:t>aktarmak</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belirli</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sonuçları</w:t>
      </w:r>
      <w:proofErr w:type="spellEnd"/>
      <w:r w:rsidRPr="006C59AC">
        <w:rPr>
          <w:lang w:val="en-US"/>
        </w:rPr>
        <w:t xml:space="preserve"> </w:t>
      </w:r>
      <w:proofErr w:type="spellStart"/>
      <w:r w:rsidRPr="006C59AC">
        <w:rPr>
          <w:lang w:val="en-US"/>
        </w:rPr>
        <w:t>teşvik</w:t>
      </w:r>
      <w:proofErr w:type="spellEnd"/>
      <w:r w:rsidRPr="006C59AC">
        <w:rPr>
          <w:lang w:val="en-US"/>
        </w:rPr>
        <w:t xml:space="preserve"> </w:t>
      </w:r>
      <w:proofErr w:type="spellStart"/>
      <w:r w:rsidRPr="006C59AC">
        <w:rPr>
          <w:lang w:val="en-US"/>
        </w:rPr>
        <w:t>etmek</w:t>
      </w:r>
      <w:proofErr w:type="spellEnd"/>
      <w:r w:rsidRPr="006C59AC">
        <w:rPr>
          <w:lang w:val="en-US"/>
        </w:rPr>
        <w:t xml:space="preserve"> </w:t>
      </w:r>
      <w:proofErr w:type="spellStart"/>
      <w:r w:rsidRPr="006C59AC">
        <w:rPr>
          <w:lang w:val="en-US"/>
        </w:rPr>
        <w:t>için</w:t>
      </w:r>
      <w:proofErr w:type="spellEnd"/>
      <w:r w:rsidRPr="006C59AC">
        <w:rPr>
          <w:lang w:val="en-US"/>
        </w:rPr>
        <w:t xml:space="preserve"> </w:t>
      </w:r>
      <w:proofErr w:type="spellStart"/>
      <w:r w:rsidRPr="006C59AC">
        <w:rPr>
          <w:lang w:val="en-US"/>
        </w:rPr>
        <w:t>kullanılan</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araçtır</w:t>
      </w:r>
      <w:proofErr w:type="spellEnd"/>
      <w:r w:rsidRPr="006C59AC">
        <w:rPr>
          <w:lang w:val="en-US"/>
        </w:rPr>
        <w:t>—</w:t>
      </w:r>
      <w:proofErr w:type="spellStart"/>
      <w:r w:rsidRPr="006C59AC">
        <w:rPr>
          <w:lang w:val="en-US"/>
        </w:rPr>
        <w:t>belki</w:t>
      </w:r>
      <w:proofErr w:type="spellEnd"/>
      <w:r w:rsidRPr="006C59AC">
        <w:rPr>
          <w:lang w:val="en-US"/>
        </w:rPr>
        <w:t xml:space="preserve"> de </w:t>
      </w:r>
      <w:proofErr w:type="spellStart"/>
      <w:r w:rsidRPr="006C59AC">
        <w:rPr>
          <w:lang w:val="en-US"/>
        </w:rPr>
        <w:t>en</w:t>
      </w:r>
      <w:proofErr w:type="spellEnd"/>
      <w:r w:rsidRPr="006C59AC">
        <w:rPr>
          <w:lang w:val="en-US"/>
        </w:rPr>
        <w:t xml:space="preserve"> </w:t>
      </w:r>
      <w:proofErr w:type="spellStart"/>
      <w:r w:rsidRPr="006C59AC">
        <w:rPr>
          <w:lang w:val="en-US"/>
        </w:rPr>
        <w:t>önemli</w:t>
      </w:r>
      <w:proofErr w:type="spellEnd"/>
      <w:r w:rsidRPr="006C59AC">
        <w:rPr>
          <w:lang w:val="en-US"/>
        </w:rPr>
        <w:t xml:space="preserve"> </w:t>
      </w:r>
      <w:proofErr w:type="spellStart"/>
      <w:r w:rsidRPr="006C59AC">
        <w:rPr>
          <w:lang w:val="en-US"/>
        </w:rPr>
        <w:t>araçtır</w:t>
      </w:r>
      <w:proofErr w:type="spellEnd"/>
      <w:r w:rsidRPr="006C59AC">
        <w:rPr>
          <w:lang w:val="en-US"/>
        </w:rPr>
        <w:t>—</w:t>
      </w:r>
      <w:proofErr w:type="spellStart"/>
      <w:r w:rsidRPr="006C59AC">
        <w:rPr>
          <w:lang w:val="en-US"/>
        </w:rPr>
        <w:t>ancak</w:t>
      </w:r>
      <w:proofErr w:type="spellEnd"/>
      <w:r w:rsidRPr="006C59AC">
        <w:rPr>
          <w:lang w:val="en-US"/>
        </w:rPr>
        <w:t xml:space="preserve"> </w:t>
      </w:r>
      <w:proofErr w:type="spellStart"/>
      <w:r w:rsidRPr="006C59AC">
        <w:rPr>
          <w:lang w:val="en-US"/>
        </w:rPr>
        <w:t>nihayetinde</w:t>
      </w:r>
      <w:proofErr w:type="spellEnd"/>
      <w:r w:rsidRPr="006C59AC">
        <w:rPr>
          <w:lang w:val="en-US"/>
        </w:rPr>
        <w:t xml:space="preserve"> </w:t>
      </w:r>
      <w:proofErr w:type="spellStart"/>
      <w:r w:rsidRPr="006C59AC">
        <w:rPr>
          <w:lang w:val="en-US"/>
        </w:rPr>
        <w:t>sadece</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araçtır</w:t>
      </w:r>
      <w:proofErr w:type="spellEnd"/>
      <w:r w:rsidRPr="006C59AC">
        <w:rPr>
          <w:lang w:val="en-US"/>
        </w:rPr>
        <w:t>.</w:t>
      </w:r>
    </w:p>
    <w:p w14:paraId="0A7D22B5" w14:textId="386FDA13" w:rsidR="006C59AC" w:rsidRDefault="006C59AC" w:rsidP="006C59AC">
      <w:pPr>
        <w:rPr>
          <w:lang w:val="en-US"/>
        </w:rPr>
      </w:pPr>
      <w:proofErr w:type="spellStart"/>
      <w:r w:rsidRPr="006C59AC">
        <w:rPr>
          <w:lang w:val="en-US"/>
        </w:rPr>
        <w:t>Anayasal</w:t>
      </w:r>
      <w:proofErr w:type="spellEnd"/>
      <w:r w:rsidRPr="006C59AC">
        <w:rPr>
          <w:lang w:val="en-US"/>
        </w:rPr>
        <w:t xml:space="preserve"> </w:t>
      </w:r>
      <w:proofErr w:type="spellStart"/>
      <w:r w:rsidRPr="006C59AC">
        <w:rPr>
          <w:lang w:val="en-US"/>
        </w:rPr>
        <w:t>karar</w:t>
      </w:r>
      <w:proofErr w:type="spellEnd"/>
      <w:r w:rsidRPr="006C59AC">
        <w:rPr>
          <w:lang w:val="en-US"/>
        </w:rPr>
        <w:t xml:space="preserve"> alma </w:t>
      </w:r>
      <w:proofErr w:type="spellStart"/>
      <w:r w:rsidRPr="006C59AC">
        <w:rPr>
          <w:lang w:val="en-US"/>
        </w:rPr>
        <w:t>sürecini</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görüşlerinin</w:t>
      </w:r>
      <w:proofErr w:type="spellEnd"/>
      <w:r w:rsidRPr="006C59AC">
        <w:rPr>
          <w:lang w:val="en-US"/>
        </w:rPr>
        <w:t xml:space="preserve"> </w:t>
      </w:r>
      <w:proofErr w:type="spellStart"/>
      <w:r w:rsidRPr="006C59AC">
        <w:rPr>
          <w:lang w:val="en-US"/>
        </w:rPr>
        <w:t>üretilme</w:t>
      </w:r>
      <w:proofErr w:type="spellEnd"/>
      <w:r w:rsidRPr="006C59AC">
        <w:rPr>
          <w:lang w:val="en-US"/>
        </w:rPr>
        <w:t xml:space="preserve"> </w:t>
      </w:r>
      <w:proofErr w:type="spellStart"/>
      <w:r w:rsidRPr="006C59AC">
        <w:rPr>
          <w:lang w:val="en-US"/>
        </w:rPr>
        <w:t>süreci</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tanımlamak</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aracı</w:t>
      </w:r>
      <w:proofErr w:type="spellEnd"/>
      <w:r w:rsidRPr="006C59AC">
        <w:rPr>
          <w:lang w:val="en-US"/>
        </w:rPr>
        <w:t xml:space="preserve"> </w:t>
      </w:r>
      <w:proofErr w:type="spellStart"/>
      <w:r w:rsidRPr="006C59AC">
        <w:rPr>
          <w:lang w:val="en-US"/>
        </w:rPr>
        <w:t>amaçla</w:t>
      </w:r>
      <w:proofErr w:type="spellEnd"/>
      <w:r w:rsidRPr="006C59AC">
        <w:rPr>
          <w:lang w:val="en-US"/>
        </w:rPr>
        <w:t xml:space="preserve"> </w:t>
      </w:r>
      <w:proofErr w:type="spellStart"/>
      <w:r w:rsidRPr="006C59AC">
        <w:rPr>
          <w:lang w:val="en-US"/>
        </w:rPr>
        <w:t>karıştırmak</w:t>
      </w:r>
      <w:proofErr w:type="spellEnd"/>
      <w:r w:rsidRPr="006C59AC">
        <w:rPr>
          <w:lang w:val="en-US"/>
        </w:rPr>
        <w:t xml:space="preserve"> </w:t>
      </w:r>
      <w:proofErr w:type="spellStart"/>
      <w:r w:rsidRPr="006C59AC">
        <w:rPr>
          <w:lang w:val="en-US"/>
        </w:rPr>
        <w:t>veya</w:t>
      </w:r>
      <w:proofErr w:type="spellEnd"/>
      <w:r w:rsidRPr="006C59AC">
        <w:rPr>
          <w:lang w:val="en-US"/>
        </w:rPr>
        <w:t xml:space="preserve"> </w:t>
      </w:r>
      <w:proofErr w:type="spellStart"/>
      <w:r w:rsidRPr="006C59AC">
        <w:rPr>
          <w:lang w:val="en-US"/>
        </w:rPr>
        <w:t>sürecin</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aşamasını</w:t>
      </w:r>
      <w:proofErr w:type="spellEnd"/>
      <w:r w:rsidRPr="006C59AC">
        <w:rPr>
          <w:lang w:val="en-US"/>
        </w:rPr>
        <w:t xml:space="preserve"> </w:t>
      </w:r>
      <w:proofErr w:type="spellStart"/>
      <w:r w:rsidRPr="006C59AC">
        <w:rPr>
          <w:lang w:val="en-US"/>
        </w:rPr>
        <w:t>sürecin</w:t>
      </w:r>
      <w:proofErr w:type="spellEnd"/>
      <w:r w:rsidRPr="006C59AC">
        <w:rPr>
          <w:lang w:val="en-US"/>
        </w:rPr>
        <w:t xml:space="preserve"> </w:t>
      </w:r>
      <w:proofErr w:type="spellStart"/>
      <w:r w:rsidRPr="006C59AC">
        <w:rPr>
          <w:lang w:val="en-US"/>
        </w:rPr>
        <w:t>bütünü</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görmek</w:t>
      </w:r>
      <w:proofErr w:type="spellEnd"/>
      <w:r w:rsidRPr="006C59AC">
        <w:rPr>
          <w:lang w:val="en-US"/>
        </w:rPr>
        <w:t xml:space="preserve"> </w:t>
      </w:r>
      <w:proofErr w:type="spellStart"/>
      <w:r w:rsidRPr="006C59AC">
        <w:rPr>
          <w:lang w:val="en-US"/>
        </w:rPr>
        <w:t>anlamına</w:t>
      </w:r>
      <w:proofErr w:type="spellEnd"/>
      <w:r w:rsidRPr="006C59AC">
        <w:rPr>
          <w:lang w:val="en-US"/>
        </w:rPr>
        <w:t xml:space="preserve"> </w:t>
      </w:r>
      <w:proofErr w:type="spellStart"/>
      <w:r w:rsidRPr="006C59AC">
        <w:rPr>
          <w:lang w:val="en-US"/>
        </w:rPr>
        <w:t>gelir</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hukukunun</w:t>
      </w:r>
      <w:proofErr w:type="spellEnd"/>
      <w:r w:rsidRPr="006C59AC">
        <w:rPr>
          <w:lang w:val="en-US"/>
        </w:rPr>
        <w:t xml:space="preserve"> </w:t>
      </w:r>
      <w:proofErr w:type="spellStart"/>
      <w:r w:rsidRPr="006C59AC">
        <w:rPr>
          <w:lang w:val="en-US"/>
        </w:rPr>
        <w:t>insanların</w:t>
      </w:r>
      <w:proofErr w:type="spellEnd"/>
      <w:r w:rsidRPr="006C59AC">
        <w:rPr>
          <w:lang w:val="en-US"/>
        </w:rPr>
        <w:t xml:space="preserve"> </w:t>
      </w:r>
      <w:proofErr w:type="spellStart"/>
      <w:r w:rsidRPr="006C59AC">
        <w:rPr>
          <w:lang w:val="en-US"/>
        </w:rPr>
        <w:t>yaşamlarında</w:t>
      </w:r>
      <w:proofErr w:type="spellEnd"/>
      <w:r w:rsidRPr="006C59AC">
        <w:rPr>
          <w:lang w:val="en-US"/>
        </w:rPr>
        <w:t xml:space="preserve"> </w:t>
      </w:r>
      <w:proofErr w:type="spellStart"/>
      <w:r w:rsidRPr="006C59AC">
        <w:rPr>
          <w:lang w:val="en-US"/>
        </w:rPr>
        <w:t>nasıl</w:t>
      </w:r>
      <w:proofErr w:type="spellEnd"/>
      <w:r w:rsidRPr="006C59AC">
        <w:rPr>
          <w:lang w:val="en-US"/>
        </w:rPr>
        <w:t xml:space="preserve"> </w:t>
      </w:r>
      <w:proofErr w:type="spellStart"/>
      <w:r w:rsidRPr="006C59AC">
        <w:rPr>
          <w:lang w:val="en-US"/>
        </w:rPr>
        <w:t>etkili</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güç</w:t>
      </w:r>
      <w:proofErr w:type="spellEnd"/>
      <w:r w:rsidRPr="006C59AC">
        <w:rPr>
          <w:lang w:val="en-US"/>
        </w:rPr>
        <w:t xml:space="preserve"> </w:t>
      </w:r>
      <w:proofErr w:type="spellStart"/>
      <w:r w:rsidRPr="006C59AC">
        <w:rPr>
          <w:lang w:val="en-US"/>
        </w:rPr>
        <w:t>haline</w:t>
      </w:r>
      <w:proofErr w:type="spellEnd"/>
      <w:r w:rsidRPr="006C59AC">
        <w:rPr>
          <w:lang w:val="en-US"/>
        </w:rPr>
        <w:t xml:space="preserve"> </w:t>
      </w:r>
      <w:proofErr w:type="spellStart"/>
      <w:r w:rsidRPr="006C59AC">
        <w:rPr>
          <w:lang w:val="en-US"/>
        </w:rPr>
        <w:t>geldiğini</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onların</w:t>
      </w:r>
      <w:proofErr w:type="spellEnd"/>
      <w:r w:rsidRPr="006C59AC">
        <w:rPr>
          <w:lang w:val="en-US"/>
        </w:rPr>
        <w:t xml:space="preserve"> </w:t>
      </w:r>
      <w:proofErr w:type="spellStart"/>
      <w:r w:rsidRPr="006C59AC">
        <w:rPr>
          <w:lang w:val="en-US"/>
        </w:rPr>
        <w:t>refahı</w:t>
      </w:r>
      <w:proofErr w:type="spellEnd"/>
      <w:r w:rsidRPr="006C59AC">
        <w:rPr>
          <w:lang w:val="en-US"/>
        </w:rPr>
        <w:t xml:space="preserve"> </w:t>
      </w:r>
      <w:proofErr w:type="spellStart"/>
      <w:r w:rsidRPr="006C59AC">
        <w:rPr>
          <w:lang w:val="en-US"/>
        </w:rPr>
        <w:t>açısından</w:t>
      </w:r>
      <w:proofErr w:type="spellEnd"/>
      <w:r w:rsidRPr="006C59AC">
        <w:rPr>
          <w:lang w:val="en-US"/>
        </w:rPr>
        <w:t xml:space="preserve"> </w:t>
      </w:r>
      <w:proofErr w:type="spellStart"/>
      <w:r w:rsidRPr="006C59AC">
        <w:rPr>
          <w:lang w:val="en-US"/>
        </w:rPr>
        <w:t>somut</w:t>
      </w:r>
      <w:proofErr w:type="spellEnd"/>
      <w:r w:rsidRPr="006C59AC">
        <w:rPr>
          <w:lang w:val="en-US"/>
        </w:rPr>
        <w:t xml:space="preserve"> </w:t>
      </w:r>
      <w:proofErr w:type="spellStart"/>
      <w:r w:rsidRPr="006C59AC">
        <w:rPr>
          <w:lang w:val="en-US"/>
        </w:rPr>
        <w:t>sonuçlar</w:t>
      </w:r>
      <w:proofErr w:type="spellEnd"/>
      <w:r w:rsidRPr="006C59AC">
        <w:rPr>
          <w:lang w:val="en-US"/>
        </w:rPr>
        <w:t xml:space="preserve"> </w:t>
      </w:r>
      <w:proofErr w:type="spellStart"/>
      <w:r w:rsidRPr="006C59AC">
        <w:rPr>
          <w:lang w:val="en-US"/>
        </w:rPr>
        <w:t>doğurduğunu</w:t>
      </w:r>
      <w:proofErr w:type="spellEnd"/>
      <w:r w:rsidRPr="006C59AC">
        <w:rPr>
          <w:lang w:val="en-US"/>
        </w:rPr>
        <w:t xml:space="preserve"> tam </w:t>
      </w:r>
      <w:proofErr w:type="spellStart"/>
      <w:r w:rsidRPr="006C59AC">
        <w:rPr>
          <w:lang w:val="en-US"/>
        </w:rPr>
        <w:t>olarak</w:t>
      </w:r>
      <w:proofErr w:type="spellEnd"/>
      <w:r w:rsidRPr="006C59AC">
        <w:rPr>
          <w:lang w:val="en-US"/>
        </w:rPr>
        <w:t xml:space="preserve"> </w:t>
      </w:r>
      <w:proofErr w:type="spellStart"/>
      <w:r w:rsidRPr="006C59AC">
        <w:rPr>
          <w:lang w:val="en-US"/>
        </w:rPr>
        <w:t>anlayabilmek</w:t>
      </w:r>
      <w:proofErr w:type="spellEnd"/>
      <w:r w:rsidRPr="006C59AC">
        <w:rPr>
          <w:lang w:val="en-US"/>
        </w:rPr>
        <w:t xml:space="preserve"> </w:t>
      </w:r>
      <w:proofErr w:type="spellStart"/>
      <w:r w:rsidRPr="006C59AC">
        <w:rPr>
          <w:lang w:val="en-US"/>
        </w:rPr>
        <w:t>için</w:t>
      </w:r>
      <w:proofErr w:type="spellEnd"/>
      <w:r w:rsidRPr="006C59AC">
        <w:rPr>
          <w:lang w:val="en-US"/>
        </w:rPr>
        <w:t xml:space="preserve"> </w:t>
      </w:r>
      <w:proofErr w:type="spellStart"/>
      <w:r w:rsidRPr="006C59AC">
        <w:rPr>
          <w:lang w:val="en-US"/>
        </w:rPr>
        <w:t>yalnızca</w:t>
      </w:r>
      <w:proofErr w:type="spellEnd"/>
      <w:r w:rsidRPr="006C59AC">
        <w:rPr>
          <w:lang w:val="en-US"/>
        </w:rPr>
        <w:t xml:space="preserve"> </w:t>
      </w:r>
      <w:proofErr w:type="spellStart"/>
      <w:r w:rsidRPr="006C59AC">
        <w:rPr>
          <w:lang w:val="en-US"/>
        </w:rPr>
        <w:t>mahkemelerin</w:t>
      </w:r>
      <w:proofErr w:type="spellEnd"/>
      <w:r w:rsidRPr="006C59AC">
        <w:rPr>
          <w:lang w:val="en-US"/>
        </w:rPr>
        <w:t xml:space="preserve"> ne </w:t>
      </w:r>
      <w:proofErr w:type="spellStart"/>
      <w:r w:rsidRPr="006C59AC">
        <w:rPr>
          <w:lang w:val="en-US"/>
        </w:rPr>
        <w:t>söylediğini</w:t>
      </w:r>
      <w:proofErr w:type="spellEnd"/>
      <w:r w:rsidRPr="006C59AC">
        <w:rPr>
          <w:lang w:val="en-US"/>
        </w:rPr>
        <w:t xml:space="preserve"> </w:t>
      </w:r>
      <w:proofErr w:type="spellStart"/>
      <w:r w:rsidRPr="006C59AC">
        <w:rPr>
          <w:lang w:val="en-US"/>
        </w:rPr>
        <w:t>incelemek</w:t>
      </w:r>
      <w:proofErr w:type="spellEnd"/>
      <w:r w:rsidRPr="006C59AC">
        <w:rPr>
          <w:lang w:val="en-US"/>
        </w:rPr>
        <w:t xml:space="preserve"> </w:t>
      </w:r>
      <w:proofErr w:type="spellStart"/>
      <w:r w:rsidRPr="006C59AC">
        <w:rPr>
          <w:lang w:val="en-US"/>
        </w:rPr>
        <w:t>yeterli</w:t>
      </w:r>
      <w:proofErr w:type="spellEnd"/>
      <w:r w:rsidRPr="006C59AC">
        <w:rPr>
          <w:lang w:val="en-US"/>
        </w:rPr>
        <w:t xml:space="preserve"> </w:t>
      </w:r>
      <w:proofErr w:type="spellStart"/>
      <w:r w:rsidRPr="006C59AC">
        <w:rPr>
          <w:lang w:val="en-US"/>
        </w:rPr>
        <w:t>değildir</w:t>
      </w:r>
      <w:proofErr w:type="spellEnd"/>
      <w:r w:rsidRPr="006C59AC">
        <w:rPr>
          <w:lang w:val="en-US"/>
        </w:rPr>
        <w:t xml:space="preserve">; </w:t>
      </w:r>
      <w:proofErr w:type="spellStart"/>
      <w:r w:rsidRPr="006C59AC">
        <w:rPr>
          <w:lang w:val="en-US"/>
        </w:rPr>
        <w:t>aynı</w:t>
      </w:r>
      <w:proofErr w:type="spellEnd"/>
      <w:r w:rsidRPr="006C59AC">
        <w:rPr>
          <w:lang w:val="en-US"/>
        </w:rPr>
        <w:t xml:space="preserve"> </w:t>
      </w:r>
      <w:proofErr w:type="spellStart"/>
      <w:r w:rsidRPr="006C59AC">
        <w:rPr>
          <w:lang w:val="en-US"/>
        </w:rPr>
        <w:t>zamanda</w:t>
      </w:r>
      <w:proofErr w:type="spellEnd"/>
      <w:r w:rsidRPr="006C59AC">
        <w:rPr>
          <w:lang w:val="en-US"/>
        </w:rPr>
        <w:t xml:space="preserve"> </w:t>
      </w:r>
      <w:proofErr w:type="spellStart"/>
      <w:r w:rsidRPr="006C59AC">
        <w:rPr>
          <w:lang w:val="en-US"/>
        </w:rPr>
        <w:t>bu</w:t>
      </w:r>
      <w:proofErr w:type="spellEnd"/>
      <w:r w:rsidRPr="006C59AC">
        <w:rPr>
          <w:lang w:val="en-US"/>
        </w:rPr>
        <w:t xml:space="preserve"> </w:t>
      </w:r>
      <w:proofErr w:type="spellStart"/>
      <w:r w:rsidRPr="006C59AC">
        <w:rPr>
          <w:lang w:val="en-US"/>
        </w:rPr>
        <w:t>sözlerin</w:t>
      </w:r>
      <w:proofErr w:type="spellEnd"/>
      <w:r w:rsidRPr="006C59AC">
        <w:rPr>
          <w:lang w:val="en-US"/>
        </w:rPr>
        <w:t xml:space="preserve"> </w:t>
      </w:r>
      <w:proofErr w:type="spellStart"/>
      <w:r w:rsidRPr="006C59AC">
        <w:rPr>
          <w:lang w:val="en-US"/>
        </w:rPr>
        <w:t>nasıl</w:t>
      </w:r>
      <w:proofErr w:type="spellEnd"/>
      <w:r w:rsidRPr="006C59AC">
        <w:rPr>
          <w:lang w:val="en-US"/>
        </w:rPr>
        <w:t xml:space="preserve"> </w:t>
      </w:r>
      <w:proofErr w:type="spellStart"/>
      <w:r w:rsidRPr="006C59AC">
        <w:rPr>
          <w:lang w:val="en-US"/>
        </w:rPr>
        <w:t>aktarıldığını</w:t>
      </w:r>
      <w:proofErr w:type="spellEnd"/>
      <w:r w:rsidRPr="006C59AC">
        <w:rPr>
          <w:lang w:val="en-US"/>
        </w:rPr>
        <w:t xml:space="preserve">, </w:t>
      </w:r>
      <w:proofErr w:type="spellStart"/>
      <w:r w:rsidRPr="006C59AC">
        <w:rPr>
          <w:lang w:val="en-US"/>
        </w:rPr>
        <w:t>anlaşıldığını</w:t>
      </w:r>
      <w:proofErr w:type="spellEnd"/>
      <w:r w:rsidRPr="006C59AC">
        <w:rPr>
          <w:lang w:val="en-US"/>
        </w:rPr>
        <w:t xml:space="preserve">, </w:t>
      </w:r>
      <w:proofErr w:type="spellStart"/>
      <w:r w:rsidRPr="006C59AC">
        <w:rPr>
          <w:lang w:val="en-US"/>
        </w:rPr>
        <w:t>manipüle</w:t>
      </w:r>
      <w:proofErr w:type="spellEnd"/>
      <w:r w:rsidRPr="006C59AC">
        <w:rPr>
          <w:lang w:val="en-US"/>
        </w:rPr>
        <w:t xml:space="preserve"> </w:t>
      </w:r>
      <w:proofErr w:type="spellStart"/>
      <w:r w:rsidRPr="006C59AC">
        <w:rPr>
          <w:lang w:val="en-US"/>
        </w:rPr>
        <w:t>edildiğini</w:t>
      </w:r>
      <w:proofErr w:type="spellEnd"/>
      <w:r w:rsidRPr="006C59AC">
        <w:rPr>
          <w:lang w:val="en-US"/>
        </w:rPr>
        <w:t xml:space="preserve">, </w:t>
      </w:r>
      <w:proofErr w:type="spellStart"/>
      <w:r w:rsidRPr="006C59AC">
        <w:rPr>
          <w:lang w:val="en-US"/>
        </w:rPr>
        <w:t>göz</w:t>
      </w:r>
      <w:proofErr w:type="spellEnd"/>
      <w:r w:rsidRPr="006C59AC">
        <w:rPr>
          <w:lang w:val="en-US"/>
        </w:rPr>
        <w:t xml:space="preserve"> </w:t>
      </w:r>
      <w:proofErr w:type="spellStart"/>
      <w:r w:rsidRPr="006C59AC">
        <w:rPr>
          <w:lang w:val="en-US"/>
        </w:rPr>
        <w:t>ardı</w:t>
      </w:r>
      <w:proofErr w:type="spellEnd"/>
      <w:r w:rsidRPr="006C59AC">
        <w:rPr>
          <w:lang w:val="en-US"/>
        </w:rPr>
        <w:t xml:space="preserve"> </w:t>
      </w:r>
      <w:proofErr w:type="spellStart"/>
      <w:r w:rsidRPr="006C59AC">
        <w:rPr>
          <w:lang w:val="en-US"/>
        </w:rPr>
        <w:t>edildiğini</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uygulandığını</w:t>
      </w:r>
      <w:proofErr w:type="spellEnd"/>
      <w:r w:rsidRPr="006C59AC">
        <w:rPr>
          <w:lang w:val="en-US"/>
        </w:rPr>
        <w:t xml:space="preserve"> da </w:t>
      </w:r>
      <w:proofErr w:type="spellStart"/>
      <w:r w:rsidRPr="006C59AC">
        <w:rPr>
          <w:lang w:val="en-US"/>
        </w:rPr>
        <w:t>araştırmak</w:t>
      </w:r>
      <w:proofErr w:type="spellEnd"/>
      <w:r w:rsidRPr="006C59AC">
        <w:rPr>
          <w:lang w:val="en-US"/>
        </w:rPr>
        <w:t xml:space="preserve"> </w:t>
      </w:r>
      <w:proofErr w:type="spellStart"/>
      <w:r w:rsidRPr="006C59AC">
        <w:rPr>
          <w:lang w:val="en-US"/>
        </w:rPr>
        <w:t>gerekir</w:t>
      </w:r>
      <w:proofErr w:type="spellEnd"/>
      <w:r w:rsidRPr="006C59AC">
        <w:rPr>
          <w:lang w:val="en-US"/>
        </w:rPr>
        <w:t>.</w:t>
      </w:r>
      <w:r>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kararları</w:t>
      </w:r>
      <w:proofErr w:type="spellEnd"/>
      <w:r w:rsidRPr="006C59AC">
        <w:rPr>
          <w:lang w:val="en-US"/>
        </w:rPr>
        <w:t xml:space="preserve"> </w:t>
      </w:r>
      <w:proofErr w:type="spellStart"/>
      <w:r w:rsidRPr="006C59AC">
        <w:rPr>
          <w:lang w:val="en-US"/>
        </w:rPr>
        <w:t>bazen</w:t>
      </w:r>
      <w:proofErr w:type="spellEnd"/>
      <w:r w:rsidRPr="006C59AC">
        <w:rPr>
          <w:lang w:val="en-US"/>
        </w:rPr>
        <w:t xml:space="preserve"> </w:t>
      </w:r>
      <w:proofErr w:type="spellStart"/>
      <w:r w:rsidRPr="006C59AC">
        <w:rPr>
          <w:lang w:val="en-US"/>
        </w:rPr>
        <w:t>herhangi</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gerekçeli</w:t>
      </w:r>
      <w:proofErr w:type="spellEnd"/>
      <w:r w:rsidRPr="006C59AC">
        <w:rPr>
          <w:lang w:val="en-US"/>
        </w:rPr>
        <w:t xml:space="preserve"> </w:t>
      </w:r>
      <w:proofErr w:type="spellStart"/>
      <w:r w:rsidRPr="006C59AC">
        <w:rPr>
          <w:lang w:val="en-US"/>
        </w:rPr>
        <w:t>görüş</w:t>
      </w:r>
      <w:proofErr w:type="spellEnd"/>
      <w:r w:rsidRPr="006C59AC">
        <w:rPr>
          <w:lang w:val="en-US"/>
        </w:rPr>
        <w:t xml:space="preserve"> </w:t>
      </w:r>
      <w:proofErr w:type="spellStart"/>
      <w:r w:rsidRPr="006C59AC">
        <w:rPr>
          <w:lang w:val="en-US"/>
        </w:rPr>
        <w:t>olmadan</w:t>
      </w:r>
      <w:proofErr w:type="spellEnd"/>
      <w:r w:rsidRPr="006C59AC">
        <w:rPr>
          <w:lang w:val="en-US"/>
        </w:rPr>
        <w:t xml:space="preserve"> </w:t>
      </w:r>
      <w:proofErr w:type="spellStart"/>
      <w:r w:rsidRPr="006C59AC">
        <w:rPr>
          <w:lang w:val="en-US"/>
        </w:rPr>
        <w:t>verildiğinde</w:t>
      </w:r>
      <w:proofErr w:type="spellEnd"/>
      <w:r w:rsidRPr="006C59AC">
        <w:rPr>
          <w:lang w:val="en-US"/>
        </w:rPr>
        <w:t xml:space="preserve"> bile </w:t>
      </w:r>
      <w:proofErr w:type="spellStart"/>
      <w:r w:rsidRPr="006C59AC">
        <w:rPr>
          <w:lang w:val="en-US"/>
        </w:rPr>
        <w:t>önemli</w:t>
      </w:r>
      <w:proofErr w:type="spellEnd"/>
      <w:r w:rsidRPr="006C59AC">
        <w:rPr>
          <w:lang w:val="en-US"/>
        </w:rPr>
        <w:t xml:space="preserve"> </w:t>
      </w:r>
      <w:proofErr w:type="spellStart"/>
      <w:r w:rsidRPr="006C59AC">
        <w:rPr>
          <w:lang w:val="en-US"/>
        </w:rPr>
        <w:t>sonuçlar</w:t>
      </w:r>
      <w:proofErr w:type="spellEnd"/>
      <w:r w:rsidRPr="006C59AC">
        <w:rPr>
          <w:lang w:val="en-US"/>
        </w:rPr>
        <w:t xml:space="preserve"> </w:t>
      </w:r>
      <w:proofErr w:type="spellStart"/>
      <w:r w:rsidRPr="006C59AC">
        <w:rPr>
          <w:lang w:val="en-US"/>
        </w:rPr>
        <w:t>doğurabilir</w:t>
      </w:r>
      <w:proofErr w:type="spellEnd"/>
      <w:r w:rsidRPr="006C59AC">
        <w:rPr>
          <w:lang w:val="en-US"/>
        </w:rPr>
        <w:t xml:space="preserve">, </w:t>
      </w:r>
      <w:proofErr w:type="spellStart"/>
      <w:r w:rsidRPr="006C59AC">
        <w:rPr>
          <w:lang w:val="en-US"/>
        </w:rPr>
        <w:t>kapsamlı</w:t>
      </w:r>
      <w:proofErr w:type="spellEnd"/>
      <w:r w:rsidRPr="006C59AC">
        <w:rPr>
          <w:lang w:val="en-US"/>
        </w:rPr>
        <w:t xml:space="preserve"> </w:t>
      </w:r>
      <w:proofErr w:type="spellStart"/>
      <w:r w:rsidRPr="006C59AC">
        <w:rPr>
          <w:lang w:val="en-US"/>
        </w:rPr>
        <w:t>gerekçeler</w:t>
      </w:r>
      <w:proofErr w:type="spellEnd"/>
      <w:r w:rsidRPr="006C59AC">
        <w:rPr>
          <w:lang w:val="en-US"/>
        </w:rPr>
        <w:t xml:space="preserve"> </w:t>
      </w:r>
      <w:proofErr w:type="spellStart"/>
      <w:r w:rsidRPr="006C59AC">
        <w:rPr>
          <w:lang w:val="en-US"/>
        </w:rPr>
        <w:t>içermesine</w:t>
      </w:r>
      <w:proofErr w:type="spellEnd"/>
      <w:r w:rsidRPr="006C59AC">
        <w:rPr>
          <w:lang w:val="en-US"/>
        </w:rPr>
        <w:t xml:space="preserve"> </w:t>
      </w:r>
      <w:proofErr w:type="spellStart"/>
      <w:r w:rsidRPr="006C59AC">
        <w:rPr>
          <w:lang w:val="en-US"/>
        </w:rPr>
        <w:t>rağmen</w:t>
      </w:r>
      <w:proofErr w:type="spellEnd"/>
      <w:r w:rsidRPr="006C59AC">
        <w:rPr>
          <w:lang w:val="en-US"/>
        </w:rPr>
        <w:t xml:space="preserve"> </w:t>
      </w:r>
      <w:proofErr w:type="spellStart"/>
      <w:r w:rsidRPr="006C59AC">
        <w:rPr>
          <w:lang w:val="en-US"/>
        </w:rPr>
        <w:t>sınırlı</w:t>
      </w:r>
      <w:proofErr w:type="spellEnd"/>
      <w:r w:rsidRPr="006C59AC">
        <w:rPr>
          <w:lang w:val="en-US"/>
        </w:rPr>
        <w:t xml:space="preserve"> </w:t>
      </w:r>
      <w:proofErr w:type="spellStart"/>
      <w:r w:rsidRPr="006C59AC">
        <w:rPr>
          <w:lang w:val="en-US"/>
        </w:rPr>
        <w:t>etkiye</w:t>
      </w:r>
      <w:proofErr w:type="spellEnd"/>
      <w:r w:rsidRPr="006C59AC">
        <w:rPr>
          <w:lang w:val="en-US"/>
        </w:rPr>
        <w:t xml:space="preserve"> </w:t>
      </w:r>
      <w:proofErr w:type="spellStart"/>
      <w:r w:rsidRPr="006C59AC">
        <w:rPr>
          <w:lang w:val="en-US"/>
        </w:rPr>
        <w:t>sahip</w:t>
      </w:r>
      <w:proofErr w:type="spellEnd"/>
      <w:r w:rsidRPr="006C59AC">
        <w:rPr>
          <w:lang w:val="en-US"/>
        </w:rPr>
        <w:t xml:space="preserve"> </w:t>
      </w:r>
      <w:proofErr w:type="spellStart"/>
      <w:r w:rsidRPr="006C59AC">
        <w:rPr>
          <w:lang w:val="en-US"/>
        </w:rPr>
        <w:t>olabilir</w:t>
      </w:r>
      <w:proofErr w:type="spellEnd"/>
      <w:r w:rsidRPr="006C59AC">
        <w:rPr>
          <w:lang w:val="en-US"/>
        </w:rPr>
        <w:t xml:space="preserve"> </w:t>
      </w:r>
      <w:proofErr w:type="spellStart"/>
      <w:r w:rsidRPr="006C59AC">
        <w:rPr>
          <w:lang w:val="en-US"/>
        </w:rPr>
        <w:t>veya</w:t>
      </w:r>
      <w:proofErr w:type="spellEnd"/>
      <w:r w:rsidRPr="006C59AC">
        <w:rPr>
          <w:lang w:val="en-US"/>
        </w:rPr>
        <w:t xml:space="preserve"> </w:t>
      </w:r>
      <w:proofErr w:type="spellStart"/>
      <w:r w:rsidRPr="006C59AC">
        <w:rPr>
          <w:lang w:val="en-US"/>
        </w:rPr>
        <w:t>en</w:t>
      </w:r>
      <w:proofErr w:type="spellEnd"/>
      <w:r w:rsidRPr="006C59AC">
        <w:rPr>
          <w:lang w:val="en-US"/>
        </w:rPr>
        <w:t xml:space="preserve"> </w:t>
      </w:r>
      <w:proofErr w:type="spellStart"/>
      <w:r w:rsidRPr="006C59AC">
        <w:rPr>
          <w:lang w:val="en-US"/>
        </w:rPr>
        <w:t>dikkatli</w:t>
      </w:r>
      <w:proofErr w:type="spellEnd"/>
      <w:r w:rsidRPr="006C59AC">
        <w:rPr>
          <w:lang w:val="en-US"/>
        </w:rPr>
        <w:t xml:space="preserve"> </w:t>
      </w:r>
      <w:proofErr w:type="spellStart"/>
      <w:r w:rsidRPr="006C59AC">
        <w:rPr>
          <w:lang w:val="en-US"/>
        </w:rPr>
        <w:t>okumalara</w:t>
      </w:r>
      <w:proofErr w:type="spellEnd"/>
      <w:r w:rsidRPr="006C59AC">
        <w:rPr>
          <w:lang w:val="en-US"/>
        </w:rPr>
        <w:t xml:space="preserve"> </w:t>
      </w:r>
      <w:proofErr w:type="spellStart"/>
      <w:r w:rsidRPr="006C59AC">
        <w:rPr>
          <w:lang w:val="en-US"/>
        </w:rPr>
        <w:t>rağmen</w:t>
      </w:r>
      <w:proofErr w:type="spellEnd"/>
      <w:r w:rsidRPr="006C59AC">
        <w:rPr>
          <w:lang w:val="en-US"/>
        </w:rPr>
        <w:t xml:space="preserve"> </w:t>
      </w:r>
      <w:proofErr w:type="spellStart"/>
      <w:r w:rsidRPr="006C59AC">
        <w:rPr>
          <w:lang w:val="en-US"/>
        </w:rPr>
        <w:t>beklenenden</w:t>
      </w:r>
      <w:proofErr w:type="spellEnd"/>
      <w:r w:rsidRPr="006C59AC">
        <w:rPr>
          <w:lang w:val="en-US"/>
        </w:rPr>
        <w:t xml:space="preserve"> </w:t>
      </w:r>
      <w:proofErr w:type="spellStart"/>
      <w:r w:rsidRPr="006C59AC">
        <w:rPr>
          <w:lang w:val="en-US"/>
        </w:rPr>
        <w:t>tamamen</w:t>
      </w:r>
      <w:proofErr w:type="spellEnd"/>
      <w:r w:rsidRPr="006C59AC">
        <w:rPr>
          <w:lang w:val="en-US"/>
        </w:rPr>
        <w:t xml:space="preserve"> </w:t>
      </w:r>
      <w:proofErr w:type="spellStart"/>
      <w:r w:rsidRPr="006C59AC">
        <w:rPr>
          <w:lang w:val="en-US"/>
        </w:rPr>
        <w:t>farklı</w:t>
      </w:r>
      <w:proofErr w:type="spellEnd"/>
      <w:r w:rsidRPr="006C59AC">
        <w:rPr>
          <w:lang w:val="en-US"/>
        </w:rPr>
        <w:t xml:space="preserve"> </w:t>
      </w:r>
      <w:proofErr w:type="spellStart"/>
      <w:r w:rsidRPr="006C59AC">
        <w:rPr>
          <w:lang w:val="en-US"/>
        </w:rPr>
        <w:t>sonuçlar</w:t>
      </w:r>
      <w:proofErr w:type="spellEnd"/>
      <w:r w:rsidRPr="006C59AC">
        <w:rPr>
          <w:lang w:val="en-US"/>
        </w:rPr>
        <w:t xml:space="preserve"> </w:t>
      </w:r>
      <w:proofErr w:type="spellStart"/>
      <w:r w:rsidRPr="006C59AC">
        <w:rPr>
          <w:lang w:val="en-US"/>
        </w:rPr>
        <w:t>doğurabilir</w:t>
      </w:r>
      <w:proofErr w:type="spellEnd"/>
      <w:r w:rsidRPr="006C59AC">
        <w:rPr>
          <w:lang w:val="en-US"/>
        </w:rPr>
        <w:t>.</w:t>
      </w:r>
      <w:r>
        <w:rPr>
          <w:lang w:val="en-US"/>
        </w:rPr>
        <w:t xml:space="preserve"> [1121 - 1122]</w:t>
      </w:r>
    </w:p>
    <w:p w14:paraId="1BF4260F" w14:textId="62359D6E" w:rsidR="00937211" w:rsidRPr="006C59AC" w:rsidRDefault="006C59AC" w:rsidP="006C59AC">
      <w:pPr>
        <w:rPr>
          <w:lang w:val="en-US"/>
        </w:rPr>
      </w:pPr>
      <w:proofErr w:type="spellStart"/>
      <w:r w:rsidRPr="006C59AC">
        <w:rPr>
          <w:lang w:val="en-US"/>
        </w:rPr>
        <w:t>Anayasal</w:t>
      </w:r>
      <w:proofErr w:type="spellEnd"/>
      <w:r w:rsidRPr="006C59AC">
        <w:rPr>
          <w:lang w:val="en-US"/>
        </w:rPr>
        <w:t xml:space="preserve"> </w:t>
      </w:r>
      <w:proofErr w:type="spellStart"/>
      <w:r w:rsidRPr="006C59AC">
        <w:rPr>
          <w:lang w:val="en-US"/>
        </w:rPr>
        <w:t>kültür</w:t>
      </w:r>
      <w:proofErr w:type="spellEnd"/>
      <w:r w:rsidRPr="006C59AC">
        <w:rPr>
          <w:lang w:val="en-US"/>
        </w:rPr>
        <w:t xml:space="preserve"> </w:t>
      </w:r>
      <w:proofErr w:type="spellStart"/>
      <w:r w:rsidRPr="006C59AC">
        <w:rPr>
          <w:lang w:val="en-US"/>
        </w:rPr>
        <w:t>perspektifi</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hukuku</w:t>
      </w:r>
      <w:proofErr w:type="spellEnd"/>
      <w:r w:rsidRPr="006C59AC">
        <w:rPr>
          <w:lang w:val="en-US"/>
        </w:rPr>
        <w:t xml:space="preserve"> </w:t>
      </w:r>
      <w:proofErr w:type="spellStart"/>
      <w:r w:rsidRPr="006C59AC">
        <w:rPr>
          <w:lang w:val="en-US"/>
        </w:rPr>
        <w:t>çalışmalarının</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görüşlerini</w:t>
      </w:r>
      <w:proofErr w:type="spellEnd"/>
      <w:r w:rsidRPr="006C59AC">
        <w:rPr>
          <w:lang w:val="en-US"/>
        </w:rPr>
        <w:t xml:space="preserve"> </w:t>
      </w:r>
      <w:proofErr w:type="spellStart"/>
      <w:r w:rsidRPr="006C59AC">
        <w:rPr>
          <w:lang w:val="en-US"/>
        </w:rPr>
        <w:t>fetişleştirme</w:t>
      </w:r>
      <w:proofErr w:type="spellEnd"/>
      <w:r w:rsidRPr="006C59AC">
        <w:rPr>
          <w:lang w:val="en-US"/>
        </w:rPr>
        <w:t xml:space="preserve"> </w:t>
      </w:r>
      <w:proofErr w:type="spellStart"/>
      <w:r w:rsidRPr="006C59AC">
        <w:rPr>
          <w:lang w:val="en-US"/>
        </w:rPr>
        <w:t>eğilimine</w:t>
      </w:r>
      <w:proofErr w:type="spellEnd"/>
      <w:r w:rsidRPr="006C59AC">
        <w:rPr>
          <w:lang w:val="en-US"/>
        </w:rPr>
        <w:t xml:space="preserve"> </w:t>
      </w:r>
      <w:proofErr w:type="spellStart"/>
      <w:r w:rsidRPr="006C59AC">
        <w:rPr>
          <w:lang w:val="en-US"/>
        </w:rPr>
        <w:t>karşı</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denge</w:t>
      </w:r>
      <w:proofErr w:type="spellEnd"/>
      <w:r w:rsidRPr="006C59AC">
        <w:rPr>
          <w:lang w:val="en-US"/>
        </w:rPr>
        <w:t xml:space="preserve"> </w:t>
      </w:r>
      <w:proofErr w:type="spellStart"/>
      <w:r w:rsidRPr="006C59AC">
        <w:rPr>
          <w:lang w:val="en-US"/>
        </w:rPr>
        <w:t>unsuru</w:t>
      </w:r>
      <w:proofErr w:type="spellEnd"/>
      <w:r w:rsidRPr="006C59AC">
        <w:rPr>
          <w:lang w:val="en-US"/>
        </w:rPr>
        <w:t xml:space="preserve"> </w:t>
      </w:r>
      <w:proofErr w:type="spellStart"/>
      <w:r w:rsidRPr="006C59AC">
        <w:rPr>
          <w:lang w:val="en-US"/>
        </w:rPr>
        <w:t>oluşturur</w:t>
      </w:r>
      <w:proofErr w:type="spellEnd"/>
      <w:r w:rsidRPr="006C59AC">
        <w:rPr>
          <w:lang w:val="en-US"/>
        </w:rPr>
        <w:t xml:space="preserve">. </w:t>
      </w:r>
      <w:proofErr w:type="spellStart"/>
      <w:r w:rsidRPr="006C59AC">
        <w:rPr>
          <w:lang w:val="en-US"/>
        </w:rPr>
        <w:t>Eğer</w:t>
      </w:r>
      <w:proofErr w:type="spellEnd"/>
      <w:r w:rsidRPr="006C59AC">
        <w:rPr>
          <w:lang w:val="en-US"/>
        </w:rPr>
        <w:t xml:space="preserve"> </w:t>
      </w:r>
      <w:proofErr w:type="spellStart"/>
      <w:r w:rsidRPr="006C59AC">
        <w:rPr>
          <w:lang w:val="en-US"/>
        </w:rPr>
        <w:t>görüş</w:t>
      </w:r>
      <w:proofErr w:type="spellEnd"/>
      <w:r w:rsidRPr="006C59AC">
        <w:rPr>
          <w:lang w:val="en-US"/>
        </w:rPr>
        <w:t xml:space="preserve"> </w:t>
      </w:r>
      <w:proofErr w:type="spellStart"/>
      <w:r w:rsidRPr="006C59AC">
        <w:rPr>
          <w:lang w:val="en-US"/>
        </w:rPr>
        <w:t>yazımı</w:t>
      </w:r>
      <w:proofErr w:type="spellEnd"/>
      <w:r w:rsidRPr="006C59AC">
        <w:rPr>
          <w:lang w:val="en-US"/>
        </w:rPr>
        <w:t xml:space="preserve"> </w:t>
      </w:r>
      <w:proofErr w:type="spellStart"/>
      <w:r w:rsidRPr="006C59AC">
        <w:rPr>
          <w:lang w:val="en-US"/>
        </w:rPr>
        <w:t>normları</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uygulamaları</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kültürümüzü</w:t>
      </w:r>
      <w:proofErr w:type="spellEnd"/>
      <w:r w:rsidRPr="006C59AC">
        <w:rPr>
          <w:lang w:val="en-US"/>
        </w:rPr>
        <w:t xml:space="preserve"> </w:t>
      </w:r>
      <w:proofErr w:type="spellStart"/>
      <w:r w:rsidRPr="006C59AC">
        <w:rPr>
          <w:lang w:val="en-US"/>
        </w:rPr>
        <w:t>oluşturan</w:t>
      </w:r>
      <w:proofErr w:type="spellEnd"/>
      <w:r w:rsidRPr="006C59AC">
        <w:rPr>
          <w:lang w:val="en-US"/>
        </w:rPr>
        <w:t xml:space="preserve"> </w:t>
      </w:r>
      <w:proofErr w:type="spellStart"/>
      <w:r w:rsidRPr="006C59AC">
        <w:rPr>
          <w:lang w:val="en-US"/>
        </w:rPr>
        <w:t>olumsal</w:t>
      </w:r>
      <w:proofErr w:type="spellEnd"/>
      <w:r w:rsidRPr="006C59AC">
        <w:rPr>
          <w:lang w:val="en-US"/>
        </w:rPr>
        <w:t xml:space="preserve"> (contingent) </w:t>
      </w:r>
      <w:proofErr w:type="spellStart"/>
      <w:r w:rsidRPr="006C59AC">
        <w:rPr>
          <w:lang w:val="en-US"/>
        </w:rPr>
        <w:t>ve</w:t>
      </w:r>
      <w:proofErr w:type="spellEnd"/>
      <w:r w:rsidRPr="006C59AC">
        <w:rPr>
          <w:lang w:val="en-US"/>
        </w:rPr>
        <w:t xml:space="preserve"> </w:t>
      </w:r>
      <w:proofErr w:type="spellStart"/>
      <w:r w:rsidRPr="006C59AC">
        <w:rPr>
          <w:lang w:val="en-US"/>
        </w:rPr>
        <w:t>evrimleşen</w:t>
      </w:r>
      <w:proofErr w:type="spellEnd"/>
      <w:r w:rsidRPr="006C59AC">
        <w:rPr>
          <w:lang w:val="en-US"/>
        </w:rPr>
        <w:t xml:space="preserve"> </w:t>
      </w:r>
      <w:proofErr w:type="spellStart"/>
      <w:r w:rsidRPr="006C59AC">
        <w:rPr>
          <w:lang w:val="en-US"/>
        </w:rPr>
        <w:t>unsurlardan</w:t>
      </w:r>
      <w:proofErr w:type="spellEnd"/>
      <w:r w:rsidRPr="006C59AC">
        <w:rPr>
          <w:lang w:val="en-US"/>
        </w:rPr>
        <w:t xml:space="preserve"> </w:t>
      </w:r>
      <w:proofErr w:type="spellStart"/>
      <w:r w:rsidRPr="006C59AC">
        <w:rPr>
          <w:lang w:val="en-US"/>
        </w:rPr>
        <w:t>sadece</w:t>
      </w:r>
      <w:proofErr w:type="spellEnd"/>
      <w:r w:rsidRPr="006C59AC">
        <w:rPr>
          <w:lang w:val="en-US"/>
        </w:rPr>
        <w:t xml:space="preserve"> </w:t>
      </w:r>
      <w:proofErr w:type="spellStart"/>
      <w:r w:rsidRPr="006C59AC">
        <w:rPr>
          <w:lang w:val="en-US"/>
        </w:rPr>
        <w:t>biri</w:t>
      </w:r>
      <w:proofErr w:type="spellEnd"/>
      <w:r w:rsidRPr="006C59AC">
        <w:rPr>
          <w:lang w:val="en-US"/>
        </w:rPr>
        <w:t xml:space="preserve"> </w:t>
      </w:r>
      <w:proofErr w:type="spellStart"/>
      <w:r w:rsidRPr="006C59AC">
        <w:rPr>
          <w:lang w:val="en-US"/>
        </w:rPr>
        <w:t>ise</w:t>
      </w:r>
      <w:proofErr w:type="spellEnd"/>
      <w:r w:rsidRPr="006C59AC">
        <w:rPr>
          <w:lang w:val="en-US"/>
        </w:rPr>
        <w:t xml:space="preserve">, o </w:t>
      </w:r>
      <w:proofErr w:type="spellStart"/>
      <w:r w:rsidRPr="006C59AC">
        <w:rPr>
          <w:lang w:val="en-US"/>
        </w:rPr>
        <w:t>halde</w:t>
      </w:r>
      <w:proofErr w:type="spellEnd"/>
      <w:r w:rsidRPr="006C59AC">
        <w:rPr>
          <w:lang w:val="en-US"/>
        </w:rPr>
        <w:t xml:space="preserve"> </w:t>
      </w:r>
      <w:proofErr w:type="spellStart"/>
      <w:r w:rsidRPr="006C59AC">
        <w:rPr>
          <w:lang w:val="en-US"/>
        </w:rPr>
        <w:t>üretilen</w:t>
      </w:r>
      <w:proofErr w:type="spellEnd"/>
      <w:r w:rsidRPr="006C59AC">
        <w:rPr>
          <w:lang w:val="en-US"/>
        </w:rPr>
        <w:t xml:space="preserve"> </w:t>
      </w:r>
      <w:proofErr w:type="spellStart"/>
      <w:r w:rsidRPr="006C59AC">
        <w:rPr>
          <w:lang w:val="en-US"/>
        </w:rPr>
        <w:t>belgeye</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görüşüne</w:t>
      </w:r>
      <w:proofErr w:type="spellEnd"/>
      <w:r w:rsidRPr="006C59AC">
        <w:rPr>
          <w:lang w:val="en-US"/>
        </w:rPr>
        <w:t xml:space="preserve">) </w:t>
      </w:r>
      <w:proofErr w:type="spellStart"/>
      <w:r w:rsidRPr="006C59AC">
        <w:rPr>
          <w:lang w:val="en-US"/>
        </w:rPr>
        <w:t>odaklanırken</w:t>
      </w:r>
      <w:proofErr w:type="spellEnd"/>
      <w:r w:rsidRPr="006C59AC">
        <w:rPr>
          <w:lang w:val="en-US"/>
        </w:rPr>
        <w:t xml:space="preserve">, </w:t>
      </w:r>
      <w:proofErr w:type="spellStart"/>
      <w:r w:rsidRPr="006C59AC">
        <w:rPr>
          <w:lang w:val="en-US"/>
        </w:rPr>
        <w:t>onun</w:t>
      </w:r>
      <w:proofErr w:type="spellEnd"/>
      <w:r w:rsidRPr="006C59AC">
        <w:rPr>
          <w:lang w:val="en-US"/>
        </w:rPr>
        <w:t xml:space="preserve"> </w:t>
      </w:r>
      <w:proofErr w:type="spellStart"/>
      <w:r w:rsidRPr="006C59AC">
        <w:rPr>
          <w:lang w:val="en-US"/>
        </w:rPr>
        <w:t>benimsenmesini</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uygulanmasını</w:t>
      </w:r>
      <w:proofErr w:type="spellEnd"/>
      <w:r w:rsidRPr="006C59AC">
        <w:rPr>
          <w:lang w:val="en-US"/>
        </w:rPr>
        <w:t xml:space="preserve"> </w:t>
      </w:r>
      <w:proofErr w:type="spellStart"/>
      <w:r w:rsidRPr="006C59AC">
        <w:rPr>
          <w:lang w:val="en-US"/>
        </w:rPr>
        <w:t>belirleyen</w:t>
      </w:r>
      <w:proofErr w:type="spellEnd"/>
      <w:r w:rsidRPr="006C59AC">
        <w:rPr>
          <w:lang w:val="en-US"/>
        </w:rPr>
        <w:t xml:space="preserve"> </w:t>
      </w:r>
      <w:proofErr w:type="spellStart"/>
      <w:r w:rsidRPr="006C59AC">
        <w:rPr>
          <w:lang w:val="en-US"/>
        </w:rPr>
        <w:t>paralel</w:t>
      </w:r>
      <w:proofErr w:type="spellEnd"/>
      <w:r w:rsidRPr="006C59AC">
        <w:rPr>
          <w:lang w:val="en-US"/>
        </w:rPr>
        <w:t xml:space="preserve"> </w:t>
      </w:r>
      <w:proofErr w:type="spellStart"/>
      <w:r w:rsidRPr="006C59AC">
        <w:rPr>
          <w:lang w:val="en-US"/>
        </w:rPr>
        <w:t>unsurları</w:t>
      </w:r>
      <w:proofErr w:type="spellEnd"/>
      <w:r w:rsidRPr="006C59AC">
        <w:rPr>
          <w:lang w:val="en-US"/>
        </w:rPr>
        <w:t xml:space="preserve"> </w:t>
      </w:r>
      <w:proofErr w:type="spellStart"/>
      <w:r w:rsidRPr="006C59AC">
        <w:rPr>
          <w:lang w:val="en-US"/>
        </w:rPr>
        <w:t>göz</w:t>
      </w:r>
      <w:proofErr w:type="spellEnd"/>
      <w:r w:rsidRPr="006C59AC">
        <w:rPr>
          <w:lang w:val="en-US"/>
        </w:rPr>
        <w:t xml:space="preserve"> </w:t>
      </w:r>
      <w:proofErr w:type="spellStart"/>
      <w:r w:rsidRPr="006C59AC">
        <w:rPr>
          <w:lang w:val="en-US"/>
        </w:rPr>
        <w:t>ardı</w:t>
      </w:r>
      <w:proofErr w:type="spellEnd"/>
      <w:r w:rsidRPr="006C59AC">
        <w:rPr>
          <w:lang w:val="en-US"/>
        </w:rPr>
        <w:t xml:space="preserve"> </w:t>
      </w:r>
      <w:proofErr w:type="spellStart"/>
      <w:r w:rsidRPr="006C59AC">
        <w:rPr>
          <w:lang w:val="en-US"/>
        </w:rPr>
        <w:t>etmek</w:t>
      </w:r>
      <w:proofErr w:type="spellEnd"/>
      <w:r w:rsidRPr="006C59AC">
        <w:rPr>
          <w:lang w:val="en-US"/>
        </w:rPr>
        <w:t xml:space="preserve"> </w:t>
      </w:r>
      <w:proofErr w:type="spellStart"/>
      <w:r w:rsidRPr="006C59AC">
        <w:rPr>
          <w:lang w:val="en-US"/>
        </w:rPr>
        <w:t>için</w:t>
      </w:r>
      <w:proofErr w:type="spellEnd"/>
      <w:r w:rsidRPr="006C59AC">
        <w:rPr>
          <w:lang w:val="en-US"/>
        </w:rPr>
        <w:t xml:space="preserve"> </w:t>
      </w:r>
      <w:proofErr w:type="spellStart"/>
      <w:r w:rsidRPr="006C59AC">
        <w:rPr>
          <w:lang w:val="en-US"/>
        </w:rPr>
        <w:t>sağlam</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analitik</w:t>
      </w:r>
      <w:proofErr w:type="spellEnd"/>
      <w:r w:rsidRPr="006C59AC">
        <w:rPr>
          <w:lang w:val="en-US"/>
        </w:rPr>
        <w:t xml:space="preserve"> </w:t>
      </w:r>
      <w:proofErr w:type="spellStart"/>
      <w:r w:rsidRPr="006C59AC">
        <w:rPr>
          <w:lang w:val="en-US"/>
        </w:rPr>
        <w:t>gerekçe</w:t>
      </w:r>
      <w:proofErr w:type="spellEnd"/>
      <w:r w:rsidRPr="006C59AC">
        <w:rPr>
          <w:lang w:val="en-US"/>
        </w:rPr>
        <w:t xml:space="preserve"> </w:t>
      </w:r>
      <w:proofErr w:type="spellStart"/>
      <w:r w:rsidRPr="006C59AC">
        <w:rPr>
          <w:lang w:val="en-US"/>
        </w:rPr>
        <w:t>bulunmamaktadır</w:t>
      </w:r>
      <w:proofErr w:type="spellEnd"/>
      <w:r w:rsidRPr="006C59AC">
        <w:rPr>
          <w:lang w:val="en-US"/>
        </w:rPr>
        <w:t>.</w:t>
      </w:r>
      <w:r>
        <w:rPr>
          <w:lang w:val="en-US"/>
        </w:rPr>
        <w:t xml:space="preserve"> </w:t>
      </w:r>
      <w:proofErr w:type="spellStart"/>
      <w:r w:rsidRPr="006C59AC">
        <w:rPr>
          <w:lang w:val="en-US"/>
        </w:rPr>
        <w:t>Dahası</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karar</w:t>
      </w:r>
      <w:proofErr w:type="spellEnd"/>
      <w:r w:rsidRPr="006C59AC">
        <w:rPr>
          <w:lang w:val="en-US"/>
        </w:rPr>
        <w:t xml:space="preserve"> alma </w:t>
      </w:r>
      <w:proofErr w:type="spellStart"/>
      <w:r w:rsidRPr="006C59AC">
        <w:rPr>
          <w:lang w:val="en-US"/>
        </w:rPr>
        <w:t>sürecinin</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kültür</w:t>
      </w:r>
      <w:proofErr w:type="spellEnd"/>
      <w:r w:rsidRPr="006C59AC">
        <w:rPr>
          <w:lang w:val="en-US"/>
        </w:rPr>
        <w:t xml:space="preserve"> </w:t>
      </w:r>
      <w:proofErr w:type="spellStart"/>
      <w:r w:rsidRPr="006C59AC">
        <w:rPr>
          <w:lang w:val="en-US"/>
        </w:rPr>
        <w:t>sistemi</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ele</w:t>
      </w:r>
      <w:proofErr w:type="spellEnd"/>
      <w:r w:rsidRPr="006C59AC">
        <w:rPr>
          <w:lang w:val="en-US"/>
        </w:rPr>
        <w:t xml:space="preserve"> </w:t>
      </w:r>
      <w:proofErr w:type="spellStart"/>
      <w:r w:rsidRPr="006C59AC">
        <w:rPr>
          <w:lang w:val="en-US"/>
        </w:rPr>
        <w:t>alınması</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hukukunun</w:t>
      </w:r>
      <w:proofErr w:type="spellEnd"/>
      <w:r w:rsidRPr="006C59AC">
        <w:rPr>
          <w:lang w:val="en-US"/>
        </w:rPr>
        <w:t xml:space="preserve"> </w:t>
      </w:r>
      <w:proofErr w:type="spellStart"/>
      <w:r w:rsidRPr="006C59AC">
        <w:rPr>
          <w:lang w:val="en-US"/>
        </w:rPr>
        <w:t>soyut</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entelektüel</w:t>
      </w:r>
      <w:proofErr w:type="spellEnd"/>
      <w:r w:rsidRPr="006C59AC">
        <w:rPr>
          <w:lang w:val="en-US"/>
        </w:rPr>
        <w:t xml:space="preserve"> </w:t>
      </w:r>
      <w:proofErr w:type="spellStart"/>
      <w:r w:rsidRPr="006C59AC">
        <w:rPr>
          <w:lang w:val="en-US"/>
        </w:rPr>
        <w:t>faaliyet</w:t>
      </w:r>
      <w:proofErr w:type="spellEnd"/>
      <w:r w:rsidRPr="006C59AC">
        <w:rPr>
          <w:lang w:val="en-US"/>
        </w:rPr>
        <w:t xml:space="preserve"> </w:t>
      </w:r>
      <w:proofErr w:type="spellStart"/>
      <w:r w:rsidRPr="006C59AC">
        <w:rPr>
          <w:lang w:val="en-US"/>
        </w:rPr>
        <w:t>olmadığını</w:t>
      </w:r>
      <w:proofErr w:type="spellEnd"/>
      <w:r w:rsidRPr="006C59AC">
        <w:rPr>
          <w:lang w:val="en-US"/>
        </w:rPr>
        <w:t xml:space="preserve">; </w:t>
      </w:r>
      <w:proofErr w:type="spellStart"/>
      <w:r w:rsidRPr="006C59AC">
        <w:rPr>
          <w:lang w:val="en-US"/>
        </w:rPr>
        <w:t>aksine</w:t>
      </w:r>
      <w:proofErr w:type="spellEnd"/>
      <w:r w:rsidRPr="006C59AC">
        <w:rPr>
          <w:lang w:val="en-US"/>
        </w:rPr>
        <w:t xml:space="preserve">, </w:t>
      </w:r>
      <w:proofErr w:type="spellStart"/>
      <w:r w:rsidRPr="006C59AC">
        <w:rPr>
          <w:lang w:val="en-US"/>
        </w:rPr>
        <w:t>bireylerin</w:t>
      </w:r>
      <w:proofErr w:type="spellEnd"/>
      <w:r w:rsidRPr="006C59AC">
        <w:rPr>
          <w:lang w:val="en-US"/>
        </w:rPr>
        <w:t xml:space="preserve"> </w:t>
      </w:r>
      <w:proofErr w:type="spellStart"/>
      <w:r w:rsidRPr="006C59AC">
        <w:rPr>
          <w:lang w:val="en-US"/>
        </w:rPr>
        <w:t>birbirleriyle</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birbirlerine</w:t>
      </w:r>
      <w:proofErr w:type="spellEnd"/>
      <w:r w:rsidRPr="006C59AC">
        <w:rPr>
          <w:lang w:val="en-US"/>
        </w:rPr>
        <w:t xml:space="preserve"> </w:t>
      </w:r>
      <w:proofErr w:type="spellStart"/>
      <w:r w:rsidRPr="006C59AC">
        <w:rPr>
          <w:lang w:val="en-US"/>
        </w:rPr>
        <w:t>karşı</w:t>
      </w:r>
      <w:proofErr w:type="spellEnd"/>
      <w:r w:rsidRPr="006C59AC">
        <w:rPr>
          <w:lang w:val="en-US"/>
        </w:rPr>
        <w:t xml:space="preserve"> </w:t>
      </w:r>
      <w:proofErr w:type="spellStart"/>
      <w:r w:rsidRPr="006C59AC">
        <w:rPr>
          <w:lang w:val="en-US"/>
        </w:rPr>
        <w:t>etkileşimde</w:t>
      </w:r>
      <w:proofErr w:type="spellEnd"/>
      <w:r w:rsidRPr="006C59AC">
        <w:rPr>
          <w:lang w:val="en-US"/>
        </w:rPr>
        <w:t xml:space="preserve"> </w:t>
      </w:r>
      <w:proofErr w:type="spellStart"/>
      <w:r w:rsidRPr="006C59AC">
        <w:rPr>
          <w:lang w:val="en-US"/>
        </w:rPr>
        <w:t>bulunduğu</w:t>
      </w:r>
      <w:proofErr w:type="spellEnd"/>
      <w:r w:rsidRPr="006C59AC">
        <w:rPr>
          <w:lang w:val="en-US"/>
        </w:rPr>
        <w:t xml:space="preserve">, </w:t>
      </w:r>
      <w:proofErr w:type="spellStart"/>
      <w:r w:rsidRPr="006C59AC">
        <w:rPr>
          <w:lang w:val="en-US"/>
        </w:rPr>
        <w:t>somut</w:t>
      </w:r>
      <w:proofErr w:type="spellEnd"/>
      <w:r w:rsidRPr="006C59AC">
        <w:rPr>
          <w:lang w:val="en-US"/>
        </w:rPr>
        <w:t xml:space="preserve"> </w:t>
      </w:r>
      <w:proofErr w:type="spellStart"/>
      <w:r w:rsidRPr="006C59AC">
        <w:rPr>
          <w:lang w:val="en-US"/>
        </w:rPr>
        <w:lastRenderedPageBreak/>
        <w:t>hedeflere</w:t>
      </w:r>
      <w:proofErr w:type="spellEnd"/>
      <w:r w:rsidRPr="006C59AC">
        <w:rPr>
          <w:lang w:val="en-US"/>
        </w:rPr>
        <w:t xml:space="preserve"> </w:t>
      </w:r>
      <w:proofErr w:type="spellStart"/>
      <w:r w:rsidRPr="006C59AC">
        <w:rPr>
          <w:lang w:val="en-US"/>
        </w:rPr>
        <w:t>ulaşmak</w:t>
      </w:r>
      <w:proofErr w:type="spellEnd"/>
      <w:r w:rsidRPr="006C59AC">
        <w:rPr>
          <w:lang w:val="en-US"/>
        </w:rPr>
        <w:t xml:space="preserve">, </w:t>
      </w:r>
      <w:proofErr w:type="spellStart"/>
      <w:r w:rsidRPr="006C59AC">
        <w:rPr>
          <w:lang w:val="en-US"/>
        </w:rPr>
        <w:t>yaşamlarının</w:t>
      </w:r>
      <w:proofErr w:type="spellEnd"/>
      <w:r w:rsidRPr="006C59AC">
        <w:rPr>
          <w:lang w:val="en-US"/>
        </w:rPr>
        <w:t xml:space="preserve"> </w:t>
      </w:r>
      <w:proofErr w:type="spellStart"/>
      <w:r w:rsidRPr="006C59AC">
        <w:rPr>
          <w:lang w:val="en-US"/>
        </w:rPr>
        <w:t>çerçevesini</w:t>
      </w:r>
      <w:proofErr w:type="spellEnd"/>
      <w:r w:rsidRPr="006C59AC">
        <w:rPr>
          <w:lang w:val="en-US"/>
        </w:rPr>
        <w:t xml:space="preserve"> </w:t>
      </w:r>
      <w:proofErr w:type="spellStart"/>
      <w:r w:rsidRPr="006C59AC">
        <w:rPr>
          <w:lang w:val="en-US"/>
        </w:rPr>
        <w:t>şekillendirmek</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bu</w:t>
      </w:r>
      <w:proofErr w:type="spellEnd"/>
      <w:r w:rsidRPr="006C59AC">
        <w:rPr>
          <w:lang w:val="en-US"/>
        </w:rPr>
        <w:t xml:space="preserve"> </w:t>
      </w:r>
      <w:proofErr w:type="spellStart"/>
      <w:r w:rsidRPr="006C59AC">
        <w:rPr>
          <w:lang w:val="en-US"/>
        </w:rPr>
        <w:t>yaşamları</w:t>
      </w:r>
      <w:proofErr w:type="spellEnd"/>
      <w:r w:rsidRPr="006C59AC">
        <w:rPr>
          <w:lang w:val="en-US"/>
        </w:rPr>
        <w:t xml:space="preserve"> </w:t>
      </w:r>
      <w:proofErr w:type="spellStart"/>
      <w:r w:rsidRPr="006C59AC">
        <w:rPr>
          <w:lang w:val="en-US"/>
        </w:rPr>
        <w:t>anlamlandıran</w:t>
      </w:r>
      <w:proofErr w:type="spellEnd"/>
      <w:r w:rsidRPr="006C59AC">
        <w:rPr>
          <w:lang w:val="en-US"/>
        </w:rPr>
        <w:t xml:space="preserve"> </w:t>
      </w:r>
      <w:proofErr w:type="spellStart"/>
      <w:r w:rsidRPr="006C59AC">
        <w:rPr>
          <w:lang w:val="en-US"/>
        </w:rPr>
        <w:t>sistemler</w:t>
      </w:r>
      <w:proofErr w:type="spellEnd"/>
      <w:r w:rsidRPr="006C59AC">
        <w:rPr>
          <w:lang w:val="en-US"/>
        </w:rPr>
        <w:t xml:space="preserve"> </w:t>
      </w:r>
      <w:proofErr w:type="spellStart"/>
      <w:r w:rsidRPr="006C59AC">
        <w:rPr>
          <w:lang w:val="en-US"/>
        </w:rPr>
        <w:t>geliştirmek</w:t>
      </w:r>
      <w:proofErr w:type="spellEnd"/>
      <w:r w:rsidRPr="006C59AC">
        <w:rPr>
          <w:lang w:val="en-US"/>
        </w:rPr>
        <w:t xml:space="preserve"> </w:t>
      </w:r>
      <w:proofErr w:type="spellStart"/>
      <w:r w:rsidRPr="006C59AC">
        <w:rPr>
          <w:lang w:val="en-US"/>
        </w:rPr>
        <w:t>için</w:t>
      </w:r>
      <w:proofErr w:type="spellEnd"/>
      <w:r w:rsidRPr="006C59AC">
        <w:rPr>
          <w:lang w:val="en-US"/>
        </w:rPr>
        <w:t xml:space="preserve"> </w:t>
      </w:r>
      <w:proofErr w:type="spellStart"/>
      <w:r w:rsidRPr="006C59AC">
        <w:rPr>
          <w:lang w:val="en-US"/>
        </w:rPr>
        <w:t>mücadele</w:t>
      </w:r>
      <w:proofErr w:type="spellEnd"/>
      <w:r w:rsidRPr="006C59AC">
        <w:rPr>
          <w:lang w:val="en-US"/>
        </w:rPr>
        <w:t xml:space="preserve"> </w:t>
      </w:r>
      <w:proofErr w:type="spellStart"/>
      <w:r w:rsidRPr="006C59AC">
        <w:rPr>
          <w:lang w:val="en-US"/>
        </w:rPr>
        <w:t>ettikleri</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alan</w:t>
      </w:r>
      <w:proofErr w:type="spellEnd"/>
      <w:r w:rsidRPr="006C59AC">
        <w:rPr>
          <w:lang w:val="en-US"/>
        </w:rPr>
        <w:t xml:space="preserve"> </w:t>
      </w:r>
      <w:proofErr w:type="spellStart"/>
      <w:r w:rsidRPr="006C59AC">
        <w:rPr>
          <w:lang w:val="en-US"/>
        </w:rPr>
        <w:t>olduğunu</w:t>
      </w:r>
      <w:proofErr w:type="spellEnd"/>
      <w:r w:rsidRPr="006C59AC">
        <w:rPr>
          <w:lang w:val="en-US"/>
        </w:rPr>
        <w:t xml:space="preserve"> vurgulamaktadır.²⁰⁶</w:t>
      </w:r>
      <w:r>
        <w:rPr>
          <w:lang w:val="en-US"/>
        </w:rPr>
        <w:t xml:space="preserve"> </w:t>
      </w:r>
      <w:r>
        <w:rPr>
          <w:rStyle w:val="FootnoteReference"/>
          <w:lang w:val="en-US"/>
        </w:rPr>
        <w:footnoteReference w:id="206"/>
      </w:r>
    </w:p>
    <w:p w14:paraId="13BEF2E8" w14:textId="77777777" w:rsidR="006C59AC" w:rsidRPr="006C59AC" w:rsidRDefault="006C59AC" w:rsidP="006C59AC">
      <w:pPr>
        <w:pStyle w:val="ListParagraph"/>
        <w:numPr>
          <w:ilvl w:val="0"/>
          <w:numId w:val="17"/>
        </w:numPr>
        <w:spacing w:before="100" w:beforeAutospacing="1" w:after="100" w:afterAutospacing="1"/>
        <w:jc w:val="left"/>
        <w:rPr>
          <w:rFonts w:eastAsia="Times New Roman" w:cs="Times New Roman"/>
          <w:szCs w:val="24"/>
          <w:lang w:val="en-US"/>
        </w:rPr>
      </w:pPr>
      <w:r w:rsidRPr="006C59AC">
        <w:rPr>
          <w:rFonts w:eastAsia="Times New Roman" w:cs="Times New Roman"/>
          <w:b/>
          <w:bCs/>
          <w:szCs w:val="24"/>
          <w:lang w:val="en-US"/>
        </w:rPr>
        <w:t>"</w:t>
      </w:r>
      <w:proofErr w:type="spellStart"/>
      <w:r w:rsidRPr="006C59AC">
        <w:rPr>
          <w:rFonts w:eastAsia="Times New Roman" w:cs="Times New Roman"/>
          <w:b/>
          <w:bCs/>
          <w:szCs w:val="24"/>
          <w:lang w:val="en-US"/>
        </w:rPr>
        <w:t>Anayasa</w:t>
      </w:r>
      <w:proofErr w:type="spellEnd"/>
      <w:r w:rsidRPr="006C59AC">
        <w:rPr>
          <w:rFonts w:eastAsia="Times New Roman" w:cs="Times New Roman"/>
          <w:b/>
          <w:bCs/>
          <w:szCs w:val="24"/>
          <w:lang w:val="en-US"/>
        </w:rPr>
        <w:t xml:space="preserve"> </w:t>
      </w:r>
      <w:proofErr w:type="spellStart"/>
      <w:r w:rsidRPr="006C59AC">
        <w:rPr>
          <w:rFonts w:eastAsia="Times New Roman" w:cs="Times New Roman"/>
          <w:b/>
          <w:bCs/>
          <w:szCs w:val="24"/>
          <w:lang w:val="en-US"/>
        </w:rPr>
        <w:t>Hukuku</w:t>
      </w:r>
      <w:proofErr w:type="spellEnd"/>
      <w:r w:rsidRPr="006C59AC">
        <w:rPr>
          <w:rFonts w:eastAsia="Times New Roman" w:cs="Times New Roman"/>
          <w:b/>
          <w:bCs/>
          <w:szCs w:val="24"/>
          <w:lang w:val="en-US"/>
        </w:rPr>
        <w:t xml:space="preserve">" </w:t>
      </w:r>
      <w:proofErr w:type="spellStart"/>
      <w:r w:rsidRPr="006C59AC">
        <w:rPr>
          <w:rFonts w:eastAsia="Times New Roman" w:cs="Times New Roman"/>
          <w:b/>
          <w:bCs/>
          <w:szCs w:val="24"/>
          <w:lang w:val="en-US"/>
        </w:rPr>
        <w:t>ve</w:t>
      </w:r>
      <w:proofErr w:type="spellEnd"/>
      <w:r w:rsidRPr="006C59AC">
        <w:rPr>
          <w:rFonts w:eastAsia="Times New Roman" w:cs="Times New Roman"/>
          <w:b/>
          <w:bCs/>
          <w:szCs w:val="24"/>
          <w:lang w:val="en-US"/>
        </w:rPr>
        <w:t xml:space="preserve"> "</w:t>
      </w:r>
      <w:proofErr w:type="spellStart"/>
      <w:r w:rsidRPr="006C59AC">
        <w:rPr>
          <w:rFonts w:eastAsia="Times New Roman" w:cs="Times New Roman"/>
          <w:b/>
          <w:bCs/>
          <w:szCs w:val="24"/>
          <w:lang w:val="en-US"/>
        </w:rPr>
        <w:t>Anayasal</w:t>
      </w:r>
      <w:proofErr w:type="spellEnd"/>
      <w:r w:rsidRPr="006C59AC">
        <w:rPr>
          <w:rFonts w:eastAsia="Times New Roman" w:cs="Times New Roman"/>
          <w:b/>
          <w:bCs/>
          <w:szCs w:val="24"/>
          <w:lang w:val="en-US"/>
        </w:rPr>
        <w:t xml:space="preserve"> </w:t>
      </w:r>
      <w:proofErr w:type="spellStart"/>
      <w:r w:rsidRPr="006C59AC">
        <w:rPr>
          <w:rFonts w:eastAsia="Times New Roman" w:cs="Times New Roman"/>
          <w:b/>
          <w:bCs/>
          <w:szCs w:val="24"/>
          <w:lang w:val="en-US"/>
        </w:rPr>
        <w:t>Kültür"ün</w:t>
      </w:r>
      <w:proofErr w:type="spellEnd"/>
      <w:r w:rsidRPr="006C59AC">
        <w:rPr>
          <w:rFonts w:eastAsia="Times New Roman" w:cs="Times New Roman"/>
          <w:b/>
          <w:bCs/>
          <w:szCs w:val="24"/>
          <w:lang w:val="en-US"/>
        </w:rPr>
        <w:t xml:space="preserve"> </w:t>
      </w:r>
      <w:proofErr w:type="spellStart"/>
      <w:r w:rsidRPr="006C59AC">
        <w:rPr>
          <w:rFonts w:eastAsia="Times New Roman" w:cs="Times New Roman"/>
          <w:b/>
          <w:bCs/>
          <w:szCs w:val="24"/>
          <w:lang w:val="en-US"/>
        </w:rPr>
        <w:t>Yapay</w:t>
      </w:r>
      <w:proofErr w:type="spellEnd"/>
      <w:r w:rsidRPr="006C59AC">
        <w:rPr>
          <w:rFonts w:eastAsia="Times New Roman" w:cs="Times New Roman"/>
          <w:b/>
          <w:bCs/>
          <w:szCs w:val="24"/>
          <w:lang w:val="en-US"/>
        </w:rPr>
        <w:t xml:space="preserve"> </w:t>
      </w:r>
      <w:proofErr w:type="spellStart"/>
      <w:r w:rsidRPr="006C59AC">
        <w:rPr>
          <w:rFonts w:eastAsia="Times New Roman" w:cs="Times New Roman"/>
          <w:b/>
          <w:bCs/>
          <w:szCs w:val="24"/>
          <w:lang w:val="en-US"/>
        </w:rPr>
        <w:t>Ayrımı</w:t>
      </w:r>
      <w:proofErr w:type="spellEnd"/>
    </w:p>
    <w:p w14:paraId="23EB6AB7" w14:textId="15F59AA7" w:rsidR="006C59AC" w:rsidRPr="006C59AC" w:rsidRDefault="006C59AC" w:rsidP="006C59AC">
      <w:pPr>
        <w:rPr>
          <w:lang w:val="en-US"/>
        </w:rPr>
      </w:pPr>
      <w:r w:rsidRPr="006C59AC">
        <w:rPr>
          <w:lang w:val="en-US"/>
        </w:rPr>
        <w:t xml:space="preserve">Benzer </w:t>
      </w:r>
      <w:proofErr w:type="spellStart"/>
      <w:r w:rsidRPr="006C59AC">
        <w:rPr>
          <w:lang w:val="en-US"/>
        </w:rPr>
        <w:t>bir</w:t>
      </w:r>
      <w:proofErr w:type="spellEnd"/>
      <w:r w:rsidRPr="006C59AC">
        <w:rPr>
          <w:lang w:val="en-US"/>
        </w:rPr>
        <w:t xml:space="preserve"> </w:t>
      </w:r>
      <w:proofErr w:type="spellStart"/>
      <w:r w:rsidRPr="006C59AC">
        <w:rPr>
          <w:lang w:val="en-US"/>
        </w:rPr>
        <w:t>noktada</w:t>
      </w:r>
      <w:proofErr w:type="spellEnd"/>
      <w:r w:rsidRPr="006C59AC">
        <w:rPr>
          <w:lang w:val="en-US"/>
        </w:rPr>
        <w:t xml:space="preserve">, </w:t>
      </w:r>
      <w:proofErr w:type="spellStart"/>
      <w:r w:rsidRPr="006C59AC">
        <w:rPr>
          <w:lang w:val="en-US"/>
        </w:rPr>
        <w:t>benim</w:t>
      </w:r>
      <w:proofErr w:type="spellEnd"/>
      <w:r w:rsidRPr="006C59AC">
        <w:rPr>
          <w:lang w:val="en-US"/>
        </w:rPr>
        <w:t xml:space="preserve"> </w:t>
      </w:r>
      <w:proofErr w:type="spellStart"/>
      <w:r w:rsidRPr="006C59AC">
        <w:rPr>
          <w:lang w:val="en-US"/>
        </w:rPr>
        <w:t>yaklaşımım</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hukuku</w:t>
      </w:r>
      <w:proofErr w:type="spellEnd"/>
      <w:r w:rsidRPr="006C59AC">
        <w:rPr>
          <w:lang w:val="en-US"/>
        </w:rPr>
        <w:t xml:space="preserve"> </w:t>
      </w:r>
      <w:proofErr w:type="spellStart"/>
      <w:r w:rsidRPr="006C59AC">
        <w:rPr>
          <w:lang w:val="en-US"/>
        </w:rPr>
        <w:t>çalışmalarında</w:t>
      </w:r>
      <w:proofErr w:type="spellEnd"/>
      <w:r w:rsidRPr="006C59AC">
        <w:rPr>
          <w:lang w:val="en-US"/>
        </w:rPr>
        <w:t xml:space="preserve"> açıkça²⁰⁷</w:t>
      </w:r>
      <w:r>
        <w:rPr>
          <w:lang w:val="en-US"/>
        </w:rPr>
        <w:t xml:space="preserve"> </w:t>
      </w:r>
      <w:r>
        <w:rPr>
          <w:rStyle w:val="FootnoteReference"/>
          <w:lang w:val="en-US"/>
        </w:rPr>
        <w:footnoteReference w:id="207"/>
      </w:r>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çoğunlukla</w:t>
      </w:r>
      <w:proofErr w:type="spellEnd"/>
      <w:r w:rsidRPr="006C59AC">
        <w:rPr>
          <w:lang w:val="en-US"/>
        </w:rPr>
        <w:t xml:space="preserve"> </w:t>
      </w:r>
      <w:proofErr w:type="spellStart"/>
      <w:r w:rsidRPr="006C59AC">
        <w:rPr>
          <w:lang w:val="en-US"/>
        </w:rPr>
        <w:t>örtük</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kabul</w:t>
      </w:r>
      <w:proofErr w:type="spellEnd"/>
      <w:r w:rsidRPr="006C59AC">
        <w:rPr>
          <w:lang w:val="en-US"/>
        </w:rPr>
        <w:t xml:space="preserve"> </w:t>
      </w:r>
      <w:proofErr w:type="spellStart"/>
      <w:r w:rsidRPr="006C59AC">
        <w:rPr>
          <w:lang w:val="en-US"/>
        </w:rPr>
        <w:t>edilen</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hukuku</w:t>
      </w:r>
      <w:proofErr w:type="spellEnd"/>
      <w:r w:rsidRPr="006C59AC">
        <w:rPr>
          <w:lang w:val="en-US"/>
        </w:rPr>
        <w:t xml:space="preserve">” (constitutional law) </w:t>
      </w:r>
      <w:proofErr w:type="spellStart"/>
      <w:r w:rsidRPr="006C59AC">
        <w:rPr>
          <w:lang w:val="en-US"/>
        </w:rPr>
        <w:t>ile</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kültür”ün</w:t>
      </w:r>
      <w:proofErr w:type="spellEnd"/>
      <w:r w:rsidRPr="006C59AC">
        <w:rPr>
          <w:lang w:val="en-US"/>
        </w:rPr>
        <w:t xml:space="preserve"> (constitutional culture) </w:t>
      </w:r>
      <w:proofErr w:type="spellStart"/>
      <w:r w:rsidRPr="006C59AC">
        <w:rPr>
          <w:lang w:val="en-US"/>
        </w:rPr>
        <w:t>ayrı</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bağımsız</w:t>
      </w:r>
      <w:proofErr w:type="spellEnd"/>
      <w:r w:rsidRPr="006C59AC">
        <w:rPr>
          <w:lang w:val="en-US"/>
        </w:rPr>
        <w:t xml:space="preserve"> </w:t>
      </w:r>
      <w:proofErr w:type="spellStart"/>
      <w:r w:rsidRPr="006C59AC">
        <w:rPr>
          <w:lang w:val="en-US"/>
        </w:rPr>
        <w:t>kavramlar</w:t>
      </w:r>
      <w:proofErr w:type="spellEnd"/>
      <w:r w:rsidRPr="006C59AC">
        <w:rPr>
          <w:lang w:val="en-US"/>
        </w:rPr>
        <w:t xml:space="preserve"> </w:t>
      </w:r>
      <w:proofErr w:type="spellStart"/>
      <w:r w:rsidRPr="006C59AC">
        <w:rPr>
          <w:lang w:val="en-US"/>
        </w:rPr>
        <w:t>olduğu</w:t>
      </w:r>
      <w:proofErr w:type="spellEnd"/>
      <w:r w:rsidRPr="006C59AC">
        <w:rPr>
          <w:lang w:val="en-US"/>
        </w:rPr>
        <w:t xml:space="preserve"> </w:t>
      </w:r>
      <w:proofErr w:type="spellStart"/>
      <w:r w:rsidRPr="006C59AC">
        <w:rPr>
          <w:lang w:val="en-US"/>
        </w:rPr>
        <w:t>inancını</w:t>
      </w:r>
      <w:proofErr w:type="spellEnd"/>
      <w:r w:rsidRPr="006C59AC">
        <w:rPr>
          <w:lang w:val="en-US"/>
        </w:rPr>
        <w:t xml:space="preserve"> </w:t>
      </w:r>
      <w:proofErr w:type="spellStart"/>
      <w:r w:rsidRPr="006C59AC">
        <w:rPr>
          <w:lang w:val="en-US"/>
        </w:rPr>
        <w:t>sorgulamama</w:t>
      </w:r>
      <w:proofErr w:type="spellEnd"/>
      <w:r w:rsidRPr="006C59AC">
        <w:rPr>
          <w:lang w:val="en-US"/>
        </w:rPr>
        <w:t xml:space="preserve"> </w:t>
      </w:r>
      <w:proofErr w:type="spellStart"/>
      <w:r w:rsidRPr="006C59AC">
        <w:rPr>
          <w:lang w:val="en-US"/>
        </w:rPr>
        <w:t>yol</w:t>
      </w:r>
      <w:proofErr w:type="spellEnd"/>
      <w:r w:rsidRPr="006C59AC">
        <w:rPr>
          <w:lang w:val="en-US"/>
        </w:rPr>
        <w:t xml:space="preserve"> </w:t>
      </w:r>
      <w:proofErr w:type="spellStart"/>
      <w:r w:rsidRPr="006C59AC">
        <w:rPr>
          <w:lang w:val="en-US"/>
        </w:rPr>
        <w:t>açmaktadır</w:t>
      </w:r>
      <w:proofErr w:type="spellEnd"/>
      <w:r w:rsidRPr="006C59AC">
        <w:rPr>
          <w:lang w:val="en-US"/>
        </w:rPr>
        <w:t xml:space="preserve">. </w:t>
      </w:r>
      <w:proofErr w:type="spellStart"/>
      <w:r w:rsidRPr="006C59AC">
        <w:rPr>
          <w:lang w:val="en-US"/>
        </w:rPr>
        <w:t>Yukarıda</w:t>
      </w:r>
      <w:proofErr w:type="spellEnd"/>
      <w:r w:rsidRPr="006C59AC">
        <w:rPr>
          <w:lang w:val="en-US"/>
        </w:rPr>
        <w:t xml:space="preserve"> da </w:t>
      </w:r>
      <w:proofErr w:type="spellStart"/>
      <w:r w:rsidRPr="006C59AC">
        <w:rPr>
          <w:lang w:val="en-US"/>
        </w:rPr>
        <w:t>tartışıldığı</w:t>
      </w:r>
      <w:proofErr w:type="spellEnd"/>
      <w:r w:rsidRPr="006C59AC">
        <w:rPr>
          <w:lang w:val="en-US"/>
        </w:rPr>
        <w:t xml:space="preserve"> üzere,²⁰⁸</w:t>
      </w:r>
      <w:r>
        <w:rPr>
          <w:lang w:val="en-US"/>
        </w:rPr>
        <w:t xml:space="preserve"> </w:t>
      </w:r>
      <w:r>
        <w:rPr>
          <w:rStyle w:val="FootnoteReference"/>
          <w:lang w:val="en-US"/>
        </w:rPr>
        <w:footnoteReference w:id="208"/>
      </w:r>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kültür</w:t>
      </w:r>
      <w:proofErr w:type="spellEnd"/>
      <w:r w:rsidRPr="006C59AC">
        <w:rPr>
          <w:lang w:val="en-US"/>
        </w:rPr>
        <w:t xml:space="preserve">” </w:t>
      </w:r>
      <w:proofErr w:type="spellStart"/>
      <w:r w:rsidRPr="006C59AC">
        <w:rPr>
          <w:lang w:val="en-US"/>
        </w:rPr>
        <w:t>terimini</w:t>
      </w:r>
      <w:proofErr w:type="spellEnd"/>
      <w:r w:rsidRPr="006C59AC">
        <w:rPr>
          <w:lang w:val="en-US"/>
        </w:rPr>
        <w:t xml:space="preserve"> </w:t>
      </w:r>
      <w:proofErr w:type="spellStart"/>
      <w:r w:rsidRPr="006C59AC">
        <w:rPr>
          <w:lang w:val="en-US"/>
        </w:rPr>
        <w:t>kullanan</w:t>
      </w:r>
      <w:proofErr w:type="spellEnd"/>
      <w:r w:rsidRPr="006C59AC">
        <w:rPr>
          <w:lang w:val="en-US"/>
        </w:rPr>
        <w:t xml:space="preserve"> </w:t>
      </w:r>
      <w:proofErr w:type="spellStart"/>
      <w:r w:rsidRPr="006C59AC">
        <w:rPr>
          <w:lang w:val="en-US"/>
        </w:rPr>
        <w:t>birçok</w:t>
      </w:r>
      <w:proofErr w:type="spellEnd"/>
      <w:r w:rsidRPr="006C59AC">
        <w:rPr>
          <w:lang w:val="en-US"/>
        </w:rPr>
        <w:t xml:space="preserve"> </w:t>
      </w:r>
      <w:proofErr w:type="spellStart"/>
      <w:r w:rsidRPr="006C59AC">
        <w:rPr>
          <w:lang w:val="en-US"/>
        </w:rPr>
        <w:t>teorisyen</w:t>
      </w:r>
      <w:proofErr w:type="spellEnd"/>
      <w:r w:rsidRPr="006C59AC">
        <w:rPr>
          <w:lang w:val="en-US"/>
        </w:rPr>
        <w:t xml:space="preserve">, </w:t>
      </w:r>
      <w:proofErr w:type="spellStart"/>
      <w:r w:rsidRPr="006C59AC">
        <w:rPr>
          <w:lang w:val="en-US"/>
        </w:rPr>
        <w:t>bu</w:t>
      </w:r>
      <w:proofErr w:type="spellEnd"/>
      <w:r w:rsidRPr="006C59AC">
        <w:rPr>
          <w:lang w:val="en-US"/>
        </w:rPr>
        <w:t xml:space="preserve"> </w:t>
      </w:r>
      <w:proofErr w:type="spellStart"/>
      <w:r w:rsidRPr="006C59AC">
        <w:rPr>
          <w:lang w:val="en-US"/>
        </w:rPr>
        <w:t>kavramı</w:t>
      </w:r>
      <w:proofErr w:type="spellEnd"/>
      <w:r w:rsidRPr="006C59AC">
        <w:rPr>
          <w:lang w:val="en-US"/>
        </w:rPr>
        <w:t xml:space="preserve"> </w:t>
      </w:r>
      <w:proofErr w:type="spellStart"/>
      <w:r w:rsidRPr="006C59AC">
        <w:rPr>
          <w:lang w:val="en-US"/>
        </w:rPr>
        <w:t>mahkemelerin</w:t>
      </w:r>
      <w:proofErr w:type="spellEnd"/>
      <w:r w:rsidRPr="006C59AC">
        <w:rPr>
          <w:lang w:val="en-US"/>
        </w:rPr>
        <w:t xml:space="preserve"> </w:t>
      </w:r>
      <w:proofErr w:type="spellStart"/>
      <w:r w:rsidRPr="006C59AC">
        <w:rPr>
          <w:lang w:val="en-US"/>
        </w:rPr>
        <w:t>dışında</w:t>
      </w:r>
      <w:proofErr w:type="spellEnd"/>
      <w:r w:rsidRPr="006C59AC">
        <w:rPr>
          <w:lang w:val="en-US"/>
        </w:rPr>
        <w:t xml:space="preserve"> var </w:t>
      </w:r>
      <w:proofErr w:type="spellStart"/>
      <w:r w:rsidRPr="006C59AC">
        <w:rPr>
          <w:lang w:val="en-US"/>
        </w:rPr>
        <w:t>olan</w:t>
      </w:r>
      <w:proofErr w:type="spellEnd"/>
      <w:r w:rsidRPr="006C59AC">
        <w:rPr>
          <w:lang w:val="en-US"/>
        </w:rPr>
        <w:t xml:space="preserve"> </w:t>
      </w:r>
      <w:proofErr w:type="spellStart"/>
      <w:r w:rsidRPr="006C59AC">
        <w:rPr>
          <w:lang w:val="en-US"/>
        </w:rPr>
        <w:t>anayasa</w:t>
      </w:r>
      <w:proofErr w:type="spellEnd"/>
      <w:r w:rsidRPr="006C59AC">
        <w:rPr>
          <w:lang w:val="en-US"/>
        </w:rPr>
        <w:t xml:space="preserve"> </w:t>
      </w:r>
      <w:proofErr w:type="spellStart"/>
      <w:r w:rsidRPr="006C59AC">
        <w:rPr>
          <w:lang w:val="en-US"/>
        </w:rPr>
        <w:t>hakkındaki</w:t>
      </w:r>
      <w:proofErr w:type="spellEnd"/>
      <w:r w:rsidRPr="006C59AC">
        <w:rPr>
          <w:lang w:val="en-US"/>
        </w:rPr>
        <w:t xml:space="preserve"> </w:t>
      </w:r>
      <w:proofErr w:type="spellStart"/>
      <w:r w:rsidRPr="006C59AC">
        <w:rPr>
          <w:lang w:val="en-US"/>
        </w:rPr>
        <w:t>fikirleri</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meselelere</w:t>
      </w:r>
      <w:proofErr w:type="spellEnd"/>
      <w:r w:rsidRPr="006C59AC">
        <w:rPr>
          <w:lang w:val="en-US"/>
        </w:rPr>
        <w:t xml:space="preserve"> </w:t>
      </w:r>
      <w:proofErr w:type="spellStart"/>
      <w:r w:rsidRPr="006C59AC">
        <w:rPr>
          <w:lang w:val="en-US"/>
        </w:rPr>
        <w:t>ilişkin</w:t>
      </w:r>
      <w:proofErr w:type="spellEnd"/>
      <w:r w:rsidRPr="006C59AC">
        <w:rPr>
          <w:lang w:val="en-US"/>
        </w:rPr>
        <w:t xml:space="preserve"> </w:t>
      </w:r>
      <w:proofErr w:type="spellStart"/>
      <w:r w:rsidRPr="006C59AC">
        <w:rPr>
          <w:lang w:val="en-US"/>
        </w:rPr>
        <w:t>kurumsal</w:t>
      </w:r>
      <w:proofErr w:type="spellEnd"/>
      <w:r w:rsidRPr="006C59AC">
        <w:rPr>
          <w:lang w:val="en-US"/>
        </w:rPr>
        <w:t xml:space="preserve"> </w:t>
      </w:r>
      <w:proofErr w:type="spellStart"/>
      <w:r w:rsidRPr="006C59AC">
        <w:rPr>
          <w:lang w:val="en-US"/>
        </w:rPr>
        <w:t>düzenlemeleri</w:t>
      </w:r>
      <w:proofErr w:type="spellEnd"/>
      <w:r w:rsidRPr="006C59AC">
        <w:rPr>
          <w:lang w:val="en-US"/>
        </w:rPr>
        <w:t xml:space="preserve"> </w:t>
      </w:r>
      <w:proofErr w:type="spellStart"/>
      <w:r w:rsidRPr="006C59AC">
        <w:rPr>
          <w:lang w:val="en-US"/>
        </w:rPr>
        <w:t>temsil</w:t>
      </w:r>
      <w:proofErr w:type="spellEnd"/>
      <w:r w:rsidRPr="006C59AC">
        <w:rPr>
          <w:lang w:val="en-US"/>
        </w:rPr>
        <w:t xml:space="preserve"> </w:t>
      </w:r>
      <w:proofErr w:type="spellStart"/>
      <w:r w:rsidRPr="006C59AC">
        <w:rPr>
          <w:lang w:val="en-US"/>
        </w:rPr>
        <w:t>edecek</w:t>
      </w:r>
      <w:proofErr w:type="spellEnd"/>
      <w:r w:rsidRPr="006C59AC">
        <w:rPr>
          <w:lang w:val="en-US"/>
        </w:rPr>
        <w:t xml:space="preserve"> </w:t>
      </w:r>
      <w:proofErr w:type="spellStart"/>
      <w:r w:rsidRPr="006C59AC">
        <w:rPr>
          <w:lang w:val="en-US"/>
        </w:rPr>
        <w:t>şekilde</w:t>
      </w:r>
      <w:proofErr w:type="spellEnd"/>
      <w:r w:rsidRPr="006C59AC">
        <w:rPr>
          <w:lang w:val="en-US"/>
        </w:rPr>
        <w:t xml:space="preserve"> </w:t>
      </w:r>
      <w:proofErr w:type="spellStart"/>
      <w:r w:rsidRPr="006C59AC">
        <w:rPr>
          <w:lang w:val="en-US"/>
        </w:rPr>
        <w:t>kullanmaktadır</w:t>
      </w:r>
      <w:proofErr w:type="spellEnd"/>
      <w:r w:rsidRPr="006C59AC">
        <w:rPr>
          <w:lang w:val="en-US"/>
        </w:rPr>
        <w:t>.</w:t>
      </w:r>
      <w:r>
        <w:rPr>
          <w:lang w:val="en-US"/>
        </w:rPr>
        <w:t xml:space="preserve"> </w:t>
      </w:r>
      <w:proofErr w:type="spellStart"/>
      <w:r w:rsidRPr="006C59AC">
        <w:rPr>
          <w:lang w:val="en-US"/>
        </w:rPr>
        <w:t>Bölüm</w:t>
      </w:r>
      <w:proofErr w:type="spellEnd"/>
      <w:r w:rsidRPr="006C59AC">
        <w:rPr>
          <w:lang w:val="en-US"/>
        </w:rPr>
        <w:t xml:space="preserve"> </w:t>
      </w:r>
      <w:proofErr w:type="spellStart"/>
      <w:r w:rsidRPr="006C59AC">
        <w:rPr>
          <w:lang w:val="en-US"/>
        </w:rPr>
        <w:t>III’te</w:t>
      </w:r>
      <w:proofErr w:type="spellEnd"/>
      <w:r w:rsidRPr="006C59AC">
        <w:rPr>
          <w:lang w:val="en-US"/>
        </w:rPr>
        <w:t xml:space="preserve">, </w:t>
      </w:r>
      <w:proofErr w:type="spellStart"/>
      <w:r w:rsidRPr="006C59AC">
        <w:rPr>
          <w:lang w:val="en-US"/>
        </w:rPr>
        <w:t>benim</w:t>
      </w:r>
      <w:proofErr w:type="spellEnd"/>
      <w:r w:rsidRPr="006C59AC">
        <w:rPr>
          <w:lang w:val="en-US"/>
        </w:rPr>
        <w:t xml:space="preserve"> </w:t>
      </w:r>
      <w:proofErr w:type="spellStart"/>
      <w:r w:rsidRPr="006C59AC">
        <w:rPr>
          <w:lang w:val="en-US"/>
        </w:rPr>
        <w:t>terminolojimin</w:t>
      </w:r>
      <w:proofErr w:type="spellEnd"/>
      <w:r w:rsidRPr="006C59AC">
        <w:rPr>
          <w:lang w:val="en-US"/>
        </w:rPr>
        <w:t xml:space="preserve"> </w:t>
      </w:r>
      <w:proofErr w:type="spellStart"/>
      <w:r w:rsidRPr="006C59AC">
        <w:rPr>
          <w:lang w:val="en-US"/>
        </w:rPr>
        <w:t>neden</w:t>
      </w:r>
      <w:proofErr w:type="spellEnd"/>
      <w:r w:rsidRPr="006C59AC">
        <w:rPr>
          <w:lang w:val="en-US"/>
        </w:rPr>
        <w:t xml:space="preserve"> </w:t>
      </w:r>
      <w:proofErr w:type="spellStart"/>
      <w:r w:rsidRPr="006C59AC">
        <w:rPr>
          <w:lang w:val="en-US"/>
        </w:rPr>
        <w:t>onlarınkinden</w:t>
      </w:r>
      <w:proofErr w:type="spellEnd"/>
      <w:r w:rsidRPr="006C59AC">
        <w:rPr>
          <w:lang w:val="en-US"/>
        </w:rPr>
        <w:t xml:space="preserve"> </w:t>
      </w:r>
      <w:proofErr w:type="spellStart"/>
      <w:r w:rsidRPr="006C59AC">
        <w:rPr>
          <w:lang w:val="en-US"/>
        </w:rPr>
        <w:t>farklı</w:t>
      </w:r>
      <w:proofErr w:type="spellEnd"/>
      <w:r w:rsidRPr="006C59AC">
        <w:rPr>
          <w:lang w:val="en-US"/>
        </w:rPr>
        <w:t xml:space="preserve"> </w:t>
      </w:r>
      <w:proofErr w:type="spellStart"/>
      <w:r w:rsidRPr="006C59AC">
        <w:rPr>
          <w:lang w:val="en-US"/>
        </w:rPr>
        <w:t>olduğunu</w:t>
      </w:r>
      <w:proofErr w:type="spellEnd"/>
      <w:r w:rsidRPr="006C59AC">
        <w:rPr>
          <w:lang w:val="en-US"/>
        </w:rPr>
        <w:t xml:space="preserve"> </w:t>
      </w:r>
      <w:proofErr w:type="spellStart"/>
      <w:r w:rsidRPr="006C59AC">
        <w:rPr>
          <w:lang w:val="en-US"/>
        </w:rPr>
        <w:t>açıkladım</w:t>
      </w:r>
      <w:proofErr w:type="spellEnd"/>
      <w:r w:rsidRPr="006C59AC">
        <w:rPr>
          <w:lang w:val="en-US"/>
        </w:rPr>
        <w:t xml:space="preserve">. </w:t>
      </w:r>
      <w:proofErr w:type="spellStart"/>
      <w:r w:rsidRPr="006C59AC">
        <w:rPr>
          <w:lang w:val="en-US"/>
        </w:rPr>
        <w:t>Burada</w:t>
      </w:r>
      <w:proofErr w:type="spellEnd"/>
      <w:r w:rsidRPr="006C59AC">
        <w:rPr>
          <w:lang w:val="en-US"/>
        </w:rPr>
        <w:t xml:space="preserve"> </w:t>
      </w:r>
      <w:proofErr w:type="spellStart"/>
      <w:r w:rsidRPr="006C59AC">
        <w:rPr>
          <w:lang w:val="en-US"/>
        </w:rPr>
        <w:t>ise</w:t>
      </w:r>
      <w:proofErr w:type="spellEnd"/>
      <w:r w:rsidRPr="006C59AC">
        <w:rPr>
          <w:lang w:val="en-US"/>
        </w:rPr>
        <w:t xml:space="preserve">, </w:t>
      </w:r>
      <w:proofErr w:type="spellStart"/>
      <w:r w:rsidRPr="006C59AC">
        <w:rPr>
          <w:lang w:val="en-US"/>
        </w:rPr>
        <w:t>benim</w:t>
      </w:r>
      <w:proofErr w:type="spellEnd"/>
      <w:r w:rsidRPr="006C59AC">
        <w:rPr>
          <w:lang w:val="en-US"/>
        </w:rPr>
        <w:t xml:space="preserve"> </w:t>
      </w:r>
      <w:proofErr w:type="spellStart"/>
      <w:r w:rsidRPr="006C59AC">
        <w:rPr>
          <w:lang w:val="en-US"/>
        </w:rPr>
        <w:t>analitik</w:t>
      </w:r>
      <w:proofErr w:type="spellEnd"/>
      <w:r w:rsidRPr="006C59AC">
        <w:rPr>
          <w:lang w:val="en-US"/>
        </w:rPr>
        <w:t xml:space="preserve"> </w:t>
      </w:r>
      <w:proofErr w:type="spellStart"/>
      <w:r w:rsidRPr="006C59AC">
        <w:rPr>
          <w:lang w:val="en-US"/>
        </w:rPr>
        <w:t>perspektifimin</w:t>
      </w:r>
      <w:proofErr w:type="spellEnd"/>
      <w:r w:rsidRPr="006C59AC">
        <w:rPr>
          <w:lang w:val="en-US"/>
        </w:rPr>
        <w:t xml:space="preserve">, </w:t>
      </w:r>
      <w:proofErr w:type="spellStart"/>
      <w:r w:rsidRPr="006C59AC">
        <w:rPr>
          <w:lang w:val="en-US"/>
        </w:rPr>
        <w:t>yalnızca</w:t>
      </w:r>
      <w:proofErr w:type="spellEnd"/>
      <w:r w:rsidRPr="006C59AC">
        <w:rPr>
          <w:lang w:val="en-US"/>
        </w:rPr>
        <w:t xml:space="preserve"> </w:t>
      </w:r>
      <w:proofErr w:type="spellStart"/>
      <w:r w:rsidRPr="006C59AC">
        <w:rPr>
          <w:lang w:val="en-US"/>
        </w:rPr>
        <w:t>terminolojik</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ayrımdan</w:t>
      </w:r>
      <w:proofErr w:type="spellEnd"/>
      <w:r w:rsidRPr="006C59AC">
        <w:rPr>
          <w:lang w:val="en-US"/>
        </w:rPr>
        <w:t xml:space="preserve"> </w:t>
      </w:r>
      <w:proofErr w:type="spellStart"/>
      <w:r w:rsidRPr="006C59AC">
        <w:rPr>
          <w:lang w:val="en-US"/>
        </w:rPr>
        <w:t>öte</w:t>
      </w:r>
      <w:proofErr w:type="spellEnd"/>
      <w:r w:rsidRPr="006C59AC">
        <w:rPr>
          <w:lang w:val="en-US"/>
        </w:rPr>
        <w:t xml:space="preserve">, </w:t>
      </w:r>
      <w:proofErr w:type="spellStart"/>
      <w:r w:rsidRPr="006C59AC">
        <w:rPr>
          <w:lang w:val="en-US"/>
        </w:rPr>
        <w:t>onların</w:t>
      </w:r>
      <w:proofErr w:type="spellEnd"/>
      <w:r w:rsidRPr="006C59AC">
        <w:rPr>
          <w:lang w:val="en-US"/>
        </w:rPr>
        <w:t xml:space="preserve"> </w:t>
      </w:r>
      <w:proofErr w:type="spellStart"/>
      <w:r w:rsidRPr="006C59AC">
        <w:rPr>
          <w:lang w:val="en-US"/>
        </w:rPr>
        <w:t>yaklaşımının</w:t>
      </w:r>
      <w:proofErr w:type="spellEnd"/>
      <w:r w:rsidRPr="006C59AC">
        <w:rPr>
          <w:lang w:val="en-US"/>
        </w:rPr>
        <w:t xml:space="preserve"> </w:t>
      </w:r>
      <w:proofErr w:type="spellStart"/>
      <w:r w:rsidRPr="006C59AC">
        <w:rPr>
          <w:lang w:val="en-US"/>
        </w:rPr>
        <w:t>özüne</w:t>
      </w:r>
      <w:proofErr w:type="spellEnd"/>
      <w:r w:rsidRPr="006C59AC">
        <w:rPr>
          <w:lang w:val="en-US"/>
        </w:rPr>
        <w:t xml:space="preserve"> </w:t>
      </w:r>
      <w:proofErr w:type="spellStart"/>
      <w:r w:rsidRPr="006C59AC">
        <w:rPr>
          <w:lang w:val="en-US"/>
        </w:rPr>
        <w:t>dair</w:t>
      </w:r>
      <w:proofErr w:type="spellEnd"/>
      <w:r w:rsidRPr="006C59AC">
        <w:rPr>
          <w:lang w:val="en-US"/>
        </w:rPr>
        <w:t xml:space="preserve"> de </w:t>
      </w:r>
      <w:proofErr w:type="spellStart"/>
      <w:r w:rsidRPr="006C59AC">
        <w:rPr>
          <w:lang w:val="en-US"/>
        </w:rPr>
        <w:t>bazı</w:t>
      </w:r>
      <w:proofErr w:type="spellEnd"/>
      <w:r w:rsidRPr="006C59AC">
        <w:rPr>
          <w:lang w:val="en-US"/>
        </w:rPr>
        <w:t xml:space="preserve"> </w:t>
      </w:r>
      <w:proofErr w:type="spellStart"/>
      <w:r w:rsidRPr="006C59AC">
        <w:rPr>
          <w:lang w:val="en-US"/>
        </w:rPr>
        <w:t>kaygılar</w:t>
      </w:r>
      <w:proofErr w:type="spellEnd"/>
      <w:r w:rsidRPr="006C59AC">
        <w:rPr>
          <w:lang w:val="en-US"/>
        </w:rPr>
        <w:t xml:space="preserve"> </w:t>
      </w:r>
      <w:proofErr w:type="spellStart"/>
      <w:r w:rsidRPr="006C59AC">
        <w:rPr>
          <w:lang w:val="en-US"/>
        </w:rPr>
        <w:t>doğurduğunu</w:t>
      </w:r>
      <w:proofErr w:type="spellEnd"/>
      <w:r w:rsidRPr="006C59AC">
        <w:rPr>
          <w:lang w:val="en-US"/>
        </w:rPr>
        <w:t xml:space="preserve"> </w:t>
      </w:r>
      <w:proofErr w:type="spellStart"/>
      <w:r w:rsidRPr="006C59AC">
        <w:rPr>
          <w:lang w:val="en-US"/>
        </w:rPr>
        <w:t>vurgulamak</w:t>
      </w:r>
      <w:proofErr w:type="spellEnd"/>
      <w:r w:rsidRPr="006C59AC">
        <w:rPr>
          <w:lang w:val="en-US"/>
        </w:rPr>
        <w:t xml:space="preserve"> </w:t>
      </w:r>
      <w:proofErr w:type="spellStart"/>
      <w:r w:rsidRPr="006C59AC">
        <w:rPr>
          <w:lang w:val="en-US"/>
        </w:rPr>
        <w:t>istiyorum</w:t>
      </w:r>
      <w:proofErr w:type="spellEnd"/>
      <w:r w:rsidRPr="006C59AC">
        <w:rPr>
          <w:lang w:val="en-US"/>
        </w:rPr>
        <w:t>.</w:t>
      </w:r>
      <w:r>
        <w:rPr>
          <w:lang w:val="en-US"/>
        </w:rPr>
        <w:t xml:space="preserve"> </w:t>
      </w:r>
      <w:r w:rsidRPr="006C59AC">
        <w:rPr>
          <w:lang w:val="en-US"/>
        </w:rPr>
        <w:t>[1122 - 1123]</w:t>
      </w:r>
    </w:p>
    <w:p w14:paraId="6826F613" w14:textId="77777777" w:rsidR="006C59AC" w:rsidRDefault="006C59AC" w:rsidP="006C59AC">
      <w:pPr>
        <w:rPr>
          <w:lang w:val="en-US"/>
        </w:rPr>
      </w:pPr>
      <w:r w:rsidRPr="006C59AC">
        <w:rPr>
          <w:lang w:val="en-US"/>
        </w:rPr>
        <w:t xml:space="preserve">Bu </w:t>
      </w:r>
      <w:proofErr w:type="spellStart"/>
      <w:r w:rsidRPr="006C59AC">
        <w:rPr>
          <w:lang w:val="en-US"/>
        </w:rPr>
        <w:t>tür</w:t>
      </w:r>
      <w:proofErr w:type="spellEnd"/>
      <w:r w:rsidRPr="006C59AC">
        <w:rPr>
          <w:lang w:val="en-US"/>
        </w:rPr>
        <w:t xml:space="preserve"> </w:t>
      </w:r>
      <w:proofErr w:type="spellStart"/>
      <w:r w:rsidRPr="006C59AC">
        <w:rPr>
          <w:lang w:val="en-US"/>
        </w:rPr>
        <w:t>akademisyenlere</w:t>
      </w:r>
      <w:proofErr w:type="spellEnd"/>
      <w:r w:rsidRPr="006C59AC">
        <w:rPr>
          <w:lang w:val="en-US"/>
        </w:rPr>
        <w:t xml:space="preserve"> </w:t>
      </w:r>
      <w:proofErr w:type="spellStart"/>
      <w:r w:rsidRPr="006C59AC">
        <w:rPr>
          <w:lang w:val="en-US"/>
        </w:rPr>
        <w:t>göre</w:t>
      </w:r>
      <w:proofErr w:type="spellEnd"/>
      <w:r w:rsidRPr="006C59AC">
        <w:rPr>
          <w:lang w:val="en-US"/>
        </w:rPr>
        <w:t xml:space="preserve">, </w:t>
      </w:r>
      <w:proofErr w:type="spellStart"/>
      <w:r w:rsidRPr="006C59AC">
        <w:rPr>
          <w:lang w:val="en-US"/>
        </w:rPr>
        <w:t>mahkemeler</w:t>
      </w:r>
      <w:proofErr w:type="spellEnd"/>
      <w:r w:rsidRPr="006C59AC">
        <w:rPr>
          <w:lang w:val="en-US"/>
        </w:rPr>
        <w:t xml:space="preserve"> </w:t>
      </w:r>
      <w:proofErr w:type="spellStart"/>
      <w:r w:rsidRPr="006C59AC">
        <w:rPr>
          <w:lang w:val="en-US"/>
        </w:rPr>
        <w:t>içinde</w:t>
      </w:r>
      <w:proofErr w:type="spellEnd"/>
      <w:r w:rsidRPr="006C59AC">
        <w:rPr>
          <w:lang w:val="en-US"/>
        </w:rPr>
        <w:t xml:space="preserve"> </w:t>
      </w:r>
      <w:proofErr w:type="spellStart"/>
      <w:r w:rsidRPr="006C59AC">
        <w:rPr>
          <w:lang w:val="en-US"/>
        </w:rPr>
        <w:t>gerçekleşen</w:t>
      </w:r>
      <w:proofErr w:type="spellEnd"/>
      <w:r w:rsidRPr="006C59AC">
        <w:rPr>
          <w:lang w:val="en-US"/>
        </w:rPr>
        <w:t xml:space="preserve"> </w:t>
      </w:r>
      <w:proofErr w:type="spellStart"/>
      <w:r w:rsidRPr="006C59AC">
        <w:rPr>
          <w:lang w:val="en-US"/>
        </w:rPr>
        <w:t>süreçler</w:t>
      </w:r>
      <w:proofErr w:type="spellEnd"/>
      <w:r w:rsidRPr="006C59AC">
        <w:rPr>
          <w:lang w:val="en-US"/>
        </w:rPr>
        <w:t xml:space="preserve">, </w:t>
      </w:r>
      <w:proofErr w:type="spellStart"/>
      <w:r w:rsidRPr="006C59AC">
        <w:rPr>
          <w:lang w:val="en-US"/>
        </w:rPr>
        <w:t>tanım</w:t>
      </w:r>
      <w:proofErr w:type="spellEnd"/>
      <w:r w:rsidRPr="006C59AC">
        <w:rPr>
          <w:lang w:val="en-US"/>
        </w:rPr>
        <w:t xml:space="preserve"> </w:t>
      </w:r>
      <w:proofErr w:type="spellStart"/>
      <w:r w:rsidRPr="006C59AC">
        <w:rPr>
          <w:lang w:val="en-US"/>
        </w:rPr>
        <w:t>gereği</w:t>
      </w:r>
      <w:proofErr w:type="spellEnd"/>
      <w:r w:rsidRPr="006C59AC">
        <w:rPr>
          <w:lang w:val="en-US"/>
        </w:rPr>
        <w:t xml:space="preserve"> “</w:t>
      </w:r>
      <w:proofErr w:type="spellStart"/>
      <w:r w:rsidRPr="006C59AC">
        <w:rPr>
          <w:lang w:val="en-US"/>
        </w:rPr>
        <w:t>kültür</w:t>
      </w:r>
      <w:proofErr w:type="spellEnd"/>
      <w:r w:rsidRPr="006C59AC">
        <w:rPr>
          <w:lang w:val="en-US"/>
        </w:rPr>
        <w:t xml:space="preserve">” </w:t>
      </w:r>
      <w:proofErr w:type="spellStart"/>
      <w:r w:rsidRPr="006C59AC">
        <w:rPr>
          <w:lang w:val="en-US"/>
        </w:rPr>
        <w:t>değildir</w:t>
      </w:r>
      <w:proofErr w:type="spellEnd"/>
      <w:r w:rsidRPr="006C59AC">
        <w:rPr>
          <w:lang w:val="en-US"/>
        </w:rPr>
        <w:t xml:space="preserve">. </w:t>
      </w:r>
      <w:proofErr w:type="spellStart"/>
      <w:r w:rsidRPr="006C59AC">
        <w:rPr>
          <w:lang w:val="en-US"/>
        </w:rPr>
        <w:t>Kültür</w:t>
      </w:r>
      <w:proofErr w:type="spellEnd"/>
      <w:r w:rsidRPr="006C59AC">
        <w:rPr>
          <w:lang w:val="en-US"/>
        </w:rPr>
        <w:t xml:space="preserve"> </w:t>
      </w:r>
      <w:proofErr w:type="spellStart"/>
      <w:r w:rsidRPr="006C59AC">
        <w:rPr>
          <w:lang w:val="en-US"/>
        </w:rPr>
        <w:t>tarafından</w:t>
      </w:r>
      <w:proofErr w:type="spellEnd"/>
      <w:r w:rsidRPr="006C59AC">
        <w:rPr>
          <w:lang w:val="en-US"/>
        </w:rPr>
        <w:t xml:space="preserve"> </w:t>
      </w:r>
      <w:proofErr w:type="spellStart"/>
      <w:r w:rsidRPr="006C59AC">
        <w:rPr>
          <w:lang w:val="en-US"/>
        </w:rPr>
        <w:t>etkilenebilir</w:t>
      </w:r>
      <w:proofErr w:type="spellEnd"/>
      <w:r w:rsidRPr="006C59AC">
        <w:rPr>
          <w:lang w:val="en-US"/>
        </w:rPr>
        <w:t xml:space="preserve"> </w:t>
      </w:r>
      <w:proofErr w:type="spellStart"/>
      <w:r w:rsidRPr="006C59AC">
        <w:rPr>
          <w:lang w:val="en-US"/>
        </w:rPr>
        <w:t>veya</w:t>
      </w:r>
      <w:proofErr w:type="spellEnd"/>
      <w:r w:rsidRPr="006C59AC">
        <w:rPr>
          <w:lang w:val="en-US"/>
        </w:rPr>
        <w:t xml:space="preserve"> </w:t>
      </w:r>
      <w:proofErr w:type="spellStart"/>
      <w:r w:rsidRPr="006C59AC">
        <w:rPr>
          <w:lang w:val="en-US"/>
        </w:rPr>
        <w:t>kültürü</w:t>
      </w:r>
      <w:proofErr w:type="spellEnd"/>
      <w:r w:rsidRPr="006C59AC">
        <w:rPr>
          <w:lang w:val="en-US"/>
        </w:rPr>
        <w:t xml:space="preserve"> </w:t>
      </w:r>
      <w:proofErr w:type="spellStart"/>
      <w:r w:rsidRPr="006C59AC">
        <w:rPr>
          <w:lang w:val="en-US"/>
        </w:rPr>
        <w:t>yansıtabilir</w:t>
      </w:r>
      <w:proofErr w:type="spellEnd"/>
      <w:r w:rsidRPr="006C59AC">
        <w:rPr>
          <w:lang w:val="en-US"/>
        </w:rPr>
        <w:t xml:space="preserve">, </w:t>
      </w:r>
      <w:proofErr w:type="spellStart"/>
      <w:r w:rsidRPr="006C59AC">
        <w:rPr>
          <w:lang w:val="en-US"/>
        </w:rPr>
        <w:t>ancak</w:t>
      </w:r>
      <w:proofErr w:type="spellEnd"/>
      <w:r w:rsidRPr="006C59AC">
        <w:rPr>
          <w:lang w:val="en-US"/>
        </w:rPr>
        <w:t xml:space="preserve"> </w:t>
      </w:r>
      <w:proofErr w:type="spellStart"/>
      <w:r w:rsidRPr="006C59AC">
        <w:rPr>
          <w:lang w:val="en-US"/>
        </w:rPr>
        <w:t>kendisi</w:t>
      </w:r>
      <w:proofErr w:type="spellEnd"/>
      <w:r w:rsidRPr="006C59AC">
        <w:rPr>
          <w:lang w:val="en-US"/>
        </w:rPr>
        <w:t xml:space="preserve"> </w:t>
      </w:r>
      <w:proofErr w:type="spellStart"/>
      <w:r w:rsidRPr="006C59AC">
        <w:rPr>
          <w:lang w:val="en-US"/>
        </w:rPr>
        <w:t>kültür</w:t>
      </w:r>
      <w:proofErr w:type="spellEnd"/>
      <w:r w:rsidRPr="006C59AC">
        <w:rPr>
          <w:lang w:val="en-US"/>
        </w:rPr>
        <w:t xml:space="preserve"> </w:t>
      </w:r>
      <w:proofErr w:type="spellStart"/>
      <w:r w:rsidRPr="006C59AC">
        <w:rPr>
          <w:lang w:val="en-US"/>
        </w:rPr>
        <w:t>değildir</w:t>
      </w:r>
      <w:proofErr w:type="spellEnd"/>
      <w:r w:rsidRPr="006C59AC">
        <w:rPr>
          <w:lang w:val="en-US"/>
        </w:rPr>
        <w:t xml:space="preserve">. Bunun </w:t>
      </w:r>
      <w:proofErr w:type="spellStart"/>
      <w:r w:rsidRPr="006C59AC">
        <w:rPr>
          <w:lang w:val="en-US"/>
        </w:rPr>
        <w:t>yerine</w:t>
      </w:r>
      <w:proofErr w:type="spellEnd"/>
      <w:r w:rsidRPr="006C59AC">
        <w:rPr>
          <w:lang w:val="en-US"/>
        </w:rPr>
        <w:t xml:space="preserve">, </w:t>
      </w:r>
      <w:proofErr w:type="spellStart"/>
      <w:r w:rsidRPr="006C59AC">
        <w:rPr>
          <w:lang w:val="en-US"/>
        </w:rPr>
        <w:t>otoriter</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nitelik</w:t>
      </w:r>
      <w:proofErr w:type="spellEnd"/>
      <w:r w:rsidRPr="006C59AC">
        <w:rPr>
          <w:lang w:val="en-US"/>
        </w:rPr>
        <w:t xml:space="preserve"> </w:t>
      </w:r>
      <w:proofErr w:type="spellStart"/>
      <w:r w:rsidRPr="006C59AC">
        <w:rPr>
          <w:lang w:val="en-US"/>
        </w:rPr>
        <w:t>taşıyan</w:t>
      </w:r>
      <w:proofErr w:type="spellEnd"/>
      <w:r w:rsidRPr="006C59AC">
        <w:rPr>
          <w:lang w:val="en-US"/>
        </w:rPr>
        <w:t xml:space="preserve"> “</w:t>
      </w:r>
      <w:proofErr w:type="spellStart"/>
      <w:r w:rsidRPr="006C59AC">
        <w:rPr>
          <w:lang w:val="en-US"/>
        </w:rPr>
        <w:t>hukuk</w:t>
      </w:r>
      <w:proofErr w:type="spellEnd"/>
      <w:r w:rsidRPr="006C59AC">
        <w:rPr>
          <w:lang w:val="en-US"/>
        </w:rPr>
        <w:t xml:space="preserve">” (law) </w:t>
      </w:r>
      <w:proofErr w:type="spellStart"/>
      <w:r w:rsidRPr="006C59AC">
        <w:rPr>
          <w:lang w:val="en-US"/>
        </w:rPr>
        <w:t>adı</w:t>
      </w:r>
      <w:proofErr w:type="spellEnd"/>
      <w:r w:rsidRPr="006C59AC">
        <w:rPr>
          <w:lang w:val="en-US"/>
        </w:rPr>
        <w:t xml:space="preserve"> </w:t>
      </w:r>
      <w:proofErr w:type="spellStart"/>
      <w:r w:rsidRPr="006C59AC">
        <w:rPr>
          <w:lang w:val="en-US"/>
        </w:rPr>
        <w:t>verilen</w:t>
      </w:r>
      <w:proofErr w:type="spellEnd"/>
      <w:r w:rsidRPr="006C59AC">
        <w:rPr>
          <w:lang w:val="en-US"/>
        </w:rPr>
        <w:t xml:space="preserve"> </w:t>
      </w:r>
      <w:proofErr w:type="spellStart"/>
      <w:r w:rsidRPr="006C59AC">
        <w:rPr>
          <w:lang w:val="en-US"/>
        </w:rPr>
        <w:t>farklı</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şey</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kabul</w:t>
      </w:r>
      <w:proofErr w:type="spellEnd"/>
      <w:r w:rsidRPr="006C59AC">
        <w:rPr>
          <w:lang w:val="en-US"/>
        </w:rPr>
        <w:t xml:space="preserve"> </w:t>
      </w:r>
      <w:proofErr w:type="spellStart"/>
      <w:r w:rsidRPr="006C59AC">
        <w:rPr>
          <w:lang w:val="en-US"/>
        </w:rPr>
        <w:t>edilir</w:t>
      </w:r>
      <w:proofErr w:type="spellEnd"/>
      <w:r w:rsidRPr="006C59AC">
        <w:rPr>
          <w:lang w:val="en-US"/>
        </w:rPr>
        <w:t>.</w:t>
      </w:r>
    </w:p>
    <w:p w14:paraId="49E4C235" w14:textId="7C27B25D" w:rsidR="006C59AC" w:rsidRDefault="006C59AC" w:rsidP="00C36DC7">
      <w:pPr>
        <w:rPr>
          <w:lang w:val="en-US"/>
        </w:rPr>
      </w:pPr>
      <w:r w:rsidRPr="006C59AC">
        <w:rPr>
          <w:lang w:val="en-US"/>
        </w:rPr>
        <w:t xml:space="preserve">Bu </w:t>
      </w:r>
      <w:proofErr w:type="spellStart"/>
      <w:r w:rsidRPr="006C59AC">
        <w:rPr>
          <w:lang w:val="en-US"/>
        </w:rPr>
        <w:t>sonucun</w:t>
      </w:r>
      <w:proofErr w:type="spellEnd"/>
      <w:r w:rsidRPr="006C59AC">
        <w:rPr>
          <w:lang w:val="en-US"/>
        </w:rPr>
        <w:t xml:space="preserve"> </w:t>
      </w:r>
      <w:proofErr w:type="spellStart"/>
      <w:r w:rsidRPr="006C59AC">
        <w:rPr>
          <w:lang w:val="en-US"/>
        </w:rPr>
        <w:t>yanlış</w:t>
      </w:r>
      <w:proofErr w:type="spellEnd"/>
      <w:r w:rsidRPr="006C59AC">
        <w:rPr>
          <w:lang w:val="en-US"/>
        </w:rPr>
        <w:t xml:space="preserve"> </w:t>
      </w:r>
      <w:proofErr w:type="spellStart"/>
      <w:r w:rsidRPr="006C59AC">
        <w:rPr>
          <w:lang w:val="en-US"/>
        </w:rPr>
        <w:t>olduğunu</w:t>
      </w:r>
      <w:proofErr w:type="spellEnd"/>
      <w:r w:rsidRPr="006C59AC">
        <w:rPr>
          <w:lang w:val="en-US"/>
        </w:rPr>
        <w:t xml:space="preserve"> </w:t>
      </w:r>
      <w:proofErr w:type="spellStart"/>
      <w:r w:rsidRPr="006C59AC">
        <w:rPr>
          <w:lang w:val="en-US"/>
        </w:rPr>
        <w:t>objektif</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söylemek</w:t>
      </w:r>
      <w:proofErr w:type="spellEnd"/>
      <w:r w:rsidRPr="006C59AC">
        <w:rPr>
          <w:lang w:val="en-US"/>
        </w:rPr>
        <w:t xml:space="preserve"> </w:t>
      </w:r>
      <w:proofErr w:type="spellStart"/>
      <w:r w:rsidRPr="006C59AC">
        <w:rPr>
          <w:lang w:val="en-US"/>
        </w:rPr>
        <w:t>mümkün</w:t>
      </w:r>
      <w:proofErr w:type="spellEnd"/>
      <w:r w:rsidRPr="006C59AC">
        <w:rPr>
          <w:lang w:val="en-US"/>
        </w:rPr>
        <w:t xml:space="preserve"> </w:t>
      </w:r>
      <w:proofErr w:type="spellStart"/>
      <w:r w:rsidRPr="006C59AC">
        <w:rPr>
          <w:lang w:val="en-US"/>
        </w:rPr>
        <w:t>değildir</w:t>
      </w:r>
      <w:proofErr w:type="spellEnd"/>
      <w:r w:rsidRPr="006C59AC">
        <w:rPr>
          <w:lang w:val="en-US"/>
        </w:rPr>
        <w:t>—</w:t>
      </w:r>
      <w:proofErr w:type="spellStart"/>
      <w:r w:rsidRPr="006C59AC">
        <w:rPr>
          <w:lang w:val="en-US"/>
        </w:rPr>
        <w:t>çünkü</w:t>
      </w:r>
      <w:proofErr w:type="spellEnd"/>
      <w:r w:rsidRPr="006C59AC">
        <w:rPr>
          <w:lang w:val="en-US"/>
        </w:rPr>
        <w:t xml:space="preserve"> </w:t>
      </w:r>
      <w:proofErr w:type="spellStart"/>
      <w:r w:rsidRPr="006C59AC">
        <w:rPr>
          <w:lang w:val="en-US"/>
        </w:rPr>
        <w:t>bu</w:t>
      </w:r>
      <w:proofErr w:type="spellEnd"/>
      <w:r w:rsidRPr="006C59AC">
        <w:rPr>
          <w:lang w:val="en-US"/>
        </w:rPr>
        <w:t xml:space="preserve">, </w:t>
      </w:r>
      <w:proofErr w:type="spellStart"/>
      <w:r w:rsidRPr="006C59AC">
        <w:rPr>
          <w:lang w:val="en-US"/>
        </w:rPr>
        <w:t>söz</w:t>
      </w:r>
      <w:proofErr w:type="spellEnd"/>
      <w:r w:rsidRPr="006C59AC">
        <w:rPr>
          <w:lang w:val="en-US"/>
        </w:rPr>
        <w:t xml:space="preserve"> </w:t>
      </w:r>
      <w:proofErr w:type="spellStart"/>
      <w:r w:rsidRPr="006C59AC">
        <w:rPr>
          <w:lang w:val="en-US"/>
        </w:rPr>
        <w:t>konusu</w:t>
      </w:r>
      <w:proofErr w:type="spellEnd"/>
      <w:r w:rsidRPr="006C59AC">
        <w:rPr>
          <w:lang w:val="en-US"/>
        </w:rPr>
        <w:t xml:space="preserve"> </w:t>
      </w:r>
      <w:proofErr w:type="spellStart"/>
      <w:r w:rsidRPr="006C59AC">
        <w:rPr>
          <w:lang w:val="en-US"/>
        </w:rPr>
        <w:t>yazarların</w:t>
      </w:r>
      <w:proofErr w:type="spellEnd"/>
      <w:r w:rsidRPr="006C59AC">
        <w:rPr>
          <w:lang w:val="en-US"/>
        </w:rPr>
        <w:t xml:space="preserve"> </w:t>
      </w:r>
      <w:proofErr w:type="spellStart"/>
      <w:r w:rsidRPr="006C59AC">
        <w:rPr>
          <w:lang w:val="en-US"/>
        </w:rPr>
        <w:t>belirlediği</w:t>
      </w:r>
      <w:proofErr w:type="spellEnd"/>
      <w:r w:rsidRPr="006C59AC">
        <w:rPr>
          <w:lang w:val="en-US"/>
        </w:rPr>
        <w:t xml:space="preserve"> </w:t>
      </w:r>
      <w:proofErr w:type="spellStart"/>
      <w:r w:rsidRPr="006C59AC">
        <w:rPr>
          <w:lang w:val="en-US"/>
        </w:rPr>
        <w:t>tanımsal</w:t>
      </w:r>
      <w:proofErr w:type="spellEnd"/>
      <w:r w:rsidRPr="006C59AC">
        <w:rPr>
          <w:lang w:val="en-US"/>
        </w:rPr>
        <w:t xml:space="preserve"> </w:t>
      </w:r>
      <w:proofErr w:type="spellStart"/>
      <w:r w:rsidRPr="006C59AC">
        <w:rPr>
          <w:lang w:val="en-US"/>
        </w:rPr>
        <w:t>çerçeve</w:t>
      </w:r>
      <w:proofErr w:type="spellEnd"/>
      <w:r w:rsidRPr="006C59AC">
        <w:rPr>
          <w:lang w:val="en-US"/>
        </w:rPr>
        <w:t xml:space="preserve"> </w:t>
      </w:r>
      <w:proofErr w:type="spellStart"/>
      <w:r w:rsidRPr="006C59AC">
        <w:rPr>
          <w:lang w:val="en-US"/>
        </w:rPr>
        <w:t>içinde</w:t>
      </w:r>
      <w:proofErr w:type="spellEnd"/>
      <w:r w:rsidRPr="006C59AC">
        <w:rPr>
          <w:lang w:val="en-US"/>
        </w:rPr>
        <w:t xml:space="preserve"> </w:t>
      </w:r>
      <w:proofErr w:type="spellStart"/>
      <w:r w:rsidRPr="006C59AC">
        <w:rPr>
          <w:lang w:val="en-US"/>
        </w:rPr>
        <w:t>doğrudur</w:t>
      </w:r>
      <w:proofErr w:type="spellEnd"/>
      <w:r w:rsidRPr="006C59AC">
        <w:rPr>
          <w:lang w:val="en-US"/>
        </w:rPr>
        <w:t>—</w:t>
      </w:r>
      <w:proofErr w:type="spellStart"/>
      <w:r w:rsidRPr="006C59AC">
        <w:rPr>
          <w:lang w:val="en-US"/>
        </w:rPr>
        <w:t>ancak</w:t>
      </w:r>
      <w:proofErr w:type="spellEnd"/>
      <w:r w:rsidRPr="006C59AC">
        <w:rPr>
          <w:lang w:val="en-US"/>
        </w:rPr>
        <w:t xml:space="preserve"> </w:t>
      </w:r>
      <w:proofErr w:type="spellStart"/>
      <w:r w:rsidRPr="006C59AC">
        <w:rPr>
          <w:lang w:val="en-US"/>
        </w:rPr>
        <w:t>yine</w:t>
      </w:r>
      <w:proofErr w:type="spellEnd"/>
      <w:r w:rsidRPr="006C59AC">
        <w:rPr>
          <w:lang w:val="en-US"/>
        </w:rPr>
        <w:t xml:space="preserve"> de </w:t>
      </w:r>
      <w:proofErr w:type="spellStart"/>
      <w:r w:rsidRPr="006C59AC">
        <w:rPr>
          <w:lang w:val="en-US"/>
        </w:rPr>
        <w:t>yanıltıcı</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tablo</w:t>
      </w:r>
      <w:proofErr w:type="spellEnd"/>
      <w:r w:rsidRPr="006C59AC">
        <w:rPr>
          <w:lang w:val="en-US"/>
        </w:rPr>
        <w:t xml:space="preserve"> </w:t>
      </w:r>
      <w:proofErr w:type="spellStart"/>
      <w:r w:rsidRPr="006C59AC">
        <w:rPr>
          <w:lang w:val="en-US"/>
        </w:rPr>
        <w:t>çizmektedir</w:t>
      </w:r>
      <w:proofErr w:type="spellEnd"/>
      <w:r w:rsidRPr="006C59AC">
        <w:rPr>
          <w:lang w:val="en-US"/>
        </w:rPr>
        <w:t>.</w:t>
      </w:r>
      <w:r>
        <w:rPr>
          <w:lang w:val="en-US"/>
        </w:rPr>
        <w:t xml:space="preserve"> </w:t>
      </w:r>
      <w:proofErr w:type="spellStart"/>
      <w:r w:rsidRPr="006C59AC">
        <w:rPr>
          <w:lang w:val="en-US"/>
        </w:rPr>
        <w:t>Birincisi</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görüşlerinin</w:t>
      </w:r>
      <w:proofErr w:type="spellEnd"/>
      <w:r w:rsidRPr="006C59AC">
        <w:rPr>
          <w:lang w:val="en-US"/>
        </w:rPr>
        <w:t xml:space="preserve"> </w:t>
      </w:r>
      <w:proofErr w:type="spellStart"/>
      <w:r w:rsidRPr="006C59AC">
        <w:rPr>
          <w:lang w:val="en-US"/>
        </w:rPr>
        <w:t>birer</w:t>
      </w:r>
      <w:proofErr w:type="spellEnd"/>
      <w:r w:rsidRPr="006C59AC">
        <w:rPr>
          <w:lang w:val="en-US"/>
        </w:rPr>
        <w:t xml:space="preserve"> </w:t>
      </w:r>
      <w:proofErr w:type="spellStart"/>
      <w:r w:rsidRPr="006C59AC">
        <w:rPr>
          <w:lang w:val="en-US"/>
        </w:rPr>
        <w:t>kültürel</w:t>
      </w:r>
      <w:proofErr w:type="spellEnd"/>
      <w:r w:rsidRPr="006C59AC">
        <w:rPr>
          <w:lang w:val="en-US"/>
        </w:rPr>
        <w:t xml:space="preserve"> </w:t>
      </w:r>
      <w:proofErr w:type="spellStart"/>
      <w:r w:rsidRPr="006C59AC">
        <w:rPr>
          <w:lang w:val="en-US"/>
        </w:rPr>
        <w:t>belge</w:t>
      </w:r>
      <w:proofErr w:type="spellEnd"/>
      <w:r w:rsidRPr="006C59AC">
        <w:rPr>
          <w:lang w:val="en-US"/>
        </w:rPr>
        <w:t xml:space="preserve"> </w:t>
      </w:r>
      <w:proofErr w:type="spellStart"/>
      <w:r w:rsidRPr="006C59AC">
        <w:rPr>
          <w:lang w:val="en-US"/>
        </w:rPr>
        <w:t>olduğu</w:t>
      </w:r>
      <w:proofErr w:type="spellEnd"/>
      <w:r w:rsidRPr="006C59AC">
        <w:rPr>
          <w:lang w:val="en-US"/>
        </w:rPr>
        <w:t xml:space="preserve"> </w:t>
      </w:r>
      <w:proofErr w:type="spellStart"/>
      <w:r w:rsidRPr="006C59AC">
        <w:rPr>
          <w:lang w:val="en-US"/>
        </w:rPr>
        <w:t>gerçeğini</w:t>
      </w:r>
      <w:proofErr w:type="spellEnd"/>
      <w:r w:rsidRPr="006C59AC">
        <w:rPr>
          <w:lang w:val="en-US"/>
        </w:rPr>
        <w:t xml:space="preserve"> </w:t>
      </w:r>
      <w:proofErr w:type="spellStart"/>
      <w:r w:rsidRPr="006C59AC">
        <w:rPr>
          <w:lang w:val="en-US"/>
        </w:rPr>
        <w:t>kabul</w:t>
      </w:r>
      <w:proofErr w:type="spellEnd"/>
      <w:r w:rsidRPr="006C59AC">
        <w:rPr>
          <w:lang w:val="en-US"/>
        </w:rPr>
        <w:t xml:space="preserve"> </w:t>
      </w:r>
      <w:proofErr w:type="spellStart"/>
      <w:r w:rsidRPr="006C59AC">
        <w:rPr>
          <w:lang w:val="en-US"/>
        </w:rPr>
        <w:t>etmeyerek</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bu</w:t>
      </w:r>
      <w:proofErr w:type="spellEnd"/>
      <w:r w:rsidRPr="006C59AC">
        <w:rPr>
          <w:lang w:val="en-US"/>
        </w:rPr>
        <w:t xml:space="preserve"> </w:t>
      </w:r>
      <w:proofErr w:type="spellStart"/>
      <w:r w:rsidRPr="006C59AC">
        <w:rPr>
          <w:lang w:val="en-US"/>
        </w:rPr>
        <w:t>görüşlerin</w:t>
      </w:r>
      <w:proofErr w:type="spellEnd"/>
      <w:r w:rsidRPr="006C59AC">
        <w:rPr>
          <w:lang w:val="en-US"/>
        </w:rPr>
        <w:t xml:space="preserve">, </w:t>
      </w:r>
      <w:proofErr w:type="spellStart"/>
      <w:r w:rsidRPr="006C59AC">
        <w:rPr>
          <w:lang w:val="en-US"/>
        </w:rPr>
        <w:t>kültürel</w:t>
      </w:r>
      <w:proofErr w:type="spellEnd"/>
      <w:r w:rsidRPr="006C59AC">
        <w:rPr>
          <w:lang w:val="en-US"/>
        </w:rPr>
        <w:t xml:space="preserve"> </w:t>
      </w:r>
      <w:proofErr w:type="spellStart"/>
      <w:r w:rsidRPr="006C59AC">
        <w:rPr>
          <w:lang w:val="en-US"/>
        </w:rPr>
        <w:t>biçimler</w:t>
      </w:r>
      <w:proofErr w:type="spellEnd"/>
      <w:r w:rsidRPr="006C59AC">
        <w:rPr>
          <w:lang w:val="en-US"/>
        </w:rPr>
        <w:t xml:space="preserve"> </w:t>
      </w:r>
      <w:proofErr w:type="spellStart"/>
      <w:r w:rsidRPr="006C59AC">
        <w:rPr>
          <w:lang w:val="en-US"/>
        </w:rPr>
        <w:t>gibi</w:t>
      </w:r>
      <w:proofErr w:type="spellEnd"/>
      <w:r w:rsidRPr="006C59AC">
        <w:rPr>
          <w:lang w:val="en-US"/>
        </w:rPr>
        <w:t xml:space="preserve"> </w:t>
      </w:r>
      <w:proofErr w:type="spellStart"/>
      <w:r w:rsidRPr="006C59AC">
        <w:rPr>
          <w:lang w:val="en-US"/>
        </w:rPr>
        <w:t>işleyen</w:t>
      </w:r>
      <w:proofErr w:type="spellEnd"/>
      <w:r w:rsidRPr="006C59AC">
        <w:rPr>
          <w:lang w:val="en-US"/>
        </w:rPr>
        <w:t xml:space="preserve"> </w:t>
      </w:r>
      <w:proofErr w:type="spellStart"/>
      <w:r w:rsidRPr="006C59AC">
        <w:rPr>
          <w:lang w:val="en-US"/>
        </w:rPr>
        <w:t>mahkeme</w:t>
      </w:r>
      <w:proofErr w:type="spellEnd"/>
      <w:r w:rsidRPr="006C59AC">
        <w:rPr>
          <w:lang w:val="en-US"/>
        </w:rPr>
        <w:t xml:space="preserve"> </w:t>
      </w:r>
      <w:proofErr w:type="spellStart"/>
      <w:r w:rsidRPr="006C59AC">
        <w:rPr>
          <w:lang w:val="en-US"/>
        </w:rPr>
        <w:t>içi</w:t>
      </w:r>
      <w:proofErr w:type="spellEnd"/>
      <w:r w:rsidRPr="006C59AC">
        <w:rPr>
          <w:lang w:val="en-US"/>
        </w:rPr>
        <w:t xml:space="preserve"> </w:t>
      </w:r>
      <w:proofErr w:type="spellStart"/>
      <w:r w:rsidRPr="006C59AC">
        <w:rPr>
          <w:lang w:val="en-US"/>
        </w:rPr>
        <w:t>normlar</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uygulamalar</w:t>
      </w:r>
      <w:proofErr w:type="spellEnd"/>
      <w:r w:rsidRPr="006C59AC">
        <w:rPr>
          <w:lang w:val="en-US"/>
        </w:rPr>
        <w:t xml:space="preserve"> </w:t>
      </w:r>
      <w:proofErr w:type="spellStart"/>
      <w:r w:rsidRPr="006C59AC">
        <w:rPr>
          <w:lang w:val="en-US"/>
        </w:rPr>
        <w:t>tarafından</w:t>
      </w:r>
      <w:proofErr w:type="spellEnd"/>
      <w:r w:rsidRPr="006C59AC">
        <w:rPr>
          <w:lang w:val="en-US"/>
        </w:rPr>
        <w:t xml:space="preserve"> </w:t>
      </w:r>
      <w:proofErr w:type="spellStart"/>
      <w:r w:rsidRPr="006C59AC">
        <w:rPr>
          <w:lang w:val="en-US"/>
        </w:rPr>
        <w:t>üretildiğini</w:t>
      </w:r>
      <w:proofErr w:type="spellEnd"/>
      <w:r w:rsidRPr="006C59AC">
        <w:rPr>
          <w:lang w:val="en-US"/>
        </w:rPr>
        <w:t xml:space="preserve"> </w:t>
      </w:r>
      <w:proofErr w:type="spellStart"/>
      <w:r w:rsidRPr="006C59AC">
        <w:rPr>
          <w:lang w:val="en-US"/>
        </w:rPr>
        <w:t>göz</w:t>
      </w:r>
      <w:proofErr w:type="spellEnd"/>
      <w:r w:rsidRPr="006C59AC">
        <w:rPr>
          <w:lang w:val="en-US"/>
        </w:rPr>
        <w:t xml:space="preserve"> </w:t>
      </w:r>
      <w:proofErr w:type="spellStart"/>
      <w:r w:rsidRPr="006C59AC">
        <w:rPr>
          <w:lang w:val="en-US"/>
        </w:rPr>
        <w:t>ardı</w:t>
      </w:r>
      <w:proofErr w:type="spellEnd"/>
      <w:r w:rsidRPr="006C59AC">
        <w:rPr>
          <w:lang w:val="en-US"/>
        </w:rPr>
        <w:t xml:space="preserve"> </w:t>
      </w:r>
      <w:proofErr w:type="spellStart"/>
      <w:r w:rsidRPr="006C59AC">
        <w:rPr>
          <w:lang w:val="en-US"/>
        </w:rPr>
        <w:t>ederek</w:t>
      </w:r>
      <w:proofErr w:type="spellEnd"/>
      <w:r w:rsidRPr="006C59AC">
        <w:rPr>
          <w:lang w:val="en-US"/>
        </w:rPr>
        <w:t xml:space="preserve">, </w:t>
      </w:r>
      <w:proofErr w:type="spellStart"/>
      <w:r w:rsidRPr="006C59AC">
        <w:rPr>
          <w:lang w:val="en-US"/>
        </w:rPr>
        <w:t>yargı</w:t>
      </w:r>
      <w:proofErr w:type="spellEnd"/>
      <w:r w:rsidRPr="006C59AC">
        <w:rPr>
          <w:lang w:val="en-US"/>
        </w:rPr>
        <w:t xml:space="preserve"> </w:t>
      </w:r>
      <w:proofErr w:type="spellStart"/>
      <w:r w:rsidRPr="006C59AC">
        <w:rPr>
          <w:lang w:val="en-US"/>
        </w:rPr>
        <w:t>görüşlerinin</w:t>
      </w:r>
      <w:proofErr w:type="spellEnd"/>
      <w:r w:rsidRPr="006C59AC">
        <w:rPr>
          <w:lang w:val="en-US"/>
        </w:rPr>
        <w:t xml:space="preserve"> </w:t>
      </w:r>
      <w:proofErr w:type="spellStart"/>
      <w:r w:rsidRPr="006C59AC">
        <w:rPr>
          <w:lang w:val="en-US"/>
        </w:rPr>
        <w:t>fetişleştirilmesine</w:t>
      </w:r>
      <w:proofErr w:type="spellEnd"/>
      <w:r w:rsidRPr="006C59AC">
        <w:rPr>
          <w:lang w:val="en-US"/>
        </w:rPr>
        <w:t xml:space="preserve"> </w:t>
      </w:r>
      <w:proofErr w:type="spellStart"/>
      <w:r w:rsidRPr="006C59AC">
        <w:rPr>
          <w:lang w:val="en-US"/>
        </w:rPr>
        <w:t>katkıda</w:t>
      </w:r>
      <w:proofErr w:type="spellEnd"/>
      <w:r w:rsidRPr="006C59AC">
        <w:rPr>
          <w:lang w:val="en-US"/>
        </w:rPr>
        <w:t xml:space="preserve"> </w:t>
      </w:r>
      <w:proofErr w:type="spellStart"/>
      <w:r w:rsidRPr="006C59AC">
        <w:rPr>
          <w:lang w:val="en-US"/>
        </w:rPr>
        <w:t>bulunmakta</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bunu</w:t>
      </w:r>
      <w:proofErr w:type="spellEnd"/>
      <w:r w:rsidRPr="006C59AC">
        <w:rPr>
          <w:lang w:val="en-US"/>
        </w:rPr>
        <w:t xml:space="preserve"> </w:t>
      </w:r>
      <w:proofErr w:type="spellStart"/>
      <w:r w:rsidRPr="006C59AC">
        <w:rPr>
          <w:lang w:val="en-US"/>
        </w:rPr>
        <w:t>pekiştirmektedir</w:t>
      </w:r>
      <w:proofErr w:type="spellEnd"/>
      <w:r w:rsidRPr="006C59AC">
        <w:rPr>
          <w:lang w:val="en-US"/>
        </w:rPr>
        <w:t>.</w:t>
      </w:r>
      <w:r>
        <w:rPr>
          <w:lang w:val="en-US"/>
        </w:rPr>
        <w:t xml:space="preserve"> </w:t>
      </w:r>
      <w:proofErr w:type="spellStart"/>
      <w:r w:rsidRPr="006C59AC">
        <w:rPr>
          <w:lang w:val="en-US"/>
        </w:rPr>
        <w:t>İkincisi</w:t>
      </w:r>
      <w:proofErr w:type="spellEnd"/>
      <w:r w:rsidRPr="006C59AC">
        <w:rPr>
          <w:lang w:val="en-US"/>
        </w:rPr>
        <w:t xml:space="preserve">, </w:t>
      </w:r>
      <w:proofErr w:type="spellStart"/>
      <w:r w:rsidRPr="006C59AC">
        <w:rPr>
          <w:lang w:val="en-US"/>
        </w:rPr>
        <w:t>mahkemelerde</w:t>
      </w:r>
      <w:proofErr w:type="spellEnd"/>
      <w:r w:rsidRPr="006C59AC">
        <w:rPr>
          <w:lang w:val="en-US"/>
        </w:rPr>
        <w:t xml:space="preserve"> </w:t>
      </w:r>
      <w:proofErr w:type="spellStart"/>
      <w:r w:rsidRPr="006C59AC">
        <w:rPr>
          <w:lang w:val="en-US"/>
        </w:rPr>
        <w:t>gerçekleşen</w:t>
      </w:r>
      <w:proofErr w:type="spellEnd"/>
      <w:r w:rsidRPr="006C59AC">
        <w:rPr>
          <w:lang w:val="en-US"/>
        </w:rPr>
        <w:t xml:space="preserve"> </w:t>
      </w:r>
      <w:proofErr w:type="spellStart"/>
      <w:r w:rsidRPr="006C59AC">
        <w:rPr>
          <w:lang w:val="en-US"/>
        </w:rPr>
        <w:t>süreçleri</w:t>
      </w:r>
      <w:proofErr w:type="spellEnd"/>
      <w:r w:rsidRPr="006C59AC">
        <w:rPr>
          <w:lang w:val="en-US"/>
        </w:rPr>
        <w:t xml:space="preserve"> </w:t>
      </w:r>
      <w:proofErr w:type="spellStart"/>
      <w:r w:rsidRPr="006C59AC">
        <w:rPr>
          <w:lang w:val="en-US"/>
        </w:rPr>
        <w:t>kültürel</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olgu</w:t>
      </w:r>
      <w:proofErr w:type="spellEnd"/>
      <w:r w:rsidRPr="006C59AC">
        <w:rPr>
          <w:lang w:val="en-US"/>
        </w:rPr>
        <w:t xml:space="preserve"> </w:t>
      </w:r>
      <w:proofErr w:type="spellStart"/>
      <w:r w:rsidRPr="006C59AC">
        <w:rPr>
          <w:lang w:val="en-US"/>
        </w:rPr>
        <w:t>yerine</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yasa</w:t>
      </w:r>
      <w:proofErr w:type="spellEnd"/>
      <w:r w:rsidRPr="006C59AC">
        <w:rPr>
          <w:lang w:val="en-US"/>
        </w:rPr>
        <w:t xml:space="preserve"> </w:t>
      </w:r>
      <w:proofErr w:type="spellStart"/>
      <w:r w:rsidRPr="006C59AC">
        <w:rPr>
          <w:lang w:val="en-US"/>
        </w:rPr>
        <w:t>yapma</w:t>
      </w:r>
      <w:proofErr w:type="spellEnd"/>
      <w:r w:rsidRPr="006C59AC">
        <w:rPr>
          <w:lang w:val="en-US"/>
        </w:rPr>
        <w:t xml:space="preserve"> </w:t>
      </w:r>
      <w:proofErr w:type="spellStart"/>
      <w:r w:rsidRPr="006C59AC">
        <w:rPr>
          <w:lang w:val="en-US"/>
        </w:rPr>
        <w:t>faaliyeti</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ele</w:t>
      </w:r>
      <w:proofErr w:type="spellEnd"/>
      <w:r w:rsidRPr="006C59AC">
        <w:rPr>
          <w:lang w:val="en-US"/>
        </w:rPr>
        <w:t xml:space="preserve"> </w:t>
      </w:r>
      <w:proofErr w:type="spellStart"/>
      <w:r w:rsidRPr="006C59AC">
        <w:rPr>
          <w:lang w:val="en-US"/>
        </w:rPr>
        <w:t>alarak</w:t>
      </w:r>
      <w:proofErr w:type="spellEnd"/>
      <w:r w:rsidRPr="006C59AC">
        <w:rPr>
          <w:lang w:val="en-US"/>
        </w:rPr>
        <w:t xml:space="preserve">, </w:t>
      </w:r>
      <w:proofErr w:type="spellStart"/>
      <w:r w:rsidRPr="006C59AC">
        <w:rPr>
          <w:lang w:val="en-US"/>
        </w:rPr>
        <w:t>yargıçları</w:t>
      </w:r>
      <w:proofErr w:type="spellEnd"/>
      <w:r w:rsidRPr="006C59AC">
        <w:rPr>
          <w:lang w:val="en-US"/>
        </w:rPr>
        <w:t xml:space="preserve"> </w:t>
      </w:r>
      <w:proofErr w:type="spellStart"/>
      <w:r w:rsidRPr="006C59AC">
        <w:rPr>
          <w:lang w:val="en-US"/>
        </w:rPr>
        <w:t>doğrudan</w:t>
      </w:r>
      <w:proofErr w:type="spellEnd"/>
      <w:r w:rsidRPr="006C59AC">
        <w:rPr>
          <w:lang w:val="en-US"/>
        </w:rPr>
        <w:t xml:space="preserve"> </w:t>
      </w:r>
      <w:proofErr w:type="spellStart"/>
      <w:r w:rsidRPr="006C59AC">
        <w:rPr>
          <w:lang w:val="en-US"/>
        </w:rPr>
        <w:t>etkileyen</w:t>
      </w:r>
      <w:proofErr w:type="spellEnd"/>
      <w:r w:rsidRPr="006C59AC">
        <w:rPr>
          <w:lang w:val="en-US"/>
        </w:rPr>
        <w:t xml:space="preserve"> </w:t>
      </w:r>
      <w:proofErr w:type="spellStart"/>
      <w:r w:rsidRPr="006C59AC">
        <w:rPr>
          <w:lang w:val="en-US"/>
        </w:rPr>
        <w:t>düzenlemelerin</w:t>
      </w:r>
      <w:proofErr w:type="spellEnd"/>
      <w:r w:rsidRPr="006C59AC">
        <w:rPr>
          <w:lang w:val="en-US"/>
        </w:rPr>
        <w:t xml:space="preserve">, </w:t>
      </w:r>
      <w:proofErr w:type="spellStart"/>
      <w:r w:rsidRPr="006C59AC">
        <w:rPr>
          <w:lang w:val="en-US"/>
        </w:rPr>
        <w:t>uygulamaların</w:t>
      </w:r>
      <w:proofErr w:type="spellEnd"/>
      <w:r w:rsidRPr="006C59AC">
        <w:rPr>
          <w:lang w:val="en-US"/>
        </w:rPr>
        <w:t xml:space="preserve">, </w:t>
      </w:r>
      <w:proofErr w:type="spellStart"/>
      <w:r w:rsidRPr="006C59AC">
        <w:rPr>
          <w:lang w:val="en-US"/>
        </w:rPr>
        <w:t>normların</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düşünce</w:t>
      </w:r>
      <w:proofErr w:type="spellEnd"/>
      <w:r w:rsidRPr="006C59AC">
        <w:rPr>
          <w:lang w:val="en-US"/>
        </w:rPr>
        <w:t xml:space="preserve"> </w:t>
      </w:r>
      <w:proofErr w:type="spellStart"/>
      <w:r w:rsidRPr="006C59AC">
        <w:rPr>
          <w:lang w:val="en-US"/>
        </w:rPr>
        <w:t>alışkanlıklarının</w:t>
      </w:r>
      <w:proofErr w:type="spellEnd"/>
      <w:r w:rsidRPr="006C59AC">
        <w:rPr>
          <w:lang w:val="en-US"/>
        </w:rPr>
        <w:t xml:space="preserve"> </w:t>
      </w:r>
      <w:proofErr w:type="spellStart"/>
      <w:r w:rsidRPr="006C59AC">
        <w:rPr>
          <w:lang w:val="en-US"/>
        </w:rPr>
        <w:t>değişken</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olumsal</w:t>
      </w:r>
      <w:proofErr w:type="spellEnd"/>
      <w:r w:rsidRPr="006C59AC">
        <w:rPr>
          <w:lang w:val="en-US"/>
        </w:rPr>
        <w:t xml:space="preserve"> (contingent) </w:t>
      </w:r>
      <w:proofErr w:type="spellStart"/>
      <w:r w:rsidRPr="006C59AC">
        <w:rPr>
          <w:lang w:val="en-US"/>
        </w:rPr>
        <w:t>değil</w:t>
      </w:r>
      <w:proofErr w:type="spellEnd"/>
      <w:r w:rsidRPr="006C59AC">
        <w:rPr>
          <w:lang w:val="en-US"/>
        </w:rPr>
        <w:t xml:space="preserve">, </w:t>
      </w:r>
      <w:proofErr w:type="spellStart"/>
      <w:r w:rsidRPr="006C59AC">
        <w:rPr>
          <w:lang w:val="en-US"/>
        </w:rPr>
        <w:t>kalıcı</w:t>
      </w:r>
      <w:proofErr w:type="spellEnd"/>
      <w:r w:rsidRPr="006C59AC">
        <w:rPr>
          <w:lang w:val="en-US"/>
        </w:rPr>
        <w:t xml:space="preserve"> </w:t>
      </w:r>
      <w:proofErr w:type="spellStart"/>
      <w:r w:rsidRPr="006C59AC">
        <w:rPr>
          <w:lang w:val="en-US"/>
        </w:rPr>
        <w:t>veya</w:t>
      </w:r>
      <w:proofErr w:type="spellEnd"/>
      <w:r w:rsidRPr="006C59AC">
        <w:rPr>
          <w:lang w:val="en-US"/>
        </w:rPr>
        <w:t xml:space="preserve"> </w:t>
      </w:r>
      <w:proofErr w:type="spellStart"/>
      <w:r w:rsidRPr="006C59AC">
        <w:rPr>
          <w:lang w:val="en-US"/>
        </w:rPr>
        <w:t>yarı</w:t>
      </w:r>
      <w:proofErr w:type="spellEnd"/>
      <w:r w:rsidRPr="006C59AC">
        <w:rPr>
          <w:lang w:val="en-US"/>
        </w:rPr>
        <w:t xml:space="preserve"> </w:t>
      </w:r>
      <w:proofErr w:type="spellStart"/>
      <w:r w:rsidRPr="006C59AC">
        <w:rPr>
          <w:lang w:val="en-US"/>
        </w:rPr>
        <w:t>kalıcı</w:t>
      </w:r>
      <w:proofErr w:type="spellEnd"/>
      <w:r w:rsidRPr="006C59AC">
        <w:rPr>
          <w:lang w:val="en-US"/>
        </w:rPr>
        <w:t xml:space="preserve"> </w:t>
      </w:r>
      <w:proofErr w:type="spellStart"/>
      <w:r w:rsidRPr="006C59AC">
        <w:rPr>
          <w:lang w:val="en-US"/>
        </w:rPr>
        <w:t>yapılar</w:t>
      </w:r>
      <w:proofErr w:type="spellEnd"/>
      <w:r w:rsidRPr="006C59AC">
        <w:rPr>
          <w:lang w:val="en-US"/>
        </w:rPr>
        <w:t xml:space="preserve"> </w:t>
      </w:r>
      <w:proofErr w:type="spellStart"/>
      <w:r w:rsidRPr="006C59AC">
        <w:rPr>
          <w:lang w:val="en-US"/>
        </w:rPr>
        <w:t>olduğu</w:t>
      </w:r>
      <w:proofErr w:type="spellEnd"/>
      <w:r w:rsidRPr="006C59AC">
        <w:rPr>
          <w:lang w:val="en-US"/>
        </w:rPr>
        <w:t xml:space="preserve"> </w:t>
      </w:r>
      <w:proofErr w:type="spellStart"/>
      <w:r w:rsidRPr="006C59AC">
        <w:rPr>
          <w:lang w:val="en-US"/>
        </w:rPr>
        <w:t>fikrini</w:t>
      </w:r>
      <w:proofErr w:type="spellEnd"/>
      <w:r w:rsidRPr="006C59AC">
        <w:rPr>
          <w:lang w:val="en-US"/>
        </w:rPr>
        <w:t xml:space="preserve"> </w:t>
      </w:r>
      <w:proofErr w:type="spellStart"/>
      <w:r w:rsidRPr="006C59AC">
        <w:rPr>
          <w:lang w:val="en-US"/>
        </w:rPr>
        <w:t>güçlendirmektedir</w:t>
      </w:r>
      <w:proofErr w:type="spellEnd"/>
      <w:r w:rsidRPr="006C59AC">
        <w:rPr>
          <w:lang w:val="en-US"/>
        </w:rPr>
        <w:t>.</w:t>
      </w:r>
      <w:r w:rsidR="00C36DC7">
        <w:rPr>
          <w:lang w:val="en-US"/>
        </w:rPr>
        <w:t xml:space="preserve"> </w:t>
      </w:r>
      <w:proofErr w:type="spellStart"/>
      <w:r w:rsidRPr="006C59AC">
        <w:rPr>
          <w:lang w:val="en-US"/>
        </w:rPr>
        <w:t>Üçüncüsü</w:t>
      </w:r>
      <w:proofErr w:type="spellEnd"/>
      <w:r w:rsidRPr="006C59AC">
        <w:rPr>
          <w:lang w:val="en-US"/>
        </w:rPr>
        <w:t xml:space="preserve">, </w:t>
      </w:r>
      <w:proofErr w:type="spellStart"/>
      <w:r w:rsidRPr="006C59AC">
        <w:rPr>
          <w:lang w:val="en-US"/>
        </w:rPr>
        <w:t>belki</w:t>
      </w:r>
      <w:proofErr w:type="spellEnd"/>
      <w:r w:rsidRPr="006C59AC">
        <w:rPr>
          <w:lang w:val="en-US"/>
        </w:rPr>
        <w:t xml:space="preserve"> de </w:t>
      </w:r>
      <w:proofErr w:type="spellStart"/>
      <w:r w:rsidRPr="006C59AC">
        <w:rPr>
          <w:lang w:val="en-US"/>
        </w:rPr>
        <w:t>kasıtsız</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anayasal</w:t>
      </w:r>
      <w:proofErr w:type="spellEnd"/>
      <w:r w:rsidRPr="006C59AC">
        <w:rPr>
          <w:lang w:val="en-US"/>
        </w:rPr>
        <w:t xml:space="preserve"> </w:t>
      </w:r>
      <w:proofErr w:type="spellStart"/>
      <w:r w:rsidRPr="006C59AC">
        <w:rPr>
          <w:lang w:val="en-US"/>
        </w:rPr>
        <w:t>mahkemeleri</w:t>
      </w:r>
      <w:proofErr w:type="spellEnd"/>
      <w:r w:rsidRPr="006C59AC">
        <w:rPr>
          <w:lang w:val="en-US"/>
        </w:rPr>
        <w:t xml:space="preserve">, </w:t>
      </w:r>
      <w:proofErr w:type="spellStart"/>
      <w:r w:rsidRPr="006C59AC">
        <w:rPr>
          <w:lang w:val="en-US"/>
        </w:rPr>
        <w:t>dış</w:t>
      </w:r>
      <w:proofErr w:type="spellEnd"/>
      <w:r w:rsidRPr="006C59AC">
        <w:rPr>
          <w:lang w:val="en-US"/>
        </w:rPr>
        <w:t xml:space="preserve"> </w:t>
      </w:r>
      <w:proofErr w:type="spellStart"/>
      <w:r w:rsidRPr="006C59AC">
        <w:rPr>
          <w:lang w:val="en-US"/>
        </w:rPr>
        <w:t>güçlerin</w:t>
      </w:r>
      <w:proofErr w:type="spellEnd"/>
      <w:r w:rsidRPr="006C59AC">
        <w:rPr>
          <w:lang w:val="en-US"/>
        </w:rPr>
        <w:t xml:space="preserve"> </w:t>
      </w:r>
      <w:proofErr w:type="spellStart"/>
      <w:r w:rsidRPr="006C59AC">
        <w:rPr>
          <w:lang w:val="en-US"/>
        </w:rPr>
        <w:t>sürekli</w:t>
      </w:r>
      <w:proofErr w:type="spellEnd"/>
      <w:r w:rsidRPr="006C59AC">
        <w:rPr>
          <w:lang w:val="en-US"/>
        </w:rPr>
        <w:t xml:space="preserve"> </w:t>
      </w:r>
      <w:proofErr w:type="spellStart"/>
      <w:r w:rsidRPr="006C59AC">
        <w:rPr>
          <w:lang w:val="en-US"/>
        </w:rPr>
        <w:t>baskısı</w:t>
      </w:r>
      <w:proofErr w:type="spellEnd"/>
      <w:r w:rsidRPr="006C59AC">
        <w:rPr>
          <w:lang w:val="en-US"/>
        </w:rPr>
        <w:t xml:space="preserve"> </w:t>
      </w:r>
      <w:proofErr w:type="spellStart"/>
      <w:r w:rsidRPr="006C59AC">
        <w:rPr>
          <w:lang w:val="en-US"/>
        </w:rPr>
        <w:t>altında</w:t>
      </w:r>
      <w:proofErr w:type="spellEnd"/>
      <w:r w:rsidRPr="006C59AC">
        <w:rPr>
          <w:lang w:val="en-US"/>
        </w:rPr>
        <w:t xml:space="preserve"> </w:t>
      </w:r>
      <w:proofErr w:type="spellStart"/>
      <w:r w:rsidRPr="006C59AC">
        <w:rPr>
          <w:lang w:val="en-US"/>
        </w:rPr>
        <w:t>olan</w:t>
      </w:r>
      <w:proofErr w:type="spellEnd"/>
      <w:r w:rsidRPr="006C59AC">
        <w:rPr>
          <w:lang w:val="en-US"/>
        </w:rPr>
        <w:t xml:space="preserve"> </w:t>
      </w:r>
      <w:proofErr w:type="spellStart"/>
      <w:r w:rsidRPr="006C59AC">
        <w:rPr>
          <w:lang w:val="en-US"/>
        </w:rPr>
        <w:t>bir</w:t>
      </w:r>
      <w:proofErr w:type="spellEnd"/>
      <w:r w:rsidRPr="006C59AC">
        <w:rPr>
          <w:lang w:val="en-US"/>
        </w:rPr>
        <w:t xml:space="preserve"> kale </w:t>
      </w:r>
      <w:proofErr w:type="spellStart"/>
      <w:r w:rsidRPr="006C59AC">
        <w:rPr>
          <w:lang w:val="en-US"/>
        </w:rPr>
        <w:t>olarak</w:t>
      </w:r>
      <w:proofErr w:type="spellEnd"/>
      <w:r w:rsidRPr="006C59AC">
        <w:rPr>
          <w:lang w:val="en-US"/>
        </w:rPr>
        <w:t xml:space="preserve"> </w:t>
      </w:r>
      <w:proofErr w:type="spellStart"/>
      <w:r w:rsidRPr="006C59AC">
        <w:rPr>
          <w:lang w:val="en-US"/>
        </w:rPr>
        <w:t>görme</w:t>
      </w:r>
      <w:proofErr w:type="spellEnd"/>
      <w:r w:rsidRPr="006C59AC">
        <w:rPr>
          <w:lang w:val="en-US"/>
        </w:rPr>
        <w:t xml:space="preserve"> </w:t>
      </w:r>
      <w:proofErr w:type="spellStart"/>
      <w:r w:rsidRPr="006C59AC">
        <w:rPr>
          <w:lang w:val="en-US"/>
        </w:rPr>
        <w:t>anlayışını</w:t>
      </w:r>
      <w:proofErr w:type="spellEnd"/>
      <w:r w:rsidRPr="006C59AC">
        <w:rPr>
          <w:lang w:val="en-US"/>
        </w:rPr>
        <w:t xml:space="preserve"> </w:t>
      </w:r>
      <w:proofErr w:type="spellStart"/>
      <w:r w:rsidRPr="006C59AC">
        <w:rPr>
          <w:lang w:val="en-US"/>
        </w:rPr>
        <w:t>pekiştirmekte</w:t>
      </w:r>
      <w:proofErr w:type="spellEnd"/>
      <w:r w:rsidRPr="006C59AC">
        <w:rPr>
          <w:lang w:val="en-US"/>
        </w:rPr>
        <w:t xml:space="preserve"> </w:t>
      </w:r>
      <w:proofErr w:type="spellStart"/>
      <w:r w:rsidRPr="006C59AC">
        <w:rPr>
          <w:lang w:val="en-US"/>
        </w:rPr>
        <w:t>ve</w:t>
      </w:r>
      <w:proofErr w:type="spellEnd"/>
      <w:r w:rsidRPr="006C59AC">
        <w:rPr>
          <w:lang w:val="en-US"/>
        </w:rPr>
        <w:t xml:space="preserve"> </w:t>
      </w:r>
      <w:proofErr w:type="spellStart"/>
      <w:r w:rsidRPr="006C59AC">
        <w:rPr>
          <w:lang w:val="en-US"/>
        </w:rPr>
        <w:t>onları</w:t>
      </w:r>
      <w:proofErr w:type="spellEnd"/>
      <w:r w:rsidRPr="006C59AC">
        <w:rPr>
          <w:lang w:val="en-US"/>
        </w:rPr>
        <w:t xml:space="preserve"> </w:t>
      </w:r>
      <w:proofErr w:type="spellStart"/>
      <w:r w:rsidRPr="006C59AC">
        <w:rPr>
          <w:lang w:val="en-US"/>
        </w:rPr>
        <w:t>daha</w:t>
      </w:r>
      <w:proofErr w:type="spellEnd"/>
      <w:r w:rsidRPr="006C59AC">
        <w:rPr>
          <w:lang w:val="en-US"/>
        </w:rPr>
        <w:t xml:space="preserve"> </w:t>
      </w:r>
      <w:proofErr w:type="spellStart"/>
      <w:r w:rsidRPr="006C59AC">
        <w:rPr>
          <w:lang w:val="en-US"/>
        </w:rPr>
        <w:t>geniş</w:t>
      </w:r>
      <w:proofErr w:type="spellEnd"/>
      <w:r w:rsidRPr="006C59AC">
        <w:rPr>
          <w:lang w:val="en-US"/>
        </w:rPr>
        <w:t xml:space="preserve"> </w:t>
      </w:r>
      <w:proofErr w:type="spellStart"/>
      <w:r w:rsidRPr="006C59AC">
        <w:rPr>
          <w:lang w:val="en-US"/>
        </w:rPr>
        <w:t>toplumun</w:t>
      </w:r>
      <w:proofErr w:type="spellEnd"/>
      <w:r w:rsidRPr="006C59AC">
        <w:rPr>
          <w:lang w:val="en-US"/>
        </w:rPr>
        <w:t xml:space="preserve"> </w:t>
      </w:r>
      <w:proofErr w:type="spellStart"/>
      <w:r w:rsidRPr="006C59AC">
        <w:rPr>
          <w:lang w:val="en-US"/>
        </w:rPr>
        <w:t>bir</w:t>
      </w:r>
      <w:proofErr w:type="spellEnd"/>
      <w:r w:rsidRPr="006C59AC">
        <w:rPr>
          <w:lang w:val="en-US"/>
        </w:rPr>
        <w:t xml:space="preserve"> </w:t>
      </w:r>
      <w:proofErr w:type="spellStart"/>
      <w:r w:rsidRPr="006C59AC">
        <w:rPr>
          <w:lang w:val="en-US"/>
        </w:rPr>
        <w:t>parçası</w:t>
      </w:r>
      <w:proofErr w:type="spellEnd"/>
      <w:r w:rsidRPr="006C59AC">
        <w:rPr>
          <w:lang w:val="en-US"/>
        </w:rPr>
        <w:t xml:space="preserve"> </w:t>
      </w:r>
      <w:proofErr w:type="spellStart"/>
      <w:r w:rsidRPr="006C59AC">
        <w:rPr>
          <w:lang w:val="en-US"/>
        </w:rPr>
        <w:t>olarak</w:t>
      </w:r>
      <w:proofErr w:type="spellEnd"/>
      <w:r w:rsidRPr="006C59AC">
        <w:rPr>
          <w:lang w:val="en-US"/>
        </w:rPr>
        <w:t xml:space="preserve"> </w:t>
      </w:r>
      <w:proofErr w:type="spellStart"/>
      <w:r w:rsidRPr="006C59AC">
        <w:rPr>
          <w:lang w:val="en-US"/>
        </w:rPr>
        <w:t>ele</w:t>
      </w:r>
      <w:proofErr w:type="spellEnd"/>
      <w:r w:rsidRPr="006C59AC">
        <w:rPr>
          <w:lang w:val="en-US"/>
        </w:rPr>
        <w:t xml:space="preserve"> </w:t>
      </w:r>
      <w:proofErr w:type="spellStart"/>
      <w:r w:rsidRPr="006C59AC">
        <w:rPr>
          <w:lang w:val="en-US"/>
        </w:rPr>
        <w:t>almaktan</w:t>
      </w:r>
      <w:proofErr w:type="spellEnd"/>
      <w:r w:rsidRPr="006C59AC">
        <w:rPr>
          <w:lang w:val="en-US"/>
        </w:rPr>
        <w:t xml:space="preserve"> </w:t>
      </w:r>
      <w:proofErr w:type="spellStart"/>
      <w:r w:rsidRPr="006C59AC">
        <w:rPr>
          <w:lang w:val="en-US"/>
        </w:rPr>
        <w:t>kaçınmaktadır</w:t>
      </w:r>
      <w:proofErr w:type="spellEnd"/>
      <w:r w:rsidRPr="006C59AC">
        <w:rPr>
          <w:lang w:val="en-US"/>
        </w:rPr>
        <w:t>.</w:t>
      </w:r>
      <w:r w:rsidR="00C36DC7">
        <w:rPr>
          <w:lang w:val="en-US"/>
        </w:rPr>
        <w:t xml:space="preserve"> </w:t>
      </w:r>
    </w:p>
    <w:p w14:paraId="4967EA17" w14:textId="1CCA6918" w:rsidR="00C36DC7" w:rsidRDefault="00C36DC7" w:rsidP="00C36DC7">
      <w:pPr>
        <w:rPr>
          <w:lang w:val="en-US"/>
        </w:rPr>
      </w:pPr>
      <w:proofErr w:type="spellStart"/>
      <w:r w:rsidRPr="00C36DC7">
        <w:rPr>
          <w:lang w:val="en-US"/>
        </w:rPr>
        <w:t>Burada</w:t>
      </w:r>
      <w:proofErr w:type="spellEnd"/>
      <w:r w:rsidRPr="00C36DC7">
        <w:rPr>
          <w:lang w:val="en-US"/>
        </w:rPr>
        <w:t xml:space="preserve"> </w:t>
      </w:r>
      <w:proofErr w:type="spellStart"/>
      <w:r w:rsidRPr="00C36DC7">
        <w:rPr>
          <w:lang w:val="en-US"/>
        </w:rPr>
        <w:t>dile</w:t>
      </w:r>
      <w:proofErr w:type="spellEnd"/>
      <w:r w:rsidRPr="00C36DC7">
        <w:rPr>
          <w:lang w:val="en-US"/>
        </w:rPr>
        <w:t xml:space="preserve"> </w:t>
      </w:r>
      <w:proofErr w:type="spellStart"/>
      <w:r w:rsidRPr="00C36DC7">
        <w:rPr>
          <w:lang w:val="en-US"/>
        </w:rPr>
        <w:t>getirdiğim</w:t>
      </w:r>
      <w:proofErr w:type="spellEnd"/>
      <w:r w:rsidRPr="00C36DC7">
        <w:rPr>
          <w:lang w:val="en-US"/>
        </w:rPr>
        <w:t xml:space="preserve"> </w:t>
      </w:r>
      <w:proofErr w:type="spellStart"/>
      <w:r w:rsidRPr="00C36DC7">
        <w:rPr>
          <w:lang w:val="en-US"/>
        </w:rPr>
        <w:t>kaygılar</w:t>
      </w:r>
      <w:proofErr w:type="spellEnd"/>
      <w:r w:rsidRPr="00C36DC7">
        <w:rPr>
          <w:lang w:val="en-US"/>
        </w:rPr>
        <w:t xml:space="preserve">, </w:t>
      </w:r>
      <w:proofErr w:type="spellStart"/>
      <w:r w:rsidRPr="00C36DC7">
        <w:rPr>
          <w:lang w:val="en-US"/>
        </w:rPr>
        <w:t>hukuk</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kültür</w:t>
      </w:r>
      <w:proofErr w:type="spellEnd"/>
      <w:r w:rsidRPr="00C36DC7">
        <w:rPr>
          <w:lang w:val="en-US"/>
        </w:rPr>
        <w:t xml:space="preserve"> </w:t>
      </w:r>
      <w:proofErr w:type="spellStart"/>
      <w:r w:rsidRPr="00C36DC7">
        <w:rPr>
          <w:lang w:val="en-US"/>
        </w:rPr>
        <w:t>tarihçilerinin</w:t>
      </w:r>
      <w:proofErr w:type="spellEnd"/>
      <w:r w:rsidRPr="00C36DC7">
        <w:rPr>
          <w:lang w:val="en-US"/>
        </w:rPr>
        <w:t xml:space="preserve"> </w:t>
      </w:r>
      <w:proofErr w:type="spellStart"/>
      <w:r w:rsidRPr="00C36DC7">
        <w:rPr>
          <w:lang w:val="en-US"/>
        </w:rPr>
        <w:t>bazı</w:t>
      </w:r>
      <w:proofErr w:type="spellEnd"/>
      <w:r w:rsidRPr="00C36DC7">
        <w:rPr>
          <w:lang w:val="en-US"/>
        </w:rPr>
        <w:t xml:space="preserve"> </w:t>
      </w:r>
      <w:proofErr w:type="spellStart"/>
      <w:r w:rsidRPr="00C36DC7">
        <w:rPr>
          <w:lang w:val="en-US"/>
        </w:rPr>
        <w:t>yaklaşımlarına</w:t>
      </w:r>
      <w:proofErr w:type="spellEnd"/>
      <w:r w:rsidRPr="00C36DC7">
        <w:rPr>
          <w:lang w:val="en-US"/>
        </w:rPr>
        <w:t xml:space="preserve"> </w:t>
      </w:r>
      <w:proofErr w:type="spellStart"/>
      <w:r w:rsidRPr="00C36DC7">
        <w:rPr>
          <w:lang w:val="en-US"/>
        </w:rPr>
        <w:t>paralel</w:t>
      </w:r>
      <w:proofErr w:type="spellEnd"/>
      <w:r w:rsidRPr="00C36DC7">
        <w:rPr>
          <w:lang w:val="en-US"/>
        </w:rPr>
        <w:t xml:space="preserve"> </w:t>
      </w:r>
      <w:proofErr w:type="spellStart"/>
      <w:r w:rsidRPr="00C36DC7">
        <w:rPr>
          <w:lang w:val="en-US"/>
        </w:rPr>
        <w:t>olarak</w:t>
      </w:r>
      <w:proofErr w:type="spellEnd"/>
      <w:r w:rsidRPr="00C36DC7">
        <w:rPr>
          <w:lang w:val="en-US"/>
        </w:rPr>
        <w:t xml:space="preserve"> </w:t>
      </w:r>
      <w:proofErr w:type="spellStart"/>
      <w:r w:rsidRPr="00C36DC7">
        <w:rPr>
          <w:lang w:val="en-US"/>
        </w:rPr>
        <w:t>şekillenmektedir</w:t>
      </w:r>
      <w:proofErr w:type="spellEnd"/>
      <w:r w:rsidRPr="00C36DC7">
        <w:rPr>
          <w:lang w:val="en-US"/>
        </w:rPr>
        <w:t xml:space="preserve">. Bu </w:t>
      </w:r>
      <w:proofErr w:type="spellStart"/>
      <w:r w:rsidRPr="00C36DC7">
        <w:rPr>
          <w:lang w:val="en-US"/>
        </w:rPr>
        <w:t>tarihçiler</w:t>
      </w:r>
      <w:proofErr w:type="spellEnd"/>
      <w:r w:rsidRPr="00C36DC7">
        <w:rPr>
          <w:lang w:val="en-US"/>
        </w:rPr>
        <w:t>, “</w:t>
      </w:r>
      <w:proofErr w:type="spellStart"/>
      <w:r w:rsidRPr="00C36DC7">
        <w:rPr>
          <w:lang w:val="en-US"/>
        </w:rPr>
        <w:t>hukuk</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toplum</w:t>
      </w:r>
      <w:proofErr w:type="spellEnd"/>
      <w:r w:rsidRPr="00C36DC7">
        <w:rPr>
          <w:lang w:val="en-US"/>
        </w:rPr>
        <w:t>” (</w:t>
      </w:r>
      <w:r w:rsidRPr="00C36DC7">
        <w:rPr>
          <w:i/>
          <w:iCs/>
          <w:lang w:val="en-US"/>
        </w:rPr>
        <w:t>law and society</w:t>
      </w:r>
      <w:r w:rsidRPr="00C36DC7">
        <w:rPr>
          <w:lang w:val="en-US"/>
        </w:rPr>
        <w:t xml:space="preserve">) </w:t>
      </w:r>
      <w:proofErr w:type="spellStart"/>
      <w:r w:rsidRPr="00C36DC7">
        <w:rPr>
          <w:lang w:val="en-US"/>
        </w:rPr>
        <w:t>çalışmaları</w:t>
      </w:r>
      <w:proofErr w:type="spellEnd"/>
      <w:r w:rsidRPr="00C36DC7">
        <w:rPr>
          <w:lang w:val="en-US"/>
        </w:rPr>
        <w:t xml:space="preserve"> </w:t>
      </w:r>
      <w:proofErr w:type="spellStart"/>
      <w:r w:rsidRPr="00C36DC7">
        <w:rPr>
          <w:lang w:val="en-US"/>
        </w:rPr>
        <w:t>yaptığını</w:t>
      </w:r>
      <w:proofErr w:type="spellEnd"/>
      <w:r w:rsidRPr="00C36DC7">
        <w:rPr>
          <w:lang w:val="en-US"/>
        </w:rPr>
        <w:t xml:space="preserve"> </w:t>
      </w:r>
      <w:proofErr w:type="spellStart"/>
      <w:r w:rsidRPr="00C36DC7">
        <w:rPr>
          <w:lang w:val="en-US"/>
        </w:rPr>
        <w:t>iddia</w:t>
      </w:r>
      <w:proofErr w:type="spellEnd"/>
      <w:r w:rsidRPr="00C36DC7">
        <w:rPr>
          <w:lang w:val="en-US"/>
        </w:rPr>
        <w:t xml:space="preserve"> </w:t>
      </w:r>
      <w:proofErr w:type="spellStart"/>
      <w:r w:rsidRPr="00C36DC7">
        <w:rPr>
          <w:lang w:val="en-US"/>
        </w:rPr>
        <w:t>edenlerin</w:t>
      </w:r>
      <w:proofErr w:type="spellEnd"/>
      <w:r w:rsidRPr="00C36DC7">
        <w:rPr>
          <w:lang w:val="en-US"/>
        </w:rPr>
        <w:t xml:space="preserve"> </w:t>
      </w:r>
      <w:proofErr w:type="spellStart"/>
      <w:r w:rsidRPr="00C36DC7">
        <w:rPr>
          <w:lang w:val="en-US"/>
        </w:rPr>
        <w:t>inşa</w:t>
      </w:r>
      <w:proofErr w:type="spellEnd"/>
      <w:r w:rsidRPr="00C36DC7">
        <w:rPr>
          <w:lang w:val="en-US"/>
        </w:rPr>
        <w:t xml:space="preserve"> </w:t>
      </w:r>
      <w:proofErr w:type="spellStart"/>
      <w:r w:rsidRPr="00C36DC7">
        <w:rPr>
          <w:lang w:val="en-US"/>
        </w:rPr>
        <w:t>ettiği</w:t>
      </w:r>
      <w:proofErr w:type="spellEnd"/>
      <w:r w:rsidRPr="00C36DC7">
        <w:rPr>
          <w:lang w:val="en-US"/>
        </w:rPr>
        <w:t xml:space="preserve"> </w:t>
      </w:r>
      <w:proofErr w:type="spellStart"/>
      <w:r w:rsidRPr="00C36DC7">
        <w:rPr>
          <w:lang w:val="en-US"/>
        </w:rPr>
        <w:t>ayrımlara</w:t>
      </w:r>
      <w:proofErr w:type="spellEnd"/>
      <w:r w:rsidRPr="00C36DC7">
        <w:rPr>
          <w:lang w:val="en-US"/>
        </w:rPr>
        <w:t xml:space="preserve"> </w:t>
      </w:r>
      <w:proofErr w:type="spellStart"/>
      <w:r w:rsidRPr="00C36DC7">
        <w:rPr>
          <w:lang w:val="en-US"/>
        </w:rPr>
        <w:t>itiraz</w:t>
      </w:r>
      <w:proofErr w:type="spellEnd"/>
      <w:r w:rsidRPr="00C36DC7">
        <w:rPr>
          <w:lang w:val="en-US"/>
        </w:rPr>
        <w:t xml:space="preserve"> </w:t>
      </w:r>
      <w:proofErr w:type="spellStart"/>
      <w:r w:rsidRPr="00C36DC7">
        <w:rPr>
          <w:lang w:val="en-US"/>
        </w:rPr>
        <w:t>etmekte</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bunun</w:t>
      </w:r>
      <w:proofErr w:type="spellEnd"/>
      <w:r w:rsidRPr="00C36DC7">
        <w:rPr>
          <w:lang w:val="en-US"/>
        </w:rPr>
        <w:t xml:space="preserve"> </w:t>
      </w:r>
      <w:proofErr w:type="spellStart"/>
      <w:r w:rsidRPr="00C36DC7">
        <w:rPr>
          <w:lang w:val="en-US"/>
        </w:rPr>
        <w:t>yerine</w:t>
      </w:r>
      <w:proofErr w:type="spellEnd"/>
      <w:r w:rsidRPr="00C36DC7">
        <w:rPr>
          <w:lang w:val="en-US"/>
        </w:rPr>
        <w:t xml:space="preserve">, </w:t>
      </w:r>
      <w:proofErr w:type="spellStart"/>
      <w:r w:rsidRPr="00C36DC7">
        <w:rPr>
          <w:lang w:val="en-US"/>
        </w:rPr>
        <w:t>hukukun</w:t>
      </w:r>
      <w:proofErr w:type="spellEnd"/>
      <w:r w:rsidRPr="00C36DC7">
        <w:rPr>
          <w:lang w:val="en-US"/>
        </w:rPr>
        <w:t xml:space="preserve"> </w:t>
      </w:r>
      <w:proofErr w:type="spellStart"/>
      <w:r w:rsidRPr="00C36DC7">
        <w:rPr>
          <w:lang w:val="en-US"/>
        </w:rPr>
        <w:t>toplum</w:t>
      </w:r>
      <w:proofErr w:type="spellEnd"/>
      <w:r w:rsidRPr="00C36DC7">
        <w:rPr>
          <w:lang w:val="en-US"/>
        </w:rPr>
        <w:t xml:space="preserve"> </w:t>
      </w:r>
      <w:proofErr w:type="spellStart"/>
      <w:r w:rsidRPr="00C36DC7">
        <w:rPr>
          <w:lang w:val="en-US"/>
        </w:rPr>
        <w:t>tarafından</w:t>
      </w:r>
      <w:proofErr w:type="spellEnd"/>
      <w:r w:rsidRPr="00C36DC7">
        <w:rPr>
          <w:lang w:val="en-US"/>
        </w:rPr>
        <w:t xml:space="preserve"> </w:t>
      </w:r>
      <w:proofErr w:type="spellStart"/>
      <w:r w:rsidRPr="00C36DC7">
        <w:rPr>
          <w:lang w:val="en-US"/>
        </w:rPr>
        <w:t>sadece</w:t>
      </w:r>
      <w:proofErr w:type="spellEnd"/>
      <w:r w:rsidRPr="00C36DC7">
        <w:rPr>
          <w:lang w:val="en-US"/>
        </w:rPr>
        <w:t xml:space="preserve"> </w:t>
      </w:r>
      <w:proofErr w:type="spellStart"/>
      <w:r w:rsidRPr="00C36DC7">
        <w:rPr>
          <w:lang w:val="en-US"/>
        </w:rPr>
        <w:t>etkilenen</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şey</w:t>
      </w:r>
      <w:proofErr w:type="spellEnd"/>
      <w:r w:rsidRPr="00C36DC7">
        <w:rPr>
          <w:lang w:val="en-US"/>
        </w:rPr>
        <w:t xml:space="preserve"> </w:t>
      </w:r>
      <w:proofErr w:type="spellStart"/>
      <w:r w:rsidRPr="00C36DC7">
        <w:rPr>
          <w:lang w:val="en-US"/>
        </w:rPr>
        <w:t>değil</w:t>
      </w:r>
      <w:proofErr w:type="spellEnd"/>
      <w:r w:rsidRPr="00C36DC7">
        <w:rPr>
          <w:lang w:val="en-US"/>
        </w:rPr>
        <w:t xml:space="preserve">, </w:t>
      </w:r>
      <w:proofErr w:type="spellStart"/>
      <w:r w:rsidRPr="00C36DC7">
        <w:rPr>
          <w:lang w:val="en-US"/>
        </w:rPr>
        <w:t>bizzat</w:t>
      </w:r>
      <w:proofErr w:type="spellEnd"/>
      <w:r w:rsidRPr="00C36DC7">
        <w:rPr>
          <w:lang w:val="en-US"/>
        </w:rPr>
        <w:t xml:space="preserve"> </w:t>
      </w:r>
      <w:proofErr w:type="spellStart"/>
      <w:r w:rsidRPr="00C36DC7">
        <w:rPr>
          <w:lang w:val="en-US"/>
        </w:rPr>
        <w:t>toplumun</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parçası</w:t>
      </w:r>
      <w:proofErr w:type="spellEnd"/>
      <w:r w:rsidRPr="00C36DC7">
        <w:rPr>
          <w:lang w:val="en-US"/>
        </w:rPr>
        <w:t xml:space="preserve"> </w:t>
      </w:r>
      <w:proofErr w:type="spellStart"/>
      <w:r w:rsidRPr="00C36DC7">
        <w:rPr>
          <w:lang w:val="en-US"/>
        </w:rPr>
        <w:t>olduğunu</w:t>
      </w:r>
      <w:proofErr w:type="spellEnd"/>
      <w:r w:rsidRPr="00C36DC7">
        <w:rPr>
          <w:lang w:val="en-US"/>
        </w:rPr>
        <w:t xml:space="preserve"> </w:t>
      </w:r>
      <w:proofErr w:type="spellStart"/>
      <w:r w:rsidRPr="00C36DC7">
        <w:rPr>
          <w:lang w:val="en-US"/>
        </w:rPr>
        <w:t>vurgulamak</w:t>
      </w:r>
      <w:proofErr w:type="spellEnd"/>
      <w:r w:rsidRPr="00C36DC7">
        <w:rPr>
          <w:lang w:val="en-US"/>
        </w:rPr>
        <w:t xml:space="preserve"> </w:t>
      </w:r>
      <w:proofErr w:type="spellStart"/>
      <w:r w:rsidRPr="00C36DC7">
        <w:rPr>
          <w:lang w:val="en-US"/>
        </w:rPr>
        <w:t>amacıyla</w:t>
      </w:r>
      <w:proofErr w:type="spellEnd"/>
      <w:r w:rsidRPr="00C36DC7">
        <w:rPr>
          <w:lang w:val="en-US"/>
        </w:rPr>
        <w:t xml:space="preserve"> “</w:t>
      </w:r>
      <w:proofErr w:type="spellStart"/>
      <w:r w:rsidRPr="00C36DC7">
        <w:rPr>
          <w:lang w:val="en-US"/>
        </w:rPr>
        <w:t>toplum</w:t>
      </w:r>
      <w:proofErr w:type="spellEnd"/>
      <w:r w:rsidRPr="00C36DC7">
        <w:rPr>
          <w:lang w:val="en-US"/>
        </w:rPr>
        <w:t xml:space="preserve"> </w:t>
      </w:r>
      <w:proofErr w:type="spellStart"/>
      <w:r w:rsidRPr="00C36DC7">
        <w:rPr>
          <w:lang w:val="en-US"/>
        </w:rPr>
        <w:t>içindeki</w:t>
      </w:r>
      <w:proofErr w:type="spellEnd"/>
      <w:r w:rsidRPr="00C36DC7">
        <w:rPr>
          <w:lang w:val="en-US"/>
        </w:rPr>
        <w:t xml:space="preserve"> </w:t>
      </w:r>
      <w:proofErr w:type="spellStart"/>
      <w:r w:rsidRPr="00C36DC7">
        <w:rPr>
          <w:lang w:val="en-US"/>
        </w:rPr>
        <w:t>hukuk</w:t>
      </w:r>
      <w:proofErr w:type="spellEnd"/>
      <w:r w:rsidRPr="00C36DC7">
        <w:rPr>
          <w:lang w:val="en-US"/>
        </w:rPr>
        <w:t>” (</w:t>
      </w:r>
      <w:r w:rsidRPr="00C36DC7">
        <w:rPr>
          <w:i/>
          <w:iCs/>
          <w:lang w:val="en-US"/>
        </w:rPr>
        <w:t>law in society</w:t>
      </w:r>
      <w:r w:rsidRPr="00C36DC7">
        <w:rPr>
          <w:lang w:val="en-US"/>
        </w:rPr>
        <w:t xml:space="preserve">) </w:t>
      </w:r>
      <w:proofErr w:type="spellStart"/>
      <w:r w:rsidRPr="00C36DC7">
        <w:rPr>
          <w:lang w:val="en-US"/>
        </w:rPr>
        <w:t>gibi</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kavramsallaştırmayı</w:t>
      </w:r>
      <w:proofErr w:type="spellEnd"/>
      <w:r w:rsidRPr="00C36DC7">
        <w:rPr>
          <w:lang w:val="en-US"/>
        </w:rPr>
        <w:t xml:space="preserve"> </w:t>
      </w:r>
      <w:proofErr w:type="spellStart"/>
      <w:r w:rsidRPr="00C36DC7">
        <w:rPr>
          <w:lang w:val="en-US"/>
        </w:rPr>
        <w:t>tercih</w:t>
      </w:r>
      <w:proofErr w:type="spellEnd"/>
      <w:r w:rsidRPr="00C36DC7">
        <w:rPr>
          <w:lang w:val="en-US"/>
        </w:rPr>
        <w:t xml:space="preserve"> etmektedirler.²⁰⁹</w:t>
      </w:r>
      <w:r>
        <w:rPr>
          <w:lang w:val="en-US"/>
        </w:rPr>
        <w:t xml:space="preserve"> </w:t>
      </w:r>
      <w:r>
        <w:rPr>
          <w:rStyle w:val="FootnoteReference"/>
          <w:lang w:val="en-US"/>
        </w:rPr>
        <w:footnoteReference w:id="209"/>
      </w:r>
      <w:r>
        <w:rPr>
          <w:lang w:val="en-US"/>
        </w:rPr>
        <w:t xml:space="preserve"> </w:t>
      </w:r>
      <w:r w:rsidRPr="00C36DC7">
        <w:rPr>
          <w:lang w:val="en-US"/>
        </w:rPr>
        <w:t xml:space="preserve">Benzer </w:t>
      </w:r>
      <w:proofErr w:type="spellStart"/>
      <w:r w:rsidRPr="00C36DC7">
        <w:rPr>
          <w:lang w:val="en-US"/>
        </w:rPr>
        <w:t>şekilde</w:t>
      </w:r>
      <w:proofErr w:type="spellEnd"/>
      <w:r w:rsidRPr="00C36DC7">
        <w:rPr>
          <w:lang w:val="en-US"/>
        </w:rPr>
        <w:t xml:space="preserve">, </w:t>
      </w:r>
      <w:proofErr w:type="spellStart"/>
      <w:r w:rsidRPr="00C36DC7">
        <w:rPr>
          <w:lang w:val="en-US"/>
        </w:rPr>
        <w:t>benim</w:t>
      </w:r>
      <w:proofErr w:type="spellEnd"/>
      <w:r w:rsidRPr="00C36DC7">
        <w:rPr>
          <w:lang w:val="en-US"/>
        </w:rPr>
        <w:t xml:space="preserve"> </w:t>
      </w:r>
      <w:proofErr w:type="spellStart"/>
      <w:r w:rsidRPr="00C36DC7">
        <w:rPr>
          <w:lang w:val="en-US"/>
        </w:rPr>
        <w:t>analizim</w:t>
      </w:r>
      <w:proofErr w:type="spellEnd"/>
      <w:r w:rsidRPr="00C36DC7">
        <w:rPr>
          <w:lang w:val="en-US"/>
        </w:rPr>
        <w:t xml:space="preserve"> de, </w:t>
      </w:r>
      <w:proofErr w:type="spellStart"/>
      <w:r w:rsidRPr="00C36DC7">
        <w:rPr>
          <w:lang w:val="en-US"/>
        </w:rPr>
        <w:t>anayasal</w:t>
      </w:r>
      <w:proofErr w:type="spellEnd"/>
      <w:r w:rsidRPr="00C36DC7">
        <w:rPr>
          <w:lang w:val="en-US"/>
        </w:rPr>
        <w:t xml:space="preserve"> </w:t>
      </w:r>
      <w:proofErr w:type="spellStart"/>
      <w:r w:rsidRPr="00C36DC7">
        <w:rPr>
          <w:lang w:val="en-US"/>
        </w:rPr>
        <w:t>karar</w:t>
      </w:r>
      <w:proofErr w:type="spellEnd"/>
      <w:r w:rsidRPr="00C36DC7">
        <w:rPr>
          <w:lang w:val="en-US"/>
        </w:rPr>
        <w:t xml:space="preserve"> alma </w:t>
      </w:r>
      <w:proofErr w:type="spellStart"/>
      <w:r w:rsidRPr="00C36DC7">
        <w:rPr>
          <w:lang w:val="en-US"/>
        </w:rPr>
        <w:t>sürecini</w:t>
      </w:r>
      <w:proofErr w:type="spellEnd"/>
      <w:r w:rsidRPr="00C36DC7">
        <w:rPr>
          <w:lang w:val="en-US"/>
        </w:rPr>
        <w:t xml:space="preserve"> </w:t>
      </w:r>
      <w:proofErr w:type="spellStart"/>
      <w:r w:rsidRPr="00C36DC7">
        <w:rPr>
          <w:lang w:val="en-US"/>
        </w:rPr>
        <w:t>tarif</w:t>
      </w:r>
      <w:proofErr w:type="spellEnd"/>
      <w:r w:rsidRPr="00C36DC7">
        <w:rPr>
          <w:lang w:val="en-US"/>
        </w:rPr>
        <w:t xml:space="preserve"> </w:t>
      </w:r>
      <w:proofErr w:type="spellStart"/>
      <w:r w:rsidRPr="00C36DC7">
        <w:rPr>
          <w:lang w:val="en-US"/>
        </w:rPr>
        <w:t>ederken</w:t>
      </w:r>
      <w:proofErr w:type="spellEnd"/>
      <w:r w:rsidRPr="00C36DC7">
        <w:rPr>
          <w:lang w:val="en-US"/>
        </w:rPr>
        <w:t xml:space="preserve">—hem </w:t>
      </w:r>
      <w:proofErr w:type="spellStart"/>
      <w:r w:rsidRPr="00C36DC7">
        <w:rPr>
          <w:lang w:val="en-US"/>
        </w:rPr>
        <w:t>terminoloji</w:t>
      </w:r>
      <w:proofErr w:type="spellEnd"/>
      <w:r w:rsidRPr="00C36DC7">
        <w:rPr>
          <w:lang w:val="en-US"/>
        </w:rPr>
        <w:t xml:space="preserve"> hem de </w:t>
      </w:r>
      <w:proofErr w:type="spellStart"/>
      <w:r w:rsidRPr="00C36DC7">
        <w:rPr>
          <w:lang w:val="en-US"/>
        </w:rPr>
        <w:t>içerik</w:t>
      </w:r>
      <w:proofErr w:type="spellEnd"/>
      <w:r w:rsidRPr="00C36DC7">
        <w:rPr>
          <w:lang w:val="en-US"/>
        </w:rPr>
        <w:t xml:space="preserve"> </w:t>
      </w:r>
      <w:proofErr w:type="spellStart"/>
      <w:r w:rsidRPr="00C36DC7">
        <w:rPr>
          <w:lang w:val="en-US"/>
        </w:rPr>
        <w:t>açısından</w:t>
      </w:r>
      <w:proofErr w:type="spellEnd"/>
      <w:r w:rsidRPr="00C36DC7">
        <w:rPr>
          <w:lang w:val="en-US"/>
        </w:rPr>
        <w:t>—</w:t>
      </w:r>
      <w:proofErr w:type="spellStart"/>
      <w:r w:rsidRPr="00C36DC7">
        <w:rPr>
          <w:lang w:val="en-US"/>
        </w:rPr>
        <w:t>mahkemelerde</w:t>
      </w:r>
      <w:proofErr w:type="spellEnd"/>
      <w:r w:rsidRPr="00C36DC7">
        <w:rPr>
          <w:lang w:val="en-US"/>
        </w:rPr>
        <w:t xml:space="preserve"> </w:t>
      </w:r>
      <w:proofErr w:type="spellStart"/>
      <w:r w:rsidRPr="00C36DC7">
        <w:rPr>
          <w:lang w:val="en-US"/>
        </w:rPr>
        <w:t>olup</w:t>
      </w:r>
      <w:proofErr w:type="spellEnd"/>
      <w:r w:rsidRPr="00C36DC7">
        <w:rPr>
          <w:lang w:val="en-US"/>
        </w:rPr>
        <w:t xml:space="preserve"> </w:t>
      </w:r>
      <w:proofErr w:type="spellStart"/>
      <w:r w:rsidRPr="00C36DC7">
        <w:rPr>
          <w:lang w:val="en-US"/>
        </w:rPr>
        <w:t>bitenlerin</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mahkemelerden</w:t>
      </w:r>
      <w:proofErr w:type="spellEnd"/>
      <w:r w:rsidRPr="00C36DC7">
        <w:rPr>
          <w:lang w:val="en-US"/>
        </w:rPr>
        <w:t xml:space="preserve"> </w:t>
      </w:r>
      <w:proofErr w:type="spellStart"/>
      <w:r w:rsidRPr="00C36DC7">
        <w:rPr>
          <w:lang w:val="en-US"/>
        </w:rPr>
        <w:t>çıkan</w:t>
      </w:r>
      <w:proofErr w:type="spellEnd"/>
      <w:r w:rsidRPr="00C36DC7">
        <w:rPr>
          <w:lang w:val="en-US"/>
        </w:rPr>
        <w:t xml:space="preserve"> </w:t>
      </w:r>
      <w:proofErr w:type="spellStart"/>
      <w:r w:rsidRPr="00C36DC7">
        <w:rPr>
          <w:lang w:val="en-US"/>
        </w:rPr>
        <w:t>sonuçların</w:t>
      </w:r>
      <w:proofErr w:type="spellEnd"/>
      <w:r w:rsidRPr="00C36DC7">
        <w:rPr>
          <w:lang w:val="en-US"/>
        </w:rPr>
        <w:t xml:space="preserve"> </w:t>
      </w:r>
      <w:proofErr w:type="spellStart"/>
      <w:r w:rsidRPr="00C36DC7">
        <w:rPr>
          <w:lang w:val="en-US"/>
        </w:rPr>
        <w:t>yalnızca</w:t>
      </w:r>
      <w:proofErr w:type="spellEnd"/>
      <w:r w:rsidRPr="00C36DC7">
        <w:rPr>
          <w:lang w:val="en-US"/>
        </w:rPr>
        <w:t xml:space="preserve"> </w:t>
      </w:r>
      <w:proofErr w:type="spellStart"/>
      <w:r w:rsidRPr="00C36DC7">
        <w:rPr>
          <w:lang w:val="en-US"/>
        </w:rPr>
        <w:t>kültürden</w:t>
      </w:r>
      <w:proofErr w:type="spellEnd"/>
      <w:r w:rsidRPr="00C36DC7">
        <w:rPr>
          <w:lang w:val="en-US"/>
        </w:rPr>
        <w:t xml:space="preserve"> </w:t>
      </w:r>
      <w:proofErr w:type="spellStart"/>
      <w:r w:rsidRPr="00C36DC7">
        <w:rPr>
          <w:lang w:val="en-US"/>
        </w:rPr>
        <w:t>etkilenmediğini</w:t>
      </w:r>
      <w:proofErr w:type="spellEnd"/>
      <w:r w:rsidRPr="00C36DC7">
        <w:rPr>
          <w:lang w:val="en-US"/>
        </w:rPr>
        <w:t xml:space="preserve">, </w:t>
      </w:r>
      <w:proofErr w:type="spellStart"/>
      <w:r w:rsidRPr="00C36DC7">
        <w:rPr>
          <w:lang w:val="en-US"/>
        </w:rPr>
        <w:t>aksine</w:t>
      </w:r>
      <w:proofErr w:type="spellEnd"/>
      <w:r w:rsidRPr="00C36DC7">
        <w:rPr>
          <w:lang w:val="en-US"/>
        </w:rPr>
        <w:t xml:space="preserve"> </w:t>
      </w:r>
      <w:proofErr w:type="spellStart"/>
      <w:r w:rsidRPr="00C36DC7">
        <w:rPr>
          <w:lang w:val="en-US"/>
        </w:rPr>
        <w:t>bizzat</w:t>
      </w:r>
      <w:proofErr w:type="spellEnd"/>
      <w:r w:rsidRPr="00C36DC7">
        <w:rPr>
          <w:lang w:val="en-US"/>
        </w:rPr>
        <w:t xml:space="preserve"> </w:t>
      </w:r>
      <w:proofErr w:type="spellStart"/>
      <w:r w:rsidRPr="00C36DC7">
        <w:rPr>
          <w:lang w:val="en-US"/>
        </w:rPr>
        <w:t>kültürün</w:t>
      </w:r>
      <w:proofErr w:type="spellEnd"/>
      <w:r w:rsidRPr="00C36DC7">
        <w:rPr>
          <w:lang w:val="en-US"/>
        </w:rPr>
        <w:t xml:space="preserve"> </w:t>
      </w:r>
      <w:proofErr w:type="spellStart"/>
      <w:r w:rsidRPr="00C36DC7">
        <w:rPr>
          <w:lang w:val="en-US"/>
        </w:rPr>
        <w:t>kendisi</w:t>
      </w:r>
      <w:proofErr w:type="spellEnd"/>
      <w:r w:rsidRPr="00C36DC7">
        <w:rPr>
          <w:lang w:val="en-US"/>
        </w:rPr>
        <w:t xml:space="preserve"> </w:t>
      </w:r>
      <w:proofErr w:type="spellStart"/>
      <w:r w:rsidRPr="00C36DC7">
        <w:rPr>
          <w:lang w:val="en-US"/>
        </w:rPr>
        <w:t>olduğunu</w:t>
      </w:r>
      <w:proofErr w:type="spellEnd"/>
      <w:r w:rsidRPr="00C36DC7">
        <w:rPr>
          <w:lang w:val="en-US"/>
        </w:rPr>
        <w:t xml:space="preserve"> </w:t>
      </w:r>
      <w:proofErr w:type="spellStart"/>
      <w:r w:rsidRPr="00C36DC7">
        <w:rPr>
          <w:lang w:val="en-US"/>
        </w:rPr>
        <w:t>kabul</w:t>
      </w:r>
      <w:proofErr w:type="spellEnd"/>
      <w:r w:rsidRPr="00C36DC7">
        <w:rPr>
          <w:lang w:val="en-US"/>
        </w:rPr>
        <w:t xml:space="preserve"> </w:t>
      </w:r>
      <w:proofErr w:type="spellStart"/>
      <w:r w:rsidRPr="00C36DC7">
        <w:rPr>
          <w:lang w:val="en-US"/>
        </w:rPr>
        <w:t>eden</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yaklaşımı</w:t>
      </w:r>
      <w:proofErr w:type="spellEnd"/>
      <w:r w:rsidRPr="00C36DC7">
        <w:rPr>
          <w:lang w:val="en-US"/>
        </w:rPr>
        <w:t xml:space="preserve"> </w:t>
      </w:r>
      <w:proofErr w:type="spellStart"/>
      <w:r w:rsidRPr="00C36DC7">
        <w:rPr>
          <w:lang w:val="en-US"/>
        </w:rPr>
        <w:t>tercih</w:t>
      </w:r>
      <w:proofErr w:type="spellEnd"/>
      <w:r w:rsidRPr="00C36DC7">
        <w:rPr>
          <w:lang w:val="en-US"/>
        </w:rPr>
        <w:t xml:space="preserve"> </w:t>
      </w:r>
      <w:proofErr w:type="spellStart"/>
      <w:r w:rsidRPr="00C36DC7">
        <w:rPr>
          <w:lang w:val="en-US"/>
        </w:rPr>
        <w:t>etmeme</w:t>
      </w:r>
      <w:proofErr w:type="spellEnd"/>
      <w:r w:rsidRPr="00C36DC7">
        <w:rPr>
          <w:lang w:val="en-US"/>
        </w:rPr>
        <w:t xml:space="preserve"> </w:t>
      </w:r>
      <w:proofErr w:type="spellStart"/>
      <w:r w:rsidRPr="00C36DC7">
        <w:rPr>
          <w:lang w:val="en-US"/>
        </w:rPr>
        <w:t>yol</w:t>
      </w:r>
      <w:proofErr w:type="spellEnd"/>
      <w:r w:rsidRPr="00C36DC7">
        <w:rPr>
          <w:lang w:val="en-US"/>
        </w:rPr>
        <w:t xml:space="preserve"> </w:t>
      </w:r>
      <w:proofErr w:type="spellStart"/>
      <w:r w:rsidRPr="00C36DC7">
        <w:rPr>
          <w:lang w:val="en-US"/>
        </w:rPr>
        <w:t>açmaktadır</w:t>
      </w:r>
      <w:proofErr w:type="spellEnd"/>
      <w:r w:rsidRPr="00C36DC7">
        <w:rPr>
          <w:lang w:val="en-US"/>
        </w:rPr>
        <w:t>.</w:t>
      </w:r>
    </w:p>
    <w:p w14:paraId="4877C3CE" w14:textId="77777777" w:rsidR="00C36DC7" w:rsidRPr="00C36DC7" w:rsidRDefault="00C36DC7" w:rsidP="00C36DC7">
      <w:pPr>
        <w:pStyle w:val="ListParagraph"/>
        <w:numPr>
          <w:ilvl w:val="0"/>
          <w:numId w:val="17"/>
        </w:numPr>
        <w:spacing w:before="100" w:beforeAutospacing="1" w:after="100" w:afterAutospacing="1"/>
        <w:jc w:val="left"/>
        <w:rPr>
          <w:rFonts w:eastAsia="Times New Roman" w:cs="Times New Roman"/>
          <w:szCs w:val="24"/>
          <w:lang w:val="en-US"/>
        </w:rPr>
      </w:pPr>
      <w:r w:rsidRPr="00C36DC7">
        <w:rPr>
          <w:rFonts w:eastAsia="Times New Roman" w:cs="Times New Roman"/>
          <w:b/>
          <w:bCs/>
          <w:szCs w:val="24"/>
          <w:lang w:val="en-US"/>
        </w:rPr>
        <w:t>“</w:t>
      </w:r>
      <w:proofErr w:type="spellStart"/>
      <w:r w:rsidRPr="00C36DC7">
        <w:rPr>
          <w:rFonts w:eastAsia="Times New Roman" w:cs="Times New Roman"/>
          <w:b/>
          <w:bCs/>
          <w:szCs w:val="24"/>
          <w:lang w:val="en-US"/>
        </w:rPr>
        <w:t>Resmî</w:t>
      </w:r>
      <w:proofErr w:type="spellEnd"/>
      <w:r w:rsidRPr="00C36DC7">
        <w:rPr>
          <w:rFonts w:eastAsia="Times New Roman" w:cs="Times New Roman"/>
          <w:b/>
          <w:bCs/>
          <w:szCs w:val="24"/>
          <w:lang w:val="en-US"/>
        </w:rPr>
        <w:t xml:space="preserve"> </w:t>
      </w:r>
      <w:proofErr w:type="spellStart"/>
      <w:r w:rsidRPr="00C36DC7">
        <w:rPr>
          <w:rFonts w:eastAsia="Times New Roman" w:cs="Times New Roman"/>
          <w:b/>
          <w:bCs/>
          <w:szCs w:val="24"/>
          <w:lang w:val="en-US"/>
        </w:rPr>
        <w:t>Kayıtlara</w:t>
      </w:r>
      <w:proofErr w:type="spellEnd"/>
      <w:r w:rsidRPr="00C36DC7">
        <w:rPr>
          <w:rFonts w:eastAsia="Times New Roman" w:cs="Times New Roman"/>
          <w:b/>
          <w:bCs/>
          <w:szCs w:val="24"/>
          <w:lang w:val="en-US"/>
        </w:rPr>
        <w:t xml:space="preserve"> </w:t>
      </w:r>
      <w:proofErr w:type="spellStart"/>
      <w:r w:rsidRPr="00C36DC7">
        <w:rPr>
          <w:rFonts w:eastAsia="Times New Roman" w:cs="Times New Roman"/>
          <w:b/>
          <w:bCs/>
          <w:szCs w:val="24"/>
          <w:lang w:val="en-US"/>
        </w:rPr>
        <w:t>Geçmeyen</w:t>
      </w:r>
      <w:proofErr w:type="spellEnd"/>
      <w:r w:rsidRPr="00C36DC7">
        <w:rPr>
          <w:rFonts w:eastAsia="Times New Roman" w:cs="Times New Roman"/>
          <w:b/>
          <w:bCs/>
          <w:szCs w:val="24"/>
          <w:lang w:val="en-US"/>
        </w:rPr>
        <w:t xml:space="preserve">” </w:t>
      </w:r>
      <w:proofErr w:type="spellStart"/>
      <w:r w:rsidRPr="00C36DC7">
        <w:rPr>
          <w:rFonts w:eastAsia="Times New Roman" w:cs="Times New Roman"/>
          <w:b/>
          <w:bCs/>
          <w:szCs w:val="24"/>
          <w:lang w:val="en-US"/>
        </w:rPr>
        <w:t>Anayasal</w:t>
      </w:r>
      <w:proofErr w:type="spellEnd"/>
      <w:r w:rsidRPr="00C36DC7">
        <w:rPr>
          <w:rFonts w:eastAsia="Times New Roman" w:cs="Times New Roman"/>
          <w:b/>
          <w:bCs/>
          <w:szCs w:val="24"/>
          <w:lang w:val="en-US"/>
        </w:rPr>
        <w:t xml:space="preserve"> </w:t>
      </w:r>
      <w:proofErr w:type="spellStart"/>
      <w:r w:rsidRPr="00C36DC7">
        <w:rPr>
          <w:rFonts w:eastAsia="Times New Roman" w:cs="Times New Roman"/>
          <w:b/>
          <w:bCs/>
          <w:szCs w:val="24"/>
          <w:lang w:val="en-US"/>
        </w:rPr>
        <w:t>Kararların</w:t>
      </w:r>
      <w:proofErr w:type="spellEnd"/>
      <w:r w:rsidRPr="00C36DC7">
        <w:rPr>
          <w:rFonts w:eastAsia="Times New Roman" w:cs="Times New Roman"/>
          <w:b/>
          <w:bCs/>
          <w:szCs w:val="24"/>
          <w:lang w:val="en-US"/>
        </w:rPr>
        <w:t xml:space="preserve"> </w:t>
      </w:r>
      <w:proofErr w:type="spellStart"/>
      <w:r w:rsidRPr="00C36DC7">
        <w:rPr>
          <w:rFonts w:eastAsia="Times New Roman" w:cs="Times New Roman"/>
          <w:b/>
          <w:bCs/>
          <w:szCs w:val="24"/>
          <w:lang w:val="en-US"/>
        </w:rPr>
        <w:t>Önemini</w:t>
      </w:r>
      <w:proofErr w:type="spellEnd"/>
      <w:r w:rsidRPr="00C36DC7">
        <w:rPr>
          <w:rFonts w:eastAsia="Times New Roman" w:cs="Times New Roman"/>
          <w:b/>
          <w:bCs/>
          <w:szCs w:val="24"/>
          <w:lang w:val="en-US"/>
        </w:rPr>
        <w:t xml:space="preserve"> </w:t>
      </w:r>
      <w:proofErr w:type="spellStart"/>
      <w:r w:rsidRPr="00C36DC7">
        <w:rPr>
          <w:rFonts w:eastAsia="Times New Roman" w:cs="Times New Roman"/>
          <w:b/>
          <w:bCs/>
          <w:szCs w:val="24"/>
          <w:lang w:val="en-US"/>
        </w:rPr>
        <w:t>Vurgulamak</w:t>
      </w:r>
      <w:proofErr w:type="spellEnd"/>
    </w:p>
    <w:p w14:paraId="12F20E1C" w14:textId="5CF4F382" w:rsidR="00C36DC7" w:rsidRDefault="00C36DC7" w:rsidP="00C36DC7">
      <w:pPr>
        <w:rPr>
          <w:lang w:val="en-US"/>
        </w:rPr>
      </w:pPr>
      <w:proofErr w:type="spellStart"/>
      <w:r w:rsidRPr="00C36DC7">
        <w:rPr>
          <w:lang w:val="en-US"/>
        </w:rPr>
        <w:lastRenderedPageBreak/>
        <w:t>Anayasal</w:t>
      </w:r>
      <w:proofErr w:type="spellEnd"/>
      <w:r w:rsidRPr="00C36DC7">
        <w:rPr>
          <w:lang w:val="en-US"/>
        </w:rPr>
        <w:t xml:space="preserve"> </w:t>
      </w:r>
      <w:proofErr w:type="spellStart"/>
      <w:r w:rsidRPr="00C36DC7">
        <w:rPr>
          <w:lang w:val="en-US"/>
        </w:rPr>
        <w:t>kültür</w:t>
      </w:r>
      <w:proofErr w:type="spellEnd"/>
      <w:r w:rsidRPr="00C36DC7">
        <w:rPr>
          <w:lang w:val="en-US"/>
        </w:rPr>
        <w:t xml:space="preserve"> </w:t>
      </w:r>
      <w:proofErr w:type="spellStart"/>
      <w:r w:rsidRPr="00C36DC7">
        <w:rPr>
          <w:lang w:val="en-US"/>
        </w:rPr>
        <w:t>perspektifi</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normların</w:t>
      </w:r>
      <w:proofErr w:type="spellEnd"/>
      <w:r w:rsidRPr="00C36DC7">
        <w:rPr>
          <w:lang w:val="en-US"/>
        </w:rPr>
        <w:t xml:space="preserve"> </w:t>
      </w:r>
      <w:proofErr w:type="spellStart"/>
      <w:r w:rsidRPr="00C36DC7">
        <w:rPr>
          <w:lang w:val="en-US"/>
        </w:rPr>
        <w:t>nasıl</w:t>
      </w:r>
      <w:proofErr w:type="spellEnd"/>
      <w:r w:rsidRPr="00C36DC7">
        <w:rPr>
          <w:lang w:val="en-US"/>
        </w:rPr>
        <w:t xml:space="preserve"> </w:t>
      </w:r>
      <w:proofErr w:type="spellStart"/>
      <w:r w:rsidRPr="00C36DC7">
        <w:rPr>
          <w:lang w:val="en-US"/>
        </w:rPr>
        <w:t>ve</w:t>
      </w:r>
      <w:proofErr w:type="spellEnd"/>
      <w:r w:rsidRPr="00C36DC7">
        <w:rPr>
          <w:lang w:val="en-US"/>
        </w:rPr>
        <w:t xml:space="preserve"> ne </w:t>
      </w:r>
      <w:proofErr w:type="spellStart"/>
      <w:r w:rsidRPr="00C36DC7">
        <w:rPr>
          <w:lang w:val="en-US"/>
        </w:rPr>
        <w:t>şekilde</w:t>
      </w:r>
      <w:proofErr w:type="spellEnd"/>
      <w:r w:rsidRPr="00C36DC7">
        <w:rPr>
          <w:lang w:val="en-US"/>
        </w:rPr>
        <w:t xml:space="preserve"> </w:t>
      </w:r>
      <w:proofErr w:type="spellStart"/>
      <w:r w:rsidRPr="00C36DC7">
        <w:rPr>
          <w:lang w:val="en-US"/>
        </w:rPr>
        <w:t>uygulanacağına</w:t>
      </w:r>
      <w:proofErr w:type="spellEnd"/>
      <w:r w:rsidRPr="00C36DC7">
        <w:rPr>
          <w:lang w:val="en-US"/>
        </w:rPr>
        <w:t xml:space="preserve"> </w:t>
      </w:r>
      <w:proofErr w:type="spellStart"/>
      <w:r w:rsidRPr="00C36DC7">
        <w:rPr>
          <w:lang w:val="en-US"/>
        </w:rPr>
        <w:t>ilişkin</w:t>
      </w:r>
      <w:proofErr w:type="spellEnd"/>
      <w:r w:rsidRPr="00C36DC7">
        <w:rPr>
          <w:lang w:val="en-US"/>
        </w:rPr>
        <w:t xml:space="preserve"> </w:t>
      </w:r>
      <w:proofErr w:type="spellStart"/>
      <w:r w:rsidRPr="00C36DC7">
        <w:rPr>
          <w:lang w:val="en-US"/>
        </w:rPr>
        <w:t>alınan</w:t>
      </w:r>
      <w:proofErr w:type="spellEnd"/>
      <w:r w:rsidRPr="00C36DC7">
        <w:rPr>
          <w:lang w:val="en-US"/>
        </w:rPr>
        <w:t xml:space="preserve"> </w:t>
      </w:r>
      <w:proofErr w:type="spellStart"/>
      <w:r w:rsidRPr="00C36DC7">
        <w:rPr>
          <w:lang w:val="en-US"/>
        </w:rPr>
        <w:t>birçok</w:t>
      </w:r>
      <w:proofErr w:type="spellEnd"/>
      <w:r w:rsidRPr="00C36DC7">
        <w:rPr>
          <w:lang w:val="en-US"/>
        </w:rPr>
        <w:t xml:space="preserve"> </w:t>
      </w:r>
      <w:proofErr w:type="spellStart"/>
      <w:r w:rsidRPr="00C36DC7">
        <w:rPr>
          <w:lang w:val="en-US"/>
        </w:rPr>
        <w:t>önemli</w:t>
      </w:r>
      <w:proofErr w:type="spellEnd"/>
      <w:r w:rsidRPr="00C36DC7">
        <w:rPr>
          <w:lang w:val="en-US"/>
        </w:rPr>
        <w:t xml:space="preserve"> </w:t>
      </w:r>
      <w:proofErr w:type="spellStart"/>
      <w:r w:rsidRPr="00C36DC7">
        <w:rPr>
          <w:lang w:val="en-US"/>
        </w:rPr>
        <w:t>kararın</w:t>
      </w:r>
      <w:proofErr w:type="spellEnd"/>
      <w:r w:rsidRPr="00C36DC7">
        <w:rPr>
          <w:lang w:val="en-US"/>
        </w:rPr>
        <w:t xml:space="preserve">, </w:t>
      </w:r>
      <w:proofErr w:type="spellStart"/>
      <w:r w:rsidRPr="00C36DC7">
        <w:rPr>
          <w:lang w:val="en-US"/>
        </w:rPr>
        <w:t>Anayasa’nın</w:t>
      </w:r>
      <w:proofErr w:type="spellEnd"/>
      <w:r w:rsidRPr="00C36DC7">
        <w:rPr>
          <w:lang w:val="en-US"/>
        </w:rPr>
        <w:t xml:space="preserve"> </w:t>
      </w:r>
      <w:proofErr w:type="spellStart"/>
      <w:r w:rsidRPr="00C36DC7">
        <w:rPr>
          <w:lang w:val="en-US"/>
        </w:rPr>
        <w:t>kelimeleriyle</w:t>
      </w:r>
      <w:proofErr w:type="spellEnd"/>
      <w:r w:rsidRPr="00C36DC7">
        <w:rPr>
          <w:lang w:val="en-US"/>
        </w:rPr>
        <w:t xml:space="preserve"> </w:t>
      </w:r>
      <w:proofErr w:type="spellStart"/>
      <w:r w:rsidRPr="00C36DC7">
        <w:rPr>
          <w:lang w:val="en-US"/>
        </w:rPr>
        <w:t>veya</w:t>
      </w:r>
      <w:proofErr w:type="spellEnd"/>
      <w:r w:rsidRPr="00C36DC7">
        <w:rPr>
          <w:lang w:val="en-US"/>
        </w:rPr>
        <w:t xml:space="preserve"> </w:t>
      </w:r>
      <w:proofErr w:type="spellStart"/>
      <w:r w:rsidRPr="00C36DC7">
        <w:rPr>
          <w:lang w:val="en-US"/>
        </w:rPr>
        <w:t>yargı</w:t>
      </w:r>
      <w:proofErr w:type="spellEnd"/>
      <w:r w:rsidRPr="00C36DC7">
        <w:rPr>
          <w:lang w:val="en-US"/>
        </w:rPr>
        <w:t xml:space="preserve"> </w:t>
      </w:r>
      <w:proofErr w:type="spellStart"/>
      <w:r w:rsidRPr="00C36DC7">
        <w:rPr>
          <w:lang w:val="en-US"/>
        </w:rPr>
        <w:t>kararlarında</w:t>
      </w:r>
      <w:proofErr w:type="spellEnd"/>
      <w:r w:rsidRPr="00C36DC7">
        <w:rPr>
          <w:lang w:val="en-US"/>
        </w:rPr>
        <w:t xml:space="preserve"> </w:t>
      </w:r>
      <w:proofErr w:type="spellStart"/>
      <w:r w:rsidRPr="00C36DC7">
        <w:rPr>
          <w:lang w:val="en-US"/>
        </w:rPr>
        <w:t>açıkça</w:t>
      </w:r>
      <w:proofErr w:type="spellEnd"/>
      <w:r w:rsidRPr="00C36DC7">
        <w:rPr>
          <w:lang w:val="en-US"/>
        </w:rPr>
        <w:t xml:space="preserve"> </w:t>
      </w:r>
      <w:proofErr w:type="spellStart"/>
      <w:r w:rsidRPr="00C36DC7">
        <w:rPr>
          <w:lang w:val="en-US"/>
        </w:rPr>
        <w:t>ele</w:t>
      </w:r>
      <w:proofErr w:type="spellEnd"/>
      <w:r w:rsidRPr="00C36DC7">
        <w:rPr>
          <w:lang w:val="en-US"/>
        </w:rPr>
        <w:t xml:space="preserve"> </w:t>
      </w:r>
      <w:proofErr w:type="spellStart"/>
      <w:r w:rsidRPr="00C36DC7">
        <w:rPr>
          <w:lang w:val="en-US"/>
        </w:rPr>
        <w:t>alınan</w:t>
      </w:r>
      <w:proofErr w:type="spellEnd"/>
      <w:r w:rsidRPr="00C36DC7">
        <w:rPr>
          <w:lang w:val="en-US"/>
        </w:rPr>
        <w:t xml:space="preserve"> </w:t>
      </w:r>
      <w:proofErr w:type="spellStart"/>
      <w:r w:rsidRPr="00C36DC7">
        <w:rPr>
          <w:lang w:val="en-US"/>
        </w:rPr>
        <w:t>metin</w:t>
      </w:r>
      <w:proofErr w:type="spellEnd"/>
      <w:r w:rsidRPr="00C36DC7">
        <w:rPr>
          <w:lang w:val="en-US"/>
        </w:rPr>
        <w:t xml:space="preserve"> </w:t>
      </w:r>
      <w:proofErr w:type="spellStart"/>
      <w:r w:rsidRPr="00C36DC7">
        <w:rPr>
          <w:lang w:val="en-US"/>
        </w:rPr>
        <w:t>dışı</w:t>
      </w:r>
      <w:proofErr w:type="spellEnd"/>
      <w:r w:rsidRPr="00C36DC7">
        <w:rPr>
          <w:lang w:val="en-US"/>
        </w:rPr>
        <w:t xml:space="preserve"> </w:t>
      </w:r>
      <w:proofErr w:type="spellStart"/>
      <w:r w:rsidRPr="00C36DC7">
        <w:rPr>
          <w:lang w:val="en-US"/>
        </w:rPr>
        <w:t>hususlarla</w:t>
      </w:r>
      <w:proofErr w:type="spellEnd"/>
      <w:r w:rsidRPr="00C36DC7">
        <w:rPr>
          <w:lang w:val="en-US"/>
        </w:rPr>
        <w:t xml:space="preserve"> </w:t>
      </w:r>
      <w:proofErr w:type="spellStart"/>
      <w:r w:rsidRPr="00C36DC7">
        <w:rPr>
          <w:lang w:val="en-US"/>
        </w:rPr>
        <w:t>doğrudan</w:t>
      </w:r>
      <w:proofErr w:type="spellEnd"/>
      <w:r w:rsidRPr="00C36DC7">
        <w:rPr>
          <w:lang w:val="en-US"/>
        </w:rPr>
        <w:t xml:space="preserve"> </w:t>
      </w:r>
      <w:proofErr w:type="spellStart"/>
      <w:r w:rsidRPr="00C36DC7">
        <w:rPr>
          <w:lang w:val="en-US"/>
        </w:rPr>
        <w:t>bağlantılı</w:t>
      </w:r>
      <w:proofErr w:type="spellEnd"/>
      <w:r w:rsidRPr="00C36DC7">
        <w:rPr>
          <w:lang w:val="en-US"/>
        </w:rPr>
        <w:t xml:space="preserve"> </w:t>
      </w:r>
      <w:proofErr w:type="spellStart"/>
      <w:r w:rsidRPr="00C36DC7">
        <w:rPr>
          <w:lang w:val="en-US"/>
        </w:rPr>
        <w:t>olmadığı</w:t>
      </w:r>
      <w:proofErr w:type="spellEnd"/>
      <w:r w:rsidRPr="00C36DC7">
        <w:rPr>
          <w:lang w:val="en-US"/>
        </w:rPr>
        <w:t xml:space="preserve"> </w:t>
      </w:r>
      <w:proofErr w:type="spellStart"/>
      <w:r w:rsidRPr="00C36DC7">
        <w:rPr>
          <w:lang w:val="en-US"/>
        </w:rPr>
        <w:t>gerçeğini</w:t>
      </w:r>
      <w:proofErr w:type="spellEnd"/>
      <w:r w:rsidRPr="00C36DC7">
        <w:rPr>
          <w:lang w:val="en-US"/>
        </w:rPr>
        <w:t xml:space="preserve"> </w:t>
      </w:r>
      <w:proofErr w:type="spellStart"/>
      <w:r w:rsidRPr="00C36DC7">
        <w:rPr>
          <w:lang w:val="en-US"/>
        </w:rPr>
        <w:t>vurgulayan</w:t>
      </w:r>
      <w:proofErr w:type="spellEnd"/>
      <w:r w:rsidRPr="00C36DC7">
        <w:rPr>
          <w:lang w:val="en-US"/>
        </w:rPr>
        <w:t xml:space="preserve"> </w:t>
      </w:r>
      <w:proofErr w:type="spellStart"/>
      <w:r w:rsidRPr="00C36DC7">
        <w:rPr>
          <w:lang w:val="en-US"/>
        </w:rPr>
        <w:t>akademik</w:t>
      </w:r>
      <w:proofErr w:type="spellEnd"/>
      <w:r w:rsidRPr="00C36DC7">
        <w:rPr>
          <w:lang w:val="en-US"/>
        </w:rPr>
        <w:t xml:space="preserve"> </w:t>
      </w:r>
      <w:proofErr w:type="spellStart"/>
      <w:r w:rsidRPr="00C36DC7">
        <w:rPr>
          <w:lang w:val="en-US"/>
        </w:rPr>
        <w:t>çalışmaların</w:t>
      </w:r>
      <w:proofErr w:type="spellEnd"/>
      <w:r w:rsidRPr="00C36DC7">
        <w:rPr>
          <w:lang w:val="en-US"/>
        </w:rPr>
        <w:t xml:space="preserve"> </w:t>
      </w:r>
      <w:proofErr w:type="spellStart"/>
      <w:r w:rsidRPr="00C36DC7">
        <w:rPr>
          <w:lang w:val="en-US"/>
        </w:rPr>
        <w:t>önemini</w:t>
      </w:r>
      <w:proofErr w:type="spellEnd"/>
      <w:r w:rsidRPr="00C36DC7">
        <w:rPr>
          <w:lang w:val="en-US"/>
        </w:rPr>
        <w:t xml:space="preserve"> de </w:t>
      </w:r>
      <w:proofErr w:type="spellStart"/>
      <w:r w:rsidRPr="00C36DC7">
        <w:rPr>
          <w:lang w:val="en-US"/>
        </w:rPr>
        <w:t>öne</w:t>
      </w:r>
      <w:proofErr w:type="spellEnd"/>
      <w:r w:rsidRPr="00C36DC7">
        <w:rPr>
          <w:lang w:val="en-US"/>
        </w:rPr>
        <w:t xml:space="preserve"> </w:t>
      </w:r>
      <w:proofErr w:type="spellStart"/>
      <w:r w:rsidRPr="00C36DC7">
        <w:rPr>
          <w:lang w:val="en-US"/>
        </w:rPr>
        <w:t>çıkarmaktadır</w:t>
      </w:r>
      <w:proofErr w:type="spellEnd"/>
      <w:r w:rsidRPr="00C36DC7">
        <w:rPr>
          <w:lang w:val="en-US"/>
        </w:rPr>
        <w:t>.</w:t>
      </w:r>
      <w:r>
        <w:rPr>
          <w:lang w:val="en-US"/>
        </w:rPr>
        <w:t xml:space="preserve"> </w:t>
      </w:r>
      <w:r w:rsidRPr="00C36DC7">
        <w:rPr>
          <w:lang w:val="en-US"/>
        </w:rPr>
        <w:t xml:space="preserve">Bu, </w:t>
      </w:r>
      <w:proofErr w:type="spellStart"/>
      <w:r w:rsidRPr="00C36DC7">
        <w:rPr>
          <w:lang w:val="en-US"/>
        </w:rPr>
        <w:t>belirli</w:t>
      </w:r>
      <w:proofErr w:type="spellEnd"/>
      <w:r w:rsidRPr="00C36DC7">
        <w:rPr>
          <w:lang w:val="en-US"/>
        </w:rPr>
        <w:t xml:space="preserve"> </w:t>
      </w:r>
      <w:proofErr w:type="spellStart"/>
      <w:r w:rsidRPr="00C36DC7">
        <w:rPr>
          <w:lang w:val="en-US"/>
        </w:rPr>
        <w:t>sınırlar</w:t>
      </w:r>
      <w:proofErr w:type="spellEnd"/>
      <w:r w:rsidRPr="00C36DC7">
        <w:rPr>
          <w:lang w:val="en-US"/>
        </w:rPr>
        <w:t xml:space="preserve"> </w:t>
      </w:r>
      <w:proofErr w:type="spellStart"/>
      <w:r w:rsidRPr="00C36DC7">
        <w:rPr>
          <w:lang w:val="en-US"/>
        </w:rPr>
        <w:t>içinde</w:t>
      </w:r>
      <w:proofErr w:type="spellEnd"/>
      <w:r w:rsidRPr="00C36DC7">
        <w:rPr>
          <w:lang w:val="en-US"/>
        </w:rPr>
        <w:t xml:space="preserve"> </w:t>
      </w:r>
      <w:proofErr w:type="spellStart"/>
      <w:r w:rsidRPr="00C36DC7">
        <w:rPr>
          <w:lang w:val="en-US"/>
        </w:rPr>
        <w:t>tartışmasız</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görüştür</w:t>
      </w:r>
      <w:proofErr w:type="spellEnd"/>
      <w:r w:rsidRPr="00C36DC7">
        <w:rPr>
          <w:lang w:val="en-US"/>
        </w:rPr>
        <w:t xml:space="preserve">. Lawrence Sager </w:t>
      </w:r>
      <w:proofErr w:type="spellStart"/>
      <w:r w:rsidRPr="00C36DC7">
        <w:rPr>
          <w:lang w:val="en-US"/>
        </w:rPr>
        <w:t>ve</w:t>
      </w:r>
      <w:proofErr w:type="spellEnd"/>
      <w:r w:rsidRPr="00C36DC7">
        <w:rPr>
          <w:lang w:val="en-US"/>
        </w:rPr>
        <w:t xml:space="preserve"> Sandy Levinson </w:t>
      </w:r>
      <w:proofErr w:type="spellStart"/>
      <w:r w:rsidRPr="00C36DC7">
        <w:rPr>
          <w:lang w:val="en-US"/>
        </w:rPr>
        <w:t>gibi</w:t>
      </w:r>
      <w:proofErr w:type="spellEnd"/>
      <w:r w:rsidRPr="00C36DC7">
        <w:rPr>
          <w:lang w:val="en-US"/>
        </w:rPr>
        <w:t xml:space="preserve"> </w:t>
      </w:r>
      <w:proofErr w:type="spellStart"/>
      <w:r w:rsidRPr="00C36DC7">
        <w:rPr>
          <w:lang w:val="en-US"/>
        </w:rPr>
        <w:t>akademisyenler</w:t>
      </w:r>
      <w:proofErr w:type="spellEnd"/>
      <w:r w:rsidRPr="00C36DC7">
        <w:rPr>
          <w:lang w:val="en-US"/>
        </w:rPr>
        <w:t xml:space="preserve"> </w:t>
      </w:r>
      <w:proofErr w:type="spellStart"/>
      <w:r w:rsidRPr="00C36DC7">
        <w:rPr>
          <w:lang w:val="en-US"/>
        </w:rPr>
        <w:t>uzun</w:t>
      </w:r>
      <w:proofErr w:type="spellEnd"/>
      <w:r w:rsidRPr="00C36DC7">
        <w:rPr>
          <w:lang w:val="en-US"/>
        </w:rPr>
        <w:t xml:space="preserve"> </w:t>
      </w:r>
      <w:proofErr w:type="spellStart"/>
      <w:r w:rsidRPr="00C36DC7">
        <w:rPr>
          <w:lang w:val="en-US"/>
        </w:rPr>
        <w:t>süredir</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değerlerin</w:t>
      </w:r>
      <w:proofErr w:type="spellEnd"/>
      <w:r w:rsidRPr="00C36DC7">
        <w:rPr>
          <w:lang w:val="en-US"/>
        </w:rPr>
        <w:t xml:space="preserve">, </w:t>
      </w:r>
      <w:proofErr w:type="spellStart"/>
      <w:r w:rsidRPr="00C36DC7">
        <w:rPr>
          <w:lang w:val="en-US"/>
        </w:rPr>
        <w:t>çoğu</w:t>
      </w:r>
      <w:proofErr w:type="spellEnd"/>
      <w:r w:rsidRPr="00C36DC7">
        <w:rPr>
          <w:lang w:val="en-US"/>
        </w:rPr>
        <w:t xml:space="preserve"> zaman </w:t>
      </w:r>
      <w:proofErr w:type="spellStart"/>
      <w:r w:rsidRPr="00C36DC7">
        <w:rPr>
          <w:lang w:val="en-US"/>
        </w:rPr>
        <w:t>yargı</w:t>
      </w:r>
      <w:proofErr w:type="spellEnd"/>
      <w:r w:rsidRPr="00C36DC7">
        <w:rPr>
          <w:lang w:val="en-US"/>
        </w:rPr>
        <w:t xml:space="preserve"> </w:t>
      </w:r>
      <w:proofErr w:type="spellStart"/>
      <w:r w:rsidRPr="00C36DC7">
        <w:rPr>
          <w:lang w:val="en-US"/>
        </w:rPr>
        <w:t>kararlarından</w:t>
      </w:r>
      <w:proofErr w:type="spellEnd"/>
      <w:r w:rsidRPr="00C36DC7">
        <w:rPr>
          <w:lang w:val="en-US"/>
        </w:rPr>
        <w:t xml:space="preserve"> </w:t>
      </w:r>
      <w:proofErr w:type="spellStart"/>
      <w:r w:rsidRPr="00C36DC7">
        <w:rPr>
          <w:lang w:val="en-US"/>
        </w:rPr>
        <w:t>bağımsız</w:t>
      </w:r>
      <w:proofErr w:type="spellEnd"/>
      <w:r w:rsidRPr="00C36DC7">
        <w:rPr>
          <w:lang w:val="en-US"/>
        </w:rPr>
        <w:t xml:space="preserve"> </w:t>
      </w:r>
      <w:proofErr w:type="spellStart"/>
      <w:r w:rsidRPr="00C36DC7">
        <w:rPr>
          <w:lang w:val="en-US"/>
        </w:rPr>
        <w:t>mekanizmalar</w:t>
      </w:r>
      <w:proofErr w:type="spellEnd"/>
      <w:r w:rsidRPr="00C36DC7">
        <w:rPr>
          <w:lang w:val="en-US"/>
        </w:rPr>
        <w:t xml:space="preserve"> </w:t>
      </w:r>
      <w:proofErr w:type="spellStart"/>
      <w:r w:rsidRPr="00C36DC7">
        <w:rPr>
          <w:lang w:val="en-US"/>
        </w:rPr>
        <w:t>aracılığıyla</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sonuçlar</w:t>
      </w:r>
      <w:proofErr w:type="spellEnd"/>
      <w:r w:rsidRPr="00C36DC7">
        <w:rPr>
          <w:lang w:val="en-US"/>
        </w:rPr>
        <w:t xml:space="preserve"> </w:t>
      </w:r>
      <w:proofErr w:type="spellStart"/>
      <w:r w:rsidRPr="00C36DC7">
        <w:rPr>
          <w:lang w:val="en-US"/>
        </w:rPr>
        <w:t>doğurduğunu</w:t>
      </w:r>
      <w:proofErr w:type="spellEnd"/>
      <w:r w:rsidRPr="00C36DC7">
        <w:rPr>
          <w:lang w:val="en-US"/>
        </w:rPr>
        <w:t xml:space="preserve"> hatırlatmaktadır.²¹⁰ </w:t>
      </w:r>
      <w:r>
        <w:rPr>
          <w:rStyle w:val="FootnoteReference"/>
          <w:lang w:val="en-US"/>
        </w:rPr>
        <w:footnoteReference w:id="210"/>
      </w:r>
      <w:r w:rsidRPr="00C36DC7">
        <w:rPr>
          <w:lang w:val="en-US"/>
        </w:rPr>
        <w:t xml:space="preserve">Benzer </w:t>
      </w:r>
      <w:proofErr w:type="spellStart"/>
      <w:r w:rsidRPr="00C36DC7">
        <w:rPr>
          <w:lang w:val="en-US"/>
        </w:rPr>
        <w:t>şekilde</w:t>
      </w:r>
      <w:proofErr w:type="spellEnd"/>
      <w:r w:rsidRPr="00C36DC7">
        <w:rPr>
          <w:lang w:val="en-US"/>
        </w:rPr>
        <w:t xml:space="preserve">, Akhil Amar, David Strauss </w:t>
      </w:r>
      <w:proofErr w:type="spellStart"/>
      <w:r w:rsidRPr="00C36DC7">
        <w:rPr>
          <w:lang w:val="en-US"/>
        </w:rPr>
        <w:t>ve</w:t>
      </w:r>
      <w:proofErr w:type="spellEnd"/>
      <w:r w:rsidRPr="00C36DC7">
        <w:rPr>
          <w:lang w:val="en-US"/>
        </w:rPr>
        <w:t xml:space="preserve"> </w:t>
      </w:r>
      <w:proofErr w:type="spellStart"/>
      <w:r w:rsidRPr="00C36DC7">
        <w:rPr>
          <w:lang w:val="en-US"/>
        </w:rPr>
        <w:t>diğerleri</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karar</w:t>
      </w:r>
      <w:proofErr w:type="spellEnd"/>
      <w:r w:rsidRPr="00C36DC7">
        <w:rPr>
          <w:lang w:val="en-US"/>
        </w:rPr>
        <w:t xml:space="preserve"> alma </w:t>
      </w:r>
      <w:proofErr w:type="spellStart"/>
      <w:r w:rsidRPr="00C36DC7">
        <w:rPr>
          <w:lang w:val="en-US"/>
        </w:rPr>
        <w:t>süreçlerinin</w:t>
      </w:r>
      <w:proofErr w:type="spellEnd"/>
      <w:r w:rsidRPr="00C36DC7">
        <w:rPr>
          <w:lang w:val="en-US"/>
        </w:rPr>
        <w:t xml:space="preserve"> </w:t>
      </w:r>
      <w:proofErr w:type="spellStart"/>
      <w:r w:rsidRPr="00C36DC7">
        <w:rPr>
          <w:lang w:val="en-US"/>
        </w:rPr>
        <w:t>çoğu</w:t>
      </w:r>
      <w:proofErr w:type="spellEnd"/>
      <w:r w:rsidRPr="00C36DC7">
        <w:rPr>
          <w:lang w:val="en-US"/>
        </w:rPr>
        <w:t xml:space="preserve"> zaman </w:t>
      </w:r>
      <w:proofErr w:type="spellStart"/>
      <w:r w:rsidRPr="00C36DC7">
        <w:rPr>
          <w:lang w:val="en-US"/>
        </w:rPr>
        <w:t>metinsel</w:t>
      </w:r>
      <w:proofErr w:type="spellEnd"/>
      <w:r w:rsidRPr="00C36DC7">
        <w:rPr>
          <w:lang w:val="en-US"/>
        </w:rPr>
        <w:t xml:space="preserve"> </w:t>
      </w:r>
      <w:proofErr w:type="spellStart"/>
      <w:r w:rsidRPr="00C36DC7">
        <w:rPr>
          <w:lang w:val="en-US"/>
        </w:rPr>
        <w:t>yoruma</w:t>
      </w:r>
      <w:proofErr w:type="spellEnd"/>
      <w:r w:rsidRPr="00C36DC7">
        <w:rPr>
          <w:lang w:val="en-US"/>
        </w:rPr>
        <w:t xml:space="preserve"> </w:t>
      </w:r>
      <w:proofErr w:type="spellStart"/>
      <w:r w:rsidRPr="00C36DC7">
        <w:rPr>
          <w:lang w:val="en-US"/>
        </w:rPr>
        <w:t>dayanmayan</w:t>
      </w:r>
      <w:proofErr w:type="spellEnd"/>
      <w:r w:rsidRPr="00C36DC7">
        <w:rPr>
          <w:lang w:val="en-US"/>
        </w:rPr>
        <w:t xml:space="preserve"> </w:t>
      </w:r>
      <w:proofErr w:type="spellStart"/>
      <w:r w:rsidRPr="00C36DC7">
        <w:rPr>
          <w:lang w:val="en-US"/>
        </w:rPr>
        <w:t>normlar</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uygulamalar</w:t>
      </w:r>
      <w:proofErr w:type="spellEnd"/>
      <w:r w:rsidRPr="00C36DC7">
        <w:rPr>
          <w:lang w:val="en-US"/>
        </w:rPr>
        <w:t xml:space="preserve"> </w:t>
      </w:r>
      <w:proofErr w:type="spellStart"/>
      <w:r w:rsidRPr="00C36DC7">
        <w:rPr>
          <w:lang w:val="en-US"/>
        </w:rPr>
        <w:t>aracılığıyla</w:t>
      </w:r>
      <w:proofErr w:type="spellEnd"/>
      <w:r w:rsidRPr="00C36DC7">
        <w:rPr>
          <w:lang w:val="en-US"/>
        </w:rPr>
        <w:t xml:space="preserve"> </w:t>
      </w:r>
      <w:proofErr w:type="spellStart"/>
      <w:r w:rsidRPr="00C36DC7">
        <w:rPr>
          <w:lang w:val="en-US"/>
        </w:rPr>
        <w:t>işlediğini</w:t>
      </w:r>
      <w:proofErr w:type="spellEnd"/>
      <w:r w:rsidRPr="00C36DC7">
        <w:rPr>
          <w:lang w:val="en-US"/>
        </w:rPr>
        <w:t xml:space="preserve"> göstermiştir.²¹¹</w:t>
      </w:r>
      <w:r>
        <w:rPr>
          <w:lang w:val="en-US"/>
        </w:rPr>
        <w:t xml:space="preserve"> </w:t>
      </w:r>
      <w:r>
        <w:rPr>
          <w:rStyle w:val="FootnoteReference"/>
          <w:lang w:val="en-US"/>
        </w:rPr>
        <w:footnoteReference w:id="211"/>
      </w:r>
      <w:r>
        <w:rPr>
          <w:lang w:val="en-US"/>
        </w:rPr>
        <w:t>[1123 - 1124]</w:t>
      </w:r>
    </w:p>
    <w:p w14:paraId="3DC542BF" w14:textId="6B9E1192" w:rsidR="00C36DC7" w:rsidRDefault="00C36DC7" w:rsidP="00C36DC7">
      <w:pPr>
        <w:rPr>
          <w:lang w:val="en-US"/>
        </w:rPr>
      </w:pPr>
      <w:r w:rsidRPr="00C36DC7">
        <w:rPr>
          <w:lang w:val="en-US"/>
        </w:rPr>
        <w:t xml:space="preserve">Son </w:t>
      </w:r>
      <w:proofErr w:type="spellStart"/>
      <w:r w:rsidRPr="00C36DC7">
        <w:rPr>
          <w:lang w:val="en-US"/>
        </w:rPr>
        <w:t>dönemde</w:t>
      </w:r>
      <w:proofErr w:type="spellEnd"/>
      <w:r w:rsidRPr="00C36DC7">
        <w:rPr>
          <w:lang w:val="en-US"/>
        </w:rPr>
        <w:t xml:space="preserve">, </w:t>
      </w:r>
      <w:proofErr w:type="spellStart"/>
      <w:r w:rsidRPr="00C36DC7">
        <w:rPr>
          <w:lang w:val="en-US"/>
        </w:rPr>
        <w:t>çok</w:t>
      </w:r>
      <w:proofErr w:type="spellEnd"/>
      <w:r w:rsidRPr="00C36DC7">
        <w:rPr>
          <w:lang w:val="en-US"/>
        </w:rPr>
        <w:t xml:space="preserve"> </w:t>
      </w:r>
      <w:proofErr w:type="spellStart"/>
      <w:r w:rsidRPr="00C36DC7">
        <w:rPr>
          <w:lang w:val="en-US"/>
        </w:rPr>
        <w:t>farklı</w:t>
      </w:r>
      <w:proofErr w:type="spellEnd"/>
      <w:r w:rsidRPr="00C36DC7">
        <w:rPr>
          <w:lang w:val="en-US"/>
        </w:rPr>
        <w:t xml:space="preserve"> </w:t>
      </w:r>
      <w:proofErr w:type="spellStart"/>
      <w:r w:rsidRPr="00C36DC7">
        <w:rPr>
          <w:lang w:val="en-US"/>
        </w:rPr>
        <w:t>alanlara</w:t>
      </w:r>
      <w:proofErr w:type="spellEnd"/>
      <w:r w:rsidRPr="00C36DC7">
        <w:rPr>
          <w:lang w:val="en-US"/>
        </w:rPr>
        <w:t xml:space="preserve"> </w:t>
      </w:r>
      <w:proofErr w:type="spellStart"/>
      <w:r w:rsidRPr="00C36DC7">
        <w:rPr>
          <w:lang w:val="en-US"/>
        </w:rPr>
        <w:t>ilgi</w:t>
      </w:r>
      <w:proofErr w:type="spellEnd"/>
      <w:r w:rsidRPr="00C36DC7">
        <w:rPr>
          <w:lang w:val="en-US"/>
        </w:rPr>
        <w:t xml:space="preserve"> </w:t>
      </w:r>
      <w:proofErr w:type="spellStart"/>
      <w:r w:rsidRPr="00C36DC7">
        <w:rPr>
          <w:lang w:val="en-US"/>
        </w:rPr>
        <w:t>duyan</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çeşitli</w:t>
      </w:r>
      <w:proofErr w:type="spellEnd"/>
      <w:r w:rsidRPr="00C36DC7">
        <w:rPr>
          <w:lang w:val="en-US"/>
        </w:rPr>
        <w:t xml:space="preserve"> </w:t>
      </w:r>
      <w:proofErr w:type="spellStart"/>
      <w:r w:rsidRPr="00C36DC7">
        <w:rPr>
          <w:lang w:val="en-US"/>
        </w:rPr>
        <w:t>ideolojik</w:t>
      </w:r>
      <w:proofErr w:type="spellEnd"/>
      <w:r w:rsidRPr="00C36DC7">
        <w:rPr>
          <w:lang w:val="en-US"/>
        </w:rPr>
        <w:t xml:space="preserve"> </w:t>
      </w:r>
      <w:proofErr w:type="spellStart"/>
      <w:r w:rsidRPr="00C36DC7">
        <w:rPr>
          <w:lang w:val="en-US"/>
        </w:rPr>
        <w:t>yönelimlere</w:t>
      </w:r>
      <w:proofErr w:type="spellEnd"/>
      <w:r w:rsidRPr="00C36DC7">
        <w:rPr>
          <w:lang w:val="en-US"/>
        </w:rPr>
        <w:t xml:space="preserve"> </w:t>
      </w:r>
      <w:proofErr w:type="spellStart"/>
      <w:r w:rsidRPr="00C36DC7">
        <w:rPr>
          <w:lang w:val="en-US"/>
        </w:rPr>
        <w:t>sahip</w:t>
      </w:r>
      <w:proofErr w:type="spellEnd"/>
      <w:r w:rsidRPr="00C36DC7">
        <w:rPr>
          <w:lang w:val="en-US"/>
        </w:rPr>
        <w:t xml:space="preserve"> </w:t>
      </w:r>
      <w:proofErr w:type="spellStart"/>
      <w:r w:rsidRPr="00C36DC7">
        <w:rPr>
          <w:lang w:val="en-US"/>
        </w:rPr>
        <w:t>geniş</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akademisyen</w:t>
      </w:r>
      <w:proofErr w:type="spellEnd"/>
      <w:r w:rsidRPr="00C36DC7">
        <w:rPr>
          <w:lang w:val="en-US"/>
        </w:rPr>
        <w:t xml:space="preserve"> </w:t>
      </w:r>
      <w:proofErr w:type="spellStart"/>
      <w:r w:rsidRPr="00C36DC7">
        <w:rPr>
          <w:lang w:val="en-US"/>
        </w:rPr>
        <w:t>grubu</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anlamın</w:t>
      </w:r>
      <w:proofErr w:type="spellEnd"/>
      <w:r w:rsidRPr="00C36DC7">
        <w:rPr>
          <w:lang w:val="en-US"/>
        </w:rPr>
        <w:t xml:space="preserve"> hem </w:t>
      </w:r>
      <w:proofErr w:type="spellStart"/>
      <w:r w:rsidRPr="00C36DC7">
        <w:rPr>
          <w:lang w:val="en-US"/>
        </w:rPr>
        <w:t>yargısal</w:t>
      </w:r>
      <w:proofErr w:type="spellEnd"/>
      <w:r w:rsidRPr="00C36DC7">
        <w:rPr>
          <w:lang w:val="en-US"/>
        </w:rPr>
        <w:t xml:space="preserve"> hem de </w:t>
      </w:r>
      <w:proofErr w:type="spellStart"/>
      <w:r w:rsidRPr="00C36DC7">
        <w:rPr>
          <w:lang w:val="en-US"/>
        </w:rPr>
        <w:t>yargı</w:t>
      </w:r>
      <w:proofErr w:type="spellEnd"/>
      <w:r w:rsidRPr="00C36DC7">
        <w:rPr>
          <w:lang w:val="en-US"/>
        </w:rPr>
        <w:t xml:space="preserve"> </w:t>
      </w:r>
      <w:proofErr w:type="spellStart"/>
      <w:r w:rsidRPr="00C36DC7">
        <w:rPr>
          <w:lang w:val="en-US"/>
        </w:rPr>
        <w:t>dışı</w:t>
      </w:r>
      <w:proofErr w:type="spellEnd"/>
      <w:r w:rsidRPr="00C36DC7">
        <w:rPr>
          <w:lang w:val="en-US"/>
        </w:rPr>
        <w:t xml:space="preserve"> </w:t>
      </w:r>
      <w:proofErr w:type="spellStart"/>
      <w:r w:rsidRPr="00C36DC7">
        <w:rPr>
          <w:lang w:val="en-US"/>
        </w:rPr>
        <w:t>değerlendirilmesinin</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metinde</w:t>
      </w:r>
      <w:proofErr w:type="spellEnd"/>
      <w:r w:rsidRPr="00C36DC7">
        <w:rPr>
          <w:lang w:val="en-US"/>
        </w:rPr>
        <w:t xml:space="preserve"> </w:t>
      </w:r>
      <w:proofErr w:type="spellStart"/>
      <w:r w:rsidRPr="00C36DC7">
        <w:rPr>
          <w:lang w:val="en-US"/>
        </w:rPr>
        <w:t>açıkça</w:t>
      </w:r>
      <w:proofErr w:type="spellEnd"/>
      <w:r w:rsidRPr="00C36DC7">
        <w:rPr>
          <w:lang w:val="en-US"/>
        </w:rPr>
        <w:t xml:space="preserve"> </w:t>
      </w:r>
      <w:proofErr w:type="spellStart"/>
      <w:r w:rsidRPr="00C36DC7">
        <w:rPr>
          <w:lang w:val="en-US"/>
        </w:rPr>
        <w:t>belirtilmemesine</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çoğu</w:t>
      </w:r>
      <w:proofErr w:type="spellEnd"/>
      <w:r w:rsidRPr="00C36DC7">
        <w:rPr>
          <w:lang w:val="en-US"/>
        </w:rPr>
        <w:t xml:space="preserve"> zaman </w:t>
      </w:r>
      <w:proofErr w:type="spellStart"/>
      <w:r w:rsidRPr="00C36DC7">
        <w:rPr>
          <w:lang w:val="en-US"/>
        </w:rPr>
        <w:t>anayasal</w:t>
      </w:r>
      <w:proofErr w:type="spellEnd"/>
      <w:r w:rsidRPr="00C36DC7">
        <w:rPr>
          <w:lang w:val="en-US"/>
        </w:rPr>
        <w:t xml:space="preserve"> </w:t>
      </w:r>
      <w:proofErr w:type="spellStart"/>
      <w:r w:rsidRPr="00C36DC7">
        <w:rPr>
          <w:lang w:val="en-US"/>
        </w:rPr>
        <w:t>davalarda</w:t>
      </w:r>
      <w:proofErr w:type="spellEnd"/>
      <w:r w:rsidRPr="00C36DC7">
        <w:rPr>
          <w:lang w:val="en-US"/>
        </w:rPr>
        <w:t xml:space="preserve"> </w:t>
      </w:r>
      <w:proofErr w:type="spellStart"/>
      <w:r w:rsidRPr="00C36DC7">
        <w:rPr>
          <w:lang w:val="en-US"/>
        </w:rPr>
        <w:t>görünmez</w:t>
      </w:r>
      <w:proofErr w:type="spellEnd"/>
      <w:r w:rsidRPr="00C36DC7">
        <w:rPr>
          <w:lang w:val="en-US"/>
        </w:rPr>
        <w:t xml:space="preserve"> </w:t>
      </w:r>
      <w:proofErr w:type="spellStart"/>
      <w:r w:rsidRPr="00C36DC7">
        <w:rPr>
          <w:lang w:val="en-US"/>
        </w:rPr>
        <w:t>olmasına</w:t>
      </w:r>
      <w:proofErr w:type="spellEnd"/>
      <w:r w:rsidRPr="00C36DC7">
        <w:rPr>
          <w:lang w:val="en-US"/>
        </w:rPr>
        <w:t xml:space="preserve"> </w:t>
      </w:r>
      <w:proofErr w:type="spellStart"/>
      <w:r w:rsidRPr="00C36DC7">
        <w:rPr>
          <w:lang w:val="en-US"/>
        </w:rPr>
        <w:t>rağmen</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kültürümüze</w:t>
      </w:r>
      <w:proofErr w:type="spellEnd"/>
      <w:r w:rsidRPr="00C36DC7">
        <w:rPr>
          <w:lang w:val="en-US"/>
        </w:rPr>
        <w:t xml:space="preserve"> </w:t>
      </w:r>
      <w:proofErr w:type="spellStart"/>
      <w:r w:rsidRPr="00C36DC7">
        <w:rPr>
          <w:lang w:val="en-US"/>
        </w:rPr>
        <w:t>derinlemesine</w:t>
      </w:r>
      <w:proofErr w:type="spellEnd"/>
      <w:r w:rsidRPr="00C36DC7">
        <w:rPr>
          <w:lang w:val="en-US"/>
        </w:rPr>
        <w:t xml:space="preserve"> </w:t>
      </w:r>
      <w:proofErr w:type="spellStart"/>
      <w:r w:rsidRPr="00C36DC7">
        <w:rPr>
          <w:lang w:val="en-US"/>
        </w:rPr>
        <w:t>yerleşmiş</w:t>
      </w:r>
      <w:proofErr w:type="spellEnd"/>
      <w:r w:rsidRPr="00C36DC7">
        <w:rPr>
          <w:lang w:val="en-US"/>
        </w:rPr>
        <w:t xml:space="preserve"> </w:t>
      </w:r>
      <w:proofErr w:type="spellStart"/>
      <w:r w:rsidRPr="00C36DC7">
        <w:rPr>
          <w:lang w:val="en-US"/>
        </w:rPr>
        <w:t>unsurlara</w:t>
      </w:r>
      <w:proofErr w:type="spellEnd"/>
      <w:r w:rsidRPr="00C36DC7">
        <w:rPr>
          <w:lang w:val="en-US"/>
        </w:rPr>
        <w:t xml:space="preserve"> </w:t>
      </w:r>
      <w:proofErr w:type="spellStart"/>
      <w:r w:rsidRPr="00C36DC7">
        <w:rPr>
          <w:lang w:val="en-US"/>
        </w:rPr>
        <w:t>dayandığını</w:t>
      </w:r>
      <w:proofErr w:type="spellEnd"/>
      <w:r w:rsidRPr="00C36DC7">
        <w:rPr>
          <w:lang w:val="en-US"/>
        </w:rPr>
        <w:t xml:space="preserve"> </w:t>
      </w:r>
      <w:proofErr w:type="spellStart"/>
      <w:r w:rsidRPr="00C36DC7">
        <w:rPr>
          <w:lang w:val="en-US"/>
        </w:rPr>
        <w:t>daha</w:t>
      </w:r>
      <w:proofErr w:type="spellEnd"/>
      <w:r w:rsidRPr="00C36DC7">
        <w:rPr>
          <w:lang w:val="en-US"/>
        </w:rPr>
        <w:t xml:space="preserve"> </w:t>
      </w:r>
      <w:proofErr w:type="spellStart"/>
      <w:r w:rsidRPr="00C36DC7">
        <w:rPr>
          <w:lang w:val="en-US"/>
        </w:rPr>
        <w:t>ayrıntılı</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şekilde</w:t>
      </w:r>
      <w:proofErr w:type="spellEnd"/>
      <w:r w:rsidRPr="00C36DC7">
        <w:rPr>
          <w:lang w:val="en-US"/>
        </w:rPr>
        <w:t xml:space="preserve"> </w:t>
      </w:r>
      <w:proofErr w:type="spellStart"/>
      <w:r w:rsidRPr="00C36DC7">
        <w:rPr>
          <w:lang w:val="en-US"/>
        </w:rPr>
        <w:t>incelemiştir</w:t>
      </w:r>
      <w:proofErr w:type="spellEnd"/>
      <w:r w:rsidRPr="00C36DC7">
        <w:rPr>
          <w:lang w:val="en-US"/>
        </w:rPr>
        <w:t>.</w:t>
      </w:r>
      <w:r>
        <w:rPr>
          <w:lang w:val="en-US"/>
        </w:rPr>
        <w:t xml:space="preserve"> </w:t>
      </w:r>
      <w:r w:rsidRPr="00C36DC7">
        <w:rPr>
          <w:lang w:val="en-US"/>
        </w:rPr>
        <w:t xml:space="preserve">Bu </w:t>
      </w:r>
      <w:proofErr w:type="spellStart"/>
      <w:r w:rsidRPr="00C36DC7">
        <w:rPr>
          <w:lang w:val="en-US"/>
        </w:rPr>
        <w:t>bağlamda</w:t>
      </w:r>
      <w:proofErr w:type="spellEnd"/>
      <w:r w:rsidRPr="00C36DC7">
        <w:rPr>
          <w:lang w:val="en-US"/>
        </w:rPr>
        <w:t xml:space="preserve">, Ted </w:t>
      </w:r>
      <w:proofErr w:type="spellStart"/>
      <w:r w:rsidRPr="00C36DC7">
        <w:rPr>
          <w:lang w:val="en-US"/>
        </w:rPr>
        <w:t>White’ın</w:t>
      </w:r>
      <w:proofErr w:type="spellEnd"/>
      <w:r w:rsidRPr="00C36DC7">
        <w:rPr>
          <w:lang w:val="en-US"/>
        </w:rPr>
        <w:t xml:space="preserve"> </w:t>
      </w:r>
      <w:proofErr w:type="spellStart"/>
      <w:r w:rsidRPr="00C36DC7">
        <w:rPr>
          <w:lang w:val="en-US"/>
        </w:rPr>
        <w:t>doktrinel</w:t>
      </w:r>
      <w:proofErr w:type="spellEnd"/>
      <w:r w:rsidRPr="00C36DC7">
        <w:rPr>
          <w:lang w:val="en-US"/>
        </w:rPr>
        <w:t xml:space="preserve"> </w:t>
      </w:r>
      <w:proofErr w:type="spellStart"/>
      <w:r w:rsidRPr="00C36DC7">
        <w:rPr>
          <w:lang w:val="en-US"/>
        </w:rPr>
        <w:t>biçimlerin</w:t>
      </w:r>
      <w:proofErr w:type="spellEnd"/>
      <w:r w:rsidRPr="00C36DC7">
        <w:rPr>
          <w:lang w:val="en-US"/>
        </w:rPr>
        <w:t xml:space="preserve"> </w:t>
      </w:r>
      <w:proofErr w:type="spellStart"/>
      <w:r w:rsidRPr="00C36DC7">
        <w:rPr>
          <w:lang w:val="en-US"/>
        </w:rPr>
        <w:t>entelektüel</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kültürel</w:t>
      </w:r>
      <w:proofErr w:type="spellEnd"/>
      <w:r w:rsidRPr="00C36DC7">
        <w:rPr>
          <w:lang w:val="en-US"/>
        </w:rPr>
        <w:t xml:space="preserve"> </w:t>
      </w:r>
      <w:proofErr w:type="spellStart"/>
      <w:r w:rsidRPr="00C36DC7">
        <w:rPr>
          <w:lang w:val="en-US"/>
        </w:rPr>
        <w:t>tarihine</w:t>
      </w:r>
      <w:proofErr w:type="spellEnd"/>
      <w:r w:rsidRPr="00C36DC7">
        <w:rPr>
          <w:lang w:val="en-US"/>
        </w:rPr>
        <w:t xml:space="preserve"> </w:t>
      </w:r>
      <w:proofErr w:type="spellStart"/>
      <w:r w:rsidRPr="00C36DC7">
        <w:rPr>
          <w:lang w:val="en-US"/>
        </w:rPr>
        <w:t>dair</w:t>
      </w:r>
      <w:proofErr w:type="spellEnd"/>
      <w:r w:rsidRPr="00C36DC7">
        <w:rPr>
          <w:lang w:val="en-US"/>
        </w:rPr>
        <w:t xml:space="preserve"> çalışmaları,²¹²</w:t>
      </w:r>
      <w:r>
        <w:rPr>
          <w:lang w:val="en-US"/>
        </w:rPr>
        <w:t xml:space="preserve"> </w:t>
      </w:r>
      <w:r>
        <w:rPr>
          <w:rStyle w:val="FootnoteReference"/>
          <w:lang w:val="en-US"/>
        </w:rPr>
        <w:footnoteReference w:id="212"/>
      </w:r>
      <w:r w:rsidRPr="00C36DC7">
        <w:rPr>
          <w:lang w:val="en-US"/>
        </w:rPr>
        <w:t xml:space="preserve"> Ernie Young’un “</w:t>
      </w:r>
      <w:proofErr w:type="spellStart"/>
      <w:r w:rsidRPr="00C36DC7">
        <w:rPr>
          <w:lang w:val="en-US"/>
        </w:rPr>
        <w:t>kanonik</w:t>
      </w:r>
      <w:proofErr w:type="spellEnd"/>
      <w:r w:rsidRPr="00C36DC7">
        <w:rPr>
          <w:lang w:val="en-US"/>
        </w:rPr>
        <w:t xml:space="preserve"> </w:t>
      </w:r>
      <w:proofErr w:type="spellStart"/>
      <w:r w:rsidRPr="00C36DC7">
        <w:rPr>
          <w:lang w:val="en-US"/>
        </w:rPr>
        <w:t>olmayan</w:t>
      </w:r>
      <w:proofErr w:type="spellEnd"/>
      <w:r w:rsidRPr="00C36DC7">
        <w:rPr>
          <w:lang w:val="en-US"/>
        </w:rPr>
        <w:t>” (</w:t>
      </w:r>
      <w:r w:rsidRPr="00C36DC7">
        <w:rPr>
          <w:i/>
          <w:iCs/>
          <w:lang w:val="en-US"/>
        </w:rPr>
        <w:t>extracanonical</w:t>
      </w:r>
      <w:r w:rsidRPr="00C36DC7">
        <w:rPr>
          <w:lang w:val="en-US"/>
        </w:rPr>
        <w:t xml:space="preserve">) </w:t>
      </w:r>
      <w:proofErr w:type="spellStart"/>
      <w:r w:rsidRPr="00C36DC7">
        <w:rPr>
          <w:lang w:val="en-US"/>
        </w:rPr>
        <w:t>Anayasa</w:t>
      </w:r>
      <w:proofErr w:type="spellEnd"/>
      <w:r w:rsidRPr="00C36DC7">
        <w:rPr>
          <w:lang w:val="en-US"/>
        </w:rPr>
        <w:t xml:space="preserve"> </w:t>
      </w:r>
      <w:proofErr w:type="spellStart"/>
      <w:r w:rsidRPr="00C36DC7">
        <w:rPr>
          <w:lang w:val="en-US"/>
        </w:rPr>
        <w:t>hakkındaki</w:t>
      </w:r>
      <w:proofErr w:type="spellEnd"/>
      <w:r w:rsidRPr="00C36DC7">
        <w:rPr>
          <w:lang w:val="en-US"/>
        </w:rPr>
        <w:t xml:space="preserve"> tartışmaları,²¹³ </w:t>
      </w:r>
      <w:r>
        <w:rPr>
          <w:rStyle w:val="FootnoteReference"/>
          <w:lang w:val="en-US"/>
        </w:rPr>
        <w:footnoteReference w:id="213"/>
      </w:r>
      <w:r>
        <w:rPr>
          <w:lang w:val="en-US"/>
        </w:rPr>
        <w:t xml:space="preserve"> </w:t>
      </w:r>
      <w:r w:rsidRPr="00C36DC7">
        <w:rPr>
          <w:lang w:val="en-US"/>
        </w:rPr>
        <w:t xml:space="preserve">Tommy </w:t>
      </w:r>
      <w:proofErr w:type="spellStart"/>
      <w:r w:rsidRPr="00C36DC7">
        <w:rPr>
          <w:lang w:val="en-US"/>
        </w:rPr>
        <w:t>Crocker’ın</w:t>
      </w:r>
      <w:proofErr w:type="spellEnd"/>
      <w:r w:rsidRPr="00C36DC7">
        <w:rPr>
          <w:lang w:val="en-US"/>
        </w:rPr>
        <w:t xml:space="preserve"> “</w:t>
      </w:r>
      <w:proofErr w:type="spellStart"/>
      <w:r w:rsidRPr="00C36DC7">
        <w:rPr>
          <w:lang w:val="en-US"/>
        </w:rPr>
        <w:t>zorunluluk</w:t>
      </w:r>
      <w:proofErr w:type="spellEnd"/>
      <w:r w:rsidRPr="00C36DC7">
        <w:rPr>
          <w:lang w:val="en-US"/>
        </w:rPr>
        <w:t>” (</w:t>
      </w:r>
      <w:r w:rsidRPr="00C36DC7">
        <w:rPr>
          <w:i/>
          <w:iCs/>
          <w:lang w:val="en-US"/>
        </w:rPr>
        <w:t>necessity</w:t>
      </w:r>
      <w:r w:rsidRPr="00C36DC7">
        <w:rPr>
          <w:lang w:val="en-US"/>
        </w:rPr>
        <w:t xml:space="preserve">) </w:t>
      </w:r>
      <w:proofErr w:type="spellStart"/>
      <w:r w:rsidRPr="00C36DC7">
        <w:rPr>
          <w:lang w:val="en-US"/>
        </w:rPr>
        <w:t>kavramının</w:t>
      </w:r>
      <w:proofErr w:type="spellEnd"/>
      <w:r w:rsidRPr="00C36DC7">
        <w:rPr>
          <w:lang w:val="en-US"/>
        </w:rPr>
        <w:t xml:space="preserve"> </w:t>
      </w:r>
      <w:proofErr w:type="spellStart"/>
      <w:r w:rsidRPr="00C36DC7">
        <w:rPr>
          <w:lang w:val="en-US"/>
        </w:rPr>
        <w:t>anayasal</w:t>
      </w:r>
      <w:proofErr w:type="spellEnd"/>
      <w:r w:rsidRPr="00C36DC7">
        <w:rPr>
          <w:lang w:val="en-US"/>
        </w:rPr>
        <w:t xml:space="preserve"> </w:t>
      </w:r>
      <w:proofErr w:type="spellStart"/>
      <w:r w:rsidRPr="00C36DC7">
        <w:rPr>
          <w:lang w:val="en-US"/>
        </w:rPr>
        <w:t>söylemimize</w:t>
      </w:r>
      <w:proofErr w:type="spellEnd"/>
      <w:r w:rsidRPr="00C36DC7">
        <w:rPr>
          <w:lang w:val="en-US"/>
        </w:rPr>
        <w:t xml:space="preserve"> </w:t>
      </w:r>
      <w:proofErr w:type="spellStart"/>
      <w:r w:rsidRPr="00C36DC7">
        <w:rPr>
          <w:lang w:val="en-US"/>
        </w:rPr>
        <w:t>nasıl</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neden</w:t>
      </w:r>
      <w:proofErr w:type="spellEnd"/>
      <w:r w:rsidRPr="00C36DC7">
        <w:rPr>
          <w:lang w:val="en-US"/>
        </w:rPr>
        <w:t xml:space="preserve"> </w:t>
      </w:r>
      <w:proofErr w:type="spellStart"/>
      <w:r w:rsidRPr="00C36DC7">
        <w:rPr>
          <w:lang w:val="en-US"/>
        </w:rPr>
        <w:t>yerleştiğine</w:t>
      </w:r>
      <w:proofErr w:type="spellEnd"/>
      <w:r w:rsidRPr="00C36DC7">
        <w:rPr>
          <w:lang w:val="en-US"/>
        </w:rPr>
        <w:t xml:space="preserve"> </w:t>
      </w:r>
      <w:proofErr w:type="spellStart"/>
      <w:r w:rsidRPr="00C36DC7">
        <w:rPr>
          <w:lang w:val="en-US"/>
        </w:rPr>
        <w:t>ilişkin</w:t>
      </w:r>
      <w:proofErr w:type="spellEnd"/>
      <w:r w:rsidRPr="00C36DC7">
        <w:rPr>
          <w:lang w:val="en-US"/>
        </w:rPr>
        <w:t xml:space="preserve"> </w:t>
      </w:r>
      <w:proofErr w:type="spellStart"/>
      <w:r w:rsidRPr="00C36DC7">
        <w:rPr>
          <w:lang w:val="en-US"/>
        </w:rPr>
        <w:t>geniş</w:t>
      </w:r>
      <w:proofErr w:type="spellEnd"/>
      <w:r w:rsidRPr="00C36DC7">
        <w:rPr>
          <w:lang w:val="en-US"/>
        </w:rPr>
        <w:t xml:space="preserve"> </w:t>
      </w:r>
      <w:proofErr w:type="spellStart"/>
      <w:r w:rsidRPr="00C36DC7">
        <w:rPr>
          <w:lang w:val="en-US"/>
        </w:rPr>
        <w:t>kapsamlı</w:t>
      </w:r>
      <w:proofErr w:type="spellEnd"/>
      <w:r w:rsidRPr="00C36DC7">
        <w:rPr>
          <w:lang w:val="en-US"/>
        </w:rPr>
        <w:t xml:space="preserve"> incelemesi²¹⁴</w:t>
      </w:r>
      <w:r>
        <w:rPr>
          <w:lang w:val="en-US"/>
        </w:rPr>
        <w:t xml:space="preserve"> </w:t>
      </w:r>
      <w:r>
        <w:rPr>
          <w:rStyle w:val="FootnoteReference"/>
          <w:lang w:val="en-US"/>
        </w:rPr>
        <w:footnoteReference w:id="214"/>
      </w:r>
      <w:r w:rsidRPr="00C36DC7">
        <w:rPr>
          <w:lang w:val="en-US"/>
        </w:rPr>
        <w:t xml:space="preserve"> </w:t>
      </w:r>
      <w:proofErr w:type="spellStart"/>
      <w:r w:rsidRPr="00C36DC7">
        <w:rPr>
          <w:lang w:val="en-US"/>
        </w:rPr>
        <w:t>ve</w:t>
      </w:r>
      <w:proofErr w:type="spellEnd"/>
      <w:r w:rsidRPr="00C36DC7">
        <w:rPr>
          <w:lang w:val="en-US"/>
        </w:rPr>
        <w:t xml:space="preserve"> Caleb Nelson’ın, </w:t>
      </w:r>
      <w:proofErr w:type="spellStart"/>
      <w:r w:rsidRPr="00C36DC7">
        <w:rPr>
          <w:lang w:val="en-US"/>
        </w:rPr>
        <w:t>yargıçların</w:t>
      </w:r>
      <w:proofErr w:type="spellEnd"/>
      <w:r w:rsidRPr="00C36DC7">
        <w:rPr>
          <w:lang w:val="en-US"/>
        </w:rPr>
        <w:t xml:space="preserve"> </w:t>
      </w:r>
      <w:proofErr w:type="spellStart"/>
      <w:r w:rsidRPr="00C36DC7">
        <w:rPr>
          <w:lang w:val="en-US"/>
        </w:rPr>
        <w:t>kelimeleri</w:t>
      </w:r>
      <w:proofErr w:type="spellEnd"/>
      <w:r w:rsidRPr="00C36DC7">
        <w:rPr>
          <w:lang w:val="en-US"/>
        </w:rPr>
        <w:t xml:space="preserve"> </w:t>
      </w:r>
      <w:proofErr w:type="spellStart"/>
      <w:r w:rsidRPr="00C36DC7">
        <w:rPr>
          <w:lang w:val="en-US"/>
        </w:rPr>
        <w:t>nasıl</w:t>
      </w:r>
      <w:proofErr w:type="spellEnd"/>
      <w:r w:rsidRPr="00C36DC7">
        <w:rPr>
          <w:lang w:val="en-US"/>
        </w:rPr>
        <w:t xml:space="preserve"> </w:t>
      </w:r>
      <w:proofErr w:type="spellStart"/>
      <w:r w:rsidRPr="00C36DC7">
        <w:rPr>
          <w:lang w:val="en-US"/>
        </w:rPr>
        <w:t>yorumlaması</w:t>
      </w:r>
      <w:proofErr w:type="spellEnd"/>
      <w:r w:rsidRPr="00C36DC7">
        <w:rPr>
          <w:lang w:val="en-US"/>
        </w:rPr>
        <w:t xml:space="preserve">, </w:t>
      </w:r>
      <w:proofErr w:type="spellStart"/>
      <w:r w:rsidRPr="00C36DC7">
        <w:rPr>
          <w:lang w:val="en-US"/>
        </w:rPr>
        <w:t>yasaları</w:t>
      </w:r>
      <w:proofErr w:type="spellEnd"/>
      <w:r w:rsidRPr="00C36DC7">
        <w:rPr>
          <w:lang w:val="en-US"/>
        </w:rPr>
        <w:t xml:space="preserve"> </w:t>
      </w:r>
      <w:proofErr w:type="spellStart"/>
      <w:r w:rsidRPr="00C36DC7">
        <w:rPr>
          <w:lang w:val="en-US"/>
        </w:rPr>
        <w:t>nasıl</w:t>
      </w:r>
      <w:proofErr w:type="spellEnd"/>
      <w:r w:rsidRPr="00C36DC7">
        <w:rPr>
          <w:lang w:val="en-US"/>
        </w:rPr>
        <w:t xml:space="preserve"> </w:t>
      </w:r>
      <w:proofErr w:type="spellStart"/>
      <w:r w:rsidRPr="00C36DC7">
        <w:rPr>
          <w:lang w:val="en-US"/>
        </w:rPr>
        <w:t>anlamlandırması</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görevlerini</w:t>
      </w:r>
      <w:proofErr w:type="spellEnd"/>
      <w:r w:rsidRPr="00C36DC7">
        <w:rPr>
          <w:lang w:val="en-US"/>
        </w:rPr>
        <w:t xml:space="preserve"> </w:t>
      </w:r>
      <w:proofErr w:type="spellStart"/>
      <w:r w:rsidRPr="00C36DC7">
        <w:rPr>
          <w:lang w:val="en-US"/>
        </w:rPr>
        <w:t>nasıl</w:t>
      </w:r>
      <w:proofErr w:type="spellEnd"/>
      <w:r w:rsidRPr="00C36DC7">
        <w:rPr>
          <w:lang w:val="en-US"/>
        </w:rPr>
        <w:t xml:space="preserve"> </w:t>
      </w:r>
      <w:proofErr w:type="spellStart"/>
      <w:r w:rsidRPr="00C36DC7">
        <w:rPr>
          <w:lang w:val="en-US"/>
        </w:rPr>
        <w:t>yerine</w:t>
      </w:r>
      <w:proofErr w:type="spellEnd"/>
      <w:r w:rsidRPr="00C36DC7">
        <w:rPr>
          <w:lang w:val="en-US"/>
        </w:rPr>
        <w:t xml:space="preserve"> </w:t>
      </w:r>
      <w:proofErr w:type="spellStart"/>
      <w:r w:rsidRPr="00C36DC7">
        <w:rPr>
          <w:lang w:val="en-US"/>
        </w:rPr>
        <w:t>getirmesi</w:t>
      </w:r>
      <w:proofErr w:type="spellEnd"/>
      <w:r w:rsidRPr="00C36DC7">
        <w:rPr>
          <w:lang w:val="en-US"/>
        </w:rPr>
        <w:t xml:space="preserve"> </w:t>
      </w:r>
      <w:proofErr w:type="spellStart"/>
      <w:r w:rsidRPr="00C36DC7">
        <w:rPr>
          <w:lang w:val="en-US"/>
        </w:rPr>
        <w:t>gerektiğine</w:t>
      </w:r>
      <w:proofErr w:type="spellEnd"/>
      <w:r w:rsidRPr="00C36DC7">
        <w:rPr>
          <w:lang w:val="en-US"/>
        </w:rPr>
        <w:t xml:space="preserve"> </w:t>
      </w:r>
      <w:proofErr w:type="spellStart"/>
      <w:r w:rsidRPr="00C36DC7">
        <w:rPr>
          <w:lang w:val="en-US"/>
        </w:rPr>
        <w:t>ilişkin</w:t>
      </w:r>
      <w:proofErr w:type="spellEnd"/>
      <w:r w:rsidRPr="00C36DC7">
        <w:rPr>
          <w:lang w:val="en-US"/>
        </w:rPr>
        <w:t xml:space="preserve"> </w:t>
      </w:r>
      <w:proofErr w:type="spellStart"/>
      <w:r w:rsidRPr="00C36DC7">
        <w:rPr>
          <w:lang w:val="en-US"/>
        </w:rPr>
        <w:t>tarihsel</w:t>
      </w:r>
      <w:proofErr w:type="spellEnd"/>
      <w:r w:rsidRPr="00C36DC7">
        <w:rPr>
          <w:lang w:val="en-US"/>
        </w:rPr>
        <w:t xml:space="preserve"> </w:t>
      </w:r>
      <w:proofErr w:type="spellStart"/>
      <w:r w:rsidRPr="00C36DC7">
        <w:rPr>
          <w:lang w:val="en-US"/>
        </w:rPr>
        <w:t>beklentileri</w:t>
      </w:r>
      <w:proofErr w:type="spellEnd"/>
      <w:r w:rsidRPr="00C36DC7">
        <w:rPr>
          <w:lang w:val="en-US"/>
        </w:rPr>
        <w:t xml:space="preserve"> </w:t>
      </w:r>
      <w:proofErr w:type="spellStart"/>
      <w:r w:rsidRPr="00C36DC7">
        <w:rPr>
          <w:lang w:val="en-US"/>
        </w:rPr>
        <w:t>ayrıntılı</w:t>
      </w:r>
      <w:proofErr w:type="spellEnd"/>
      <w:r w:rsidRPr="00C36DC7">
        <w:rPr>
          <w:lang w:val="en-US"/>
        </w:rPr>
        <w:t xml:space="preserve"> </w:t>
      </w:r>
      <w:proofErr w:type="spellStart"/>
      <w:r w:rsidRPr="00C36DC7">
        <w:rPr>
          <w:lang w:val="en-US"/>
        </w:rPr>
        <w:t>bir</w:t>
      </w:r>
      <w:proofErr w:type="spellEnd"/>
      <w:r w:rsidRPr="00C36DC7">
        <w:rPr>
          <w:lang w:val="en-US"/>
        </w:rPr>
        <w:t xml:space="preserve"> </w:t>
      </w:r>
      <w:proofErr w:type="spellStart"/>
      <w:r w:rsidRPr="00C36DC7">
        <w:rPr>
          <w:lang w:val="en-US"/>
        </w:rPr>
        <w:t>şekilde</w:t>
      </w:r>
      <w:proofErr w:type="spellEnd"/>
      <w:r w:rsidRPr="00C36DC7">
        <w:rPr>
          <w:lang w:val="en-US"/>
        </w:rPr>
        <w:t xml:space="preserve"> </w:t>
      </w:r>
      <w:proofErr w:type="spellStart"/>
      <w:r w:rsidRPr="00C36DC7">
        <w:rPr>
          <w:lang w:val="en-US"/>
        </w:rPr>
        <w:t>ele</w:t>
      </w:r>
      <w:proofErr w:type="spellEnd"/>
      <w:r w:rsidRPr="00C36DC7">
        <w:rPr>
          <w:lang w:val="en-US"/>
        </w:rPr>
        <w:t xml:space="preserve"> </w:t>
      </w:r>
      <w:proofErr w:type="spellStart"/>
      <w:r w:rsidRPr="00C36DC7">
        <w:rPr>
          <w:lang w:val="en-US"/>
        </w:rPr>
        <w:t>alan</w:t>
      </w:r>
      <w:proofErr w:type="spellEnd"/>
      <w:r w:rsidRPr="00C36DC7">
        <w:rPr>
          <w:lang w:val="en-US"/>
        </w:rPr>
        <w:t xml:space="preserve"> çalışmaları²¹⁵</w:t>
      </w:r>
      <w:r>
        <w:rPr>
          <w:lang w:val="en-US"/>
        </w:rPr>
        <w:t xml:space="preserve"> </w:t>
      </w:r>
      <w:r>
        <w:rPr>
          <w:rStyle w:val="FootnoteReference"/>
          <w:lang w:val="en-US"/>
        </w:rPr>
        <w:footnoteReference w:id="215"/>
      </w:r>
      <w:r w:rsidRPr="00C36DC7">
        <w:rPr>
          <w:lang w:val="en-US"/>
        </w:rPr>
        <w:t xml:space="preserve"> </w:t>
      </w:r>
      <w:proofErr w:type="spellStart"/>
      <w:r w:rsidRPr="00C36DC7">
        <w:rPr>
          <w:lang w:val="en-US"/>
        </w:rPr>
        <w:t>gibi</w:t>
      </w:r>
      <w:proofErr w:type="spellEnd"/>
      <w:r w:rsidRPr="00C36DC7">
        <w:rPr>
          <w:lang w:val="en-US"/>
        </w:rPr>
        <w:t xml:space="preserve"> </w:t>
      </w:r>
      <w:proofErr w:type="spellStart"/>
      <w:r w:rsidRPr="00C36DC7">
        <w:rPr>
          <w:lang w:val="en-US"/>
        </w:rPr>
        <w:t>birbirinden</w:t>
      </w:r>
      <w:proofErr w:type="spellEnd"/>
      <w:r w:rsidRPr="00C36DC7">
        <w:rPr>
          <w:lang w:val="en-US"/>
        </w:rPr>
        <w:t xml:space="preserve"> </w:t>
      </w:r>
      <w:proofErr w:type="spellStart"/>
      <w:r w:rsidRPr="00C36DC7">
        <w:rPr>
          <w:lang w:val="en-US"/>
        </w:rPr>
        <w:t>farklı</w:t>
      </w:r>
      <w:proofErr w:type="spellEnd"/>
      <w:r w:rsidRPr="00C36DC7">
        <w:rPr>
          <w:lang w:val="en-US"/>
        </w:rPr>
        <w:t xml:space="preserve"> </w:t>
      </w:r>
      <w:proofErr w:type="spellStart"/>
      <w:r w:rsidRPr="00C36DC7">
        <w:rPr>
          <w:lang w:val="en-US"/>
        </w:rPr>
        <w:t>birçok</w:t>
      </w:r>
      <w:proofErr w:type="spellEnd"/>
      <w:r w:rsidRPr="00C36DC7">
        <w:rPr>
          <w:lang w:val="en-US"/>
        </w:rPr>
        <w:t xml:space="preserve"> </w:t>
      </w:r>
      <w:proofErr w:type="spellStart"/>
      <w:r w:rsidRPr="00C36DC7">
        <w:rPr>
          <w:lang w:val="en-US"/>
        </w:rPr>
        <w:t>eseri</w:t>
      </w:r>
      <w:proofErr w:type="spellEnd"/>
      <w:r w:rsidRPr="00C36DC7">
        <w:rPr>
          <w:lang w:val="en-US"/>
        </w:rPr>
        <w:t xml:space="preserve"> </w:t>
      </w:r>
      <w:proofErr w:type="spellStart"/>
      <w:r w:rsidRPr="00C36DC7">
        <w:rPr>
          <w:lang w:val="en-US"/>
        </w:rPr>
        <w:t>bu</w:t>
      </w:r>
      <w:proofErr w:type="spellEnd"/>
      <w:r w:rsidRPr="00C36DC7">
        <w:rPr>
          <w:lang w:val="en-US"/>
        </w:rPr>
        <w:t xml:space="preserve"> </w:t>
      </w:r>
      <w:proofErr w:type="spellStart"/>
      <w:r w:rsidRPr="00C36DC7">
        <w:rPr>
          <w:lang w:val="en-US"/>
        </w:rPr>
        <w:t>noktada</w:t>
      </w:r>
      <w:proofErr w:type="spellEnd"/>
      <w:r w:rsidRPr="00C36DC7">
        <w:rPr>
          <w:lang w:val="en-US"/>
        </w:rPr>
        <w:t xml:space="preserve"> </w:t>
      </w:r>
      <w:proofErr w:type="spellStart"/>
      <w:r w:rsidRPr="00C36DC7">
        <w:rPr>
          <w:lang w:val="en-US"/>
        </w:rPr>
        <w:t>önemli</w:t>
      </w:r>
      <w:proofErr w:type="spellEnd"/>
      <w:r w:rsidRPr="00C36DC7">
        <w:rPr>
          <w:lang w:val="en-US"/>
        </w:rPr>
        <w:t xml:space="preserve"> </w:t>
      </w:r>
      <w:proofErr w:type="spellStart"/>
      <w:r w:rsidRPr="00C36DC7">
        <w:rPr>
          <w:lang w:val="en-US"/>
        </w:rPr>
        <w:t>katkılar</w:t>
      </w:r>
      <w:proofErr w:type="spellEnd"/>
      <w:r w:rsidRPr="00C36DC7">
        <w:rPr>
          <w:lang w:val="en-US"/>
        </w:rPr>
        <w:t xml:space="preserve"> </w:t>
      </w:r>
      <w:proofErr w:type="spellStart"/>
      <w:r w:rsidRPr="00C36DC7">
        <w:rPr>
          <w:lang w:val="en-US"/>
        </w:rPr>
        <w:t>sunmaktadır</w:t>
      </w:r>
      <w:proofErr w:type="spellEnd"/>
      <w:r w:rsidRPr="00C36DC7">
        <w:rPr>
          <w:lang w:val="en-US"/>
        </w:rPr>
        <w:t>.</w:t>
      </w:r>
    </w:p>
    <w:p w14:paraId="3565E0C2" w14:textId="56EDA0D5" w:rsidR="00793CAD" w:rsidRDefault="00793CAD" w:rsidP="00793CAD">
      <w:pPr>
        <w:rPr>
          <w:lang w:val="en-US"/>
        </w:rPr>
      </w:pPr>
      <w:proofErr w:type="spellStart"/>
      <w:r w:rsidRPr="00793CAD">
        <w:rPr>
          <w:lang w:val="en-US"/>
        </w:rPr>
        <w:t>Anayasal</w:t>
      </w:r>
      <w:proofErr w:type="spellEnd"/>
      <w:r w:rsidRPr="00793CAD">
        <w:rPr>
          <w:lang w:val="en-US"/>
        </w:rPr>
        <w:t xml:space="preserve"> </w:t>
      </w:r>
      <w:proofErr w:type="spellStart"/>
      <w:r w:rsidRPr="00793CAD">
        <w:rPr>
          <w:lang w:val="en-US"/>
        </w:rPr>
        <w:t>kültür</w:t>
      </w:r>
      <w:proofErr w:type="spellEnd"/>
      <w:r w:rsidRPr="00793CAD">
        <w:rPr>
          <w:lang w:val="en-US"/>
        </w:rPr>
        <w:t xml:space="preserve"> </w:t>
      </w:r>
      <w:proofErr w:type="spellStart"/>
      <w:r w:rsidRPr="00793CAD">
        <w:rPr>
          <w:lang w:val="en-US"/>
        </w:rPr>
        <w:t>perspektifi</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çalışmalar</w:t>
      </w:r>
      <w:proofErr w:type="spellEnd"/>
      <w:r w:rsidRPr="00793CAD">
        <w:rPr>
          <w:lang w:val="en-US"/>
        </w:rPr>
        <w:t xml:space="preserve"> </w:t>
      </w:r>
      <w:proofErr w:type="spellStart"/>
      <w:r w:rsidRPr="00793CAD">
        <w:rPr>
          <w:lang w:val="en-US"/>
        </w:rPr>
        <w:t>arasındaki</w:t>
      </w:r>
      <w:proofErr w:type="spellEnd"/>
      <w:r w:rsidRPr="00793CAD">
        <w:rPr>
          <w:lang w:val="en-US"/>
        </w:rPr>
        <w:t xml:space="preserve"> </w:t>
      </w:r>
      <w:proofErr w:type="spellStart"/>
      <w:r w:rsidRPr="00793CAD">
        <w:rPr>
          <w:lang w:val="en-US"/>
        </w:rPr>
        <w:t>benzerlikleri</w:t>
      </w:r>
      <w:proofErr w:type="spellEnd"/>
      <w:r w:rsidRPr="00793CAD">
        <w:rPr>
          <w:lang w:val="en-US"/>
        </w:rPr>
        <w:t xml:space="preserve"> </w:t>
      </w:r>
      <w:proofErr w:type="spellStart"/>
      <w:r w:rsidRPr="00793CAD">
        <w:rPr>
          <w:lang w:val="en-US"/>
        </w:rPr>
        <w:t>vurgulamakta</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onları</w:t>
      </w:r>
      <w:proofErr w:type="spellEnd"/>
      <w:r w:rsidRPr="00793CAD">
        <w:rPr>
          <w:lang w:val="en-US"/>
        </w:rPr>
        <w:t xml:space="preserve"> </w:t>
      </w:r>
      <w:proofErr w:type="spellStart"/>
      <w:r w:rsidRPr="00793CAD">
        <w:rPr>
          <w:lang w:val="en-US"/>
        </w:rPr>
        <w:t>daha</w:t>
      </w:r>
      <w:proofErr w:type="spellEnd"/>
      <w:r w:rsidRPr="00793CAD">
        <w:rPr>
          <w:lang w:val="en-US"/>
        </w:rPr>
        <w:t xml:space="preserve"> </w:t>
      </w:r>
      <w:proofErr w:type="spellStart"/>
      <w:r w:rsidRPr="00793CAD">
        <w:rPr>
          <w:lang w:val="en-US"/>
        </w:rPr>
        <w:t>geniş</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teorik</w:t>
      </w:r>
      <w:proofErr w:type="spellEnd"/>
      <w:r w:rsidRPr="00793CAD">
        <w:rPr>
          <w:lang w:val="en-US"/>
        </w:rPr>
        <w:t xml:space="preserve"> </w:t>
      </w:r>
      <w:proofErr w:type="spellStart"/>
      <w:r w:rsidRPr="00793CAD">
        <w:rPr>
          <w:lang w:val="en-US"/>
        </w:rPr>
        <w:t>çerçeve</w:t>
      </w:r>
      <w:proofErr w:type="spellEnd"/>
      <w:r w:rsidRPr="00793CAD">
        <w:rPr>
          <w:lang w:val="en-US"/>
        </w:rPr>
        <w:t xml:space="preserve"> </w:t>
      </w:r>
      <w:proofErr w:type="spellStart"/>
      <w:r w:rsidRPr="00793CAD">
        <w:rPr>
          <w:lang w:val="en-US"/>
        </w:rPr>
        <w:t>içine</w:t>
      </w:r>
      <w:proofErr w:type="spellEnd"/>
      <w:r w:rsidRPr="00793CAD">
        <w:rPr>
          <w:lang w:val="en-US"/>
        </w:rPr>
        <w:t xml:space="preserve"> </w:t>
      </w:r>
      <w:proofErr w:type="spellStart"/>
      <w:r w:rsidRPr="00793CAD">
        <w:rPr>
          <w:lang w:val="en-US"/>
        </w:rPr>
        <w:t>yerleştirmektedir</w:t>
      </w:r>
      <w:proofErr w:type="spellEnd"/>
      <w:r w:rsidRPr="00793CAD">
        <w:rPr>
          <w:lang w:val="en-US"/>
        </w:rPr>
        <w:t xml:space="preserve">. Her </w:t>
      </w:r>
      <w:proofErr w:type="spellStart"/>
      <w:r w:rsidRPr="00793CAD">
        <w:rPr>
          <w:lang w:val="en-US"/>
        </w:rPr>
        <w:t>biri</w:t>
      </w:r>
      <w:proofErr w:type="spellEnd"/>
      <w:r w:rsidRPr="00793CAD">
        <w:rPr>
          <w:lang w:val="en-US"/>
        </w:rPr>
        <w:t xml:space="preserve">, </w:t>
      </w:r>
      <w:proofErr w:type="spellStart"/>
      <w:r w:rsidRPr="00793CAD">
        <w:rPr>
          <w:lang w:val="en-US"/>
        </w:rPr>
        <w:t>temel</w:t>
      </w:r>
      <w:proofErr w:type="spellEnd"/>
      <w:r w:rsidRPr="00793CAD">
        <w:rPr>
          <w:lang w:val="en-US"/>
        </w:rPr>
        <w:t xml:space="preserve"> </w:t>
      </w:r>
      <w:proofErr w:type="spellStart"/>
      <w:r w:rsidRPr="00793CAD">
        <w:rPr>
          <w:lang w:val="en-US"/>
        </w:rPr>
        <w:t>hukukumuzu</w:t>
      </w:r>
      <w:proofErr w:type="spellEnd"/>
      <w:r w:rsidRPr="00793CAD">
        <w:rPr>
          <w:lang w:val="en-US"/>
        </w:rPr>
        <w:t xml:space="preserve"> </w:t>
      </w:r>
      <w:proofErr w:type="spellStart"/>
      <w:r w:rsidRPr="00793CAD">
        <w:rPr>
          <w:lang w:val="en-US"/>
        </w:rPr>
        <w:t>nasıl</w:t>
      </w:r>
      <w:proofErr w:type="spellEnd"/>
      <w:r w:rsidRPr="00793CAD">
        <w:rPr>
          <w:lang w:val="en-US"/>
        </w:rPr>
        <w:t xml:space="preserve"> </w:t>
      </w:r>
      <w:proofErr w:type="spellStart"/>
      <w:r w:rsidRPr="00793CAD">
        <w:rPr>
          <w:lang w:val="en-US"/>
        </w:rPr>
        <w:t>kavramsallaştırdığımızı</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uyguladığımızı</w:t>
      </w:r>
      <w:proofErr w:type="spellEnd"/>
      <w:r w:rsidRPr="00793CAD">
        <w:rPr>
          <w:lang w:val="en-US"/>
        </w:rPr>
        <w:t xml:space="preserve"> </w:t>
      </w:r>
      <w:proofErr w:type="spellStart"/>
      <w:r w:rsidRPr="00793CAD">
        <w:rPr>
          <w:lang w:val="en-US"/>
        </w:rPr>
        <w:t>şekillendiren</w:t>
      </w:r>
      <w:proofErr w:type="spellEnd"/>
      <w:r w:rsidRPr="00793CAD">
        <w:rPr>
          <w:lang w:val="en-US"/>
        </w:rPr>
        <w:t xml:space="preserve"> </w:t>
      </w:r>
      <w:proofErr w:type="spellStart"/>
      <w:r w:rsidRPr="00793CAD">
        <w:rPr>
          <w:lang w:val="en-US"/>
        </w:rPr>
        <w:t>yorum</w:t>
      </w:r>
      <w:proofErr w:type="spellEnd"/>
      <w:r w:rsidRPr="00793CAD">
        <w:rPr>
          <w:lang w:val="en-US"/>
        </w:rPr>
        <w:t xml:space="preserve"> </w:t>
      </w:r>
      <w:proofErr w:type="spellStart"/>
      <w:r w:rsidRPr="00793CAD">
        <w:rPr>
          <w:lang w:val="en-US"/>
        </w:rPr>
        <w:t>normlarını</w:t>
      </w:r>
      <w:proofErr w:type="spellEnd"/>
      <w:r w:rsidRPr="00793CAD">
        <w:rPr>
          <w:lang w:val="en-US"/>
        </w:rPr>
        <w:t xml:space="preserve">, </w:t>
      </w:r>
      <w:proofErr w:type="spellStart"/>
      <w:r w:rsidRPr="00793CAD">
        <w:rPr>
          <w:lang w:val="en-US"/>
        </w:rPr>
        <w:t>düşünce</w:t>
      </w:r>
      <w:proofErr w:type="spellEnd"/>
      <w:r w:rsidRPr="00793CAD">
        <w:rPr>
          <w:lang w:val="en-US"/>
        </w:rPr>
        <w:t xml:space="preserve"> </w:t>
      </w:r>
      <w:proofErr w:type="spellStart"/>
      <w:r w:rsidRPr="00793CAD">
        <w:rPr>
          <w:lang w:val="en-US"/>
        </w:rPr>
        <w:t>alışkanlıklarını</w:t>
      </w:r>
      <w:proofErr w:type="spellEnd"/>
      <w:r w:rsidRPr="00793CAD">
        <w:rPr>
          <w:lang w:val="en-US"/>
        </w:rPr>
        <w:t xml:space="preserve"> </w:t>
      </w:r>
      <w:proofErr w:type="spellStart"/>
      <w:r w:rsidRPr="00793CAD">
        <w:rPr>
          <w:lang w:val="en-US"/>
        </w:rPr>
        <w:t>veya</w:t>
      </w:r>
      <w:proofErr w:type="spellEnd"/>
      <w:r w:rsidRPr="00793CAD">
        <w:rPr>
          <w:lang w:val="en-US"/>
        </w:rPr>
        <w:t xml:space="preserve"> </w:t>
      </w:r>
      <w:proofErr w:type="spellStart"/>
      <w:r w:rsidRPr="00793CAD">
        <w:rPr>
          <w:lang w:val="en-US"/>
        </w:rPr>
        <w:t>diğer</w:t>
      </w:r>
      <w:proofErr w:type="spellEnd"/>
      <w:r w:rsidRPr="00793CAD">
        <w:rPr>
          <w:lang w:val="en-US"/>
        </w:rPr>
        <w:t xml:space="preserve"> </w:t>
      </w:r>
      <w:proofErr w:type="spellStart"/>
      <w:r w:rsidRPr="00793CAD">
        <w:rPr>
          <w:lang w:val="en-US"/>
        </w:rPr>
        <w:t>entelektüel</w:t>
      </w:r>
      <w:proofErr w:type="spellEnd"/>
      <w:r w:rsidRPr="00793CAD">
        <w:rPr>
          <w:lang w:val="en-US"/>
        </w:rPr>
        <w:t xml:space="preserve"> </w:t>
      </w:r>
      <w:proofErr w:type="spellStart"/>
      <w:r w:rsidRPr="00793CAD">
        <w:rPr>
          <w:lang w:val="en-US"/>
        </w:rPr>
        <w:t>yapıları</w:t>
      </w:r>
      <w:proofErr w:type="spellEnd"/>
      <w:r w:rsidRPr="00793CAD">
        <w:rPr>
          <w:lang w:val="en-US"/>
        </w:rPr>
        <w:t xml:space="preserve"> </w:t>
      </w:r>
      <w:proofErr w:type="spellStart"/>
      <w:r w:rsidRPr="00793CAD">
        <w:rPr>
          <w:lang w:val="en-US"/>
        </w:rPr>
        <w:t>incelemektedir</w:t>
      </w:r>
      <w:proofErr w:type="spellEnd"/>
      <w:r w:rsidRPr="00793CAD">
        <w:rPr>
          <w:lang w:val="en-US"/>
        </w:rPr>
        <w:t>.</w:t>
      </w:r>
      <w:r>
        <w:rPr>
          <w:lang w:val="en-US"/>
        </w:rPr>
        <w:t xml:space="preserve"> </w:t>
      </w:r>
      <w:r w:rsidRPr="00793CAD">
        <w:rPr>
          <w:lang w:val="en-US"/>
        </w:rPr>
        <w:t xml:space="preserve">Bu </w:t>
      </w:r>
      <w:proofErr w:type="spellStart"/>
      <w:r w:rsidRPr="00793CAD">
        <w:rPr>
          <w:lang w:val="en-US"/>
        </w:rPr>
        <w:t>yapılar</w:t>
      </w:r>
      <w:proofErr w:type="spellEnd"/>
      <w:r w:rsidRPr="00793CAD">
        <w:rPr>
          <w:lang w:val="en-US"/>
        </w:rPr>
        <w:t xml:space="preserve">, </w:t>
      </w:r>
      <w:proofErr w:type="spellStart"/>
      <w:r w:rsidRPr="00793CAD">
        <w:rPr>
          <w:lang w:val="en-US"/>
        </w:rPr>
        <w:t>belirli</w:t>
      </w:r>
      <w:proofErr w:type="spellEnd"/>
      <w:r w:rsidRPr="00793CAD">
        <w:rPr>
          <w:lang w:val="en-US"/>
        </w:rPr>
        <w:t xml:space="preserve"> </w:t>
      </w:r>
      <w:proofErr w:type="spellStart"/>
      <w:r w:rsidRPr="00793CAD">
        <w:rPr>
          <w:lang w:val="en-US"/>
        </w:rPr>
        <w:t>tarihsel</w:t>
      </w:r>
      <w:proofErr w:type="spellEnd"/>
      <w:r w:rsidRPr="00793CAD">
        <w:rPr>
          <w:lang w:val="en-US"/>
        </w:rPr>
        <w:t xml:space="preserve"> </w:t>
      </w:r>
      <w:proofErr w:type="spellStart"/>
      <w:r w:rsidRPr="00793CAD">
        <w:rPr>
          <w:lang w:val="en-US"/>
        </w:rPr>
        <w:t>süreçlere</w:t>
      </w:r>
      <w:proofErr w:type="spellEnd"/>
      <w:r w:rsidRPr="00793CAD">
        <w:rPr>
          <w:lang w:val="en-US"/>
        </w:rPr>
        <w:t xml:space="preserve">, </w:t>
      </w:r>
      <w:proofErr w:type="spellStart"/>
      <w:r w:rsidRPr="00793CAD">
        <w:rPr>
          <w:lang w:val="en-US"/>
        </w:rPr>
        <w:t>yönelimlere</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diğer</w:t>
      </w:r>
      <w:proofErr w:type="spellEnd"/>
      <w:r w:rsidRPr="00793CAD">
        <w:rPr>
          <w:lang w:val="en-US"/>
        </w:rPr>
        <w:t xml:space="preserve"> </w:t>
      </w:r>
      <w:proofErr w:type="spellStart"/>
      <w:r w:rsidRPr="00793CAD">
        <w:rPr>
          <w:lang w:val="en-US"/>
        </w:rPr>
        <w:t>önemli</w:t>
      </w:r>
      <w:proofErr w:type="spellEnd"/>
      <w:r w:rsidRPr="00793CAD">
        <w:rPr>
          <w:lang w:val="en-US"/>
        </w:rPr>
        <w:t xml:space="preserve"> </w:t>
      </w:r>
      <w:proofErr w:type="spellStart"/>
      <w:r w:rsidRPr="00793CAD">
        <w:rPr>
          <w:lang w:val="en-US"/>
        </w:rPr>
        <w:t>kültürel</w:t>
      </w:r>
      <w:proofErr w:type="spellEnd"/>
      <w:r w:rsidRPr="00793CAD">
        <w:rPr>
          <w:lang w:val="en-US"/>
        </w:rPr>
        <w:t xml:space="preserve"> </w:t>
      </w:r>
      <w:proofErr w:type="spellStart"/>
      <w:r w:rsidRPr="00793CAD">
        <w:rPr>
          <w:lang w:val="en-US"/>
        </w:rPr>
        <w:t>alanlarla</w:t>
      </w:r>
      <w:proofErr w:type="spellEnd"/>
      <w:r w:rsidRPr="00793CAD">
        <w:rPr>
          <w:lang w:val="en-US"/>
        </w:rPr>
        <w:t xml:space="preserve"> </w:t>
      </w:r>
      <w:proofErr w:type="spellStart"/>
      <w:r w:rsidRPr="00793CAD">
        <w:rPr>
          <w:lang w:val="en-US"/>
        </w:rPr>
        <w:t>bağlantılara</w:t>
      </w:r>
      <w:proofErr w:type="spellEnd"/>
      <w:r w:rsidRPr="00793CAD">
        <w:rPr>
          <w:lang w:val="en-US"/>
        </w:rPr>
        <w:t xml:space="preserve"> </w:t>
      </w:r>
      <w:proofErr w:type="spellStart"/>
      <w:r w:rsidRPr="00793CAD">
        <w:rPr>
          <w:lang w:val="en-US"/>
        </w:rPr>
        <w:t>sahip</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sistemimizin</w:t>
      </w:r>
      <w:proofErr w:type="spellEnd"/>
      <w:r w:rsidRPr="00793CAD">
        <w:rPr>
          <w:lang w:val="en-US"/>
        </w:rPr>
        <w:t xml:space="preserve"> </w:t>
      </w:r>
      <w:proofErr w:type="spellStart"/>
      <w:r w:rsidRPr="00793CAD">
        <w:rPr>
          <w:lang w:val="en-US"/>
        </w:rPr>
        <w:t>unsurlarıdır</w:t>
      </w:r>
      <w:proofErr w:type="spellEnd"/>
      <w:r w:rsidRPr="00793CAD">
        <w:rPr>
          <w:lang w:val="en-US"/>
        </w:rPr>
        <w:t xml:space="preserve">. </w:t>
      </w:r>
      <w:proofErr w:type="spellStart"/>
      <w:r w:rsidRPr="00793CAD">
        <w:rPr>
          <w:lang w:val="en-US"/>
        </w:rPr>
        <w:t>Aynı</w:t>
      </w:r>
      <w:proofErr w:type="spellEnd"/>
      <w:r w:rsidRPr="00793CAD">
        <w:rPr>
          <w:lang w:val="en-US"/>
        </w:rPr>
        <w:t xml:space="preserve"> </w:t>
      </w:r>
      <w:proofErr w:type="spellStart"/>
      <w:r w:rsidRPr="00793CAD">
        <w:rPr>
          <w:lang w:val="en-US"/>
        </w:rPr>
        <w:t>zamanda</w:t>
      </w:r>
      <w:proofErr w:type="spellEnd"/>
      <w:r w:rsidRPr="00793CAD">
        <w:rPr>
          <w:lang w:val="en-US"/>
        </w:rPr>
        <w:t xml:space="preserve"> </w:t>
      </w:r>
      <w:proofErr w:type="spellStart"/>
      <w:r w:rsidRPr="00793CAD">
        <w:rPr>
          <w:lang w:val="en-US"/>
        </w:rPr>
        <w:t>belirleyici</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güç</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işlev</w:t>
      </w:r>
      <w:proofErr w:type="spellEnd"/>
      <w:r w:rsidRPr="00793CAD">
        <w:rPr>
          <w:lang w:val="en-US"/>
        </w:rPr>
        <w:t xml:space="preserve"> </w:t>
      </w:r>
      <w:proofErr w:type="spellStart"/>
      <w:r w:rsidRPr="00793CAD">
        <w:rPr>
          <w:lang w:val="en-US"/>
        </w:rPr>
        <w:t>görmekte</w:t>
      </w:r>
      <w:proofErr w:type="spellEnd"/>
      <w:r w:rsidRPr="00793CAD">
        <w:rPr>
          <w:lang w:val="en-US"/>
        </w:rPr>
        <w:t xml:space="preserve">, hem </w:t>
      </w:r>
      <w:proofErr w:type="spellStart"/>
      <w:r w:rsidRPr="00793CAD">
        <w:rPr>
          <w:lang w:val="en-US"/>
        </w:rPr>
        <w:t>yargı</w:t>
      </w:r>
      <w:proofErr w:type="spellEnd"/>
      <w:r w:rsidRPr="00793CAD">
        <w:rPr>
          <w:lang w:val="en-US"/>
        </w:rPr>
        <w:t xml:space="preserve"> </w:t>
      </w:r>
      <w:proofErr w:type="spellStart"/>
      <w:r w:rsidRPr="00793CAD">
        <w:rPr>
          <w:lang w:val="en-US"/>
        </w:rPr>
        <w:t>görüşlerinin</w:t>
      </w:r>
      <w:proofErr w:type="spellEnd"/>
      <w:r w:rsidRPr="00793CAD">
        <w:rPr>
          <w:lang w:val="en-US"/>
        </w:rPr>
        <w:t xml:space="preserve"> </w:t>
      </w:r>
      <w:proofErr w:type="spellStart"/>
      <w:r w:rsidRPr="00793CAD">
        <w:rPr>
          <w:lang w:val="en-US"/>
        </w:rPr>
        <w:t>içeriğini</w:t>
      </w:r>
      <w:proofErr w:type="spellEnd"/>
      <w:r w:rsidRPr="00793CAD">
        <w:rPr>
          <w:lang w:val="en-US"/>
        </w:rPr>
        <w:t xml:space="preserve"> </w:t>
      </w:r>
      <w:proofErr w:type="spellStart"/>
      <w:r w:rsidRPr="00793CAD">
        <w:rPr>
          <w:lang w:val="en-US"/>
        </w:rPr>
        <w:t>şekillendirmekte</w:t>
      </w:r>
      <w:proofErr w:type="spellEnd"/>
      <w:r w:rsidRPr="00793CAD">
        <w:rPr>
          <w:lang w:val="en-US"/>
        </w:rPr>
        <w:t xml:space="preserve"> hem de </w:t>
      </w:r>
      <w:proofErr w:type="spellStart"/>
      <w:r w:rsidRPr="00793CAD">
        <w:rPr>
          <w:lang w:val="en-US"/>
        </w:rPr>
        <w:t>Anayasa</w:t>
      </w:r>
      <w:proofErr w:type="spellEnd"/>
      <w:r w:rsidRPr="00793CAD">
        <w:rPr>
          <w:lang w:val="en-US"/>
        </w:rPr>
        <w:t xml:space="preserve"> </w:t>
      </w:r>
      <w:proofErr w:type="spellStart"/>
      <w:r w:rsidRPr="00793CAD">
        <w:rPr>
          <w:lang w:val="en-US"/>
        </w:rPr>
        <w:t>adına</w:t>
      </w:r>
      <w:proofErr w:type="spellEnd"/>
      <w:r w:rsidRPr="00793CAD">
        <w:rPr>
          <w:lang w:val="en-US"/>
        </w:rPr>
        <w:t xml:space="preserve"> </w:t>
      </w:r>
      <w:proofErr w:type="spellStart"/>
      <w:r w:rsidRPr="00793CAD">
        <w:rPr>
          <w:lang w:val="en-US"/>
        </w:rPr>
        <w:t>halka</w:t>
      </w:r>
      <w:proofErr w:type="spellEnd"/>
      <w:r w:rsidRPr="00793CAD">
        <w:rPr>
          <w:lang w:val="en-US"/>
        </w:rPr>
        <w:t xml:space="preserve"> </w:t>
      </w:r>
      <w:proofErr w:type="spellStart"/>
      <w:r w:rsidRPr="00793CAD">
        <w:rPr>
          <w:lang w:val="en-US"/>
        </w:rPr>
        <w:t>dayatılan</w:t>
      </w:r>
      <w:proofErr w:type="spellEnd"/>
      <w:r w:rsidRPr="00793CAD">
        <w:rPr>
          <w:lang w:val="en-US"/>
        </w:rPr>
        <w:t xml:space="preserve"> </w:t>
      </w:r>
      <w:proofErr w:type="spellStart"/>
      <w:r w:rsidRPr="00793CAD">
        <w:rPr>
          <w:lang w:val="en-US"/>
        </w:rPr>
        <w:t>veya</w:t>
      </w:r>
      <w:proofErr w:type="spellEnd"/>
      <w:r w:rsidRPr="00793CAD">
        <w:rPr>
          <w:lang w:val="en-US"/>
        </w:rPr>
        <w:t xml:space="preserve"> </w:t>
      </w:r>
      <w:proofErr w:type="spellStart"/>
      <w:r w:rsidRPr="00793CAD">
        <w:rPr>
          <w:lang w:val="en-US"/>
        </w:rPr>
        <w:t>sağlanan</w:t>
      </w:r>
      <w:proofErr w:type="spellEnd"/>
      <w:r w:rsidRPr="00793CAD">
        <w:rPr>
          <w:lang w:val="en-US"/>
        </w:rPr>
        <w:t xml:space="preserve"> </w:t>
      </w:r>
      <w:proofErr w:type="spellStart"/>
      <w:r w:rsidRPr="00793CAD">
        <w:rPr>
          <w:lang w:val="en-US"/>
        </w:rPr>
        <w:t>belirli</w:t>
      </w:r>
      <w:proofErr w:type="spellEnd"/>
      <w:r w:rsidRPr="00793CAD">
        <w:rPr>
          <w:lang w:val="en-US"/>
        </w:rPr>
        <w:t xml:space="preserve"> </w:t>
      </w:r>
      <w:proofErr w:type="spellStart"/>
      <w:r w:rsidRPr="00793CAD">
        <w:rPr>
          <w:lang w:val="en-US"/>
        </w:rPr>
        <w:t>kısıtlamaları</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fırsatları</w:t>
      </w:r>
      <w:proofErr w:type="spellEnd"/>
      <w:r w:rsidRPr="00793CAD">
        <w:rPr>
          <w:lang w:val="en-US"/>
        </w:rPr>
        <w:t xml:space="preserve"> </w:t>
      </w:r>
      <w:proofErr w:type="spellStart"/>
      <w:r w:rsidRPr="00793CAD">
        <w:rPr>
          <w:lang w:val="en-US"/>
        </w:rPr>
        <w:t>belirlemektedir</w:t>
      </w:r>
      <w:proofErr w:type="spellEnd"/>
      <w:r w:rsidRPr="00793CAD">
        <w:rPr>
          <w:lang w:val="en-US"/>
        </w:rPr>
        <w:t>.</w:t>
      </w:r>
    </w:p>
    <w:p w14:paraId="002BD9E8" w14:textId="084361A2" w:rsidR="00793CAD" w:rsidRPr="00793CAD" w:rsidRDefault="00793CAD" w:rsidP="00793CAD">
      <w:pPr>
        <w:pStyle w:val="ListParagraph"/>
        <w:numPr>
          <w:ilvl w:val="0"/>
          <w:numId w:val="17"/>
        </w:numPr>
        <w:rPr>
          <w:lang w:val="en-US"/>
        </w:rPr>
      </w:pPr>
      <w:r w:rsidRPr="00793CAD">
        <w:rPr>
          <w:b/>
          <w:bCs/>
          <w:lang w:val="en-US"/>
        </w:rPr>
        <w:lastRenderedPageBreak/>
        <w:t>"</w:t>
      </w:r>
      <w:proofErr w:type="spellStart"/>
      <w:r w:rsidRPr="00793CAD">
        <w:rPr>
          <w:b/>
          <w:bCs/>
          <w:lang w:val="en-US"/>
        </w:rPr>
        <w:t>Yaşayan</w:t>
      </w:r>
      <w:proofErr w:type="spellEnd"/>
      <w:r w:rsidRPr="00793CAD">
        <w:rPr>
          <w:b/>
          <w:bCs/>
          <w:lang w:val="en-US"/>
        </w:rPr>
        <w:t xml:space="preserve"> Anayasa" </w:t>
      </w:r>
      <w:proofErr w:type="spellStart"/>
      <w:r w:rsidRPr="00793CAD">
        <w:rPr>
          <w:b/>
          <w:bCs/>
          <w:lang w:val="en-US"/>
        </w:rPr>
        <w:t>Yerine</w:t>
      </w:r>
      <w:proofErr w:type="spellEnd"/>
      <w:r w:rsidRPr="00793CAD">
        <w:rPr>
          <w:b/>
          <w:bCs/>
          <w:lang w:val="en-US"/>
        </w:rPr>
        <w:t xml:space="preserve"> "</w:t>
      </w:r>
      <w:proofErr w:type="spellStart"/>
      <w:r w:rsidRPr="00793CAD">
        <w:rPr>
          <w:b/>
          <w:bCs/>
          <w:lang w:val="en-US"/>
        </w:rPr>
        <w:t>Yaşayan</w:t>
      </w:r>
      <w:proofErr w:type="spellEnd"/>
      <w:r w:rsidRPr="00793CAD">
        <w:rPr>
          <w:b/>
          <w:bCs/>
          <w:lang w:val="en-US"/>
        </w:rPr>
        <w:t xml:space="preserve"> </w:t>
      </w:r>
      <w:proofErr w:type="spellStart"/>
      <w:r w:rsidRPr="00793CAD">
        <w:rPr>
          <w:b/>
          <w:bCs/>
          <w:lang w:val="en-US"/>
        </w:rPr>
        <w:t>Anayasal</w:t>
      </w:r>
      <w:proofErr w:type="spellEnd"/>
      <w:r w:rsidRPr="00793CAD">
        <w:rPr>
          <w:b/>
          <w:bCs/>
          <w:lang w:val="en-US"/>
        </w:rPr>
        <w:t xml:space="preserve"> </w:t>
      </w:r>
      <w:proofErr w:type="spellStart"/>
      <w:r w:rsidRPr="00793CAD">
        <w:rPr>
          <w:b/>
          <w:bCs/>
          <w:lang w:val="en-US"/>
        </w:rPr>
        <w:t>Kültür</w:t>
      </w:r>
      <w:proofErr w:type="spellEnd"/>
      <w:r w:rsidRPr="00793CAD">
        <w:rPr>
          <w:b/>
          <w:bCs/>
          <w:lang w:val="en-US"/>
        </w:rPr>
        <w:t>"</w:t>
      </w:r>
    </w:p>
    <w:p w14:paraId="2703AEC9" w14:textId="2E4347FA" w:rsidR="00793CAD" w:rsidRDefault="00793CAD" w:rsidP="00793CAD">
      <w:pPr>
        <w:rPr>
          <w:lang w:val="en-US"/>
        </w:rPr>
      </w:pPr>
      <w:proofErr w:type="spellStart"/>
      <w:r w:rsidRPr="00793CAD">
        <w:rPr>
          <w:lang w:val="en-US"/>
        </w:rPr>
        <w:t>Anayasal</w:t>
      </w:r>
      <w:proofErr w:type="spellEnd"/>
      <w:r w:rsidRPr="00793CAD">
        <w:rPr>
          <w:lang w:val="en-US"/>
        </w:rPr>
        <w:t xml:space="preserve"> </w:t>
      </w:r>
      <w:proofErr w:type="spellStart"/>
      <w:r w:rsidRPr="00793CAD">
        <w:rPr>
          <w:lang w:val="en-US"/>
        </w:rPr>
        <w:t>kültür</w:t>
      </w:r>
      <w:proofErr w:type="spellEnd"/>
      <w:r w:rsidRPr="00793CAD">
        <w:rPr>
          <w:lang w:val="en-US"/>
        </w:rPr>
        <w:t xml:space="preserve"> </w:t>
      </w:r>
      <w:proofErr w:type="spellStart"/>
      <w:r w:rsidRPr="00793CAD">
        <w:rPr>
          <w:lang w:val="en-US"/>
        </w:rPr>
        <w:t>perspektifi</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yorumun</w:t>
      </w:r>
      <w:proofErr w:type="spellEnd"/>
      <w:r w:rsidRPr="00793CAD">
        <w:rPr>
          <w:lang w:val="en-US"/>
        </w:rPr>
        <w:t xml:space="preserve"> </w:t>
      </w:r>
      <w:proofErr w:type="spellStart"/>
      <w:r w:rsidRPr="00793CAD">
        <w:rPr>
          <w:lang w:val="en-US"/>
        </w:rPr>
        <w:t>en</w:t>
      </w:r>
      <w:proofErr w:type="spellEnd"/>
      <w:r w:rsidRPr="00793CAD">
        <w:rPr>
          <w:lang w:val="en-US"/>
        </w:rPr>
        <w:t xml:space="preserve"> </w:t>
      </w:r>
      <w:proofErr w:type="spellStart"/>
      <w:r w:rsidRPr="00793CAD">
        <w:rPr>
          <w:lang w:val="en-US"/>
        </w:rPr>
        <w:t>büyük</w:t>
      </w:r>
      <w:proofErr w:type="spellEnd"/>
      <w:r w:rsidRPr="00793CAD">
        <w:rPr>
          <w:lang w:val="en-US"/>
        </w:rPr>
        <w:t xml:space="preserve"> </w:t>
      </w:r>
      <w:proofErr w:type="spellStart"/>
      <w:r w:rsidRPr="00793CAD">
        <w:rPr>
          <w:lang w:val="en-US"/>
        </w:rPr>
        <w:t>bilmecelerinden</w:t>
      </w:r>
      <w:proofErr w:type="spellEnd"/>
      <w:r w:rsidRPr="00793CAD">
        <w:rPr>
          <w:lang w:val="en-US"/>
        </w:rPr>
        <w:t xml:space="preserve"> </w:t>
      </w:r>
      <w:proofErr w:type="spellStart"/>
      <w:r w:rsidRPr="00793CAD">
        <w:rPr>
          <w:lang w:val="en-US"/>
        </w:rPr>
        <w:t>birini</w:t>
      </w:r>
      <w:proofErr w:type="spellEnd"/>
      <w:r w:rsidRPr="00793CAD">
        <w:rPr>
          <w:lang w:val="en-US"/>
        </w:rPr>
        <w:t>, Ernie Young’un “</w:t>
      </w:r>
      <w:proofErr w:type="spellStart"/>
      <w:r w:rsidRPr="00793CAD">
        <w:rPr>
          <w:lang w:val="en-US"/>
        </w:rPr>
        <w:t>anayasal</w:t>
      </w:r>
      <w:proofErr w:type="spellEnd"/>
      <w:r w:rsidRPr="00793CAD">
        <w:rPr>
          <w:lang w:val="en-US"/>
        </w:rPr>
        <w:t xml:space="preserve"> </w:t>
      </w:r>
      <w:proofErr w:type="spellStart"/>
      <w:r w:rsidRPr="00793CAD">
        <w:rPr>
          <w:lang w:val="en-US"/>
        </w:rPr>
        <w:t>değişimin</w:t>
      </w:r>
      <w:proofErr w:type="spellEnd"/>
      <w:r w:rsidRPr="00793CAD">
        <w:rPr>
          <w:lang w:val="en-US"/>
        </w:rPr>
        <w:t xml:space="preserve"> </w:t>
      </w:r>
      <w:proofErr w:type="spellStart"/>
      <w:r w:rsidRPr="00793CAD">
        <w:rPr>
          <w:lang w:val="en-US"/>
        </w:rPr>
        <w:t>büyük</w:t>
      </w:r>
      <w:proofErr w:type="spellEnd"/>
      <w:r w:rsidRPr="00793CAD">
        <w:rPr>
          <w:lang w:val="en-US"/>
        </w:rPr>
        <w:t xml:space="preserve"> </w:t>
      </w:r>
      <w:proofErr w:type="spellStart"/>
      <w:r w:rsidRPr="00793CAD">
        <w:rPr>
          <w:lang w:val="en-US"/>
        </w:rPr>
        <w:t>bilmecesi</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adlandırdığı</w:t>
      </w:r>
      <w:proofErr w:type="spellEnd"/>
      <w:r w:rsidRPr="00793CAD">
        <w:rPr>
          <w:lang w:val="en-US"/>
        </w:rPr>
        <w:t xml:space="preserve"> sorunu²¹⁶</w:t>
      </w:r>
      <w:r>
        <w:rPr>
          <w:lang w:val="en-US"/>
        </w:rPr>
        <w:t xml:space="preserve"> </w:t>
      </w:r>
      <w:r>
        <w:rPr>
          <w:rStyle w:val="FootnoteReference"/>
          <w:lang w:val="en-US"/>
        </w:rPr>
        <w:footnoteReference w:id="216"/>
      </w:r>
      <w:r w:rsidRPr="00793CAD">
        <w:rPr>
          <w:lang w:val="en-US"/>
        </w:rPr>
        <w:t xml:space="preserve"> </w:t>
      </w:r>
      <w:proofErr w:type="spellStart"/>
      <w:r w:rsidRPr="00793CAD">
        <w:rPr>
          <w:lang w:val="en-US"/>
        </w:rPr>
        <w:t>açıklamaya</w:t>
      </w:r>
      <w:proofErr w:type="spellEnd"/>
      <w:r w:rsidRPr="00793CAD">
        <w:rPr>
          <w:lang w:val="en-US"/>
        </w:rPr>
        <w:t xml:space="preserve"> </w:t>
      </w:r>
      <w:proofErr w:type="spellStart"/>
      <w:r w:rsidRPr="00793CAD">
        <w:rPr>
          <w:lang w:val="en-US"/>
        </w:rPr>
        <w:t>yardımcı</w:t>
      </w:r>
      <w:proofErr w:type="spellEnd"/>
      <w:r w:rsidRPr="00793CAD">
        <w:rPr>
          <w:lang w:val="en-US"/>
        </w:rPr>
        <w:t xml:space="preserve"> </w:t>
      </w:r>
      <w:proofErr w:type="spellStart"/>
      <w:r w:rsidRPr="00793CAD">
        <w:rPr>
          <w:lang w:val="en-US"/>
        </w:rPr>
        <w:t>olmaktadır</w:t>
      </w:r>
      <w:proofErr w:type="spellEnd"/>
      <w:r w:rsidRPr="00793CAD">
        <w:rPr>
          <w:lang w:val="en-US"/>
        </w:rPr>
        <w:t xml:space="preserve">. </w:t>
      </w:r>
      <w:proofErr w:type="spellStart"/>
      <w:r w:rsidRPr="00793CAD">
        <w:rPr>
          <w:lang w:val="en-US"/>
        </w:rPr>
        <w:t>Basitçe</w:t>
      </w:r>
      <w:proofErr w:type="spellEnd"/>
      <w:r w:rsidRPr="00793CAD">
        <w:rPr>
          <w:lang w:val="en-US"/>
        </w:rPr>
        <w:t xml:space="preserve"> </w:t>
      </w:r>
      <w:proofErr w:type="spellStart"/>
      <w:r w:rsidRPr="00793CAD">
        <w:rPr>
          <w:lang w:val="en-US"/>
        </w:rPr>
        <w:t>ifade</w:t>
      </w:r>
      <w:proofErr w:type="spellEnd"/>
      <w:r w:rsidRPr="00793CAD">
        <w:rPr>
          <w:lang w:val="en-US"/>
        </w:rPr>
        <w:t xml:space="preserve"> </w:t>
      </w:r>
      <w:proofErr w:type="spellStart"/>
      <w:r w:rsidRPr="00793CAD">
        <w:rPr>
          <w:lang w:val="en-US"/>
        </w:rPr>
        <w:t>etmek</w:t>
      </w:r>
      <w:proofErr w:type="spellEnd"/>
      <w:r w:rsidRPr="00793CAD">
        <w:rPr>
          <w:lang w:val="en-US"/>
        </w:rPr>
        <w:t xml:space="preserve"> </w:t>
      </w:r>
      <w:proofErr w:type="spellStart"/>
      <w:r w:rsidRPr="00793CAD">
        <w:rPr>
          <w:lang w:val="en-US"/>
        </w:rPr>
        <w:t>gerekirse</w:t>
      </w:r>
      <w:proofErr w:type="spellEnd"/>
      <w:r w:rsidRPr="00793CAD">
        <w:rPr>
          <w:lang w:val="en-US"/>
        </w:rPr>
        <w:t xml:space="preserve">, </w:t>
      </w:r>
      <w:proofErr w:type="spellStart"/>
      <w:r w:rsidRPr="00793CAD">
        <w:rPr>
          <w:lang w:val="en-US"/>
        </w:rPr>
        <w:t>Anayasa’nın</w:t>
      </w:r>
      <w:proofErr w:type="spellEnd"/>
      <w:r w:rsidRPr="00793CAD">
        <w:rPr>
          <w:lang w:val="en-US"/>
        </w:rPr>
        <w:t xml:space="preserve"> </w:t>
      </w:r>
      <w:proofErr w:type="spellStart"/>
      <w:r w:rsidRPr="00793CAD">
        <w:rPr>
          <w:lang w:val="en-US"/>
        </w:rPr>
        <w:t>kendisi</w:t>
      </w:r>
      <w:proofErr w:type="spellEnd"/>
      <w:r w:rsidRPr="00793CAD">
        <w:rPr>
          <w:lang w:val="en-US"/>
        </w:rPr>
        <w:t xml:space="preserve"> </w:t>
      </w:r>
      <w:proofErr w:type="spellStart"/>
      <w:r w:rsidRPr="00793CAD">
        <w:rPr>
          <w:lang w:val="en-US"/>
        </w:rPr>
        <w:t>durağan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belge</w:t>
      </w:r>
      <w:proofErr w:type="spellEnd"/>
      <w:r w:rsidRPr="00793CAD">
        <w:rPr>
          <w:lang w:val="en-US"/>
        </w:rPr>
        <w:t xml:space="preserve"> </w:t>
      </w:r>
      <w:proofErr w:type="spellStart"/>
      <w:r w:rsidRPr="00793CAD">
        <w:rPr>
          <w:lang w:val="en-US"/>
        </w:rPr>
        <w:t>olduğuna</w:t>
      </w:r>
      <w:proofErr w:type="spellEnd"/>
      <w:r w:rsidRPr="00793CAD">
        <w:rPr>
          <w:lang w:val="en-US"/>
        </w:rPr>
        <w:t xml:space="preserve"> </w:t>
      </w:r>
      <w:proofErr w:type="spellStart"/>
      <w:r w:rsidRPr="00793CAD">
        <w:rPr>
          <w:lang w:val="en-US"/>
        </w:rPr>
        <w:t>göre</w:t>
      </w:r>
      <w:proofErr w:type="spellEnd"/>
      <w:r w:rsidRPr="00793CAD">
        <w:rPr>
          <w:lang w:val="en-US"/>
        </w:rPr>
        <w:t xml:space="preserve">, </w:t>
      </w:r>
      <w:proofErr w:type="spellStart"/>
      <w:r w:rsidRPr="00793CAD">
        <w:rPr>
          <w:lang w:val="en-US"/>
        </w:rPr>
        <w:t>anayasa</w:t>
      </w:r>
      <w:proofErr w:type="spellEnd"/>
      <w:r w:rsidRPr="00793CAD">
        <w:rPr>
          <w:lang w:val="en-US"/>
        </w:rPr>
        <w:t xml:space="preserve"> </w:t>
      </w:r>
      <w:proofErr w:type="spellStart"/>
      <w:r w:rsidRPr="00793CAD">
        <w:rPr>
          <w:lang w:val="en-US"/>
        </w:rPr>
        <w:t>hukukunun</w:t>
      </w:r>
      <w:proofErr w:type="spellEnd"/>
      <w:r w:rsidRPr="00793CAD">
        <w:rPr>
          <w:lang w:val="en-US"/>
        </w:rPr>
        <w:t xml:space="preserve"> </w:t>
      </w:r>
      <w:proofErr w:type="spellStart"/>
      <w:r w:rsidRPr="00793CAD">
        <w:rPr>
          <w:lang w:val="en-US"/>
        </w:rPr>
        <w:t>içeriği</w:t>
      </w:r>
      <w:proofErr w:type="spellEnd"/>
      <w:r w:rsidRPr="00793CAD">
        <w:rPr>
          <w:lang w:val="en-US"/>
        </w:rPr>
        <w:t xml:space="preserve"> </w:t>
      </w:r>
      <w:proofErr w:type="spellStart"/>
      <w:r w:rsidRPr="00793CAD">
        <w:rPr>
          <w:lang w:val="en-US"/>
        </w:rPr>
        <w:t>neden</w:t>
      </w:r>
      <w:proofErr w:type="spellEnd"/>
      <w:r w:rsidRPr="00793CAD">
        <w:rPr>
          <w:lang w:val="en-US"/>
        </w:rPr>
        <w:t xml:space="preserve"> </w:t>
      </w:r>
      <w:proofErr w:type="spellStart"/>
      <w:r w:rsidRPr="00793CAD">
        <w:rPr>
          <w:lang w:val="en-US"/>
        </w:rPr>
        <w:t>sürekli</w:t>
      </w:r>
      <w:proofErr w:type="spellEnd"/>
      <w:r w:rsidRPr="00793CAD">
        <w:rPr>
          <w:lang w:val="en-US"/>
        </w:rPr>
        <w:t xml:space="preserve"> </w:t>
      </w:r>
      <w:proofErr w:type="spellStart"/>
      <w:r w:rsidRPr="00793CAD">
        <w:rPr>
          <w:lang w:val="en-US"/>
        </w:rPr>
        <w:t>değişmektedir</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değişim</w:t>
      </w:r>
      <w:proofErr w:type="spellEnd"/>
      <w:r w:rsidRPr="00793CAD">
        <w:rPr>
          <w:lang w:val="en-US"/>
        </w:rPr>
        <w:t xml:space="preserve"> </w:t>
      </w:r>
      <w:proofErr w:type="spellStart"/>
      <w:r w:rsidRPr="00793CAD">
        <w:rPr>
          <w:lang w:val="en-US"/>
        </w:rPr>
        <w:t>olasılığı</w:t>
      </w:r>
      <w:proofErr w:type="spellEnd"/>
      <w:r w:rsidRPr="00793CAD">
        <w:rPr>
          <w:lang w:val="en-US"/>
        </w:rPr>
        <w:t xml:space="preserve"> </w:t>
      </w:r>
      <w:proofErr w:type="spellStart"/>
      <w:r w:rsidRPr="00793CAD">
        <w:rPr>
          <w:lang w:val="en-US"/>
        </w:rPr>
        <w:t>neden</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gözlemcilerin</w:t>
      </w:r>
      <w:proofErr w:type="spellEnd"/>
      <w:r w:rsidRPr="00793CAD">
        <w:rPr>
          <w:lang w:val="en-US"/>
        </w:rPr>
        <w:t xml:space="preserve"> </w:t>
      </w:r>
      <w:proofErr w:type="spellStart"/>
      <w:r w:rsidRPr="00793CAD">
        <w:rPr>
          <w:lang w:val="en-US"/>
        </w:rPr>
        <w:t>büyük</w:t>
      </w:r>
      <w:proofErr w:type="spellEnd"/>
      <w:r w:rsidRPr="00793CAD">
        <w:rPr>
          <w:lang w:val="en-US"/>
        </w:rPr>
        <w:t xml:space="preserve"> </w:t>
      </w:r>
      <w:proofErr w:type="spellStart"/>
      <w:r w:rsidRPr="00793CAD">
        <w:rPr>
          <w:lang w:val="en-US"/>
        </w:rPr>
        <w:t>çoğunluğu</w:t>
      </w:r>
      <w:proofErr w:type="spellEnd"/>
      <w:r w:rsidRPr="00793CAD">
        <w:rPr>
          <w:lang w:val="en-US"/>
        </w:rPr>
        <w:t xml:space="preserve"> </w:t>
      </w:r>
      <w:proofErr w:type="spellStart"/>
      <w:r w:rsidRPr="00793CAD">
        <w:rPr>
          <w:lang w:val="en-US"/>
        </w:rPr>
        <w:t>tarafından</w:t>
      </w:r>
      <w:proofErr w:type="spellEnd"/>
      <w:r w:rsidRPr="00793CAD">
        <w:rPr>
          <w:lang w:val="en-US"/>
        </w:rPr>
        <w:t xml:space="preserve"> </w:t>
      </w:r>
      <w:proofErr w:type="spellStart"/>
      <w:r w:rsidRPr="00793CAD">
        <w:rPr>
          <w:lang w:val="en-US"/>
        </w:rPr>
        <w:t>kabul</w:t>
      </w:r>
      <w:proofErr w:type="spellEnd"/>
      <w:r w:rsidRPr="00793CAD">
        <w:rPr>
          <w:lang w:val="en-US"/>
        </w:rPr>
        <w:t xml:space="preserve"> görmektedir?²¹⁷</w:t>
      </w:r>
      <w:r>
        <w:rPr>
          <w:lang w:val="en-US"/>
        </w:rPr>
        <w:t xml:space="preserve"> </w:t>
      </w:r>
      <w:r>
        <w:rPr>
          <w:rStyle w:val="FootnoteReference"/>
          <w:lang w:val="en-US"/>
        </w:rPr>
        <w:footnoteReference w:id="217"/>
      </w:r>
      <w:r>
        <w:rPr>
          <w:lang w:val="en-US"/>
        </w:rPr>
        <w:t xml:space="preserve"> </w:t>
      </w:r>
      <w:r w:rsidRPr="00793CAD">
        <w:rPr>
          <w:lang w:val="en-US"/>
        </w:rPr>
        <w:t xml:space="preserve">Bu </w:t>
      </w:r>
      <w:proofErr w:type="spellStart"/>
      <w:r w:rsidRPr="00793CAD">
        <w:rPr>
          <w:lang w:val="en-US"/>
        </w:rPr>
        <w:t>soruya</w:t>
      </w:r>
      <w:proofErr w:type="spellEnd"/>
      <w:r w:rsidRPr="00793CAD">
        <w:rPr>
          <w:lang w:val="en-US"/>
        </w:rPr>
        <w:t xml:space="preserve"> </w:t>
      </w:r>
      <w:proofErr w:type="spellStart"/>
      <w:r w:rsidRPr="00793CAD">
        <w:rPr>
          <w:lang w:val="en-US"/>
        </w:rPr>
        <w:t>hâkim</w:t>
      </w:r>
      <w:proofErr w:type="spellEnd"/>
      <w:r w:rsidRPr="00793CAD">
        <w:rPr>
          <w:lang w:val="en-US"/>
        </w:rPr>
        <w:t xml:space="preserve"> </w:t>
      </w:r>
      <w:proofErr w:type="spellStart"/>
      <w:r w:rsidRPr="00793CAD">
        <w:rPr>
          <w:lang w:val="en-US"/>
        </w:rPr>
        <w:t>olan</w:t>
      </w:r>
      <w:proofErr w:type="spellEnd"/>
      <w:r w:rsidRPr="00793CAD">
        <w:rPr>
          <w:lang w:val="en-US"/>
        </w:rPr>
        <w:t xml:space="preserve"> </w:t>
      </w:r>
      <w:proofErr w:type="spellStart"/>
      <w:r w:rsidRPr="00793CAD">
        <w:rPr>
          <w:lang w:val="en-US"/>
        </w:rPr>
        <w:t>metafor</w:t>
      </w:r>
      <w:proofErr w:type="spellEnd"/>
      <w:r w:rsidRPr="00793CAD">
        <w:rPr>
          <w:lang w:val="en-US"/>
        </w:rPr>
        <w:t xml:space="preserve">, </w:t>
      </w:r>
      <w:proofErr w:type="spellStart"/>
      <w:r w:rsidRPr="00793CAD">
        <w:rPr>
          <w:lang w:val="en-US"/>
        </w:rPr>
        <w:t>halkın</w:t>
      </w:r>
      <w:proofErr w:type="spellEnd"/>
      <w:r w:rsidRPr="00793CAD">
        <w:rPr>
          <w:lang w:val="en-US"/>
        </w:rPr>
        <w:t xml:space="preserve"> </w:t>
      </w:r>
      <w:proofErr w:type="spellStart"/>
      <w:r w:rsidRPr="00793CAD">
        <w:rPr>
          <w:lang w:val="en-US"/>
        </w:rPr>
        <w:t>değişen</w:t>
      </w:r>
      <w:proofErr w:type="spellEnd"/>
      <w:r w:rsidRPr="00793CAD">
        <w:rPr>
          <w:lang w:val="en-US"/>
        </w:rPr>
        <w:t xml:space="preserve"> </w:t>
      </w:r>
      <w:proofErr w:type="spellStart"/>
      <w:r w:rsidRPr="00793CAD">
        <w:rPr>
          <w:lang w:val="en-US"/>
        </w:rPr>
        <w:t>arzularına</w:t>
      </w:r>
      <w:proofErr w:type="spellEnd"/>
      <w:r w:rsidRPr="00793CAD">
        <w:rPr>
          <w:lang w:val="en-US"/>
        </w:rPr>
        <w:t xml:space="preserve">, </w:t>
      </w:r>
      <w:proofErr w:type="spellStart"/>
      <w:r w:rsidRPr="00793CAD">
        <w:rPr>
          <w:lang w:val="en-US"/>
        </w:rPr>
        <w:t>ihtiyaçlarına</w:t>
      </w:r>
      <w:proofErr w:type="spellEnd"/>
      <w:r w:rsidRPr="00793CAD">
        <w:rPr>
          <w:lang w:val="en-US"/>
        </w:rPr>
        <w:t xml:space="preserve">, </w:t>
      </w:r>
      <w:proofErr w:type="spellStart"/>
      <w:r w:rsidRPr="00793CAD">
        <w:rPr>
          <w:lang w:val="en-US"/>
        </w:rPr>
        <w:t>umutlarına</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korkularına</w:t>
      </w:r>
      <w:proofErr w:type="spellEnd"/>
      <w:r w:rsidRPr="00793CAD">
        <w:rPr>
          <w:lang w:val="en-US"/>
        </w:rPr>
        <w:t xml:space="preserve"> </w:t>
      </w:r>
      <w:proofErr w:type="spellStart"/>
      <w:r w:rsidRPr="00793CAD">
        <w:rPr>
          <w:lang w:val="en-US"/>
        </w:rPr>
        <w:t>yanıt</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evrilen</w:t>
      </w:r>
      <w:proofErr w:type="spellEnd"/>
      <w:r w:rsidRPr="00793CAD">
        <w:rPr>
          <w:lang w:val="en-US"/>
        </w:rPr>
        <w:t xml:space="preserve">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Anayasa</w:t>
      </w:r>
      <w:proofErr w:type="spellEnd"/>
      <w:r w:rsidRPr="00793CAD">
        <w:rPr>
          <w:lang w:val="en-US"/>
        </w:rPr>
        <w:t>” (</w:t>
      </w:r>
      <w:r w:rsidRPr="00793CAD">
        <w:rPr>
          <w:i/>
          <w:iCs/>
          <w:lang w:val="en-US"/>
        </w:rPr>
        <w:t>living Constitution</w:t>
      </w:r>
      <w:r w:rsidRPr="00793CAD">
        <w:rPr>
          <w:lang w:val="en-US"/>
        </w:rPr>
        <w:t xml:space="preserve">) </w:t>
      </w:r>
      <w:proofErr w:type="spellStart"/>
      <w:r w:rsidRPr="00793CAD">
        <w:rPr>
          <w:lang w:val="en-US"/>
        </w:rPr>
        <w:t>olduğu</w:t>
      </w:r>
      <w:proofErr w:type="spellEnd"/>
      <w:r w:rsidRPr="00793CAD">
        <w:rPr>
          <w:lang w:val="en-US"/>
        </w:rPr>
        <w:t xml:space="preserve"> fikridir.²¹⁸</w:t>
      </w:r>
      <w:r>
        <w:rPr>
          <w:lang w:val="en-US"/>
        </w:rPr>
        <w:t xml:space="preserve"> </w:t>
      </w:r>
      <w:r>
        <w:rPr>
          <w:rStyle w:val="FootnoteReference"/>
          <w:lang w:val="en-US"/>
        </w:rPr>
        <w:footnoteReference w:id="218"/>
      </w:r>
      <w:r w:rsidRPr="00793CAD">
        <w:rPr>
          <w:lang w:val="en-US"/>
        </w:rPr>
        <w:t xml:space="preserve"> </w:t>
      </w:r>
      <w:proofErr w:type="spellStart"/>
      <w:r w:rsidRPr="00793CAD">
        <w:rPr>
          <w:lang w:val="en-US"/>
        </w:rPr>
        <w:t>Ancak</w:t>
      </w:r>
      <w:proofErr w:type="spellEnd"/>
      <w:r w:rsidRPr="00793CAD">
        <w:rPr>
          <w:lang w:val="en-US"/>
        </w:rPr>
        <w:t xml:space="preserve"> </w:t>
      </w:r>
      <w:proofErr w:type="spellStart"/>
      <w:r w:rsidRPr="00793CAD">
        <w:rPr>
          <w:lang w:val="en-US"/>
        </w:rPr>
        <w:t>burada</w:t>
      </w:r>
      <w:proofErr w:type="spellEnd"/>
      <w:r w:rsidRPr="00793CAD">
        <w:rPr>
          <w:lang w:val="en-US"/>
        </w:rPr>
        <w:t xml:space="preserve"> </w:t>
      </w:r>
      <w:proofErr w:type="spellStart"/>
      <w:r w:rsidRPr="00793CAD">
        <w:rPr>
          <w:lang w:val="en-US"/>
        </w:rPr>
        <w:t>temel</w:t>
      </w:r>
      <w:proofErr w:type="spellEnd"/>
      <w:r w:rsidRPr="00793CAD">
        <w:rPr>
          <w:lang w:val="en-US"/>
        </w:rPr>
        <w:t xml:space="preserve"> </w:t>
      </w:r>
      <w:proofErr w:type="spellStart"/>
      <w:r w:rsidRPr="00793CAD">
        <w:rPr>
          <w:lang w:val="en-US"/>
        </w:rPr>
        <w:t>sorun</w:t>
      </w:r>
      <w:proofErr w:type="spellEnd"/>
      <w:r w:rsidRPr="00793CAD">
        <w:rPr>
          <w:lang w:val="en-US"/>
        </w:rPr>
        <w:t>, “</w:t>
      </w:r>
      <w:proofErr w:type="spellStart"/>
      <w:r w:rsidRPr="00793CAD">
        <w:rPr>
          <w:lang w:val="en-US"/>
        </w:rPr>
        <w:t>yaşayan</w:t>
      </w:r>
      <w:proofErr w:type="spellEnd"/>
      <w:r w:rsidRPr="00793CAD">
        <w:rPr>
          <w:lang w:val="en-US"/>
        </w:rPr>
        <w:t xml:space="preserve">” </w:t>
      </w:r>
      <w:proofErr w:type="spellStart"/>
      <w:r w:rsidRPr="00793CAD">
        <w:rPr>
          <w:lang w:val="en-US"/>
        </w:rPr>
        <w:t>veya</w:t>
      </w:r>
      <w:proofErr w:type="spellEnd"/>
      <w:r w:rsidRPr="00793CAD">
        <w:rPr>
          <w:lang w:val="en-US"/>
        </w:rPr>
        <w:t xml:space="preserve"> “</w:t>
      </w:r>
      <w:proofErr w:type="spellStart"/>
      <w:r w:rsidRPr="00793CAD">
        <w:rPr>
          <w:lang w:val="en-US"/>
        </w:rPr>
        <w:t>evrilen</w:t>
      </w:r>
      <w:proofErr w:type="spellEnd"/>
      <w:r w:rsidRPr="00793CAD">
        <w:rPr>
          <w:lang w:val="en-US"/>
        </w:rPr>
        <w:t xml:space="preserve">” </w:t>
      </w:r>
      <w:proofErr w:type="spellStart"/>
      <w:r w:rsidRPr="00793CAD">
        <w:rPr>
          <w:lang w:val="en-US"/>
        </w:rPr>
        <w:t>olduğu</w:t>
      </w:r>
      <w:proofErr w:type="spellEnd"/>
      <w:r w:rsidRPr="00793CAD">
        <w:rPr>
          <w:lang w:val="en-US"/>
        </w:rPr>
        <w:t xml:space="preserve"> </w:t>
      </w:r>
      <w:proofErr w:type="spellStart"/>
      <w:r w:rsidRPr="00793CAD">
        <w:rPr>
          <w:lang w:val="en-US"/>
        </w:rPr>
        <w:t>iddia</w:t>
      </w:r>
      <w:proofErr w:type="spellEnd"/>
      <w:r w:rsidRPr="00793CAD">
        <w:rPr>
          <w:lang w:val="en-US"/>
        </w:rPr>
        <w:t xml:space="preserve"> </w:t>
      </w:r>
      <w:proofErr w:type="spellStart"/>
      <w:r w:rsidRPr="00793CAD">
        <w:rPr>
          <w:lang w:val="en-US"/>
        </w:rPr>
        <w:t>edilen</w:t>
      </w:r>
      <w:proofErr w:type="spellEnd"/>
      <w:r w:rsidRPr="00793CAD">
        <w:rPr>
          <w:lang w:val="en-US"/>
        </w:rPr>
        <w:t xml:space="preserve"> </w:t>
      </w:r>
      <w:proofErr w:type="spellStart"/>
      <w:r w:rsidRPr="00793CAD">
        <w:rPr>
          <w:lang w:val="en-US"/>
        </w:rPr>
        <w:t>nesnenin</w:t>
      </w:r>
      <w:proofErr w:type="spellEnd"/>
      <w:r w:rsidRPr="00793CAD">
        <w:rPr>
          <w:lang w:val="en-US"/>
        </w:rPr>
        <w:t xml:space="preserve">, </w:t>
      </w:r>
      <w:proofErr w:type="spellStart"/>
      <w:r w:rsidRPr="00793CAD">
        <w:rPr>
          <w:lang w:val="en-US"/>
        </w:rPr>
        <w:t>belirli</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tarihe</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büyük</w:t>
      </w:r>
      <w:proofErr w:type="spellEnd"/>
      <w:r w:rsidRPr="00793CAD">
        <w:rPr>
          <w:lang w:val="en-US"/>
        </w:rPr>
        <w:t xml:space="preserve"> </w:t>
      </w:r>
      <w:proofErr w:type="spellStart"/>
      <w:r w:rsidRPr="00793CAD">
        <w:rPr>
          <w:lang w:val="en-US"/>
        </w:rPr>
        <w:t>ölçüde</w:t>
      </w:r>
      <w:proofErr w:type="spellEnd"/>
      <w:r w:rsidRPr="00793CAD">
        <w:rPr>
          <w:lang w:val="en-US"/>
        </w:rPr>
        <w:t xml:space="preserve"> </w:t>
      </w:r>
      <w:proofErr w:type="spellStart"/>
      <w:r w:rsidRPr="00793CAD">
        <w:rPr>
          <w:lang w:val="en-US"/>
        </w:rPr>
        <w:t>istikrarlı</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metne</w:t>
      </w:r>
      <w:proofErr w:type="spellEnd"/>
      <w:r w:rsidRPr="00793CAD">
        <w:rPr>
          <w:lang w:val="en-US"/>
        </w:rPr>
        <w:t xml:space="preserve"> </w:t>
      </w:r>
      <w:proofErr w:type="spellStart"/>
      <w:r w:rsidRPr="00793CAD">
        <w:rPr>
          <w:lang w:val="en-US"/>
        </w:rPr>
        <w:t>sahip</w:t>
      </w:r>
      <w:proofErr w:type="spellEnd"/>
      <w:r w:rsidRPr="00793CAD">
        <w:rPr>
          <w:lang w:val="en-US"/>
        </w:rPr>
        <w:t xml:space="preserve"> </w:t>
      </w:r>
      <w:proofErr w:type="spellStart"/>
      <w:r w:rsidRPr="00793CAD">
        <w:rPr>
          <w:lang w:val="en-US"/>
        </w:rPr>
        <w:t>yazılı</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belge</w:t>
      </w:r>
      <w:proofErr w:type="spellEnd"/>
      <w:r w:rsidRPr="00793CAD">
        <w:rPr>
          <w:lang w:val="en-US"/>
        </w:rPr>
        <w:t xml:space="preserve"> </w:t>
      </w:r>
      <w:proofErr w:type="spellStart"/>
      <w:r w:rsidRPr="00793CAD">
        <w:rPr>
          <w:lang w:val="en-US"/>
        </w:rPr>
        <w:t>olmasıdır</w:t>
      </w:r>
      <w:proofErr w:type="spellEnd"/>
      <w:r w:rsidRPr="00793CAD">
        <w:rPr>
          <w:lang w:val="en-US"/>
        </w:rPr>
        <w:t xml:space="preserve">. </w:t>
      </w:r>
      <w:proofErr w:type="spellStart"/>
      <w:r w:rsidRPr="00793CAD">
        <w:rPr>
          <w:lang w:val="en-US"/>
        </w:rPr>
        <w:t>Oysa</w:t>
      </w:r>
      <w:proofErr w:type="spellEnd"/>
      <w:r w:rsidRPr="00793CAD">
        <w:rPr>
          <w:lang w:val="en-US"/>
        </w:rPr>
        <w:t xml:space="preserve">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organizmaya</w:t>
      </w:r>
      <w:proofErr w:type="spellEnd"/>
      <w:r w:rsidRPr="00793CAD">
        <w:rPr>
          <w:lang w:val="en-US"/>
        </w:rPr>
        <w:t xml:space="preserve"> </w:t>
      </w:r>
      <w:proofErr w:type="spellStart"/>
      <w:r w:rsidRPr="00793CAD">
        <w:rPr>
          <w:lang w:val="en-US"/>
        </w:rPr>
        <w:t>ya</w:t>
      </w:r>
      <w:proofErr w:type="spellEnd"/>
      <w:r w:rsidRPr="00793CAD">
        <w:rPr>
          <w:lang w:val="en-US"/>
        </w:rPr>
        <w:t xml:space="preserve"> da </w:t>
      </w:r>
      <w:proofErr w:type="spellStart"/>
      <w:r w:rsidRPr="00793CAD">
        <w:rPr>
          <w:lang w:val="en-US"/>
        </w:rPr>
        <w:t>karmaşık</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sosyal</w:t>
      </w:r>
      <w:proofErr w:type="spellEnd"/>
      <w:r w:rsidRPr="00793CAD">
        <w:rPr>
          <w:lang w:val="en-US"/>
        </w:rPr>
        <w:t xml:space="preserve"> </w:t>
      </w:r>
      <w:proofErr w:type="spellStart"/>
      <w:r w:rsidRPr="00793CAD">
        <w:rPr>
          <w:lang w:val="en-US"/>
        </w:rPr>
        <w:t>sisteme</w:t>
      </w:r>
      <w:proofErr w:type="spellEnd"/>
      <w:r w:rsidRPr="00793CAD">
        <w:rPr>
          <w:lang w:val="en-US"/>
        </w:rPr>
        <w:t xml:space="preserve"> </w:t>
      </w:r>
      <w:proofErr w:type="spellStart"/>
      <w:r w:rsidRPr="00793CAD">
        <w:rPr>
          <w:lang w:val="en-US"/>
        </w:rPr>
        <w:t>benzetilebilecek</w:t>
      </w:r>
      <w:proofErr w:type="spellEnd"/>
      <w:r w:rsidRPr="00793CAD">
        <w:rPr>
          <w:lang w:val="en-US"/>
        </w:rPr>
        <w:t xml:space="preserve"> </w:t>
      </w:r>
      <w:proofErr w:type="spellStart"/>
      <w:r w:rsidRPr="00793CAD">
        <w:rPr>
          <w:lang w:val="en-US"/>
        </w:rPr>
        <w:t>türden</w:t>
      </w:r>
      <w:proofErr w:type="spellEnd"/>
      <w:r w:rsidRPr="00793CAD">
        <w:rPr>
          <w:lang w:val="en-US"/>
        </w:rPr>
        <w:t xml:space="preserve"> </w:t>
      </w:r>
      <w:proofErr w:type="spellStart"/>
      <w:r w:rsidRPr="00793CAD">
        <w:rPr>
          <w:lang w:val="en-US"/>
        </w:rPr>
        <w:t>dinamik</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yapı</w:t>
      </w:r>
      <w:proofErr w:type="spellEnd"/>
      <w:r w:rsidRPr="00793CAD">
        <w:rPr>
          <w:lang w:val="en-US"/>
        </w:rPr>
        <w:t xml:space="preserve"> </w:t>
      </w:r>
      <w:proofErr w:type="spellStart"/>
      <w:r w:rsidRPr="00793CAD">
        <w:rPr>
          <w:lang w:val="en-US"/>
        </w:rPr>
        <w:t>değildir</w:t>
      </w:r>
      <w:proofErr w:type="spellEnd"/>
      <w:r w:rsidRPr="00793CAD">
        <w:rPr>
          <w:lang w:val="en-US"/>
        </w:rPr>
        <w:t>.</w:t>
      </w:r>
      <w:r>
        <w:rPr>
          <w:lang w:val="en-US"/>
        </w:rPr>
        <w:t xml:space="preserve"> </w:t>
      </w:r>
      <w:r w:rsidRPr="00793CAD">
        <w:rPr>
          <w:lang w:val="en-US"/>
        </w:rPr>
        <w:t xml:space="preserve">Bu </w:t>
      </w:r>
      <w:proofErr w:type="spellStart"/>
      <w:r w:rsidRPr="00793CAD">
        <w:rPr>
          <w:lang w:val="en-US"/>
        </w:rPr>
        <w:t>hâkim</w:t>
      </w:r>
      <w:proofErr w:type="spellEnd"/>
      <w:r w:rsidRPr="00793CAD">
        <w:rPr>
          <w:lang w:val="en-US"/>
        </w:rPr>
        <w:t xml:space="preserve"> </w:t>
      </w:r>
      <w:proofErr w:type="spellStart"/>
      <w:r w:rsidRPr="00793CAD">
        <w:rPr>
          <w:lang w:val="en-US"/>
        </w:rPr>
        <w:t>metaforun</w:t>
      </w:r>
      <w:proofErr w:type="spellEnd"/>
      <w:r w:rsidRPr="00793CAD">
        <w:rPr>
          <w:lang w:val="en-US"/>
        </w:rPr>
        <w:t xml:space="preserve">, </w:t>
      </w:r>
      <w:proofErr w:type="spellStart"/>
      <w:r w:rsidRPr="00793CAD">
        <w:rPr>
          <w:lang w:val="en-US"/>
        </w:rPr>
        <w:t>atıfta</w:t>
      </w:r>
      <w:proofErr w:type="spellEnd"/>
      <w:r w:rsidRPr="00793CAD">
        <w:rPr>
          <w:lang w:val="en-US"/>
        </w:rPr>
        <w:t xml:space="preserve"> </w:t>
      </w:r>
      <w:proofErr w:type="spellStart"/>
      <w:r w:rsidRPr="00793CAD">
        <w:rPr>
          <w:lang w:val="en-US"/>
        </w:rPr>
        <w:t>bulunduğu</w:t>
      </w:r>
      <w:proofErr w:type="spellEnd"/>
      <w:r w:rsidRPr="00793CAD">
        <w:rPr>
          <w:lang w:val="en-US"/>
        </w:rPr>
        <w:t xml:space="preserve"> </w:t>
      </w:r>
      <w:proofErr w:type="spellStart"/>
      <w:r w:rsidRPr="00793CAD">
        <w:rPr>
          <w:lang w:val="en-US"/>
        </w:rPr>
        <w:t>nesneyle</w:t>
      </w:r>
      <w:proofErr w:type="spellEnd"/>
      <w:r w:rsidRPr="00793CAD">
        <w:rPr>
          <w:lang w:val="en-US"/>
        </w:rPr>
        <w:t xml:space="preserve"> tam </w:t>
      </w:r>
      <w:proofErr w:type="spellStart"/>
      <w:r w:rsidRPr="00793CAD">
        <w:rPr>
          <w:lang w:val="en-US"/>
        </w:rPr>
        <w:t>olarak</w:t>
      </w:r>
      <w:proofErr w:type="spellEnd"/>
      <w:r w:rsidRPr="00793CAD">
        <w:rPr>
          <w:lang w:val="en-US"/>
        </w:rPr>
        <w:t xml:space="preserve"> </w:t>
      </w:r>
      <w:proofErr w:type="spellStart"/>
      <w:r w:rsidRPr="00793CAD">
        <w:rPr>
          <w:lang w:val="en-US"/>
        </w:rPr>
        <w:t>örtüşmemesi</w:t>
      </w:r>
      <w:proofErr w:type="spellEnd"/>
      <w:r w:rsidRPr="00793CAD">
        <w:rPr>
          <w:lang w:val="en-US"/>
        </w:rPr>
        <w:t xml:space="preserve"> </w:t>
      </w:r>
      <w:proofErr w:type="spellStart"/>
      <w:r w:rsidRPr="00793CAD">
        <w:rPr>
          <w:lang w:val="en-US"/>
        </w:rPr>
        <w:t>sadece</w:t>
      </w:r>
      <w:proofErr w:type="spellEnd"/>
      <w:r w:rsidRPr="00793CAD">
        <w:rPr>
          <w:lang w:val="en-US"/>
        </w:rPr>
        <w:t xml:space="preserve"> </w:t>
      </w:r>
      <w:proofErr w:type="spellStart"/>
      <w:r w:rsidRPr="00793CAD">
        <w:rPr>
          <w:lang w:val="en-US"/>
        </w:rPr>
        <w:t>rahatsız</w:t>
      </w:r>
      <w:proofErr w:type="spellEnd"/>
      <w:r w:rsidRPr="00793CAD">
        <w:rPr>
          <w:lang w:val="en-US"/>
        </w:rPr>
        <w:t xml:space="preserve"> </w:t>
      </w:r>
      <w:proofErr w:type="spellStart"/>
      <w:r w:rsidRPr="00793CAD">
        <w:rPr>
          <w:lang w:val="en-US"/>
        </w:rPr>
        <w:t>edici</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çelişki</w:t>
      </w:r>
      <w:proofErr w:type="spellEnd"/>
      <w:r w:rsidRPr="00793CAD">
        <w:rPr>
          <w:lang w:val="en-US"/>
        </w:rPr>
        <w:t xml:space="preserve"> </w:t>
      </w:r>
      <w:proofErr w:type="spellStart"/>
      <w:r w:rsidRPr="00793CAD">
        <w:rPr>
          <w:lang w:val="en-US"/>
        </w:rPr>
        <w:t>yaratmakla</w:t>
      </w:r>
      <w:proofErr w:type="spellEnd"/>
      <w:r w:rsidRPr="00793CAD">
        <w:rPr>
          <w:lang w:val="en-US"/>
        </w:rPr>
        <w:t xml:space="preserve"> </w:t>
      </w:r>
      <w:proofErr w:type="spellStart"/>
      <w:r w:rsidRPr="00793CAD">
        <w:rPr>
          <w:lang w:val="en-US"/>
        </w:rPr>
        <w:t>kalmaz</w:t>
      </w:r>
      <w:proofErr w:type="spellEnd"/>
      <w:r w:rsidRPr="00793CAD">
        <w:rPr>
          <w:lang w:val="en-US"/>
        </w:rPr>
        <w:t xml:space="preserve">, </w:t>
      </w:r>
      <w:proofErr w:type="spellStart"/>
      <w:r w:rsidRPr="00793CAD">
        <w:rPr>
          <w:lang w:val="en-US"/>
        </w:rPr>
        <w:t>aynı</w:t>
      </w:r>
      <w:proofErr w:type="spellEnd"/>
      <w:r w:rsidRPr="00793CAD">
        <w:rPr>
          <w:lang w:val="en-US"/>
        </w:rPr>
        <w:t xml:space="preserve"> </w:t>
      </w:r>
      <w:proofErr w:type="spellStart"/>
      <w:r w:rsidRPr="00793CAD">
        <w:rPr>
          <w:lang w:val="en-US"/>
        </w:rPr>
        <w:t>zamanda</w:t>
      </w:r>
      <w:proofErr w:type="spellEnd"/>
      <w:r w:rsidRPr="00793CAD">
        <w:rPr>
          <w:lang w:val="en-US"/>
        </w:rPr>
        <w:t xml:space="preserve"> </w:t>
      </w:r>
      <w:proofErr w:type="spellStart"/>
      <w:r w:rsidRPr="00793CAD">
        <w:rPr>
          <w:lang w:val="en-US"/>
        </w:rPr>
        <w:t>Anayasa’nın</w:t>
      </w:r>
      <w:proofErr w:type="spellEnd"/>
      <w:r w:rsidRPr="00793CAD">
        <w:rPr>
          <w:lang w:val="en-US"/>
        </w:rPr>
        <w:t xml:space="preserve"> </w:t>
      </w:r>
      <w:proofErr w:type="spellStart"/>
      <w:r w:rsidRPr="00793CAD">
        <w:rPr>
          <w:lang w:val="en-US"/>
        </w:rPr>
        <w:t>evrimsel</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yorumunu</w:t>
      </w:r>
      <w:proofErr w:type="spellEnd"/>
      <w:r w:rsidRPr="00793CAD">
        <w:rPr>
          <w:lang w:val="en-US"/>
        </w:rPr>
        <w:t xml:space="preserve"> </w:t>
      </w:r>
      <w:proofErr w:type="spellStart"/>
      <w:r w:rsidRPr="00793CAD">
        <w:rPr>
          <w:lang w:val="en-US"/>
        </w:rPr>
        <w:t>benimseyen</w:t>
      </w:r>
      <w:proofErr w:type="spellEnd"/>
      <w:r w:rsidRPr="00793CAD">
        <w:rPr>
          <w:lang w:val="en-US"/>
        </w:rPr>
        <w:t xml:space="preserve"> </w:t>
      </w:r>
      <w:proofErr w:type="spellStart"/>
      <w:r w:rsidRPr="00793CAD">
        <w:rPr>
          <w:lang w:val="en-US"/>
        </w:rPr>
        <w:t>metodolojilerin</w:t>
      </w:r>
      <w:proofErr w:type="spellEnd"/>
      <w:r w:rsidRPr="00793CAD">
        <w:rPr>
          <w:lang w:val="en-US"/>
        </w:rPr>
        <w:t xml:space="preserve"> </w:t>
      </w:r>
      <w:proofErr w:type="spellStart"/>
      <w:r w:rsidRPr="00793CAD">
        <w:rPr>
          <w:lang w:val="en-US"/>
        </w:rPr>
        <w:t>geçerliliğine</w:t>
      </w:r>
      <w:proofErr w:type="spellEnd"/>
      <w:r w:rsidRPr="00793CAD">
        <w:rPr>
          <w:lang w:val="en-US"/>
        </w:rPr>
        <w:t xml:space="preserve"> </w:t>
      </w:r>
      <w:proofErr w:type="spellStart"/>
      <w:r w:rsidRPr="00793CAD">
        <w:rPr>
          <w:lang w:val="en-US"/>
        </w:rPr>
        <w:t>meydan</w:t>
      </w:r>
      <w:proofErr w:type="spellEnd"/>
      <w:r w:rsidRPr="00793CAD">
        <w:rPr>
          <w:lang w:val="en-US"/>
        </w:rPr>
        <w:t xml:space="preserve"> </w:t>
      </w:r>
      <w:proofErr w:type="spellStart"/>
      <w:r w:rsidRPr="00793CAD">
        <w:rPr>
          <w:lang w:val="en-US"/>
        </w:rPr>
        <w:t>okuyanlara</w:t>
      </w:r>
      <w:proofErr w:type="spellEnd"/>
      <w:r w:rsidRPr="00793CAD">
        <w:rPr>
          <w:lang w:val="en-US"/>
        </w:rPr>
        <w:t xml:space="preserve"> ek </w:t>
      </w:r>
      <w:proofErr w:type="spellStart"/>
      <w:r w:rsidRPr="00793CAD">
        <w:rPr>
          <w:lang w:val="en-US"/>
        </w:rPr>
        <w:t>bir</w:t>
      </w:r>
      <w:proofErr w:type="spellEnd"/>
      <w:r w:rsidRPr="00793CAD">
        <w:rPr>
          <w:lang w:val="en-US"/>
        </w:rPr>
        <w:t xml:space="preserve"> </w:t>
      </w:r>
      <w:proofErr w:type="spellStart"/>
      <w:r w:rsidRPr="00793CAD">
        <w:rPr>
          <w:lang w:val="en-US"/>
        </w:rPr>
        <w:t>argüman</w:t>
      </w:r>
      <w:proofErr w:type="spellEnd"/>
      <w:r w:rsidRPr="00793CAD">
        <w:rPr>
          <w:lang w:val="en-US"/>
        </w:rPr>
        <w:t xml:space="preserve"> </w:t>
      </w:r>
      <w:proofErr w:type="spellStart"/>
      <w:r w:rsidRPr="00793CAD">
        <w:rPr>
          <w:lang w:val="en-US"/>
        </w:rPr>
        <w:t>sağlar</w:t>
      </w:r>
      <w:proofErr w:type="spellEnd"/>
      <w:r w:rsidRPr="00793CAD">
        <w:rPr>
          <w:lang w:val="en-US"/>
        </w:rPr>
        <w:t xml:space="preserve">. Daha </w:t>
      </w:r>
      <w:proofErr w:type="spellStart"/>
      <w:r w:rsidRPr="00793CAD">
        <w:rPr>
          <w:lang w:val="en-US"/>
        </w:rPr>
        <w:t>açık</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ifadeyle</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metaforun</w:t>
      </w:r>
      <w:proofErr w:type="spellEnd"/>
      <w:r w:rsidRPr="00793CAD">
        <w:rPr>
          <w:lang w:val="en-US"/>
        </w:rPr>
        <w:t xml:space="preserve"> </w:t>
      </w:r>
      <w:proofErr w:type="spellStart"/>
      <w:r w:rsidRPr="00793CAD">
        <w:rPr>
          <w:lang w:val="en-US"/>
        </w:rPr>
        <w:t>betimleyici</w:t>
      </w:r>
      <w:proofErr w:type="spellEnd"/>
      <w:r w:rsidRPr="00793CAD">
        <w:rPr>
          <w:lang w:val="en-US"/>
        </w:rPr>
        <w:t xml:space="preserve"> </w:t>
      </w:r>
      <w:proofErr w:type="spellStart"/>
      <w:r w:rsidRPr="00793CAD">
        <w:rPr>
          <w:lang w:val="en-US"/>
        </w:rPr>
        <w:t>açıdan</w:t>
      </w:r>
      <w:proofErr w:type="spellEnd"/>
      <w:r w:rsidRPr="00793CAD">
        <w:rPr>
          <w:lang w:val="en-US"/>
        </w:rPr>
        <w:t xml:space="preserve"> </w:t>
      </w:r>
      <w:proofErr w:type="spellStart"/>
      <w:r w:rsidRPr="00793CAD">
        <w:rPr>
          <w:lang w:val="en-US"/>
        </w:rPr>
        <w:t>inandırıcı</w:t>
      </w:r>
      <w:proofErr w:type="spellEnd"/>
      <w:r w:rsidRPr="00793CAD">
        <w:rPr>
          <w:lang w:val="en-US"/>
        </w:rPr>
        <w:t xml:space="preserve"> </w:t>
      </w:r>
      <w:proofErr w:type="spellStart"/>
      <w:r w:rsidRPr="00793CAD">
        <w:rPr>
          <w:lang w:val="en-US"/>
        </w:rPr>
        <w:t>olmaması</w:t>
      </w:r>
      <w:proofErr w:type="spellEnd"/>
      <w:r w:rsidRPr="00793CAD">
        <w:rPr>
          <w:lang w:val="en-US"/>
        </w:rPr>
        <w:t xml:space="preserve">, </w:t>
      </w:r>
      <w:proofErr w:type="spellStart"/>
      <w:r w:rsidRPr="00793CAD">
        <w:rPr>
          <w:lang w:val="en-US"/>
        </w:rPr>
        <w:t>onu</w:t>
      </w:r>
      <w:proofErr w:type="spellEnd"/>
      <w:r w:rsidRPr="00793CAD">
        <w:rPr>
          <w:lang w:val="en-US"/>
        </w:rPr>
        <w:t xml:space="preserve"> </w:t>
      </w:r>
      <w:proofErr w:type="spellStart"/>
      <w:r w:rsidRPr="00793CAD">
        <w:rPr>
          <w:lang w:val="en-US"/>
        </w:rPr>
        <w:t>normatif</w:t>
      </w:r>
      <w:proofErr w:type="spellEnd"/>
      <w:r w:rsidRPr="00793CAD">
        <w:rPr>
          <w:lang w:val="en-US"/>
        </w:rPr>
        <w:t xml:space="preserve"> </w:t>
      </w:r>
      <w:proofErr w:type="spellStart"/>
      <w:r w:rsidRPr="00793CAD">
        <w:rPr>
          <w:lang w:val="en-US"/>
        </w:rPr>
        <w:t>açıdan</w:t>
      </w:r>
      <w:proofErr w:type="spellEnd"/>
      <w:r w:rsidRPr="00793CAD">
        <w:rPr>
          <w:lang w:val="en-US"/>
        </w:rPr>
        <w:t xml:space="preserve"> da </w:t>
      </w:r>
      <w:proofErr w:type="spellStart"/>
      <w:r w:rsidRPr="00793CAD">
        <w:rPr>
          <w:lang w:val="en-US"/>
        </w:rPr>
        <w:t>zayıflatmaktadır</w:t>
      </w:r>
      <w:proofErr w:type="spellEnd"/>
      <w:r w:rsidRPr="00793CAD">
        <w:rPr>
          <w:lang w:val="en-US"/>
        </w:rPr>
        <w:t>.</w:t>
      </w:r>
      <w:r>
        <w:rPr>
          <w:lang w:val="en-US"/>
        </w:rPr>
        <w:t xml:space="preserve"> </w:t>
      </w:r>
      <w:r w:rsidRPr="00793CAD">
        <w:rPr>
          <w:lang w:val="en-US"/>
        </w:rPr>
        <w:t>[1125 - 1126]</w:t>
      </w:r>
    </w:p>
    <w:p w14:paraId="6940B0F5" w14:textId="3289627D" w:rsidR="00793CAD" w:rsidRDefault="00793CAD" w:rsidP="00793CAD">
      <w:pPr>
        <w:rPr>
          <w:lang w:val="en-US"/>
        </w:rPr>
      </w:pPr>
      <w:r w:rsidRPr="00793CAD">
        <w:rPr>
          <w:lang w:val="en-US"/>
        </w:rPr>
        <w:t xml:space="preserve">Bu </w:t>
      </w:r>
      <w:proofErr w:type="spellStart"/>
      <w:r w:rsidRPr="00793CAD">
        <w:rPr>
          <w:lang w:val="en-US"/>
        </w:rPr>
        <w:t>sorunlar</w:t>
      </w:r>
      <w:proofErr w:type="spellEnd"/>
      <w:r w:rsidRPr="00793CAD">
        <w:rPr>
          <w:lang w:val="en-US"/>
        </w:rPr>
        <w:t xml:space="preserve"> </w:t>
      </w:r>
      <w:proofErr w:type="spellStart"/>
      <w:r w:rsidRPr="00793CAD">
        <w:rPr>
          <w:lang w:val="en-US"/>
        </w:rPr>
        <w:t>büyük</w:t>
      </w:r>
      <w:proofErr w:type="spellEnd"/>
      <w:r w:rsidRPr="00793CAD">
        <w:rPr>
          <w:lang w:val="en-US"/>
        </w:rPr>
        <w:t xml:space="preserve"> </w:t>
      </w:r>
      <w:proofErr w:type="spellStart"/>
      <w:r w:rsidRPr="00793CAD">
        <w:rPr>
          <w:lang w:val="en-US"/>
        </w:rPr>
        <w:t>ölçüde</w:t>
      </w:r>
      <w:proofErr w:type="spellEnd"/>
      <w:r w:rsidRPr="00793CAD">
        <w:rPr>
          <w:lang w:val="en-US"/>
        </w:rPr>
        <w:t xml:space="preserve"> </w:t>
      </w:r>
      <w:proofErr w:type="spellStart"/>
      <w:r w:rsidRPr="00793CAD">
        <w:rPr>
          <w:lang w:val="en-US"/>
        </w:rPr>
        <w:t>ortadan</w:t>
      </w:r>
      <w:proofErr w:type="spellEnd"/>
      <w:r w:rsidRPr="00793CAD">
        <w:rPr>
          <w:lang w:val="en-US"/>
        </w:rPr>
        <w:t xml:space="preserve"> </w:t>
      </w:r>
      <w:proofErr w:type="spellStart"/>
      <w:r w:rsidRPr="00793CAD">
        <w:rPr>
          <w:lang w:val="en-US"/>
        </w:rPr>
        <w:t>kalkar</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daha</w:t>
      </w:r>
      <w:proofErr w:type="spellEnd"/>
      <w:r w:rsidRPr="00793CAD">
        <w:rPr>
          <w:lang w:val="en-US"/>
        </w:rPr>
        <w:t xml:space="preserve"> </w:t>
      </w:r>
      <w:proofErr w:type="spellStart"/>
      <w:r w:rsidRPr="00793CAD">
        <w:rPr>
          <w:lang w:val="en-US"/>
        </w:rPr>
        <w:t>yüksek</w:t>
      </w:r>
      <w:proofErr w:type="spellEnd"/>
      <w:r w:rsidRPr="00793CAD">
        <w:rPr>
          <w:lang w:val="en-US"/>
        </w:rPr>
        <w:t xml:space="preserve"> </w:t>
      </w:r>
      <w:proofErr w:type="spellStart"/>
      <w:r w:rsidRPr="00793CAD">
        <w:rPr>
          <w:lang w:val="en-US"/>
        </w:rPr>
        <w:t>betimleyici</w:t>
      </w:r>
      <w:proofErr w:type="spellEnd"/>
      <w:r w:rsidRPr="00793CAD">
        <w:rPr>
          <w:lang w:val="en-US"/>
        </w:rPr>
        <w:t xml:space="preserve"> </w:t>
      </w:r>
      <w:proofErr w:type="spellStart"/>
      <w:r w:rsidRPr="00793CAD">
        <w:rPr>
          <w:lang w:val="en-US"/>
        </w:rPr>
        <w:t>doğruluk</w:t>
      </w:r>
      <w:proofErr w:type="spellEnd"/>
      <w:r w:rsidRPr="00793CAD">
        <w:rPr>
          <w:lang w:val="en-US"/>
        </w:rPr>
        <w:t xml:space="preserve"> </w:t>
      </w:r>
      <w:proofErr w:type="spellStart"/>
      <w:r w:rsidRPr="00793CAD">
        <w:rPr>
          <w:lang w:val="en-US"/>
        </w:rPr>
        <w:t>sağlanmış</w:t>
      </w:r>
      <w:proofErr w:type="spellEnd"/>
      <w:r w:rsidRPr="00793CAD">
        <w:rPr>
          <w:lang w:val="en-US"/>
        </w:rPr>
        <w:t xml:space="preserve"> </w:t>
      </w:r>
      <w:proofErr w:type="spellStart"/>
      <w:r w:rsidRPr="00793CAD">
        <w:rPr>
          <w:lang w:val="en-US"/>
        </w:rPr>
        <w:t>olur</w:t>
      </w:r>
      <w:proofErr w:type="spellEnd"/>
      <w:r w:rsidRPr="00793CAD">
        <w:rPr>
          <w:lang w:val="en-US"/>
        </w:rPr>
        <w:t xml:space="preserve">, </w:t>
      </w:r>
      <w:proofErr w:type="spellStart"/>
      <w:r w:rsidRPr="00793CAD">
        <w:rPr>
          <w:lang w:val="en-US"/>
        </w:rPr>
        <w:t>eğer</w:t>
      </w:r>
      <w:proofErr w:type="spellEnd"/>
      <w:r w:rsidRPr="00793CAD">
        <w:rPr>
          <w:lang w:val="en-US"/>
        </w:rPr>
        <w:t xml:space="preserve"> </w:t>
      </w:r>
      <w:proofErr w:type="spellStart"/>
      <w:r w:rsidRPr="00793CAD">
        <w:rPr>
          <w:lang w:val="en-US"/>
        </w:rPr>
        <w:t>elimizde</w:t>
      </w:r>
      <w:proofErr w:type="spellEnd"/>
      <w:r w:rsidRPr="00793CAD">
        <w:rPr>
          <w:lang w:val="en-US"/>
        </w:rPr>
        <w:t xml:space="preserve">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Anayasa</w:t>
      </w:r>
      <w:proofErr w:type="spellEnd"/>
      <w:r w:rsidRPr="00793CAD">
        <w:rPr>
          <w:lang w:val="en-US"/>
        </w:rPr>
        <w:t>” (</w:t>
      </w:r>
      <w:r w:rsidRPr="00793CAD">
        <w:rPr>
          <w:i/>
          <w:iCs/>
          <w:lang w:val="en-US"/>
        </w:rPr>
        <w:t>living Constitution</w:t>
      </w:r>
      <w:r w:rsidRPr="00793CAD">
        <w:rPr>
          <w:lang w:val="en-US"/>
        </w:rPr>
        <w:t xml:space="preserve">) </w:t>
      </w:r>
      <w:proofErr w:type="spellStart"/>
      <w:r w:rsidRPr="00793CAD">
        <w:rPr>
          <w:lang w:val="en-US"/>
        </w:rPr>
        <w:t>değil</w:t>
      </w:r>
      <w:proofErr w:type="spellEnd"/>
      <w:r w:rsidRPr="00793CAD">
        <w:rPr>
          <w:lang w:val="en-US"/>
        </w:rPr>
        <w:t>,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kültür</w:t>
      </w:r>
      <w:proofErr w:type="spellEnd"/>
      <w:r w:rsidRPr="00793CAD">
        <w:rPr>
          <w:lang w:val="en-US"/>
        </w:rPr>
        <w:t>” (</w:t>
      </w:r>
      <w:r w:rsidRPr="00793CAD">
        <w:rPr>
          <w:i/>
          <w:iCs/>
          <w:lang w:val="en-US"/>
        </w:rPr>
        <w:t>living constitutional culture</w:t>
      </w:r>
      <w:r w:rsidRPr="00793CAD">
        <w:rPr>
          <w:lang w:val="en-US"/>
        </w:rPr>
        <w:t xml:space="preserve">) </w:t>
      </w:r>
      <w:proofErr w:type="spellStart"/>
      <w:r w:rsidRPr="00793CAD">
        <w:rPr>
          <w:lang w:val="en-US"/>
        </w:rPr>
        <w:t>olduğunu</w:t>
      </w:r>
      <w:proofErr w:type="spellEnd"/>
      <w:r w:rsidRPr="00793CAD">
        <w:rPr>
          <w:lang w:val="en-US"/>
        </w:rPr>
        <w:t xml:space="preserve"> </w:t>
      </w:r>
      <w:proofErr w:type="spellStart"/>
      <w:r w:rsidRPr="00793CAD">
        <w:rPr>
          <w:lang w:val="en-US"/>
        </w:rPr>
        <w:t>kabul</w:t>
      </w:r>
      <w:proofErr w:type="spellEnd"/>
      <w:r w:rsidRPr="00793CAD">
        <w:rPr>
          <w:lang w:val="en-US"/>
        </w:rPr>
        <w:t xml:space="preserve"> </w:t>
      </w:r>
      <w:proofErr w:type="spellStart"/>
      <w:r w:rsidRPr="00793CAD">
        <w:rPr>
          <w:lang w:val="en-US"/>
        </w:rPr>
        <w:t>edersek</w:t>
      </w:r>
      <w:proofErr w:type="spellEnd"/>
      <w:r w:rsidRPr="00793CAD">
        <w:rPr>
          <w:lang w:val="en-US"/>
        </w:rPr>
        <w:t>.</w:t>
      </w:r>
      <w:r>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kültürümüz</w:t>
      </w:r>
      <w:proofErr w:type="spellEnd"/>
      <w:r w:rsidRPr="00793CAD">
        <w:rPr>
          <w:lang w:val="en-US"/>
        </w:rPr>
        <w:t xml:space="preserve"> </w:t>
      </w:r>
      <w:proofErr w:type="spellStart"/>
      <w:r w:rsidRPr="00793CAD">
        <w:rPr>
          <w:lang w:val="en-US"/>
        </w:rPr>
        <w:t>durağan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belge</w:t>
      </w:r>
      <w:proofErr w:type="spellEnd"/>
      <w:r w:rsidRPr="00793CAD">
        <w:rPr>
          <w:lang w:val="en-US"/>
        </w:rPr>
        <w:t xml:space="preserve"> </w:t>
      </w:r>
      <w:proofErr w:type="spellStart"/>
      <w:r w:rsidRPr="00793CAD">
        <w:rPr>
          <w:lang w:val="en-US"/>
        </w:rPr>
        <w:t>değil</w:t>
      </w:r>
      <w:proofErr w:type="spellEnd"/>
      <w:r w:rsidRPr="00793CAD">
        <w:rPr>
          <w:lang w:val="en-US"/>
        </w:rPr>
        <w:t xml:space="preserve">, </w:t>
      </w:r>
      <w:proofErr w:type="spellStart"/>
      <w:r w:rsidRPr="00793CAD">
        <w:rPr>
          <w:lang w:val="en-US"/>
        </w:rPr>
        <w:t>tarihe</w:t>
      </w:r>
      <w:proofErr w:type="spellEnd"/>
      <w:r w:rsidRPr="00793CAD">
        <w:rPr>
          <w:lang w:val="en-US"/>
        </w:rPr>
        <w:t xml:space="preserve"> </w:t>
      </w:r>
      <w:proofErr w:type="spellStart"/>
      <w:r w:rsidRPr="00793CAD">
        <w:rPr>
          <w:lang w:val="en-US"/>
        </w:rPr>
        <w:t>sahip</w:t>
      </w:r>
      <w:proofErr w:type="spellEnd"/>
      <w:r w:rsidRPr="00793CAD">
        <w:rPr>
          <w:lang w:val="en-US"/>
        </w:rPr>
        <w:t xml:space="preserve">, </w:t>
      </w:r>
      <w:proofErr w:type="spellStart"/>
      <w:r w:rsidRPr="00793CAD">
        <w:rPr>
          <w:lang w:val="en-US"/>
        </w:rPr>
        <w:t>yaşam</w:t>
      </w:r>
      <w:proofErr w:type="spellEnd"/>
      <w:r w:rsidRPr="00793CAD">
        <w:rPr>
          <w:lang w:val="en-US"/>
        </w:rPr>
        <w:t xml:space="preserve"> </w:t>
      </w:r>
      <w:proofErr w:type="spellStart"/>
      <w:r w:rsidRPr="00793CAD">
        <w:rPr>
          <w:lang w:val="en-US"/>
        </w:rPr>
        <w:t>döngüsünden</w:t>
      </w:r>
      <w:proofErr w:type="spellEnd"/>
      <w:r w:rsidRPr="00793CAD">
        <w:rPr>
          <w:lang w:val="en-US"/>
        </w:rPr>
        <w:t xml:space="preserve"> </w:t>
      </w:r>
      <w:proofErr w:type="spellStart"/>
      <w:r w:rsidRPr="00793CAD">
        <w:rPr>
          <w:lang w:val="en-US"/>
        </w:rPr>
        <w:t>geçen</w:t>
      </w:r>
      <w:proofErr w:type="spellEnd"/>
      <w:r w:rsidRPr="00793CAD">
        <w:rPr>
          <w:lang w:val="en-US"/>
        </w:rPr>
        <w:t xml:space="preserve">, </w:t>
      </w:r>
      <w:proofErr w:type="spellStart"/>
      <w:r w:rsidRPr="00793CAD">
        <w:rPr>
          <w:lang w:val="en-US"/>
        </w:rPr>
        <w:t>sürekli</w:t>
      </w:r>
      <w:proofErr w:type="spellEnd"/>
      <w:r w:rsidRPr="00793CAD">
        <w:rPr>
          <w:lang w:val="en-US"/>
        </w:rPr>
        <w:t xml:space="preserve"> </w:t>
      </w:r>
      <w:proofErr w:type="spellStart"/>
      <w:r w:rsidRPr="00793CAD">
        <w:rPr>
          <w:lang w:val="en-US"/>
        </w:rPr>
        <w:t>evrilen</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çeşitli</w:t>
      </w:r>
      <w:proofErr w:type="spellEnd"/>
      <w:r w:rsidRPr="00793CAD">
        <w:rPr>
          <w:lang w:val="en-US"/>
        </w:rPr>
        <w:t xml:space="preserve"> </w:t>
      </w:r>
      <w:proofErr w:type="spellStart"/>
      <w:r w:rsidRPr="00793CAD">
        <w:rPr>
          <w:lang w:val="en-US"/>
        </w:rPr>
        <w:t>türdeki</w:t>
      </w:r>
      <w:proofErr w:type="spellEnd"/>
      <w:r w:rsidRPr="00793CAD">
        <w:rPr>
          <w:lang w:val="en-US"/>
        </w:rPr>
        <w:t xml:space="preserve"> </w:t>
      </w:r>
      <w:proofErr w:type="spellStart"/>
      <w:r w:rsidRPr="00793CAD">
        <w:rPr>
          <w:lang w:val="en-US"/>
        </w:rPr>
        <w:t>uyaranlara</w:t>
      </w:r>
      <w:proofErr w:type="spellEnd"/>
      <w:r w:rsidRPr="00793CAD">
        <w:rPr>
          <w:lang w:val="en-US"/>
        </w:rPr>
        <w:t xml:space="preserve"> </w:t>
      </w:r>
      <w:proofErr w:type="spellStart"/>
      <w:r w:rsidRPr="00793CAD">
        <w:rPr>
          <w:lang w:val="en-US"/>
        </w:rPr>
        <w:t>doğrudan</w:t>
      </w:r>
      <w:proofErr w:type="spellEnd"/>
      <w:r w:rsidRPr="00793CAD">
        <w:rPr>
          <w:lang w:val="en-US"/>
        </w:rPr>
        <w:t xml:space="preserve"> </w:t>
      </w:r>
      <w:proofErr w:type="spellStart"/>
      <w:r w:rsidRPr="00793CAD">
        <w:rPr>
          <w:lang w:val="en-US"/>
        </w:rPr>
        <w:t>tepki</w:t>
      </w:r>
      <w:proofErr w:type="spellEnd"/>
      <w:r w:rsidRPr="00793CAD">
        <w:rPr>
          <w:lang w:val="en-US"/>
        </w:rPr>
        <w:t xml:space="preserve"> </w:t>
      </w:r>
      <w:proofErr w:type="spellStart"/>
      <w:r w:rsidRPr="00793CAD">
        <w:rPr>
          <w:lang w:val="en-US"/>
        </w:rPr>
        <w:t>veren</w:t>
      </w:r>
      <w:proofErr w:type="spellEnd"/>
      <w:r w:rsidRPr="00793CAD">
        <w:rPr>
          <w:lang w:val="en-US"/>
        </w:rPr>
        <w:t xml:space="preserve"> </w:t>
      </w:r>
      <w:proofErr w:type="spellStart"/>
      <w:r w:rsidRPr="00793CAD">
        <w:rPr>
          <w:lang w:val="en-US"/>
        </w:rPr>
        <w:t>karmaşık</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sistemdir</w:t>
      </w:r>
      <w:proofErr w:type="spellEnd"/>
      <w:r w:rsidRPr="00793CAD">
        <w:rPr>
          <w:lang w:val="en-US"/>
        </w:rPr>
        <w:t>.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kültür”den</w:t>
      </w:r>
      <w:proofErr w:type="spellEnd"/>
      <w:r w:rsidRPr="00793CAD">
        <w:rPr>
          <w:lang w:val="en-US"/>
        </w:rPr>
        <w:t xml:space="preserve"> </w:t>
      </w:r>
      <w:proofErr w:type="spellStart"/>
      <w:r w:rsidRPr="00793CAD">
        <w:rPr>
          <w:lang w:val="en-US"/>
        </w:rPr>
        <w:t>bahsettiğimizde</w:t>
      </w:r>
      <w:proofErr w:type="spellEnd"/>
      <w:r w:rsidRPr="00793CAD">
        <w:rPr>
          <w:lang w:val="en-US"/>
        </w:rPr>
        <w:t xml:space="preserve"> </w:t>
      </w:r>
      <w:proofErr w:type="spellStart"/>
      <w:r w:rsidRPr="00793CAD">
        <w:rPr>
          <w:lang w:val="en-US"/>
        </w:rPr>
        <w:t>hâlâ</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metafor</w:t>
      </w:r>
      <w:proofErr w:type="spellEnd"/>
      <w:r w:rsidRPr="00793CAD">
        <w:rPr>
          <w:lang w:val="en-US"/>
        </w:rPr>
        <w:t xml:space="preserve"> </w:t>
      </w:r>
      <w:proofErr w:type="spellStart"/>
      <w:r w:rsidRPr="00793CAD">
        <w:rPr>
          <w:lang w:val="en-US"/>
        </w:rPr>
        <w:t>kullanmaktayız</w:t>
      </w:r>
      <w:proofErr w:type="spellEnd"/>
      <w:r w:rsidRPr="00793CAD">
        <w:rPr>
          <w:lang w:val="en-US"/>
        </w:rPr>
        <w:t xml:space="preserve">, </w:t>
      </w:r>
      <w:proofErr w:type="spellStart"/>
      <w:r w:rsidRPr="00793CAD">
        <w:rPr>
          <w:lang w:val="en-US"/>
        </w:rPr>
        <w:t>ancak</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metafor</w:t>
      </w:r>
      <w:proofErr w:type="spellEnd"/>
      <w:r w:rsidRPr="00793CAD">
        <w:rPr>
          <w:lang w:val="en-US"/>
        </w:rPr>
        <w:t xml:space="preserve">, </w:t>
      </w:r>
      <w:proofErr w:type="spellStart"/>
      <w:r w:rsidRPr="00793CAD">
        <w:rPr>
          <w:lang w:val="en-US"/>
        </w:rPr>
        <w:t>çok</w:t>
      </w:r>
      <w:proofErr w:type="spellEnd"/>
      <w:r w:rsidRPr="00793CAD">
        <w:rPr>
          <w:lang w:val="en-US"/>
        </w:rPr>
        <w:t xml:space="preserve"> </w:t>
      </w:r>
      <w:proofErr w:type="spellStart"/>
      <w:r w:rsidRPr="00793CAD">
        <w:rPr>
          <w:lang w:val="en-US"/>
        </w:rPr>
        <w:t>daha</w:t>
      </w:r>
      <w:proofErr w:type="spellEnd"/>
      <w:r w:rsidRPr="00793CAD">
        <w:rPr>
          <w:lang w:val="en-US"/>
        </w:rPr>
        <w:t xml:space="preserve"> </w:t>
      </w:r>
      <w:proofErr w:type="spellStart"/>
      <w:r w:rsidRPr="00793CAD">
        <w:rPr>
          <w:lang w:val="en-US"/>
        </w:rPr>
        <w:t>makul</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kabul</w:t>
      </w:r>
      <w:proofErr w:type="spellEnd"/>
      <w:r w:rsidRPr="00793CAD">
        <w:rPr>
          <w:lang w:val="en-US"/>
        </w:rPr>
        <w:t xml:space="preserve"> </w:t>
      </w:r>
      <w:proofErr w:type="spellStart"/>
      <w:r w:rsidRPr="00793CAD">
        <w:rPr>
          <w:lang w:val="en-US"/>
        </w:rPr>
        <w:t>edilebilir</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benzetmedir</w:t>
      </w:r>
      <w:proofErr w:type="spellEnd"/>
      <w:r w:rsidRPr="00793CAD">
        <w:rPr>
          <w:lang w:val="en-US"/>
        </w:rPr>
        <w:t>.</w:t>
      </w:r>
    </w:p>
    <w:p w14:paraId="192BDCE6" w14:textId="57CC53DD" w:rsidR="00793CAD" w:rsidRDefault="00793CAD" w:rsidP="00793CAD">
      <w:pPr>
        <w:rPr>
          <w:lang w:val="en-US"/>
        </w:rPr>
      </w:pPr>
      <w:proofErr w:type="spellStart"/>
      <w:r w:rsidRPr="00793CAD">
        <w:rPr>
          <w:lang w:val="en-US"/>
        </w:rPr>
        <w:t>Odağımızı</w:t>
      </w:r>
      <w:proofErr w:type="spellEnd"/>
      <w:r w:rsidRPr="00793CAD">
        <w:rPr>
          <w:lang w:val="en-US"/>
        </w:rPr>
        <w:t xml:space="preserve">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Anayasa</w:t>
      </w:r>
      <w:proofErr w:type="spellEnd"/>
      <w:r w:rsidRPr="00793CAD">
        <w:rPr>
          <w:lang w:val="en-US"/>
        </w:rPr>
        <w:t>” (</w:t>
      </w:r>
      <w:r w:rsidRPr="00793CAD">
        <w:rPr>
          <w:i/>
          <w:iCs/>
          <w:lang w:val="en-US"/>
        </w:rPr>
        <w:t>living Constitution</w:t>
      </w:r>
      <w:r w:rsidRPr="00793CAD">
        <w:rPr>
          <w:lang w:val="en-US"/>
        </w:rPr>
        <w:t xml:space="preserve">) </w:t>
      </w:r>
      <w:proofErr w:type="spellStart"/>
      <w:r w:rsidRPr="00793CAD">
        <w:rPr>
          <w:lang w:val="en-US"/>
        </w:rPr>
        <w:t>fikrinden</w:t>
      </w:r>
      <w:proofErr w:type="spellEnd"/>
      <w:r w:rsidRPr="00793CAD">
        <w:rPr>
          <w:lang w:val="en-US"/>
        </w:rPr>
        <w:t xml:space="preserve"> “</w:t>
      </w:r>
      <w:proofErr w:type="spellStart"/>
      <w:r w:rsidRPr="00793CAD">
        <w:rPr>
          <w:lang w:val="en-US"/>
        </w:rPr>
        <w:t>yaşayan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kültür</w:t>
      </w:r>
      <w:proofErr w:type="spellEnd"/>
      <w:r w:rsidRPr="00793CAD">
        <w:rPr>
          <w:lang w:val="en-US"/>
        </w:rPr>
        <w:t>” (</w:t>
      </w:r>
      <w:r w:rsidRPr="00793CAD">
        <w:rPr>
          <w:i/>
          <w:iCs/>
          <w:lang w:val="en-US"/>
        </w:rPr>
        <w:t>living constitutional culture</w:t>
      </w:r>
      <w:r w:rsidRPr="00793CAD">
        <w:rPr>
          <w:lang w:val="en-US"/>
        </w:rPr>
        <w:t xml:space="preserve">) </w:t>
      </w:r>
      <w:proofErr w:type="spellStart"/>
      <w:r w:rsidRPr="00793CAD">
        <w:rPr>
          <w:lang w:val="en-US"/>
        </w:rPr>
        <w:t>kavrayışına</w:t>
      </w:r>
      <w:proofErr w:type="spellEnd"/>
      <w:r w:rsidRPr="00793CAD">
        <w:rPr>
          <w:lang w:val="en-US"/>
        </w:rPr>
        <w:t xml:space="preserve"> </w:t>
      </w:r>
      <w:proofErr w:type="spellStart"/>
      <w:r w:rsidRPr="00793CAD">
        <w:rPr>
          <w:lang w:val="en-US"/>
        </w:rPr>
        <w:t>kaydırmak</w:t>
      </w:r>
      <w:proofErr w:type="spellEnd"/>
      <w:r w:rsidRPr="00793CAD">
        <w:rPr>
          <w:lang w:val="en-US"/>
        </w:rPr>
        <w:t xml:space="preserve">, </w:t>
      </w:r>
      <w:proofErr w:type="spellStart"/>
      <w:r w:rsidRPr="00793CAD">
        <w:rPr>
          <w:lang w:val="en-US"/>
        </w:rPr>
        <w:t>anayasa</w:t>
      </w:r>
      <w:proofErr w:type="spellEnd"/>
      <w:r w:rsidRPr="00793CAD">
        <w:rPr>
          <w:lang w:val="en-US"/>
        </w:rPr>
        <w:t xml:space="preserve"> </w:t>
      </w:r>
      <w:proofErr w:type="spellStart"/>
      <w:r w:rsidRPr="00793CAD">
        <w:rPr>
          <w:lang w:val="en-US"/>
        </w:rPr>
        <w:t>hukukunun</w:t>
      </w:r>
      <w:proofErr w:type="spellEnd"/>
      <w:r w:rsidRPr="00793CAD">
        <w:rPr>
          <w:lang w:val="en-US"/>
        </w:rPr>
        <w:t xml:space="preserve"> </w:t>
      </w:r>
      <w:proofErr w:type="spellStart"/>
      <w:r w:rsidRPr="00793CAD">
        <w:rPr>
          <w:lang w:val="en-US"/>
        </w:rPr>
        <w:t>evrimsel</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yapıya</w:t>
      </w:r>
      <w:proofErr w:type="spellEnd"/>
      <w:r w:rsidRPr="00793CAD">
        <w:rPr>
          <w:lang w:val="en-US"/>
        </w:rPr>
        <w:t xml:space="preserve"> </w:t>
      </w:r>
      <w:proofErr w:type="spellStart"/>
      <w:r w:rsidRPr="00793CAD">
        <w:rPr>
          <w:lang w:val="en-US"/>
        </w:rPr>
        <w:t>sahip</w:t>
      </w:r>
      <w:proofErr w:type="spellEnd"/>
      <w:r w:rsidRPr="00793CAD">
        <w:rPr>
          <w:lang w:val="en-US"/>
        </w:rPr>
        <w:t xml:space="preserve"> </w:t>
      </w:r>
      <w:proofErr w:type="spellStart"/>
      <w:r w:rsidRPr="00793CAD">
        <w:rPr>
          <w:lang w:val="en-US"/>
        </w:rPr>
        <w:t>olmasının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tercih</w:t>
      </w:r>
      <w:proofErr w:type="spellEnd"/>
      <w:r w:rsidRPr="00793CAD">
        <w:rPr>
          <w:lang w:val="en-US"/>
        </w:rPr>
        <w:t xml:space="preserve"> </w:t>
      </w:r>
      <w:proofErr w:type="spellStart"/>
      <w:r w:rsidRPr="00793CAD">
        <w:rPr>
          <w:lang w:val="en-US"/>
        </w:rPr>
        <w:t>değil</w:t>
      </w:r>
      <w:proofErr w:type="spellEnd"/>
      <w:r w:rsidRPr="00793CAD">
        <w:rPr>
          <w:lang w:val="en-US"/>
        </w:rPr>
        <w:t xml:space="preserve">, </w:t>
      </w:r>
      <w:proofErr w:type="spellStart"/>
      <w:r w:rsidRPr="00793CAD">
        <w:rPr>
          <w:lang w:val="en-US"/>
        </w:rPr>
        <w:t>kaçınılmaz</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zorunluluk</w:t>
      </w:r>
      <w:proofErr w:type="spellEnd"/>
      <w:r w:rsidRPr="00793CAD">
        <w:rPr>
          <w:lang w:val="en-US"/>
        </w:rPr>
        <w:t xml:space="preserve"> </w:t>
      </w:r>
      <w:proofErr w:type="spellStart"/>
      <w:r w:rsidRPr="00793CAD">
        <w:rPr>
          <w:lang w:val="en-US"/>
        </w:rPr>
        <w:t>olduğunu</w:t>
      </w:r>
      <w:proofErr w:type="spellEnd"/>
      <w:r w:rsidRPr="00793CAD">
        <w:rPr>
          <w:lang w:val="en-US"/>
        </w:rPr>
        <w:t xml:space="preserve"> </w:t>
      </w:r>
      <w:proofErr w:type="spellStart"/>
      <w:r w:rsidRPr="00793CAD">
        <w:rPr>
          <w:lang w:val="en-US"/>
        </w:rPr>
        <w:t>anlamamıza</w:t>
      </w:r>
      <w:proofErr w:type="spellEnd"/>
      <w:r w:rsidRPr="00793CAD">
        <w:rPr>
          <w:lang w:val="en-US"/>
        </w:rPr>
        <w:t xml:space="preserve"> da </w:t>
      </w:r>
      <w:proofErr w:type="spellStart"/>
      <w:r w:rsidRPr="00793CAD">
        <w:rPr>
          <w:lang w:val="en-US"/>
        </w:rPr>
        <w:t>olanak</w:t>
      </w:r>
      <w:proofErr w:type="spellEnd"/>
      <w:r w:rsidRPr="00793CAD">
        <w:rPr>
          <w:lang w:val="en-US"/>
        </w:rPr>
        <w:t xml:space="preserve"> </w:t>
      </w:r>
      <w:proofErr w:type="spellStart"/>
      <w:r w:rsidRPr="00793CAD">
        <w:rPr>
          <w:lang w:val="en-US"/>
        </w:rPr>
        <w:t>tanır</w:t>
      </w:r>
      <w:proofErr w:type="spellEnd"/>
      <w:r w:rsidRPr="00793CAD">
        <w:rPr>
          <w:lang w:val="en-US"/>
        </w:rPr>
        <w:t>.</w:t>
      </w:r>
      <w:r>
        <w:rPr>
          <w:lang w:val="en-US"/>
        </w:rPr>
        <w:t xml:space="preserve"> </w:t>
      </w:r>
      <w:r w:rsidRPr="00793CAD">
        <w:rPr>
          <w:lang w:val="en-US"/>
        </w:rPr>
        <w:t xml:space="preserve">Bu </w:t>
      </w:r>
      <w:proofErr w:type="spellStart"/>
      <w:r w:rsidRPr="00793CAD">
        <w:rPr>
          <w:lang w:val="en-US"/>
        </w:rPr>
        <w:t>makalenin</w:t>
      </w:r>
      <w:proofErr w:type="spellEnd"/>
      <w:r w:rsidRPr="00793CAD">
        <w:rPr>
          <w:lang w:val="en-US"/>
        </w:rPr>
        <w:t xml:space="preserve"> </w:t>
      </w:r>
      <w:proofErr w:type="spellStart"/>
      <w:r w:rsidRPr="00793CAD">
        <w:rPr>
          <w:lang w:val="en-US"/>
        </w:rPr>
        <w:t>başlangıcında</w:t>
      </w:r>
      <w:proofErr w:type="spellEnd"/>
      <w:r w:rsidRPr="00793CAD">
        <w:rPr>
          <w:lang w:val="en-US"/>
        </w:rPr>
        <w:t xml:space="preserve"> </w:t>
      </w:r>
      <w:proofErr w:type="spellStart"/>
      <w:r w:rsidRPr="00793CAD">
        <w:rPr>
          <w:lang w:val="en-US"/>
        </w:rPr>
        <w:t>vurgulanan</w:t>
      </w:r>
      <w:proofErr w:type="spellEnd"/>
      <w:r w:rsidRPr="00793CAD">
        <w:rPr>
          <w:lang w:val="en-US"/>
        </w:rPr>
        <w:t xml:space="preserve"> </w:t>
      </w:r>
      <w:proofErr w:type="spellStart"/>
      <w:r w:rsidRPr="00793CAD">
        <w:rPr>
          <w:lang w:val="en-US"/>
        </w:rPr>
        <w:t>noktayı</w:t>
      </w:r>
      <w:proofErr w:type="spellEnd"/>
      <w:r w:rsidRPr="00793CAD">
        <w:rPr>
          <w:lang w:val="en-US"/>
        </w:rPr>
        <w:t xml:space="preserve"> </w:t>
      </w:r>
      <w:proofErr w:type="spellStart"/>
      <w:r w:rsidRPr="00793CAD">
        <w:rPr>
          <w:lang w:val="en-US"/>
        </w:rPr>
        <w:t>tekrar</w:t>
      </w:r>
      <w:proofErr w:type="spellEnd"/>
      <w:r w:rsidRPr="00793CAD">
        <w:rPr>
          <w:lang w:val="en-US"/>
        </w:rPr>
        <w:t xml:space="preserve"> </w:t>
      </w:r>
      <w:proofErr w:type="spellStart"/>
      <w:r w:rsidRPr="00793CAD">
        <w:rPr>
          <w:lang w:val="en-US"/>
        </w:rPr>
        <w:t>etmek</w:t>
      </w:r>
      <w:proofErr w:type="spellEnd"/>
      <w:r w:rsidRPr="00793CAD">
        <w:rPr>
          <w:lang w:val="en-US"/>
        </w:rPr>
        <w:t xml:space="preserve"> </w:t>
      </w:r>
      <w:proofErr w:type="spellStart"/>
      <w:r w:rsidRPr="00793CAD">
        <w:rPr>
          <w:lang w:val="en-US"/>
        </w:rPr>
        <w:t>gerekirse</w:t>
      </w:r>
      <w:proofErr w:type="spellEnd"/>
      <w:r w:rsidRPr="00793CAD">
        <w:rPr>
          <w:lang w:val="en-US"/>
        </w:rPr>
        <w:t xml:space="preserve">, </w:t>
      </w:r>
      <w:proofErr w:type="spellStart"/>
      <w:r w:rsidRPr="00793CAD">
        <w:rPr>
          <w:lang w:val="en-US"/>
        </w:rPr>
        <w:t>anayasa</w:t>
      </w:r>
      <w:proofErr w:type="spellEnd"/>
      <w:r w:rsidRPr="00793CAD">
        <w:rPr>
          <w:lang w:val="en-US"/>
        </w:rPr>
        <w:t xml:space="preserve"> </w:t>
      </w:r>
      <w:proofErr w:type="spellStart"/>
      <w:r w:rsidRPr="00793CAD">
        <w:rPr>
          <w:lang w:val="en-US"/>
        </w:rPr>
        <w:t>hukuku</w:t>
      </w:r>
      <w:proofErr w:type="spellEnd"/>
      <w:r w:rsidRPr="00793CAD">
        <w:rPr>
          <w:lang w:val="en-US"/>
        </w:rPr>
        <w:t xml:space="preserve"> </w:t>
      </w:r>
      <w:proofErr w:type="spellStart"/>
      <w:r w:rsidRPr="00793CAD">
        <w:rPr>
          <w:lang w:val="en-US"/>
        </w:rPr>
        <w:t>anayasal</w:t>
      </w:r>
      <w:proofErr w:type="spellEnd"/>
      <w:r w:rsidRPr="00793CAD">
        <w:rPr>
          <w:lang w:val="en-US"/>
        </w:rPr>
        <w:t xml:space="preserve"> </w:t>
      </w:r>
      <w:proofErr w:type="spellStart"/>
      <w:r w:rsidRPr="00793CAD">
        <w:rPr>
          <w:lang w:val="en-US"/>
        </w:rPr>
        <w:t>metinden</w:t>
      </w:r>
      <w:proofErr w:type="spellEnd"/>
      <w:r w:rsidRPr="00793CAD">
        <w:rPr>
          <w:lang w:val="en-US"/>
        </w:rPr>
        <w:t xml:space="preserve"> tam </w:t>
      </w:r>
      <w:proofErr w:type="spellStart"/>
      <w:r w:rsidRPr="00793CAD">
        <w:rPr>
          <w:lang w:val="en-US"/>
        </w:rPr>
        <w:t>ve</w:t>
      </w:r>
      <w:proofErr w:type="spellEnd"/>
      <w:r w:rsidRPr="00793CAD">
        <w:rPr>
          <w:lang w:val="en-US"/>
        </w:rPr>
        <w:t xml:space="preserve"> </w:t>
      </w:r>
      <w:proofErr w:type="spellStart"/>
      <w:r w:rsidRPr="00793CAD">
        <w:rPr>
          <w:lang w:val="en-US"/>
        </w:rPr>
        <w:t>değişmez</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biçimde</w:t>
      </w:r>
      <w:proofErr w:type="spellEnd"/>
      <w:r w:rsidRPr="00793CAD">
        <w:rPr>
          <w:lang w:val="en-US"/>
        </w:rPr>
        <w:t xml:space="preserve"> </w:t>
      </w:r>
      <w:proofErr w:type="spellStart"/>
      <w:r w:rsidRPr="00793CAD">
        <w:rPr>
          <w:lang w:val="en-US"/>
        </w:rPr>
        <w:t>doğmaz</w:t>
      </w:r>
      <w:proofErr w:type="spellEnd"/>
      <w:r w:rsidRPr="00793CAD">
        <w:rPr>
          <w:lang w:val="en-US"/>
        </w:rPr>
        <w:t xml:space="preserve">; </w:t>
      </w:r>
      <w:proofErr w:type="spellStart"/>
      <w:r w:rsidRPr="00793CAD">
        <w:rPr>
          <w:lang w:val="en-US"/>
        </w:rPr>
        <w:t>aksine</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metin</w:t>
      </w:r>
      <w:proofErr w:type="spellEnd"/>
      <w:r w:rsidRPr="00793CAD">
        <w:rPr>
          <w:lang w:val="en-US"/>
        </w:rPr>
        <w:t xml:space="preserve">, </w:t>
      </w:r>
      <w:proofErr w:type="spellStart"/>
      <w:r w:rsidRPr="00793CAD">
        <w:rPr>
          <w:lang w:val="en-US"/>
        </w:rPr>
        <w:t>somut</w:t>
      </w:r>
      <w:proofErr w:type="spellEnd"/>
      <w:r w:rsidRPr="00793CAD">
        <w:rPr>
          <w:lang w:val="en-US"/>
        </w:rPr>
        <w:t xml:space="preserve"> </w:t>
      </w:r>
      <w:proofErr w:type="spellStart"/>
      <w:r w:rsidRPr="00793CAD">
        <w:rPr>
          <w:lang w:val="en-US"/>
        </w:rPr>
        <w:t>kurumlar</w:t>
      </w:r>
      <w:proofErr w:type="spellEnd"/>
      <w:r w:rsidRPr="00793CAD">
        <w:rPr>
          <w:lang w:val="en-US"/>
        </w:rPr>
        <w:t xml:space="preserve">, </w:t>
      </w:r>
      <w:proofErr w:type="spellStart"/>
      <w:r w:rsidRPr="00793CAD">
        <w:rPr>
          <w:lang w:val="en-US"/>
        </w:rPr>
        <w:t>uygulamalar</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düşünce</w:t>
      </w:r>
      <w:proofErr w:type="spellEnd"/>
      <w:r w:rsidRPr="00793CAD">
        <w:rPr>
          <w:lang w:val="en-US"/>
        </w:rPr>
        <w:t xml:space="preserve"> </w:t>
      </w:r>
      <w:proofErr w:type="spellStart"/>
      <w:r w:rsidRPr="00793CAD">
        <w:rPr>
          <w:lang w:val="en-US"/>
        </w:rPr>
        <w:t>alışkanlıkları</w:t>
      </w:r>
      <w:proofErr w:type="spellEnd"/>
      <w:r w:rsidRPr="00793CAD">
        <w:rPr>
          <w:lang w:val="en-US"/>
        </w:rPr>
        <w:t xml:space="preserve"> </w:t>
      </w:r>
      <w:proofErr w:type="spellStart"/>
      <w:r w:rsidRPr="00793CAD">
        <w:rPr>
          <w:lang w:val="en-US"/>
        </w:rPr>
        <w:t>aracılığıyla</w:t>
      </w:r>
      <w:proofErr w:type="spellEnd"/>
      <w:r w:rsidRPr="00793CAD">
        <w:rPr>
          <w:lang w:val="en-US"/>
        </w:rPr>
        <w:t xml:space="preserve"> </w:t>
      </w:r>
      <w:proofErr w:type="spellStart"/>
      <w:r w:rsidRPr="00793CAD">
        <w:rPr>
          <w:lang w:val="en-US"/>
        </w:rPr>
        <w:t>filtrelenerek</w:t>
      </w:r>
      <w:proofErr w:type="spellEnd"/>
      <w:r w:rsidRPr="00793CAD">
        <w:rPr>
          <w:lang w:val="en-US"/>
        </w:rPr>
        <w:t xml:space="preserve"> </w:t>
      </w:r>
      <w:proofErr w:type="spellStart"/>
      <w:r w:rsidRPr="00793CAD">
        <w:rPr>
          <w:lang w:val="en-US"/>
        </w:rPr>
        <w:t>oluşturulur</w:t>
      </w:r>
      <w:proofErr w:type="spellEnd"/>
      <w:r w:rsidRPr="00793CAD">
        <w:rPr>
          <w:lang w:val="en-US"/>
        </w:rPr>
        <w:t xml:space="preserve">. </w:t>
      </w:r>
      <w:proofErr w:type="spellStart"/>
      <w:r w:rsidRPr="00793CAD">
        <w:rPr>
          <w:lang w:val="en-US"/>
        </w:rPr>
        <w:t>Deneyimlerimizden</w:t>
      </w:r>
      <w:proofErr w:type="spellEnd"/>
      <w:r w:rsidRPr="00793CAD">
        <w:rPr>
          <w:lang w:val="en-US"/>
        </w:rPr>
        <w:t xml:space="preserve"> </w:t>
      </w:r>
      <w:proofErr w:type="spellStart"/>
      <w:r w:rsidRPr="00793CAD">
        <w:rPr>
          <w:lang w:val="en-US"/>
        </w:rPr>
        <w:t>biliyoruz</w:t>
      </w:r>
      <w:proofErr w:type="spellEnd"/>
      <w:r w:rsidRPr="00793CAD">
        <w:rPr>
          <w:lang w:val="en-US"/>
        </w:rPr>
        <w:t xml:space="preserve"> ki </w:t>
      </w:r>
      <w:proofErr w:type="spellStart"/>
      <w:r w:rsidRPr="00793CAD">
        <w:rPr>
          <w:lang w:val="en-US"/>
        </w:rPr>
        <w:t>bu</w:t>
      </w:r>
      <w:proofErr w:type="spellEnd"/>
      <w:r w:rsidRPr="00793CAD">
        <w:rPr>
          <w:lang w:val="en-US"/>
        </w:rPr>
        <w:t xml:space="preserve"> </w:t>
      </w:r>
      <w:proofErr w:type="spellStart"/>
      <w:r w:rsidRPr="00793CAD">
        <w:rPr>
          <w:lang w:val="en-US"/>
        </w:rPr>
        <w:t>unsurlar</w:t>
      </w:r>
      <w:proofErr w:type="spellEnd"/>
      <w:r w:rsidRPr="00793CAD">
        <w:rPr>
          <w:lang w:val="en-US"/>
        </w:rPr>
        <w:t xml:space="preserve"> </w:t>
      </w:r>
      <w:proofErr w:type="spellStart"/>
      <w:r w:rsidRPr="00793CAD">
        <w:rPr>
          <w:lang w:val="en-US"/>
        </w:rPr>
        <w:t>sürekli</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evrilmektedir</w:t>
      </w:r>
      <w:proofErr w:type="spellEnd"/>
      <w:r w:rsidRPr="00793CAD">
        <w:rPr>
          <w:lang w:val="en-US"/>
        </w:rPr>
        <w:t xml:space="preserve">; </w:t>
      </w:r>
      <w:proofErr w:type="spellStart"/>
      <w:r w:rsidRPr="00793CAD">
        <w:rPr>
          <w:lang w:val="en-US"/>
        </w:rPr>
        <w:t>ancak</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tür</w:t>
      </w:r>
      <w:proofErr w:type="spellEnd"/>
      <w:r w:rsidRPr="00793CAD">
        <w:rPr>
          <w:lang w:val="en-US"/>
        </w:rPr>
        <w:t xml:space="preserve"> </w:t>
      </w:r>
      <w:proofErr w:type="spellStart"/>
      <w:r w:rsidRPr="00793CAD">
        <w:rPr>
          <w:lang w:val="en-US"/>
        </w:rPr>
        <w:t>ampirik</w:t>
      </w:r>
      <w:proofErr w:type="spellEnd"/>
      <w:r w:rsidRPr="00793CAD">
        <w:rPr>
          <w:lang w:val="en-US"/>
        </w:rPr>
        <w:t xml:space="preserve"> </w:t>
      </w:r>
      <w:proofErr w:type="spellStart"/>
      <w:r w:rsidRPr="00793CAD">
        <w:rPr>
          <w:lang w:val="en-US"/>
        </w:rPr>
        <w:t>verilere</w:t>
      </w:r>
      <w:proofErr w:type="spellEnd"/>
      <w:r w:rsidRPr="00793CAD">
        <w:rPr>
          <w:lang w:val="en-US"/>
        </w:rPr>
        <w:t xml:space="preserve"> </w:t>
      </w:r>
      <w:proofErr w:type="spellStart"/>
      <w:r w:rsidRPr="00793CAD">
        <w:rPr>
          <w:lang w:val="en-US"/>
        </w:rPr>
        <w:t>sahip</w:t>
      </w:r>
      <w:proofErr w:type="spellEnd"/>
      <w:r w:rsidRPr="00793CAD">
        <w:rPr>
          <w:lang w:val="en-US"/>
        </w:rPr>
        <w:t xml:space="preserve"> </w:t>
      </w:r>
      <w:proofErr w:type="spellStart"/>
      <w:r w:rsidRPr="00793CAD">
        <w:rPr>
          <w:lang w:val="en-US"/>
        </w:rPr>
        <w:t>olmasak</w:t>
      </w:r>
      <w:proofErr w:type="spellEnd"/>
      <w:r w:rsidRPr="00793CAD">
        <w:rPr>
          <w:lang w:val="en-US"/>
        </w:rPr>
        <w:t xml:space="preserve"> bile, </w:t>
      </w:r>
      <w:proofErr w:type="spellStart"/>
      <w:r w:rsidRPr="00793CAD">
        <w:rPr>
          <w:lang w:val="en-US"/>
        </w:rPr>
        <w:t>böyle</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dönüşümün</w:t>
      </w:r>
      <w:proofErr w:type="spellEnd"/>
      <w:r w:rsidRPr="00793CAD">
        <w:rPr>
          <w:lang w:val="en-US"/>
        </w:rPr>
        <w:t xml:space="preserve"> </w:t>
      </w:r>
      <w:proofErr w:type="spellStart"/>
      <w:r w:rsidRPr="00793CAD">
        <w:rPr>
          <w:lang w:val="en-US"/>
        </w:rPr>
        <w:t>kaçınılmaz</w:t>
      </w:r>
      <w:proofErr w:type="spellEnd"/>
      <w:r w:rsidRPr="00793CAD">
        <w:rPr>
          <w:lang w:val="en-US"/>
        </w:rPr>
        <w:t xml:space="preserve"> </w:t>
      </w:r>
      <w:proofErr w:type="spellStart"/>
      <w:r w:rsidRPr="00793CAD">
        <w:rPr>
          <w:lang w:val="en-US"/>
        </w:rPr>
        <w:t>olduğunu</w:t>
      </w:r>
      <w:proofErr w:type="spellEnd"/>
      <w:r w:rsidRPr="00793CAD">
        <w:rPr>
          <w:lang w:val="en-US"/>
        </w:rPr>
        <w:t xml:space="preserve"> </w:t>
      </w:r>
      <w:proofErr w:type="spellStart"/>
      <w:r w:rsidRPr="00793CAD">
        <w:rPr>
          <w:lang w:val="en-US"/>
        </w:rPr>
        <w:t>varsayabiliriz</w:t>
      </w:r>
      <w:proofErr w:type="spellEnd"/>
      <w:r w:rsidRPr="00793CAD">
        <w:rPr>
          <w:lang w:val="en-US"/>
        </w:rPr>
        <w:t>.</w:t>
      </w:r>
      <w:r>
        <w:rPr>
          <w:lang w:val="en-US"/>
        </w:rPr>
        <w:t xml:space="preserve"> </w:t>
      </w:r>
      <w:proofErr w:type="spellStart"/>
      <w:r w:rsidRPr="00793CAD">
        <w:rPr>
          <w:lang w:val="en-US"/>
        </w:rPr>
        <w:t>İnsanların</w:t>
      </w:r>
      <w:proofErr w:type="spellEnd"/>
      <w:r w:rsidRPr="00793CAD">
        <w:rPr>
          <w:lang w:val="en-US"/>
        </w:rPr>
        <w:t xml:space="preserve"> </w:t>
      </w:r>
      <w:proofErr w:type="spellStart"/>
      <w:r w:rsidRPr="00793CAD">
        <w:rPr>
          <w:lang w:val="en-US"/>
        </w:rPr>
        <w:t>kurumları</w:t>
      </w:r>
      <w:proofErr w:type="spellEnd"/>
      <w:r w:rsidRPr="00793CAD">
        <w:rPr>
          <w:lang w:val="en-US"/>
        </w:rPr>
        <w:t xml:space="preserve"> </w:t>
      </w:r>
      <w:proofErr w:type="spellStart"/>
      <w:r w:rsidRPr="00793CAD">
        <w:rPr>
          <w:lang w:val="en-US"/>
        </w:rPr>
        <w:t>oluşturma</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normları</w:t>
      </w:r>
      <w:proofErr w:type="spellEnd"/>
      <w:r w:rsidRPr="00793CAD">
        <w:rPr>
          <w:lang w:val="en-US"/>
        </w:rPr>
        <w:t xml:space="preserve"> </w:t>
      </w:r>
      <w:proofErr w:type="spellStart"/>
      <w:r w:rsidRPr="00793CAD">
        <w:rPr>
          <w:lang w:val="en-US"/>
        </w:rPr>
        <w:t>tanımlama</w:t>
      </w:r>
      <w:proofErr w:type="spellEnd"/>
      <w:r w:rsidRPr="00793CAD">
        <w:rPr>
          <w:lang w:val="en-US"/>
        </w:rPr>
        <w:t xml:space="preserve"> </w:t>
      </w:r>
      <w:proofErr w:type="spellStart"/>
      <w:r w:rsidRPr="00793CAD">
        <w:rPr>
          <w:lang w:val="en-US"/>
        </w:rPr>
        <w:t>özgürlüğüne</w:t>
      </w:r>
      <w:proofErr w:type="spellEnd"/>
      <w:r w:rsidRPr="00793CAD">
        <w:rPr>
          <w:lang w:val="en-US"/>
        </w:rPr>
        <w:t xml:space="preserve"> </w:t>
      </w:r>
      <w:proofErr w:type="spellStart"/>
      <w:r w:rsidRPr="00793CAD">
        <w:rPr>
          <w:lang w:val="en-US"/>
        </w:rPr>
        <w:t>sahip</w:t>
      </w:r>
      <w:proofErr w:type="spellEnd"/>
      <w:r w:rsidRPr="00793CAD">
        <w:rPr>
          <w:lang w:val="en-US"/>
        </w:rPr>
        <w:t xml:space="preserve"> </w:t>
      </w:r>
      <w:proofErr w:type="spellStart"/>
      <w:r w:rsidRPr="00793CAD">
        <w:rPr>
          <w:lang w:val="en-US"/>
        </w:rPr>
        <w:t>olduğu</w:t>
      </w:r>
      <w:proofErr w:type="spellEnd"/>
      <w:r w:rsidRPr="00793CAD">
        <w:rPr>
          <w:lang w:val="en-US"/>
        </w:rPr>
        <w:t xml:space="preserve"> </w:t>
      </w:r>
      <w:proofErr w:type="spellStart"/>
      <w:r w:rsidRPr="00793CAD">
        <w:rPr>
          <w:lang w:val="en-US"/>
        </w:rPr>
        <w:t>ölçüde</w:t>
      </w:r>
      <w:proofErr w:type="spellEnd"/>
      <w:r w:rsidRPr="00793CAD">
        <w:rPr>
          <w:lang w:val="en-US"/>
        </w:rPr>
        <w:t xml:space="preserve">, </w:t>
      </w:r>
      <w:proofErr w:type="spellStart"/>
      <w:r w:rsidRPr="00793CAD">
        <w:rPr>
          <w:lang w:val="en-US"/>
        </w:rPr>
        <w:t>farklı</w:t>
      </w:r>
      <w:proofErr w:type="spellEnd"/>
      <w:r w:rsidRPr="00793CAD">
        <w:rPr>
          <w:lang w:val="en-US"/>
        </w:rPr>
        <w:t xml:space="preserve"> </w:t>
      </w:r>
      <w:proofErr w:type="spellStart"/>
      <w:r w:rsidRPr="00793CAD">
        <w:rPr>
          <w:lang w:val="en-US"/>
        </w:rPr>
        <w:t>topluluklar</w:t>
      </w:r>
      <w:proofErr w:type="spellEnd"/>
      <w:r w:rsidRPr="00793CAD">
        <w:rPr>
          <w:lang w:val="en-US"/>
        </w:rPr>
        <w:t xml:space="preserve"> </w:t>
      </w:r>
      <w:proofErr w:type="spellStart"/>
      <w:r w:rsidRPr="00793CAD">
        <w:rPr>
          <w:lang w:val="en-US"/>
        </w:rPr>
        <w:t>farklı</w:t>
      </w:r>
      <w:proofErr w:type="spellEnd"/>
      <w:r w:rsidRPr="00793CAD">
        <w:rPr>
          <w:lang w:val="en-US"/>
        </w:rPr>
        <w:t xml:space="preserve"> </w:t>
      </w:r>
      <w:proofErr w:type="spellStart"/>
      <w:r w:rsidRPr="00793CAD">
        <w:rPr>
          <w:lang w:val="en-US"/>
        </w:rPr>
        <w:t>tercihlerde</w:t>
      </w:r>
      <w:proofErr w:type="spellEnd"/>
      <w:r w:rsidRPr="00793CAD">
        <w:rPr>
          <w:lang w:val="en-US"/>
        </w:rPr>
        <w:t xml:space="preserve"> </w:t>
      </w:r>
      <w:proofErr w:type="spellStart"/>
      <w:r w:rsidRPr="00793CAD">
        <w:rPr>
          <w:lang w:val="en-US"/>
        </w:rPr>
        <w:t>bulunacaktır</w:t>
      </w:r>
      <w:proofErr w:type="spellEnd"/>
      <w:r w:rsidRPr="00793CAD">
        <w:rPr>
          <w:lang w:val="en-US"/>
        </w:rPr>
        <w:t xml:space="preserve">. </w:t>
      </w:r>
      <w:proofErr w:type="spellStart"/>
      <w:r w:rsidRPr="00793CAD">
        <w:rPr>
          <w:lang w:val="en-US"/>
        </w:rPr>
        <w:t>Öte</w:t>
      </w:r>
      <w:proofErr w:type="spellEnd"/>
      <w:r w:rsidRPr="00793CAD">
        <w:rPr>
          <w:lang w:val="en-US"/>
        </w:rPr>
        <w:t xml:space="preserve"> </w:t>
      </w:r>
      <w:proofErr w:type="spellStart"/>
      <w:r w:rsidRPr="00793CAD">
        <w:rPr>
          <w:lang w:val="en-US"/>
        </w:rPr>
        <w:t>yandan</w:t>
      </w:r>
      <w:proofErr w:type="spellEnd"/>
      <w:r w:rsidRPr="00793CAD">
        <w:rPr>
          <w:lang w:val="en-US"/>
        </w:rPr>
        <w:t xml:space="preserve">, </w:t>
      </w:r>
      <w:proofErr w:type="spellStart"/>
      <w:r w:rsidRPr="00793CAD">
        <w:rPr>
          <w:lang w:val="en-US"/>
        </w:rPr>
        <w:t>uygulamaların</w:t>
      </w:r>
      <w:proofErr w:type="spellEnd"/>
      <w:r w:rsidRPr="00793CAD">
        <w:rPr>
          <w:lang w:val="en-US"/>
        </w:rPr>
        <w:t xml:space="preserve">, </w:t>
      </w:r>
      <w:proofErr w:type="spellStart"/>
      <w:r w:rsidRPr="00793CAD">
        <w:rPr>
          <w:lang w:val="en-US"/>
        </w:rPr>
        <w:t>normların</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entelektüel</w:t>
      </w:r>
      <w:proofErr w:type="spellEnd"/>
      <w:r w:rsidRPr="00793CAD">
        <w:rPr>
          <w:lang w:val="en-US"/>
        </w:rPr>
        <w:t xml:space="preserve"> </w:t>
      </w:r>
      <w:proofErr w:type="spellStart"/>
      <w:r w:rsidRPr="00793CAD">
        <w:rPr>
          <w:lang w:val="en-US"/>
        </w:rPr>
        <w:t>yapıların</w:t>
      </w:r>
      <w:proofErr w:type="spellEnd"/>
      <w:r w:rsidRPr="00793CAD">
        <w:rPr>
          <w:lang w:val="en-US"/>
        </w:rPr>
        <w:t xml:space="preserve"> </w:t>
      </w:r>
      <w:proofErr w:type="spellStart"/>
      <w:r w:rsidRPr="00793CAD">
        <w:rPr>
          <w:lang w:val="en-US"/>
        </w:rPr>
        <w:t>benimsenme</w:t>
      </w:r>
      <w:proofErr w:type="spellEnd"/>
      <w:r w:rsidRPr="00793CAD">
        <w:rPr>
          <w:lang w:val="en-US"/>
        </w:rPr>
        <w:t xml:space="preserve"> </w:t>
      </w:r>
      <w:proofErr w:type="spellStart"/>
      <w:r w:rsidRPr="00793CAD">
        <w:rPr>
          <w:lang w:val="en-US"/>
        </w:rPr>
        <w:t>süreci</w:t>
      </w:r>
      <w:proofErr w:type="spellEnd"/>
      <w:r w:rsidRPr="00793CAD">
        <w:rPr>
          <w:lang w:val="en-US"/>
        </w:rPr>
        <w:t xml:space="preserve"> tam </w:t>
      </w:r>
      <w:proofErr w:type="spellStart"/>
      <w:r w:rsidRPr="00793CAD">
        <w:rPr>
          <w:lang w:val="en-US"/>
        </w:rPr>
        <w:t>anlamıyla</w:t>
      </w:r>
      <w:proofErr w:type="spellEnd"/>
      <w:r w:rsidRPr="00793CAD">
        <w:rPr>
          <w:lang w:val="en-US"/>
        </w:rPr>
        <w:t xml:space="preserve"> </w:t>
      </w:r>
      <w:proofErr w:type="spellStart"/>
      <w:r w:rsidRPr="00793CAD">
        <w:rPr>
          <w:lang w:val="en-US"/>
        </w:rPr>
        <w:t>bilinçli</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süreç</w:t>
      </w:r>
      <w:proofErr w:type="spellEnd"/>
      <w:r w:rsidRPr="00793CAD">
        <w:rPr>
          <w:lang w:val="en-US"/>
        </w:rPr>
        <w:t xml:space="preserve"> </w:t>
      </w:r>
      <w:proofErr w:type="spellStart"/>
      <w:r w:rsidRPr="00793CAD">
        <w:rPr>
          <w:lang w:val="en-US"/>
        </w:rPr>
        <w:t>olmadığından</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kültürel</w:t>
      </w:r>
      <w:proofErr w:type="spellEnd"/>
      <w:r w:rsidRPr="00793CAD">
        <w:rPr>
          <w:lang w:val="en-US"/>
        </w:rPr>
        <w:t xml:space="preserve"> </w:t>
      </w:r>
      <w:proofErr w:type="spellStart"/>
      <w:r w:rsidRPr="00793CAD">
        <w:rPr>
          <w:lang w:val="en-US"/>
        </w:rPr>
        <w:t>unsurlar</w:t>
      </w:r>
      <w:proofErr w:type="spellEnd"/>
      <w:r w:rsidRPr="00793CAD">
        <w:rPr>
          <w:lang w:val="en-US"/>
        </w:rPr>
        <w:t xml:space="preserve"> da </w:t>
      </w:r>
      <w:proofErr w:type="spellStart"/>
      <w:r w:rsidRPr="00793CAD">
        <w:rPr>
          <w:lang w:val="en-US"/>
        </w:rPr>
        <w:t>belirli</w:t>
      </w:r>
      <w:proofErr w:type="spellEnd"/>
      <w:r w:rsidRPr="00793CAD">
        <w:rPr>
          <w:lang w:val="en-US"/>
        </w:rPr>
        <w:t xml:space="preserve"> </w:t>
      </w:r>
      <w:proofErr w:type="spellStart"/>
      <w:r w:rsidRPr="00793CAD">
        <w:rPr>
          <w:lang w:val="en-US"/>
        </w:rPr>
        <w:t>bir</w:t>
      </w:r>
      <w:proofErr w:type="spellEnd"/>
      <w:r w:rsidRPr="00793CAD">
        <w:rPr>
          <w:lang w:val="en-US"/>
        </w:rPr>
        <w:t xml:space="preserve"> zaman </w:t>
      </w:r>
      <w:proofErr w:type="spellStart"/>
      <w:r w:rsidRPr="00793CAD">
        <w:rPr>
          <w:lang w:val="en-US"/>
        </w:rPr>
        <w:t>ve</w:t>
      </w:r>
      <w:proofErr w:type="spellEnd"/>
      <w:r w:rsidRPr="00793CAD">
        <w:rPr>
          <w:lang w:val="en-US"/>
        </w:rPr>
        <w:t xml:space="preserve"> </w:t>
      </w:r>
      <w:proofErr w:type="spellStart"/>
      <w:r w:rsidRPr="00793CAD">
        <w:rPr>
          <w:lang w:val="en-US"/>
        </w:rPr>
        <w:t>mekâna</w:t>
      </w:r>
      <w:proofErr w:type="spellEnd"/>
      <w:r w:rsidRPr="00793CAD">
        <w:rPr>
          <w:lang w:val="en-US"/>
        </w:rPr>
        <w:t xml:space="preserve"> </w:t>
      </w:r>
      <w:proofErr w:type="spellStart"/>
      <w:r w:rsidRPr="00793CAD">
        <w:rPr>
          <w:lang w:val="en-US"/>
        </w:rPr>
        <w:t>bağlıdır</w:t>
      </w:r>
      <w:proofErr w:type="spellEnd"/>
      <w:r w:rsidRPr="00793CAD">
        <w:rPr>
          <w:lang w:val="en-US"/>
        </w:rPr>
        <w:t xml:space="preserve">; </w:t>
      </w:r>
      <w:proofErr w:type="spellStart"/>
      <w:r w:rsidRPr="00793CAD">
        <w:rPr>
          <w:lang w:val="en-US"/>
        </w:rPr>
        <w:t>çünkü</w:t>
      </w:r>
      <w:proofErr w:type="spellEnd"/>
      <w:r w:rsidRPr="00793CAD">
        <w:rPr>
          <w:lang w:val="en-US"/>
        </w:rPr>
        <w:t xml:space="preserve"> </w:t>
      </w:r>
      <w:proofErr w:type="spellStart"/>
      <w:r w:rsidRPr="00793CAD">
        <w:rPr>
          <w:lang w:val="en-US"/>
        </w:rPr>
        <w:t>onları</w:t>
      </w:r>
      <w:proofErr w:type="spellEnd"/>
      <w:r w:rsidRPr="00793CAD">
        <w:rPr>
          <w:lang w:val="en-US"/>
        </w:rPr>
        <w:t xml:space="preserve"> </w:t>
      </w:r>
      <w:proofErr w:type="spellStart"/>
      <w:r w:rsidRPr="00793CAD">
        <w:rPr>
          <w:lang w:val="en-US"/>
        </w:rPr>
        <w:t>şekillendiren</w:t>
      </w:r>
      <w:proofErr w:type="spellEnd"/>
      <w:r w:rsidRPr="00793CAD">
        <w:rPr>
          <w:lang w:val="en-US"/>
        </w:rPr>
        <w:t xml:space="preserve"> </w:t>
      </w:r>
      <w:proofErr w:type="spellStart"/>
      <w:r w:rsidRPr="00793CAD">
        <w:rPr>
          <w:lang w:val="en-US"/>
        </w:rPr>
        <w:t>etkenler</w:t>
      </w:r>
      <w:proofErr w:type="spellEnd"/>
      <w:r w:rsidRPr="00793CAD">
        <w:rPr>
          <w:lang w:val="en-US"/>
        </w:rPr>
        <w:t xml:space="preserve"> </w:t>
      </w:r>
      <w:proofErr w:type="spellStart"/>
      <w:r w:rsidRPr="00793CAD">
        <w:rPr>
          <w:lang w:val="en-US"/>
        </w:rPr>
        <w:t>sabit</w:t>
      </w:r>
      <w:proofErr w:type="spellEnd"/>
      <w:r w:rsidRPr="00793CAD">
        <w:rPr>
          <w:lang w:val="en-US"/>
        </w:rPr>
        <w:t xml:space="preserve"> </w:t>
      </w:r>
      <w:proofErr w:type="spellStart"/>
      <w:r w:rsidRPr="00793CAD">
        <w:rPr>
          <w:lang w:val="en-US"/>
        </w:rPr>
        <w:t>değil</w:t>
      </w:r>
      <w:proofErr w:type="spellEnd"/>
      <w:r w:rsidRPr="00793CAD">
        <w:rPr>
          <w:lang w:val="en-US"/>
        </w:rPr>
        <w:t xml:space="preserve">, </w:t>
      </w:r>
      <w:proofErr w:type="spellStart"/>
      <w:r w:rsidRPr="00793CAD">
        <w:rPr>
          <w:lang w:val="en-US"/>
        </w:rPr>
        <w:t>sürekli</w:t>
      </w:r>
      <w:proofErr w:type="spellEnd"/>
      <w:r w:rsidRPr="00793CAD">
        <w:rPr>
          <w:lang w:val="en-US"/>
        </w:rPr>
        <w:t xml:space="preserve"> </w:t>
      </w:r>
      <w:proofErr w:type="spellStart"/>
      <w:r w:rsidRPr="00793CAD">
        <w:rPr>
          <w:lang w:val="en-US"/>
        </w:rPr>
        <w:t>değişen</w:t>
      </w:r>
      <w:proofErr w:type="spellEnd"/>
      <w:r w:rsidRPr="00793CAD">
        <w:rPr>
          <w:lang w:val="en-US"/>
        </w:rPr>
        <w:t xml:space="preserve"> </w:t>
      </w:r>
      <w:proofErr w:type="spellStart"/>
      <w:r w:rsidRPr="00793CAD">
        <w:rPr>
          <w:lang w:val="en-US"/>
        </w:rPr>
        <w:t>unsurlardır</w:t>
      </w:r>
      <w:proofErr w:type="spellEnd"/>
      <w:r w:rsidRPr="00793CAD">
        <w:rPr>
          <w:lang w:val="en-US"/>
        </w:rPr>
        <w:t>.</w:t>
      </w:r>
    </w:p>
    <w:p w14:paraId="54DA97F2" w14:textId="564528DB" w:rsidR="00793CAD" w:rsidRDefault="00793CAD" w:rsidP="00793CAD">
      <w:pPr>
        <w:rPr>
          <w:lang w:val="en-US"/>
        </w:rPr>
      </w:pPr>
      <w:proofErr w:type="spellStart"/>
      <w:r w:rsidRPr="00793CAD">
        <w:rPr>
          <w:lang w:val="en-US"/>
        </w:rPr>
        <w:t>Bununla</w:t>
      </w:r>
      <w:proofErr w:type="spellEnd"/>
      <w:r w:rsidRPr="00793CAD">
        <w:rPr>
          <w:lang w:val="en-US"/>
        </w:rPr>
        <w:t xml:space="preserve"> </w:t>
      </w:r>
      <w:proofErr w:type="spellStart"/>
      <w:r w:rsidRPr="00793CAD">
        <w:rPr>
          <w:lang w:val="en-US"/>
        </w:rPr>
        <w:t>birlikte</w:t>
      </w:r>
      <w:proofErr w:type="spellEnd"/>
      <w:r w:rsidRPr="00793CAD">
        <w:rPr>
          <w:lang w:val="en-US"/>
        </w:rPr>
        <w:t xml:space="preserve">, </w:t>
      </w:r>
      <w:proofErr w:type="spellStart"/>
      <w:r w:rsidRPr="00793CAD">
        <w:rPr>
          <w:lang w:val="en-US"/>
        </w:rPr>
        <w:t>dikkatli</w:t>
      </w:r>
      <w:proofErr w:type="spellEnd"/>
      <w:r w:rsidRPr="00793CAD">
        <w:rPr>
          <w:lang w:val="en-US"/>
        </w:rPr>
        <w:t xml:space="preserve"> </w:t>
      </w:r>
      <w:proofErr w:type="spellStart"/>
      <w:r w:rsidRPr="00793CAD">
        <w:rPr>
          <w:lang w:val="en-US"/>
        </w:rPr>
        <w:t>olunması</w:t>
      </w:r>
      <w:proofErr w:type="spellEnd"/>
      <w:r w:rsidRPr="00793CAD">
        <w:rPr>
          <w:lang w:val="en-US"/>
        </w:rPr>
        <w:t xml:space="preserve"> </w:t>
      </w:r>
      <w:proofErr w:type="spellStart"/>
      <w:r w:rsidRPr="00793CAD">
        <w:rPr>
          <w:lang w:val="en-US"/>
        </w:rPr>
        <w:t>gerekir</w:t>
      </w:r>
      <w:proofErr w:type="spellEnd"/>
      <w:r w:rsidRPr="00793CAD">
        <w:rPr>
          <w:lang w:val="en-US"/>
        </w:rPr>
        <w:t xml:space="preserve">. </w:t>
      </w:r>
      <w:proofErr w:type="spellStart"/>
      <w:r w:rsidRPr="00793CAD">
        <w:rPr>
          <w:lang w:val="en-US"/>
        </w:rPr>
        <w:t>Anayasa</w:t>
      </w:r>
      <w:proofErr w:type="spellEnd"/>
      <w:r w:rsidRPr="00793CAD">
        <w:rPr>
          <w:lang w:val="en-US"/>
        </w:rPr>
        <w:t xml:space="preserve"> </w:t>
      </w:r>
      <w:proofErr w:type="spellStart"/>
      <w:r w:rsidRPr="00793CAD">
        <w:rPr>
          <w:lang w:val="en-US"/>
        </w:rPr>
        <w:t>hukukunun</w:t>
      </w:r>
      <w:proofErr w:type="spellEnd"/>
      <w:r w:rsidRPr="00793CAD">
        <w:rPr>
          <w:lang w:val="en-US"/>
        </w:rPr>
        <w:t xml:space="preserve"> </w:t>
      </w:r>
      <w:proofErr w:type="spellStart"/>
      <w:r w:rsidRPr="00793CAD">
        <w:rPr>
          <w:lang w:val="en-US"/>
        </w:rPr>
        <w:t>zorunlu</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sürekli</w:t>
      </w:r>
      <w:proofErr w:type="spellEnd"/>
      <w:r w:rsidRPr="00793CAD">
        <w:rPr>
          <w:lang w:val="en-US"/>
        </w:rPr>
        <w:t xml:space="preserve"> </w:t>
      </w:r>
      <w:proofErr w:type="spellStart"/>
      <w:r w:rsidRPr="00793CAD">
        <w:rPr>
          <w:lang w:val="en-US"/>
        </w:rPr>
        <w:t>evrim</w:t>
      </w:r>
      <w:proofErr w:type="spellEnd"/>
      <w:r w:rsidRPr="00793CAD">
        <w:rPr>
          <w:lang w:val="en-US"/>
        </w:rPr>
        <w:t xml:space="preserve"> </w:t>
      </w:r>
      <w:proofErr w:type="spellStart"/>
      <w:r w:rsidRPr="00793CAD">
        <w:rPr>
          <w:lang w:val="en-US"/>
        </w:rPr>
        <w:t>geçirdiğini</w:t>
      </w:r>
      <w:proofErr w:type="spellEnd"/>
      <w:r w:rsidRPr="00793CAD">
        <w:rPr>
          <w:lang w:val="en-US"/>
        </w:rPr>
        <w:t xml:space="preserve"> </w:t>
      </w:r>
      <w:proofErr w:type="spellStart"/>
      <w:r w:rsidRPr="00793CAD">
        <w:rPr>
          <w:lang w:val="en-US"/>
        </w:rPr>
        <w:t>savunmak</w:t>
      </w:r>
      <w:proofErr w:type="spellEnd"/>
      <w:r w:rsidRPr="00793CAD">
        <w:rPr>
          <w:lang w:val="en-US"/>
        </w:rPr>
        <w:t xml:space="preserve">, </w:t>
      </w:r>
      <w:proofErr w:type="spellStart"/>
      <w:r w:rsidRPr="00793CAD">
        <w:rPr>
          <w:lang w:val="en-US"/>
        </w:rPr>
        <w:t>yargıçların</w:t>
      </w:r>
      <w:proofErr w:type="spellEnd"/>
      <w:r w:rsidRPr="00793CAD">
        <w:rPr>
          <w:lang w:val="en-US"/>
        </w:rPr>
        <w:t xml:space="preserve"> </w:t>
      </w:r>
      <w:proofErr w:type="spellStart"/>
      <w:r w:rsidRPr="00793CAD">
        <w:rPr>
          <w:lang w:val="en-US"/>
        </w:rPr>
        <w:t>bilinçli</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evrimsel</w:t>
      </w:r>
      <w:proofErr w:type="spellEnd"/>
      <w:r w:rsidRPr="00793CAD">
        <w:rPr>
          <w:lang w:val="en-US"/>
        </w:rPr>
        <w:t xml:space="preserve"> </w:t>
      </w:r>
      <w:proofErr w:type="spellStart"/>
      <w:r w:rsidRPr="00793CAD">
        <w:rPr>
          <w:lang w:val="en-US"/>
        </w:rPr>
        <w:t>yorum</w:t>
      </w:r>
      <w:proofErr w:type="spellEnd"/>
      <w:r w:rsidRPr="00793CAD">
        <w:rPr>
          <w:lang w:val="en-US"/>
        </w:rPr>
        <w:t xml:space="preserve"> </w:t>
      </w:r>
      <w:proofErr w:type="spellStart"/>
      <w:r w:rsidRPr="00793CAD">
        <w:rPr>
          <w:lang w:val="en-US"/>
        </w:rPr>
        <w:t>yöntemlerini</w:t>
      </w:r>
      <w:proofErr w:type="spellEnd"/>
      <w:r w:rsidRPr="00793CAD">
        <w:rPr>
          <w:lang w:val="en-US"/>
        </w:rPr>
        <w:t xml:space="preserve"> </w:t>
      </w:r>
      <w:proofErr w:type="spellStart"/>
      <w:r w:rsidRPr="00793CAD">
        <w:rPr>
          <w:lang w:val="en-US"/>
        </w:rPr>
        <w:t>benimsemeleri</w:t>
      </w:r>
      <w:proofErr w:type="spellEnd"/>
      <w:r w:rsidRPr="00793CAD">
        <w:rPr>
          <w:lang w:val="en-US"/>
        </w:rPr>
        <w:t xml:space="preserve"> </w:t>
      </w:r>
      <w:proofErr w:type="spellStart"/>
      <w:r w:rsidRPr="00793CAD">
        <w:rPr>
          <w:lang w:val="en-US"/>
        </w:rPr>
        <w:t>gerektiğini</w:t>
      </w:r>
      <w:proofErr w:type="spellEnd"/>
      <w:r w:rsidRPr="00793CAD">
        <w:rPr>
          <w:lang w:val="en-US"/>
        </w:rPr>
        <w:t xml:space="preserve"> </w:t>
      </w:r>
      <w:proofErr w:type="spellStart"/>
      <w:r w:rsidRPr="00793CAD">
        <w:rPr>
          <w:lang w:val="en-US"/>
        </w:rPr>
        <w:t>iddia</w:t>
      </w:r>
      <w:proofErr w:type="spellEnd"/>
      <w:r w:rsidRPr="00793CAD">
        <w:rPr>
          <w:lang w:val="en-US"/>
        </w:rPr>
        <w:t xml:space="preserve"> </w:t>
      </w:r>
      <w:proofErr w:type="spellStart"/>
      <w:r w:rsidRPr="00793CAD">
        <w:rPr>
          <w:lang w:val="en-US"/>
        </w:rPr>
        <w:t>etmek</w:t>
      </w:r>
      <w:proofErr w:type="spellEnd"/>
      <w:r w:rsidRPr="00793CAD">
        <w:rPr>
          <w:lang w:val="en-US"/>
        </w:rPr>
        <w:t xml:space="preserve"> </w:t>
      </w:r>
      <w:proofErr w:type="spellStart"/>
      <w:r w:rsidRPr="00793CAD">
        <w:rPr>
          <w:lang w:val="en-US"/>
        </w:rPr>
        <w:t>anlamına</w:t>
      </w:r>
      <w:proofErr w:type="spellEnd"/>
      <w:r w:rsidRPr="00793CAD">
        <w:rPr>
          <w:lang w:val="en-US"/>
        </w:rPr>
        <w:t xml:space="preserve"> </w:t>
      </w:r>
      <w:proofErr w:type="spellStart"/>
      <w:r w:rsidRPr="00793CAD">
        <w:rPr>
          <w:lang w:val="en-US"/>
        </w:rPr>
        <w:t>gelmez</w:t>
      </w:r>
      <w:proofErr w:type="spellEnd"/>
      <w:r w:rsidRPr="00793CAD">
        <w:rPr>
          <w:lang w:val="en-US"/>
        </w:rPr>
        <w:t xml:space="preserve">. </w:t>
      </w:r>
      <w:proofErr w:type="spellStart"/>
      <w:r w:rsidRPr="00793CAD">
        <w:rPr>
          <w:lang w:val="en-US"/>
        </w:rPr>
        <w:t>Örneğin</w:t>
      </w:r>
      <w:proofErr w:type="spellEnd"/>
      <w:r w:rsidRPr="00793CAD">
        <w:rPr>
          <w:lang w:val="en-US"/>
        </w:rPr>
        <w:t xml:space="preserve">, </w:t>
      </w:r>
      <w:proofErr w:type="spellStart"/>
      <w:r w:rsidRPr="00793CAD">
        <w:rPr>
          <w:lang w:val="en-US"/>
        </w:rPr>
        <w:t>belirli</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düzeyde</w:t>
      </w:r>
      <w:proofErr w:type="spellEnd"/>
      <w:r w:rsidRPr="00793CAD">
        <w:rPr>
          <w:lang w:val="en-US"/>
        </w:rPr>
        <w:t xml:space="preserve"> </w:t>
      </w:r>
      <w:proofErr w:type="spellStart"/>
      <w:r w:rsidRPr="00793CAD">
        <w:rPr>
          <w:lang w:val="en-US"/>
        </w:rPr>
        <w:t>doktrinsel</w:t>
      </w:r>
      <w:proofErr w:type="spellEnd"/>
      <w:r w:rsidRPr="00793CAD">
        <w:rPr>
          <w:lang w:val="en-US"/>
        </w:rPr>
        <w:t xml:space="preserve"> </w:t>
      </w:r>
      <w:proofErr w:type="spellStart"/>
      <w:r w:rsidRPr="00793CAD">
        <w:rPr>
          <w:lang w:val="en-US"/>
        </w:rPr>
        <w:t>uyumun</w:t>
      </w:r>
      <w:proofErr w:type="spellEnd"/>
      <w:r w:rsidRPr="00793CAD">
        <w:rPr>
          <w:lang w:val="en-US"/>
        </w:rPr>
        <w:t xml:space="preserve"> </w:t>
      </w:r>
      <w:proofErr w:type="spellStart"/>
      <w:r w:rsidRPr="00793CAD">
        <w:rPr>
          <w:lang w:val="en-US"/>
        </w:rPr>
        <w:t>mevcut</w:t>
      </w:r>
      <w:proofErr w:type="spellEnd"/>
      <w:r w:rsidRPr="00793CAD">
        <w:rPr>
          <w:lang w:val="en-US"/>
        </w:rPr>
        <w:t xml:space="preserve"> </w:t>
      </w:r>
      <w:proofErr w:type="spellStart"/>
      <w:r w:rsidRPr="00793CAD">
        <w:rPr>
          <w:lang w:val="en-US"/>
        </w:rPr>
        <w:t>kültürel</w:t>
      </w:r>
      <w:proofErr w:type="spellEnd"/>
      <w:r w:rsidRPr="00793CAD">
        <w:rPr>
          <w:lang w:val="en-US"/>
        </w:rPr>
        <w:t xml:space="preserve"> </w:t>
      </w:r>
      <w:proofErr w:type="spellStart"/>
      <w:r w:rsidRPr="00793CAD">
        <w:rPr>
          <w:lang w:val="en-US"/>
        </w:rPr>
        <w:t>normlara</w:t>
      </w:r>
      <w:proofErr w:type="spellEnd"/>
      <w:r w:rsidRPr="00793CAD">
        <w:rPr>
          <w:lang w:val="en-US"/>
        </w:rPr>
        <w:t xml:space="preserve"> </w:t>
      </w:r>
      <w:proofErr w:type="spellStart"/>
      <w:r w:rsidRPr="00793CAD">
        <w:rPr>
          <w:lang w:val="en-US"/>
        </w:rPr>
        <w:t>kaçınılmaz</w:t>
      </w:r>
      <w:proofErr w:type="spellEnd"/>
      <w:r w:rsidRPr="00793CAD">
        <w:rPr>
          <w:lang w:val="en-US"/>
        </w:rPr>
        <w:t xml:space="preserve"> </w:t>
      </w:r>
      <w:proofErr w:type="spellStart"/>
      <w:r w:rsidRPr="00793CAD">
        <w:rPr>
          <w:lang w:val="en-US"/>
        </w:rPr>
        <w:t>olduğunu</w:t>
      </w:r>
      <w:proofErr w:type="spellEnd"/>
      <w:r w:rsidRPr="00793CAD">
        <w:rPr>
          <w:lang w:val="en-US"/>
        </w:rPr>
        <w:t xml:space="preserve"> </w:t>
      </w:r>
      <w:proofErr w:type="spellStart"/>
      <w:r w:rsidRPr="00793CAD">
        <w:rPr>
          <w:lang w:val="en-US"/>
        </w:rPr>
        <w:t>kabul</w:t>
      </w:r>
      <w:proofErr w:type="spellEnd"/>
      <w:r w:rsidRPr="00793CAD">
        <w:rPr>
          <w:lang w:val="en-US"/>
        </w:rPr>
        <w:t xml:space="preserve"> </w:t>
      </w:r>
      <w:proofErr w:type="spellStart"/>
      <w:r w:rsidRPr="00793CAD">
        <w:rPr>
          <w:lang w:val="en-US"/>
        </w:rPr>
        <w:t>eden</w:t>
      </w:r>
      <w:proofErr w:type="spellEnd"/>
      <w:r w:rsidRPr="00793CAD">
        <w:rPr>
          <w:lang w:val="en-US"/>
        </w:rPr>
        <w:t xml:space="preserve"> </w:t>
      </w:r>
      <w:proofErr w:type="spellStart"/>
      <w:r w:rsidRPr="00793CAD">
        <w:rPr>
          <w:lang w:val="en-US"/>
        </w:rPr>
        <w:t>biri</w:t>
      </w:r>
      <w:proofErr w:type="spellEnd"/>
      <w:r w:rsidRPr="00793CAD">
        <w:rPr>
          <w:lang w:val="en-US"/>
        </w:rPr>
        <w:t xml:space="preserve">, </w:t>
      </w:r>
      <w:proofErr w:type="spellStart"/>
      <w:r w:rsidRPr="00793CAD">
        <w:rPr>
          <w:lang w:val="en-US"/>
        </w:rPr>
        <w:t>ancak</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etkinin</w:t>
      </w:r>
      <w:proofErr w:type="spellEnd"/>
      <w:r w:rsidRPr="00793CAD">
        <w:rPr>
          <w:lang w:val="en-US"/>
        </w:rPr>
        <w:t xml:space="preserve"> </w:t>
      </w:r>
      <w:proofErr w:type="spellStart"/>
      <w:r w:rsidRPr="00793CAD">
        <w:rPr>
          <w:lang w:val="en-US"/>
        </w:rPr>
        <w:t>en</w:t>
      </w:r>
      <w:proofErr w:type="spellEnd"/>
      <w:r w:rsidRPr="00793CAD">
        <w:rPr>
          <w:lang w:val="en-US"/>
        </w:rPr>
        <w:t xml:space="preserve"> </w:t>
      </w:r>
      <w:proofErr w:type="spellStart"/>
      <w:r w:rsidRPr="00793CAD">
        <w:rPr>
          <w:lang w:val="en-US"/>
        </w:rPr>
        <w:t>aza</w:t>
      </w:r>
      <w:proofErr w:type="spellEnd"/>
      <w:r w:rsidRPr="00793CAD">
        <w:rPr>
          <w:lang w:val="en-US"/>
        </w:rPr>
        <w:t xml:space="preserve"> </w:t>
      </w:r>
      <w:proofErr w:type="spellStart"/>
      <w:r w:rsidRPr="00793CAD">
        <w:rPr>
          <w:lang w:val="en-US"/>
        </w:rPr>
        <w:t>indirilmesi</w:t>
      </w:r>
      <w:proofErr w:type="spellEnd"/>
      <w:r w:rsidRPr="00793CAD">
        <w:rPr>
          <w:lang w:val="en-US"/>
        </w:rPr>
        <w:t xml:space="preserve"> </w:t>
      </w:r>
      <w:r w:rsidRPr="00793CAD">
        <w:rPr>
          <w:lang w:val="en-US"/>
        </w:rPr>
        <w:lastRenderedPageBreak/>
        <w:t>gerektiğini²¹⁹</w:t>
      </w:r>
      <w:r>
        <w:rPr>
          <w:lang w:val="en-US"/>
        </w:rPr>
        <w:t xml:space="preserve"> </w:t>
      </w:r>
      <w:r>
        <w:rPr>
          <w:rStyle w:val="FootnoteReference"/>
          <w:lang w:val="en-US"/>
        </w:rPr>
        <w:footnoteReference w:id="219"/>
      </w:r>
      <w:r w:rsidRPr="00793CAD">
        <w:rPr>
          <w:lang w:val="en-US"/>
        </w:rPr>
        <w:t xml:space="preserve"> </w:t>
      </w:r>
      <w:proofErr w:type="spellStart"/>
      <w:r w:rsidRPr="00793CAD">
        <w:rPr>
          <w:lang w:val="en-US"/>
        </w:rPr>
        <w:t>veya</w:t>
      </w:r>
      <w:proofErr w:type="spellEnd"/>
      <w:r w:rsidRPr="00793CAD">
        <w:rPr>
          <w:lang w:val="en-US"/>
        </w:rPr>
        <w:t xml:space="preserve"> </w:t>
      </w:r>
      <w:proofErr w:type="spellStart"/>
      <w:r w:rsidRPr="00793CAD">
        <w:rPr>
          <w:lang w:val="en-US"/>
        </w:rPr>
        <w:t>bu</w:t>
      </w:r>
      <w:proofErr w:type="spellEnd"/>
      <w:r w:rsidRPr="00793CAD">
        <w:rPr>
          <w:lang w:val="en-US"/>
        </w:rPr>
        <w:t xml:space="preserve"> </w:t>
      </w:r>
      <w:proofErr w:type="spellStart"/>
      <w:r w:rsidRPr="00793CAD">
        <w:rPr>
          <w:lang w:val="en-US"/>
        </w:rPr>
        <w:t>uyumu</w:t>
      </w:r>
      <w:proofErr w:type="spellEnd"/>
      <w:r w:rsidRPr="00793CAD">
        <w:rPr>
          <w:lang w:val="en-US"/>
        </w:rPr>
        <w:t xml:space="preserve"> </w:t>
      </w:r>
      <w:proofErr w:type="spellStart"/>
      <w:r w:rsidRPr="00793CAD">
        <w:rPr>
          <w:lang w:val="en-US"/>
        </w:rPr>
        <w:t>sağlamanın</w:t>
      </w:r>
      <w:proofErr w:type="spellEnd"/>
      <w:r w:rsidRPr="00793CAD">
        <w:rPr>
          <w:lang w:val="en-US"/>
        </w:rPr>
        <w:t xml:space="preserve"> </w:t>
      </w:r>
      <w:proofErr w:type="spellStart"/>
      <w:r w:rsidRPr="00793CAD">
        <w:rPr>
          <w:lang w:val="en-US"/>
        </w:rPr>
        <w:t>yargıçların</w:t>
      </w:r>
      <w:proofErr w:type="spellEnd"/>
      <w:r w:rsidRPr="00793CAD">
        <w:rPr>
          <w:lang w:val="en-US"/>
        </w:rPr>
        <w:t xml:space="preserve"> </w:t>
      </w:r>
      <w:proofErr w:type="spellStart"/>
      <w:r w:rsidRPr="00793CAD">
        <w:rPr>
          <w:lang w:val="en-US"/>
        </w:rPr>
        <w:t>görevi</w:t>
      </w:r>
      <w:proofErr w:type="spellEnd"/>
      <w:r w:rsidRPr="00793CAD">
        <w:rPr>
          <w:lang w:val="en-US"/>
        </w:rPr>
        <w:t xml:space="preserve"> olmadığını²²⁰</w:t>
      </w:r>
      <w:r w:rsidR="000F0D4A">
        <w:rPr>
          <w:lang w:val="en-US"/>
        </w:rPr>
        <w:t xml:space="preserve"> </w:t>
      </w:r>
      <w:r w:rsidR="000F0D4A">
        <w:rPr>
          <w:rStyle w:val="FootnoteReference"/>
          <w:lang w:val="en-US"/>
        </w:rPr>
        <w:footnoteReference w:id="220"/>
      </w:r>
      <w:r w:rsidRPr="00793CAD">
        <w:rPr>
          <w:lang w:val="en-US"/>
        </w:rPr>
        <w:t xml:space="preserve"> </w:t>
      </w:r>
      <w:proofErr w:type="spellStart"/>
      <w:r w:rsidRPr="00793CAD">
        <w:rPr>
          <w:lang w:val="en-US"/>
        </w:rPr>
        <w:t>düşünebilir</w:t>
      </w:r>
      <w:proofErr w:type="spellEnd"/>
      <w:r w:rsidRPr="00793CAD">
        <w:rPr>
          <w:lang w:val="en-US"/>
        </w:rPr>
        <w:t>.</w:t>
      </w:r>
      <w:r>
        <w:rPr>
          <w:lang w:val="en-US"/>
        </w:rPr>
        <w:t xml:space="preserve"> </w:t>
      </w:r>
      <w:r w:rsidRPr="00793CAD">
        <w:rPr>
          <w:lang w:val="en-US"/>
        </w:rPr>
        <w:t xml:space="preserve">Bu </w:t>
      </w:r>
      <w:proofErr w:type="spellStart"/>
      <w:r w:rsidRPr="00793CAD">
        <w:rPr>
          <w:lang w:val="en-US"/>
        </w:rPr>
        <w:t>görüşleri</w:t>
      </w:r>
      <w:proofErr w:type="spellEnd"/>
      <w:r w:rsidRPr="00793CAD">
        <w:rPr>
          <w:lang w:val="en-US"/>
        </w:rPr>
        <w:t xml:space="preserve"> </w:t>
      </w:r>
      <w:proofErr w:type="spellStart"/>
      <w:r w:rsidRPr="00793CAD">
        <w:rPr>
          <w:lang w:val="en-US"/>
        </w:rPr>
        <w:t>benimseyen</w:t>
      </w:r>
      <w:proofErr w:type="spellEnd"/>
      <w:r w:rsidRPr="00793CAD">
        <w:rPr>
          <w:lang w:val="en-US"/>
        </w:rPr>
        <w:t xml:space="preserve"> </w:t>
      </w:r>
      <w:proofErr w:type="spellStart"/>
      <w:r w:rsidRPr="00793CAD">
        <w:rPr>
          <w:lang w:val="en-US"/>
        </w:rPr>
        <w:t>yargıçlar</w:t>
      </w:r>
      <w:proofErr w:type="spellEnd"/>
      <w:r w:rsidRPr="00793CAD">
        <w:rPr>
          <w:lang w:val="en-US"/>
        </w:rPr>
        <w:t xml:space="preserve">, </w:t>
      </w:r>
      <w:proofErr w:type="spellStart"/>
      <w:r w:rsidRPr="00793CAD">
        <w:rPr>
          <w:lang w:val="en-US"/>
        </w:rPr>
        <w:t>mevcut</w:t>
      </w:r>
      <w:proofErr w:type="spellEnd"/>
      <w:r w:rsidRPr="00793CAD">
        <w:rPr>
          <w:lang w:val="en-US"/>
        </w:rPr>
        <w:t xml:space="preserve"> </w:t>
      </w:r>
      <w:proofErr w:type="spellStart"/>
      <w:r w:rsidRPr="00793CAD">
        <w:rPr>
          <w:lang w:val="en-US"/>
        </w:rPr>
        <w:t>neslin</w:t>
      </w:r>
      <w:proofErr w:type="spellEnd"/>
      <w:r w:rsidRPr="00793CAD">
        <w:rPr>
          <w:lang w:val="en-US"/>
        </w:rPr>
        <w:t xml:space="preserve"> </w:t>
      </w:r>
      <w:proofErr w:type="spellStart"/>
      <w:r w:rsidRPr="00793CAD">
        <w:rPr>
          <w:lang w:val="en-US"/>
        </w:rPr>
        <w:t>değerlerini</w:t>
      </w:r>
      <w:proofErr w:type="spellEnd"/>
      <w:r w:rsidRPr="00793CAD">
        <w:rPr>
          <w:lang w:val="en-US"/>
        </w:rPr>
        <w:t xml:space="preserve"> </w:t>
      </w:r>
      <w:proofErr w:type="spellStart"/>
      <w:r w:rsidRPr="00793CAD">
        <w:rPr>
          <w:lang w:val="en-US"/>
        </w:rPr>
        <w:t>ve</w:t>
      </w:r>
      <w:proofErr w:type="spellEnd"/>
      <w:r w:rsidRPr="00793CAD">
        <w:rPr>
          <w:lang w:val="en-US"/>
        </w:rPr>
        <w:t xml:space="preserve"> </w:t>
      </w:r>
      <w:proofErr w:type="spellStart"/>
      <w:r w:rsidRPr="00793CAD">
        <w:rPr>
          <w:lang w:val="en-US"/>
        </w:rPr>
        <w:t>tercihlerini</w:t>
      </w:r>
      <w:proofErr w:type="spellEnd"/>
      <w:r w:rsidRPr="00793CAD">
        <w:rPr>
          <w:lang w:val="en-US"/>
        </w:rPr>
        <w:t xml:space="preserve"> </w:t>
      </w:r>
      <w:proofErr w:type="spellStart"/>
      <w:r w:rsidRPr="00793CAD">
        <w:rPr>
          <w:lang w:val="en-US"/>
        </w:rPr>
        <w:t>bilinçli</w:t>
      </w:r>
      <w:proofErr w:type="spellEnd"/>
      <w:r w:rsidRPr="00793CAD">
        <w:rPr>
          <w:lang w:val="en-US"/>
        </w:rPr>
        <w:t xml:space="preserve"> </w:t>
      </w:r>
      <w:proofErr w:type="spellStart"/>
      <w:r w:rsidRPr="00793CAD">
        <w:rPr>
          <w:lang w:val="en-US"/>
        </w:rPr>
        <w:t>olarak</w:t>
      </w:r>
      <w:proofErr w:type="spellEnd"/>
      <w:r w:rsidRPr="00793CAD">
        <w:rPr>
          <w:lang w:val="en-US"/>
        </w:rPr>
        <w:t xml:space="preserve"> </w:t>
      </w:r>
      <w:proofErr w:type="spellStart"/>
      <w:r w:rsidRPr="00793CAD">
        <w:rPr>
          <w:lang w:val="en-US"/>
        </w:rPr>
        <w:t>dikkate</w:t>
      </w:r>
      <w:proofErr w:type="spellEnd"/>
      <w:r w:rsidRPr="00793CAD">
        <w:rPr>
          <w:lang w:val="en-US"/>
        </w:rPr>
        <w:t xml:space="preserve"> alma </w:t>
      </w:r>
      <w:proofErr w:type="spellStart"/>
      <w:r w:rsidRPr="00793CAD">
        <w:rPr>
          <w:lang w:val="en-US"/>
        </w:rPr>
        <w:t>yetilerini</w:t>
      </w:r>
      <w:proofErr w:type="spellEnd"/>
      <w:r w:rsidRPr="00793CAD">
        <w:rPr>
          <w:lang w:val="en-US"/>
        </w:rPr>
        <w:t xml:space="preserve"> </w:t>
      </w:r>
      <w:proofErr w:type="spellStart"/>
      <w:r w:rsidRPr="00793CAD">
        <w:rPr>
          <w:lang w:val="en-US"/>
        </w:rPr>
        <w:t>kısıtlayan</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metodoloji</w:t>
      </w:r>
      <w:proofErr w:type="spellEnd"/>
      <w:r w:rsidRPr="00793CAD">
        <w:rPr>
          <w:lang w:val="en-US"/>
        </w:rPr>
        <w:t>—</w:t>
      </w:r>
      <w:proofErr w:type="spellStart"/>
      <w:r w:rsidRPr="00793CAD">
        <w:rPr>
          <w:lang w:val="en-US"/>
        </w:rPr>
        <w:t>örneğin</w:t>
      </w:r>
      <w:proofErr w:type="spellEnd"/>
      <w:r w:rsidRPr="00793CAD">
        <w:rPr>
          <w:lang w:val="en-US"/>
        </w:rPr>
        <w:t xml:space="preserve">, </w:t>
      </w:r>
      <w:proofErr w:type="spellStart"/>
      <w:r w:rsidRPr="00793CAD">
        <w:rPr>
          <w:lang w:val="en-US"/>
        </w:rPr>
        <w:t>özgüncülüğün</w:t>
      </w:r>
      <w:proofErr w:type="spellEnd"/>
      <w:r w:rsidRPr="00793CAD">
        <w:rPr>
          <w:lang w:val="en-US"/>
        </w:rPr>
        <w:t xml:space="preserve"> (</w:t>
      </w:r>
      <w:r w:rsidRPr="00793CAD">
        <w:rPr>
          <w:i/>
          <w:iCs/>
          <w:lang w:val="en-US"/>
        </w:rPr>
        <w:t>originalism</w:t>
      </w:r>
      <w:r w:rsidRPr="00793CAD">
        <w:rPr>
          <w:lang w:val="en-US"/>
        </w:rPr>
        <w:t xml:space="preserve">) </w:t>
      </w:r>
      <w:proofErr w:type="spellStart"/>
      <w:r w:rsidRPr="00793CAD">
        <w:rPr>
          <w:lang w:val="en-US"/>
        </w:rPr>
        <w:t>çeşitli</w:t>
      </w:r>
      <w:proofErr w:type="spellEnd"/>
      <w:r w:rsidRPr="00793CAD">
        <w:rPr>
          <w:lang w:val="en-US"/>
        </w:rPr>
        <w:t xml:space="preserve"> </w:t>
      </w:r>
      <w:proofErr w:type="spellStart"/>
      <w:r w:rsidRPr="00793CAD">
        <w:rPr>
          <w:lang w:val="en-US"/>
        </w:rPr>
        <w:t>biçimlerinden</w:t>
      </w:r>
      <w:proofErr w:type="spellEnd"/>
      <w:r w:rsidRPr="00793CAD">
        <w:rPr>
          <w:lang w:val="en-US"/>
        </w:rPr>
        <w:t xml:space="preserve"> </w:t>
      </w:r>
      <w:proofErr w:type="spellStart"/>
      <w:r w:rsidRPr="00793CAD">
        <w:rPr>
          <w:lang w:val="en-US"/>
        </w:rPr>
        <w:t>biri</w:t>
      </w:r>
      <w:proofErr w:type="spellEnd"/>
      <w:r w:rsidRPr="00793CAD">
        <w:rPr>
          <w:lang w:val="en-US"/>
        </w:rPr>
        <w:t>—</w:t>
      </w:r>
      <w:proofErr w:type="spellStart"/>
      <w:r w:rsidRPr="00793CAD">
        <w:rPr>
          <w:lang w:val="en-US"/>
        </w:rPr>
        <w:t>benimsemeyi</w:t>
      </w:r>
      <w:proofErr w:type="spellEnd"/>
      <w:r w:rsidRPr="00793CAD">
        <w:rPr>
          <w:lang w:val="en-US"/>
        </w:rPr>
        <w:t xml:space="preserve"> </w:t>
      </w:r>
      <w:proofErr w:type="spellStart"/>
      <w:r w:rsidRPr="00793CAD">
        <w:rPr>
          <w:lang w:val="en-US"/>
        </w:rPr>
        <w:t>tercih</w:t>
      </w:r>
      <w:proofErr w:type="spellEnd"/>
      <w:r w:rsidRPr="00793CAD">
        <w:rPr>
          <w:lang w:val="en-US"/>
        </w:rPr>
        <w:t xml:space="preserve"> </w:t>
      </w:r>
      <w:proofErr w:type="spellStart"/>
      <w:r w:rsidRPr="00793CAD">
        <w:rPr>
          <w:lang w:val="en-US"/>
        </w:rPr>
        <w:t>edebilirler</w:t>
      </w:r>
      <w:proofErr w:type="spellEnd"/>
      <w:r w:rsidRPr="00793CAD">
        <w:rPr>
          <w:lang w:val="en-US"/>
        </w:rPr>
        <w:t xml:space="preserve">. Hatta </w:t>
      </w:r>
      <w:proofErr w:type="spellStart"/>
      <w:r w:rsidRPr="00793CAD">
        <w:rPr>
          <w:lang w:val="en-US"/>
        </w:rPr>
        <w:t>diğer</w:t>
      </w:r>
      <w:proofErr w:type="spellEnd"/>
      <w:r w:rsidRPr="00793CAD">
        <w:rPr>
          <w:lang w:val="en-US"/>
        </w:rPr>
        <w:t xml:space="preserve"> </w:t>
      </w:r>
      <w:proofErr w:type="spellStart"/>
      <w:r w:rsidRPr="00793CAD">
        <w:rPr>
          <w:lang w:val="en-US"/>
        </w:rPr>
        <w:t>yargıçların</w:t>
      </w:r>
      <w:proofErr w:type="spellEnd"/>
      <w:r w:rsidRPr="00793CAD">
        <w:rPr>
          <w:lang w:val="en-US"/>
        </w:rPr>
        <w:t xml:space="preserve"> da </w:t>
      </w:r>
      <w:proofErr w:type="spellStart"/>
      <w:r w:rsidRPr="00793CAD">
        <w:rPr>
          <w:lang w:val="en-US"/>
        </w:rPr>
        <w:t>böyle</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metodolojiyi</w:t>
      </w:r>
      <w:proofErr w:type="spellEnd"/>
      <w:r w:rsidRPr="00793CAD">
        <w:rPr>
          <w:lang w:val="en-US"/>
        </w:rPr>
        <w:t xml:space="preserve"> </w:t>
      </w:r>
      <w:proofErr w:type="spellStart"/>
      <w:r w:rsidRPr="00793CAD">
        <w:rPr>
          <w:lang w:val="en-US"/>
        </w:rPr>
        <w:t>benimsemelerinin</w:t>
      </w:r>
      <w:proofErr w:type="spellEnd"/>
      <w:r w:rsidRPr="00793CAD">
        <w:rPr>
          <w:lang w:val="en-US"/>
        </w:rPr>
        <w:t xml:space="preserve"> </w:t>
      </w:r>
      <w:proofErr w:type="spellStart"/>
      <w:r w:rsidRPr="00793CAD">
        <w:rPr>
          <w:lang w:val="en-US"/>
        </w:rPr>
        <w:t>zorunlu</w:t>
      </w:r>
      <w:proofErr w:type="spellEnd"/>
      <w:r w:rsidRPr="00793CAD">
        <w:rPr>
          <w:lang w:val="en-US"/>
        </w:rPr>
        <w:t xml:space="preserve"> </w:t>
      </w:r>
      <w:proofErr w:type="spellStart"/>
      <w:r w:rsidRPr="00793CAD">
        <w:rPr>
          <w:lang w:val="en-US"/>
        </w:rPr>
        <w:t>olması</w:t>
      </w:r>
      <w:proofErr w:type="spellEnd"/>
      <w:r w:rsidRPr="00793CAD">
        <w:rPr>
          <w:lang w:val="en-US"/>
        </w:rPr>
        <w:t xml:space="preserve"> </w:t>
      </w:r>
      <w:proofErr w:type="spellStart"/>
      <w:r w:rsidRPr="00793CAD">
        <w:rPr>
          <w:lang w:val="en-US"/>
        </w:rPr>
        <w:t>gerektiğini</w:t>
      </w:r>
      <w:proofErr w:type="spellEnd"/>
      <w:r w:rsidRPr="00793CAD">
        <w:rPr>
          <w:lang w:val="en-US"/>
        </w:rPr>
        <w:t xml:space="preserve"> </w:t>
      </w:r>
      <w:proofErr w:type="spellStart"/>
      <w:r w:rsidRPr="00793CAD">
        <w:rPr>
          <w:lang w:val="en-US"/>
        </w:rPr>
        <w:t>savunan</w:t>
      </w:r>
      <w:proofErr w:type="spellEnd"/>
      <w:r w:rsidRPr="00793CAD">
        <w:rPr>
          <w:lang w:val="en-US"/>
        </w:rPr>
        <w:t xml:space="preserve"> </w:t>
      </w:r>
      <w:proofErr w:type="spellStart"/>
      <w:r w:rsidRPr="00793CAD">
        <w:rPr>
          <w:lang w:val="en-US"/>
        </w:rPr>
        <w:t>makul</w:t>
      </w:r>
      <w:proofErr w:type="spellEnd"/>
      <w:r w:rsidRPr="00793CAD">
        <w:rPr>
          <w:lang w:val="en-US"/>
        </w:rPr>
        <w:t xml:space="preserve"> </w:t>
      </w:r>
      <w:proofErr w:type="spellStart"/>
      <w:r w:rsidRPr="00793CAD">
        <w:rPr>
          <w:lang w:val="en-US"/>
        </w:rPr>
        <w:t>bir</w:t>
      </w:r>
      <w:proofErr w:type="spellEnd"/>
      <w:r w:rsidRPr="00793CAD">
        <w:rPr>
          <w:lang w:val="en-US"/>
        </w:rPr>
        <w:t xml:space="preserve"> </w:t>
      </w:r>
      <w:proofErr w:type="spellStart"/>
      <w:r w:rsidRPr="00793CAD">
        <w:rPr>
          <w:lang w:val="en-US"/>
        </w:rPr>
        <w:t>argüman</w:t>
      </w:r>
      <w:proofErr w:type="spellEnd"/>
      <w:r w:rsidRPr="00793CAD">
        <w:rPr>
          <w:lang w:val="en-US"/>
        </w:rPr>
        <w:t xml:space="preserve"> </w:t>
      </w:r>
      <w:proofErr w:type="spellStart"/>
      <w:r w:rsidRPr="00793CAD">
        <w:rPr>
          <w:lang w:val="en-US"/>
        </w:rPr>
        <w:t>öne</w:t>
      </w:r>
      <w:proofErr w:type="spellEnd"/>
      <w:r w:rsidRPr="00793CAD">
        <w:rPr>
          <w:lang w:val="en-US"/>
        </w:rPr>
        <w:t xml:space="preserve"> sürebilirler.²²¹</w:t>
      </w:r>
      <w:r w:rsidR="000F0D4A">
        <w:rPr>
          <w:lang w:val="en-US"/>
        </w:rPr>
        <w:t xml:space="preserve"> </w:t>
      </w:r>
      <w:r w:rsidR="000F0D4A">
        <w:rPr>
          <w:rStyle w:val="FootnoteReference"/>
          <w:lang w:val="en-US"/>
        </w:rPr>
        <w:footnoteReference w:id="221"/>
      </w:r>
      <w:r>
        <w:rPr>
          <w:lang w:val="en-US"/>
        </w:rPr>
        <w:t xml:space="preserve"> [1126 - 1127]</w:t>
      </w:r>
    </w:p>
    <w:p w14:paraId="4B2F2740" w14:textId="1B65715E" w:rsidR="000F0D4A" w:rsidRPr="000F0D4A" w:rsidRDefault="000F0D4A" w:rsidP="000F0D4A">
      <w:pPr>
        <w:pStyle w:val="ListParagraph"/>
        <w:numPr>
          <w:ilvl w:val="0"/>
          <w:numId w:val="17"/>
        </w:numPr>
        <w:rPr>
          <w:lang w:val="en-US"/>
        </w:rPr>
      </w:pPr>
      <w:proofErr w:type="spellStart"/>
      <w:r w:rsidRPr="000F0D4A">
        <w:rPr>
          <w:b/>
          <w:bCs/>
          <w:lang w:val="en-US"/>
        </w:rPr>
        <w:t>Anayasa</w:t>
      </w:r>
      <w:proofErr w:type="spellEnd"/>
      <w:r w:rsidRPr="000F0D4A">
        <w:rPr>
          <w:b/>
          <w:bCs/>
          <w:lang w:val="en-US"/>
        </w:rPr>
        <w:t xml:space="preserve"> </w:t>
      </w:r>
      <w:proofErr w:type="spellStart"/>
      <w:r w:rsidRPr="000F0D4A">
        <w:rPr>
          <w:b/>
          <w:bCs/>
          <w:lang w:val="en-US"/>
        </w:rPr>
        <w:t>Hukuku</w:t>
      </w:r>
      <w:proofErr w:type="spellEnd"/>
      <w:r w:rsidRPr="000F0D4A">
        <w:rPr>
          <w:b/>
          <w:bCs/>
          <w:lang w:val="en-US"/>
        </w:rPr>
        <w:t xml:space="preserve"> </w:t>
      </w:r>
      <w:proofErr w:type="spellStart"/>
      <w:r w:rsidRPr="000F0D4A">
        <w:rPr>
          <w:b/>
          <w:bCs/>
          <w:lang w:val="en-US"/>
        </w:rPr>
        <w:t>ve</w:t>
      </w:r>
      <w:proofErr w:type="spellEnd"/>
      <w:r w:rsidRPr="000F0D4A">
        <w:rPr>
          <w:b/>
          <w:bCs/>
          <w:lang w:val="en-US"/>
        </w:rPr>
        <w:t xml:space="preserve"> </w:t>
      </w:r>
      <w:proofErr w:type="spellStart"/>
      <w:r w:rsidRPr="000F0D4A">
        <w:rPr>
          <w:b/>
          <w:bCs/>
          <w:lang w:val="en-US"/>
        </w:rPr>
        <w:t>Demokratik</w:t>
      </w:r>
      <w:proofErr w:type="spellEnd"/>
      <w:r w:rsidRPr="000F0D4A">
        <w:rPr>
          <w:b/>
          <w:bCs/>
          <w:lang w:val="en-US"/>
        </w:rPr>
        <w:t xml:space="preserve"> </w:t>
      </w:r>
      <w:proofErr w:type="spellStart"/>
      <w:r w:rsidRPr="000F0D4A">
        <w:rPr>
          <w:b/>
          <w:bCs/>
          <w:lang w:val="en-US"/>
        </w:rPr>
        <w:t>Yönetişim</w:t>
      </w:r>
      <w:proofErr w:type="spellEnd"/>
    </w:p>
    <w:p w14:paraId="78B77C20" w14:textId="23E130EC" w:rsidR="000F0D4A" w:rsidRDefault="000F0D4A" w:rsidP="000F0D4A">
      <w:pPr>
        <w:rPr>
          <w:lang w:val="en-US"/>
        </w:rPr>
      </w:pPr>
      <w:proofErr w:type="spellStart"/>
      <w:r w:rsidRPr="000F0D4A">
        <w:rPr>
          <w:lang w:val="en-US"/>
        </w:rPr>
        <w:t>Yukarıda</w:t>
      </w:r>
      <w:proofErr w:type="spellEnd"/>
      <w:r w:rsidRPr="000F0D4A">
        <w:rPr>
          <w:lang w:val="en-US"/>
        </w:rPr>
        <w:t xml:space="preserve"> </w:t>
      </w:r>
      <w:proofErr w:type="spellStart"/>
      <w:r w:rsidRPr="000F0D4A">
        <w:rPr>
          <w:lang w:val="en-US"/>
        </w:rPr>
        <w:t>birçok</w:t>
      </w:r>
      <w:proofErr w:type="spellEnd"/>
      <w:r w:rsidRPr="000F0D4A">
        <w:rPr>
          <w:lang w:val="en-US"/>
        </w:rPr>
        <w:t xml:space="preserve"> </w:t>
      </w:r>
      <w:proofErr w:type="spellStart"/>
      <w:r w:rsidRPr="000F0D4A">
        <w:rPr>
          <w:lang w:val="en-US"/>
        </w:rPr>
        <w:t>kez</w:t>
      </w:r>
      <w:proofErr w:type="spellEnd"/>
      <w:r w:rsidRPr="000F0D4A">
        <w:rPr>
          <w:lang w:val="en-US"/>
        </w:rPr>
        <w:t xml:space="preserve"> </w:t>
      </w:r>
      <w:proofErr w:type="spellStart"/>
      <w:r w:rsidRPr="000F0D4A">
        <w:rPr>
          <w:lang w:val="en-US"/>
        </w:rPr>
        <w:t>tartışıldığı</w:t>
      </w:r>
      <w:proofErr w:type="spellEnd"/>
      <w:r w:rsidRPr="000F0D4A">
        <w:rPr>
          <w:lang w:val="en-US"/>
        </w:rPr>
        <w:t xml:space="preserve"> </w:t>
      </w:r>
      <w:proofErr w:type="spellStart"/>
      <w:r w:rsidRPr="000F0D4A">
        <w:rPr>
          <w:lang w:val="en-US"/>
        </w:rPr>
        <w:t>üzere</w:t>
      </w:r>
      <w:proofErr w:type="spellEnd"/>
      <w:r w:rsidRPr="000F0D4A">
        <w:rPr>
          <w:lang w:val="en-US"/>
        </w:rPr>
        <w:t xml:space="preserve">, </w:t>
      </w:r>
      <w:proofErr w:type="spellStart"/>
      <w:r w:rsidRPr="000F0D4A">
        <w:rPr>
          <w:lang w:val="en-US"/>
        </w:rPr>
        <w:t>anayasa</w:t>
      </w:r>
      <w:proofErr w:type="spellEnd"/>
      <w:r w:rsidRPr="000F0D4A">
        <w:rPr>
          <w:lang w:val="en-US"/>
        </w:rPr>
        <w:t xml:space="preserve"> </w:t>
      </w:r>
      <w:proofErr w:type="spellStart"/>
      <w:r w:rsidRPr="000F0D4A">
        <w:rPr>
          <w:lang w:val="en-US"/>
        </w:rPr>
        <w:t>teorisine</w:t>
      </w:r>
      <w:proofErr w:type="spellEnd"/>
      <w:r w:rsidRPr="000F0D4A">
        <w:rPr>
          <w:lang w:val="en-US"/>
        </w:rPr>
        <w:t xml:space="preserve"> </w:t>
      </w:r>
      <w:proofErr w:type="spellStart"/>
      <w:r w:rsidRPr="000F0D4A">
        <w:rPr>
          <w:lang w:val="en-US"/>
        </w:rPr>
        <w:t>kurumsal</w:t>
      </w:r>
      <w:proofErr w:type="spellEnd"/>
      <w:r w:rsidRPr="000F0D4A">
        <w:rPr>
          <w:lang w:val="en-US"/>
        </w:rPr>
        <w:t xml:space="preserve"> </w:t>
      </w:r>
      <w:proofErr w:type="spellStart"/>
      <w:r w:rsidRPr="000F0D4A">
        <w:rPr>
          <w:lang w:val="en-US"/>
        </w:rPr>
        <w:t>bir</w:t>
      </w:r>
      <w:proofErr w:type="spellEnd"/>
      <w:r w:rsidRPr="000F0D4A">
        <w:rPr>
          <w:lang w:val="en-US"/>
        </w:rPr>
        <w:t xml:space="preserve"> </w:t>
      </w:r>
      <w:proofErr w:type="spellStart"/>
      <w:r w:rsidRPr="000F0D4A">
        <w:rPr>
          <w:lang w:val="en-US"/>
        </w:rPr>
        <w:t>yaklaşım</w:t>
      </w:r>
      <w:proofErr w:type="spellEnd"/>
      <w:r w:rsidRPr="000F0D4A">
        <w:rPr>
          <w:lang w:val="en-US"/>
        </w:rPr>
        <w:t xml:space="preserve"> </w:t>
      </w:r>
      <w:proofErr w:type="spellStart"/>
      <w:r w:rsidRPr="000F0D4A">
        <w:rPr>
          <w:lang w:val="en-US"/>
        </w:rPr>
        <w:t>benimsemek</w:t>
      </w:r>
      <w:proofErr w:type="spellEnd"/>
      <w:r w:rsidRPr="000F0D4A">
        <w:rPr>
          <w:lang w:val="en-US"/>
        </w:rPr>
        <w:t xml:space="preserve">, </w:t>
      </w:r>
      <w:proofErr w:type="spellStart"/>
      <w:r w:rsidRPr="000F0D4A">
        <w:rPr>
          <w:lang w:val="en-US"/>
        </w:rPr>
        <w:t>anayasa</w:t>
      </w:r>
      <w:proofErr w:type="spellEnd"/>
      <w:r w:rsidRPr="000F0D4A">
        <w:rPr>
          <w:lang w:val="en-US"/>
        </w:rPr>
        <w:t xml:space="preserve"> </w:t>
      </w:r>
      <w:proofErr w:type="spellStart"/>
      <w:r w:rsidRPr="000F0D4A">
        <w:rPr>
          <w:lang w:val="en-US"/>
        </w:rPr>
        <w:t>hukukunun</w:t>
      </w:r>
      <w:proofErr w:type="spellEnd"/>
      <w:r w:rsidRPr="000F0D4A">
        <w:rPr>
          <w:lang w:val="en-US"/>
        </w:rPr>
        <w:t xml:space="preserve"> </w:t>
      </w:r>
      <w:proofErr w:type="spellStart"/>
      <w:r w:rsidRPr="000F0D4A">
        <w:rPr>
          <w:lang w:val="en-US"/>
        </w:rPr>
        <w:t>nasıl</w:t>
      </w:r>
      <w:proofErr w:type="spellEnd"/>
      <w:r w:rsidRPr="000F0D4A">
        <w:rPr>
          <w:lang w:val="en-US"/>
        </w:rPr>
        <w:t xml:space="preserve"> </w:t>
      </w:r>
      <w:proofErr w:type="spellStart"/>
      <w:r w:rsidRPr="000F0D4A">
        <w:rPr>
          <w:lang w:val="en-US"/>
        </w:rPr>
        <w:t>oluşturulduğunu</w:t>
      </w:r>
      <w:proofErr w:type="spellEnd"/>
      <w:r w:rsidRPr="000F0D4A">
        <w:rPr>
          <w:lang w:val="en-US"/>
        </w:rPr>
        <w:t xml:space="preserve"> </w:t>
      </w:r>
      <w:proofErr w:type="spellStart"/>
      <w:r w:rsidRPr="000F0D4A">
        <w:rPr>
          <w:lang w:val="en-US"/>
        </w:rPr>
        <w:t>şekillendiren</w:t>
      </w:r>
      <w:proofErr w:type="spellEnd"/>
      <w:r w:rsidRPr="000F0D4A">
        <w:rPr>
          <w:lang w:val="en-US"/>
        </w:rPr>
        <w:t xml:space="preserve"> </w:t>
      </w:r>
      <w:proofErr w:type="spellStart"/>
      <w:r w:rsidRPr="000F0D4A">
        <w:rPr>
          <w:lang w:val="en-US"/>
        </w:rPr>
        <w:t>çeşitli</w:t>
      </w:r>
      <w:proofErr w:type="spellEnd"/>
      <w:r w:rsidRPr="000F0D4A">
        <w:rPr>
          <w:lang w:val="en-US"/>
        </w:rPr>
        <w:t xml:space="preserve"> </w:t>
      </w:r>
      <w:proofErr w:type="spellStart"/>
      <w:r w:rsidRPr="000F0D4A">
        <w:rPr>
          <w:lang w:val="en-US"/>
        </w:rPr>
        <w:t>kurumları</w:t>
      </w:r>
      <w:proofErr w:type="spellEnd"/>
      <w:r w:rsidRPr="000F0D4A">
        <w:rPr>
          <w:lang w:val="en-US"/>
        </w:rPr>
        <w:t xml:space="preserve">, </w:t>
      </w:r>
      <w:proofErr w:type="spellStart"/>
      <w:r w:rsidRPr="000F0D4A">
        <w:rPr>
          <w:lang w:val="en-US"/>
        </w:rPr>
        <w:t>uygulamaları</w:t>
      </w:r>
      <w:proofErr w:type="spellEnd"/>
      <w:r w:rsidRPr="000F0D4A">
        <w:rPr>
          <w:lang w:val="en-US"/>
        </w:rPr>
        <w:t xml:space="preserve">, </w:t>
      </w:r>
      <w:proofErr w:type="spellStart"/>
      <w:r w:rsidRPr="000F0D4A">
        <w:rPr>
          <w:lang w:val="en-US"/>
        </w:rPr>
        <w:t>normları</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düşünce</w:t>
      </w:r>
      <w:proofErr w:type="spellEnd"/>
      <w:r w:rsidRPr="000F0D4A">
        <w:rPr>
          <w:lang w:val="en-US"/>
        </w:rPr>
        <w:t xml:space="preserve"> </w:t>
      </w:r>
      <w:proofErr w:type="spellStart"/>
      <w:r w:rsidRPr="000F0D4A">
        <w:rPr>
          <w:lang w:val="en-US"/>
        </w:rPr>
        <w:t>alışkanlıklarını</w:t>
      </w:r>
      <w:proofErr w:type="spellEnd"/>
      <w:r w:rsidRPr="000F0D4A">
        <w:rPr>
          <w:lang w:val="en-US"/>
        </w:rPr>
        <w:t xml:space="preserve"> </w:t>
      </w:r>
      <w:proofErr w:type="spellStart"/>
      <w:r w:rsidRPr="000F0D4A">
        <w:rPr>
          <w:lang w:val="en-US"/>
        </w:rPr>
        <w:t>incelememizi</w:t>
      </w:r>
      <w:proofErr w:type="spellEnd"/>
      <w:r w:rsidRPr="000F0D4A">
        <w:rPr>
          <w:lang w:val="en-US"/>
        </w:rPr>
        <w:t xml:space="preserve"> </w:t>
      </w:r>
      <w:proofErr w:type="spellStart"/>
      <w:r w:rsidRPr="000F0D4A">
        <w:rPr>
          <w:lang w:val="en-US"/>
        </w:rPr>
        <w:t>gerektirir</w:t>
      </w:r>
      <w:proofErr w:type="spellEnd"/>
      <w:r w:rsidRPr="000F0D4A">
        <w:rPr>
          <w:lang w:val="en-US"/>
        </w:rPr>
        <w:t xml:space="preserve">. Bu </w:t>
      </w:r>
      <w:proofErr w:type="spellStart"/>
      <w:r w:rsidRPr="000F0D4A">
        <w:rPr>
          <w:lang w:val="en-US"/>
        </w:rPr>
        <w:t>tür</w:t>
      </w:r>
      <w:proofErr w:type="spellEnd"/>
      <w:r w:rsidRPr="000F0D4A">
        <w:rPr>
          <w:lang w:val="en-US"/>
        </w:rPr>
        <w:t xml:space="preserve"> </w:t>
      </w:r>
      <w:proofErr w:type="spellStart"/>
      <w:r w:rsidRPr="000F0D4A">
        <w:rPr>
          <w:lang w:val="en-US"/>
        </w:rPr>
        <w:t>bir</w:t>
      </w:r>
      <w:proofErr w:type="spellEnd"/>
      <w:r w:rsidRPr="000F0D4A">
        <w:rPr>
          <w:lang w:val="en-US"/>
        </w:rPr>
        <w:t xml:space="preserve"> </w:t>
      </w:r>
      <w:proofErr w:type="spellStart"/>
      <w:r w:rsidRPr="000F0D4A">
        <w:rPr>
          <w:lang w:val="en-US"/>
        </w:rPr>
        <w:t>yaklaşım</w:t>
      </w:r>
      <w:proofErr w:type="spellEnd"/>
      <w:r w:rsidRPr="000F0D4A">
        <w:rPr>
          <w:lang w:val="en-US"/>
        </w:rPr>
        <w:t xml:space="preserve">, </w:t>
      </w:r>
      <w:proofErr w:type="spellStart"/>
      <w:r w:rsidRPr="000F0D4A">
        <w:rPr>
          <w:lang w:val="en-US"/>
        </w:rPr>
        <w:t>anayasal</w:t>
      </w:r>
      <w:proofErr w:type="spellEnd"/>
      <w:r w:rsidRPr="000F0D4A">
        <w:rPr>
          <w:lang w:val="en-US"/>
        </w:rPr>
        <w:t xml:space="preserve"> </w:t>
      </w:r>
      <w:proofErr w:type="spellStart"/>
      <w:r w:rsidRPr="000F0D4A">
        <w:rPr>
          <w:lang w:val="en-US"/>
        </w:rPr>
        <w:t>kültürümüz</w:t>
      </w:r>
      <w:proofErr w:type="spellEnd"/>
      <w:r w:rsidRPr="000F0D4A">
        <w:rPr>
          <w:lang w:val="en-US"/>
        </w:rPr>
        <w:t xml:space="preserve"> </w:t>
      </w:r>
      <w:proofErr w:type="spellStart"/>
      <w:r w:rsidRPr="000F0D4A">
        <w:rPr>
          <w:lang w:val="en-US"/>
        </w:rPr>
        <w:t>içinde</w:t>
      </w:r>
      <w:proofErr w:type="spellEnd"/>
      <w:r w:rsidRPr="000F0D4A">
        <w:rPr>
          <w:lang w:val="en-US"/>
        </w:rPr>
        <w:t xml:space="preserve"> </w:t>
      </w:r>
      <w:proofErr w:type="spellStart"/>
      <w:r w:rsidRPr="000F0D4A">
        <w:rPr>
          <w:lang w:val="en-US"/>
        </w:rPr>
        <w:t>bireylerin</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çıkar</w:t>
      </w:r>
      <w:proofErr w:type="spellEnd"/>
      <w:r w:rsidRPr="000F0D4A">
        <w:rPr>
          <w:lang w:val="en-US"/>
        </w:rPr>
        <w:t xml:space="preserve"> </w:t>
      </w:r>
      <w:proofErr w:type="spellStart"/>
      <w:r w:rsidRPr="000F0D4A">
        <w:rPr>
          <w:lang w:val="en-US"/>
        </w:rPr>
        <w:t>gruplarının</w:t>
      </w:r>
      <w:proofErr w:type="spellEnd"/>
      <w:r w:rsidRPr="000F0D4A">
        <w:rPr>
          <w:lang w:val="en-US"/>
        </w:rPr>
        <w:t xml:space="preserve"> </w:t>
      </w:r>
      <w:proofErr w:type="spellStart"/>
      <w:r w:rsidRPr="000F0D4A">
        <w:rPr>
          <w:lang w:val="en-US"/>
        </w:rPr>
        <w:t>anayasal</w:t>
      </w:r>
      <w:proofErr w:type="spellEnd"/>
      <w:r w:rsidRPr="000F0D4A">
        <w:rPr>
          <w:lang w:val="en-US"/>
        </w:rPr>
        <w:t xml:space="preserve"> </w:t>
      </w:r>
      <w:proofErr w:type="spellStart"/>
      <w:r w:rsidRPr="000F0D4A">
        <w:rPr>
          <w:lang w:val="en-US"/>
        </w:rPr>
        <w:t>sonuçları</w:t>
      </w:r>
      <w:proofErr w:type="spellEnd"/>
      <w:r w:rsidRPr="000F0D4A">
        <w:rPr>
          <w:lang w:val="en-US"/>
        </w:rPr>
        <w:t xml:space="preserve"> </w:t>
      </w:r>
      <w:proofErr w:type="spellStart"/>
      <w:r w:rsidRPr="000F0D4A">
        <w:rPr>
          <w:lang w:val="en-US"/>
        </w:rPr>
        <w:t>etkileme</w:t>
      </w:r>
      <w:proofErr w:type="spellEnd"/>
      <w:r w:rsidRPr="000F0D4A">
        <w:rPr>
          <w:lang w:val="en-US"/>
        </w:rPr>
        <w:t xml:space="preserve"> </w:t>
      </w:r>
      <w:proofErr w:type="spellStart"/>
      <w:r w:rsidRPr="000F0D4A">
        <w:rPr>
          <w:lang w:val="en-US"/>
        </w:rPr>
        <w:t>fırsatlarına</w:t>
      </w:r>
      <w:proofErr w:type="spellEnd"/>
      <w:r w:rsidRPr="000F0D4A">
        <w:rPr>
          <w:lang w:val="en-US"/>
        </w:rPr>
        <w:t xml:space="preserve"> </w:t>
      </w:r>
      <w:proofErr w:type="spellStart"/>
      <w:r w:rsidRPr="000F0D4A">
        <w:rPr>
          <w:lang w:val="en-US"/>
        </w:rPr>
        <w:t>sahip</w:t>
      </w:r>
      <w:proofErr w:type="spellEnd"/>
      <w:r w:rsidRPr="000F0D4A">
        <w:rPr>
          <w:lang w:val="en-US"/>
        </w:rPr>
        <w:t xml:space="preserve"> </w:t>
      </w:r>
      <w:proofErr w:type="spellStart"/>
      <w:r w:rsidRPr="000F0D4A">
        <w:rPr>
          <w:lang w:val="en-US"/>
        </w:rPr>
        <w:t>olduğu</w:t>
      </w:r>
      <w:proofErr w:type="spellEnd"/>
      <w:r w:rsidRPr="000F0D4A">
        <w:rPr>
          <w:lang w:val="en-US"/>
        </w:rPr>
        <w:t xml:space="preserve"> </w:t>
      </w:r>
      <w:proofErr w:type="spellStart"/>
      <w:r w:rsidRPr="000F0D4A">
        <w:rPr>
          <w:lang w:val="en-US"/>
        </w:rPr>
        <w:t>alanlarla</w:t>
      </w:r>
      <w:proofErr w:type="spellEnd"/>
      <w:r w:rsidRPr="000F0D4A">
        <w:rPr>
          <w:lang w:val="en-US"/>
        </w:rPr>
        <w:t xml:space="preserve"> </w:t>
      </w:r>
      <w:proofErr w:type="spellStart"/>
      <w:r w:rsidRPr="000F0D4A">
        <w:rPr>
          <w:lang w:val="en-US"/>
        </w:rPr>
        <w:t>sürekli</w:t>
      </w:r>
      <w:proofErr w:type="spellEnd"/>
      <w:r w:rsidRPr="000F0D4A">
        <w:rPr>
          <w:lang w:val="en-US"/>
        </w:rPr>
        <w:t xml:space="preserve"> </w:t>
      </w:r>
      <w:proofErr w:type="spellStart"/>
      <w:r w:rsidRPr="000F0D4A">
        <w:rPr>
          <w:lang w:val="en-US"/>
        </w:rPr>
        <w:t>olarak</w:t>
      </w:r>
      <w:proofErr w:type="spellEnd"/>
      <w:r w:rsidRPr="000F0D4A">
        <w:rPr>
          <w:lang w:val="en-US"/>
        </w:rPr>
        <w:t xml:space="preserve"> </w:t>
      </w:r>
      <w:proofErr w:type="spellStart"/>
      <w:r w:rsidRPr="000F0D4A">
        <w:rPr>
          <w:lang w:val="en-US"/>
        </w:rPr>
        <w:t>karşı</w:t>
      </w:r>
      <w:proofErr w:type="spellEnd"/>
      <w:r w:rsidRPr="000F0D4A">
        <w:rPr>
          <w:lang w:val="en-US"/>
        </w:rPr>
        <w:t xml:space="preserve"> </w:t>
      </w:r>
      <w:proofErr w:type="spellStart"/>
      <w:r w:rsidRPr="000F0D4A">
        <w:rPr>
          <w:lang w:val="en-US"/>
        </w:rPr>
        <w:t>karşıya</w:t>
      </w:r>
      <w:proofErr w:type="spellEnd"/>
      <w:r w:rsidRPr="000F0D4A">
        <w:rPr>
          <w:lang w:val="en-US"/>
        </w:rPr>
        <w:t xml:space="preserve"> </w:t>
      </w:r>
      <w:proofErr w:type="spellStart"/>
      <w:r w:rsidRPr="000F0D4A">
        <w:rPr>
          <w:lang w:val="en-US"/>
        </w:rPr>
        <w:t>gelmektedir</w:t>
      </w:r>
      <w:proofErr w:type="spellEnd"/>
      <w:r w:rsidRPr="000F0D4A">
        <w:rPr>
          <w:lang w:val="en-US"/>
        </w:rPr>
        <w:t>.</w:t>
      </w:r>
      <w:r>
        <w:rPr>
          <w:lang w:val="en-US"/>
        </w:rPr>
        <w:t xml:space="preserve"> </w:t>
      </w:r>
      <w:proofErr w:type="spellStart"/>
      <w:r w:rsidRPr="000F0D4A">
        <w:rPr>
          <w:lang w:val="en-US"/>
        </w:rPr>
        <w:t>Örneğin</w:t>
      </w:r>
      <w:proofErr w:type="spellEnd"/>
      <w:r w:rsidRPr="000F0D4A">
        <w:rPr>
          <w:lang w:val="en-US"/>
        </w:rPr>
        <w:t xml:space="preserve">, </w:t>
      </w:r>
      <w:proofErr w:type="spellStart"/>
      <w:r w:rsidRPr="000F0D4A">
        <w:rPr>
          <w:lang w:val="en-US"/>
        </w:rPr>
        <w:t>mevcut</w:t>
      </w:r>
      <w:proofErr w:type="spellEnd"/>
      <w:r w:rsidRPr="000F0D4A">
        <w:rPr>
          <w:lang w:val="en-US"/>
        </w:rPr>
        <w:t xml:space="preserve"> </w:t>
      </w:r>
      <w:proofErr w:type="spellStart"/>
      <w:r w:rsidRPr="000F0D4A">
        <w:rPr>
          <w:lang w:val="en-US"/>
        </w:rPr>
        <w:t>anayasal</w:t>
      </w:r>
      <w:proofErr w:type="spellEnd"/>
      <w:r w:rsidRPr="000F0D4A">
        <w:rPr>
          <w:lang w:val="en-US"/>
        </w:rPr>
        <w:t xml:space="preserve"> </w:t>
      </w:r>
      <w:proofErr w:type="spellStart"/>
      <w:r w:rsidRPr="000F0D4A">
        <w:rPr>
          <w:lang w:val="en-US"/>
        </w:rPr>
        <w:t>kültürümüz</w:t>
      </w:r>
      <w:proofErr w:type="spellEnd"/>
      <w:r w:rsidRPr="000F0D4A">
        <w:rPr>
          <w:lang w:val="en-US"/>
        </w:rPr>
        <w:t xml:space="preserve">, </w:t>
      </w:r>
      <w:proofErr w:type="spellStart"/>
      <w:r w:rsidRPr="000F0D4A">
        <w:rPr>
          <w:lang w:val="en-US"/>
        </w:rPr>
        <w:t>potansiyel</w:t>
      </w:r>
      <w:proofErr w:type="spellEnd"/>
      <w:r w:rsidRPr="000F0D4A">
        <w:rPr>
          <w:lang w:val="en-US"/>
        </w:rPr>
        <w:t xml:space="preserve"> </w:t>
      </w:r>
      <w:proofErr w:type="spellStart"/>
      <w:r w:rsidRPr="000F0D4A">
        <w:rPr>
          <w:lang w:val="en-US"/>
        </w:rPr>
        <w:t>yargıçları</w:t>
      </w:r>
      <w:proofErr w:type="spellEnd"/>
      <w:r w:rsidRPr="000F0D4A">
        <w:rPr>
          <w:lang w:val="en-US"/>
        </w:rPr>
        <w:t xml:space="preserve"> </w:t>
      </w:r>
      <w:proofErr w:type="spellStart"/>
      <w:r w:rsidRPr="000F0D4A">
        <w:rPr>
          <w:lang w:val="en-US"/>
        </w:rPr>
        <w:t>anayasal</w:t>
      </w:r>
      <w:proofErr w:type="spellEnd"/>
      <w:r w:rsidRPr="000F0D4A">
        <w:rPr>
          <w:lang w:val="en-US"/>
        </w:rPr>
        <w:t xml:space="preserve"> </w:t>
      </w:r>
      <w:proofErr w:type="spellStart"/>
      <w:r w:rsidRPr="000F0D4A">
        <w:rPr>
          <w:lang w:val="en-US"/>
        </w:rPr>
        <w:t>içtihatlarının</w:t>
      </w:r>
      <w:proofErr w:type="spellEnd"/>
      <w:r w:rsidRPr="000F0D4A">
        <w:rPr>
          <w:lang w:val="en-US"/>
        </w:rPr>
        <w:t xml:space="preserve"> </w:t>
      </w:r>
      <w:proofErr w:type="spellStart"/>
      <w:r w:rsidRPr="000F0D4A">
        <w:rPr>
          <w:lang w:val="en-US"/>
        </w:rPr>
        <w:t>içeriğine</w:t>
      </w:r>
      <w:proofErr w:type="spellEnd"/>
      <w:r w:rsidRPr="000F0D4A">
        <w:rPr>
          <w:lang w:val="en-US"/>
        </w:rPr>
        <w:t xml:space="preserve"> </w:t>
      </w:r>
      <w:proofErr w:type="spellStart"/>
      <w:r w:rsidRPr="000F0D4A">
        <w:rPr>
          <w:lang w:val="en-US"/>
        </w:rPr>
        <w:t>dair</w:t>
      </w:r>
      <w:proofErr w:type="spellEnd"/>
      <w:r w:rsidRPr="000F0D4A">
        <w:rPr>
          <w:lang w:val="en-US"/>
        </w:rPr>
        <w:t xml:space="preserve"> </w:t>
      </w:r>
      <w:proofErr w:type="spellStart"/>
      <w:r w:rsidRPr="000F0D4A">
        <w:rPr>
          <w:lang w:val="en-US"/>
        </w:rPr>
        <w:t>öngörülere</w:t>
      </w:r>
      <w:proofErr w:type="spellEnd"/>
      <w:r w:rsidRPr="000F0D4A">
        <w:rPr>
          <w:lang w:val="en-US"/>
        </w:rPr>
        <w:t xml:space="preserve"> </w:t>
      </w:r>
      <w:proofErr w:type="spellStart"/>
      <w:r w:rsidRPr="000F0D4A">
        <w:rPr>
          <w:lang w:val="en-US"/>
        </w:rPr>
        <w:t>dayanarak</w:t>
      </w:r>
      <w:proofErr w:type="spellEnd"/>
      <w:r w:rsidRPr="000F0D4A">
        <w:rPr>
          <w:lang w:val="en-US"/>
        </w:rPr>
        <w:t xml:space="preserve"> </w:t>
      </w:r>
      <w:proofErr w:type="spellStart"/>
      <w:r w:rsidRPr="000F0D4A">
        <w:rPr>
          <w:lang w:val="en-US"/>
        </w:rPr>
        <w:t>değerlendirme</w:t>
      </w:r>
      <w:proofErr w:type="spellEnd"/>
      <w:r w:rsidRPr="000F0D4A">
        <w:rPr>
          <w:lang w:val="en-US"/>
        </w:rPr>
        <w:t xml:space="preserve"> </w:t>
      </w:r>
      <w:proofErr w:type="spellStart"/>
      <w:r w:rsidRPr="000F0D4A">
        <w:rPr>
          <w:lang w:val="en-US"/>
        </w:rPr>
        <w:t>eğiliminde</w:t>
      </w:r>
      <w:proofErr w:type="spellEnd"/>
      <w:r w:rsidRPr="000F0D4A">
        <w:rPr>
          <w:lang w:val="en-US"/>
        </w:rPr>
        <w:t xml:space="preserve"> </w:t>
      </w:r>
      <w:proofErr w:type="spellStart"/>
      <w:r w:rsidRPr="000F0D4A">
        <w:rPr>
          <w:lang w:val="en-US"/>
        </w:rPr>
        <w:t>olan</w:t>
      </w:r>
      <w:proofErr w:type="spellEnd"/>
      <w:r w:rsidRPr="000F0D4A">
        <w:rPr>
          <w:lang w:val="en-US"/>
        </w:rPr>
        <w:t xml:space="preserve"> </w:t>
      </w:r>
      <w:proofErr w:type="spellStart"/>
      <w:r w:rsidRPr="000F0D4A">
        <w:rPr>
          <w:lang w:val="en-US"/>
        </w:rPr>
        <w:t>normlar</w:t>
      </w:r>
      <w:proofErr w:type="spellEnd"/>
      <w:r w:rsidRPr="000F0D4A">
        <w:rPr>
          <w:lang w:val="en-US"/>
        </w:rPr>
        <w:t xml:space="preserve"> geliştirmiştir.²²²</w:t>
      </w:r>
      <w:r>
        <w:rPr>
          <w:lang w:val="en-US"/>
        </w:rPr>
        <w:t xml:space="preserve"> </w:t>
      </w:r>
      <w:r>
        <w:rPr>
          <w:rStyle w:val="FootnoteReference"/>
          <w:lang w:val="en-US"/>
        </w:rPr>
        <w:footnoteReference w:id="222"/>
      </w:r>
      <w:r w:rsidRPr="000F0D4A">
        <w:rPr>
          <w:lang w:val="en-US"/>
        </w:rPr>
        <w:t xml:space="preserve"> </w:t>
      </w:r>
      <w:proofErr w:type="spellStart"/>
      <w:r w:rsidRPr="000F0D4A">
        <w:rPr>
          <w:lang w:val="en-US"/>
        </w:rPr>
        <w:t>Ayrıca</w:t>
      </w:r>
      <w:proofErr w:type="spellEnd"/>
      <w:r w:rsidRPr="000F0D4A">
        <w:rPr>
          <w:lang w:val="en-US"/>
        </w:rPr>
        <w:t xml:space="preserve">, </w:t>
      </w:r>
      <w:proofErr w:type="spellStart"/>
      <w:r w:rsidRPr="000F0D4A">
        <w:rPr>
          <w:lang w:val="en-US"/>
        </w:rPr>
        <w:t>çıkar</w:t>
      </w:r>
      <w:proofErr w:type="spellEnd"/>
      <w:r w:rsidRPr="000F0D4A">
        <w:rPr>
          <w:lang w:val="en-US"/>
        </w:rPr>
        <w:t xml:space="preserve"> </w:t>
      </w:r>
      <w:proofErr w:type="spellStart"/>
      <w:r w:rsidRPr="000F0D4A">
        <w:rPr>
          <w:lang w:val="en-US"/>
        </w:rPr>
        <w:t>grupları</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ideolojik</w:t>
      </w:r>
      <w:proofErr w:type="spellEnd"/>
      <w:r w:rsidRPr="000F0D4A">
        <w:rPr>
          <w:lang w:val="en-US"/>
        </w:rPr>
        <w:t xml:space="preserve"> </w:t>
      </w:r>
      <w:proofErr w:type="spellStart"/>
      <w:r w:rsidRPr="000F0D4A">
        <w:rPr>
          <w:lang w:val="en-US"/>
        </w:rPr>
        <w:t>müttefiklerin</w:t>
      </w:r>
      <w:proofErr w:type="spellEnd"/>
      <w:r w:rsidRPr="000F0D4A">
        <w:rPr>
          <w:lang w:val="en-US"/>
        </w:rPr>
        <w:t xml:space="preserve"> </w:t>
      </w:r>
      <w:proofErr w:type="spellStart"/>
      <w:r w:rsidRPr="000F0D4A">
        <w:rPr>
          <w:lang w:val="en-US"/>
        </w:rPr>
        <w:t>siyasi</w:t>
      </w:r>
      <w:proofErr w:type="spellEnd"/>
      <w:r w:rsidRPr="000F0D4A">
        <w:rPr>
          <w:lang w:val="en-US"/>
        </w:rPr>
        <w:t xml:space="preserve"> </w:t>
      </w:r>
      <w:proofErr w:type="spellStart"/>
      <w:r w:rsidRPr="000F0D4A">
        <w:rPr>
          <w:lang w:val="en-US"/>
        </w:rPr>
        <w:t>saiklerle</w:t>
      </w:r>
      <w:proofErr w:type="spellEnd"/>
      <w:r w:rsidRPr="000F0D4A">
        <w:rPr>
          <w:lang w:val="en-US"/>
        </w:rPr>
        <w:t xml:space="preserve"> </w:t>
      </w:r>
      <w:proofErr w:type="spellStart"/>
      <w:r w:rsidRPr="000F0D4A">
        <w:rPr>
          <w:lang w:val="en-US"/>
        </w:rPr>
        <w:t>mevzuata</w:t>
      </w:r>
      <w:proofErr w:type="spellEnd"/>
      <w:r w:rsidRPr="000F0D4A">
        <w:rPr>
          <w:lang w:val="en-US"/>
        </w:rPr>
        <w:t xml:space="preserve"> </w:t>
      </w:r>
      <w:proofErr w:type="spellStart"/>
      <w:r w:rsidRPr="000F0D4A">
        <w:rPr>
          <w:lang w:val="en-US"/>
        </w:rPr>
        <w:t>yönelik</w:t>
      </w:r>
      <w:proofErr w:type="spellEnd"/>
      <w:r w:rsidRPr="000F0D4A">
        <w:rPr>
          <w:lang w:val="en-US"/>
        </w:rPr>
        <w:t xml:space="preserve"> </w:t>
      </w:r>
      <w:proofErr w:type="spellStart"/>
      <w:r w:rsidRPr="000F0D4A">
        <w:rPr>
          <w:lang w:val="en-US"/>
        </w:rPr>
        <w:t>itirazları</w:t>
      </w:r>
      <w:proofErr w:type="spellEnd"/>
      <w:r w:rsidRPr="000F0D4A">
        <w:rPr>
          <w:lang w:val="en-US"/>
        </w:rPr>
        <w:t xml:space="preserve"> </w:t>
      </w:r>
      <w:proofErr w:type="spellStart"/>
      <w:r w:rsidRPr="000F0D4A">
        <w:rPr>
          <w:lang w:val="en-US"/>
        </w:rPr>
        <w:t>teşvik</w:t>
      </w:r>
      <w:proofErr w:type="spellEnd"/>
      <w:r w:rsidRPr="000F0D4A">
        <w:rPr>
          <w:lang w:val="en-US"/>
        </w:rPr>
        <w:t xml:space="preserve"> </w:t>
      </w:r>
      <w:proofErr w:type="spellStart"/>
      <w:r w:rsidRPr="000F0D4A">
        <w:rPr>
          <w:lang w:val="en-US"/>
        </w:rPr>
        <w:t>etmelerini</w:t>
      </w:r>
      <w:proofErr w:type="spellEnd"/>
      <w:r w:rsidRPr="000F0D4A">
        <w:rPr>
          <w:lang w:val="en-US"/>
        </w:rPr>
        <w:t xml:space="preserve"> </w:t>
      </w:r>
      <w:proofErr w:type="spellStart"/>
      <w:r w:rsidRPr="000F0D4A">
        <w:rPr>
          <w:lang w:val="en-US"/>
        </w:rPr>
        <w:t>kolaylaştıran</w:t>
      </w:r>
      <w:proofErr w:type="spellEnd"/>
      <w:r w:rsidRPr="000F0D4A">
        <w:rPr>
          <w:lang w:val="en-US"/>
        </w:rPr>
        <w:t xml:space="preserve"> </w:t>
      </w:r>
      <w:proofErr w:type="spellStart"/>
      <w:r w:rsidRPr="000F0D4A">
        <w:rPr>
          <w:lang w:val="en-US"/>
        </w:rPr>
        <w:t>kurumlar</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teknolojiler</w:t>
      </w:r>
      <w:proofErr w:type="spellEnd"/>
      <w:r w:rsidRPr="000F0D4A">
        <w:rPr>
          <w:lang w:val="en-US"/>
        </w:rPr>
        <w:t xml:space="preserve"> geliştirilmiştir.²²³</w:t>
      </w:r>
      <w:r>
        <w:rPr>
          <w:lang w:val="en-US"/>
        </w:rPr>
        <w:t xml:space="preserve"> </w:t>
      </w:r>
      <w:r>
        <w:rPr>
          <w:rStyle w:val="FootnoteReference"/>
          <w:lang w:val="en-US"/>
        </w:rPr>
        <w:footnoteReference w:id="223"/>
      </w:r>
      <w:r>
        <w:rPr>
          <w:lang w:val="en-US"/>
        </w:rPr>
        <w:t xml:space="preserve"> </w:t>
      </w:r>
      <w:r w:rsidRPr="000F0D4A">
        <w:rPr>
          <w:lang w:val="en-US"/>
        </w:rPr>
        <w:t xml:space="preserve">Bunun </w:t>
      </w:r>
      <w:proofErr w:type="spellStart"/>
      <w:r w:rsidRPr="000F0D4A">
        <w:rPr>
          <w:lang w:val="en-US"/>
        </w:rPr>
        <w:t>yanı</w:t>
      </w:r>
      <w:proofErr w:type="spellEnd"/>
      <w:r w:rsidRPr="000F0D4A">
        <w:rPr>
          <w:lang w:val="en-US"/>
        </w:rPr>
        <w:t xml:space="preserve"> </w:t>
      </w:r>
      <w:proofErr w:type="spellStart"/>
      <w:r w:rsidRPr="000F0D4A">
        <w:rPr>
          <w:lang w:val="en-US"/>
        </w:rPr>
        <w:t>sıra</w:t>
      </w:r>
      <w:proofErr w:type="spellEnd"/>
      <w:r w:rsidRPr="000F0D4A">
        <w:rPr>
          <w:lang w:val="en-US"/>
        </w:rPr>
        <w:t xml:space="preserve">, Yüksek </w:t>
      </w:r>
      <w:proofErr w:type="spellStart"/>
      <w:r w:rsidRPr="000F0D4A">
        <w:rPr>
          <w:lang w:val="en-US"/>
        </w:rPr>
        <w:t>Mahkeme’de</w:t>
      </w:r>
      <w:proofErr w:type="spellEnd"/>
      <w:r w:rsidRPr="000F0D4A">
        <w:rPr>
          <w:lang w:val="en-US"/>
        </w:rPr>
        <w:t xml:space="preserve"> </w:t>
      </w:r>
      <w:proofErr w:type="spellStart"/>
      <w:r w:rsidRPr="000F0D4A">
        <w:rPr>
          <w:lang w:val="en-US"/>
        </w:rPr>
        <w:t>geniş</w:t>
      </w:r>
      <w:proofErr w:type="spellEnd"/>
      <w:r w:rsidRPr="000F0D4A">
        <w:rPr>
          <w:lang w:val="en-US"/>
        </w:rPr>
        <w:t xml:space="preserve"> </w:t>
      </w:r>
      <w:r w:rsidRPr="000F0D4A">
        <w:rPr>
          <w:i/>
          <w:iCs/>
          <w:lang w:val="en-US"/>
        </w:rPr>
        <w:t>amicus curiae</w:t>
      </w:r>
      <w:r w:rsidRPr="000F0D4A">
        <w:rPr>
          <w:lang w:val="en-US"/>
        </w:rPr>
        <w:t xml:space="preserve"> </w:t>
      </w:r>
      <w:proofErr w:type="spellStart"/>
      <w:r w:rsidRPr="000F0D4A">
        <w:rPr>
          <w:lang w:val="en-US"/>
        </w:rPr>
        <w:t>katılımını</w:t>
      </w:r>
      <w:proofErr w:type="spellEnd"/>
      <w:r w:rsidRPr="000F0D4A">
        <w:rPr>
          <w:lang w:val="en-US"/>
        </w:rPr>
        <w:t xml:space="preserve"> </w:t>
      </w:r>
      <w:proofErr w:type="spellStart"/>
      <w:r w:rsidRPr="000F0D4A">
        <w:rPr>
          <w:lang w:val="en-US"/>
        </w:rPr>
        <w:t>teşvik</w:t>
      </w:r>
      <w:proofErr w:type="spellEnd"/>
      <w:r w:rsidRPr="000F0D4A">
        <w:rPr>
          <w:lang w:val="en-US"/>
        </w:rPr>
        <w:t xml:space="preserve"> </w:t>
      </w:r>
      <w:proofErr w:type="spellStart"/>
      <w:r w:rsidRPr="000F0D4A">
        <w:rPr>
          <w:lang w:val="en-US"/>
        </w:rPr>
        <w:t>etmiş</w:t>
      </w:r>
      <w:proofErr w:type="spellEnd"/>
      <w:r w:rsidRPr="000F0D4A">
        <w:rPr>
          <w:lang w:val="en-US"/>
        </w:rPr>
        <w:t xml:space="preserve"> </w:t>
      </w:r>
      <w:proofErr w:type="spellStart"/>
      <w:r w:rsidRPr="000F0D4A">
        <w:rPr>
          <w:lang w:val="en-US"/>
        </w:rPr>
        <w:t>bulunmaktayız</w:t>
      </w:r>
      <w:proofErr w:type="spellEnd"/>
      <w:r w:rsidRPr="000F0D4A">
        <w:rPr>
          <w:lang w:val="en-US"/>
        </w:rPr>
        <w:t xml:space="preserve">. Bu </w:t>
      </w:r>
      <w:proofErr w:type="spellStart"/>
      <w:r w:rsidRPr="000F0D4A">
        <w:rPr>
          <w:lang w:val="en-US"/>
        </w:rPr>
        <w:t>kısmen</w:t>
      </w:r>
      <w:proofErr w:type="spellEnd"/>
      <w:r w:rsidRPr="000F0D4A">
        <w:rPr>
          <w:lang w:val="en-US"/>
        </w:rPr>
        <w:t xml:space="preserve">, </w:t>
      </w:r>
      <w:proofErr w:type="spellStart"/>
      <w:r w:rsidRPr="000F0D4A">
        <w:rPr>
          <w:lang w:val="en-US"/>
        </w:rPr>
        <w:t>Mahkeme’ye</w:t>
      </w:r>
      <w:proofErr w:type="spellEnd"/>
      <w:r w:rsidRPr="000F0D4A">
        <w:rPr>
          <w:lang w:val="en-US"/>
        </w:rPr>
        <w:t xml:space="preserve"> </w:t>
      </w:r>
      <w:proofErr w:type="spellStart"/>
      <w:r w:rsidRPr="000F0D4A">
        <w:rPr>
          <w:lang w:val="en-US"/>
        </w:rPr>
        <w:t>çeşitli</w:t>
      </w:r>
      <w:proofErr w:type="spellEnd"/>
      <w:r w:rsidRPr="000F0D4A">
        <w:rPr>
          <w:lang w:val="en-US"/>
        </w:rPr>
        <w:t xml:space="preserve"> </w:t>
      </w:r>
      <w:proofErr w:type="spellStart"/>
      <w:r w:rsidRPr="000F0D4A">
        <w:rPr>
          <w:lang w:val="en-US"/>
        </w:rPr>
        <w:t>kesimlerin</w:t>
      </w:r>
      <w:proofErr w:type="spellEnd"/>
      <w:r w:rsidRPr="000F0D4A">
        <w:rPr>
          <w:lang w:val="en-US"/>
        </w:rPr>
        <w:t xml:space="preserve"> </w:t>
      </w:r>
      <w:proofErr w:type="spellStart"/>
      <w:r w:rsidRPr="000F0D4A">
        <w:rPr>
          <w:lang w:val="en-US"/>
        </w:rPr>
        <w:t>tercihleri</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çıkarları</w:t>
      </w:r>
      <w:proofErr w:type="spellEnd"/>
      <w:r w:rsidRPr="000F0D4A">
        <w:rPr>
          <w:lang w:val="en-US"/>
        </w:rPr>
        <w:t xml:space="preserve"> </w:t>
      </w:r>
      <w:proofErr w:type="spellStart"/>
      <w:r w:rsidRPr="000F0D4A">
        <w:rPr>
          <w:lang w:val="en-US"/>
        </w:rPr>
        <w:t>hakkında</w:t>
      </w:r>
      <w:proofErr w:type="spellEnd"/>
      <w:r w:rsidRPr="000F0D4A">
        <w:rPr>
          <w:lang w:val="en-US"/>
        </w:rPr>
        <w:t xml:space="preserve"> </w:t>
      </w:r>
      <w:proofErr w:type="spellStart"/>
      <w:r w:rsidRPr="000F0D4A">
        <w:rPr>
          <w:lang w:val="en-US"/>
        </w:rPr>
        <w:t>bilgi</w:t>
      </w:r>
      <w:proofErr w:type="spellEnd"/>
      <w:r w:rsidRPr="000F0D4A">
        <w:rPr>
          <w:lang w:val="en-US"/>
        </w:rPr>
        <w:t xml:space="preserve"> </w:t>
      </w:r>
      <w:proofErr w:type="spellStart"/>
      <w:r w:rsidRPr="000F0D4A">
        <w:rPr>
          <w:lang w:val="en-US"/>
        </w:rPr>
        <w:t>sağlamak</w:t>
      </w:r>
      <w:proofErr w:type="spellEnd"/>
      <w:r w:rsidRPr="000F0D4A">
        <w:rPr>
          <w:lang w:val="en-US"/>
        </w:rPr>
        <w:t xml:space="preserve"> </w:t>
      </w:r>
      <w:proofErr w:type="spellStart"/>
      <w:r w:rsidRPr="000F0D4A">
        <w:rPr>
          <w:lang w:val="en-US"/>
        </w:rPr>
        <w:t>amacıyla</w:t>
      </w:r>
      <w:proofErr w:type="spellEnd"/>
      <w:r w:rsidRPr="000F0D4A">
        <w:rPr>
          <w:lang w:val="en-US"/>
        </w:rPr>
        <w:t xml:space="preserve"> yapılmıştır.²²⁴</w:t>
      </w:r>
      <w:r>
        <w:rPr>
          <w:lang w:val="en-US"/>
        </w:rPr>
        <w:t xml:space="preserve"> </w:t>
      </w:r>
      <w:r>
        <w:rPr>
          <w:rStyle w:val="FootnoteReference"/>
          <w:lang w:val="en-US"/>
        </w:rPr>
        <w:footnoteReference w:id="224"/>
      </w:r>
      <w:r w:rsidRPr="000F0D4A">
        <w:rPr>
          <w:lang w:val="en-US"/>
        </w:rPr>
        <w:t xml:space="preserve"> </w:t>
      </w:r>
      <w:proofErr w:type="spellStart"/>
      <w:r w:rsidRPr="000F0D4A">
        <w:rPr>
          <w:lang w:val="en-US"/>
        </w:rPr>
        <w:t>Ayrıca</w:t>
      </w:r>
      <w:proofErr w:type="spellEnd"/>
      <w:r w:rsidRPr="000F0D4A">
        <w:rPr>
          <w:lang w:val="en-US"/>
        </w:rPr>
        <w:t xml:space="preserve">, Yüksek </w:t>
      </w:r>
      <w:proofErr w:type="spellStart"/>
      <w:r w:rsidRPr="000F0D4A">
        <w:rPr>
          <w:lang w:val="en-US"/>
        </w:rPr>
        <w:t>Mahkeme</w:t>
      </w:r>
      <w:proofErr w:type="spellEnd"/>
      <w:r w:rsidRPr="000F0D4A">
        <w:rPr>
          <w:lang w:val="en-US"/>
        </w:rPr>
        <w:t xml:space="preserve"> </w:t>
      </w:r>
      <w:proofErr w:type="spellStart"/>
      <w:r w:rsidRPr="000F0D4A">
        <w:rPr>
          <w:lang w:val="en-US"/>
        </w:rPr>
        <w:t>kararlarının</w:t>
      </w:r>
      <w:proofErr w:type="spellEnd"/>
      <w:r w:rsidRPr="000F0D4A">
        <w:rPr>
          <w:lang w:val="en-US"/>
        </w:rPr>
        <w:t xml:space="preserve"> </w:t>
      </w:r>
      <w:proofErr w:type="spellStart"/>
      <w:r w:rsidRPr="000F0D4A">
        <w:rPr>
          <w:lang w:val="en-US"/>
        </w:rPr>
        <w:t>içeriği</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sonuçları</w:t>
      </w:r>
      <w:proofErr w:type="spellEnd"/>
      <w:r w:rsidRPr="000F0D4A">
        <w:rPr>
          <w:lang w:val="en-US"/>
        </w:rPr>
        <w:t xml:space="preserve"> </w:t>
      </w:r>
      <w:proofErr w:type="spellStart"/>
      <w:r w:rsidRPr="000F0D4A">
        <w:rPr>
          <w:lang w:val="en-US"/>
        </w:rPr>
        <w:t>hakkında</w:t>
      </w:r>
      <w:proofErr w:type="spellEnd"/>
      <w:r w:rsidRPr="000F0D4A">
        <w:rPr>
          <w:lang w:val="en-US"/>
        </w:rPr>
        <w:t xml:space="preserve"> </w:t>
      </w:r>
      <w:proofErr w:type="spellStart"/>
      <w:r w:rsidRPr="000F0D4A">
        <w:rPr>
          <w:lang w:val="en-US"/>
        </w:rPr>
        <w:t>kamuoyunu</w:t>
      </w:r>
      <w:proofErr w:type="spellEnd"/>
      <w:r w:rsidRPr="000F0D4A">
        <w:rPr>
          <w:lang w:val="en-US"/>
        </w:rPr>
        <w:t xml:space="preserve"> </w:t>
      </w:r>
      <w:proofErr w:type="spellStart"/>
      <w:r w:rsidRPr="000F0D4A">
        <w:rPr>
          <w:lang w:val="en-US"/>
        </w:rPr>
        <w:t>bilgilendirme</w:t>
      </w:r>
      <w:proofErr w:type="spellEnd"/>
      <w:r w:rsidRPr="000F0D4A">
        <w:rPr>
          <w:lang w:val="en-US"/>
        </w:rPr>
        <w:t xml:space="preserve"> </w:t>
      </w:r>
      <w:proofErr w:type="spellStart"/>
      <w:r w:rsidRPr="000F0D4A">
        <w:rPr>
          <w:lang w:val="en-US"/>
        </w:rPr>
        <w:t>görevini</w:t>
      </w:r>
      <w:proofErr w:type="spellEnd"/>
      <w:r w:rsidRPr="000F0D4A">
        <w:rPr>
          <w:lang w:val="en-US"/>
        </w:rPr>
        <w:t xml:space="preserve"> </w:t>
      </w:r>
      <w:proofErr w:type="spellStart"/>
      <w:r w:rsidRPr="000F0D4A">
        <w:rPr>
          <w:lang w:val="en-US"/>
        </w:rPr>
        <w:t>büyük</w:t>
      </w:r>
      <w:proofErr w:type="spellEnd"/>
      <w:r w:rsidRPr="000F0D4A">
        <w:rPr>
          <w:lang w:val="en-US"/>
        </w:rPr>
        <w:t xml:space="preserve"> </w:t>
      </w:r>
      <w:proofErr w:type="spellStart"/>
      <w:r w:rsidRPr="000F0D4A">
        <w:rPr>
          <w:lang w:val="en-US"/>
        </w:rPr>
        <w:t>ölçüde</w:t>
      </w:r>
      <w:proofErr w:type="spellEnd"/>
      <w:r w:rsidRPr="000F0D4A">
        <w:rPr>
          <w:lang w:val="en-US"/>
        </w:rPr>
        <w:t xml:space="preserve"> </w:t>
      </w:r>
      <w:proofErr w:type="spellStart"/>
      <w:r w:rsidRPr="000F0D4A">
        <w:rPr>
          <w:lang w:val="en-US"/>
        </w:rPr>
        <w:t>çıkar</w:t>
      </w:r>
      <w:proofErr w:type="spellEnd"/>
      <w:r w:rsidRPr="000F0D4A">
        <w:rPr>
          <w:lang w:val="en-US"/>
        </w:rPr>
        <w:t xml:space="preserve"> </w:t>
      </w:r>
      <w:proofErr w:type="spellStart"/>
      <w:r w:rsidRPr="000F0D4A">
        <w:rPr>
          <w:lang w:val="en-US"/>
        </w:rPr>
        <w:t>gruplarına</w:t>
      </w:r>
      <w:proofErr w:type="spellEnd"/>
      <w:r w:rsidRPr="000F0D4A">
        <w:rPr>
          <w:lang w:val="en-US"/>
        </w:rPr>
        <w:t xml:space="preserve">, </w:t>
      </w:r>
      <w:proofErr w:type="spellStart"/>
      <w:r w:rsidRPr="000F0D4A">
        <w:rPr>
          <w:lang w:val="en-US"/>
        </w:rPr>
        <w:t>siyasi</w:t>
      </w:r>
      <w:proofErr w:type="spellEnd"/>
      <w:r w:rsidRPr="000F0D4A">
        <w:rPr>
          <w:lang w:val="en-US"/>
        </w:rPr>
        <w:t xml:space="preserve"> </w:t>
      </w:r>
      <w:proofErr w:type="spellStart"/>
      <w:r w:rsidRPr="000F0D4A">
        <w:rPr>
          <w:lang w:val="en-US"/>
        </w:rPr>
        <w:t>örgütlere</w:t>
      </w:r>
      <w:proofErr w:type="spellEnd"/>
      <w:r w:rsidRPr="000F0D4A">
        <w:rPr>
          <w:lang w:val="en-US"/>
        </w:rPr>
        <w:t xml:space="preserve">, blog </w:t>
      </w:r>
      <w:proofErr w:type="spellStart"/>
      <w:r w:rsidRPr="000F0D4A">
        <w:rPr>
          <w:lang w:val="en-US"/>
        </w:rPr>
        <w:t>yazarlarına</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giderek</w:t>
      </w:r>
      <w:proofErr w:type="spellEnd"/>
      <w:r w:rsidRPr="000F0D4A">
        <w:rPr>
          <w:lang w:val="en-US"/>
        </w:rPr>
        <w:t xml:space="preserve"> </w:t>
      </w:r>
      <w:proofErr w:type="spellStart"/>
      <w:r w:rsidRPr="000F0D4A">
        <w:rPr>
          <w:lang w:val="en-US"/>
        </w:rPr>
        <w:t>ideolojik</w:t>
      </w:r>
      <w:proofErr w:type="spellEnd"/>
      <w:r w:rsidRPr="000F0D4A">
        <w:rPr>
          <w:lang w:val="en-US"/>
        </w:rPr>
        <w:t xml:space="preserve"> </w:t>
      </w:r>
      <w:proofErr w:type="spellStart"/>
      <w:r w:rsidRPr="000F0D4A">
        <w:rPr>
          <w:lang w:val="en-US"/>
        </w:rPr>
        <w:t>olarak</w:t>
      </w:r>
      <w:proofErr w:type="spellEnd"/>
      <w:r w:rsidRPr="000F0D4A">
        <w:rPr>
          <w:lang w:val="en-US"/>
        </w:rPr>
        <w:t xml:space="preserve"> </w:t>
      </w:r>
      <w:proofErr w:type="spellStart"/>
      <w:r w:rsidRPr="000F0D4A">
        <w:rPr>
          <w:lang w:val="en-US"/>
        </w:rPr>
        <w:t>kutuplaşan</w:t>
      </w:r>
      <w:proofErr w:type="spellEnd"/>
      <w:r w:rsidRPr="000F0D4A">
        <w:rPr>
          <w:lang w:val="en-US"/>
        </w:rPr>
        <w:t xml:space="preserve"> </w:t>
      </w:r>
      <w:proofErr w:type="spellStart"/>
      <w:r w:rsidRPr="000F0D4A">
        <w:rPr>
          <w:lang w:val="en-US"/>
        </w:rPr>
        <w:t>medya</w:t>
      </w:r>
      <w:proofErr w:type="spellEnd"/>
      <w:r w:rsidRPr="000F0D4A">
        <w:rPr>
          <w:lang w:val="en-US"/>
        </w:rPr>
        <w:t xml:space="preserve"> </w:t>
      </w:r>
      <w:proofErr w:type="spellStart"/>
      <w:r w:rsidRPr="000F0D4A">
        <w:rPr>
          <w:lang w:val="en-US"/>
        </w:rPr>
        <w:t>organlarına</w:t>
      </w:r>
      <w:proofErr w:type="spellEnd"/>
      <w:r w:rsidRPr="000F0D4A">
        <w:rPr>
          <w:lang w:val="en-US"/>
        </w:rPr>
        <w:t xml:space="preserve"> </w:t>
      </w:r>
      <w:proofErr w:type="spellStart"/>
      <w:r w:rsidRPr="000F0D4A">
        <w:rPr>
          <w:lang w:val="en-US"/>
        </w:rPr>
        <w:t>bırakmış</w:t>
      </w:r>
      <w:proofErr w:type="spellEnd"/>
      <w:r w:rsidRPr="000F0D4A">
        <w:rPr>
          <w:lang w:val="en-US"/>
        </w:rPr>
        <w:t xml:space="preserve"> durumdayız.²²⁵</w:t>
      </w:r>
      <w:r>
        <w:rPr>
          <w:lang w:val="en-US"/>
        </w:rPr>
        <w:t xml:space="preserve"> </w:t>
      </w:r>
      <w:r>
        <w:rPr>
          <w:rStyle w:val="FootnoteReference"/>
          <w:lang w:val="en-US"/>
        </w:rPr>
        <w:footnoteReference w:id="225"/>
      </w:r>
    </w:p>
    <w:p w14:paraId="7E4049EE" w14:textId="43103B8D" w:rsidR="000F0D4A" w:rsidRDefault="000F0D4A" w:rsidP="000F0D4A">
      <w:pPr>
        <w:rPr>
          <w:lang w:val="en-US"/>
        </w:rPr>
      </w:pPr>
      <w:proofErr w:type="spellStart"/>
      <w:r w:rsidRPr="000F0D4A">
        <w:rPr>
          <w:lang w:val="en-US"/>
        </w:rPr>
        <w:t>Yukarıda</w:t>
      </w:r>
      <w:proofErr w:type="spellEnd"/>
      <w:r w:rsidRPr="000F0D4A">
        <w:rPr>
          <w:lang w:val="en-US"/>
        </w:rPr>
        <w:t xml:space="preserve"> </w:t>
      </w:r>
      <w:proofErr w:type="spellStart"/>
      <w:r w:rsidRPr="000F0D4A">
        <w:rPr>
          <w:lang w:val="en-US"/>
        </w:rPr>
        <w:t>Bölüm</w:t>
      </w:r>
      <w:proofErr w:type="spellEnd"/>
      <w:r w:rsidRPr="000F0D4A">
        <w:rPr>
          <w:lang w:val="en-US"/>
        </w:rPr>
        <w:t xml:space="preserve"> </w:t>
      </w:r>
      <w:proofErr w:type="spellStart"/>
      <w:r w:rsidRPr="000F0D4A">
        <w:rPr>
          <w:lang w:val="en-US"/>
        </w:rPr>
        <w:t>IV’te</w:t>
      </w:r>
      <w:proofErr w:type="spellEnd"/>
      <w:r w:rsidRPr="000F0D4A">
        <w:rPr>
          <w:lang w:val="en-US"/>
        </w:rPr>
        <w:t xml:space="preserve"> </w:t>
      </w:r>
      <w:proofErr w:type="spellStart"/>
      <w:r w:rsidRPr="000F0D4A">
        <w:rPr>
          <w:lang w:val="en-US"/>
        </w:rPr>
        <w:t>tartıştığım</w:t>
      </w:r>
      <w:proofErr w:type="spellEnd"/>
      <w:r w:rsidRPr="000F0D4A">
        <w:rPr>
          <w:lang w:val="en-US"/>
        </w:rPr>
        <w:t xml:space="preserve"> gibi,²²⁶</w:t>
      </w:r>
      <w:r>
        <w:rPr>
          <w:lang w:val="en-US"/>
        </w:rPr>
        <w:t xml:space="preserve"> </w:t>
      </w:r>
      <w:r>
        <w:rPr>
          <w:rStyle w:val="FootnoteReference"/>
          <w:lang w:val="en-US"/>
        </w:rPr>
        <w:footnoteReference w:id="226"/>
      </w:r>
      <w:r w:rsidRPr="000F0D4A">
        <w:rPr>
          <w:lang w:val="en-US"/>
        </w:rPr>
        <w:t xml:space="preserve"> </w:t>
      </w:r>
      <w:proofErr w:type="spellStart"/>
      <w:r w:rsidRPr="000F0D4A">
        <w:rPr>
          <w:lang w:val="en-US"/>
        </w:rPr>
        <w:t>bu</w:t>
      </w:r>
      <w:proofErr w:type="spellEnd"/>
      <w:r w:rsidRPr="000F0D4A">
        <w:rPr>
          <w:lang w:val="en-US"/>
        </w:rPr>
        <w:t xml:space="preserve"> </w:t>
      </w:r>
      <w:proofErr w:type="spellStart"/>
      <w:r w:rsidRPr="000F0D4A">
        <w:rPr>
          <w:lang w:val="en-US"/>
        </w:rPr>
        <w:t>kültürel</w:t>
      </w:r>
      <w:proofErr w:type="spellEnd"/>
      <w:r w:rsidRPr="000F0D4A">
        <w:rPr>
          <w:lang w:val="en-US"/>
        </w:rPr>
        <w:t xml:space="preserve"> </w:t>
      </w:r>
      <w:proofErr w:type="spellStart"/>
      <w:r w:rsidRPr="000F0D4A">
        <w:rPr>
          <w:lang w:val="en-US"/>
        </w:rPr>
        <w:t>evrimlerin</w:t>
      </w:r>
      <w:proofErr w:type="spellEnd"/>
      <w:r w:rsidRPr="000F0D4A">
        <w:rPr>
          <w:lang w:val="en-US"/>
        </w:rPr>
        <w:t xml:space="preserve"> </w:t>
      </w:r>
      <w:proofErr w:type="spellStart"/>
      <w:r w:rsidRPr="000F0D4A">
        <w:rPr>
          <w:lang w:val="en-US"/>
        </w:rPr>
        <w:t>normatif</w:t>
      </w:r>
      <w:proofErr w:type="spellEnd"/>
      <w:r w:rsidRPr="000F0D4A">
        <w:rPr>
          <w:lang w:val="en-US"/>
        </w:rPr>
        <w:t xml:space="preserve"> </w:t>
      </w:r>
      <w:proofErr w:type="spellStart"/>
      <w:r w:rsidRPr="000F0D4A">
        <w:rPr>
          <w:lang w:val="en-US"/>
        </w:rPr>
        <w:t>sonuçları</w:t>
      </w:r>
      <w:proofErr w:type="spellEnd"/>
      <w:r w:rsidRPr="000F0D4A">
        <w:rPr>
          <w:lang w:val="en-US"/>
        </w:rPr>
        <w:t xml:space="preserve"> </w:t>
      </w:r>
      <w:proofErr w:type="spellStart"/>
      <w:r w:rsidRPr="000F0D4A">
        <w:rPr>
          <w:lang w:val="en-US"/>
        </w:rPr>
        <w:t>konusunda</w:t>
      </w:r>
      <w:proofErr w:type="spellEnd"/>
      <w:r w:rsidRPr="000F0D4A">
        <w:rPr>
          <w:lang w:val="en-US"/>
        </w:rPr>
        <w:t xml:space="preserve"> </w:t>
      </w:r>
      <w:proofErr w:type="spellStart"/>
      <w:r w:rsidRPr="000F0D4A">
        <w:rPr>
          <w:lang w:val="en-US"/>
        </w:rPr>
        <w:t>farklı</w:t>
      </w:r>
      <w:proofErr w:type="spellEnd"/>
      <w:r w:rsidRPr="000F0D4A">
        <w:rPr>
          <w:lang w:val="en-US"/>
        </w:rPr>
        <w:t xml:space="preserve"> </w:t>
      </w:r>
      <w:proofErr w:type="spellStart"/>
      <w:r w:rsidRPr="000F0D4A">
        <w:rPr>
          <w:lang w:val="en-US"/>
        </w:rPr>
        <w:t>sonuçlara</w:t>
      </w:r>
      <w:proofErr w:type="spellEnd"/>
      <w:r w:rsidRPr="000F0D4A">
        <w:rPr>
          <w:lang w:val="en-US"/>
        </w:rPr>
        <w:t xml:space="preserve"> </w:t>
      </w:r>
      <w:proofErr w:type="spellStart"/>
      <w:r w:rsidRPr="000F0D4A">
        <w:rPr>
          <w:lang w:val="en-US"/>
        </w:rPr>
        <w:t>ulaşmak</w:t>
      </w:r>
      <w:proofErr w:type="spellEnd"/>
      <w:r w:rsidRPr="000F0D4A">
        <w:rPr>
          <w:lang w:val="en-US"/>
        </w:rPr>
        <w:t xml:space="preserve"> </w:t>
      </w:r>
      <w:proofErr w:type="spellStart"/>
      <w:r w:rsidRPr="000F0D4A">
        <w:rPr>
          <w:lang w:val="en-US"/>
        </w:rPr>
        <w:t>mümkündür</w:t>
      </w:r>
      <w:proofErr w:type="spellEnd"/>
      <w:r w:rsidRPr="000F0D4A">
        <w:rPr>
          <w:lang w:val="en-US"/>
        </w:rPr>
        <w:t xml:space="preserve">. </w:t>
      </w:r>
      <w:proofErr w:type="spellStart"/>
      <w:r w:rsidRPr="000F0D4A">
        <w:rPr>
          <w:lang w:val="en-US"/>
        </w:rPr>
        <w:t>Ancak</w:t>
      </w:r>
      <w:proofErr w:type="spellEnd"/>
      <w:r w:rsidRPr="000F0D4A">
        <w:rPr>
          <w:lang w:val="en-US"/>
        </w:rPr>
        <w:t xml:space="preserve">, </w:t>
      </w:r>
      <w:proofErr w:type="spellStart"/>
      <w:r w:rsidRPr="000F0D4A">
        <w:rPr>
          <w:lang w:val="en-US"/>
        </w:rPr>
        <w:t>bu</w:t>
      </w:r>
      <w:proofErr w:type="spellEnd"/>
      <w:r w:rsidRPr="000F0D4A">
        <w:rPr>
          <w:lang w:val="en-US"/>
        </w:rPr>
        <w:t xml:space="preserve"> </w:t>
      </w:r>
      <w:proofErr w:type="spellStart"/>
      <w:r w:rsidRPr="000F0D4A">
        <w:rPr>
          <w:lang w:val="en-US"/>
        </w:rPr>
        <w:t>değişimleri</w:t>
      </w:r>
      <w:proofErr w:type="spellEnd"/>
      <w:r w:rsidRPr="000F0D4A">
        <w:rPr>
          <w:lang w:val="en-US"/>
        </w:rPr>
        <w:t xml:space="preserve"> </w:t>
      </w:r>
      <w:proofErr w:type="spellStart"/>
      <w:r w:rsidRPr="000F0D4A">
        <w:rPr>
          <w:lang w:val="en-US"/>
        </w:rPr>
        <w:t>görmezden</w:t>
      </w:r>
      <w:proofErr w:type="spellEnd"/>
      <w:r w:rsidRPr="000F0D4A">
        <w:rPr>
          <w:lang w:val="en-US"/>
        </w:rPr>
        <w:t xml:space="preserve"> </w:t>
      </w:r>
      <w:proofErr w:type="spellStart"/>
      <w:r w:rsidRPr="000F0D4A">
        <w:rPr>
          <w:lang w:val="en-US"/>
        </w:rPr>
        <w:t>gelmek</w:t>
      </w:r>
      <w:proofErr w:type="spellEnd"/>
      <w:r w:rsidRPr="000F0D4A">
        <w:rPr>
          <w:lang w:val="en-US"/>
        </w:rPr>
        <w:t xml:space="preserve"> </w:t>
      </w:r>
      <w:proofErr w:type="spellStart"/>
      <w:r w:rsidRPr="000F0D4A">
        <w:rPr>
          <w:lang w:val="en-US"/>
        </w:rPr>
        <w:t>zordur</w:t>
      </w:r>
      <w:proofErr w:type="spellEnd"/>
      <w:r w:rsidRPr="000F0D4A">
        <w:rPr>
          <w:lang w:val="en-US"/>
        </w:rPr>
        <w:t>.</w:t>
      </w:r>
      <w:r>
        <w:rPr>
          <w:lang w:val="en-US"/>
        </w:rPr>
        <w:t xml:space="preserve"> </w:t>
      </w:r>
      <w:r w:rsidRPr="000F0D4A">
        <w:rPr>
          <w:lang w:val="en-US"/>
        </w:rPr>
        <w:t xml:space="preserve">Bir </w:t>
      </w:r>
      <w:proofErr w:type="spellStart"/>
      <w:r w:rsidRPr="000F0D4A">
        <w:rPr>
          <w:lang w:val="en-US"/>
        </w:rPr>
        <w:t>araştırmanın</w:t>
      </w:r>
      <w:proofErr w:type="spellEnd"/>
      <w:r w:rsidRPr="000F0D4A">
        <w:rPr>
          <w:lang w:val="en-US"/>
        </w:rPr>
        <w:t xml:space="preserve"> </w:t>
      </w:r>
      <w:proofErr w:type="spellStart"/>
      <w:r w:rsidRPr="000F0D4A">
        <w:rPr>
          <w:lang w:val="en-US"/>
        </w:rPr>
        <w:t>normatif</w:t>
      </w:r>
      <w:proofErr w:type="spellEnd"/>
      <w:r w:rsidRPr="000F0D4A">
        <w:rPr>
          <w:lang w:val="en-US"/>
        </w:rPr>
        <w:t xml:space="preserve">, </w:t>
      </w:r>
      <w:proofErr w:type="spellStart"/>
      <w:r w:rsidRPr="000F0D4A">
        <w:rPr>
          <w:lang w:val="en-US"/>
        </w:rPr>
        <w:t>değerlendirmeye</w:t>
      </w:r>
      <w:proofErr w:type="spellEnd"/>
      <w:r w:rsidRPr="000F0D4A">
        <w:rPr>
          <w:lang w:val="en-US"/>
        </w:rPr>
        <w:t xml:space="preserve"> </w:t>
      </w:r>
      <w:proofErr w:type="spellStart"/>
      <w:r w:rsidRPr="000F0D4A">
        <w:rPr>
          <w:lang w:val="en-US"/>
        </w:rPr>
        <w:t>yönelik</w:t>
      </w:r>
      <w:proofErr w:type="spellEnd"/>
      <w:r w:rsidRPr="000F0D4A">
        <w:rPr>
          <w:lang w:val="en-US"/>
        </w:rPr>
        <w:t xml:space="preserve"> </w:t>
      </w:r>
      <w:proofErr w:type="spellStart"/>
      <w:r w:rsidRPr="000F0D4A">
        <w:rPr>
          <w:lang w:val="en-US"/>
        </w:rPr>
        <w:t>veya</w:t>
      </w:r>
      <w:proofErr w:type="spellEnd"/>
      <w:r w:rsidRPr="000F0D4A">
        <w:rPr>
          <w:lang w:val="en-US"/>
        </w:rPr>
        <w:t xml:space="preserve"> </w:t>
      </w:r>
      <w:proofErr w:type="spellStart"/>
      <w:r w:rsidRPr="000F0D4A">
        <w:rPr>
          <w:lang w:val="en-US"/>
        </w:rPr>
        <w:t>sadece</w:t>
      </w:r>
      <w:proofErr w:type="spellEnd"/>
      <w:r w:rsidRPr="000F0D4A">
        <w:rPr>
          <w:lang w:val="en-US"/>
        </w:rPr>
        <w:t xml:space="preserve"> </w:t>
      </w:r>
      <w:proofErr w:type="spellStart"/>
      <w:r w:rsidRPr="000F0D4A">
        <w:rPr>
          <w:lang w:val="en-US"/>
        </w:rPr>
        <w:t>betimleyici</w:t>
      </w:r>
      <w:proofErr w:type="spellEnd"/>
      <w:r w:rsidRPr="000F0D4A">
        <w:rPr>
          <w:lang w:val="en-US"/>
        </w:rPr>
        <w:t xml:space="preserve"> </w:t>
      </w:r>
      <w:proofErr w:type="spellStart"/>
      <w:r w:rsidRPr="000F0D4A">
        <w:rPr>
          <w:lang w:val="en-US"/>
        </w:rPr>
        <w:t>olup</w:t>
      </w:r>
      <w:proofErr w:type="spellEnd"/>
      <w:r w:rsidRPr="000F0D4A">
        <w:rPr>
          <w:lang w:val="en-US"/>
        </w:rPr>
        <w:t xml:space="preserve"> </w:t>
      </w:r>
      <w:proofErr w:type="spellStart"/>
      <w:r w:rsidRPr="000F0D4A">
        <w:rPr>
          <w:lang w:val="en-US"/>
        </w:rPr>
        <w:t>olmadığı</w:t>
      </w:r>
      <w:proofErr w:type="spellEnd"/>
      <w:r w:rsidRPr="000F0D4A">
        <w:rPr>
          <w:lang w:val="en-US"/>
        </w:rPr>
        <w:t xml:space="preserve"> fark </w:t>
      </w:r>
      <w:proofErr w:type="spellStart"/>
      <w:r w:rsidRPr="000F0D4A">
        <w:rPr>
          <w:lang w:val="en-US"/>
        </w:rPr>
        <w:t>etmeksizin</w:t>
      </w:r>
      <w:proofErr w:type="spellEnd"/>
      <w:r w:rsidRPr="000F0D4A">
        <w:rPr>
          <w:lang w:val="en-US"/>
        </w:rPr>
        <w:t xml:space="preserve">, </w:t>
      </w:r>
      <w:proofErr w:type="spellStart"/>
      <w:r w:rsidRPr="000F0D4A">
        <w:rPr>
          <w:lang w:val="en-US"/>
        </w:rPr>
        <w:t>doğruluğu</w:t>
      </w:r>
      <w:proofErr w:type="spellEnd"/>
      <w:r w:rsidRPr="000F0D4A">
        <w:rPr>
          <w:lang w:val="en-US"/>
        </w:rPr>
        <w:t xml:space="preserve"> </w:t>
      </w:r>
      <w:proofErr w:type="spellStart"/>
      <w:r w:rsidRPr="000F0D4A">
        <w:rPr>
          <w:lang w:val="en-US"/>
        </w:rPr>
        <w:t>ve</w:t>
      </w:r>
      <w:proofErr w:type="spellEnd"/>
      <w:r w:rsidRPr="000F0D4A">
        <w:rPr>
          <w:lang w:val="en-US"/>
        </w:rPr>
        <w:t xml:space="preserve"> </w:t>
      </w:r>
      <w:proofErr w:type="spellStart"/>
      <w:r w:rsidRPr="000F0D4A">
        <w:rPr>
          <w:lang w:val="en-US"/>
        </w:rPr>
        <w:t>işlevselliği</w:t>
      </w:r>
      <w:proofErr w:type="spellEnd"/>
      <w:r w:rsidRPr="000F0D4A">
        <w:rPr>
          <w:lang w:val="en-US"/>
        </w:rPr>
        <w:t xml:space="preserve">, </w:t>
      </w:r>
      <w:proofErr w:type="spellStart"/>
      <w:r w:rsidRPr="000F0D4A">
        <w:rPr>
          <w:lang w:val="en-US"/>
        </w:rPr>
        <w:t>mevcut</w:t>
      </w:r>
      <w:proofErr w:type="spellEnd"/>
      <w:r w:rsidRPr="000F0D4A">
        <w:rPr>
          <w:lang w:val="en-US"/>
        </w:rPr>
        <w:t xml:space="preserve"> </w:t>
      </w:r>
      <w:proofErr w:type="spellStart"/>
      <w:r w:rsidRPr="000F0D4A">
        <w:rPr>
          <w:lang w:val="en-US"/>
        </w:rPr>
        <w:t>anayasal</w:t>
      </w:r>
      <w:proofErr w:type="spellEnd"/>
      <w:r w:rsidRPr="000F0D4A">
        <w:rPr>
          <w:lang w:val="en-US"/>
        </w:rPr>
        <w:t xml:space="preserve"> </w:t>
      </w:r>
      <w:proofErr w:type="spellStart"/>
      <w:r w:rsidRPr="000F0D4A">
        <w:rPr>
          <w:lang w:val="en-US"/>
        </w:rPr>
        <w:t>kültürümüzün</w:t>
      </w:r>
      <w:proofErr w:type="spellEnd"/>
      <w:r w:rsidRPr="000F0D4A">
        <w:rPr>
          <w:lang w:val="en-US"/>
        </w:rPr>
        <w:t xml:space="preserve"> </w:t>
      </w:r>
      <w:proofErr w:type="spellStart"/>
      <w:r w:rsidRPr="000F0D4A">
        <w:rPr>
          <w:lang w:val="en-US"/>
        </w:rPr>
        <w:t>anayasal</w:t>
      </w:r>
      <w:proofErr w:type="spellEnd"/>
      <w:r w:rsidRPr="000F0D4A">
        <w:rPr>
          <w:lang w:val="en-US"/>
        </w:rPr>
        <w:t xml:space="preserve"> </w:t>
      </w:r>
      <w:proofErr w:type="spellStart"/>
      <w:r w:rsidRPr="000F0D4A">
        <w:rPr>
          <w:lang w:val="en-US"/>
        </w:rPr>
        <w:t>karar</w:t>
      </w:r>
      <w:proofErr w:type="spellEnd"/>
      <w:r w:rsidRPr="000F0D4A">
        <w:rPr>
          <w:lang w:val="en-US"/>
        </w:rPr>
        <w:t xml:space="preserve"> alma </w:t>
      </w:r>
      <w:proofErr w:type="spellStart"/>
      <w:r w:rsidRPr="000F0D4A">
        <w:rPr>
          <w:lang w:val="en-US"/>
        </w:rPr>
        <w:t>sürecini</w:t>
      </w:r>
      <w:proofErr w:type="spellEnd"/>
      <w:r w:rsidRPr="000F0D4A">
        <w:rPr>
          <w:lang w:val="en-US"/>
        </w:rPr>
        <w:t xml:space="preserve"> </w:t>
      </w:r>
      <w:proofErr w:type="spellStart"/>
      <w:r w:rsidRPr="000F0D4A">
        <w:rPr>
          <w:lang w:val="en-US"/>
        </w:rPr>
        <w:t>bir</w:t>
      </w:r>
      <w:proofErr w:type="spellEnd"/>
      <w:r w:rsidRPr="000F0D4A">
        <w:rPr>
          <w:lang w:val="en-US"/>
        </w:rPr>
        <w:t xml:space="preserve"> </w:t>
      </w:r>
      <w:proofErr w:type="spellStart"/>
      <w:r w:rsidRPr="000F0D4A">
        <w:rPr>
          <w:lang w:val="en-US"/>
        </w:rPr>
        <w:t>tür</w:t>
      </w:r>
      <w:proofErr w:type="spellEnd"/>
      <w:r w:rsidRPr="000F0D4A">
        <w:rPr>
          <w:lang w:val="en-US"/>
        </w:rPr>
        <w:t xml:space="preserve"> </w:t>
      </w:r>
      <w:proofErr w:type="spellStart"/>
      <w:r w:rsidRPr="000F0D4A">
        <w:rPr>
          <w:lang w:val="en-US"/>
        </w:rPr>
        <w:t>demokratik</w:t>
      </w:r>
      <w:proofErr w:type="spellEnd"/>
      <w:r w:rsidRPr="000F0D4A">
        <w:rPr>
          <w:lang w:val="en-US"/>
        </w:rPr>
        <w:t xml:space="preserve"> </w:t>
      </w:r>
      <w:proofErr w:type="spellStart"/>
      <w:r w:rsidRPr="000F0D4A">
        <w:rPr>
          <w:lang w:val="en-US"/>
        </w:rPr>
        <w:t>yönetişime</w:t>
      </w:r>
      <w:proofErr w:type="spellEnd"/>
      <w:r w:rsidRPr="000F0D4A">
        <w:rPr>
          <w:lang w:val="en-US"/>
        </w:rPr>
        <w:t xml:space="preserve"> </w:t>
      </w:r>
      <w:proofErr w:type="spellStart"/>
      <w:r w:rsidRPr="000F0D4A">
        <w:rPr>
          <w:lang w:val="en-US"/>
        </w:rPr>
        <w:t>dönüştüren</w:t>
      </w:r>
      <w:proofErr w:type="spellEnd"/>
      <w:r w:rsidRPr="000F0D4A">
        <w:rPr>
          <w:lang w:val="en-US"/>
        </w:rPr>
        <w:t xml:space="preserve"> </w:t>
      </w:r>
      <w:proofErr w:type="spellStart"/>
      <w:r w:rsidRPr="000F0D4A">
        <w:rPr>
          <w:lang w:val="en-US"/>
        </w:rPr>
        <w:t>katılımcı</w:t>
      </w:r>
      <w:proofErr w:type="spellEnd"/>
      <w:r w:rsidRPr="000F0D4A">
        <w:rPr>
          <w:lang w:val="en-US"/>
        </w:rPr>
        <w:t xml:space="preserve"> </w:t>
      </w:r>
      <w:proofErr w:type="spellStart"/>
      <w:r w:rsidRPr="000F0D4A">
        <w:rPr>
          <w:lang w:val="en-US"/>
        </w:rPr>
        <w:t>normlar</w:t>
      </w:r>
      <w:proofErr w:type="spellEnd"/>
      <w:r w:rsidRPr="000F0D4A">
        <w:rPr>
          <w:lang w:val="en-US"/>
        </w:rPr>
        <w:t xml:space="preserve"> </w:t>
      </w:r>
      <w:proofErr w:type="spellStart"/>
      <w:r w:rsidRPr="000F0D4A">
        <w:rPr>
          <w:lang w:val="en-US"/>
        </w:rPr>
        <w:t>oluşturma</w:t>
      </w:r>
      <w:proofErr w:type="spellEnd"/>
      <w:r w:rsidRPr="000F0D4A">
        <w:rPr>
          <w:lang w:val="en-US"/>
        </w:rPr>
        <w:t xml:space="preserve"> </w:t>
      </w:r>
      <w:proofErr w:type="spellStart"/>
      <w:r w:rsidRPr="000F0D4A">
        <w:rPr>
          <w:lang w:val="en-US"/>
        </w:rPr>
        <w:t>biçimlerini</w:t>
      </w:r>
      <w:proofErr w:type="spellEnd"/>
      <w:r w:rsidRPr="000F0D4A">
        <w:rPr>
          <w:lang w:val="en-US"/>
        </w:rPr>
        <w:t xml:space="preserve"> </w:t>
      </w:r>
      <w:proofErr w:type="spellStart"/>
      <w:r w:rsidRPr="000F0D4A">
        <w:rPr>
          <w:lang w:val="en-US"/>
        </w:rPr>
        <w:t>ciddiye</w:t>
      </w:r>
      <w:proofErr w:type="spellEnd"/>
      <w:r w:rsidRPr="000F0D4A">
        <w:rPr>
          <w:lang w:val="en-US"/>
        </w:rPr>
        <w:t xml:space="preserve"> </w:t>
      </w:r>
      <w:proofErr w:type="spellStart"/>
      <w:r w:rsidRPr="000F0D4A">
        <w:rPr>
          <w:lang w:val="en-US"/>
        </w:rPr>
        <w:t>almasına</w:t>
      </w:r>
      <w:proofErr w:type="spellEnd"/>
      <w:r w:rsidRPr="000F0D4A">
        <w:rPr>
          <w:lang w:val="en-US"/>
        </w:rPr>
        <w:t xml:space="preserve"> </w:t>
      </w:r>
      <w:proofErr w:type="spellStart"/>
      <w:r w:rsidRPr="000F0D4A">
        <w:rPr>
          <w:lang w:val="en-US"/>
        </w:rPr>
        <w:t>bağlıdır</w:t>
      </w:r>
      <w:proofErr w:type="spellEnd"/>
      <w:r w:rsidRPr="000F0D4A">
        <w:rPr>
          <w:lang w:val="en-US"/>
        </w:rPr>
        <w:t>.</w:t>
      </w:r>
      <w:r>
        <w:rPr>
          <w:lang w:val="en-US"/>
        </w:rPr>
        <w:t xml:space="preserve"> [1127 - 1128]</w:t>
      </w:r>
    </w:p>
    <w:p w14:paraId="7CF73AFB" w14:textId="77777777" w:rsidR="000F0D4A" w:rsidRDefault="000F0D4A" w:rsidP="000F0D4A">
      <w:pPr>
        <w:pStyle w:val="Heading2"/>
        <w:rPr>
          <w:rFonts w:eastAsia="Times New Roman"/>
        </w:rPr>
      </w:pPr>
      <w:r w:rsidRPr="000F0D4A">
        <w:rPr>
          <w:rFonts w:eastAsia="Times New Roman"/>
        </w:rPr>
        <w:t>SONUÇ</w:t>
      </w:r>
    </w:p>
    <w:p w14:paraId="49D61255" w14:textId="77777777" w:rsidR="00660C2F" w:rsidRDefault="00660C2F" w:rsidP="00660C2F">
      <w:pPr>
        <w:rPr>
          <w:lang w:val="en-US"/>
        </w:rPr>
      </w:pPr>
      <w:r w:rsidRPr="00660C2F">
        <w:rPr>
          <w:lang w:val="en-US"/>
        </w:rPr>
        <w:t xml:space="preserve">Bu </w:t>
      </w:r>
      <w:proofErr w:type="spellStart"/>
      <w:r w:rsidRPr="00660C2F">
        <w:rPr>
          <w:lang w:val="en-US"/>
        </w:rPr>
        <w:t>makalenin</w:t>
      </w:r>
      <w:proofErr w:type="spellEnd"/>
      <w:r w:rsidRPr="00660C2F">
        <w:rPr>
          <w:lang w:val="en-US"/>
        </w:rPr>
        <w:t xml:space="preserve"> ilk </w:t>
      </w:r>
      <w:proofErr w:type="spellStart"/>
      <w:r w:rsidRPr="00660C2F">
        <w:rPr>
          <w:lang w:val="en-US"/>
        </w:rPr>
        <w:t>iki</w:t>
      </w:r>
      <w:proofErr w:type="spellEnd"/>
      <w:r w:rsidRPr="00660C2F">
        <w:rPr>
          <w:lang w:val="en-US"/>
        </w:rPr>
        <w:t xml:space="preserve"> </w:t>
      </w:r>
      <w:proofErr w:type="spellStart"/>
      <w:r w:rsidRPr="00660C2F">
        <w:rPr>
          <w:lang w:val="en-US"/>
        </w:rPr>
        <w:t>kısmının</w:t>
      </w:r>
      <w:proofErr w:type="spellEnd"/>
      <w:r w:rsidRPr="00660C2F">
        <w:rPr>
          <w:lang w:val="en-US"/>
        </w:rPr>
        <w:t xml:space="preserve"> </w:t>
      </w:r>
      <w:proofErr w:type="spellStart"/>
      <w:r w:rsidRPr="00660C2F">
        <w:rPr>
          <w:lang w:val="en-US"/>
        </w:rPr>
        <w:t>ortaya</w:t>
      </w:r>
      <w:proofErr w:type="spellEnd"/>
      <w:r w:rsidRPr="00660C2F">
        <w:rPr>
          <w:lang w:val="en-US"/>
        </w:rPr>
        <w:t xml:space="preserve"> </w:t>
      </w:r>
      <w:proofErr w:type="spellStart"/>
      <w:r w:rsidRPr="00660C2F">
        <w:rPr>
          <w:lang w:val="en-US"/>
        </w:rPr>
        <w:t>koyduğu</w:t>
      </w:r>
      <w:proofErr w:type="spellEnd"/>
      <w:r w:rsidRPr="00660C2F">
        <w:rPr>
          <w:lang w:val="en-US"/>
        </w:rPr>
        <w:t xml:space="preserve"> </w:t>
      </w:r>
      <w:proofErr w:type="spellStart"/>
      <w:r w:rsidRPr="00660C2F">
        <w:rPr>
          <w:lang w:val="en-US"/>
        </w:rPr>
        <w:t>üzere</w:t>
      </w:r>
      <w:proofErr w:type="spellEnd"/>
      <w:r w:rsidRPr="00660C2F">
        <w:rPr>
          <w:lang w:val="en-US"/>
        </w:rPr>
        <w:t xml:space="preserve">, </w:t>
      </w:r>
      <w:proofErr w:type="spellStart"/>
      <w:r w:rsidRPr="00660C2F">
        <w:rPr>
          <w:lang w:val="en-US"/>
        </w:rPr>
        <w:t>anayasa</w:t>
      </w:r>
      <w:proofErr w:type="spellEnd"/>
      <w:r w:rsidRPr="00660C2F">
        <w:rPr>
          <w:lang w:val="en-US"/>
        </w:rPr>
        <w:t xml:space="preserve"> </w:t>
      </w:r>
      <w:proofErr w:type="spellStart"/>
      <w:r w:rsidRPr="00660C2F">
        <w:rPr>
          <w:lang w:val="en-US"/>
        </w:rPr>
        <w:t>teorisyenleri</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diğer</w:t>
      </w:r>
      <w:proofErr w:type="spellEnd"/>
      <w:r w:rsidRPr="00660C2F">
        <w:rPr>
          <w:lang w:val="en-US"/>
        </w:rPr>
        <w:t xml:space="preserve"> </w:t>
      </w:r>
      <w:proofErr w:type="spellStart"/>
      <w:r w:rsidRPr="00660C2F">
        <w:rPr>
          <w:lang w:val="en-US"/>
        </w:rPr>
        <w:t>anayasal</w:t>
      </w:r>
      <w:proofErr w:type="spellEnd"/>
      <w:r w:rsidRPr="00660C2F">
        <w:rPr>
          <w:lang w:val="en-US"/>
        </w:rPr>
        <w:t xml:space="preserve"> </w:t>
      </w:r>
      <w:proofErr w:type="spellStart"/>
      <w:r w:rsidRPr="00660C2F">
        <w:rPr>
          <w:lang w:val="en-US"/>
        </w:rPr>
        <w:t>yorumcular</w:t>
      </w:r>
      <w:proofErr w:type="spellEnd"/>
      <w:r w:rsidRPr="00660C2F">
        <w:rPr>
          <w:lang w:val="en-US"/>
        </w:rPr>
        <w:t xml:space="preserve">, </w:t>
      </w:r>
      <w:proofErr w:type="spellStart"/>
      <w:r w:rsidRPr="00660C2F">
        <w:rPr>
          <w:lang w:val="en-US"/>
        </w:rPr>
        <w:t>mevcut</w:t>
      </w:r>
      <w:proofErr w:type="spellEnd"/>
      <w:r w:rsidRPr="00660C2F">
        <w:rPr>
          <w:lang w:val="en-US"/>
        </w:rPr>
        <w:t xml:space="preserve"> </w:t>
      </w:r>
      <w:proofErr w:type="spellStart"/>
      <w:r w:rsidRPr="00660C2F">
        <w:rPr>
          <w:lang w:val="en-US"/>
        </w:rPr>
        <w:t>anayasal</w:t>
      </w:r>
      <w:proofErr w:type="spellEnd"/>
      <w:r w:rsidRPr="00660C2F">
        <w:rPr>
          <w:lang w:val="en-US"/>
        </w:rPr>
        <w:t xml:space="preserve"> </w:t>
      </w:r>
      <w:proofErr w:type="spellStart"/>
      <w:r w:rsidRPr="00660C2F">
        <w:rPr>
          <w:lang w:val="en-US"/>
        </w:rPr>
        <w:t>karar</w:t>
      </w:r>
      <w:proofErr w:type="spellEnd"/>
      <w:r w:rsidRPr="00660C2F">
        <w:rPr>
          <w:lang w:val="en-US"/>
        </w:rPr>
        <w:t xml:space="preserve"> alma </w:t>
      </w:r>
      <w:proofErr w:type="spellStart"/>
      <w:r w:rsidRPr="00660C2F">
        <w:rPr>
          <w:lang w:val="en-US"/>
        </w:rPr>
        <w:t>sürecimizin</w:t>
      </w:r>
      <w:proofErr w:type="spellEnd"/>
      <w:r w:rsidRPr="00660C2F">
        <w:rPr>
          <w:lang w:val="en-US"/>
        </w:rPr>
        <w:t xml:space="preserve"> </w:t>
      </w:r>
      <w:proofErr w:type="spellStart"/>
      <w:r w:rsidRPr="00660C2F">
        <w:rPr>
          <w:lang w:val="en-US"/>
        </w:rPr>
        <w:t>belirli</w:t>
      </w:r>
      <w:proofErr w:type="spellEnd"/>
      <w:r w:rsidRPr="00660C2F">
        <w:rPr>
          <w:lang w:val="en-US"/>
        </w:rPr>
        <w:t xml:space="preserve"> </w:t>
      </w:r>
      <w:proofErr w:type="spellStart"/>
      <w:r w:rsidRPr="00660C2F">
        <w:rPr>
          <w:lang w:val="en-US"/>
        </w:rPr>
        <w:t>yönlerini</w:t>
      </w:r>
      <w:proofErr w:type="spellEnd"/>
      <w:r w:rsidRPr="00660C2F">
        <w:rPr>
          <w:lang w:val="en-US"/>
        </w:rPr>
        <w:t xml:space="preserve"> </w:t>
      </w:r>
      <w:proofErr w:type="spellStart"/>
      <w:r w:rsidRPr="00660C2F">
        <w:rPr>
          <w:lang w:val="en-US"/>
        </w:rPr>
        <w:t>anayasal</w:t>
      </w:r>
      <w:proofErr w:type="spellEnd"/>
      <w:r w:rsidRPr="00660C2F">
        <w:rPr>
          <w:lang w:val="en-US"/>
        </w:rPr>
        <w:t xml:space="preserve"> </w:t>
      </w:r>
      <w:proofErr w:type="spellStart"/>
      <w:r w:rsidRPr="00660C2F">
        <w:rPr>
          <w:lang w:val="en-US"/>
        </w:rPr>
        <w:t>yapımızın</w:t>
      </w:r>
      <w:proofErr w:type="spellEnd"/>
      <w:r w:rsidRPr="00660C2F">
        <w:rPr>
          <w:lang w:val="en-US"/>
        </w:rPr>
        <w:t xml:space="preserve"> </w:t>
      </w:r>
      <w:proofErr w:type="spellStart"/>
      <w:r w:rsidRPr="00660C2F">
        <w:rPr>
          <w:lang w:val="en-US"/>
        </w:rPr>
        <w:t>ayrılmaz</w:t>
      </w:r>
      <w:proofErr w:type="spellEnd"/>
      <w:r w:rsidRPr="00660C2F">
        <w:rPr>
          <w:lang w:val="en-US"/>
        </w:rPr>
        <w:t xml:space="preserve"> </w:t>
      </w:r>
      <w:proofErr w:type="spellStart"/>
      <w:r w:rsidRPr="00660C2F">
        <w:rPr>
          <w:lang w:val="en-US"/>
        </w:rPr>
        <w:t>parçaları</w:t>
      </w:r>
      <w:proofErr w:type="spellEnd"/>
      <w:r w:rsidRPr="00660C2F">
        <w:rPr>
          <w:lang w:val="en-US"/>
        </w:rPr>
        <w:t xml:space="preserve"> </w:t>
      </w:r>
      <w:proofErr w:type="spellStart"/>
      <w:r w:rsidRPr="00660C2F">
        <w:rPr>
          <w:lang w:val="en-US"/>
        </w:rPr>
        <w:t>olarak</w:t>
      </w:r>
      <w:proofErr w:type="spellEnd"/>
      <w:r w:rsidRPr="00660C2F">
        <w:rPr>
          <w:lang w:val="en-US"/>
        </w:rPr>
        <w:t xml:space="preserve"> </w:t>
      </w:r>
      <w:proofErr w:type="spellStart"/>
      <w:r w:rsidRPr="00660C2F">
        <w:rPr>
          <w:lang w:val="en-US"/>
        </w:rPr>
        <w:t>yanlış</w:t>
      </w:r>
      <w:proofErr w:type="spellEnd"/>
      <w:r w:rsidRPr="00660C2F">
        <w:rPr>
          <w:lang w:val="en-US"/>
        </w:rPr>
        <w:t xml:space="preserve"> </w:t>
      </w:r>
      <w:proofErr w:type="spellStart"/>
      <w:r w:rsidRPr="00660C2F">
        <w:rPr>
          <w:lang w:val="en-US"/>
        </w:rPr>
        <w:t>değerlendiren</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bu</w:t>
      </w:r>
      <w:proofErr w:type="spellEnd"/>
      <w:r w:rsidRPr="00660C2F">
        <w:rPr>
          <w:lang w:val="en-US"/>
        </w:rPr>
        <w:t xml:space="preserve"> </w:t>
      </w:r>
      <w:proofErr w:type="spellStart"/>
      <w:r w:rsidRPr="00660C2F">
        <w:rPr>
          <w:lang w:val="en-US"/>
        </w:rPr>
        <w:t>sürecin</w:t>
      </w:r>
      <w:proofErr w:type="spellEnd"/>
      <w:r w:rsidRPr="00660C2F">
        <w:rPr>
          <w:lang w:val="en-US"/>
        </w:rPr>
        <w:t xml:space="preserve"> </w:t>
      </w:r>
      <w:proofErr w:type="spellStart"/>
      <w:r w:rsidRPr="00660C2F">
        <w:rPr>
          <w:lang w:val="en-US"/>
        </w:rPr>
        <w:t>diğer</w:t>
      </w:r>
      <w:proofErr w:type="spellEnd"/>
      <w:r w:rsidRPr="00660C2F">
        <w:rPr>
          <w:lang w:val="en-US"/>
        </w:rPr>
        <w:t xml:space="preserve"> </w:t>
      </w:r>
      <w:proofErr w:type="spellStart"/>
      <w:r w:rsidRPr="00660C2F">
        <w:rPr>
          <w:lang w:val="en-US"/>
        </w:rPr>
        <w:t>önemli</w:t>
      </w:r>
      <w:proofErr w:type="spellEnd"/>
      <w:r w:rsidRPr="00660C2F">
        <w:rPr>
          <w:lang w:val="en-US"/>
        </w:rPr>
        <w:t xml:space="preserve"> </w:t>
      </w:r>
      <w:proofErr w:type="spellStart"/>
      <w:r w:rsidRPr="00660C2F">
        <w:rPr>
          <w:lang w:val="en-US"/>
        </w:rPr>
        <w:t>yönlerini</w:t>
      </w:r>
      <w:proofErr w:type="spellEnd"/>
      <w:r w:rsidRPr="00660C2F">
        <w:rPr>
          <w:lang w:val="en-US"/>
        </w:rPr>
        <w:t xml:space="preserve"> </w:t>
      </w:r>
      <w:proofErr w:type="spellStart"/>
      <w:r w:rsidRPr="00660C2F">
        <w:rPr>
          <w:lang w:val="en-US"/>
        </w:rPr>
        <w:t>tamamen</w:t>
      </w:r>
      <w:proofErr w:type="spellEnd"/>
      <w:r w:rsidRPr="00660C2F">
        <w:rPr>
          <w:lang w:val="en-US"/>
        </w:rPr>
        <w:t xml:space="preserve"> </w:t>
      </w:r>
      <w:proofErr w:type="spellStart"/>
      <w:r w:rsidRPr="00660C2F">
        <w:rPr>
          <w:lang w:val="en-US"/>
        </w:rPr>
        <w:t>göz</w:t>
      </w:r>
      <w:proofErr w:type="spellEnd"/>
      <w:r w:rsidRPr="00660C2F">
        <w:rPr>
          <w:lang w:val="en-US"/>
        </w:rPr>
        <w:t xml:space="preserve"> </w:t>
      </w:r>
      <w:proofErr w:type="spellStart"/>
      <w:r w:rsidRPr="00660C2F">
        <w:rPr>
          <w:lang w:val="en-US"/>
        </w:rPr>
        <w:t>ardı</w:t>
      </w:r>
      <w:proofErr w:type="spellEnd"/>
      <w:r w:rsidRPr="00660C2F">
        <w:rPr>
          <w:lang w:val="en-US"/>
        </w:rPr>
        <w:t xml:space="preserve"> </w:t>
      </w:r>
      <w:proofErr w:type="spellStart"/>
      <w:r w:rsidRPr="00660C2F">
        <w:rPr>
          <w:lang w:val="en-US"/>
        </w:rPr>
        <w:t>eden</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paradigma</w:t>
      </w:r>
      <w:proofErr w:type="spellEnd"/>
      <w:r w:rsidRPr="00660C2F">
        <w:rPr>
          <w:lang w:val="en-US"/>
        </w:rPr>
        <w:t xml:space="preserve"> </w:t>
      </w:r>
      <w:proofErr w:type="spellStart"/>
      <w:r w:rsidRPr="00660C2F">
        <w:rPr>
          <w:lang w:val="en-US"/>
        </w:rPr>
        <w:t>kullanmaktadır</w:t>
      </w:r>
      <w:proofErr w:type="spellEnd"/>
      <w:r w:rsidRPr="00660C2F">
        <w:rPr>
          <w:lang w:val="en-US"/>
        </w:rPr>
        <w:t xml:space="preserve">. Bu </w:t>
      </w:r>
      <w:proofErr w:type="spellStart"/>
      <w:r w:rsidRPr="00660C2F">
        <w:rPr>
          <w:lang w:val="en-US"/>
        </w:rPr>
        <w:t>tür</w:t>
      </w:r>
      <w:proofErr w:type="spellEnd"/>
      <w:r w:rsidRPr="00660C2F">
        <w:rPr>
          <w:lang w:val="en-US"/>
        </w:rPr>
        <w:t xml:space="preserve"> </w:t>
      </w:r>
      <w:proofErr w:type="spellStart"/>
      <w:r w:rsidRPr="00660C2F">
        <w:rPr>
          <w:lang w:val="en-US"/>
        </w:rPr>
        <w:t>çarpıtmalar</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atlamalar</w:t>
      </w:r>
      <w:proofErr w:type="spellEnd"/>
      <w:r w:rsidRPr="00660C2F">
        <w:rPr>
          <w:lang w:val="en-US"/>
        </w:rPr>
        <w:t xml:space="preserve">, </w:t>
      </w:r>
      <w:proofErr w:type="spellStart"/>
      <w:r w:rsidRPr="00660C2F">
        <w:rPr>
          <w:lang w:val="en-US"/>
        </w:rPr>
        <w:t>birçok</w:t>
      </w:r>
      <w:proofErr w:type="spellEnd"/>
      <w:r w:rsidRPr="00660C2F">
        <w:rPr>
          <w:lang w:val="en-US"/>
        </w:rPr>
        <w:t xml:space="preserve"> </w:t>
      </w:r>
      <w:proofErr w:type="spellStart"/>
      <w:r w:rsidRPr="00660C2F">
        <w:rPr>
          <w:lang w:val="en-US"/>
        </w:rPr>
        <w:t>betimleyici</w:t>
      </w:r>
      <w:proofErr w:type="spellEnd"/>
      <w:r w:rsidRPr="00660C2F">
        <w:rPr>
          <w:lang w:val="en-US"/>
        </w:rPr>
        <w:t xml:space="preserve"> </w:t>
      </w:r>
      <w:proofErr w:type="spellStart"/>
      <w:r w:rsidRPr="00660C2F">
        <w:rPr>
          <w:lang w:val="en-US"/>
        </w:rPr>
        <w:t>anayasa</w:t>
      </w:r>
      <w:proofErr w:type="spellEnd"/>
      <w:r w:rsidRPr="00660C2F">
        <w:rPr>
          <w:lang w:val="en-US"/>
        </w:rPr>
        <w:t xml:space="preserve"> </w:t>
      </w:r>
      <w:proofErr w:type="spellStart"/>
      <w:r w:rsidRPr="00660C2F">
        <w:rPr>
          <w:lang w:val="en-US"/>
        </w:rPr>
        <w:t>yorumunun</w:t>
      </w:r>
      <w:proofErr w:type="spellEnd"/>
      <w:r w:rsidRPr="00660C2F">
        <w:rPr>
          <w:lang w:val="en-US"/>
        </w:rPr>
        <w:t xml:space="preserve"> </w:t>
      </w:r>
      <w:proofErr w:type="spellStart"/>
      <w:r w:rsidRPr="00660C2F">
        <w:rPr>
          <w:lang w:val="en-US"/>
        </w:rPr>
        <w:t>doğruluğu</w:t>
      </w:r>
      <w:proofErr w:type="spellEnd"/>
      <w:r w:rsidRPr="00660C2F">
        <w:rPr>
          <w:lang w:val="en-US"/>
        </w:rPr>
        <w:t xml:space="preserve"> </w:t>
      </w:r>
      <w:proofErr w:type="spellStart"/>
      <w:r w:rsidRPr="00660C2F">
        <w:rPr>
          <w:lang w:val="en-US"/>
        </w:rPr>
        <w:t>ile</w:t>
      </w:r>
      <w:proofErr w:type="spellEnd"/>
      <w:r w:rsidRPr="00660C2F">
        <w:rPr>
          <w:lang w:val="en-US"/>
        </w:rPr>
        <w:t xml:space="preserve"> </w:t>
      </w:r>
      <w:proofErr w:type="spellStart"/>
      <w:r w:rsidRPr="00660C2F">
        <w:rPr>
          <w:lang w:val="en-US"/>
        </w:rPr>
        <w:t>daha</w:t>
      </w:r>
      <w:proofErr w:type="spellEnd"/>
      <w:r w:rsidRPr="00660C2F">
        <w:rPr>
          <w:lang w:val="en-US"/>
        </w:rPr>
        <w:t xml:space="preserve"> </w:t>
      </w:r>
      <w:proofErr w:type="spellStart"/>
      <w:r w:rsidRPr="00660C2F">
        <w:rPr>
          <w:lang w:val="en-US"/>
        </w:rPr>
        <w:t>normatif</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değerlendirmeye</w:t>
      </w:r>
      <w:proofErr w:type="spellEnd"/>
      <w:r w:rsidRPr="00660C2F">
        <w:rPr>
          <w:lang w:val="en-US"/>
        </w:rPr>
        <w:t xml:space="preserve"> </w:t>
      </w:r>
      <w:proofErr w:type="spellStart"/>
      <w:r w:rsidRPr="00660C2F">
        <w:rPr>
          <w:lang w:val="en-US"/>
        </w:rPr>
        <w:t>dayalı</w:t>
      </w:r>
      <w:proofErr w:type="spellEnd"/>
      <w:r w:rsidRPr="00660C2F">
        <w:rPr>
          <w:lang w:val="en-US"/>
        </w:rPr>
        <w:t xml:space="preserve"> </w:t>
      </w:r>
      <w:proofErr w:type="spellStart"/>
      <w:r w:rsidRPr="00660C2F">
        <w:rPr>
          <w:lang w:val="en-US"/>
        </w:rPr>
        <w:t>çalışmaların</w:t>
      </w:r>
      <w:proofErr w:type="spellEnd"/>
      <w:r w:rsidRPr="00660C2F">
        <w:rPr>
          <w:lang w:val="en-US"/>
        </w:rPr>
        <w:t xml:space="preserve"> </w:t>
      </w:r>
      <w:proofErr w:type="spellStart"/>
      <w:r w:rsidRPr="00660C2F">
        <w:rPr>
          <w:lang w:val="en-US"/>
        </w:rPr>
        <w:t>temelleri</w:t>
      </w:r>
      <w:proofErr w:type="spellEnd"/>
      <w:r w:rsidRPr="00660C2F">
        <w:rPr>
          <w:lang w:val="en-US"/>
        </w:rPr>
        <w:t xml:space="preserve"> </w:t>
      </w:r>
      <w:proofErr w:type="spellStart"/>
      <w:r w:rsidRPr="00660C2F">
        <w:rPr>
          <w:lang w:val="en-US"/>
        </w:rPr>
        <w:t>hakkında</w:t>
      </w:r>
      <w:proofErr w:type="spellEnd"/>
      <w:r w:rsidRPr="00660C2F">
        <w:rPr>
          <w:lang w:val="en-US"/>
        </w:rPr>
        <w:t xml:space="preserve"> </w:t>
      </w:r>
      <w:proofErr w:type="spellStart"/>
      <w:r w:rsidRPr="00660C2F">
        <w:rPr>
          <w:lang w:val="en-US"/>
        </w:rPr>
        <w:t>kaygılar</w:t>
      </w:r>
      <w:proofErr w:type="spellEnd"/>
      <w:r w:rsidRPr="00660C2F">
        <w:rPr>
          <w:lang w:val="en-US"/>
        </w:rPr>
        <w:t xml:space="preserve"> </w:t>
      </w:r>
      <w:proofErr w:type="spellStart"/>
      <w:r w:rsidRPr="00660C2F">
        <w:rPr>
          <w:lang w:val="en-US"/>
        </w:rPr>
        <w:lastRenderedPageBreak/>
        <w:t>doğurmaktadır</w:t>
      </w:r>
      <w:proofErr w:type="spellEnd"/>
      <w:r w:rsidRPr="00660C2F">
        <w:rPr>
          <w:lang w:val="en-US"/>
        </w:rPr>
        <w:t xml:space="preserve">. </w:t>
      </w:r>
      <w:proofErr w:type="spellStart"/>
      <w:r w:rsidRPr="00660C2F">
        <w:rPr>
          <w:lang w:val="en-US"/>
        </w:rPr>
        <w:t>Gelişmekte</w:t>
      </w:r>
      <w:proofErr w:type="spellEnd"/>
      <w:r w:rsidRPr="00660C2F">
        <w:rPr>
          <w:lang w:val="en-US"/>
        </w:rPr>
        <w:t xml:space="preserve"> </w:t>
      </w:r>
      <w:proofErr w:type="spellStart"/>
      <w:r w:rsidRPr="00660C2F">
        <w:rPr>
          <w:lang w:val="en-US"/>
        </w:rPr>
        <w:t>olan</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literatüre</w:t>
      </w:r>
      <w:proofErr w:type="spellEnd"/>
      <w:r w:rsidRPr="00660C2F">
        <w:rPr>
          <w:lang w:val="en-US"/>
        </w:rPr>
        <w:t xml:space="preserve"> </w:t>
      </w:r>
      <w:proofErr w:type="spellStart"/>
      <w:r w:rsidRPr="00660C2F">
        <w:rPr>
          <w:lang w:val="en-US"/>
        </w:rPr>
        <w:t>kısmen</w:t>
      </w:r>
      <w:proofErr w:type="spellEnd"/>
      <w:r w:rsidRPr="00660C2F">
        <w:rPr>
          <w:lang w:val="en-US"/>
        </w:rPr>
        <w:t xml:space="preserve"> </w:t>
      </w:r>
      <w:proofErr w:type="spellStart"/>
      <w:r w:rsidRPr="00660C2F">
        <w:rPr>
          <w:lang w:val="en-US"/>
        </w:rPr>
        <w:t>dayanarak</w:t>
      </w:r>
      <w:proofErr w:type="spellEnd"/>
      <w:r w:rsidRPr="00660C2F">
        <w:rPr>
          <w:lang w:val="en-US"/>
        </w:rPr>
        <w:t xml:space="preserve">, </w:t>
      </w:r>
      <w:proofErr w:type="spellStart"/>
      <w:r w:rsidRPr="00660C2F">
        <w:rPr>
          <w:lang w:val="en-US"/>
        </w:rPr>
        <w:t>bu</w:t>
      </w:r>
      <w:proofErr w:type="spellEnd"/>
      <w:r w:rsidRPr="00660C2F">
        <w:rPr>
          <w:lang w:val="en-US"/>
        </w:rPr>
        <w:t xml:space="preserve"> </w:t>
      </w:r>
      <w:proofErr w:type="spellStart"/>
      <w:r w:rsidRPr="00660C2F">
        <w:rPr>
          <w:lang w:val="en-US"/>
        </w:rPr>
        <w:t>makale</w:t>
      </w:r>
      <w:proofErr w:type="spellEnd"/>
      <w:r w:rsidRPr="00660C2F">
        <w:rPr>
          <w:lang w:val="en-US"/>
        </w:rPr>
        <w:t xml:space="preserve">, </w:t>
      </w:r>
      <w:proofErr w:type="spellStart"/>
      <w:r w:rsidRPr="00660C2F">
        <w:rPr>
          <w:lang w:val="en-US"/>
        </w:rPr>
        <w:t>anayasa</w:t>
      </w:r>
      <w:proofErr w:type="spellEnd"/>
      <w:r w:rsidRPr="00660C2F">
        <w:rPr>
          <w:lang w:val="en-US"/>
        </w:rPr>
        <w:t xml:space="preserve"> </w:t>
      </w:r>
      <w:proofErr w:type="spellStart"/>
      <w:r w:rsidRPr="00660C2F">
        <w:rPr>
          <w:lang w:val="en-US"/>
        </w:rPr>
        <w:t>hukuku</w:t>
      </w:r>
      <w:proofErr w:type="spellEnd"/>
      <w:r w:rsidRPr="00660C2F">
        <w:rPr>
          <w:lang w:val="en-US"/>
        </w:rPr>
        <w:t xml:space="preserve"> </w:t>
      </w:r>
      <w:proofErr w:type="spellStart"/>
      <w:r w:rsidRPr="00660C2F">
        <w:rPr>
          <w:lang w:val="en-US"/>
        </w:rPr>
        <w:t>yapma</w:t>
      </w:r>
      <w:proofErr w:type="spellEnd"/>
      <w:r w:rsidRPr="00660C2F">
        <w:rPr>
          <w:lang w:val="en-US"/>
        </w:rPr>
        <w:t xml:space="preserve"> </w:t>
      </w:r>
      <w:proofErr w:type="spellStart"/>
      <w:r w:rsidRPr="00660C2F">
        <w:rPr>
          <w:lang w:val="en-US"/>
        </w:rPr>
        <w:t>sürecine</w:t>
      </w:r>
      <w:proofErr w:type="spellEnd"/>
      <w:r w:rsidRPr="00660C2F">
        <w:rPr>
          <w:lang w:val="en-US"/>
        </w:rPr>
        <w:t xml:space="preserve"> </w:t>
      </w:r>
      <w:proofErr w:type="spellStart"/>
      <w:r w:rsidRPr="00660C2F">
        <w:rPr>
          <w:lang w:val="en-US"/>
        </w:rPr>
        <w:t>dair</w:t>
      </w:r>
      <w:proofErr w:type="spellEnd"/>
      <w:r w:rsidRPr="00660C2F">
        <w:rPr>
          <w:lang w:val="en-US"/>
        </w:rPr>
        <w:t xml:space="preserve"> yeni </w:t>
      </w:r>
      <w:proofErr w:type="spellStart"/>
      <w:r w:rsidRPr="00660C2F">
        <w:rPr>
          <w:lang w:val="en-US"/>
        </w:rPr>
        <w:t>bir</w:t>
      </w:r>
      <w:proofErr w:type="spellEnd"/>
      <w:r w:rsidRPr="00660C2F">
        <w:rPr>
          <w:lang w:val="en-US"/>
        </w:rPr>
        <w:t xml:space="preserve"> </w:t>
      </w:r>
      <w:proofErr w:type="spellStart"/>
      <w:r w:rsidRPr="00660C2F">
        <w:rPr>
          <w:lang w:val="en-US"/>
        </w:rPr>
        <w:t>paradigma</w:t>
      </w:r>
      <w:proofErr w:type="spellEnd"/>
      <w:r w:rsidRPr="00660C2F">
        <w:rPr>
          <w:lang w:val="en-US"/>
        </w:rPr>
        <w:t xml:space="preserve"> </w:t>
      </w:r>
      <w:proofErr w:type="spellStart"/>
      <w:r w:rsidRPr="00660C2F">
        <w:rPr>
          <w:lang w:val="en-US"/>
        </w:rPr>
        <w:t>önermektedir</w:t>
      </w:r>
      <w:proofErr w:type="spellEnd"/>
      <w:r w:rsidRPr="00660C2F">
        <w:rPr>
          <w:lang w:val="en-US"/>
        </w:rPr>
        <w:t xml:space="preserve">. Bu </w:t>
      </w:r>
      <w:proofErr w:type="spellStart"/>
      <w:r w:rsidRPr="00660C2F">
        <w:rPr>
          <w:lang w:val="en-US"/>
        </w:rPr>
        <w:t>paradigma</w:t>
      </w:r>
      <w:proofErr w:type="spellEnd"/>
      <w:r w:rsidRPr="00660C2F">
        <w:rPr>
          <w:lang w:val="en-US"/>
        </w:rPr>
        <w:t xml:space="preserve">, </w:t>
      </w:r>
      <w:proofErr w:type="spellStart"/>
      <w:r w:rsidRPr="00660C2F">
        <w:rPr>
          <w:lang w:val="en-US"/>
        </w:rPr>
        <w:t>kurumsal</w:t>
      </w:r>
      <w:proofErr w:type="spellEnd"/>
      <w:r w:rsidRPr="00660C2F">
        <w:rPr>
          <w:lang w:val="en-US"/>
        </w:rPr>
        <w:t xml:space="preserve"> </w:t>
      </w:r>
      <w:proofErr w:type="spellStart"/>
      <w:r w:rsidRPr="00660C2F">
        <w:rPr>
          <w:lang w:val="en-US"/>
        </w:rPr>
        <w:t>düzenlemelerimizin</w:t>
      </w:r>
      <w:proofErr w:type="spellEnd"/>
      <w:r w:rsidRPr="00660C2F">
        <w:rPr>
          <w:lang w:val="en-US"/>
        </w:rPr>
        <w:t xml:space="preserve">, </w:t>
      </w:r>
      <w:proofErr w:type="spellStart"/>
      <w:r w:rsidRPr="00660C2F">
        <w:rPr>
          <w:lang w:val="en-US"/>
        </w:rPr>
        <w:t>uygulamalarımızın</w:t>
      </w:r>
      <w:proofErr w:type="spellEnd"/>
      <w:r w:rsidRPr="00660C2F">
        <w:rPr>
          <w:lang w:val="en-US"/>
        </w:rPr>
        <w:t xml:space="preserve">, </w:t>
      </w:r>
      <w:proofErr w:type="spellStart"/>
      <w:r w:rsidRPr="00660C2F">
        <w:rPr>
          <w:lang w:val="en-US"/>
        </w:rPr>
        <w:t>normlarımızın</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düşünce</w:t>
      </w:r>
      <w:proofErr w:type="spellEnd"/>
      <w:r w:rsidRPr="00660C2F">
        <w:rPr>
          <w:lang w:val="en-US"/>
        </w:rPr>
        <w:t xml:space="preserve"> </w:t>
      </w:r>
      <w:proofErr w:type="spellStart"/>
      <w:r w:rsidRPr="00660C2F">
        <w:rPr>
          <w:lang w:val="en-US"/>
        </w:rPr>
        <w:t>alışkanlıklarımızın</w:t>
      </w:r>
      <w:proofErr w:type="spellEnd"/>
      <w:r w:rsidRPr="00660C2F">
        <w:rPr>
          <w:lang w:val="en-US"/>
        </w:rPr>
        <w:t xml:space="preserve"> </w:t>
      </w:r>
      <w:proofErr w:type="spellStart"/>
      <w:r w:rsidRPr="00660C2F">
        <w:rPr>
          <w:lang w:val="en-US"/>
        </w:rPr>
        <w:t>neredeyse</w:t>
      </w:r>
      <w:proofErr w:type="spellEnd"/>
      <w:r w:rsidRPr="00660C2F">
        <w:rPr>
          <w:lang w:val="en-US"/>
        </w:rPr>
        <w:t xml:space="preserve"> </w:t>
      </w:r>
      <w:proofErr w:type="spellStart"/>
      <w:r w:rsidRPr="00660C2F">
        <w:rPr>
          <w:lang w:val="en-US"/>
        </w:rPr>
        <w:t>tamamının</w:t>
      </w:r>
      <w:proofErr w:type="spellEnd"/>
      <w:r w:rsidRPr="00660C2F">
        <w:rPr>
          <w:lang w:val="en-US"/>
        </w:rPr>
        <w:t xml:space="preserve"> nominal, </w:t>
      </w:r>
      <w:proofErr w:type="spellStart"/>
      <w:r w:rsidRPr="00660C2F">
        <w:rPr>
          <w:lang w:val="en-US"/>
        </w:rPr>
        <w:t>tarihsel</w:t>
      </w:r>
      <w:proofErr w:type="spellEnd"/>
      <w:r w:rsidRPr="00660C2F">
        <w:rPr>
          <w:lang w:val="en-US"/>
        </w:rPr>
        <w:t xml:space="preserve"> </w:t>
      </w:r>
      <w:proofErr w:type="spellStart"/>
      <w:r w:rsidRPr="00660C2F">
        <w:rPr>
          <w:lang w:val="en-US"/>
        </w:rPr>
        <w:t>olarak</w:t>
      </w:r>
      <w:proofErr w:type="spellEnd"/>
      <w:r w:rsidRPr="00660C2F">
        <w:rPr>
          <w:lang w:val="en-US"/>
        </w:rPr>
        <w:t xml:space="preserve"> </w:t>
      </w:r>
      <w:proofErr w:type="spellStart"/>
      <w:r w:rsidRPr="00660C2F">
        <w:rPr>
          <w:lang w:val="en-US"/>
        </w:rPr>
        <w:t>belirlenmiş</w:t>
      </w:r>
      <w:proofErr w:type="spellEnd"/>
      <w:r w:rsidRPr="00660C2F">
        <w:rPr>
          <w:lang w:val="en-US"/>
        </w:rPr>
        <w:t xml:space="preserve"> (historically-contingent) </w:t>
      </w:r>
      <w:proofErr w:type="spellStart"/>
      <w:r w:rsidRPr="00660C2F">
        <w:rPr>
          <w:lang w:val="en-US"/>
        </w:rPr>
        <w:t>ve</w:t>
      </w:r>
      <w:proofErr w:type="spellEnd"/>
      <w:r w:rsidRPr="00660C2F">
        <w:rPr>
          <w:lang w:val="en-US"/>
        </w:rPr>
        <w:t xml:space="preserve"> </w:t>
      </w:r>
      <w:proofErr w:type="spellStart"/>
      <w:r w:rsidRPr="00660C2F">
        <w:rPr>
          <w:lang w:val="en-US"/>
        </w:rPr>
        <w:t>sürekli</w:t>
      </w:r>
      <w:proofErr w:type="spellEnd"/>
      <w:r w:rsidRPr="00660C2F">
        <w:rPr>
          <w:lang w:val="en-US"/>
        </w:rPr>
        <w:t xml:space="preserve"> </w:t>
      </w:r>
      <w:proofErr w:type="spellStart"/>
      <w:r w:rsidRPr="00660C2F">
        <w:rPr>
          <w:lang w:val="en-US"/>
        </w:rPr>
        <w:t>değişen</w:t>
      </w:r>
      <w:proofErr w:type="spellEnd"/>
      <w:r w:rsidRPr="00660C2F">
        <w:rPr>
          <w:lang w:val="en-US"/>
        </w:rPr>
        <w:t xml:space="preserve"> </w:t>
      </w:r>
      <w:proofErr w:type="spellStart"/>
      <w:r w:rsidRPr="00660C2F">
        <w:rPr>
          <w:lang w:val="en-US"/>
        </w:rPr>
        <w:t>unsurlar</w:t>
      </w:r>
      <w:proofErr w:type="spellEnd"/>
      <w:r w:rsidRPr="00660C2F">
        <w:rPr>
          <w:lang w:val="en-US"/>
        </w:rPr>
        <w:t xml:space="preserve"> </w:t>
      </w:r>
      <w:proofErr w:type="spellStart"/>
      <w:r w:rsidRPr="00660C2F">
        <w:rPr>
          <w:lang w:val="en-US"/>
        </w:rPr>
        <w:t>olduğunu</w:t>
      </w:r>
      <w:proofErr w:type="spellEnd"/>
      <w:r w:rsidRPr="00660C2F">
        <w:rPr>
          <w:lang w:val="en-US"/>
        </w:rPr>
        <w:t xml:space="preserve"> </w:t>
      </w:r>
      <w:proofErr w:type="spellStart"/>
      <w:r w:rsidRPr="00660C2F">
        <w:rPr>
          <w:lang w:val="en-US"/>
        </w:rPr>
        <w:t>kabul</w:t>
      </w:r>
      <w:proofErr w:type="spellEnd"/>
      <w:r w:rsidRPr="00660C2F">
        <w:rPr>
          <w:lang w:val="en-US"/>
        </w:rPr>
        <w:t xml:space="preserve"> </w:t>
      </w:r>
      <w:proofErr w:type="spellStart"/>
      <w:r w:rsidRPr="00660C2F">
        <w:rPr>
          <w:lang w:val="en-US"/>
        </w:rPr>
        <w:t>etmekte</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bunları</w:t>
      </w:r>
      <w:proofErr w:type="spellEnd"/>
      <w:r w:rsidRPr="00660C2F">
        <w:rPr>
          <w:lang w:val="en-US"/>
        </w:rPr>
        <w:t xml:space="preserve"> </w:t>
      </w:r>
      <w:proofErr w:type="spellStart"/>
      <w:r w:rsidRPr="00660C2F">
        <w:rPr>
          <w:lang w:val="en-US"/>
        </w:rPr>
        <w:t>karmaşık</w:t>
      </w:r>
      <w:proofErr w:type="spellEnd"/>
      <w:r w:rsidRPr="00660C2F">
        <w:rPr>
          <w:lang w:val="en-US"/>
        </w:rPr>
        <w:t xml:space="preserve">, </w:t>
      </w:r>
      <w:proofErr w:type="spellStart"/>
      <w:r w:rsidRPr="00660C2F">
        <w:rPr>
          <w:lang w:val="en-US"/>
        </w:rPr>
        <w:t>birbiriyle</w:t>
      </w:r>
      <w:proofErr w:type="spellEnd"/>
      <w:r w:rsidRPr="00660C2F">
        <w:rPr>
          <w:lang w:val="en-US"/>
        </w:rPr>
        <w:t xml:space="preserve"> </w:t>
      </w:r>
      <w:proofErr w:type="spellStart"/>
      <w:r w:rsidRPr="00660C2F">
        <w:rPr>
          <w:lang w:val="en-US"/>
        </w:rPr>
        <w:t>iç</w:t>
      </w:r>
      <w:proofErr w:type="spellEnd"/>
      <w:r w:rsidRPr="00660C2F">
        <w:rPr>
          <w:lang w:val="en-US"/>
        </w:rPr>
        <w:t xml:space="preserve"> </w:t>
      </w:r>
      <w:proofErr w:type="spellStart"/>
      <w:r w:rsidRPr="00660C2F">
        <w:rPr>
          <w:lang w:val="en-US"/>
        </w:rPr>
        <w:t>içe</w:t>
      </w:r>
      <w:proofErr w:type="spellEnd"/>
      <w:r w:rsidRPr="00660C2F">
        <w:rPr>
          <w:lang w:val="en-US"/>
        </w:rPr>
        <w:t xml:space="preserve"> </w:t>
      </w:r>
      <w:proofErr w:type="spellStart"/>
      <w:r w:rsidRPr="00660C2F">
        <w:rPr>
          <w:lang w:val="en-US"/>
        </w:rPr>
        <w:t>geçmiş</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anayasal</w:t>
      </w:r>
      <w:proofErr w:type="spellEnd"/>
      <w:r w:rsidRPr="00660C2F">
        <w:rPr>
          <w:lang w:val="en-US"/>
        </w:rPr>
        <w:t xml:space="preserve"> </w:t>
      </w:r>
      <w:proofErr w:type="spellStart"/>
      <w:r w:rsidRPr="00660C2F">
        <w:rPr>
          <w:lang w:val="en-US"/>
        </w:rPr>
        <w:t>kültür</w:t>
      </w:r>
      <w:proofErr w:type="spellEnd"/>
      <w:r w:rsidRPr="00660C2F">
        <w:rPr>
          <w:lang w:val="en-US"/>
        </w:rPr>
        <w:t xml:space="preserve"> (constitutional culture) </w:t>
      </w:r>
      <w:proofErr w:type="spellStart"/>
      <w:r w:rsidRPr="00660C2F">
        <w:rPr>
          <w:lang w:val="en-US"/>
        </w:rPr>
        <w:t>olarak</w:t>
      </w:r>
      <w:proofErr w:type="spellEnd"/>
      <w:r w:rsidRPr="00660C2F">
        <w:rPr>
          <w:lang w:val="en-US"/>
        </w:rPr>
        <w:t xml:space="preserve"> </w:t>
      </w:r>
      <w:proofErr w:type="spellStart"/>
      <w:r w:rsidRPr="00660C2F">
        <w:rPr>
          <w:lang w:val="en-US"/>
        </w:rPr>
        <w:t>ele</w:t>
      </w:r>
      <w:proofErr w:type="spellEnd"/>
      <w:r w:rsidRPr="00660C2F">
        <w:rPr>
          <w:lang w:val="en-US"/>
        </w:rPr>
        <w:t xml:space="preserve"> </w:t>
      </w:r>
      <w:proofErr w:type="spellStart"/>
      <w:r w:rsidRPr="00660C2F">
        <w:rPr>
          <w:lang w:val="en-US"/>
        </w:rPr>
        <w:t>almayı</w:t>
      </w:r>
      <w:proofErr w:type="spellEnd"/>
      <w:r w:rsidRPr="00660C2F">
        <w:rPr>
          <w:lang w:val="en-US"/>
        </w:rPr>
        <w:t xml:space="preserve"> </w:t>
      </w:r>
      <w:proofErr w:type="spellStart"/>
      <w:r w:rsidRPr="00660C2F">
        <w:rPr>
          <w:lang w:val="en-US"/>
        </w:rPr>
        <w:t>amaçlamaktadır</w:t>
      </w:r>
      <w:proofErr w:type="spellEnd"/>
      <w:r w:rsidRPr="00660C2F">
        <w:rPr>
          <w:lang w:val="en-US"/>
        </w:rPr>
        <w:t>.</w:t>
      </w:r>
    </w:p>
    <w:p w14:paraId="794B8281" w14:textId="77777777" w:rsidR="00660C2F" w:rsidRPr="00660C2F" w:rsidRDefault="00660C2F" w:rsidP="00660C2F">
      <w:pPr>
        <w:rPr>
          <w:lang w:val="en-US"/>
        </w:rPr>
      </w:pPr>
      <w:proofErr w:type="spellStart"/>
      <w:r w:rsidRPr="00660C2F">
        <w:rPr>
          <w:lang w:val="en-US"/>
        </w:rPr>
        <w:t>Makalenin</w:t>
      </w:r>
      <w:proofErr w:type="spellEnd"/>
      <w:r w:rsidRPr="00660C2F">
        <w:rPr>
          <w:lang w:val="en-US"/>
        </w:rPr>
        <w:t xml:space="preserve"> son </w:t>
      </w:r>
      <w:proofErr w:type="spellStart"/>
      <w:r w:rsidRPr="00660C2F">
        <w:rPr>
          <w:lang w:val="en-US"/>
        </w:rPr>
        <w:t>iki</w:t>
      </w:r>
      <w:proofErr w:type="spellEnd"/>
      <w:r w:rsidRPr="00660C2F">
        <w:rPr>
          <w:lang w:val="en-US"/>
        </w:rPr>
        <w:t xml:space="preserve"> </w:t>
      </w:r>
      <w:proofErr w:type="spellStart"/>
      <w:r w:rsidRPr="00660C2F">
        <w:rPr>
          <w:lang w:val="en-US"/>
        </w:rPr>
        <w:t>kısmı</w:t>
      </w:r>
      <w:proofErr w:type="spellEnd"/>
      <w:r w:rsidRPr="00660C2F">
        <w:rPr>
          <w:lang w:val="en-US"/>
        </w:rPr>
        <w:t xml:space="preserve">, </w:t>
      </w:r>
      <w:proofErr w:type="spellStart"/>
      <w:r w:rsidRPr="00660C2F">
        <w:rPr>
          <w:lang w:val="en-US"/>
        </w:rPr>
        <w:t>bilinçli</w:t>
      </w:r>
      <w:proofErr w:type="spellEnd"/>
      <w:r w:rsidRPr="00660C2F">
        <w:rPr>
          <w:lang w:val="en-US"/>
        </w:rPr>
        <w:t xml:space="preserve"> </w:t>
      </w:r>
      <w:proofErr w:type="spellStart"/>
      <w:r w:rsidRPr="00660C2F">
        <w:rPr>
          <w:lang w:val="en-US"/>
        </w:rPr>
        <w:t>olarak</w:t>
      </w:r>
      <w:proofErr w:type="spellEnd"/>
      <w:r w:rsidRPr="00660C2F">
        <w:rPr>
          <w:lang w:val="en-US"/>
        </w:rPr>
        <w:t xml:space="preserve">, </w:t>
      </w:r>
      <w:proofErr w:type="spellStart"/>
      <w:r w:rsidRPr="00660C2F">
        <w:rPr>
          <w:lang w:val="en-US"/>
        </w:rPr>
        <w:t>belirli</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merak</w:t>
      </w:r>
      <w:proofErr w:type="spellEnd"/>
      <w:r w:rsidRPr="00660C2F">
        <w:rPr>
          <w:lang w:val="en-US"/>
        </w:rPr>
        <w:t xml:space="preserve"> </w:t>
      </w:r>
      <w:proofErr w:type="spellStart"/>
      <w:r w:rsidRPr="00660C2F">
        <w:rPr>
          <w:lang w:val="en-US"/>
        </w:rPr>
        <w:t>uyandırmayı</w:t>
      </w:r>
      <w:proofErr w:type="spellEnd"/>
      <w:r w:rsidRPr="00660C2F">
        <w:rPr>
          <w:lang w:val="en-US"/>
        </w:rPr>
        <w:t xml:space="preserve"> </w:t>
      </w:r>
      <w:proofErr w:type="spellStart"/>
      <w:r w:rsidRPr="00660C2F">
        <w:rPr>
          <w:lang w:val="en-US"/>
        </w:rPr>
        <w:t>amaçlamakta</w:t>
      </w:r>
      <w:proofErr w:type="spellEnd"/>
      <w:r w:rsidRPr="00660C2F">
        <w:rPr>
          <w:lang w:val="en-US"/>
        </w:rPr>
        <w:t xml:space="preserve"> </w:t>
      </w:r>
      <w:proofErr w:type="spellStart"/>
      <w:r w:rsidRPr="00660C2F">
        <w:rPr>
          <w:lang w:val="en-US"/>
        </w:rPr>
        <w:t>olup</w:t>
      </w:r>
      <w:proofErr w:type="spellEnd"/>
      <w:r w:rsidRPr="00660C2F">
        <w:rPr>
          <w:lang w:val="en-US"/>
        </w:rPr>
        <w:t xml:space="preserve">, </w:t>
      </w:r>
      <w:proofErr w:type="spellStart"/>
      <w:r w:rsidRPr="00660C2F">
        <w:rPr>
          <w:lang w:val="en-US"/>
        </w:rPr>
        <w:t>benim</w:t>
      </w:r>
      <w:proofErr w:type="spellEnd"/>
      <w:r w:rsidRPr="00660C2F">
        <w:rPr>
          <w:lang w:val="en-US"/>
        </w:rPr>
        <w:t xml:space="preserve"> </w:t>
      </w:r>
      <w:proofErr w:type="spellStart"/>
      <w:r w:rsidRPr="00660C2F">
        <w:rPr>
          <w:lang w:val="en-US"/>
        </w:rPr>
        <w:t>çizdiğim</w:t>
      </w:r>
      <w:proofErr w:type="spellEnd"/>
      <w:r w:rsidRPr="00660C2F">
        <w:rPr>
          <w:lang w:val="en-US"/>
        </w:rPr>
        <w:t xml:space="preserve"> </w:t>
      </w:r>
      <w:proofErr w:type="spellStart"/>
      <w:r w:rsidRPr="00660C2F">
        <w:rPr>
          <w:lang w:val="en-US"/>
        </w:rPr>
        <w:t>yol</w:t>
      </w:r>
      <w:proofErr w:type="spellEnd"/>
      <w:r w:rsidRPr="00660C2F">
        <w:rPr>
          <w:lang w:val="en-US"/>
        </w:rPr>
        <w:t xml:space="preserve"> </w:t>
      </w:r>
      <w:proofErr w:type="spellStart"/>
      <w:r w:rsidRPr="00660C2F">
        <w:rPr>
          <w:lang w:val="en-US"/>
        </w:rPr>
        <w:t>doğrultusunda</w:t>
      </w:r>
      <w:proofErr w:type="spellEnd"/>
      <w:r w:rsidRPr="00660C2F">
        <w:rPr>
          <w:lang w:val="en-US"/>
        </w:rPr>
        <w:t xml:space="preserve"> </w:t>
      </w:r>
      <w:proofErr w:type="spellStart"/>
      <w:r w:rsidRPr="00660C2F">
        <w:rPr>
          <w:lang w:val="en-US"/>
        </w:rPr>
        <w:t>sürdürülen</w:t>
      </w:r>
      <w:proofErr w:type="spellEnd"/>
      <w:r w:rsidRPr="00660C2F">
        <w:rPr>
          <w:lang w:val="en-US"/>
        </w:rPr>
        <w:t xml:space="preserve"> </w:t>
      </w:r>
      <w:proofErr w:type="spellStart"/>
      <w:r w:rsidRPr="00660C2F">
        <w:rPr>
          <w:lang w:val="en-US"/>
        </w:rPr>
        <w:t>akademik</w:t>
      </w:r>
      <w:proofErr w:type="spellEnd"/>
      <w:r w:rsidRPr="00660C2F">
        <w:rPr>
          <w:lang w:val="en-US"/>
        </w:rPr>
        <w:t xml:space="preserve"> </w:t>
      </w:r>
      <w:proofErr w:type="spellStart"/>
      <w:r w:rsidRPr="00660C2F">
        <w:rPr>
          <w:lang w:val="en-US"/>
        </w:rPr>
        <w:t>çalışmaların</w:t>
      </w:r>
      <w:proofErr w:type="spellEnd"/>
      <w:r w:rsidRPr="00660C2F">
        <w:rPr>
          <w:lang w:val="en-US"/>
        </w:rPr>
        <w:t xml:space="preserve"> </w:t>
      </w:r>
      <w:proofErr w:type="spellStart"/>
      <w:r w:rsidRPr="00660C2F">
        <w:rPr>
          <w:lang w:val="en-US"/>
        </w:rPr>
        <w:t>sağlayabileceği</w:t>
      </w:r>
      <w:proofErr w:type="spellEnd"/>
      <w:r w:rsidRPr="00660C2F">
        <w:rPr>
          <w:lang w:val="en-US"/>
        </w:rPr>
        <w:t xml:space="preserve"> </w:t>
      </w:r>
      <w:proofErr w:type="spellStart"/>
      <w:r w:rsidRPr="00660C2F">
        <w:rPr>
          <w:lang w:val="en-US"/>
        </w:rPr>
        <w:t>betimleyici</w:t>
      </w:r>
      <w:proofErr w:type="spellEnd"/>
      <w:r w:rsidRPr="00660C2F">
        <w:rPr>
          <w:lang w:val="en-US"/>
        </w:rPr>
        <w:t xml:space="preserve"> </w:t>
      </w:r>
      <w:proofErr w:type="spellStart"/>
      <w:r w:rsidRPr="00660C2F">
        <w:rPr>
          <w:lang w:val="en-US"/>
        </w:rPr>
        <w:t>açıklık</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analitik</w:t>
      </w:r>
      <w:proofErr w:type="spellEnd"/>
      <w:r w:rsidRPr="00660C2F">
        <w:rPr>
          <w:lang w:val="en-US"/>
        </w:rPr>
        <w:t xml:space="preserve"> </w:t>
      </w:r>
      <w:proofErr w:type="spellStart"/>
      <w:r w:rsidRPr="00660C2F">
        <w:rPr>
          <w:lang w:val="en-US"/>
        </w:rPr>
        <w:t>içgörülere</w:t>
      </w:r>
      <w:proofErr w:type="spellEnd"/>
      <w:r w:rsidRPr="00660C2F">
        <w:rPr>
          <w:lang w:val="en-US"/>
        </w:rPr>
        <w:t xml:space="preserve"> </w:t>
      </w:r>
      <w:proofErr w:type="spellStart"/>
      <w:r w:rsidRPr="00660C2F">
        <w:rPr>
          <w:lang w:val="en-US"/>
        </w:rPr>
        <w:t>dair</w:t>
      </w:r>
      <w:proofErr w:type="spellEnd"/>
      <w:r w:rsidRPr="00660C2F">
        <w:rPr>
          <w:lang w:val="en-US"/>
        </w:rPr>
        <w:t xml:space="preserve"> </w:t>
      </w:r>
      <w:proofErr w:type="spellStart"/>
      <w:r w:rsidRPr="00660C2F">
        <w:rPr>
          <w:lang w:val="en-US"/>
        </w:rPr>
        <w:t>yalnızca</w:t>
      </w:r>
      <w:proofErr w:type="spellEnd"/>
      <w:r w:rsidRPr="00660C2F">
        <w:rPr>
          <w:lang w:val="en-US"/>
        </w:rPr>
        <w:t xml:space="preserve"> </w:t>
      </w:r>
      <w:proofErr w:type="spellStart"/>
      <w:r w:rsidRPr="00660C2F">
        <w:rPr>
          <w:lang w:val="en-US"/>
        </w:rPr>
        <w:t>kısa</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bakış</w:t>
      </w:r>
      <w:proofErr w:type="spellEnd"/>
      <w:r w:rsidRPr="00660C2F">
        <w:rPr>
          <w:lang w:val="en-US"/>
        </w:rPr>
        <w:t xml:space="preserve"> </w:t>
      </w:r>
      <w:proofErr w:type="spellStart"/>
      <w:r w:rsidRPr="00660C2F">
        <w:rPr>
          <w:lang w:val="en-US"/>
        </w:rPr>
        <w:t>sunmaktadır</w:t>
      </w:r>
      <w:proofErr w:type="spellEnd"/>
      <w:r w:rsidRPr="00660C2F">
        <w:rPr>
          <w:lang w:val="en-US"/>
        </w:rPr>
        <w:t xml:space="preserve">. </w:t>
      </w:r>
      <w:proofErr w:type="spellStart"/>
      <w:r w:rsidRPr="00660C2F">
        <w:rPr>
          <w:lang w:val="en-US"/>
        </w:rPr>
        <w:t>Anayasal</w:t>
      </w:r>
      <w:proofErr w:type="spellEnd"/>
      <w:r w:rsidRPr="00660C2F">
        <w:rPr>
          <w:lang w:val="en-US"/>
        </w:rPr>
        <w:t xml:space="preserve"> </w:t>
      </w:r>
      <w:proofErr w:type="spellStart"/>
      <w:r w:rsidRPr="00660C2F">
        <w:rPr>
          <w:lang w:val="en-US"/>
        </w:rPr>
        <w:t>kültürümüzün</w:t>
      </w:r>
      <w:proofErr w:type="spellEnd"/>
      <w:r w:rsidRPr="00660C2F">
        <w:rPr>
          <w:lang w:val="en-US"/>
        </w:rPr>
        <w:t xml:space="preserve"> </w:t>
      </w:r>
      <w:proofErr w:type="spellStart"/>
      <w:r w:rsidRPr="00660C2F">
        <w:rPr>
          <w:lang w:val="en-US"/>
        </w:rPr>
        <w:t>zenginliğini</w:t>
      </w:r>
      <w:proofErr w:type="spellEnd"/>
      <w:r w:rsidRPr="00660C2F">
        <w:rPr>
          <w:lang w:val="en-US"/>
        </w:rPr>
        <w:t xml:space="preserve"> </w:t>
      </w:r>
      <w:proofErr w:type="spellStart"/>
      <w:r w:rsidRPr="00660C2F">
        <w:rPr>
          <w:lang w:val="en-US"/>
        </w:rPr>
        <w:t>bu</w:t>
      </w:r>
      <w:proofErr w:type="spellEnd"/>
      <w:r w:rsidRPr="00660C2F">
        <w:rPr>
          <w:lang w:val="en-US"/>
        </w:rPr>
        <w:t xml:space="preserve"> </w:t>
      </w:r>
      <w:proofErr w:type="spellStart"/>
      <w:r w:rsidRPr="00660C2F">
        <w:rPr>
          <w:lang w:val="en-US"/>
        </w:rPr>
        <w:t>perspektiften</w:t>
      </w:r>
      <w:proofErr w:type="spellEnd"/>
      <w:r w:rsidRPr="00660C2F">
        <w:rPr>
          <w:lang w:val="en-US"/>
        </w:rPr>
        <w:t xml:space="preserve"> </w:t>
      </w:r>
      <w:proofErr w:type="spellStart"/>
      <w:r w:rsidRPr="00660C2F">
        <w:rPr>
          <w:lang w:val="en-US"/>
        </w:rPr>
        <w:t>inceleyen</w:t>
      </w:r>
      <w:proofErr w:type="spellEnd"/>
      <w:r w:rsidRPr="00660C2F">
        <w:rPr>
          <w:lang w:val="en-US"/>
        </w:rPr>
        <w:t xml:space="preserve"> </w:t>
      </w:r>
      <w:proofErr w:type="spellStart"/>
      <w:r w:rsidRPr="00660C2F">
        <w:rPr>
          <w:lang w:val="en-US"/>
        </w:rPr>
        <w:t>herkesin</w:t>
      </w:r>
      <w:proofErr w:type="spellEnd"/>
      <w:r w:rsidRPr="00660C2F">
        <w:rPr>
          <w:lang w:val="en-US"/>
        </w:rPr>
        <w:t xml:space="preserve">, </w:t>
      </w:r>
      <w:proofErr w:type="spellStart"/>
      <w:r w:rsidRPr="00660C2F">
        <w:rPr>
          <w:lang w:val="en-US"/>
        </w:rPr>
        <w:t>onun</w:t>
      </w:r>
      <w:proofErr w:type="spellEnd"/>
      <w:r w:rsidRPr="00660C2F">
        <w:rPr>
          <w:lang w:val="en-US"/>
        </w:rPr>
        <w:t xml:space="preserve"> </w:t>
      </w:r>
      <w:proofErr w:type="spellStart"/>
      <w:r w:rsidRPr="00660C2F">
        <w:rPr>
          <w:lang w:val="en-US"/>
        </w:rPr>
        <w:t>özelliklerine</w:t>
      </w:r>
      <w:proofErr w:type="spellEnd"/>
      <w:r w:rsidRPr="00660C2F">
        <w:rPr>
          <w:lang w:val="en-US"/>
        </w:rPr>
        <w:t xml:space="preserve"> </w:t>
      </w:r>
      <w:proofErr w:type="spellStart"/>
      <w:r w:rsidRPr="00660C2F">
        <w:rPr>
          <w:lang w:val="en-US"/>
        </w:rPr>
        <w:t>dair</w:t>
      </w:r>
      <w:proofErr w:type="spellEnd"/>
      <w:r w:rsidRPr="00660C2F">
        <w:rPr>
          <w:lang w:val="en-US"/>
        </w:rPr>
        <w:t xml:space="preserve"> </w:t>
      </w:r>
      <w:proofErr w:type="spellStart"/>
      <w:r w:rsidRPr="00660C2F">
        <w:rPr>
          <w:lang w:val="en-US"/>
        </w:rPr>
        <w:t>betimlemelerime</w:t>
      </w:r>
      <w:proofErr w:type="spellEnd"/>
      <w:r w:rsidRPr="00660C2F">
        <w:rPr>
          <w:lang w:val="en-US"/>
        </w:rPr>
        <w:t xml:space="preserve"> </w:t>
      </w:r>
      <w:proofErr w:type="spellStart"/>
      <w:r w:rsidRPr="00660C2F">
        <w:rPr>
          <w:lang w:val="en-US"/>
        </w:rPr>
        <w:t>ya</w:t>
      </w:r>
      <w:proofErr w:type="spellEnd"/>
      <w:r w:rsidRPr="00660C2F">
        <w:rPr>
          <w:lang w:val="en-US"/>
        </w:rPr>
        <w:t xml:space="preserve"> da </w:t>
      </w:r>
      <w:proofErr w:type="spellStart"/>
      <w:r w:rsidRPr="00660C2F">
        <w:rPr>
          <w:lang w:val="en-US"/>
        </w:rPr>
        <w:t>çıkardığım</w:t>
      </w:r>
      <w:proofErr w:type="spellEnd"/>
      <w:r w:rsidRPr="00660C2F">
        <w:rPr>
          <w:lang w:val="en-US"/>
        </w:rPr>
        <w:t xml:space="preserve"> </w:t>
      </w:r>
      <w:proofErr w:type="spellStart"/>
      <w:r w:rsidRPr="00660C2F">
        <w:rPr>
          <w:lang w:val="en-US"/>
        </w:rPr>
        <w:t>sonuçlara</w:t>
      </w:r>
      <w:proofErr w:type="spellEnd"/>
      <w:r w:rsidRPr="00660C2F">
        <w:rPr>
          <w:lang w:val="en-US"/>
        </w:rPr>
        <w:t xml:space="preserve"> </w:t>
      </w:r>
      <w:proofErr w:type="spellStart"/>
      <w:r w:rsidRPr="00660C2F">
        <w:rPr>
          <w:lang w:val="en-US"/>
        </w:rPr>
        <w:t>katılacağına</w:t>
      </w:r>
      <w:proofErr w:type="spellEnd"/>
      <w:r w:rsidRPr="00660C2F">
        <w:rPr>
          <w:lang w:val="en-US"/>
        </w:rPr>
        <w:t xml:space="preserve"> </w:t>
      </w:r>
      <w:proofErr w:type="spellStart"/>
      <w:r w:rsidRPr="00660C2F">
        <w:rPr>
          <w:lang w:val="en-US"/>
        </w:rPr>
        <w:t>dair</w:t>
      </w:r>
      <w:proofErr w:type="spellEnd"/>
      <w:r w:rsidRPr="00660C2F">
        <w:rPr>
          <w:lang w:val="en-US"/>
        </w:rPr>
        <w:t xml:space="preserve"> </w:t>
      </w:r>
      <w:proofErr w:type="spellStart"/>
      <w:r w:rsidRPr="00660C2F">
        <w:rPr>
          <w:lang w:val="en-US"/>
        </w:rPr>
        <w:t>hiçbir</w:t>
      </w:r>
      <w:proofErr w:type="spellEnd"/>
      <w:r w:rsidRPr="00660C2F">
        <w:rPr>
          <w:lang w:val="en-US"/>
        </w:rPr>
        <w:t xml:space="preserve"> </w:t>
      </w:r>
      <w:proofErr w:type="spellStart"/>
      <w:r w:rsidRPr="00660C2F">
        <w:rPr>
          <w:lang w:val="en-US"/>
        </w:rPr>
        <w:t>yanılsama</w:t>
      </w:r>
      <w:proofErr w:type="spellEnd"/>
      <w:r w:rsidRPr="00660C2F">
        <w:rPr>
          <w:lang w:val="en-US"/>
        </w:rPr>
        <w:t xml:space="preserve"> </w:t>
      </w:r>
      <w:proofErr w:type="spellStart"/>
      <w:r w:rsidRPr="00660C2F">
        <w:rPr>
          <w:lang w:val="en-US"/>
        </w:rPr>
        <w:t>içinde</w:t>
      </w:r>
      <w:proofErr w:type="spellEnd"/>
      <w:r w:rsidRPr="00660C2F">
        <w:rPr>
          <w:lang w:val="en-US"/>
        </w:rPr>
        <w:t xml:space="preserve"> </w:t>
      </w:r>
      <w:proofErr w:type="spellStart"/>
      <w:r w:rsidRPr="00660C2F">
        <w:rPr>
          <w:lang w:val="en-US"/>
        </w:rPr>
        <w:t>değilim</w:t>
      </w:r>
      <w:proofErr w:type="spellEnd"/>
      <w:r w:rsidRPr="00660C2F">
        <w:rPr>
          <w:lang w:val="en-US"/>
        </w:rPr>
        <w:t xml:space="preserve">. </w:t>
      </w:r>
      <w:proofErr w:type="spellStart"/>
      <w:r w:rsidRPr="00660C2F">
        <w:rPr>
          <w:lang w:val="en-US"/>
        </w:rPr>
        <w:t>Nitekim</w:t>
      </w:r>
      <w:proofErr w:type="spellEnd"/>
      <w:r w:rsidRPr="00660C2F">
        <w:rPr>
          <w:lang w:val="en-US"/>
        </w:rPr>
        <w:t xml:space="preserve">, </w:t>
      </w:r>
      <w:proofErr w:type="spellStart"/>
      <w:r w:rsidRPr="00660C2F">
        <w:rPr>
          <w:lang w:val="en-US"/>
        </w:rPr>
        <w:t>kendi</w:t>
      </w:r>
      <w:proofErr w:type="spellEnd"/>
      <w:r w:rsidRPr="00660C2F">
        <w:rPr>
          <w:lang w:val="en-US"/>
        </w:rPr>
        <w:t xml:space="preserve"> </w:t>
      </w:r>
      <w:proofErr w:type="spellStart"/>
      <w:r w:rsidRPr="00660C2F">
        <w:rPr>
          <w:lang w:val="en-US"/>
        </w:rPr>
        <w:t>çalışmam</w:t>
      </w:r>
      <w:proofErr w:type="spellEnd"/>
      <w:r w:rsidRPr="00660C2F">
        <w:rPr>
          <w:lang w:val="en-US"/>
        </w:rPr>
        <w:t xml:space="preserve"> </w:t>
      </w:r>
      <w:proofErr w:type="spellStart"/>
      <w:r w:rsidRPr="00660C2F">
        <w:rPr>
          <w:lang w:val="en-US"/>
        </w:rPr>
        <w:t>açısından</w:t>
      </w:r>
      <w:proofErr w:type="spellEnd"/>
      <w:r w:rsidRPr="00660C2F">
        <w:rPr>
          <w:lang w:val="en-US"/>
        </w:rPr>
        <w:t xml:space="preserve"> </w:t>
      </w:r>
      <w:proofErr w:type="spellStart"/>
      <w:r w:rsidRPr="00660C2F">
        <w:rPr>
          <w:lang w:val="en-US"/>
        </w:rPr>
        <w:t>dahi</w:t>
      </w:r>
      <w:proofErr w:type="spellEnd"/>
      <w:r w:rsidRPr="00660C2F">
        <w:rPr>
          <w:lang w:val="en-US"/>
        </w:rPr>
        <w:t xml:space="preserve">, </w:t>
      </w:r>
      <w:proofErr w:type="spellStart"/>
      <w:r w:rsidRPr="00660C2F">
        <w:rPr>
          <w:lang w:val="en-US"/>
        </w:rPr>
        <w:t>bu</w:t>
      </w:r>
      <w:proofErr w:type="spellEnd"/>
      <w:r w:rsidRPr="00660C2F">
        <w:rPr>
          <w:lang w:val="en-US"/>
        </w:rPr>
        <w:t xml:space="preserve"> </w:t>
      </w:r>
      <w:proofErr w:type="spellStart"/>
      <w:r w:rsidRPr="00660C2F">
        <w:rPr>
          <w:lang w:val="en-US"/>
        </w:rPr>
        <w:t>nitelendirmeler</w:t>
      </w:r>
      <w:proofErr w:type="spellEnd"/>
      <w:r w:rsidRPr="00660C2F">
        <w:rPr>
          <w:lang w:val="en-US"/>
        </w:rPr>
        <w:t xml:space="preserve"> </w:t>
      </w:r>
      <w:proofErr w:type="spellStart"/>
      <w:r w:rsidRPr="00660C2F">
        <w:rPr>
          <w:lang w:val="en-US"/>
        </w:rPr>
        <w:t>ve</w:t>
      </w:r>
      <w:proofErr w:type="spellEnd"/>
      <w:r w:rsidRPr="00660C2F">
        <w:rPr>
          <w:lang w:val="en-US"/>
        </w:rPr>
        <w:t xml:space="preserve"> </w:t>
      </w:r>
      <w:proofErr w:type="spellStart"/>
      <w:r w:rsidRPr="00660C2F">
        <w:rPr>
          <w:lang w:val="en-US"/>
        </w:rPr>
        <w:t>gözlemler</w:t>
      </w:r>
      <w:proofErr w:type="spellEnd"/>
      <w:r w:rsidRPr="00660C2F">
        <w:rPr>
          <w:lang w:val="en-US"/>
        </w:rPr>
        <w:t xml:space="preserve"> </w:t>
      </w:r>
      <w:proofErr w:type="spellStart"/>
      <w:r w:rsidRPr="00660C2F">
        <w:rPr>
          <w:lang w:val="en-US"/>
        </w:rPr>
        <w:t>geçici</w:t>
      </w:r>
      <w:proofErr w:type="spellEnd"/>
      <w:r w:rsidRPr="00660C2F">
        <w:rPr>
          <w:lang w:val="en-US"/>
        </w:rPr>
        <w:t xml:space="preserve"> (contingent) </w:t>
      </w:r>
      <w:proofErr w:type="spellStart"/>
      <w:r w:rsidRPr="00660C2F">
        <w:rPr>
          <w:lang w:val="en-US"/>
        </w:rPr>
        <w:t>olup</w:t>
      </w:r>
      <w:proofErr w:type="spellEnd"/>
      <w:r w:rsidRPr="00660C2F">
        <w:rPr>
          <w:lang w:val="en-US"/>
        </w:rPr>
        <w:t xml:space="preserve">, </w:t>
      </w:r>
      <w:proofErr w:type="spellStart"/>
      <w:r w:rsidRPr="00660C2F">
        <w:rPr>
          <w:lang w:val="en-US"/>
        </w:rPr>
        <w:t>bu</w:t>
      </w:r>
      <w:proofErr w:type="spellEnd"/>
      <w:r w:rsidRPr="00660C2F">
        <w:rPr>
          <w:lang w:val="en-US"/>
        </w:rPr>
        <w:t xml:space="preserve"> </w:t>
      </w:r>
      <w:proofErr w:type="spellStart"/>
      <w:r w:rsidRPr="00660C2F">
        <w:rPr>
          <w:lang w:val="en-US"/>
        </w:rPr>
        <w:t>makalede</w:t>
      </w:r>
      <w:proofErr w:type="spellEnd"/>
      <w:r w:rsidRPr="00660C2F">
        <w:rPr>
          <w:lang w:val="en-US"/>
        </w:rPr>
        <w:t xml:space="preserve"> ana </w:t>
      </w:r>
      <w:proofErr w:type="spellStart"/>
      <w:r w:rsidRPr="00660C2F">
        <w:rPr>
          <w:lang w:val="en-US"/>
        </w:rPr>
        <w:t>hatlarıyla</w:t>
      </w:r>
      <w:proofErr w:type="spellEnd"/>
      <w:r w:rsidRPr="00660C2F">
        <w:rPr>
          <w:lang w:val="en-US"/>
        </w:rPr>
        <w:t xml:space="preserve"> </w:t>
      </w:r>
      <w:proofErr w:type="spellStart"/>
      <w:r w:rsidRPr="00660C2F">
        <w:rPr>
          <w:lang w:val="en-US"/>
        </w:rPr>
        <w:t>sunduğum</w:t>
      </w:r>
      <w:proofErr w:type="spellEnd"/>
      <w:r w:rsidRPr="00660C2F">
        <w:rPr>
          <w:lang w:val="en-US"/>
        </w:rPr>
        <w:t xml:space="preserve"> </w:t>
      </w:r>
      <w:proofErr w:type="spellStart"/>
      <w:r w:rsidRPr="00660C2F">
        <w:rPr>
          <w:lang w:val="en-US"/>
        </w:rPr>
        <w:t>entelektüel</w:t>
      </w:r>
      <w:proofErr w:type="spellEnd"/>
      <w:r w:rsidRPr="00660C2F">
        <w:rPr>
          <w:lang w:val="en-US"/>
        </w:rPr>
        <w:t xml:space="preserve"> </w:t>
      </w:r>
      <w:proofErr w:type="spellStart"/>
      <w:r w:rsidRPr="00660C2F">
        <w:rPr>
          <w:lang w:val="en-US"/>
        </w:rPr>
        <w:t>gündemi</w:t>
      </w:r>
      <w:proofErr w:type="spellEnd"/>
      <w:r w:rsidRPr="00660C2F">
        <w:rPr>
          <w:lang w:val="en-US"/>
        </w:rPr>
        <w:t xml:space="preserve"> </w:t>
      </w:r>
      <w:proofErr w:type="spellStart"/>
      <w:r w:rsidRPr="00660C2F">
        <w:rPr>
          <w:lang w:val="en-US"/>
        </w:rPr>
        <w:t>ilerlettikçe</w:t>
      </w:r>
      <w:proofErr w:type="spellEnd"/>
      <w:r w:rsidRPr="00660C2F">
        <w:rPr>
          <w:lang w:val="en-US"/>
        </w:rPr>
        <w:t xml:space="preserve"> </w:t>
      </w:r>
      <w:proofErr w:type="spellStart"/>
      <w:r w:rsidRPr="00660C2F">
        <w:rPr>
          <w:lang w:val="en-US"/>
        </w:rPr>
        <w:t>önemli</w:t>
      </w:r>
      <w:proofErr w:type="spellEnd"/>
      <w:r w:rsidRPr="00660C2F">
        <w:rPr>
          <w:lang w:val="en-US"/>
        </w:rPr>
        <w:t xml:space="preserve"> </w:t>
      </w:r>
      <w:proofErr w:type="spellStart"/>
      <w:r w:rsidRPr="00660C2F">
        <w:rPr>
          <w:lang w:val="en-US"/>
        </w:rPr>
        <w:t>değişikliklere</w:t>
      </w:r>
      <w:proofErr w:type="spellEnd"/>
      <w:r w:rsidRPr="00660C2F">
        <w:rPr>
          <w:lang w:val="en-US"/>
        </w:rPr>
        <w:t xml:space="preserve"> </w:t>
      </w:r>
      <w:proofErr w:type="spellStart"/>
      <w:r w:rsidRPr="00660C2F">
        <w:rPr>
          <w:lang w:val="en-US"/>
        </w:rPr>
        <w:t>uğramaya</w:t>
      </w:r>
      <w:proofErr w:type="spellEnd"/>
      <w:r w:rsidRPr="00660C2F">
        <w:rPr>
          <w:lang w:val="en-US"/>
        </w:rPr>
        <w:t xml:space="preserve"> </w:t>
      </w:r>
      <w:proofErr w:type="spellStart"/>
      <w:r w:rsidRPr="00660C2F">
        <w:rPr>
          <w:lang w:val="en-US"/>
        </w:rPr>
        <w:t>açıktır</w:t>
      </w:r>
      <w:proofErr w:type="spellEnd"/>
      <w:r w:rsidRPr="00660C2F">
        <w:rPr>
          <w:lang w:val="en-US"/>
        </w:rPr>
        <w:t xml:space="preserve">. Bu da </w:t>
      </w:r>
      <w:proofErr w:type="spellStart"/>
      <w:r w:rsidRPr="00660C2F">
        <w:rPr>
          <w:lang w:val="en-US"/>
        </w:rPr>
        <w:t>yine</w:t>
      </w:r>
      <w:proofErr w:type="spellEnd"/>
      <w:r w:rsidRPr="00660C2F">
        <w:rPr>
          <w:lang w:val="en-US"/>
        </w:rPr>
        <w:t xml:space="preserve"> </w:t>
      </w:r>
      <w:proofErr w:type="spellStart"/>
      <w:r w:rsidRPr="00660C2F">
        <w:rPr>
          <w:lang w:val="en-US"/>
        </w:rPr>
        <w:t>bilinçli</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tercihtir</w:t>
      </w:r>
      <w:proofErr w:type="spellEnd"/>
      <w:r w:rsidRPr="00660C2F">
        <w:rPr>
          <w:lang w:val="en-US"/>
        </w:rPr>
        <w:t xml:space="preserve">. Bu </w:t>
      </w:r>
      <w:proofErr w:type="spellStart"/>
      <w:r w:rsidRPr="00660C2F">
        <w:rPr>
          <w:lang w:val="en-US"/>
        </w:rPr>
        <w:t>makale</w:t>
      </w:r>
      <w:proofErr w:type="spellEnd"/>
      <w:r w:rsidRPr="00660C2F">
        <w:rPr>
          <w:lang w:val="en-US"/>
        </w:rPr>
        <w:t xml:space="preserve">, </w:t>
      </w:r>
      <w:proofErr w:type="spellStart"/>
      <w:r w:rsidRPr="00660C2F">
        <w:rPr>
          <w:lang w:val="en-US"/>
        </w:rPr>
        <w:t>basit</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eleştiriden</w:t>
      </w:r>
      <w:proofErr w:type="spellEnd"/>
      <w:r w:rsidRPr="00660C2F">
        <w:rPr>
          <w:lang w:val="en-US"/>
        </w:rPr>
        <w:t xml:space="preserve"> </w:t>
      </w:r>
      <w:proofErr w:type="spellStart"/>
      <w:r w:rsidRPr="00660C2F">
        <w:rPr>
          <w:lang w:val="en-US"/>
        </w:rPr>
        <w:t>hareket</w:t>
      </w:r>
      <w:proofErr w:type="spellEnd"/>
      <w:r w:rsidRPr="00660C2F">
        <w:rPr>
          <w:lang w:val="en-US"/>
        </w:rPr>
        <w:t xml:space="preserve"> </w:t>
      </w:r>
      <w:proofErr w:type="spellStart"/>
      <w:r w:rsidRPr="00660C2F">
        <w:rPr>
          <w:lang w:val="en-US"/>
        </w:rPr>
        <w:t>etmektedir</w:t>
      </w:r>
      <w:proofErr w:type="spellEnd"/>
      <w:r w:rsidRPr="00660C2F">
        <w:rPr>
          <w:lang w:val="en-US"/>
        </w:rPr>
        <w:t xml:space="preserve">; </w:t>
      </w:r>
      <w:proofErr w:type="spellStart"/>
      <w:r w:rsidRPr="00660C2F">
        <w:rPr>
          <w:lang w:val="en-US"/>
        </w:rPr>
        <w:t>ancak</w:t>
      </w:r>
      <w:proofErr w:type="spellEnd"/>
      <w:r w:rsidRPr="00660C2F">
        <w:rPr>
          <w:lang w:val="en-US"/>
        </w:rPr>
        <w:t xml:space="preserve"> </w:t>
      </w:r>
      <w:proofErr w:type="spellStart"/>
      <w:r w:rsidRPr="00660C2F">
        <w:rPr>
          <w:lang w:val="en-US"/>
        </w:rPr>
        <w:t>birçok</w:t>
      </w:r>
      <w:proofErr w:type="spellEnd"/>
      <w:r w:rsidRPr="00660C2F">
        <w:rPr>
          <w:lang w:val="en-US"/>
        </w:rPr>
        <w:t xml:space="preserve"> </w:t>
      </w:r>
      <w:proofErr w:type="spellStart"/>
      <w:r w:rsidRPr="00660C2F">
        <w:rPr>
          <w:lang w:val="en-US"/>
        </w:rPr>
        <w:t>eleştiride</w:t>
      </w:r>
      <w:proofErr w:type="spellEnd"/>
      <w:r w:rsidRPr="00660C2F">
        <w:rPr>
          <w:lang w:val="en-US"/>
        </w:rPr>
        <w:t xml:space="preserve"> </w:t>
      </w:r>
      <w:proofErr w:type="spellStart"/>
      <w:r w:rsidRPr="00660C2F">
        <w:rPr>
          <w:lang w:val="en-US"/>
        </w:rPr>
        <w:t>olduğu</w:t>
      </w:r>
      <w:proofErr w:type="spellEnd"/>
      <w:r w:rsidRPr="00660C2F">
        <w:rPr>
          <w:lang w:val="en-US"/>
        </w:rPr>
        <w:t xml:space="preserve"> </w:t>
      </w:r>
      <w:proofErr w:type="spellStart"/>
      <w:r w:rsidRPr="00660C2F">
        <w:rPr>
          <w:lang w:val="en-US"/>
        </w:rPr>
        <w:t>gibi</w:t>
      </w:r>
      <w:proofErr w:type="spellEnd"/>
      <w:r w:rsidRPr="00660C2F">
        <w:rPr>
          <w:lang w:val="en-US"/>
        </w:rPr>
        <w:t xml:space="preserve">, </w:t>
      </w:r>
      <w:proofErr w:type="spellStart"/>
      <w:r w:rsidRPr="00660C2F">
        <w:rPr>
          <w:lang w:val="en-US"/>
        </w:rPr>
        <w:t>bu</w:t>
      </w:r>
      <w:proofErr w:type="spellEnd"/>
      <w:r w:rsidRPr="00660C2F">
        <w:rPr>
          <w:lang w:val="en-US"/>
        </w:rPr>
        <w:t xml:space="preserve"> </w:t>
      </w:r>
      <w:proofErr w:type="spellStart"/>
      <w:r w:rsidRPr="00660C2F">
        <w:rPr>
          <w:lang w:val="en-US"/>
        </w:rPr>
        <w:t>eleştiri</w:t>
      </w:r>
      <w:proofErr w:type="spellEnd"/>
      <w:r w:rsidRPr="00660C2F">
        <w:rPr>
          <w:lang w:val="en-US"/>
        </w:rPr>
        <w:t xml:space="preserve"> </w:t>
      </w:r>
      <w:proofErr w:type="spellStart"/>
      <w:r w:rsidRPr="00660C2F">
        <w:rPr>
          <w:lang w:val="en-US"/>
        </w:rPr>
        <w:t>basit</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çözüme</w:t>
      </w:r>
      <w:proofErr w:type="spellEnd"/>
      <w:r w:rsidRPr="00660C2F">
        <w:rPr>
          <w:lang w:val="en-US"/>
        </w:rPr>
        <w:t xml:space="preserve"> </w:t>
      </w:r>
      <w:proofErr w:type="spellStart"/>
      <w:r w:rsidRPr="00660C2F">
        <w:rPr>
          <w:lang w:val="en-US"/>
        </w:rPr>
        <w:t>değil</w:t>
      </w:r>
      <w:proofErr w:type="spellEnd"/>
      <w:r w:rsidRPr="00660C2F">
        <w:rPr>
          <w:lang w:val="en-US"/>
        </w:rPr>
        <w:t xml:space="preserve">, </w:t>
      </w:r>
      <w:proofErr w:type="spellStart"/>
      <w:r w:rsidRPr="00660C2F">
        <w:rPr>
          <w:lang w:val="en-US"/>
        </w:rPr>
        <w:t>aksine</w:t>
      </w:r>
      <w:proofErr w:type="spellEnd"/>
      <w:r w:rsidRPr="00660C2F">
        <w:rPr>
          <w:lang w:val="en-US"/>
        </w:rPr>
        <w:t xml:space="preserve"> </w:t>
      </w:r>
      <w:proofErr w:type="spellStart"/>
      <w:r w:rsidRPr="00660C2F">
        <w:rPr>
          <w:lang w:val="en-US"/>
        </w:rPr>
        <w:t>önemli</w:t>
      </w:r>
      <w:proofErr w:type="spellEnd"/>
      <w:r w:rsidRPr="00660C2F">
        <w:rPr>
          <w:lang w:val="en-US"/>
        </w:rPr>
        <w:t xml:space="preserve"> </w:t>
      </w:r>
      <w:proofErr w:type="spellStart"/>
      <w:r w:rsidRPr="00660C2F">
        <w:rPr>
          <w:lang w:val="en-US"/>
        </w:rPr>
        <w:t>bir</w:t>
      </w:r>
      <w:proofErr w:type="spellEnd"/>
      <w:r w:rsidRPr="00660C2F">
        <w:rPr>
          <w:lang w:val="en-US"/>
        </w:rPr>
        <w:t xml:space="preserve"> </w:t>
      </w:r>
      <w:proofErr w:type="spellStart"/>
      <w:r w:rsidRPr="00660C2F">
        <w:rPr>
          <w:lang w:val="en-US"/>
        </w:rPr>
        <w:t>entelektüel</w:t>
      </w:r>
      <w:proofErr w:type="spellEnd"/>
      <w:r w:rsidRPr="00660C2F">
        <w:rPr>
          <w:lang w:val="en-US"/>
        </w:rPr>
        <w:t xml:space="preserve"> </w:t>
      </w:r>
      <w:proofErr w:type="spellStart"/>
      <w:r w:rsidRPr="00660C2F">
        <w:rPr>
          <w:lang w:val="en-US"/>
        </w:rPr>
        <w:t>çabaya</w:t>
      </w:r>
      <w:proofErr w:type="spellEnd"/>
      <w:r w:rsidRPr="00660C2F">
        <w:rPr>
          <w:lang w:val="en-US"/>
        </w:rPr>
        <w:t xml:space="preserve"> </w:t>
      </w:r>
      <w:proofErr w:type="spellStart"/>
      <w:r w:rsidRPr="00660C2F">
        <w:rPr>
          <w:lang w:val="en-US"/>
        </w:rPr>
        <w:t>kapı</w:t>
      </w:r>
      <w:proofErr w:type="spellEnd"/>
      <w:r w:rsidRPr="00660C2F">
        <w:rPr>
          <w:lang w:val="en-US"/>
        </w:rPr>
        <w:t xml:space="preserve"> </w:t>
      </w:r>
      <w:proofErr w:type="spellStart"/>
      <w:r w:rsidRPr="00660C2F">
        <w:rPr>
          <w:lang w:val="en-US"/>
        </w:rPr>
        <w:t>aralamaktadır</w:t>
      </w:r>
      <w:proofErr w:type="spellEnd"/>
      <w:r w:rsidRPr="00660C2F">
        <w:rPr>
          <w:lang w:val="en-US"/>
        </w:rPr>
        <w:t>.</w:t>
      </w:r>
    </w:p>
    <w:p w14:paraId="5D43E0FC" w14:textId="77777777" w:rsidR="00660C2F" w:rsidRPr="00660C2F" w:rsidRDefault="00660C2F" w:rsidP="00660C2F">
      <w:pPr>
        <w:rPr>
          <w:lang w:val="en-US"/>
        </w:rPr>
      </w:pPr>
    </w:p>
    <w:p w14:paraId="47BAFB5D" w14:textId="77777777" w:rsidR="00660C2F" w:rsidRPr="00660C2F" w:rsidRDefault="00660C2F" w:rsidP="00660C2F">
      <w:pPr>
        <w:rPr>
          <w:lang w:val="es-ES"/>
        </w:rPr>
      </w:pPr>
    </w:p>
    <w:p w14:paraId="2C639D8D" w14:textId="77777777" w:rsidR="000F0D4A" w:rsidRPr="000F0D4A" w:rsidRDefault="000F0D4A" w:rsidP="000F0D4A">
      <w:pPr>
        <w:pStyle w:val="Heading2"/>
        <w:numPr>
          <w:ilvl w:val="0"/>
          <w:numId w:val="0"/>
        </w:numPr>
        <w:ind w:left="360"/>
      </w:pPr>
    </w:p>
    <w:p w14:paraId="7D94A86F" w14:textId="77777777" w:rsidR="000F0D4A" w:rsidRPr="000F0D4A" w:rsidRDefault="000F0D4A" w:rsidP="000F0D4A">
      <w:pPr>
        <w:rPr>
          <w:lang w:val="en-US"/>
        </w:rPr>
      </w:pPr>
    </w:p>
    <w:p w14:paraId="4156B6CB" w14:textId="77777777" w:rsidR="000F0D4A" w:rsidRPr="000F0D4A" w:rsidRDefault="000F0D4A" w:rsidP="000F0D4A">
      <w:pPr>
        <w:pStyle w:val="ListParagraph"/>
        <w:ind w:left="927" w:firstLine="0"/>
        <w:rPr>
          <w:lang w:val="en-US"/>
        </w:rPr>
      </w:pPr>
    </w:p>
    <w:p w14:paraId="4EB35AB1" w14:textId="77777777" w:rsidR="000F0D4A" w:rsidRPr="00793CAD" w:rsidRDefault="000F0D4A" w:rsidP="00793CAD">
      <w:pPr>
        <w:rPr>
          <w:lang w:val="en-US"/>
        </w:rPr>
      </w:pPr>
    </w:p>
    <w:p w14:paraId="02E444D4" w14:textId="77777777" w:rsidR="00793CAD" w:rsidRPr="00793CAD" w:rsidRDefault="00793CAD" w:rsidP="00793CAD">
      <w:pPr>
        <w:rPr>
          <w:lang w:val="en-US"/>
        </w:rPr>
      </w:pPr>
    </w:p>
    <w:p w14:paraId="5BBAE064" w14:textId="77777777" w:rsidR="00793CAD" w:rsidRPr="00793CAD" w:rsidRDefault="00793CAD" w:rsidP="00793CAD">
      <w:pPr>
        <w:rPr>
          <w:lang w:val="en-US"/>
        </w:rPr>
      </w:pPr>
    </w:p>
    <w:p w14:paraId="7A1D4242" w14:textId="77777777" w:rsidR="00793CAD" w:rsidRPr="00793CAD" w:rsidRDefault="00793CAD" w:rsidP="00793CAD">
      <w:pPr>
        <w:rPr>
          <w:lang w:val="en-US"/>
        </w:rPr>
      </w:pPr>
    </w:p>
    <w:p w14:paraId="2E944F2A" w14:textId="77777777" w:rsidR="00793CAD" w:rsidRPr="00793CAD" w:rsidRDefault="00793CAD" w:rsidP="00793CAD">
      <w:pPr>
        <w:rPr>
          <w:lang w:val="en-US"/>
        </w:rPr>
      </w:pPr>
    </w:p>
    <w:p w14:paraId="56A23AF2" w14:textId="77777777" w:rsidR="00793CAD" w:rsidRPr="00C36DC7" w:rsidRDefault="00793CAD" w:rsidP="00C36DC7">
      <w:pPr>
        <w:rPr>
          <w:lang w:val="en-US"/>
        </w:rPr>
      </w:pPr>
    </w:p>
    <w:p w14:paraId="0B3849F7" w14:textId="77777777" w:rsidR="00C36DC7" w:rsidRPr="00C36DC7" w:rsidRDefault="00C36DC7" w:rsidP="00C36DC7">
      <w:pPr>
        <w:rPr>
          <w:lang w:val="en-US"/>
        </w:rPr>
      </w:pPr>
    </w:p>
    <w:p w14:paraId="0CADFDC7" w14:textId="77777777" w:rsidR="00C36DC7" w:rsidRPr="006C59AC" w:rsidRDefault="00C36DC7" w:rsidP="00C36DC7">
      <w:pPr>
        <w:rPr>
          <w:lang w:val="en-US"/>
        </w:rPr>
      </w:pPr>
    </w:p>
    <w:p w14:paraId="21C1C3E8" w14:textId="77777777" w:rsidR="006C59AC" w:rsidRDefault="006C59AC" w:rsidP="006C59AC">
      <w:pPr>
        <w:rPr>
          <w:lang w:val="en-US"/>
        </w:rPr>
      </w:pPr>
    </w:p>
    <w:p w14:paraId="7F0429AF" w14:textId="77777777" w:rsidR="006C59AC" w:rsidRPr="006C59AC" w:rsidRDefault="006C59AC" w:rsidP="006C59AC">
      <w:pPr>
        <w:rPr>
          <w:lang w:val="en-US"/>
        </w:rPr>
      </w:pPr>
    </w:p>
    <w:p w14:paraId="7E2B3485" w14:textId="77777777" w:rsidR="00937211" w:rsidRPr="00937211" w:rsidRDefault="00937211" w:rsidP="006C59AC">
      <w:pPr>
        <w:pStyle w:val="ListParagraph"/>
        <w:ind w:left="927" w:firstLine="0"/>
        <w:rPr>
          <w:lang w:val="en-US"/>
        </w:rPr>
      </w:pPr>
    </w:p>
    <w:p w14:paraId="56E735D9" w14:textId="4854FFE2" w:rsidR="00937211" w:rsidRPr="00937211" w:rsidRDefault="00937211" w:rsidP="00937211">
      <w:pPr>
        <w:pStyle w:val="Heading2"/>
        <w:numPr>
          <w:ilvl w:val="0"/>
          <w:numId w:val="0"/>
        </w:numPr>
        <w:ind w:left="360"/>
        <w:rPr>
          <w:rFonts w:eastAsia="Times New Roman"/>
          <w:lang w:val="en-US"/>
        </w:rPr>
      </w:pPr>
    </w:p>
    <w:p w14:paraId="44520896" w14:textId="77777777" w:rsidR="00937211" w:rsidRPr="00937211" w:rsidRDefault="00937211" w:rsidP="00937211">
      <w:pPr>
        <w:rPr>
          <w:lang w:val="es-ES"/>
        </w:rPr>
      </w:pPr>
    </w:p>
    <w:p w14:paraId="56706BB8" w14:textId="77777777" w:rsidR="00937211" w:rsidRPr="00937211" w:rsidRDefault="00937211" w:rsidP="00937211">
      <w:pPr>
        <w:rPr>
          <w:lang w:val="en-US"/>
        </w:rPr>
      </w:pPr>
    </w:p>
    <w:p w14:paraId="75EBB5A5" w14:textId="77777777" w:rsidR="00937211" w:rsidRPr="00937211" w:rsidRDefault="00937211" w:rsidP="00937211">
      <w:pPr>
        <w:rPr>
          <w:lang w:val="en-US"/>
        </w:rPr>
      </w:pPr>
    </w:p>
    <w:p w14:paraId="4A5336D0" w14:textId="77777777" w:rsidR="005D7E78" w:rsidRDefault="005D7E78" w:rsidP="005D7E78">
      <w:pPr>
        <w:rPr>
          <w:lang w:val="en-US"/>
        </w:rPr>
      </w:pPr>
    </w:p>
    <w:p w14:paraId="0C9E1ED1" w14:textId="77777777" w:rsidR="005D7E78" w:rsidRPr="00CD7604" w:rsidRDefault="005D7E78" w:rsidP="005D7E78">
      <w:pPr>
        <w:rPr>
          <w:lang w:val="en-US"/>
        </w:rPr>
      </w:pPr>
    </w:p>
    <w:p w14:paraId="0D775F2C" w14:textId="77777777" w:rsidR="00CD7604" w:rsidRPr="00EA39BB" w:rsidRDefault="00CD7604" w:rsidP="00CD7604">
      <w:pPr>
        <w:rPr>
          <w:lang w:val="en-US"/>
        </w:rPr>
      </w:pPr>
    </w:p>
    <w:p w14:paraId="5E2F45CD" w14:textId="77777777" w:rsidR="00EA39BB" w:rsidRPr="006532A6" w:rsidRDefault="00EA39BB" w:rsidP="00EA39BB">
      <w:pPr>
        <w:rPr>
          <w:lang w:val="en-US"/>
        </w:rPr>
      </w:pPr>
    </w:p>
    <w:p w14:paraId="6F371CA6" w14:textId="77777777" w:rsidR="006532A6" w:rsidRPr="006532A6" w:rsidRDefault="006532A6" w:rsidP="006532A6">
      <w:pPr>
        <w:rPr>
          <w:lang w:val="en-US"/>
        </w:rPr>
      </w:pPr>
    </w:p>
    <w:p w14:paraId="4F0D6C2C" w14:textId="77777777" w:rsidR="00217CE6" w:rsidRPr="00217CE6" w:rsidRDefault="00217CE6" w:rsidP="00217CE6">
      <w:pPr>
        <w:rPr>
          <w:lang w:val="en-US"/>
        </w:rPr>
      </w:pPr>
    </w:p>
    <w:p w14:paraId="4E4C8F44" w14:textId="77777777" w:rsidR="00217CE6" w:rsidRPr="00217CE6" w:rsidRDefault="00217CE6" w:rsidP="00217CE6">
      <w:pPr>
        <w:rPr>
          <w:lang w:val="en-US"/>
        </w:rPr>
      </w:pPr>
    </w:p>
    <w:p w14:paraId="66B452DD" w14:textId="77777777" w:rsidR="00217CE6" w:rsidRPr="00217CE6" w:rsidRDefault="00217CE6" w:rsidP="00217CE6">
      <w:pPr>
        <w:pStyle w:val="ListParagraph"/>
        <w:ind w:left="1287" w:firstLine="0"/>
        <w:rPr>
          <w:lang w:val="en-US"/>
        </w:rPr>
      </w:pPr>
    </w:p>
    <w:p w14:paraId="07FC5A88" w14:textId="77777777" w:rsidR="00FB23A3" w:rsidRPr="00FB23A3" w:rsidRDefault="00FB23A3" w:rsidP="00FB23A3">
      <w:pPr>
        <w:rPr>
          <w:lang w:val="en-US"/>
        </w:rPr>
      </w:pPr>
    </w:p>
    <w:p w14:paraId="67607F1B" w14:textId="77777777" w:rsidR="00FB23A3" w:rsidRPr="00FB23A3" w:rsidRDefault="00FB23A3" w:rsidP="00FB23A3">
      <w:pPr>
        <w:rPr>
          <w:lang w:val="en-US"/>
        </w:rPr>
      </w:pPr>
    </w:p>
    <w:p w14:paraId="0641A8B2" w14:textId="77777777" w:rsidR="00A21E04" w:rsidRPr="00A21E04" w:rsidRDefault="00A21E04" w:rsidP="00A21E04">
      <w:pPr>
        <w:rPr>
          <w:lang w:val="en-US"/>
        </w:rPr>
      </w:pPr>
    </w:p>
    <w:p w14:paraId="2028F083" w14:textId="4A3715D6" w:rsidR="00A21E04" w:rsidRPr="00A21E04" w:rsidRDefault="00C36DC7" w:rsidP="00A21E04">
      <w:pPr>
        <w:rPr>
          <w:lang w:val="en-US"/>
        </w:rPr>
      </w:pPr>
      <w:r>
        <w:rPr>
          <w:lang w:val="en-US"/>
        </w:rPr>
        <w:t xml:space="preserve"> </w:t>
      </w:r>
    </w:p>
    <w:p w14:paraId="01CA93BF" w14:textId="77777777" w:rsidR="00A21E04" w:rsidRPr="00A21E04" w:rsidRDefault="00A21E04" w:rsidP="00A21E04">
      <w:pPr>
        <w:rPr>
          <w:lang w:val="en-US"/>
        </w:rPr>
      </w:pPr>
    </w:p>
    <w:p w14:paraId="3DC0549B" w14:textId="77777777" w:rsidR="00AF6E83" w:rsidRPr="00AF6E83" w:rsidRDefault="00AF6E83" w:rsidP="00AF6E83">
      <w:pPr>
        <w:rPr>
          <w:lang w:val="en-US"/>
        </w:rPr>
      </w:pPr>
    </w:p>
    <w:p w14:paraId="0DC4EEC7" w14:textId="77777777" w:rsidR="00AF6E83" w:rsidRDefault="00AF6E83" w:rsidP="00AF6E83">
      <w:pPr>
        <w:rPr>
          <w:lang w:val="en-US"/>
        </w:rPr>
      </w:pPr>
    </w:p>
    <w:p w14:paraId="04C9DA05" w14:textId="0BCFA8C8" w:rsidR="00AF6E83" w:rsidRPr="00AF6E83" w:rsidRDefault="00FB23A3" w:rsidP="00AF6E83">
      <w:pPr>
        <w:rPr>
          <w:lang w:val="en-US"/>
        </w:rPr>
      </w:pPr>
      <w:r>
        <w:rPr>
          <w:lang w:val="en-US"/>
        </w:rPr>
        <w:t xml:space="preserve"> </w:t>
      </w:r>
    </w:p>
    <w:p w14:paraId="36A10C4D" w14:textId="77777777" w:rsidR="00AF6E83" w:rsidRPr="00AF6E83" w:rsidRDefault="00AF6E83" w:rsidP="00AF6E83">
      <w:pPr>
        <w:rPr>
          <w:lang w:val="en-US"/>
        </w:rPr>
      </w:pPr>
    </w:p>
    <w:p w14:paraId="7CB75459" w14:textId="77777777" w:rsidR="00BF5F43" w:rsidRDefault="00BF5F43" w:rsidP="00BF5F43">
      <w:pPr>
        <w:rPr>
          <w:lang w:val="en-US"/>
        </w:rPr>
      </w:pPr>
    </w:p>
    <w:p w14:paraId="65EE2793" w14:textId="77777777" w:rsidR="00BF5F43" w:rsidRPr="00BF5F43" w:rsidRDefault="00BF5F43" w:rsidP="00BF5F43">
      <w:pPr>
        <w:rPr>
          <w:lang w:val="en-US"/>
        </w:rPr>
      </w:pPr>
    </w:p>
    <w:p w14:paraId="1806AED7" w14:textId="77777777" w:rsidR="00BF5F43" w:rsidRDefault="00BF5F43" w:rsidP="00EC4E0F">
      <w:pPr>
        <w:rPr>
          <w:lang w:val="en-US"/>
        </w:rPr>
      </w:pPr>
    </w:p>
    <w:p w14:paraId="6E90AB29" w14:textId="77777777" w:rsidR="00EC4E0F" w:rsidRPr="00EC4E0F" w:rsidRDefault="00EC4E0F" w:rsidP="00EC4E0F">
      <w:pPr>
        <w:rPr>
          <w:lang w:val="en-US"/>
        </w:rPr>
      </w:pPr>
    </w:p>
    <w:p w14:paraId="28E3940D" w14:textId="77777777" w:rsidR="00EC4E0F" w:rsidRPr="00EC4E0F" w:rsidRDefault="00EC4E0F" w:rsidP="00EC4E0F">
      <w:pPr>
        <w:rPr>
          <w:lang w:val="en-US"/>
        </w:rPr>
      </w:pPr>
    </w:p>
    <w:p w14:paraId="612AA19A" w14:textId="77777777" w:rsidR="00EC4E0F" w:rsidRDefault="00EC4E0F" w:rsidP="00EC4E0F">
      <w:pPr>
        <w:rPr>
          <w:lang w:val="en-US"/>
        </w:rPr>
      </w:pPr>
    </w:p>
    <w:p w14:paraId="1B9FDA1F" w14:textId="77777777" w:rsidR="00EC4E0F" w:rsidRPr="00EC4E0F" w:rsidRDefault="00EC4E0F" w:rsidP="00EC4E0F">
      <w:pPr>
        <w:rPr>
          <w:lang w:val="en-US"/>
        </w:rPr>
      </w:pPr>
    </w:p>
    <w:p w14:paraId="5151101A" w14:textId="77777777" w:rsidR="00EC4E0F" w:rsidRPr="00EC4E0F" w:rsidRDefault="00EC4E0F" w:rsidP="00EC4E0F">
      <w:pPr>
        <w:rPr>
          <w:lang w:val="en-US"/>
        </w:rPr>
      </w:pPr>
    </w:p>
    <w:p w14:paraId="1ED8F889" w14:textId="77777777" w:rsidR="00226805" w:rsidRPr="00226805" w:rsidRDefault="00226805" w:rsidP="00226805">
      <w:pPr>
        <w:rPr>
          <w:lang w:val="en-US"/>
        </w:rPr>
      </w:pPr>
    </w:p>
    <w:p w14:paraId="1E957CBA" w14:textId="77777777" w:rsidR="00226805" w:rsidRPr="00364184" w:rsidRDefault="00226805" w:rsidP="00226805">
      <w:pPr>
        <w:rPr>
          <w:lang w:val="en-US"/>
        </w:rPr>
      </w:pPr>
    </w:p>
    <w:p w14:paraId="2B1CB615" w14:textId="77777777" w:rsidR="00364184" w:rsidRPr="006A7E73" w:rsidRDefault="00364184" w:rsidP="00364184">
      <w:pPr>
        <w:rPr>
          <w:lang w:val="en-US"/>
        </w:rPr>
      </w:pPr>
    </w:p>
    <w:p w14:paraId="1903FD98" w14:textId="77777777" w:rsidR="006A7E73" w:rsidRPr="006A7E73" w:rsidRDefault="006A7E73" w:rsidP="006A7E73">
      <w:pPr>
        <w:rPr>
          <w:lang w:val="en-US"/>
        </w:rPr>
      </w:pPr>
    </w:p>
    <w:p w14:paraId="51C6A28A" w14:textId="77777777" w:rsidR="006A7E73" w:rsidRPr="006A7E73" w:rsidRDefault="006A7E73" w:rsidP="006A7E73">
      <w:pPr>
        <w:rPr>
          <w:lang w:val="en-US"/>
        </w:rPr>
      </w:pPr>
    </w:p>
    <w:p w14:paraId="0686ABF3" w14:textId="77777777" w:rsidR="00E32006" w:rsidRPr="00E32006" w:rsidRDefault="00E32006" w:rsidP="00E32006">
      <w:pPr>
        <w:rPr>
          <w:lang w:val="en-US"/>
        </w:rPr>
      </w:pPr>
    </w:p>
    <w:p w14:paraId="0B30F9B9" w14:textId="77777777" w:rsidR="00E32006" w:rsidRPr="00E32006" w:rsidRDefault="00E32006" w:rsidP="00E32006">
      <w:pPr>
        <w:rPr>
          <w:lang w:val="en-US"/>
        </w:rPr>
      </w:pPr>
    </w:p>
    <w:p w14:paraId="55BA8235" w14:textId="77777777" w:rsidR="00E32006" w:rsidRPr="00E32006" w:rsidRDefault="00E32006" w:rsidP="00E32006">
      <w:pPr>
        <w:rPr>
          <w:lang w:val="en-US"/>
        </w:rPr>
      </w:pPr>
    </w:p>
    <w:p w14:paraId="2D6D9995" w14:textId="77777777" w:rsidR="00DE65CF" w:rsidRPr="003A104F" w:rsidRDefault="00DE65CF" w:rsidP="00DE65CF">
      <w:pPr>
        <w:rPr>
          <w:lang w:val="en-US"/>
        </w:rPr>
      </w:pPr>
    </w:p>
    <w:p w14:paraId="44DE1A37" w14:textId="77777777" w:rsidR="003A104F" w:rsidRPr="0097645D" w:rsidRDefault="003A104F" w:rsidP="0097645D">
      <w:pPr>
        <w:rPr>
          <w:lang w:val="en-US"/>
        </w:rPr>
      </w:pPr>
    </w:p>
    <w:p w14:paraId="66258422" w14:textId="77777777" w:rsidR="0097645D" w:rsidRPr="0097645D" w:rsidRDefault="0097645D" w:rsidP="0097645D">
      <w:pPr>
        <w:rPr>
          <w:lang w:val="en-US"/>
        </w:rPr>
      </w:pPr>
    </w:p>
    <w:p w14:paraId="15F3AA55" w14:textId="77777777" w:rsidR="0097645D" w:rsidRDefault="0097645D" w:rsidP="0097645D">
      <w:pPr>
        <w:rPr>
          <w:lang w:val="en-US"/>
        </w:rPr>
      </w:pPr>
    </w:p>
    <w:p w14:paraId="0458102D" w14:textId="77777777" w:rsidR="0097645D" w:rsidRPr="0097645D" w:rsidRDefault="0097645D" w:rsidP="0097645D">
      <w:pPr>
        <w:rPr>
          <w:lang w:val="en-US"/>
        </w:rPr>
      </w:pPr>
    </w:p>
    <w:p w14:paraId="24AF09EB" w14:textId="77777777" w:rsidR="0097645D" w:rsidRPr="0097645D" w:rsidRDefault="0097645D" w:rsidP="0097645D">
      <w:pPr>
        <w:rPr>
          <w:lang w:val="en-US"/>
        </w:rPr>
      </w:pPr>
    </w:p>
    <w:p w14:paraId="51E86662" w14:textId="77777777" w:rsidR="0097645D" w:rsidRPr="003E5A86" w:rsidRDefault="0097645D" w:rsidP="0048733D">
      <w:pPr>
        <w:rPr>
          <w:lang w:val="en-US"/>
        </w:rPr>
      </w:pPr>
    </w:p>
    <w:p w14:paraId="0FF2FCE7" w14:textId="77777777" w:rsidR="003E5A86" w:rsidRPr="003E5A86" w:rsidRDefault="003E5A86" w:rsidP="003E5A86">
      <w:pPr>
        <w:rPr>
          <w:lang w:val="en-US"/>
        </w:rPr>
      </w:pPr>
    </w:p>
    <w:p w14:paraId="058CB176" w14:textId="77777777" w:rsidR="003E5A86" w:rsidRPr="003E5A86" w:rsidRDefault="003E5A86" w:rsidP="003E5A86">
      <w:pPr>
        <w:rPr>
          <w:lang w:val="en-US"/>
        </w:rPr>
      </w:pPr>
    </w:p>
    <w:p w14:paraId="2D7C8FF1" w14:textId="77777777" w:rsidR="00FD2A62" w:rsidRPr="00FD2A62" w:rsidRDefault="00FD2A62" w:rsidP="00FD2A62">
      <w:pPr>
        <w:rPr>
          <w:lang w:val="en-US"/>
        </w:rPr>
      </w:pPr>
    </w:p>
    <w:p w14:paraId="6F0E2AF7" w14:textId="77777777" w:rsidR="00FD2A62" w:rsidRPr="00FD2A62" w:rsidRDefault="00FD2A62" w:rsidP="00FD2A62">
      <w:pPr>
        <w:rPr>
          <w:lang w:val="en-US"/>
        </w:rPr>
      </w:pPr>
    </w:p>
    <w:p w14:paraId="2EE67986" w14:textId="77777777" w:rsidR="008D7AD1" w:rsidRPr="008D7AD1" w:rsidRDefault="008D7AD1" w:rsidP="008D7AD1">
      <w:pPr>
        <w:rPr>
          <w:lang w:val="en-US"/>
        </w:rPr>
      </w:pPr>
    </w:p>
    <w:p w14:paraId="2A952724" w14:textId="77777777" w:rsidR="008D7AD1" w:rsidRPr="008D7AD1" w:rsidRDefault="008D7AD1" w:rsidP="008D7AD1">
      <w:pPr>
        <w:rPr>
          <w:lang w:val="en-US"/>
        </w:rPr>
      </w:pPr>
    </w:p>
    <w:p w14:paraId="6A9C4CE3" w14:textId="77777777" w:rsidR="008D7AD1" w:rsidRDefault="008D7AD1" w:rsidP="008D7AD1">
      <w:pPr>
        <w:rPr>
          <w:lang w:val="en-US"/>
        </w:rPr>
      </w:pPr>
    </w:p>
    <w:p w14:paraId="5338F6CF" w14:textId="77777777" w:rsidR="008D7AD1" w:rsidRPr="008D7AD1" w:rsidRDefault="008D7AD1" w:rsidP="008D7AD1">
      <w:pPr>
        <w:rPr>
          <w:lang w:val="en-US"/>
        </w:rPr>
      </w:pPr>
    </w:p>
    <w:p w14:paraId="29957309" w14:textId="77777777" w:rsidR="006F612E" w:rsidRDefault="006F612E" w:rsidP="006F612E">
      <w:pPr>
        <w:rPr>
          <w:lang w:val="en-US"/>
        </w:rPr>
      </w:pPr>
    </w:p>
    <w:p w14:paraId="7CD50411" w14:textId="77777777" w:rsidR="008F6167" w:rsidRPr="005813C9" w:rsidRDefault="008F6167" w:rsidP="005813C9">
      <w:pPr>
        <w:rPr>
          <w:lang w:val="en-US"/>
        </w:rPr>
      </w:pPr>
    </w:p>
    <w:p w14:paraId="65FC8236" w14:textId="77777777" w:rsidR="007571F2" w:rsidRPr="007571F2" w:rsidRDefault="007571F2" w:rsidP="007571F2">
      <w:pPr>
        <w:rPr>
          <w:lang w:val="en-US"/>
        </w:rPr>
      </w:pPr>
    </w:p>
    <w:p w14:paraId="159C3218" w14:textId="77777777" w:rsidR="00517D68" w:rsidRPr="0006440D" w:rsidRDefault="00517D68" w:rsidP="00517D68">
      <w:pPr>
        <w:rPr>
          <w:lang w:val="en-US"/>
        </w:rPr>
      </w:pPr>
    </w:p>
    <w:p w14:paraId="38560DDD" w14:textId="77777777" w:rsidR="0006440D" w:rsidRPr="0006440D" w:rsidRDefault="0006440D" w:rsidP="0006440D">
      <w:pPr>
        <w:rPr>
          <w:lang w:val="en-US"/>
        </w:rPr>
      </w:pPr>
    </w:p>
    <w:p w14:paraId="7806A5B6" w14:textId="77777777" w:rsidR="0006440D" w:rsidRPr="0006440D" w:rsidRDefault="0006440D" w:rsidP="0006440D">
      <w:pPr>
        <w:rPr>
          <w:lang w:val="en-US"/>
        </w:rPr>
      </w:pPr>
    </w:p>
    <w:p w14:paraId="40B3C458" w14:textId="77777777" w:rsidR="0006440D" w:rsidRPr="0006440D" w:rsidRDefault="0006440D" w:rsidP="0006440D">
      <w:pPr>
        <w:rPr>
          <w:lang w:val="en-US"/>
        </w:rPr>
      </w:pPr>
    </w:p>
    <w:p w14:paraId="433EB6C6" w14:textId="77777777" w:rsidR="00575B92" w:rsidRPr="00575B92" w:rsidRDefault="00575B92" w:rsidP="00575B92">
      <w:pPr>
        <w:rPr>
          <w:lang w:val="en-US"/>
        </w:rPr>
      </w:pPr>
    </w:p>
    <w:p w14:paraId="2479738C" w14:textId="77777777" w:rsidR="00575B92" w:rsidRPr="00575B92" w:rsidRDefault="00575B92" w:rsidP="00575B92">
      <w:pPr>
        <w:rPr>
          <w:lang w:val="en-US"/>
        </w:rPr>
      </w:pPr>
    </w:p>
    <w:p w14:paraId="662E2293" w14:textId="77777777" w:rsidR="00CA6E33" w:rsidRPr="00CA6E33" w:rsidRDefault="00CA6E33" w:rsidP="00CA6E33">
      <w:pPr>
        <w:rPr>
          <w:lang w:val="en-US"/>
        </w:rPr>
      </w:pPr>
    </w:p>
    <w:p w14:paraId="19F9D4BC" w14:textId="77777777" w:rsidR="00CA6E33" w:rsidRPr="00CA6E33" w:rsidRDefault="00CA6E33" w:rsidP="00CA6E33">
      <w:pPr>
        <w:rPr>
          <w:lang w:val="en-US"/>
        </w:rPr>
      </w:pPr>
    </w:p>
    <w:p w14:paraId="435A5BDA" w14:textId="77777777" w:rsidR="006C0620" w:rsidRPr="006C0620" w:rsidRDefault="006C0620" w:rsidP="006C0620">
      <w:pPr>
        <w:rPr>
          <w:lang w:val="en-US"/>
        </w:rPr>
      </w:pPr>
    </w:p>
    <w:p w14:paraId="0351301B" w14:textId="77777777" w:rsidR="006C0620" w:rsidRPr="00653741" w:rsidRDefault="006C0620" w:rsidP="006C0620">
      <w:pPr>
        <w:rPr>
          <w:lang w:val="en-US"/>
        </w:rPr>
      </w:pPr>
    </w:p>
    <w:p w14:paraId="50EC91A8" w14:textId="77777777" w:rsidR="00653741" w:rsidRPr="00653741" w:rsidRDefault="00653741" w:rsidP="00653741">
      <w:pPr>
        <w:rPr>
          <w:lang w:val="en-US"/>
        </w:rPr>
      </w:pPr>
    </w:p>
    <w:p w14:paraId="5DF6D76D" w14:textId="77777777" w:rsidR="00653741" w:rsidRPr="00653741" w:rsidRDefault="00653741" w:rsidP="00653741">
      <w:pPr>
        <w:rPr>
          <w:lang w:val="en-US"/>
        </w:rPr>
      </w:pPr>
    </w:p>
    <w:p w14:paraId="2CD40F2F" w14:textId="77777777" w:rsidR="006A62B6" w:rsidRPr="006A62B6" w:rsidRDefault="006A62B6" w:rsidP="006A62B6">
      <w:pPr>
        <w:rPr>
          <w:lang w:val="en-US"/>
        </w:rPr>
      </w:pPr>
    </w:p>
    <w:p w14:paraId="1C39E543" w14:textId="77777777" w:rsidR="006A62B6" w:rsidRPr="006A62B6" w:rsidRDefault="006A62B6" w:rsidP="006A62B6">
      <w:pPr>
        <w:rPr>
          <w:lang w:val="en-US"/>
        </w:rPr>
      </w:pPr>
    </w:p>
    <w:p w14:paraId="54B2E888" w14:textId="77777777" w:rsidR="006A62B6" w:rsidRPr="006A62B6" w:rsidRDefault="006A62B6" w:rsidP="006A62B6">
      <w:pPr>
        <w:rPr>
          <w:lang w:val="en-US"/>
        </w:rPr>
      </w:pPr>
    </w:p>
    <w:p w14:paraId="2672E645" w14:textId="77777777" w:rsidR="00E85807" w:rsidRPr="00E85807" w:rsidRDefault="00E85807" w:rsidP="00E85807">
      <w:pPr>
        <w:rPr>
          <w:lang w:val="en-US"/>
        </w:rPr>
      </w:pPr>
    </w:p>
    <w:p w14:paraId="49E340A9" w14:textId="77777777" w:rsidR="00E85807" w:rsidRPr="00E85807" w:rsidRDefault="00E85807" w:rsidP="00E85807">
      <w:pPr>
        <w:rPr>
          <w:lang w:val="en-US"/>
        </w:rPr>
      </w:pPr>
    </w:p>
    <w:p w14:paraId="1025D502" w14:textId="77777777" w:rsidR="00E85807" w:rsidRPr="00E85807" w:rsidRDefault="00E85807" w:rsidP="00E85807">
      <w:pPr>
        <w:rPr>
          <w:lang w:val="en-US"/>
        </w:rPr>
      </w:pPr>
    </w:p>
    <w:p w14:paraId="6FC3A466" w14:textId="77777777" w:rsidR="003177A9" w:rsidRPr="003177A9" w:rsidRDefault="003177A9" w:rsidP="003177A9">
      <w:pPr>
        <w:rPr>
          <w:lang w:val="en-US"/>
        </w:rPr>
      </w:pPr>
    </w:p>
    <w:p w14:paraId="128AE324" w14:textId="77777777" w:rsidR="003177A9" w:rsidRDefault="003177A9" w:rsidP="003177A9">
      <w:pPr>
        <w:rPr>
          <w:lang w:val="en-US"/>
        </w:rPr>
      </w:pPr>
    </w:p>
    <w:p w14:paraId="0CC84797" w14:textId="77777777" w:rsidR="003177A9" w:rsidRPr="003177A9" w:rsidRDefault="003177A9" w:rsidP="003177A9">
      <w:pPr>
        <w:rPr>
          <w:lang w:val="en-US"/>
        </w:rPr>
      </w:pPr>
    </w:p>
    <w:p w14:paraId="2182F015" w14:textId="77777777" w:rsidR="003177A9" w:rsidRPr="003177A9" w:rsidRDefault="003177A9" w:rsidP="003177A9"/>
    <w:p w14:paraId="6812B925" w14:textId="77777777" w:rsidR="003177A9" w:rsidRPr="00A91771" w:rsidRDefault="003177A9" w:rsidP="003177A9">
      <w:pPr>
        <w:pStyle w:val="Heading3"/>
        <w:numPr>
          <w:ilvl w:val="0"/>
          <w:numId w:val="0"/>
        </w:numPr>
        <w:ind w:left="644" w:hanging="360"/>
        <w:rPr>
          <w:rFonts w:eastAsia="Times New Roman"/>
          <w:lang w:val="en-US"/>
        </w:rPr>
      </w:pPr>
    </w:p>
    <w:p w14:paraId="6B2C787E" w14:textId="77777777" w:rsidR="00A91771" w:rsidRPr="00A91771" w:rsidRDefault="00A91771" w:rsidP="00A91771">
      <w:pPr>
        <w:rPr>
          <w:lang w:val="es-ES"/>
        </w:rPr>
      </w:pPr>
    </w:p>
    <w:p w14:paraId="08EEB638" w14:textId="77777777" w:rsidR="00A91771" w:rsidRPr="00A91771" w:rsidRDefault="00A91771" w:rsidP="00A91771">
      <w:pPr>
        <w:rPr>
          <w:lang w:val="en-US"/>
        </w:rPr>
      </w:pPr>
    </w:p>
    <w:p w14:paraId="2DE61EF2" w14:textId="77777777" w:rsidR="00A91771" w:rsidRPr="00A91771" w:rsidRDefault="00A91771" w:rsidP="00A91771">
      <w:pPr>
        <w:rPr>
          <w:lang w:val="en-US"/>
        </w:rPr>
      </w:pPr>
    </w:p>
    <w:p w14:paraId="7A845E8E" w14:textId="77777777" w:rsidR="00D85A61" w:rsidRPr="00D85A61" w:rsidRDefault="00D85A61" w:rsidP="00D85A61">
      <w:pPr>
        <w:rPr>
          <w:lang w:val="en-US"/>
        </w:rPr>
      </w:pPr>
    </w:p>
    <w:p w14:paraId="3655A343" w14:textId="77777777" w:rsidR="00D85A61" w:rsidRPr="00F8454B" w:rsidRDefault="00D85A61" w:rsidP="00D85A61">
      <w:pPr>
        <w:rPr>
          <w:lang w:val="en-US"/>
        </w:rPr>
      </w:pPr>
    </w:p>
    <w:p w14:paraId="6ED82A26" w14:textId="77777777" w:rsidR="001045F0" w:rsidRPr="001045F0" w:rsidRDefault="001045F0" w:rsidP="001045F0">
      <w:pPr>
        <w:rPr>
          <w:lang w:val="en-US"/>
        </w:rPr>
      </w:pPr>
    </w:p>
    <w:p w14:paraId="580B2142" w14:textId="77777777" w:rsidR="001045F0" w:rsidRPr="001045F0" w:rsidRDefault="001045F0" w:rsidP="001045F0">
      <w:pPr>
        <w:rPr>
          <w:lang w:val="en-US"/>
        </w:rPr>
      </w:pPr>
    </w:p>
    <w:p w14:paraId="2988BB0A" w14:textId="77777777" w:rsidR="001045F0" w:rsidRPr="001045F0" w:rsidRDefault="001045F0" w:rsidP="001045F0">
      <w:pPr>
        <w:rPr>
          <w:lang w:val="en-US"/>
        </w:rPr>
      </w:pPr>
    </w:p>
    <w:p w14:paraId="5F5C516F" w14:textId="77777777" w:rsidR="001045F0" w:rsidRPr="001045F0" w:rsidRDefault="001045F0" w:rsidP="001045F0">
      <w:pPr>
        <w:rPr>
          <w:lang w:val="en-US"/>
        </w:rPr>
      </w:pPr>
    </w:p>
    <w:p w14:paraId="70B2C945" w14:textId="77777777" w:rsidR="00E91F97" w:rsidRPr="00E91F97" w:rsidRDefault="00E91F97" w:rsidP="00E91F97"/>
    <w:sectPr w:rsidR="00E91F97" w:rsidRPr="00E91F97" w:rsidSect="003951F4">
      <w:footerReference w:type="default" r:id="rId8"/>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4306B" w14:textId="77777777" w:rsidR="00E11F4F" w:rsidRDefault="00E11F4F" w:rsidP="006D761E">
      <w:pPr>
        <w:spacing w:after="0"/>
      </w:pPr>
      <w:r>
        <w:separator/>
      </w:r>
    </w:p>
  </w:endnote>
  <w:endnote w:type="continuationSeparator" w:id="0">
    <w:p w14:paraId="2DFBCB16" w14:textId="77777777" w:rsidR="00E11F4F" w:rsidRDefault="00E11F4F" w:rsidP="006D76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828998"/>
      <w:docPartObj>
        <w:docPartGallery w:val="Page Numbers (Bottom of Page)"/>
        <w:docPartUnique/>
      </w:docPartObj>
    </w:sdtPr>
    <w:sdtContent>
      <w:p w14:paraId="35DF16EF" w14:textId="1F6530EB" w:rsidR="00D7432C" w:rsidRDefault="00D7432C">
        <w:pPr>
          <w:pStyle w:val="Footer"/>
          <w:jc w:val="center"/>
        </w:pPr>
        <w:r>
          <w:fldChar w:fldCharType="begin"/>
        </w:r>
        <w:r>
          <w:instrText>PAGE   \* MERGEFORMAT</w:instrText>
        </w:r>
        <w:r>
          <w:fldChar w:fldCharType="separate"/>
        </w:r>
        <w:r>
          <w:t>2</w:t>
        </w:r>
        <w:r>
          <w:fldChar w:fldCharType="end"/>
        </w:r>
      </w:p>
    </w:sdtContent>
  </w:sdt>
  <w:p w14:paraId="43C9D4E3" w14:textId="77777777" w:rsidR="009A0766" w:rsidRPr="00963A9B" w:rsidRDefault="009A0766" w:rsidP="00963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15CA2" w14:textId="77777777" w:rsidR="00E11F4F" w:rsidRDefault="00E11F4F" w:rsidP="006D761E">
      <w:pPr>
        <w:spacing w:after="0"/>
      </w:pPr>
      <w:r>
        <w:separator/>
      </w:r>
    </w:p>
  </w:footnote>
  <w:footnote w:type="continuationSeparator" w:id="0">
    <w:p w14:paraId="747BD5A7" w14:textId="77777777" w:rsidR="00E11F4F" w:rsidRDefault="00E11F4F" w:rsidP="006D761E">
      <w:pPr>
        <w:spacing w:after="0"/>
      </w:pPr>
      <w:r>
        <w:continuationSeparator/>
      </w:r>
    </w:p>
  </w:footnote>
  <w:footnote w:id="1">
    <w:p w14:paraId="5886A584" w14:textId="4E9F1C16" w:rsidR="001045F0" w:rsidRPr="001045F0" w:rsidRDefault="001045F0" w:rsidP="009F15C9">
      <w:pPr>
        <w:pStyle w:val="Dipnot"/>
        <w:rPr>
          <w:lang w:val="en-US"/>
        </w:rPr>
      </w:pPr>
      <w:r>
        <w:rPr>
          <w:rStyle w:val="FootnoteReference"/>
        </w:rPr>
        <w:footnoteRef/>
      </w:r>
      <w:r>
        <w:t xml:space="preserve"> </w:t>
      </w:r>
      <w:r>
        <w:rPr>
          <w:lang w:val="en-US"/>
        </w:rPr>
        <w:tab/>
      </w:r>
      <w:r w:rsidRPr="001045F0">
        <w:rPr>
          <w:lang w:val="en-US"/>
        </w:rPr>
        <w:t xml:space="preserve">¹ </w:t>
      </w:r>
      <w:proofErr w:type="spellStart"/>
      <w:r w:rsidRPr="001045F0">
        <w:rPr>
          <w:lang w:val="en-US"/>
        </w:rPr>
        <w:t>Anayasa</w:t>
      </w:r>
      <w:proofErr w:type="spellEnd"/>
      <w:r w:rsidRPr="001045F0">
        <w:rPr>
          <w:lang w:val="en-US"/>
        </w:rPr>
        <w:t xml:space="preserve"> </w:t>
      </w:r>
      <w:proofErr w:type="spellStart"/>
      <w:r w:rsidRPr="001045F0">
        <w:rPr>
          <w:lang w:val="en-US"/>
        </w:rPr>
        <w:t>hukukçuları</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yargıçlar</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hukuku</w:t>
      </w:r>
      <w:proofErr w:type="spellEnd"/>
      <w:r w:rsidRPr="001045F0">
        <w:rPr>
          <w:lang w:val="en-US"/>
        </w:rPr>
        <w:t xml:space="preserve"> </w:t>
      </w:r>
      <w:proofErr w:type="spellStart"/>
      <w:r w:rsidRPr="001045F0">
        <w:rPr>
          <w:lang w:val="en-US"/>
        </w:rPr>
        <w:t>oluşturma</w:t>
      </w:r>
      <w:proofErr w:type="spellEnd"/>
      <w:r w:rsidRPr="001045F0">
        <w:rPr>
          <w:lang w:val="en-US"/>
        </w:rPr>
        <w:t xml:space="preserve"> </w:t>
      </w:r>
      <w:proofErr w:type="spellStart"/>
      <w:r w:rsidRPr="001045F0">
        <w:rPr>
          <w:lang w:val="en-US"/>
        </w:rPr>
        <w:t>sürecinden</w:t>
      </w:r>
      <w:proofErr w:type="spellEnd"/>
      <w:r w:rsidRPr="001045F0">
        <w:rPr>
          <w:lang w:val="en-US"/>
        </w:rPr>
        <w:t xml:space="preserve"> </w:t>
      </w:r>
      <w:proofErr w:type="spellStart"/>
      <w:r w:rsidRPr="001045F0">
        <w:rPr>
          <w:lang w:val="en-US"/>
        </w:rPr>
        <w:t>bahsederken</w:t>
      </w:r>
      <w:proofErr w:type="spellEnd"/>
      <w:r w:rsidRPr="001045F0">
        <w:rPr>
          <w:lang w:val="en-US"/>
        </w:rPr>
        <w:t xml:space="preserve">, </w:t>
      </w:r>
      <w:proofErr w:type="spellStart"/>
      <w:r w:rsidRPr="001045F0">
        <w:rPr>
          <w:lang w:val="en-US"/>
        </w:rPr>
        <w:t>özellikle</w:t>
      </w:r>
      <w:proofErr w:type="spellEnd"/>
      <w:r w:rsidRPr="001045F0">
        <w:rPr>
          <w:lang w:val="en-US"/>
        </w:rPr>
        <w:t xml:space="preserve"> de </w:t>
      </w:r>
      <w:proofErr w:type="spellStart"/>
      <w:r w:rsidRPr="001045F0">
        <w:rPr>
          <w:lang w:val="en-US"/>
        </w:rPr>
        <w:t>profesyonel</w:t>
      </w:r>
      <w:proofErr w:type="spellEnd"/>
      <w:r w:rsidRPr="001045F0">
        <w:rPr>
          <w:lang w:val="en-US"/>
        </w:rPr>
        <w:t xml:space="preserve"> </w:t>
      </w:r>
      <w:proofErr w:type="spellStart"/>
      <w:r w:rsidRPr="001045F0">
        <w:rPr>
          <w:lang w:val="en-US"/>
        </w:rPr>
        <w:t>olmayan</w:t>
      </w:r>
      <w:proofErr w:type="spellEnd"/>
      <w:r w:rsidRPr="001045F0">
        <w:rPr>
          <w:lang w:val="en-US"/>
        </w:rPr>
        <w:t xml:space="preserve"> </w:t>
      </w:r>
      <w:proofErr w:type="spellStart"/>
      <w:r w:rsidRPr="001045F0">
        <w:rPr>
          <w:lang w:val="en-US"/>
        </w:rPr>
        <w:t>kitlelere</w:t>
      </w:r>
      <w:proofErr w:type="spellEnd"/>
      <w:r w:rsidRPr="001045F0">
        <w:rPr>
          <w:lang w:val="en-US"/>
        </w:rPr>
        <w:t xml:space="preserve"> </w:t>
      </w:r>
      <w:proofErr w:type="spellStart"/>
      <w:r w:rsidRPr="001045F0">
        <w:rPr>
          <w:lang w:val="en-US"/>
        </w:rPr>
        <w:t>hitap</w:t>
      </w:r>
      <w:proofErr w:type="spellEnd"/>
      <w:r w:rsidRPr="001045F0">
        <w:rPr>
          <w:lang w:val="en-US"/>
        </w:rPr>
        <w:t xml:space="preserve"> </w:t>
      </w:r>
      <w:proofErr w:type="spellStart"/>
      <w:r w:rsidRPr="001045F0">
        <w:rPr>
          <w:lang w:val="en-US"/>
        </w:rPr>
        <w:t>ettiklerinde</w:t>
      </w:r>
      <w:proofErr w:type="spellEnd"/>
      <w:r w:rsidRPr="001045F0">
        <w:rPr>
          <w:lang w:val="en-US"/>
        </w:rPr>
        <w:t xml:space="preserve">, </w:t>
      </w:r>
      <w:proofErr w:type="spellStart"/>
      <w:r w:rsidRPr="001045F0">
        <w:rPr>
          <w:lang w:val="en-US"/>
        </w:rPr>
        <w:t>genellikle</w:t>
      </w:r>
      <w:proofErr w:type="spellEnd"/>
      <w:r w:rsidRPr="001045F0">
        <w:rPr>
          <w:lang w:val="en-US"/>
        </w:rPr>
        <w:t xml:space="preserve"> </w:t>
      </w:r>
      <w:proofErr w:type="spellStart"/>
      <w:r w:rsidRPr="001045F0">
        <w:rPr>
          <w:lang w:val="en-US"/>
        </w:rPr>
        <w:t>yargıcın</w:t>
      </w:r>
      <w:proofErr w:type="spellEnd"/>
      <w:r w:rsidRPr="001045F0">
        <w:rPr>
          <w:lang w:val="en-US"/>
        </w:rPr>
        <w:t xml:space="preserve"> </w:t>
      </w:r>
      <w:proofErr w:type="spellStart"/>
      <w:r w:rsidRPr="001045F0">
        <w:rPr>
          <w:lang w:val="en-US"/>
        </w:rPr>
        <w:t>rolünü</w:t>
      </w:r>
      <w:proofErr w:type="spellEnd"/>
      <w:r w:rsidRPr="001045F0">
        <w:rPr>
          <w:lang w:val="en-US"/>
        </w:rPr>
        <w:t xml:space="preserve"> </w:t>
      </w:r>
      <w:proofErr w:type="spellStart"/>
      <w:r w:rsidRPr="001045F0">
        <w:rPr>
          <w:lang w:val="en-US"/>
        </w:rPr>
        <w:t>esasen</w:t>
      </w:r>
      <w:proofErr w:type="spellEnd"/>
      <w:r w:rsidRPr="001045F0">
        <w:rPr>
          <w:lang w:val="en-US"/>
        </w:rPr>
        <w:t xml:space="preserve"> </w:t>
      </w:r>
      <w:proofErr w:type="spellStart"/>
      <w:r w:rsidRPr="001045F0">
        <w:rPr>
          <w:lang w:val="en-US"/>
        </w:rPr>
        <w:t>veya</w:t>
      </w:r>
      <w:proofErr w:type="spellEnd"/>
      <w:r w:rsidRPr="001045F0">
        <w:rPr>
          <w:lang w:val="en-US"/>
        </w:rPr>
        <w:t xml:space="preserve"> </w:t>
      </w:r>
      <w:proofErr w:type="spellStart"/>
      <w:r w:rsidRPr="001045F0">
        <w:rPr>
          <w:lang w:val="en-US"/>
        </w:rPr>
        <w:t>tamamen</w:t>
      </w:r>
      <w:proofErr w:type="spellEnd"/>
      <w:r w:rsidRPr="001045F0">
        <w:rPr>
          <w:lang w:val="en-US"/>
        </w:rPr>
        <w:t xml:space="preserve"> "</w:t>
      </w:r>
      <w:proofErr w:type="spellStart"/>
      <w:r w:rsidRPr="001045F0">
        <w:rPr>
          <w:lang w:val="en-US"/>
        </w:rPr>
        <w:t>metinleri</w:t>
      </w:r>
      <w:proofErr w:type="spellEnd"/>
      <w:r w:rsidRPr="001045F0">
        <w:rPr>
          <w:lang w:val="en-US"/>
        </w:rPr>
        <w:t xml:space="preserve"> </w:t>
      </w:r>
      <w:proofErr w:type="spellStart"/>
      <w:r w:rsidRPr="001045F0">
        <w:rPr>
          <w:lang w:val="en-US"/>
        </w:rPr>
        <w:t>yorumlamak</w:t>
      </w:r>
      <w:proofErr w:type="spellEnd"/>
      <w:r w:rsidRPr="001045F0">
        <w:rPr>
          <w:lang w:val="en-US"/>
        </w:rPr>
        <w:t xml:space="preserve">" </w:t>
      </w:r>
      <w:proofErr w:type="spellStart"/>
      <w:r w:rsidRPr="001045F0">
        <w:rPr>
          <w:lang w:val="en-US"/>
        </w:rPr>
        <w:t>olarak</w:t>
      </w:r>
      <w:proofErr w:type="spellEnd"/>
      <w:r w:rsidRPr="001045F0">
        <w:rPr>
          <w:lang w:val="en-US"/>
        </w:rPr>
        <w:t xml:space="preserve"> </w:t>
      </w:r>
      <w:proofErr w:type="spellStart"/>
      <w:r w:rsidRPr="001045F0">
        <w:rPr>
          <w:lang w:val="en-US"/>
        </w:rPr>
        <w:t>kavramsallaştıran</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dili</w:t>
      </w:r>
      <w:proofErr w:type="spellEnd"/>
      <w:r w:rsidRPr="001045F0">
        <w:rPr>
          <w:lang w:val="en-US"/>
        </w:rPr>
        <w:t xml:space="preserve"> </w:t>
      </w:r>
      <w:proofErr w:type="spellStart"/>
      <w:r w:rsidRPr="001045F0">
        <w:rPr>
          <w:lang w:val="en-US"/>
        </w:rPr>
        <w:t>tercih</w:t>
      </w:r>
      <w:proofErr w:type="spellEnd"/>
      <w:r w:rsidRPr="001045F0">
        <w:rPr>
          <w:lang w:val="en-US"/>
        </w:rPr>
        <w:t xml:space="preserve"> </w:t>
      </w:r>
      <w:proofErr w:type="spellStart"/>
      <w:r w:rsidRPr="001045F0">
        <w:rPr>
          <w:lang w:val="en-US"/>
        </w:rPr>
        <w:t>etmektedirler</w:t>
      </w:r>
      <w:proofErr w:type="spellEnd"/>
      <w:r w:rsidRPr="001045F0">
        <w:rPr>
          <w:lang w:val="en-US"/>
        </w:rPr>
        <w:t>.</w:t>
      </w:r>
      <w:r w:rsidRPr="001045F0">
        <w:rPr>
          <w:lang w:val="en-US"/>
        </w:rPr>
        <w:br/>
      </w:r>
      <w:proofErr w:type="spellStart"/>
      <w:r w:rsidRPr="001045F0">
        <w:rPr>
          <w:lang w:val="en-US"/>
        </w:rPr>
        <w:t>Bkz</w:t>
      </w:r>
      <w:proofErr w:type="spellEnd"/>
      <w:r w:rsidRPr="001045F0">
        <w:rPr>
          <w:lang w:val="en-US"/>
        </w:rPr>
        <w:t xml:space="preserve">. </w:t>
      </w:r>
      <w:proofErr w:type="spellStart"/>
      <w:r w:rsidRPr="001045F0">
        <w:rPr>
          <w:lang w:val="en-US"/>
        </w:rPr>
        <w:t>örn</w:t>
      </w:r>
      <w:proofErr w:type="spellEnd"/>
      <w:r w:rsidRPr="001045F0">
        <w:rPr>
          <w:lang w:val="en-US"/>
        </w:rPr>
        <w:t>., ANTONIN SCALIA, A MATTER OF INTERPRETATION: FEDERAL COURTS AND THE LAW (1997) (</w:t>
      </w:r>
      <w:proofErr w:type="spellStart"/>
      <w:r w:rsidRPr="001045F0">
        <w:rPr>
          <w:lang w:val="en-US"/>
        </w:rPr>
        <w:t>anayasal</w:t>
      </w:r>
      <w:proofErr w:type="spellEnd"/>
      <w:r w:rsidRPr="001045F0">
        <w:rPr>
          <w:lang w:val="en-US"/>
        </w:rPr>
        <w:t xml:space="preserve"> </w:t>
      </w:r>
      <w:proofErr w:type="spellStart"/>
      <w:r w:rsidRPr="001045F0">
        <w:rPr>
          <w:lang w:val="en-US"/>
        </w:rPr>
        <w:t>yoruma</w:t>
      </w:r>
      <w:proofErr w:type="spellEnd"/>
      <w:r w:rsidRPr="001045F0">
        <w:rPr>
          <w:lang w:val="en-US"/>
        </w:rPr>
        <w:t xml:space="preserve"> </w:t>
      </w:r>
      <w:proofErr w:type="spellStart"/>
      <w:r w:rsidRPr="001045F0">
        <w:rPr>
          <w:lang w:val="en-US"/>
        </w:rPr>
        <w:t>ilişkin</w:t>
      </w:r>
      <w:proofErr w:type="spellEnd"/>
      <w:r w:rsidRPr="001045F0">
        <w:rPr>
          <w:lang w:val="en-US"/>
        </w:rPr>
        <w:t xml:space="preserve"> </w:t>
      </w:r>
      <w:proofErr w:type="spellStart"/>
      <w:r w:rsidRPr="001045F0">
        <w:rPr>
          <w:lang w:val="en-US"/>
        </w:rPr>
        <w:t>tartışmayı</w:t>
      </w:r>
      <w:proofErr w:type="spellEnd"/>
      <w:r w:rsidRPr="001045F0">
        <w:rPr>
          <w:lang w:val="en-US"/>
        </w:rPr>
        <w:t xml:space="preserve">, </w:t>
      </w:r>
      <w:proofErr w:type="spellStart"/>
      <w:r w:rsidRPr="001045F0">
        <w:rPr>
          <w:lang w:val="en-US"/>
        </w:rPr>
        <w:t>yorum</w:t>
      </w:r>
      <w:proofErr w:type="spellEnd"/>
      <w:r w:rsidRPr="001045F0">
        <w:rPr>
          <w:lang w:val="en-US"/>
        </w:rPr>
        <w:t xml:space="preserve"> </w:t>
      </w:r>
      <w:proofErr w:type="spellStart"/>
      <w:r w:rsidRPr="001045F0">
        <w:rPr>
          <w:lang w:val="en-US"/>
        </w:rPr>
        <w:t>yöntemleri</w:t>
      </w:r>
      <w:proofErr w:type="spellEnd"/>
      <w:r w:rsidRPr="001045F0">
        <w:rPr>
          <w:lang w:val="en-US"/>
        </w:rPr>
        <w:t xml:space="preserve"> </w:t>
      </w:r>
      <w:proofErr w:type="spellStart"/>
      <w:r w:rsidRPr="001045F0">
        <w:rPr>
          <w:lang w:val="en-US"/>
        </w:rPr>
        <w:t>arasındaki</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mücadele</w:t>
      </w:r>
      <w:proofErr w:type="spellEnd"/>
      <w:r w:rsidRPr="001045F0">
        <w:rPr>
          <w:lang w:val="en-US"/>
        </w:rPr>
        <w:t xml:space="preserve"> </w:t>
      </w:r>
      <w:proofErr w:type="spellStart"/>
      <w:r w:rsidRPr="001045F0">
        <w:rPr>
          <w:lang w:val="en-US"/>
        </w:rPr>
        <w:t>olarak</w:t>
      </w:r>
      <w:proofErr w:type="spellEnd"/>
      <w:r w:rsidRPr="001045F0">
        <w:rPr>
          <w:lang w:val="en-US"/>
        </w:rPr>
        <w:t xml:space="preserve"> </w:t>
      </w:r>
      <w:proofErr w:type="spellStart"/>
      <w:r w:rsidRPr="001045F0">
        <w:rPr>
          <w:lang w:val="en-US"/>
        </w:rPr>
        <w:t>çerçevelemektedir</w:t>
      </w:r>
      <w:proofErr w:type="spellEnd"/>
      <w:r w:rsidRPr="001045F0">
        <w:rPr>
          <w:lang w:val="en-US"/>
        </w:rPr>
        <w:t>); Owen M. Fiss, Objectivity and Interpretation, 34 STAN. L. REV. 739, 739 (1982) (“</w:t>
      </w:r>
      <w:proofErr w:type="spellStart"/>
      <w:r w:rsidRPr="001045F0">
        <w:rPr>
          <w:lang w:val="en-US"/>
        </w:rPr>
        <w:t>Yargılama</w:t>
      </w:r>
      <w:proofErr w:type="spellEnd"/>
      <w:r w:rsidRPr="001045F0">
        <w:rPr>
          <w:lang w:val="en-US"/>
        </w:rPr>
        <w:t xml:space="preserve">, </w:t>
      </w:r>
      <w:proofErr w:type="spellStart"/>
      <w:r w:rsidRPr="001045F0">
        <w:rPr>
          <w:lang w:val="en-US"/>
        </w:rPr>
        <w:t>yorumlamadır</w:t>
      </w:r>
      <w:proofErr w:type="spellEnd"/>
      <w:r w:rsidRPr="001045F0">
        <w:rPr>
          <w:lang w:val="en-US"/>
        </w:rPr>
        <w:t xml:space="preserve">: </w:t>
      </w:r>
      <w:proofErr w:type="spellStart"/>
      <w:r w:rsidRPr="001045F0">
        <w:rPr>
          <w:lang w:val="en-US"/>
        </w:rPr>
        <w:t>Yargılama</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yargıcın</w:t>
      </w:r>
      <w:proofErr w:type="spellEnd"/>
      <w:r w:rsidRPr="001045F0">
        <w:rPr>
          <w:lang w:val="en-US"/>
        </w:rPr>
        <w:t xml:space="preserve"> </w:t>
      </w:r>
      <w:proofErr w:type="spellStart"/>
      <w:r w:rsidRPr="001045F0">
        <w:rPr>
          <w:lang w:val="en-US"/>
        </w:rPr>
        <w:t>otoritatif</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hukuki</w:t>
      </w:r>
      <w:proofErr w:type="spellEnd"/>
      <w:r w:rsidRPr="001045F0">
        <w:rPr>
          <w:lang w:val="en-US"/>
        </w:rPr>
        <w:t xml:space="preserve"> </w:t>
      </w:r>
      <w:proofErr w:type="spellStart"/>
      <w:r w:rsidRPr="001045F0">
        <w:rPr>
          <w:lang w:val="en-US"/>
        </w:rPr>
        <w:t>metnin</w:t>
      </w:r>
      <w:proofErr w:type="spellEnd"/>
      <w:r w:rsidRPr="001045F0">
        <w:rPr>
          <w:lang w:val="en-US"/>
        </w:rPr>
        <w:t xml:space="preserve"> </w:t>
      </w:r>
      <w:proofErr w:type="spellStart"/>
      <w:r w:rsidRPr="001045F0">
        <w:rPr>
          <w:lang w:val="en-US"/>
        </w:rPr>
        <w:t>anlamını</w:t>
      </w:r>
      <w:proofErr w:type="spellEnd"/>
      <w:r w:rsidRPr="001045F0">
        <w:rPr>
          <w:lang w:val="en-US"/>
        </w:rPr>
        <w:t xml:space="preserve"> </w:t>
      </w:r>
      <w:proofErr w:type="spellStart"/>
      <w:r w:rsidRPr="001045F0">
        <w:rPr>
          <w:lang w:val="en-US"/>
        </w:rPr>
        <w:t>kavrama</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ifade</w:t>
      </w:r>
      <w:proofErr w:type="spellEnd"/>
      <w:r w:rsidRPr="001045F0">
        <w:rPr>
          <w:lang w:val="en-US"/>
        </w:rPr>
        <w:t xml:space="preserve"> </w:t>
      </w:r>
      <w:proofErr w:type="spellStart"/>
      <w:r w:rsidRPr="001045F0">
        <w:rPr>
          <w:lang w:val="en-US"/>
        </w:rPr>
        <w:t>etme</w:t>
      </w:r>
      <w:proofErr w:type="spellEnd"/>
      <w:r w:rsidRPr="001045F0">
        <w:rPr>
          <w:lang w:val="en-US"/>
        </w:rPr>
        <w:t xml:space="preserve"> </w:t>
      </w:r>
      <w:proofErr w:type="spellStart"/>
      <w:r w:rsidRPr="001045F0">
        <w:rPr>
          <w:lang w:val="en-US"/>
        </w:rPr>
        <w:t>sürecidir</w:t>
      </w:r>
      <w:proofErr w:type="spellEnd"/>
      <w:r w:rsidRPr="001045F0">
        <w:rPr>
          <w:lang w:val="en-US"/>
        </w:rPr>
        <w:t xml:space="preserve">... .”); </w:t>
      </w:r>
      <w:proofErr w:type="spellStart"/>
      <w:r w:rsidRPr="001045F0">
        <w:rPr>
          <w:lang w:val="en-US"/>
        </w:rPr>
        <w:t>ayrıca</w:t>
      </w:r>
      <w:proofErr w:type="spellEnd"/>
      <w:r w:rsidRPr="001045F0">
        <w:rPr>
          <w:lang w:val="en-US"/>
        </w:rPr>
        <w:t xml:space="preserve"> </w:t>
      </w:r>
      <w:proofErr w:type="spellStart"/>
      <w:r w:rsidRPr="001045F0">
        <w:rPr>
          <w:lang w:val="en-US"/>
        </w:rPr>
        <w:t>bkz</w:t>
      </w:r>
      <w:proofErr w:type="spellEnd"/>
      <w:r w:rsidRPr="001045F0">
        <w:rPr>
          <w:lang w:val="en-US"/>
        </w:rPr>
        <w:t xml:space="preserve">. MICHAEL J. GERHARDT ET AL., CONSTITUTIONAL THEORY: ARGUMENTS &amp; PERSPECTIVES vii (3. </w:t>
      </w:r>
      <w:proofErr w:type="spellStart"/>
      <w:r w:rsidRPr="001045F0">
        <w:rPr>
          <w:lang w:val="en-US"/>
        </w:rPr>
        <w:t>baskı</w:t>
      </w:r>
      <w:proofErr w:type="spellEnd"/>
      <w:r w:rsidRPr="001045F0">
        <w:rPr>
          <w:lang w:val="en-US"/>
        </w:rPr>
        <w:t>, 2007) (</w:t>
      </w:r>
      <w:proofErr w:type="spellStart"/>
      <w:r w:rsidRPr="001045F0">
        <w:rPr>
          <w:lang w:val="en-US"/>
        </w:rPr>
        <w:t>anayasa</w:t>
      </w:r>
      <w:proofErr w:type="spellEnd"/>
      <w:r w:rsidRPr="001045F0">
        <w:rPr>
          <w:lang w:val="en-US"/>
        </w:rPr>
        <w:t xml:space="preserve"> </w:t>
      </w:r>
      <w:proofErr w:type="spellStart"/>
      <w:r w:rsidRPr="001045F0">
        <w:rPr>
          <w:lang w:val="en-US"/>
        </w:rPr>
        <w:t>hukuku</w:t>
      </w:r>
      <w:proofErr w:type="spellEnd"/>
      <w:r w:rsidRPr="001045F0">
        <w:rPr>
          <w:lang w:val="en-US"/>
        </w:rPr>
        <w:t xml:space="preserve"> </w:t>
      </w:r>
      <w:proofErr w:type="spellStart"/>
      <w:r w:rsidRPr="001045F0">
        <w:rPr>
          <w:lang w:val="en-US"/>
        </w:rPr>
        <w:t>oluşturma</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tartışma</w:t>
      </w:r>
      <w:proofErr w:type="spellEnd"/>
      <w:r w:rsidRPr="001045F0">
        <w:rPr>
          <w:lang w:val="en-US"/>
        </w:rPr>
        <w:t xml:space="preserve"> </w:t>
      </w:r>
      <w:proofErr w:type="spellStart"/>
      <w:r w:rsidRPr="001045F0">
        <w:rPr>
          <w:lang w:val="en-US"/>
        </w:rPr>
        <w:t>sürecini</w:t>
      </w:r>
      <w:proofErr w:type="spellEnd"/>
      <w:r w:rsidRPr="001045F0">
        <w:rPr>
          <w:lang w:val="en-US"/>
        </w:rPr>
        <w:t xml:space="preserve">, </w:t>
      </w:r>
      <w:proofErr w:type="spellStart"/>
      <w:r w:rsidRPr="001045F0">
        <w:rPr>
          <w:lang w:val="en-US"/>
        </w:rPr>
        <w:t>Anayasa’nın</w:t>
      </w:r>
      <w:proofErr w:type="spellEnd"/>
      <w:r w:rsidRPr="001045F0">
        <w:rPr>
          <w:lang w:val="en-US"/>
        </w:rPr>
        <w:t xml:space="preserve"> </w:t>
      </w:r>
      <w:proofErr w:type="spellStart"/>
      <w:r w:rsidRPr="001045F0">
        <w:rPr>
          <w:lang w:val="en-US"/>
        </w:rPr>
        <w:t>doğru</w:t>
      </w:r>
      <w:proofErr w:type="spellEnd"/>
      <w:r w:rsidRPr="001045F0">
        <w:rPr>
          <w:lang w:val="en-US"/>
        </w:rPr>
        <w:t xml:space="preserve"> “</w:t>
      </w:r>
      <w:proofErr w:type="spellStart"/>
      <w:r w:rsidRPr="001045F0">
        <w:rPr>
          <w:lang w:val="en-US"/>
        </w:rPr>
        <w:t>yorumu</w:t>
      </w:r>
      <w:proofErr w:type="spellEnd"/>
      <w:r w:rsidRPr="001045F0">
        <w:rPr>
          <w:lang w:val="en-US"/>
        </w:rPr>
        <w:t xml:space="preserve">” (interpretation) </w:t>
      </w:r>
      <w:proofErr w:type="spellStart"/>
      <w:r w:rsidRPr="001045F0">
        <w:rPr>
          <w:lang w:val="en-US"/>
        </w:rPr>
        <w:t>etrafında</w:t>
      </w:r>
      <w:proofErr w:type="spellEnd"/>
      <w:r w:rsidRPr="001045F0">
        <w:rPr>
          <w:lang w:val="en-US"/>
        </w:rPr>
        <w:t xml:space="preserve"> </w:t>
      </w:r>
      <w:proofErr w:type="spellStart"/>
      <w:r w:rsidRPr="001045F0">
        <w:rPr>
          <w:lang w:val="en-US"/>
        </w:rPr>
        <w:t>şekillenen</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süreç</w:t>
      </w:r>
      <w:proofErr w:type="spellEnd"/>
      <w:r w:rsidRPr="001045F0">
        <w:rPr>
          <w:lang w:val="en-US"/>
        </w:rPr>
        <w:t xml:space="preserve"> </w:t>
      </w:r>
      <w:proofErr w:type="spellStart"/>
      <w:r w:rsidRPr="001045F0">
        <w:rPr>
          <w:lang w:val="en-US"/>
        </w:rPr>
        <w:t>olarak</w:t>
      </w:r>
      <w:proofErr w:type="spellEnd"/>
      <w:r w:rsidRPr="001045F0">
        <w:rPr>
          <w:lang w:val="en-US"/>
        </w:rPr>
        <w:t xml:space="preserve"> </w:t>
      </w:r>
      <w:proofErr w:type="spellStart"/>
      <w:r w:rsidRPr="001045F0">
        <w:rPr>
          <w:lang w:val="en-US"/>
        </w:rPr>
        <w:t>tanımlayan</w:t>
      </w:r>
      <w:proofErr w:type="spellEnd"/>
      <w:r w:rsidRPr="001045F0">
        <w:rPr>
          <w:lang w:val="en-US"/>
        </w:rPr>
        <w:t xml:space="preserve"> </w:t>
      </w:r>
      <w:proofErr w:type="spellStart"/>
      <w:r w:rsidRPr="001045F0">
        <w:rPr>
          <w:lang w:val="en-US"/>
        </w:rPr>
        <w:t>ve</w:t>
      </w:r>
      <w:proofErr w:type="spellEnd"/>
      <w:r w:rsidRPr="001045F0">
        <w:rPr>
          <w:lang w:val="en-US"/>
        </w:rPr>
        <w:t xml:space="preserve"> </w:t>
      </w:r>
      <w:proofErr w:type="spellStart"/>
      <w:r w:rsidRPr="001045F0">
        <w:rPr>
          <w:lang w:val="en-US"/>
        </w:rPr>
        <w:t>anayasa</w:t>
      </w:r>
      <w:proofErr w:type="spellEnd"/>
      <w:r w:rsidRPr="001045F0">
        <w:rPr>
          <w:lang w:val="en-US"/>
        </w:rPr>
        <w:t xml:space="preserve"> </w:t>
      </w:r>
      <w:proofErr w:type="spellStart"/>
      <w:r w:rsidRPr="001045F0">
        <w:rPr>
          <w:lang w:val="en-US"/>
        </w:rPr>
        <w:t>teorisi</w:t>
      </w:r>
      <w:proofErr w:type="spellEnd"/>
      <w:r w:rsidRPr="001045F0">
        <w:rPr>
          <w:lang w:val="en-US"/>
        </w:rPr>
        <w:t xml:space="preserve"> </w:t>
      </w:r>
      <w:proofErr w:type="spellStart"/>
      <w:r w:rsidRPr="001045F0">
        <w:rPr>
          <w:lang w:val="en-US"/>
        </w:rPr>
        <w:t>üzerine</w:t>
      </w:r>
      <w:proofErr w:type="spellEnd"/>
      <w:r w:rsidRPr="001045F0">
        <w:rPr>
          <w:lang w:val="en-US"/>
        </w:rPr>
        <w:t xml:space="preserve"> </w:t>
      </w:r>
      <w:proofErr w:type="spellStart"/>
      <w:r w:rsidRPr="001045F0">
        <w:rPr>
          <w:lang w:val="en-US"/>
        </w:rPr>
        <w:t>sofistike</w:t>
      </w:r>
      <w:proofErr w:type="spellEnd"/>
      <w:r w:rsidRPr="001045F0">
        <w:rPr>
          <w:lang w:val="en-US"/>
        </w:rPr>
        <w:t xml:space="preserve"> </w:t>
      </w:r>
      <w:proofErr w:type="spellStart"/>
      <w:r w:rsidRPr="001045F0">
        <w:rPr>
          <w:lang w:val="en-US"/>
        </w:rPr>
        <w:t>bir</w:t>
      </w:r>
      <w:proofErr w:type="spellEnd"/>
      <w:r w:rsidRPr="001045F0">
        <w:rPr>
          <w:lang w:val="en-US"/>
        </w:rPr>
        <w:t xml:space="preserve"> </w:t>
      </w:r>
      <w:proofErr w:type="spellStart"/>
      <w:r w:rsidRPr="001045F0">
        <w:rPr>
          <w:lang w:val="en-US"/>
        </w:rPr>
        <w:t>ders</w:t>
      </w:r>
      <w:proofErr w:type="spellEnd"/>
      <w:r w:rsidRPr="001045F0">
        <w:rPr>
          <w:lang w:val="en-US"/>
        </w:rPr>
        <w:t xml:space="preserve"> </w:t>
      </w:r>
      <w:proofErr w:type="spellStart"/>
      <w:r w:rsidRPr="001045F0">
        <w:rPr>
          <w:lang w:val="en-US"/>
        </w:rPr>
        <w:t>kitabının</w:t>
      </w:r>
      <w:proofErr w:type="spellEnd"/>
      <w:r w:rsidRPr="001045F0">
        <w:rPr>
          <w:lang w:val="en-US"/>
        </w:rPr>
        <w:t xml:space="preserve"> </w:t>
      </w:r>
      <w:proofErr w:type="spellStart"/>
      <w:r w:rsidRPr="001045F0">
        <w:rPr>
          <w:lang w:val="en-US"/>
        </w:rPr>
        <w:t>önsözünde</w:t>
      </w:r>
      <w:proofErr w:type="spellEnd"/>
      <w:r w:rsidRPr="001045F0">
        <w:rPr>
          <w:lang w:val="en-US"/>
        </w:rPr>
        <w:t xml:space="preserve"> ilk </w:t>
      </w:r>
      <w:proofErr w:type="spellStart"/>
      <w:r w:rsidRPr="001045F0">
        <w:rPr>
          <w:lang w:val="en-US"/>
        </w:rPr>
        <w:t>dört</w:t>
      </w:r>
      <w:proofErr w:type="spellEnd"/>
      <w:r w:rsidRPr="001045F0">
        <w:rPr>
          <w:lang w:val="en-US"/>
        </w:rPr>
        <w:t xml:space="preserve"> </w:t>
      </w:r>
      <w:proofErr w:type="spellStart"/>
      <w:r w:rsidRPr="001045F0">
        <w:rPr>
          <w:lang w:val="en-US"/>
        </w:rPr>
        <w:t>cümlede</w:t>
      </w:r>
      <w:proofErr w:type="spellEnd"/>
      <w:r w:rsidRPr="001045F0">
        <w:rPr>
          <w:lang w:val="en-US"/>
        </w:rPr>
        <w:t xml:space="preserve"> </w:t>
      </w:r>
      <w:proofErr w:type="spellStart"/>
      <w:r w:rsidRPr="001045F0">
        <w:rPr>
          <w:lang w:val="en-US"/>
        </w:rPr>
        <w:t>dahi</w:t>
      </w:r>
      <w:proofErr w:type="spellEnd"/>
      <w:r w:rsidRPr="001045F0">
        <w:rPr>
          <w:lang w:val="en-US"/>
        </w:rPr>
        <w:t xml:space="preserve"> </w:t>
      </w:r>
      <w:proofErr w:type="spellStart"/>
      <w:r w:rsidRPr="001045F0">
        <w:rPr>
          <w:lang w:val="en-US"/>
        </w:rPr>
        <w:t>bu</w:t>
      </w:r>
      <w:proofErr w:type="spellEnd"/>
      <w:r w:rsidRPr="001045F0">
        <w:rPr>
          <w:lang w:val="en-US"/>
        </w:rPr>
        <w:t xml:space="preserve"> </w:t>
      </w:r>
      <w:proofErr w:type="spellStart"/>
      <w:r w:rsidRPr="001045F0">
        <w:rPr>
          <w:lang w:val="en-US"/>
        </w:rPr>
        <w:t>kavrama</w:t>
      </w:r>
      <w:proofErr w:type="spellEnd"/>
      <w:r w:rsidRPr="001045F0">
        <w:rPr>
          <w:lang w:val="en-US"/>
        </w:rPr>
        <w:t xml:space="preserve"> </w:t>
      </w:r>
      <w:proofErr w:type="spellStart"/>
      <w:r w:rsidRPr="001045F0">
        <w:rPr>
          <w:lang w:val="en-US"/>
        </w:rPr>
        <w:t>yer</w:t>
      </w:r>
      <w:proofErr w:type="spellEnd"/>
      <w:r w:rsidRPr="001045F0">
        <w:rPr>
          <w:lang w:val="en-US"/>
        </w:rPr>
        <w:t xml:space="preserve"> </w:t>
      </w:r>
      <w:proofErr w:type="spellStart"/>
      <w:r w:rsidRPr="001045F0">
        <w:rPr>
          <w:lang w:val="en-US"/>
        </w:rPr>
        <w:t>veren</w:t>
      </w:r>
      <w:proofErr w:type="spellEnd"/>
      <w:r w:rsidRPr="001045F0">
        <w:rPr>
          <w:lang w:val="en-US"/>
        </w:rPr>
        <w:t xml:space="preserve"> </w:t>
      </w:r>
      <w:proofErr w:type="spellStart"/>
      <w:r w:rsidRPr="001045F0">
        <w:rPr>
          <w:lang w:val="en-US"/>
        </w:rPr>
        <w:t>eser</w:t>
      </w:r>
      <w:proofErr w:type="spellEnd"/>
      <w:r w:rsidRPr="001045F0">
        <w:rPr>
          <w:lang w:val="en-US"/>
        </w:rPr>
        <w:t>).</w:t>
      </w:r>
      <w:r>
        <w:rPr>
          <w:lang w:val="en-US"/>
        </w:rPr>
        <w:t xml:space="preserve"> </w:t>
      </w:r>
    </w:p>
  </w:footnote>
  <w:footnote w:id="2">
    <w:p w14:paraId="496028B3" w14:textId="5A0499DB" w:rsidR="001045F0" w:rsidRPr="009F15C9" w:rsidRDefault="001045F0" w:rsidP="009F15C9">
      <w:pPr>
        <w:pStyle w:val="Dipnot"/>
      </w:pPr>
      <w:r>
        <w:rPr>
          <w:rStyle w:val="FootnoteReference"/>
        </w:rPr>
        <w:footnoteRef/>
      </w:r>
      <w:r>
        <w:t xml:space="preserve"> </w:t>
      </w:r>
      <w:r>
        <w:tab/>
      </w:r>
      <w:r w:rsidRPr="00F8454B">
        <w:t>² Anayasa hukukunun en azından kısmen, zaman içinde gelişen metin dışı kurumlar ve normlar aracılığıyla üretildiğini gözlemleyen ilk kişi ben değilim. Bu yaklaşım, Yüksek Mahkeme’ye ilişkin siyaset bilimi literatürünün temel bir unsurudur. Ayrıca, modern anayasa düşüncesinin en önemli isimlerinden bazılarının çalışmalarının da merkezinde yer almaktadır.</w:t>
      </w:r>
      <w:r w:rsidRPr="00F8454B">
        <w:br/>
        <w:t xml:space="preserve">Bkz. </w:t>
      </w:r>
      <w:proofErr w:type="spellStart"/>
      <w:r w:rsidRPr="00F8454B">
        <w:t>örn</w:t>
      </w:r>
      <w:proofErr w:type="spellEnd"/>
      <w:r w:rsidRPr="00F8454B">
        <w:t>., JACK M. BALKIN, CONSTITUTIONAL REDEMPTION: POLITICAL FAITH IN AN UNJUST WORLD 1 (2011) (kamunun anayasal girişimlere yönelik tutumunun bu girişimlerin meşruiyetini nasıl etkilediğini incelemektedir); RICHARD H. FALLON JR., THE DYNAMIC CONSTITUTION: AN INTRODUCTION TO AMERICAN CONSTITUTIONAL LAW AND PRACTICE 1-2 (2. baskı, 2013) (anayasa hukukunu, anayasa hukukunun ortaya çıktığı birçok dışsal faktörü ifade etmek amacıyla bir "uygulama" (</w:t>
      </w:r>
      <w:proofErr w:type="spellStart"/>
      <w:r w:rsidRPr="00F8454B">
        <w:t>practice</w:t>
      </w:r>
      <w:proofErr w:type="spellEnd"/>
      <w:r w:rsidRPr="00F8454B">
        <w:t xml:space="preserve">) olarak ele almaktadır); SANFORD LEVINSON, CONSTITUTIONAL FAITH 10 (1988) (Anayasa ile Amerikan politik öz-kavrayışı arasındaki karmaşık ilişkiyi incelemektedir); H. JEFFERSON POWELL, A COMMUNITY BUILT ON WORDS: THE CONSTITUTION IN HISTORY AND POLITICS 7 (2002) (Anayasa’nın tarihsel süreç içinde değişen yorumlarını keşfetmektedir); Robert C. Post, </w:t>
      </w:r>
      <w:proofErr w:type="spellStart"/>
      <w:r w:rsidRPr="00F8454B">
        <w:t>The</w:t>
      </w:r>
      <w:proofErr w:type="spellEnd"/>
      <w:r w:rsidRPr="00F8454B">
        <w:t xml:space="preserve"> </w:t>
      </w:r>
      <w:proofErr w:type="spellStart"/>
      <w:r w:rsidRPr="00F8454B">
        <w:t>Supreme</w:t>
      </w:r>
      <w:proofErr w:type="spellEnd"/>
      <w:r w:rsidRPr="00F8454B">
        <w:t xml:space="preserve"> Court 2002 </w:t>
      </w:r>
      <w:proofErr w:type="spellStart"/>
      <w:r w:rsidRPr="00F8454B">
        <w:t>Term</w:t>
      </w:r>
      <w:proofErr w:type="spellEnd"/>
      <w:r w:rsidRPr="00F8454B">
        <w:t>—</w:t>
      </w:r>
      <w:proofErr w:type="spellStart"/>
      <w:r w:rsidRPr="00F8454B">
        <w:t>Foreword</w:t>
      </w:r>
      <w:proofErr w:type="spellEnd"/>
      <w:r w:rsidRPr="00F8454B">
        <w:t xml:space="preserve">: </w:t>
      </w:r>
      <w:proofErr w:type="spellStart"/>
      <w:r w:rsidRPr="00F8454B">
        <w:t>Fashioning</w:t>
      </w:r>
      <w:proofErr w:type="spellEnd"/>
      <w:r w:rsidRPr="00F8454B">
        <w:t xml:space="preserve"> </w:t>
      </w:r>
      <w:proofErr w:type="spellStart"/>
      <w:r w:rsidRPr="00F8454B">
        <w:t>the</w:t>
      </w:r>
      <w:proofErr w:type="spellEnd"/>
      <w:r w:rsidRPr="00F8454B">
        <w:t xml:space="preserve"> Legal </w:t>
      </w:r>
      <w:proofErr w:type="spellStart"/>
      <w:r w:rsidRPr="00F8454B">
        <w:t>Constitution</w:t>
      </w:r>
      <w:proofErr w:type="spellEnd"/>
      <w:r w:rsidRPr="00F8454B">
        <w:t xml:space="preserve">: </w:t>
      </w:r>
      <w:proofErr w:type="spellStart"/>
      <w:r w:rsidRPr="00F8454B">
        <w:t>Culture</w:t>
      </w:r>
      <w:proofErr w:type="spellEnd"/>
      <w:r w:rsidRPr="00F8454B">
        <w:t xml:space="preserve">, </w:t>
      </w:r>
      <w:proofErr w:type="spellStart"/>
      <w:r w:rsidRPr="00F8454B">
        <w:t>Courts</w:t>
      </w:r>
      <w:proofErr w:type="spellEnd"/>
      <w:r w:rsidRPr="00F8454B">
        <w:t xml:space="preserve">, </w:t>
      </w:r>
      <w:proofErr w:type="spellStart"/>
      <w:r w:rsidRPr="00F8454B">
        <w:t>and</w:t>
      </w:r>
      <w:proofErr w:type="spellEnd"/>
      <w:r w:rsidRPr="00F8454B">
        <w:t xml:space="preserve"> </w:t>
      </w:r>
      <w:proofErr w:type="spellStart"/>
      <w:r w:rsidRPr="00F8454B">
        <w:t>Law</w:t>
      </w:r>
      <w:proofErr w:type="spellEnd"/>
      <w:r w:rsidRPr="00F8454B">
        <w:t xml:space="preserve">, 117 HARV. L. REV. 4, 8 (2003) (2002 Yüksek Mahkeme dönemi boyunca verilen üç önemli kararı inceleyerek, yargı dışı aktörlerin değerlerinin anayasa hukukunu nasıl etkilediğini analiz etmektedir); Reva B. </w:t>
      </w:r>
      <w:proofErr w:type="spellStart"/>
      <w:r w:rsidRPr="00F8454B">
        <w:t>Siegel</w:t>
      </w:r>
      <w:proofErr w:type="spellEnd"/>
      <w:r w:rsidRPr="00F8454B">
        <w:t xml:space="preserve">, </w:t>
      </w:r>
      <w:proofErr w:type="spellStart"/>
      <w:r w:rsidRPr="00F8454B">
        <w:t>Constitutional</w:t>
      </w:r>
      <w:proofErr w:type="spellEnd"/>
      <w:r w:rsidRPr="00F8454B">
        <w:t xml:space="preserve"> </w:t>
      </w:r>
      <w:proofErr w:type="spellStart"/>
      <w:r w:rsidRPr="00F8454B">
        <w:t>Culture</w:t>
      </w:r>
      <w:proofErr w:type="spellEnd"/>
      <w:r w:rsidRPr="00F8454B">
        <w:t xml:space="preserve">, </w:t>
      </w:r>
      <w:proofErr w:type="spellStart"/>
      <w:r w:rsidRPr="00F8454B">
        <w:t>Social</w:t>
      </w:r>
      <w:proofErr w:type="spellEnd"/>
      <w:r w:rsidRPr="00F8454B">
        <w:t xml:space="preserve"> </w:t>
      </w:r>
      <w:proofErr w:type="spellStart"/>
      <w:r w:rsidRPr="00F8454B">
        <w:t>Movement</w:t>
      </w:r>
      <w:proofErr w:type="spellEnd"/>
      <w:r w:rsidRPr="00F8454B">
        <w:t xml:space="preserve"> </w:t>
      </w:r>
      <w:proofErr w:type="spellStart"/>
      <w:r w:rsidRPr="00F8454B">
        <w:t>Conflict</w:t>
      </w:r>
      <w:proofErr w:type="spellEnd"/>
      <w:r w:rsidRPr="00F8454B">
        <w:t xml:space="preserve"> </w:t>
      </w:r>
      <w:proofErr w:type="spellStart"/>
      <w:r w:rsidRPr="00F8454B">
        <w:t>and</w:t>
      </w:r>
      <w:proofErr w:type="spellEnd"/>
      <w:r w:rsidRPr="00F8454B">
        <w:t xml:space="preserve"> </w:t>
      </w:r>
      <w:proofErr w:type="spellStart"/>
      <w:r w:rsidRPr="00F8454B">
        <w:t>Constitutional</w:t>
      </w:r>
      <w:proofErr w:type="spellEnd"/>
      <w:r w:rsidRPr="00F8454B">
        <w:t xml:space="preserve"> </w:t>
      </w:r>
      <w:proofErr w:type="spellStart"/>
      <w:r w:rsidRPr="00F8454B">
        <w:t>Change</w:t>
      </w:r>
      <w:proofErr w:type="spellEnd"/>
      <w:r w:rsidRPr="00F8454B">
        <w:t xml:space="preserve">: </w:t>
      </w:r>
      <w:proofErr w:type="spellStart"/>
      <w:r w:rsidRPr="00F8454B">
        <w:t>The</w:t>
      </w:r>
      <w:proofErr w:type="spellEnd"/>
      <w:r w:rsidRPr="00F8454B">
        <w:t xml:space="preserve"> Case of </w:t>
      </w:r>
      <w:proofErr w:type="spellStart"/>
      <w:r w:rsidRPr="00F8454B">
        <w:t>the</w:t>
      </w:r>
      <w:proofErr w:type="spellEnd"/>
      <w:r w:rsidRPr="00F8454B">
        <w:t xml:space="preserve"> De </w:t>
      </w:r>
      <w:proofErr w:type="spellStart"/>
      <w:r w:rsidRPr="00F8454B">
        <w:t>Facto</w:t>
      </w:r>
      <w:proofErr w:type="spellEnd"/>
      <w:r w:rsidRPr="00F8454B">
        <w:t xml:space="preserve"> ERA, 94 CAL. L. REV. 1323, 1323-25 (2006) (anayasa kültürünü, anayasal anlam üzerine vatandaşlar ve kamu görevlileri arasındaki etkileşimlerin bir ürünü olarak çerçevelemektedir).</w:t>
      </w:r>
      <w:r w:rsidR="00F8454B">
        <w:t xml:space="preserve"> </w:t>
      </w:r>
      <w:r w:rsidRPr="001045F0">
        <w:t xml:space="preserve">Bu çalışmalardan bazı yönleriyle yararlanıyor ve bazılarını IV. </w:t>
      </w:r>
      <w:proofErr w:type="spellStart"/>
      <w:r w:rsidRPr="001045F0">
        <w:t>Bölüm’de</w:t>
      </w:r>
      <w:proofErr w:type="spellEnd"/>
      <w:r w:rsidRPr="001045F0">
        <w:t xml:space="preserve"> eleştiriyorum.</w:t>
      </w:r>
    </w:p>
  </w:footnote>
  <w:footnote w:id="3">
    <w:p w14:paraId="43E80340" w14:textId="7D8F53E0" w:rsidR="00F8454B" w:rsidRPr="00F8454B" w:rsidRDefault="00F8454B" w:rsidP="009F15C9">
      <w:pPr>
        <w:pStyle w:val="Dipnot"/>
        <w:rPr>
          <w:lang w:val="en-US"/>
        </w:rPr>
      </w:pPr>
      <w:r>
        <w:rPr>
          <w:rStyle w:val="FootnoteReference"/>
        </w:rPr>
        <w:footnoteRef/>
      </w:r>
      <w:r>
        <w:t xml:space="preserve"> </w:t>
      </w:r>
      <w:r>
        <w:tab/>
      </w:r>
      <w:r w:rsidRPr="00F8454B">
        <w:rPr>
          <w:lang w:val="en-US"/>
        </w:rPr>
        <w:t xml:space="preserve">³ Son </w:t>
      </w:r>
      <w:proofErr w:type="spellStart"/>
      <w:r w:rsidRPr="00F8454B">
        <w:rPr>
          <w:lang w:val="en-US"/>
        </w:rPr>
        <w:t>birkaç</w:t>
      </w:r>
      <w:proofErr w:type="spellEnd"/>
      <w:r w:rsidRPr="00F8454B">
        <w:rPr>
          <w:lang w:val="en-US"/>
        </w:rPr>
        <w:t xml:space="preserve"> on </w:t>
      </w:r>
      <w:proofErr w:type="spellStart"/>
      <w:r w:rsidRPr="00F8454B">
        <w:rPr>
          <w:lang w:val="en-US"/>
        </w:rPr>
        <w:t>yılda</w:t>
      </w:r>
      <w:proofErr w:type="spellEnd"/>
      <w:r w:rsidRPr="00F8454B">
        <w:rPr>
          <w:lang w:val="en-US"/>
        </w:rPr>
        <w:t xml:space="preserve"> </w:t>
      </w:r>
      <w:proofErr w:type="spellStart"/>
      <w:r w:rsidRPr="00F8454B">
        <w:rPr>
          <w:lang w:val="en-US"/>
        </w:rPr>
        <w:t>anayasa</w:t>
      </w:r>
      <w:proofErr w:type="spellEnd"/>
      <w:r w:rsidRPr="00F8454B">
        <w:rPr>
          <w:lang w:val="en-US"/>
        </w:rPr>
        <w:t xml:space="preserve"> </w:t>
      </w:r>
      <w:proofErr w:type="spellStart"/>
      <w:r w:rsidRPr="00F8454B">
        <w:rPr>
          <w:lang w:val="en-US"/>
        </w:rPr>
        <w:t>teorisinin</w:t>
      </w:r>
      <w:proofErr w:type="spellEnd"/>
      <w:r w:rsidRPr="00F8454B">
        <w:rPr>
          <w:lang w:val="en-US"/>
        </w:rPr>
        <w:t xml:space="preserve"> </w:t>
      </w:r>
      <w:proofErr w:type="spellStart"/>
      <w:r w:rsidRPr="00F8454B">
        <w:rPr>
          <w:lang w:val="en-US"/>
        </w:rPr>
        <w:t>olağanüstü</w:t>
      </w:r>
      <w:proofErr w:type="spellEnd"/>
      <w:r w:rsidRPr="00F8454B">
        <w:rPr>
          <w:lang w:val="en-US"/>
        </w:rPr>
        <w:t xml:space="preserve"> </w:t>
      </w:r>
      <w:proofErr w:type="spellStart"/>
      <w:r w:rsidRPr="00F8454B">
        <w:rPr>
          <w:lang w:val="en-US"/>
        </w:rPr>
        <w:t>derecede</w:t>
      </w:r>
      <w:proofErr w:type="spellEnd"/>
      <w:r w:rsidRPr="00F8454B">
        <w:rPr>
          <w:lang w:val="en-US"/>
        </w:rPr>
        <w:t xml:space="preserve"> </w:t>
      </w:r>
      <w:proofErr w:type="spellStart"/>
      <w:r w:rsidRPr="00F8454B">
        <w:rPr>
          <w:lang w:val="en-US"/>
        </w:rPr>
        <w:t>yaygınlaşmasını</w:t>
      </w:r>
      <w:proofErr w:type="spellEnd"/>
      <w:r w:rsidRPr="00F8454B">
        <w:rPr>
          <w:lang w:val="en-US"/>
        </w:rPr>
        <w:t xml:space="preserve"> </w:t>
      </w:r>
      <w:proofErr w:type="spellStart"/>
      <w:r w:rsidRPr="00F8454B">
        <w:rPr>
          <w:lang w:val="en-US"/>
        </w:rPr>
        <w:t>birçok</w:t>
      </w:r>
      <w:proofErr w:type="spellEnd"/>
      <w:r w:rsidRPr="00F8454B">
        <w:rPr>
          <w:lang w:val="en-US"/>
        </w:rPr>
        <w:t xml:space="preserve"> </w:t>
      </w:r>
      <w:proofErr w:type="spellStart"/>
      <w:r w:rsidRPr="00F8454B">
        <w:rPr>
          <w:lang w:val="en-US"/>
        </w:rPr>
        <w:t>teorisyen</w:t>
      </w:r>
      <w:proofErr w:type="spellEnd"/>
      <w:r w:rsidRPr="00F8454B">
        <w:rPr>
          <w:lang w:val="en-US"/>
        </w:rPr>
        <w:t xml:space="preserve"> </w:t>
      </w:r>
      <w:proofErr w:type="spellStart"/>
      <w:r w:rsidRPr="00F8454B">
        <w:rPr>
          <w:lang w:val="en-US"/>
        </w:rPr>
        <w:t>belgeledi</w:t>
      </w:r>
      <w:proofErr w:type="spellEnd"/>
      <w:r w:rsidRPr="00F8454B">
        <w:rPr>
          <w:lang w:val="en-US"/>
        </w:rPr>
        <w:t xml:space="preserve"> </w:t>
      </w:r>
      <w:proofErr w:type="spellStart"/>
      <w:r w:rsidRPr="00F8454B">
        <w:rPr>
          <w:lang w:val="en-US"/>
        </w:rPr>
        <w:t>veya</w:t>
      </w:r>
      <w:proofErr w:type="spellEnd"/>
      <w:r w:rsidRPr="00F8454B">
        <w:rPr>
          <w:lang w:val="en-US"/>
        </w:rPr>
        <w:t xml:space="preserve"> </w:t>
      </w:r>
      <w:proofErr w:type="spellStart"/>
      <w:r w:rsidRPr="00F8454B">
        <w:rPr>
          <w:lang w:val="en-US"/>
        </w:rPr>
        <w:t>bundan</w:t>
      </w:r>
      <w:proofErr w:type="spellEnd"/>
      <w:r w:rsidRPr="00F8454B">
        <w:rPr>
          <w:lang w:val="en-US"/>
        </w:rPr>
        <w:t xml:space="preserve"> </w:t>
      </w:r>
      <w:proofErr w:type="spellStart"/>
      <w:r w:rsidRPr="00F8454B">
        <w:rPr>
          <w:lang w:val="en-US"/>
        </w:rPr>
        <w:t>yakınmıştır</w:t>
      </w:r>
      <w:proofErr w:type="spellEnd"/>
      <w:r w:rsidRPr="00F8454B">
        <w:rPr>
          <w:lang w:val="en-US"/>
        </w:rPr>
        <w:t xml:space="preserve">. Bu </w:t>
      </w:r>
      <w:proofErr w:type="spellStart"/>
      <w:r w:rsidRPr="00F8454B">
        <w:rPr>
          <w:lang w:val="en-US"/>
        </w:rPr>
        <w:t>durumu</w:t>
      </w:r>
      <w:proofErr w:type="spellEnd"/>
      <w:r w:rsidRPr="00F8454B">
        <w:rPr>
          <w:lang w:val="en-US"/>
        </w:rPr>
        <w:t xml:space="preserve"> </w:t>
      </w:r>
      <w:proofErr w:type="spellStart"/>
      <w:r w:rsidRPr="00F8454B">
        <w:rPr>
          <w:lang w:val="en-US"/>
        </w:rPr>
        <w:t>en</w:t>
      </w:r>
      <w:proofErr w:type="spellEnd"/>
      <w:r w:rsidRPr="00F8454B">
        <w:rPr>
          <w:lang w:val="en-US"/>
        </w:rPr>
        <w:t xml:space="preserve"> </w:t>
      </w:r>
      <w:proofErr w:type="spellStart"/>
      <w:r w:rsidRPr="00F8454B">
        <w:rPr>
          <w:lang w:val="en-US"/>
        </w:rPr>
        <w:t>özlü</w:t>
      </w:r>
      <w:proofErr w:type="spellEnd"/>
      <w:r w:rsidRPr="00F8454B">
        <w:rPr>
          <w:lang w:val="en-US"/>
        </w:rPr>
        <w:t xml:space="preserve"> </w:t>
      </w:r>
      <w:proofErr w:type="spellStart"/>
      <w:r w:rsidRPr="00F8454B">
        <w:rPr>
          <w:lang w:val="en-US"/>
        </w:rPr>
        <w:t>şekilde</w:t>
      </w:r>
      <w:proofErr w:type="spellEnd"/>
      <w:r w:rsidRPr="00F8454B">
        <w:rPr>
          <w:lang w:val="en-US"/>
        </w:rPr>
        <w:t xml:space="preserve"> </w:t>
      </w:r>
      <w:proofErr w:type="spellStart"/>
      <w:r w:rsidRPr="00F8454B">
        <w:rPr>
          <w:lang w:val="en-US"/>
        </w:rPr>
        <w:t>dile</w:t>
      </w:r>
      <w:proofErr w:type="spellEnd"/>
      <w:r w:rsidRPr="00F8454B">
        <w:rPr>
          <w:lang w:val="en-US"/>
        </w:rPr>
        <w:t xml:space="preserve"> </w:t>
      </w:r>
      <w:proofErr w:type="spellStart"/>
      <w:r w:rsidRPr="00F8454B">
        <w:rPr>
          <w:lang w:val="en-US"/>
        </w:rPr>
        <w:t>getirenlerden</w:t>
      </w:r>
      <w:proofErr w:type="spellEnd"/>
      <w:r w:rsidRPr="00F8454B">
        <w:rPr>
          <w:lang w:val="en-US"/>
        </w:rPr>
        <w:t xml:space="preserve"> </w:t>
      </w:r>
      <w:proofErr w:type="spellStart"/>
      <w:r w:rsidRPr="00F8454B">
        <w:rPr>
          <w:lang w:val="en-US"/>
        </w:rPr>
        <w:t>biri</w:t>
      </w:r>
      <w:proofErr w:type="spellEnd"/>
      <w:r w:rsidRPr="00F8454B">
        <w:rPr>
          <w:lang w:val="en-US"/>
        </w:rPr>
        <w:t xml:space="preserve"> Rebecca </w:t>
      </w:r>
      <w:proofErr w:type="spellStart"/>
      <w:r w:rsidRPr="00F8454B">
        <w:rPr>
          <w:lang w:val="en-US"/>
        </w:rPr>
        <w:t>Brown’dır</w:t>
      </w:r>
      <w:proofErr w:type="spellEnd"/>
      <w:r w:rsidRPr="00F8454B">
        <w:rPr>
          <w:lang w:val="en-US"/>
        </w:rPr>
        <w:t>.</w:t>
      </w:r>
      <w:r w:rsidRPr="00F8454B">
        <w:rPr>
          <w:lang w:val="en-US"/>
        </w:rPr>
        <w:br/>
      </w:r>
      <w:proofErr w:type="spellStart"/>
      <w:r w:rsidRPr="00F8454B">
        <w:rPr>
          <w:lang w:val="en-US"/>
        </w:rPr>
        <w:t>Bkz</w:t>
      </w:r>
      <w:proofErr w:type="spellEnd"/>
      <w:r w:rsidRPr="00F8454B">
        <w:rPr>
          <w:lang w:val="en-US"/>
        </w:rPr>
        <w:t>. Rebecca L. Brown, Accountability, Liberty, and the Constitution, 98 COLUM. L. REV. 531, 531 (1998) (“</w:t>
      </w:r>
      <w:proofErr w:type="spellStart"/>
      <w:r w:rsidRPr="00F8454B">
        <w:rPr>
          <w:lang w:val="en-US"/>
        </w:rPr>
        <w:t>Anayasa</w:t>
      </w:r>
      <w:proofErr w:type="spellEnd"/>
      <w:r w:rsidRPr="00F8454B">
        <w:rPr>
          <w:lang w:val="en-US"/>
        </w:rPr>
        <w:t xml:space="preserve"> </w:t>
      </w:r>
      <w:proofErr w:type="spellStart"/>
      <w:r w:rsidRPr="00F8454B">
        <w:rPr>
          <w:lang w:val="en-US"/>
        </w:rPr>
        <w:t>teorisinden</w:t>
      </w:r>
      <w:proofErr w:type="spellEnd"/>
      <w:r w:rsidRPr="00F8454B">
        <w:rPr>
          <w:lang w:val="en-US"/>
        </w:rPr>
        <w:t xml:space="preserve"> </w:t>
      </w:r>
      <w:proofErr w:type="spellStart"/>
      <w:r w:rsidRPr="00F8454B">
        <w:rPr>
          <w:lang w:val="en-US"/>
        </w:rPr>
        <w:t>yorulduysanız</w:t>
      </w:r>
      <w:proofErr w:type="spellEnd"/>
      <w:r w:rsidRPr="00F8454B">
        <w:rPr>
          <w:lang w:val="en-US"/>
        </w:rPr>
        <w:t xml:space="preserve"> </w:t>
      </w:r>
      <w:proofErr w:type="spellStart"/>
      <w:r w:rsidRPr="00F8454B">
        <w:rPr>
          <w:lang w:val="en-US"/>
        </w:rPr>
        <w:t>kornaya</w:t>
      </w:r>
      <w:proofErr w:type="spellEnd"/>
      <w:r w:rsidRPr="00F8454B">
        <w:rPr>
          <w:lang w:val="en-US"/>
        </w:rPr>
        <w:t xml:space="preserve"> </w:t>
      </w:r>
      <w:proofErr w:type="spellStart"/>
      <w:r w:rsidRPr="00F8454B">
        <w:rPr>
          <w:lang w:val="en-US"/>
        </w:rPr>
        <w:t>basın</w:t>
      </w:r>
      <w:proofErr w:type="spellEnd"/>
      <w:r w:rsidRPr="00F8454B">
        <w:rPr>
          <w:lang w:val="en-US"/>
        </w:rPr>
        <w:t>.”).</w:t>
      </w:r>
    </w:p>
  </w:footnote>
  <w:footnote w:id="4">
    <w:p w14:paraId="75F4238C" w14:textId="7E91B919" w:rsidR="00F8454B" w:rsidRPr="00F8454B" w:rsidRDefault="00F8454B" w:rsidP="009F15C9">
      <w:pPr>
        <w:pStyle w:val="Dipnot"/>
        <w:rPr>
          <w:lang w:val="en-US"/>
        </w:rPr>
      </w:pPr>
      <w:r>
        <w:rPr>
          <w:rStyle w:val="FootnoteReference"/>
        </w:rPr>
        <w:footnoteRef/>
      </w:r>
      <w:r>
        <w:t xml:space="preserve"> </w:t>
      </w:r>
      <w:r>
        <w:tab/>
      </w:r>
      <w:r w:rsidRPr="00F8454B">
        <w:rPr>
          <w:lang w:val="en-US"/>
        </w:rPr>
        <w:t xml:space="preserve">⁴ </w:t>
      </w:r>
      <w:proofErr w:type="spellStart"/>
      <w:r w:rsidRPr="00F8454B">
        <w:rPr>
          <w:lang w:val="en-US"/>
        </w:rPr>
        <w:t>Bkz</w:t>
      </w:r>
      <w:proofErr w:type="spellEnd"/>
      <w:r w:rsidRPr="00F8454B">
        <w:rPr>
          <w:lang w:val="en-US"/>
        </w:rPr>
        <w:t xml:space="preserve">. infra </w:t>
      </w:r>
      <w:proofErr w:type="spellStart"/>
      <w:r w:rsidRPr="00F8454B">
        <w:rPr>
          <w:lang w:val="en-US"/>
        </w:rPr>
        <w:t>notlar</w:t>
      </w:r>
      <w:proofErr w:type="spellEnd"/>
      <w:r w:rsidRPr="00F8454B">
        <w:rPr>
          <w:lang w:val="en-US"/>
        </w:rPr>
        <w:t xml:space="preserve"> 18-23; </w:t>
      </w:r>
      <w:proofErr w:type="spellStart"/>
      <w:r w:rsidRPr="00F8454B">
        <w:rPr>
          <w:lang w:val="en-US"/>
        </w:rPr>
        <w:t>ayrıca</w:t>
      </w:r>
      <w:proofErr w:type="spellEnd"/>
      <w:r w:rsidRPr="00F8454B">
        <w:rPr>
          <w:lang w:val="en-US"/>
        </w:rPr>
        <w:t xml:space="preserve"> </w:t>
      </w:r>
      <w:proofErr w:type="spellStart"/>
      <w:r w:rsidRPr="00F8454B">
        <w:rPr>
          <w:lang w:val="en-US"/>
        </w:rPr>
        <w:t>bkz</w:t>
      </w:r>
      <w:proofErr w:type="spellEnd"/>
      <w:r w:rsidRPr="00F8454B">
        <w:rPr>
          <w:lang w:val="en-US"/>
        </w:rPr>
        <w:t xml:space="preserve">. Helen </w:t>
      </w:r>
      <w:proofErr w:type="spellStart"/>
      <w:r w:rsidRPr="00F8454B">
        <w:rPr>
          <w:lang w:val="en-US"/>
        </w:rPr>
        <w:t>Hershkoff</w:t>
      </w:r>
      <w:proofErr w:type="spellEnd"/>
      <w:r w:rsidRPr="00F8454B">
        <w:rPr>
          <w:lang w:val="en-US"/>
        </w:rPr>
        <w:t xml:space="preserve">, State Courts and the “Passive Virtues”: Rethinking the Judicial Function, 114 HARV. L. REV. 1833, 1914 &amp; n.424 (2001) (eyalet </w:t>
      </w:r>
      <w:proofErr w:type="spellStart"/>
      <w:r w:rsidRPr="00F8454B">
        <w:rPr>
          <w:lang w:val="en-US"/>
        </w:rPr>
        <w:t>mahkemesi</w:t>
      </w:r>
      <w:proofErr w:type="spellEnd"/>
      <w:r w:rsidRPr="00F8454B">
        <w:rPr>
          <w:lang w:val="en-US"/>
        </w:rPr>
        <w:t xml:space="preserve"> </w:t>
      </w:r>
      <w:proofErr w:type="spellStart"/>
      <w:r w:rsidRPr="00F8454B">
        <w:rPr>
          <w:lang w:val="en-US"/>
        </w:rPr>
        <w:t>yargıçlarının</w:t>
      </w:r>
      <w:proofErr w:type="spellEnd"/>
      <w:r w:rsidRPr="00F8454B">
        <w:rPr>
          <w:lang w:val="en-US"/>
        </w:rPr>
        <w:t xml:space="preserve"> </w:t>
      </w:r>
      <w:proofErr w:type="spellStart"/>
      <w:r w:rsidRPr="00F8454B">
        <w:rPr>
          <w:lang w:val="en-US"/>
        </w:rPr>
        <w:t>rolünü</w:t>
      </w:r>
      <w:proofErr w:type="spellEnd"/>
      <w:r w:rsidRPr="00F8454B">
        <w:rPr>
          <w:lang w:val="en-US"/>
        </w:rPr>
        <w:t xml:space="preserve"> </w:t>
      </w:r>
      <w:proofErr w:type="spellStart"/>
      <w:r w:rsidRPr="00F8454B">
        <w:rPr>
          <w:lang w:val="en-US"/>
        </w:rPr>
        <w:t>belirleme</w:t>
      </w:r>
      <w:proofErr w:type="spellEnd"/>
      <w:r w:rsidRPr="00F8454B">
        <w:rPr>
          <w:lang w:val="en-US"/>
        </w:rPr>
        <w:t xml:space="preserve"> </w:t>
      </w:r>
      <w:proofErr w:type="spellStart"/>
      <w:r w:rsidRPr="00F8454B">
        <w:rPr>
          <w:lang w:val="en-US"/>
        </w:rPr>
        <w:t>sürecini</w:t>
      </w:r>
      <w:proofErr w:type="spellEnd"/>
      <w:r w:rsidRPr="00F8454B">
        <w:rPr>
          <w:lang w:val="en-US"/>
        </w:rPr>
        <w:t>, "</w:t>
      </w:r>
      <w:proofErr w:type="spellStart"/>
      <w:r w:rsidRPr="00F8454B">
        <w:rPr>
          <w:lang w:val="en-US"/>
        </w:rPr>
        <w:t>kurumsal</w:t>
      </w:r>
      <w:proofErr w:type="spellEnd"/>
      <w:r w:rsidRPr="00F8454B">
        <w:rPr>
          <w:lang w:val="en-US"/>
        </w:rPr>
        <w:t xml:space="preserve"> </w:t>
      </w:r>
      <w:proofErr w:type="spellStart"/>
      <w:r w:rsidRPr="00F8454B">
        <w:rPr>
          <w:lang w:val="en-US"/>
        </w:rPr>
        <w:t>tasarım</w:t>
      </w:r>
      <w:proofErr w:type="spellEnd"/>
      <w:r w:rsidRPr="00F8454B">
        <w:rPr>
          <w:lang w:val="en-US"/>
        </w:rPr>
        <w:t xml:space="preserve">" (institutional design) </w:t>
      </w:r>
      <w:proofErr w:type="spellStart"/>
      <w:r w:rsidRPr="00F8454B">
        <w:rPr>
          <w:lang w:val="en-US"/>
        </w:rPr>
        <w:t>ve</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w:t>
      </w:r>
      <w:proofErr w:type="spellEnd"/>
      <w:r w:rsidRPr="00F8454B">
        <w:rPr>
          <w:lang w:val="en-US"/>
        </w:rPr>
        <w:t xml:space="preserve">" (constitutional structure) </w:t>
      </w:r>
      <w:proofErr w:type="spellStart"/>
      <w:r w:rsidRPr="00F8454B">
        <w:rPr>
          <w:lang w:val="en-US"/>
        </w:rPr>
        <w:t>oluşturma</w:t>
      </w:r>
      <w:proofErr w:type="spellEnd"/>
      <w:r w:rsidRPr="00F8454B">
        <w:rPr>
          <w:lang w:val="en-US"/>
        </w:rPr>
        <w:t xml:space="preserve"> </w:t>
      </w:r>
      <w:proofErr w:type="spellStart"/>
      <w:r w:rsidRPr="00F8454B">
        <w:rPr>
          <w:lang w:val="en-US"/>
        </w:rPr>
        <w:t>süreci</w:t>
      </w:r>
      <w:proofErr w:type="spellEnd"/>
      <w:r w:rsidRPr="00F8454B">
        <w:rPr>
          <w:lang w:val="en-US"/>
        </w:rPr>
        <w:t xml:space="preserve"> </w:t>
      </w:r>
      <w:proofErr w:type="spellStart"/>
      <w:r w:rsidRPr="00F8454B">
        <w:rPr>
          <w:lang w:val="en-US"/>
        </w:rPr>
        <w:t>olarak</w:t>
      </w:r>
      <w:proofErr w:type="spellEnd"/>
      <w:r w:rsidRPr="00F8454B">
        <w:rPr>
          <w:lang w:val="en-US"/>
        </w:rPr>
        <w:t xml:space="preserve"> </w:t>
      </w:r>
      <w:proofErr w:type="spellStart"/>
      <w:r w:rsidRPr="00F8454B">
        <w:rPr>
          <w:lang w:val="en-US"/>
        </w:rPr>
        <w:t>birbirinin</w:t>
      </w:r>
      <w:proofErr w:type="spellEnd"/>
      <w:r w:rsidRPr="00F8454B">
        <w:rPr>
          <w:lang w:val="en-US"/>
        </w:rPr>
        <w:t xml:space="preserve"> </w:t>
      </w:r>
      <w:proofErr w:type="spellStart"/>
      <w:r w:rsidRPr="00F8454B">
        <w:rPr>
          <w:lang w:val="en-US"/>
        </w:rPr>
        <w:t>yerine</w:t>
      </w:r>
      <w:proofErr w:type="spellEnd"/>
      <w:r w:rsidRPr="00F8454B">
        <w:rPr>
          <w:lang w:val="en-US"/>
        </w:rPr>
        <w:t xml:space="preserve"> </w:t>
      </w:r>
      <w:proofErr w:type="spellStart"/>
      <w:r w:rsidRPr="00F8454B">
        <w:rPr>
          <w:lang w:val="en-US"/>
        </w:rPr>
        <w:t>kullanılabilecek</w:t>
      </w:r>
      <w:proofErr w:type="spellEnd"/>
      <w:r w:rsidRPr="00F8454B">
        <w:rPr>
          <w:lang w:val="en-US"/>
        </w:rPr>
        <w:t xml:space="preserve"> </w:t>
      </w:r>
      <w:proofErr w:type="spellStart"/>
      <w:r w:rsidRPr="00F8454B">
        <w:rPr>
          <w:lang w:val="en-US"/>
        </w:rPr>
        <w:t>kavramlar</w:t>
      </w:r>
      <w:proofErr w:type="spellEnd"/>
      <w:r w:rsidRPr="00F8454B">
        <w:rPr>
          <w:lang w:val="en-US"/>
        </w:rPr>
        <w:t xml:space="preserve"> </w:t>
      </w:r>
      <w:proofErr w:type="spellStart"/>
      <w:r w:rsidRPr="00F8454B">
        <w:rPr>
          <w:lang w:val="en-US"/>
        </w:rPr>
        <w:t>şeklinde</w:t>
      </w:r>
      <w:proofErr w:type="spellEnd"/>
      <w:r w:rsidRPr="00F8454B">
        <w:rPr>
          <w:lang w:val="en-US"/>
        </w:rPr>
        <w:t xml:space="preserve"> </w:t>
      </w:r>
      <w:proofErr w:type="spellStart"/>
      <w:r w:rsidRPr="00F8454B">
        <w:rPr>
          <w:lang w:val="en-US"/>
        </w:rPr>
        <w:t>tanımlamakta</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farklı</w:t>
      </w:r>
      <w:proofErr w:type="spellEnd"/>
      <w:r w:rsidRPr="00F8454B">
        <w:rPr>
          <w:lang w:val="en-US"/>
        </w:rPr>
        <w:t xml:space="preserve"> </w:t>
      </w:r>
      <w:proofErr w:type="spellStart"/>
      <w:r w:rsidRPr="00F8454B">
        <w:rPr>
          <w:lang w:val="en-US"/>
        </w:rPr>
        <w:t>bağlamlarda</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w:t>
      </w:r>
      <w:proofErr w:type="spellEnd"/>
      <w:r w:rsidRPr="00F8454B">
        <w:rPr>
          <w:lang w:val="en-US"/>
        </w:rPr>
        <w:t xml:space="preserve">" </w:t>
      </w:r>
      <w:proofErr w:type="spellStart"/>
      <w:r w:rsidRPr="00F8454B">
        <w:rPr>
          <w:lang w:val="en-US"/>
        </w:rPr>
        <w:t>kavramını</w:t>
      </w:r>
      <w:proofErr w:type="spellEnd"/>
      <w:r w:rsidRPr="00F8454B">
        <w:rPr>
          <w:lang w:val="en-US"/>
        </w:rPr>
        <w:t xml:space="preserve"> </w:t>
      </w:r>
      <w:proofErr w:type="spellStart"/>
      <w:r w:rsidRPr="00F8454B">
        <w:rPr>
          <w:lang w:val="en-US"/>
        </w:rPr>
        <w:t>benzer</w:t>
      </w:r>
      <w:proofErr w:type="spellEnd"/>
      <w:r w:rsidRPr="00F8454B">
        <w:rPr>
          <w:lang w:val="en-US"/>
        </w:rPr>
        <w:t xml:space="preserve"> </w:t>
      </w:r>
      <w:proofErr w:type="spellStart"/>
      <w:r w:rsidRPr="00F8454B">
        <w:rPr>
          <w:lang w:val="en-US"/>
        </w:rPr>
        <w:t>şekillerde</w:t>
      </w:r>
      <w:proofErr w:type="spellEnd"/>
      <w:r w:rsidRPr="00F8454B">
        <w:rPr>
          <w:lang w:val="en-US"/>
        </w:rPr>
        <w:t xml:space="preserve"> </w:t>
      </w:r>
      <w:proofErr w:type="spellStart"/>
      <w:r w:rsidRPr="00F8454B">
        <w:rPr>
          <w:lang w:val="en-US"/>
        </w:rPr>
        <w:t>kullanan</w:t>
      </w:r>
      <w:proofErr w:type="spellEnd"/>
      <w:r w:rsidRPr="00F8454B">
        <w:rPr>
          <w:lang w:val="en-US"/>
        </w:rPr>
        <w:t xml:space="preserve"> </w:t>
      </w:r>
      <w:proofErr w:type="spellStart"/>
      <w:r w:rsidRPr="00F8454B">
        <w:rPr>
          <w:lang w:val="en-US"/>
        </w:rPr>
        <w:t>çalışmalara</w:t>
      </w:r>
      <w:proofErr w:type="spellEnd"/>
      <w:r w:rsidRPr="00F8454B">
        <w:rPr>
          <w:lang w:val="en-US"/>
        </w:rPr>
        <w:t xml:space="preserve"> </w:t>
      </w:r>
      <w:proofErr w:type="spellStart"/>
      <w:r w:rsidRPr="00F8454B">
        <w:rPr>
          <w:lang w:val="en-US"/>
        </w:rPr>
        <w:t>atıfta</w:t>
      </w:r>
      <w:proofErr w:type="spellEnd"/>
      <w:r w:rsidRPr="00F8454B">
        <w:rPr>
          <w:lang w:val="en-US"/>
        </w:rPr>
        <w:t xml:space="preserve"> </w:t>
      </w:r>
      <w:proofErr w:type="spellStart"/>
      <w:r w:rsidRPr="00F8454B">
        <w:rPr>
          <w:lang w:val="en-US"/>
        </w:rPr>
        <w:t>bulunmaktadır</w:t>
      </w:r>
      <w:proofErr w:type="spellEnd"/>
      <w:r w:rsidRPr="00F8454B">
        <w:rPr>
          <w:lang w:val="en-US"/>
        </w:rPr>
        <w:t>); Jonathan T. Molot, Reexamining Marbury in the Administrative State: A Structural and Institutional Defense of Judicial Power Over Statutory Interpretation, 96 NW. U. L. REV. 1239, 1246-48 (2002) (</w:t>
      </w:r>
      <w:proofErr w:type="spellStart"/>
      <w:r w:rsidRPr="00F8454B">
        <w:rPr>
          <w:lang w:val="en-US"/>
        </w:rPr>
        <w:t>yargısal</w:t>
      </w:r>
      <w:proofErr w:type="spellEnd"/>
      <w:r w:rsidRPr="00F8454B">
        <w:rPr>
          <w:lang w:val="en-US"/>
        </w:rPr>
        <w:t xml:space="preserve"> </w:t>
      </w:r>
      <w:proofErr w:type="spellStart"/>
      <w:r w:rsidRPr="00F8454B">
        <w:rPr>
          <w:lang w:val="en-US"/>
        </w:rPr>
        <w:t>yetkinin</w:t>
      </w:r>
      <w:proofErr w:type="spellEnd"/>
      <w:r w:rsidRPr="00F8454B">
        <w:rPr>
          <w:lang w:val="en-US"/>
        </w:rPr>
        <w:t xml:space="preserve"> </w:t>
      </w:r>
      <w:proofErr w:type="spellStart"/>
      <w:r w:rsidRPr="00F8454B">
        <w:rPr>
          <w:lang w:val="en-US"/>
        </w:rPr>
        <w:t>yasaların</w:t>
      </w:r>
      <w:proofErr w:type="spellEnd"/>
      <w:r w:rsidRPr="00F8454B">
        <w:rPr>
          <w:lang w:val="en-US"/>
        </w:rPr>
        <w:t xml:space="preserve"> </w:t>
      </w:r>
      <w:proofErr w:type="spellStart"/>
      <w:r w:rsidRPr="00F8454B">
        <w:rPr>
          <w:lang w:val="en-US"/>
        </w:rPr>
        <w:t>yorumu</w:t>
      </w:r>
      <w:proofErr w:type="spellEnd"/>
      <w:r w:rsidRPr="00F8454B">
        <w:rPr>
          <w:lang w:val="en-US"/>
        </w:rPr>
        <w:t xml:space="preserve"> </w:t>
      </w:r>
      <w:proofErr w:type="spellStart"/>
      <w:r w:rsidRPr="00F8454B">
        <w:rPr>
          <w:lang w:val="en-US"/>
        </w:rPr>
        <w:t>üzerindeki</w:t>
      </w:r>
      <w:proofErr w:type="spellEnd"/>
      <w:r w:rsidRPr="00F8454B">
        <w:rPr>
          <w:lang w:val="en-US"/>
        </w:rPr>
        <w:t xml:space="preserve"> </w:t>
      </w:r>
      <w:proofErr w:type="spellStart"/>
      <w:r w:rsidRPr="00F8454B">
        <w:rPr>
          <w:lang w:val="en-US"/>
        </w:rPr>
        <w:t>güçlü</w:t>
      </w:r>
      <w:proofErr w:type="spellEnd"/>
      <w:r w:rsidRPr="00F8454B">
        <w:rPr>
          <w:lang w:val="en-US"/>
        </w:rPr>
        <w:t xml:space="preserve"> </w:t>
      </w:r>
      <w:proofErr w:type="spellStart"/>
      <w:r w:rsidRPr="00F8454B">
        <w:rPr>
          <w:lang w:val="en-US"/>
        </w:rPr>
        <w:t>rolünü</w:t>
      </w:r>
      <w:proofErr w:type="spellEnd"/>
      <w:r w:rsidRPr="00F8454B">
        <w:rPr>
          <w:lang w:val="en-US"/>
        </w:rPr>
        <w:t xml:space="preserve"> </w:t>
      </w:r>
      <w:proofErr w:type="spellStart"/>
      <w:r w:rsidRPr="00F8454B">
        <w:rPr>
          <w:lang w:val="en-US"/>
        </w:rPr>
        <w:t>savunmakta</w:t>
      </w:r>
      <w:proofErr w:type="spellEnd"/>
      <w:r w:rsidRPr="00F8454B">
        <w:rPr>
          <w:lang w:val="en-US"/>
        </w:rPr>
        <w:t xml:space="preserve"> </w:t>
      </w:r>
      <w:proofErr w:type="spellStart"/>
      <w:r w:rsidRPr="00F8454B">
        <w:rPr>
          <w:lang w:val="en-US"/>
        </w:rPr>
        <w:t>ve</w:t>
      </w:r>
      <w:proofErr w:type="spellEnd"/>
      <w:r w:rsidRPr="00F8454B">
        <w:rPr>
          <w:lang w:val="en-US"/>
        </w:rPr>
        <w:t xml:space="preserve"> </w:t>
      </w:r>
      <w:proofErr w:type="spellStart"/>
      <w:r w:rsidRPr="00F8454B">
        <w:rPr>
          <w:lang w:val="en-US"/>
        </w:rPr>
        <w:t>çağdaş</w:t>
      </w:r>
      <w:proofErr w:type="spellEnd"/>
      <w:r w:rsidRPr="00F8454B">
        <w:rPr>
          <w:lang w:val="en-US"/>
        </w:rPr>
        <w:t xml:space="preserve"> </w:t>
      </w:r>
      <w:proofErr w:type="spellStart"/>
      <w:r w:rsidRPr="00F8454B">
        <w:rPr>
          <w:lang w:val="en-US"/>
        </w:rPr>
        <w:t>yargısal</w:t>
      </w:r>
      <w:proofErr w:type="spellEnd"/>
      <w:r w:rsidRPr="00F8454B">
        <w:rPr>
          <w:lang w:val="en-US"/>
        </w:rPr>
        <w:t xml:space="preserve"> </w:t>
      </w:r>
      <w:proofErr w:type="spellStart"/>
      <w:r w:rsidRPr="00F8454B">
        <w:rPr>
          <w:lang w:val="en-US"/>
        </w:rPr>
        <w:t>uygulamalara</w:t>
      </w:r>
      <w:proofErr w:type="spellEnd"/>
      <w:r w:rsidRPr="00F8454B">
        <w:rPr>
          <w:lang w:val="en-US"/>
        </w:rPr>
        <w:t xml:space="preserve"> </w:t>
      </w:r>
      <w:proofErr w:type="spellStart"/>
      <w:r w:rsidRPr="00F8454B">
        <w:rPr>
          <w:lang w:val="en-US"/>
        </w:rPr>
        <w:t>ilişkin</w:t>
      </w:r>
      <w:proofErr w:type="spellEnd"/>
      <w:r w:rsidRPr="00F8454B">
        <w:rPr>
          <w:lang w:val="en-US"/>
        </w:rPr>
        <w:t xml:space="preserve"> </w:t>
      </w:r>
      <w:proofErr w:type="spellStart"/>
      <w:r w:rsidRPr="00F8454B">
        <w:rPr>
          <w:lang w:val="en-US"/>
        </w:rPr>
        <w:t>birçok</w:t>
      </w:r>
      <w:proofErr w:type="spellEnd"/>
      <w:r w:rsidRPr="00F8454B">
        <w:rPr>
          <w:lang w:val="en-US"/>
        </w:rPr>
        <w:t xml:space="preserve"> </w:t>
      </w:r>
      <w:proofErr w:type="spellStart"/>
      <w:r w:rsidRPr="00F8454B">
        <w:rPr>
          <w:lang w:val="en-US"/>
        </w:rPr>
        <w:t>normun</w:t>
      </w:r>
      <w:proofErr w:type="spellEnd"/>
      <w:r w:rsidRPr="00F8454B">
        <w:rPr>
          <w:lang w:val="en-US"/>
        </w:rPr>
        <w:t xml:space="preserve"> "</w:t>
      </w:r>
      <w:proofErr w:type="spellStart"/>
      <w:r w:rsidRPr="00F8454B">
        <w:rPr>
          <w:lang w:val="en-US"/>
        </w:rPr>
        <w:t>anayasal</w:t>
      </w:r>
      <w:proofErr w:type="spellEnd"/>
      <w:r w:rsidRPr="00F8454B">
        <w:rPr>
          <w:lang w:val="en-US"/>
        </w:rPr>
        <w:t xml:space="preserve"> </w:t>
      </w:r>
      <w:proofErr w:type="spellStart"/>
      <w:r w:rsidRPr="00F8454B">
        <w:rPr>
          <w:lang w:val="en-US"/>
        </w:rPr>
        <w:t>yapının</w:t>
      </w:r>
      <w:proofErr w:type="spellEnd"/>
      <w:r w:rsidRPr="00F8454B">
        <w:rPr>
          <w:lang w:val="en-US"/>
        </w:rPr>
        <w:t xml:space="preserve">" </w:t>
      </w:r>
      <w:proofErr w:type="spellStart"/>
      <w:r w:rsidRPr="00F8454B">
        <w:rPr>
          <w:lang w:val="en-US"/>
        </w:rPr>
        <w:t>bir</w:t>
      </w:r>
      <w:proofErr w:type="spellEnd"/>
      <w:r w:rsidRPr="00F8454B">
        <w:rPr>
          <w:lang w:val="en-US"/>
        </w:rPr>
        <w:t xml:space="preserve"> </w:t>
      </w:r>
      <w:proofErr w:type="spellStart"/>
      <w:r w:rsidRPr="00F8454B">
        <w:rPr>
          <w:lang w:val="en-US"/>
        </w:rPr>
        <w:t>parçası</w:t>
      </w:r>
      <w:proofErr w:type="spellEnd"/>
      <w:r w:rsidRPr="00F8454B">
        <w:rPr>
          <w:lang w:val="en-US"/>
        </w:rPr>
        <w:t xml:space="preserve"> </w:t>
      </w:r>
      <w:proofErr w:type="spellStart"/>
      <w:r w:rsidRPr="00F8454B">
        <w:rPr>
          <w:lang w:val="en-US"/>
        </w:rPr>
        <w:t>olduğunu</w:t>
      </w:r>
      <w:proofErr w:type="spellEnd"/>
      <w:r w:rsidRPr="00F8454B">
        <w:rPr>
          <w:lang w:val="en-US"/>
        </w:rPr>
        <w:t xml:space="preserve"> </w:t>
      </w:r>
      <w:proofErr w:type="spellStart"/>
      <w:r w:rsidRPr="00F8454B">
        <w:rPr>
          <w:lang w:val="en-US"/>
        </w:rPr>
        <w:t>ileri</w:t>
      </w:r>
      <w:proofErr w:type="spellEnd"/>
      <w:r w:rsidRPr="00F8454B">
        <w:rPr>
          <w:lang w:val="en-US"/>
        </w:rPr>
        <w:t xml:space="preserve"> </w:t>
      </w:r>
      <w:proofErr w:type="spellStart"/>
      <w:r w:rsidRPr="00F8454B">
        <w:rPr>
          <w:lang w:val="en-US"/>
        </w:rPr>
        <w:t>sürmektedir</w:t>
      </w:r>
      <w:proofErr w:type="spellEnd"/>
      <w:r w:rsidRPr="00F8454B">
        <w:rPr>
          <w:lang w:val="en-US"/>
        </w:rPr>
        <w:t>).</w:t>
      </w:r>
    </w:p>
  </w:footnote>
  <w:footnote w:id="5">
    <w:p w14:paraId="1691FC4A" w14:textId="79886976" w:rsidR="00F8454B" w:rsidRPr="00F8454B" w:rsidRDefault="00F8454B" w:rsidP="00F8454B">
      <w:pPr>
        <w:pStyle w:val="Dipnot"/>
      </w:pPr>
      <w:r>
        <w:rPr>
          <w:rStyle w:val="FootnoteReference"/>
        </w:rPr>
        <w:footnoteRef/>
      </w:r>
      <w:r>
        <w:t xml:space="preserve"> </w:t>
      </w:r>
      <w:r>
        <w:rPr>
          <w:lang w:val="en-US"/>
        </w:rPr>
        <w:tab/>
      </w:r>
      <w:r w:rsidRPr="00F8454B">
        <w:t xml:space="preserve">⁵ Bkz. </w:t>
      </w:r>
      <w:proofErr w:type="spellStart"/>
      <w:r w:rsidRPr="00F8454B">
        <w:t>infra</w:t>
      </w:r>
      <w:proofErr w:type="spellEnd"/>
      <w:r w:rsidRPr="00F8454B">
        <w:t xml:space="preserve"> </w:t>
      </w:r>
      <w:r w:rsidRPr="00F8454B">
        <w:rPr>
          <w:b/>
          <w:bCs/>
        </w:rPr>
        <w:t>Bölüm I</w:t>
      </w:r>
      <w:r w:rsidRPr="00F8454B">
        <w:t xml:space="preserve"> (bu noktayı ayrıntılı olarak geliştirmektedir).</w:t>
      </w:r>
    </w:p>
  </w:footnote>
  <w:footnote w:id="6">
    <w:p w14:paraId="00298EFB" w14:textId="06591988" w:rsidR="00F8454B" w:rsidRDefault="00F8454B" w:rsidP="00F8454B">
      <w:pPr>
        <w:pStyle w:val="Dipnot"/>
      </w:pPr>
      <w:r>
        <w:rPr>
          <w:rStyle w:val="FootnoteReference"/>
        </w:rPr>
        <w:footnoteRef/>
      </w:r>
      <w:r>
        <w:t xml:space="preserve"> </w:t>
      </w:r>
      <w:r>
        <w:rPr>
          <w:lang w:val="en-US"/>
        </w:rPr>
        <w:tab/>
      </w:r>
      <w:r w:rsidRPr="00F8454B">
        <w:t xml:space="preserve">⁶ Bkz. </w:t>
      </w:r>
      <w:proofErr w:type="spellStart"/>
      <w:r w:rsidRPr="00F8454B">
        <w:t>infra</w:t>
      </w:r>
      <w:proofErr w:type="spellEnd"/>
      <w:r w:rsidRPr="00F8454B">
        <w:t xml:space="preserve"> </w:t>
      </w:r>
      <w:r w:rsidRPr="00F8454B">
        <w:rPr>
          <w:b/>
          <w:bCs/>
        </w:rPr>
        <w:t>Bölüm II</w:t>
      </w:r>
      <w:r w:rsidRPr="00F8454B">
        <w:t xml:space="preserve"> (bu noktayı ayrıntılı olarak geliştirmektedir).</w:t>
      </w:r>
    </w:p>
    <w:p w14:paraId="2131F652" w14:textId="77777777" w:rsidR="00F8454B" w:rsidRPr="00D85A61" w:rsidRDefault="00F8454B" w:rsidP="00F8454B"/>
  </w:footnote>
  <w:footnote w:id="7">
    <w:p w14:paraId="72B46514" w14:textId="76547967" w:rsidR="00D85A61" w:rsidRPr="00D85A61" w:rsidRDefault="00D85A61" w:rsidP="009F15C9">
      <w:pPr>
        <w:pStyle w:val="Dipnot"/>
        <w:rPr>
          <w:lang w:val="en-US"/>
        </w:rPr>
      </w:pPr>
      <w:r w:rsidRPr="00D85A61">
        <w:rPr>
          <w:rStyle w:val="FootnoteReference"/>
        </w:rPr>
        <w:footnoteRef/>
      </w:r>
      <w:r w:rsidRPr="00D85A61">
        <w:t xml:space="preserve"> </w:t>
      </w:r>
      <w:r w:rsidRPr="00D85A61">
        <w:tab/>
      </w:r>
      <w:r w:rsidRPr="00D85A61">
        <w:rPr>
          <w:lang w:val="en-US"/>
        </w:rPr>
        <w:t xml:space="preserve">⁷ </w:t>
      </w:r>
      <w:proofErr w:type="spellStart"/>
      <w:r w:rsidRPr="00D85A61">
        <w:rPr>
          <w:lang w:val="en-US"/>
        </w:rPr>
        <w:t>Bkz</w:t>
      </w:r>
      <w:proofErr w:type="spellEnd"/>
      <w:r w:rsidRPr="00D85A61">
        <w:rPr>
          <w:lang w:val="en-US"/>
        </w:rPr>
        <w:t xml:space="preserve">. infra </w:t>
      </w:r>
      <w:proofErr w:type="spellStart"/>
      <w:r w:rsidRPr="00D85A61">
        <w:rPr>
          <w:lang w:val="en-US"/>
        </w:rPr>
        <w:t>notlar</w:t>
      </w:r>
      <w:proofErr w:type="spellEnd"/>
      <w:r w:rsidRPr="00D85A61">
        <w:rPr>
          <w:lang w:val="en-US"/>
        </w:rPr>
        <w:t xml:space="preserve"> 156-159 </w:t>
      </w:r>
      <w:proofErr w:type="spellStart"/>
      <w:r w:rsidRPr="00D85A61">
        <w:rPr>
          <w:lang w:val="en-US"/>
        </w:rPr>
        <w:t>ve</w:t>
      </w:r>
      <w:proofErr w:type="spellEnd"/>
      <w:r w:rsidRPr="00D85A61">
        <w:rPr>
          <w:lang w:val="en-US"/>
        </w:rPr>
        <w:t xml:space="preserve"> </w:t>
      </w:r>
      <w:proofErr w:type="spellStart"/>
      <w:r w:rsidRPr="00D85A61">
        <w:rPr>
          <w:lang w:val="en-US"/>
        </w:rPr>
        <w:t>ilgili</w:t>
      </w:r>
      <w:proofErr w:type="spellEnd"/>
      <w:r w:rsidRPr="00D85A61">
        <w:rPr>
          <w:lang w:val="en-US"/>
        </w:rPr>
        <w:t xml:space="preserve"> </w:t>
      </w:r>
      <w:proofErr w:type="spellStart"/>
      <w:r w:rsidRPr="00D85A61">
        <w:rPr>
          <w:lang w:val="en-US"/>
        </w:rPr>
        <w:t>metin</w:t>
      </w:r>
      <w:proofErr w:type="spellEnd"/>
      <w:r w:rsidRPr="00D85A61">
        <w:rPr>
          <w:lang w:val="en-US"/>
        </w:rPr>
        <w:t xml:space="preserve"> (</w:t>
      </w:r>
      <w:proofErr w:type="spellStart"/>
      <w:r w:rsidRPr="00D85A61">
        <w:rPr>
          <w:lang w:val="en-US"/>
        </w:rPr>
        <w:t>bu</w:t>
      </w:r>
      <w:proofErr w:type="spellEnd"/>
      <w:r w:rsidRPr="00D85A61">
        <w:rPr>
          <w:lang w:val="en-US"/>
        </w:rPr>
        <w:t xml:space="preserve"> </w:t>
      </w:r>
      <w:proofErr w:type="spellStart"/>
      <w:r w:rsidRPr="00D85A61">
        <w:rPr>
          <w:lang w:val="en-US"/>
        </w:rPr>
        <w:t>kullanım</w:t>
      </w:r>
      <w:proofErr w:type="spellEnd"/>
      <w:r w:rsidRPr="00D85A61">
        <w:rPr>
          <w:lang w:val="en-US"/>
        </w:rPr>
        <w:t xml:space="preserve"> </w:t>
      </w:r>
      <w:proofErr w:type="spellStart"/>
      <w:r w:rsidRPr="00D85A61">
        <w:rPr>
          <w:lang w:val="en-US"/>
        </w:rPr>
        <w:t>örneklerini</w:t>
      </w:r>
      <w:proofErr w:type="spellEnd"/>
      <w:r w:rsidRPr="00D85A61">
        <w:rPr>
          <w:lang w:val="en-US"/>
        </w:rPr>
        <w:t xml:space="preserve"> </w:t>
      </w:r>
      <w:proofErr w:type="spellStart"/>
      <w:r w:rsidRPr="00D85A61">
        <w:rPr>
          <w:lang w:val="en-US"/>
        </w:rPr>
        <w:t>listelemektedir</w:t>
      </w:r>
      <w:proofErr w:type="spellEnd"/>
      <w:r w:rsidRPr="00D85A61">
        <w:rPr>
          <w:lang w:val="en-US"/>
        </w:rPr>
        <w:t>).</w:t>
      </w:r>
    </w:p>
  </w:footnote>
  <w:footnote w:id="8">
    <w:p w14:paraId="0291E97D" w14:textId="21C2594F" w:rsidR="00D85A61" w:rsidRPr="00D85A61" w:rsidRDefault="00D85A61" w:rsidP="009F15C9">
      <w:pPr>
        <w:pStyle w:val="Dipnot"/>
        <w:rPr>
          <w:lang w:val="en-US"/>
        </w:rPr>
      </w:pPr>
      <w:r w:rsidRPr="00D85A61">
        <w:rPr>
          <w:rStyle w:val="FootnoteReference"/>
        </w:rPr>
        <w:footnoteRef/>
      </w:r>
      <w:r w:rsidRPr="00D85A61">
        <w:t xml:space="preserve"> </w:t>
      </w:r>
      <w:r w:rsidRPr="00D85A61">
        <w:tab/>
      </w:r>
      <w:r w:rsidRPr="00D85A61">
        <w:rPr>
          <w:lang w:val="en-US"/>
        </w:rPr>
        <w:t xml:space="preserve">⁸ </w:t>
      </w:r>
      <w:proofErr w:type="spellStart"/>
      <w:r w:rsidRPr="00D85A61">
        <w:rPr>
          <w:lang w:val="en-US"/>
        </w:rPr>
        <w:t>Bkz</w:t>
      </w:r>
      <w:proofErr w:type="spellEnd"/>
      <w:r w:rsidRPr="00D85A61">
        <w:rPr>
          <w:lang w:val="en-US"/>
        </w:rPr>
        <w:t xml:space="preserve">. </w:t>
      </w:r>
      <w:proofErr w:type="spellStart"/>
      <w:r w:rsidRPr="00D85A61">
        <w:rPr>
          <w:lang w:val="en-US"/>
        </w:rPr>
        <w:t>örn</w:t>
      </w:r>
      <w:proofErr w:type="spellEnd"/>
      <w:r w:rsidRPr="00D85A61">
        <w:rPr>
          <w:lang w:val="en-US"/>
        </w:rPr>
        <w:t xml:space="preserve">., Paul Horwitz, The Hobby Lobby Moment, 128 HARV. L. REV. 154, 158-60 (2014) (Burwell v. Hobby Lobby Stores, Inc. </w:t>
      </w:r>
      <w:proofErr w:type="spellStart"/>
      <w:r w:rsidRPr="00D85A61">
        <w:rPr>
          <w:lang w:val="en-US"/>
        </w:rPr>
        <w:t>davası</w:t>
      </w:r>
      <w:proofErr w:type="spellEnd"/>
      <w:r w:rsidRPr="00D85A61">
        <w:rPr>
          <w:lang w:val="en-US"/>
        </w:rPr>
        <w:t xml:space="preserve"> </w:t>
      </w:r>
      <w:proofErr w:type="spellStart"/>
      <w:r w:rsidRPr="00D85A61">
        <w:rPr>
          <w:lang w:val="en-US"/>
        </w:rPr>
        <w:t>etrafındaki</w:t>
      </w:r>
      <w:proofErr w:type="spellEnd"/>
      <w:r w:rsidRPr="00D85A61">
        <w:rPr>
          <w:lang w:val="en-US"/>
        </w:rPr>
        <w:t xml:space="preserve"> </w:t>
      </w:r>
      <w:proofErr w:type="spellStart"/>
      <w:r w:rsidRPr="00D85A61">
        <w:rPr>
          <w:lang w:val="en-US"/>
        </w:rPr>
        <w:t>tartışmanın</w:t>
      </w:r>
      <w:proofErr w:type="spellEnd"/>
      <w:r w:rsidRPr="00D85A61">
        <w:rPr>
          <w:lang w:val="en-US"/>
        </w:rPr>
        <w:t xml:space="preserve"> </w:t>
      </w:r>
      <w:proofErr w:type="spellStart"/>
      <w:r w:rsidRPr="00D85A61">
        <w:rPr>
          <w:lang w:val="en-US"/>
        </w:rPr>
        <w:t>önem</w:t>
      </w:r>
      <w:proofErr w:type="spellEnd"/>
      <w:r w:rsidRPr="00D85A61">
        <w:rPr>
          <w:lang w:val="en-US"/>
        </w:rPr>
        <w:t xml:space="preserve"> </w:t>
      </w:r>
      <w:proofErr w:type="spellStart"/>
      <w:r w:rsidRPr="00D85A61">
        <w:rPr>
          <w:lang w:val="en-US"/>
        </w:rPr>
        <w:t>kazanmasına</w:t>
      </w:r>
      <w:proofErr w:type="spellEnd"/>
      <w:r w:rsidRPr="00D85A61">
        <w:rPr>
          <w:lang w:val="en-US"/>
        </w:rPr>
        <w:t xml:space="preserve"> </w:t>
      </w:r>
      <w:proofErr w:type="spellStart"/>
      <w:r w:rsidRPr="00D85A61">
        <w:rPr>
          <w:lang w:val="en-US"/>
        </w:rPr>
        <w:t>yol</w:t>
      </w:r>
      <w:proofErr w:type="spellEnd"/>
      <w:r w:rsidRPr="00D85A61">
        <w:rPr>
          <w:lang w:val="en-US"/>
        </w:rPr>
        <w:t xml:space="preserve"> </w:t>
      </w:r>
      <w:proofErr w:type="spellStart"/>
      <w:r w:rsidRPr="00D85A61">
        <w:rPr>
          <w:lang w:val="en-US"/>
        </w:rPr>
        <w:t>açan</w:t>
      </w:r>
      <w:proofErr w:type="spellEnd"/>
      <w:r w:rsidRPr="00D85A61">
        <w:rPr>
          <w:lang w:val="en-US"/>
        </w:rPr>
        <w:t xml:space="preserve"> </w:t>
      </w:r>
      <w:proofErr w:type="spellStart"/>
      <w:r w:rsidRPr="00D85A61">
        <w:rPr>
          <w:lang w:val="en-US"/>
        </w:rPr>
        <w:t>sosyal</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kültürel</w:t>
      </w:r>
      <w:proofErr w:type="spellEnd"/>
      <w:r w:rsidRPr="00D85A61">
        <w:rPr>
          <w:lang w:val="en-US"/>
        </w:rPr>
        <w:t xml:space="preserve"> </w:t>
      </w:r>
      <w:proofErr w:type="spellStart"/>
      <w:r w:rsidRPr="00D85A61">
        <w:rPr>
          <w:lang w:val="en-US"/>
        </w:rPr>
        <w:t>faktörleri</w:t>
      </w:r>
      <w:proofErr w:type="spellEnd"/>
      <w:r w:rsidRPr="00D85A61">
        <w:rPr>
          <w:lang w:val="en-US"/>
        </w:rPr>
        <w:t xml:space="preserve"> </w:t>
      </w:r>
      <w:proofErr w:type="spellStart"/>
      <w:r w:rsidRPr="00D85A61">
        <w:rPr>
          <w:lang w:val="en-US"/>
        </w:rPr>
        <w:t>incelemektedir</w:t>
      </w:r>
      <w:proofErr w:type="spellEnd"/>
      <w:r w:rsidRPr="00D85A61">
        <w:rPr>
          <w:lang w:val="en-US"/>
        </w:rPr>
        <w:t xml:space="preserve">); Michael J. Klarman, Windsor and Brown: Marriage Equality and Racial Equality, 127 HARV. L. REV. 127, 128-29 (2013) (Brown </w:t>
      </w:r>
      <w:proofErr w:type="spellStart"/>
      <w:r w:rsidRPr="00D85A61">
        <w:rPr>
          <w:lang w:val="en-US"/>
        </w:rPr>
        <w:t>ve</w:t>
      </w:r>
      <w:proofErr w:type="spellEnd"/>
      <w:r w:rsidRPr="00D85A61">
        <w:rPr>
          <w:lang w:val="en-US"/>
        </w:rPr>
        <w:t xml:space="preserve"> Windsor </w:t>
      </w:r>
      <w:proofErr w:type="spellStart"/>
      <w:r w:rsidRPr="00D85A61">
        <w:rPr>
          <w:lang w:val="en-US"/>
        </w:rPr>
        <w:t>davalarında</w:t>
      </w:r>
      <w:proofErr w:type="spellEnd"/>
      <w:r w:rsidRPr="00D85A61">
        <w:rPr>
          <w:lang w:val="en-US"/>
        </w:rPr>
        <w:t xml:space="preserve"> Yüksek </w:t>
      </w:r>
      <w:proofErr w:type="spellStart"/>
      <w:r w:rsidRPr="00D85A61">
        <w:rPr>
          <w:lang w:val="en-US"/>
        </w:rPr>
        <w:t>Mahkeme</w:t>
      </w:r>
      <w:proofErr w:type="spellEnd"/>
      <w:r w:rsidRPr="00D85A61">
        <w:rPr>
          <w:lang w:val="en-US"/>
        </w:rPr>
        <w:t xml:space="preserve"> </w:t>
      </w:r>
      <w:proofErr w:type="spellStart"/>
      <w:r w:rsidRPr="00D85A61">
        <w:rPr>
          <w:lang w:val="en-US"/>
        </w:rPr>
        <w:t>kararlarını</w:t>
      </w:r>
      <w:proofErr w:type="spellEnd"/>
      <w:r w:rsidRPr="00D85A61">
        <w:rPr>
          <w:lang w:val="en-US"/>
        </w:rPr>
        <w:t xml:space="preserve"> </w:t>
      </w:r>
      <w:proofErr w:type="spellStart"/>
      <w:r w:rsidRPr="00D85A61">
        <w:rPr>
          <w:lang w:val="en-US"/>
        </w:rPr>
        <w:t>mümkün</w:t>
      </w:r>
      <w:proofErr w:type="spellEnd"/>
      <w:r w:rsidRPr="00D85A61">
        <w:rPr>
          <w:lang w:val="en-US"/>
        </w:rPr>
        <w:t xml:space="preserve"> </w:t>
      </w:r>
      <w:proofErr w:type="spellStart"/>
      <w:r w:rsidRPr="00D85A61">
        <w:rPr>
          <w:lang w:val="en-US"/>
        </w:rPr>
        <w:t>kılan</w:t>
      </w:r>
      <w:proofErr w:type="spellEnd"/>
      <w:r w:rsidRPr="00D85A61">
        <w:rPr>
          <w:lang w:val="en-US"/>
        </w:rPr>
        <w:t xml:space="preserve"> </w:t>
      </w:r>
      <w:proofErr w:type="spellStart"/>
      <w:r w:rsidRPr="00D85A61">
        <w:rPr>
          <w:lang w:val="en-US"/>
        </w:rPr>
        <w:t>politik</w:t>
      </w:r>
      <w:proofErr w:type="spellEnd"/>
      <w:r w:rsidRPr="00D85A61">
        <w:rPr>
          <w:lang w:val="en-US"/>
        </w:rPr>
        <w:t xml:space="preserve"> </w:t>
      </w:r>
      <w:proofErr w:type="spellStart"/>
      <w:r w:rsidRPr="00D85A61">
        <w:rPr>
          <w:lang w:val="en-US"/>
        </w:rPr>
        <w:t>ve</w:t>
      </w:r>
      <w:proofErr w:type="spellEnd"/>
      <w:r w:rsidRPr="00D85A61">
        <w:rPr>
          <w:lang w:val="en-US"/>
        </w:rPr>
        <w:t xml:space="preserve"> </w:t>
      </w:r>
      <w:proofErr w:type="spellStart"/>
      <w:r w:rsidRPr="00D85A61">
        <w:rPr>
          <w:lang w:val="en-US"/>
        </w:rPr>
        <w:t>sosyal</w:t>
      </w:r>
      <w:proofErr w:type="spellEnd"/>
      <w:r w:rsidRPr="00D85A61">
        <w:rPr>
          <w:lang w:val="en-US"/>
        </w:rPr>
        <w:t xml:space="preserve"> </w:t>
      </w:r>
      <w:proofErr w:type="spellStart"/>
      <w:r w:rsidRPr="00D85A61">
        <w:rPr>
          <w:lang w:val="en-US"/>
        </w:rPr>
        <w:t>bağlamdaki</w:t>
      </w:r>
      <w:proofErr w:type="spellEnd"/>
      <w:r w:rsidRPr="00D85A61">
        <w:rPr>
          <w:lang w:val="en-US"/>
        </w:rPr>
        <w:t xml:space="preserve"> </w:t>
      </w:r>
      <w:proofErr w:type="spellStart"/>
      <w:r w:rsidRPr="00D85A61">
        <w:rPr>
          <w:lang w:val="en-US"/>
        </w:rPr>
        <w:t>değişiklikleri</w:t>
      </w:r>
      <w:proofErr w:type="spellEnd"/>
      <w:r w:rsidRPr="00D85A61">
        <w:rPr>
          <w:lang w:val="en-US"/>
        </w:rPr>
        <w:t xml:space="preserve"> </w:t>
      </w:r>
      <w:proofErr w:type="spellStart"/>
      <w:r w:rsidRPr="00D85A61">
        <w:rPr>
          <w:lang w:val="en-US"/>
        </w:rPr>
        <w:t>tartışmaktadır</w:t>
      </w:r>
      <w:proofErr w:type="spellEnd"/>
      <w:r w:rsidRPr="00D85A61">
        <w:rPr>
          <w:lang w:val="en-US"/>
        </w:rPr>
        <w:t>).</w:t>
      </w:r>
    </w:p>
  </w:footnote>
  <w:footnote w:id="9">
    <w:p w14:paraId="731CF369" w14:textId="37E8ECF6" w:rsidR="00D85A61" w:rsidRPr="00D85A61" w:rsidRDefault="00D85A61" w:rsidP="009F15C9">
      <w:pPr>
        <w:pStyle w:val="Dipnot"/>
        <w:rPr>
          <w:lang w:val="en-US"/>
        </w:rPr>
      </w:pPr>
      <w:r w:rsidRPr="00D85A61">
        <w:rPr>
          <w:rStyle w:val="FootnoteReference"/>
        </w:rPr>
        <w:footnoteRef/>
      </w:r>
      <w:r w:rsidRPr="00D85A61">
        <w:t xml:space="preserve"> </w:t>
      </w:r>
      <w:r w:rsidRPr="00D85A61">
        <w:rPr>
          <w:lang w:val="en-US"/>
        </w:rPr>
        <w:tab/>
      </w:r>
      <w:r w:rsidRPr="00D85A61">
        <w:rPr>
          <w:lang w:val="en-US"/>
        </w:rPr>
        <w:t xml:space="preserve">⁹ </w:t>
      </w:r>
      <w:proofErr w:type="spellStart"/>
      <w:r w:rsidRPr="00D85A61">
        <w:rPr>
          <w:lang w:val="en-US"/>
        </w:rPr>
        <w:t>Bkz</w:t>
      </w:r>
      <w:proofErr w:type="spellEnd"/>
      <w:r w:rsidRPr="00D85A61">
        <w:rPr>
          <w:lang w:val="en-US"/>
        </w:rPr>
        <w:t xml:space="preserve">. </w:t>
      </w:r>
      <w:proofErr w:type="spellStart"/>
      <w:r w:rsidRPr="00D85A61">
        <w:rPr>
          <w:lang w:val="en-US"/>
        </w:rPr>
        <w:t>örn</w:t>
      </w:r>
      <w:proofErr w:type="spellEnd"/>
      <w:r w:rsidRPr="00D85A61">
        <w:rPr>
          <w:lang w:val="en-US"/>
        </w:rPr>
        <w:t xml:space="preserve">., Post, supra not 2, s. 8 (2002 Yüksek </w:t>
      </w:r>
      <w:proofErr w:type="spellStart"/>
      <w:r w:rsidRPr="00D85A61">
        <w:rPr>
          <w:lang w:val="en-US"/>
        </w:rPr>
        <w:t>Mahkeme</w:t>
      </w:r>
      <w:proofErr w:type="spellEnd"/>
      <w:r w:rsidRPr="00D85A61">
        <w:rPr>
          <w:lang w:val="en-US"/>
        </w:rPr>
        <w:t xml:space="preserve"> </w:t>
      </w:r>
      <w:proofErr w:type="spellStart"/>
      <w:r w:rsidRPr="00D85A61">
        <w:rPr>
          <w:lang w:val="en-US"/>
        </w:rPr>
        <w:t>dönemine</w:t>
      </w:r>
      <w:proofErr w:type="spellEnd"/>
      <w:r w:rsidRPr="00D85A61">
        <w:rPr>
          <w:lang w:val="en-US"/>
        </w:rPr>
        <w:t xml:space="preserve"> </w:t>
      </w:r>
      <w:proofErr w:type="spellStart"/>
      <w:r w:rsidRPr="00D85A61">
        <w:rPr>
          <w:lang w:val="en-US"/>
        </w:rPr>
        <w:t>ait</w:t>
      </w:r>
      <w:proofErr w:type="spellEnd"/>
      <w:r w:rsidRPr="00D85A61">
        <w:rPr>
          <w:lang w:val="en-US"/>
        </w:rPr>
        <w:t xml:space="preserve"> </w:t>
      </w:r>
      <w:proofErr w:type="spellStart"/>
      <w:r w:rsidRPr="00D85A61">
        <w:rPr>
          <w:lang w:val="en-US"/>
        </w:rPr>
        <w:t>önemli</w:t>
      </w:r>
      <w:proofErr w:type="spellEnd"/>
      <w:r w:rsidRPr="00D85A61">
        <w:rPr>
          <w:lang w:val="en-US"/>
        </w:rPr>
        <w:t xml:space="preserve"> </w:t>
      </w:r>
      <w:proofErr w:type="spellStart"/>
      <w:r w:rsidRPr="00D85A61">
        <w:rPr>
          <w:lang w:val="en-US"/>
        </w:rPr>
        <w:t>davaları</w:t>
      </w:r>
      <w:proofErr w:type="spellEnd"/>
      <w:r w:rsidRPr="00D85A61">
        <w:rPr>
          <w:lang w:val="en-US"/>
        </w:rPr>
        <w:t xml:space="preserve"> </w:t>
      </w:r>
      <w:proofErr w:type="spellStart"/>
      <w:r w:rsidRPr="00D85A61">
        <w:rPr>
          <w:lang w:val="en-US"/>
        </w:rPr>
        <w:t>analiz</w:t>
      </w:r>
      <w:proofErr w:type="spellEnd"/>
      <w:r w:rsidRPr="00D85A61">
        <w:rPr>
          <w:lang w:val="en-US"/>
        </w:rPr>
        <w:t xml:space="preserve"> </w:t>
      </w:r>
      <w:proofErr w:type="spellStart"/>
      <w:r w:rsidRPr="00D85A61">
        <w:rPr>
          <w:lang w:val="en-US"/>
        </w:rPr>
        <w:t>ederek</w:t>
      </w:r>
      <w:proofErr w:type="spellEnd"/>
      <w:r w:rsidRPr="00D85A61">
        <w:rPr>
          <w:lang w:val="en-US"/>
        </w:rPr>
        <w:t xml:space="preserve">, </w:t>
      </w:r>
      <w:proofErr w:type="spellStart"/>
      <w:r w:rsidRPr="00D85A61">
        <w:rPr>
          <w:lang w:val="en-US"/>
        </w:rPr>
        <w:t>anayasa</w:t>
      </w:r>
      <w:proofErr w:type="spellEnd"/>
      <w:r w:rsidRPr="00D85A61">
        <w:rPr>
          <w:lang w:val="en-US"/>
        </w:rPr>
        <w:t xml:space="preserve"> </w:t>
      </w:r>
      <w:proofErr w:type="spellStart"/>
      <w:r w:rsidRPr="00D85A61">
        <w:rPr>
          <w:lang w:val="en-US"/>
        </w:rPr>
        <w:t>hukukunun</w:t>
      </w:r>
      <w:proofErr w:type="spellEnd"/>
      <w:r w:rsidRPr="00D85A61">
        <w:rPr>
          <w:lang w:val="en-US"/>
        </w:rPr>
        <w:t xml:space="preserve"> </w:t>
      </w:r>
      <w:proofErr w:type="spellStart"/>
      <w:r w:rsidRPr="00D85A61">
        <w:rPr>
          <w:lang w:val="en-US"/>
        </w:rPr>
        <w:t>şekillenmesinde</w:t>
      </w:r>
      <w:proofErr w:type="spellEnd"/>
      <w:r w:rsidRPr="00D85A61">
        <w:rPr>
          <w:lang w:val="en-US"/>
        </w:rPr>
        <w:t xml:space="preserve"> </w:t>
      </w:r>
      <w:proofErr w:type="spellStart"/>
      <w:r w:rsidRPr="00D85A61">
        <w:rPr>
          <w:lang w:val="en-US"/>
        </w:rPr>
        <w:t>yargı</w:t>
      </w:r>
      <w:proofErr w:type="spellEnd"/>
      <w:r w:rsidRPr="00D85A61">
        <w:rPr>
          <w:lang w:val="en-US"/>
        </w:rPr>
        <w:t xml:space="preserve"> </w:t>
      </w:r>
      <w:proofErr w:type="spellStart"/>
      <w:r w:rsidRPr="00D85A61">
        <w:rPr>
          <w:lang w:val="en-US"/>
        </w:rPr>
        <w:t>dışı</w:t>
      </w:r>
      <w:proofErr w:type="spellEnd"/>
      <w:r w:rsidRPr="00D85A61">
        <w:rPr>
          <w:lang w:val="en-US"/>
        </w:rPr>
        <w:t xml:space="preserve"> </w:t>
      </w:r>
      <w:proofErr w:type="spellStart"/>
      <w:r w:rsidRPr="00D85A61">
        <w:rPr>
          <w:lang w:val="en-US"/>
        </w:rPr>
        <w:t>aktörlerin</w:t>
      </w:r>
      <w:proofErr w:type="spellEnd"/>
      <w:r w:rsidRPr="00D85A61">
        <w:rPr>
          <w:lang w:val="en-US"/>
        </w:rPr>
        <w:t xml:space="preserve"> </w:t>
      </w:r>
      <w:proofErr w:type="spellStart"/>
      <w:r w:rsidRPr="00D85A61">
        <w:rPr>
          <w:lang w:val="en-US"/>
        </w:rPr>
        <w:t>rolünü</w:t>
      </w:r>
      <w:proofErr w:type="spellEnd"/>
      <w:r w:rsidRPr="00D85A61">
        <w:rPr>
          <w:lang w:val="en-US"/>
        </w:rPr>
        <w:t xml:space="preserve"> </w:t>
      </w:r>
      <w:proofErr w:type="spellStart"/>
      <w:r w:rsidRPr="00D85A61">
        <w:rPr>
          <w:lang w:val="en-US"/>
        </w:rPr>
        <w:t>vurgulamaktadır</w:t>
      </w:r>
      <w:proofErr w:type="spellEnd"/>
      <w:r w:rsidRPr="00D85A61">
        <w:rPr>
          <w:lang w:val="en-US"/>
        </w:rPr>
        <w:t>); Siegel, supra not 2, ss. 1323-25 (</w:t>
      </w:r>
      <w:proofErr w:type="spellStart"/>
      <w:r w:rsidRPr="00D85A61">
        <w:rPr>
          <w:lang w:val="en-US"/>
        </w:rPr>
        <w:t>tarih</w:t>
      </w:r>
      <w:proofErr w:type="spellEnd"/>
      <w:r w:rsidRPr="00D85A61">
        <w:rPr>
          <w:lang w:val="en-US"/>
        </w:rPr>
        <w:t xml:space="preserve"> </w:t>
      </w:r>
      <w:proofErr w:type="spellStart"/>
      <w:r w:rsidRPr="00D85A61">
        <w:rPr>
          <w:lang w:val="en-US"/>
        </w:rPr>
        <w:t>boyunca</w:t>
      </w:r>
      <w:proofErr w:type="spellEnd"/>
      <w:r w:rsidRPr="00D85A61">
        <w:rPr>
          <w:lang w:val="en-US"/>
        </w:rPr>
        <w:t xml:space="preserve"> </w:t>
      </w:r>
      <w:proofErr w:type="spellStart"/>
      <w:r w:rsidRPr="00D85A61">
        <w:rPr>
          <w:lang w:val="en-US"/>
        </w:rPr>
        <w:t>vatandaşlar</w:t>
      </w:r>
      <w:proofErr w:type="spellEnd"/>
      <w:r w:rsidRPr="00D85A61">
        <w:rPr>
          <w:lang w:val="en-US"/>
        </w:rPr>
        <w:t xml:space="preserve"> </w:t>
      </w:r>
      <w:proofErr w:type="spellStart"/>
      <w:r w:rsidRPr="00D85A61">
        <w:rPr>
          <w:lang w:val="en-US"/>
        </w:rPr>
        <w:t>ile</w:t>
      </w:r>
      <w:proofErr w:type="spellEnd"/>
      <w:r w:rsidRPr="00D85A61">
        <w:rPr>
          <w:lang w:val="en-US"/>
        </w:rPr>
        <w:t xml:space="preserve"> </w:t>
      </w:r>
      <w:proofErr w:type="spellStart"/>
      <w:r w:rsidRPr="00D85A61">
        <w:rPr>
          <w:lang w:val="en-US"/>
        </w:rPr>
        <w:t>kamu</w:t>
      </w:r>
      <w:proofErr w:type="spellEnd"/>
      <w:r w:rsidRPr="00D85A61">
        <w:rPr>
          <w:lang w:val="en-US"/>
        </w:rPr>
        <w:t xml:space="preserve"> </w:t>
      </w:r>
      <w:proofErr w:type="spellStart"/>
      <w:r w:rsidRPr="00D85A61">
        <w:rPr>
          <w:lang w:val="en-US"/>
        </w:rPr>
        <w:t>görevlileri</w:t>
      </w:r>
      <w:proofErr w:type="spellEnd"/>
      <w:r w:rsidRPr="00D85A61">
        <w:rPr>
          <w:lang w:val="en-US"/>
        </w:rPr>
        <w:t xml:space="preserve"> </w:t>
      </w:r>
      <w:proofErr w:type="spellStart"/>
      <w:r w:rsidRPr="00D85A61">
        <w:rPr>
          <w:lang w:val="en-US"/>
        </w:rPr>
        <w:t>arasındaki</w:t>
      </w:r>
      <w:proofErr w:type="spellEnd"/>
      <w:r w:rsidRPr="00D85A61">
        <w:rPr>
          <w:lang w:val="en-US"/>
        </w:rPr>
        <w:t xml:space="preserve"> </w:t>
      </w:r>
      <w:proofErr w:type="spellStart"/>
      <w:r w:rsidRPr="00D85A61">
        <w:rPr>
          <w:lang w:val="en-US"/>
        </w:rPr>
        <w:t>anayasal</w:t>
      </w:r>
      <w:proofErr w:type="spellEnd"/>
      <w:r w:rsidRPr="00D85A61">
        <w:rPr>
          <w:lang w:val="en-US"/>
        </w:rPr>
        <w:t xml:space="preserve"> </w:t>
      </w:r>
      <w:proofErr w:type="spellStart"/>
      <w:r w:rsidRPr="00D85A61">
        <w:rPr>
          <w:lang w:val="en-US"/>
        </w:rPr>
        <w:t>diyaloğun</w:t>
      </w:r>
      <w:proofErr w:type="spellEnd"/>
      <w:r w:rsidRPr="00D85A61">
        <w:rPr>
          <w:lang w:val="en-US"/>
        </w:rPr>
        <w:t xml:space="preserve">, </w:t>
      </w:r>
      <w:proofErr w:type="spellStart"/>
      <w:r w:rsidRPr="00D85A61">
        <w:rPr>
          <w:lang w:val="en-US"/>
        </w:rPr>
        <w:t>Anayasa’nın</w:t>
      </w:r>
      <w:proofErr w:type="spellEnd"/>
      <w:r w:rsidRPr="00D85A61">
        <w:rPr>
          <w:lang w:val="en-US"/>
        </w:rPr>
        <w:t xml:space="preserve"> </w:t>
      </w:r>
      <w:proofErr w:type="spellStart"/>
      <w:r w:rsidRPr="00D85A61">
        <w:rPr>
          <w:lang w:val="en-US"/>
        </w:rPr>
        <w:t>demokratik</w:t>
      </w:r>
      <w:proofErr w:type="spellEnd"/>
      <w:r w:rsidRPr="00D85A61">
        <w:rPr>
          <w:lang w:val="en-US"/>
        </w:rPr>
        <w:t xml:space="preserve"> </w:t>
      </w:r>
      <w:proofErr w:type="spellStart"/>
      <w:r w:rsidRPr="00D85A61">
        <w:rPr>
          <w:lang w:val="en-US"/>
        </w:rPr>
        <w:t>meşruiyetini</w:t>
      </w:r>
      <w:proofErr w:type="spellEnd"/>
      <w:r w:rsidRPr="00D85A61">
        <w:rPr>
          <w:lang w:val="en-US"/>
        </w:rPr>
        <w:t xml:space="preserve"> </w:t>
      </w:r>
      <w:proofErr w:type="spellStart"/>
      <w:r w:rsidRPr="00D85A61">
        <w:rPr>
          <w:lang w:val="en-US"/>
        </w:rPr>
        <w:t>nasıl</w:t>
      </w:r>
      <w:proofErr w:type="spellEnd"/>
      <w:r w:rsidRPr="00D85A61">
        <w:rPr>
          <w:lang w:val="en-US"/>
        </w:rPr>
        <w:t xml:space="preserve"> </w:t>
      </w:r>
      <w:proofErr w:type="spellStart"/>
      <w:r w:rsidRPr="00D85A61">
        <w:rPr>
          <w:lang w:val="en-US"/>
        </w:rPr>
        <w:t>koruduğunu</w:t>
      </w:r>
      <w:proofErr w:type="spellEnd"/>
      <w:r w:rsidRPr="00D85A61">
        <w:rPr>
          <w:lang w:val="en-US"/>
        </w:rPr>
        <w:t xml:space="preserve"> </w:t>
      </w:r>
      <w:proofErr w:type="spellStart"/>
      <w:r w:rsidRPr="00D85A61">
        <w:rPr>
          <w:lang w:val="en-US"/>
        </w:rPr>
        <w:t>tartışmaktadır</w:t>
      </w:r>
      <w:proofErr w:type="spellEnd"/>
      <w:r w:rsidRPr="00D85A61">
        <w:rPr>
          <w:lang w:val="en-US"/>
        </w:rPr>
        <w:t>).</w:t>
      </w:r>
    </w:p>
  </w:footnote>
  <w:footnote w:id="10">
    <w:p w14:paraId="79D3E296" w14:textId="7DD77B38" w:rsidR="00D85A61" w:rsidRPr="009F15C9" w:rsidRDefault="00D85A61" w:rsidP="009F15C9">
      <w:pPr>
        <w:pStyle w:val="Dipnot"/>
        <w:rPr>
          <w:lang w:val="en-US"/>
        </w:rPr>
      </w:pPr>
      <w:r w:rsidRPr="00D85A61">
        <w:rPr>
          <w:rStyle w:val="FootnoteReference"/>
        </w:rPr>
        <w:footnoteRef/>
      </w:r>
      <w:r w:rsidRPr="00D85A61">
        <w:t xml:space="preserve"> </w:t>
      </w:r>
      <w:r w:rsidRPr="00D85A61">
        <w:tab/>
      </w:r>
      <w:r w:rsidRPr="00D85A61">
        <w:rPr>
          <w:lang w:val="en-US"/>
        </w:rPr>
        <w:t xml:space="preserve">¹⁰ </w:t>
      </w:r>
      <w:proofErr w:type="spellStart"/>
      <w:r w:rsidRPr="00D85A61">
        <w:rPr>
          <w:lang w:val="en-US"/>
        </w:rPr>
        <w:t>Bkz</w:t>
      </w:r>
      <w:proofErr w:type="spellEnd"/>
      <w:r w:rsidRPr="00D85A61">
        <w:rPr>
          <w:lang w:val="en-US"/>
        </w:rPr>
        <w:t xml:space="preserve">. </w:t>
      </w:r>
      <w:proofErr w:type="spellStart"/>
      <w:r w:rsidRPr="00D85A61">
        <w:rPr>
          <w:lang w:val="en-US"/>
        </w:rPr>
        <w:t>genel</w:t>
      </w:r>
      <w:proofErr w:type="spellEnd"/>
      <w:r w:rsidRPr="00D85A61">
        <w:rPr>
          <w:lang w:val="en-US"/>
        </w:rPr>
        <w:t xml:space="preserve"> </w:t>
      </w:r>
      <w:proofErr w:type="spellStart"/>
      <w:r w:rsidRPr="00D85A61">
        <w:rPr>
          <w:lang w:val="en-US"/>
        </w:rPr>
        <w:t>olarak</w:t>
      </w:r>
      <w:proofErr w:type="spellEnd"/>
      <w:r w:rsidRPr="00D85A61">
        <w:rPr>
          <w:lang w:val="en-US"/>
        </w:rPr>
        <w:t>, POWELL, supra not 2 (</w:t>
      </w:r>
      <w:proofErr w:type="spellStart"/>
      <w:r w:rsidRPr="00D85A61">
        <w:rPr>
          <w:lang w:val="en-US"/>
        </w:rPr>
        <w:t>anayasal</w:t>
      </w:r>
      <w:proofErr w:type="spellEnd"/>
      <w:r w:rsidRPr="00D85A61">
        <w:rPr>
          <w:lang w:val="en-US"/>
        </w:rPr>
        <w:t xml:space="preserve"> </w:t>
      </w:r>
      <w:proofErr w:type="spellStart"/>
      <w:r w:rsidRPr="00D85A61">
        <w:rPr>
          <w:lang w:val="en-US"/>
        </w:rPr>
        <w:t>doktrinin</w:t>
      </w:r>
      <w:proofErr w:type="spellEnd"/>
      <w:r w:rsidRPr="00D85A61">
        <w:rPr>
          <w:lang w:val="en-US"/>
        </w:rPr>
        <w:t xml:space="preserve"> </w:t>
      </w:r>
      <w:proofErr w:type="spellStart"/>
      <w:r w:rsidRPr="00D85A61">
        <w:rPr>
          <w:lang w:val="en-US"/>
        </w:rPr>
        <w:t>şekillenmesinde</w:t>
      </w:r>
      <w:proofErr w:type="spellEnd"/>
      <w:r w:rsidRPr="00D85A61">
        <w:rPr>
          <w:lang w:val="en-US"/>
        </w:rPr>
        <w:t xml:space="preserve"> </w:t>
      </w:r>
      <w:proofErr w:type="spellStart"/>
      <w:r w:rsidRPr="00D85A61">
        <w:rPr>
          <w:lang w:val="en-US"/>
        </w:rPr>
        <w:t>tarihsel</w:t>
      </w:r>
      <w:proofErr w:type="spellEnd"/>
      <w:r w:rsidRPr="00D85A61">
        <w:rPr>
          <w:lang w:val="en-US"/>
        </w:rPr>
        <w:t xml:space="preserve"> </w:t>
      </w:r>
      <w:proofErr w:type="spellStart"/>
      <w:r w:rsidRPr="00D85A61">
        <w:rPr>
          <w:lang w:val="en-US"/>
        </w:rPr>
        <w:t>bağlamın</w:t>
      </w:r>
      <w:proofErr w:type="spellEnd"/>
      <w:r w:rsidRPr="00D85A61">
        <w:rPr>
          <w:lang w:val="en-US"/>
        </w:rPr>
        <w:t xml:space="preserve"> </w:t>
      </w:r>
      <w:proofErr w:type="spellStart"/>
      <w:r w:rsidRPr="00D85A61">
        <w:rPr>
          <w:lang w:val="en-US"/>
        </w:rPr>
        <w:t>etkisini</w:t>
      </w:r>
      <w:proofErr w:type="spellEnd"/>
      <w:r w:rsidRPr="00D85A61">
        <w:rPr>
          <w:lang w:val="en-US"/>
        </w:rPr>
        <w:t xml:space="preserve"> </w:t>
      </w:r>
      <w:proofErr w:type="spellStart"/>
      <w:r w:rsidRPr="00D85A61">
        <w:rPr>
          <w:lang w:val="en-US"/>
        </w:rPr>
        <w:t>ele</w:t>
      </w:r>
      <w:proofErr w:type="spellEnd"/>
      <w:r w:rsidRPr="00D85A61">
        <w:rPr>
          <w:lang w:val="en-US"/>
        </w:rPr>
        <w:t xml:space="preserve"> </w:t>
      </w:r>
      <w:proofErr w:type="spellStart"/>
      <w:r w:rsidRPr="00D85A61">
        <w:rPr>
          <w:lang w:val="en-US"/>
        </w:rPr>
        <w:t>almaktadır</w:t>
      </w:r>
      <w:proofErr w:type="spellEnd"/>
      <w:r w:rsidRPr="00D85A61">
        <w:rPr>
          <w:lang w:val="en-US"/>
        </w:rPr>
        <w:t xml:space="preserve">); </w:t>
      </w:r>
      <w:proofErr w:type="spellStart"/>
      <w:r w:rsidRPr="00D85A61">
        <w:rPr>
          <w:lang w:val="en-US"/>
        </w:rPr>
        <w:t>ayrıca</w:t>
      </w:r>
      <w:proofErr w:type="spellEnd"/>
      <w:r w:rsidRPr="00D85A61">
        <w:rPr>
          <w:lang w:val="en-US"/>
        </w:rPr>
        <w:t xml:space="preserve"> </w:t>
      </w:r>
      <w:proofErr w:type="spellStart"/>
      <w:r w:rsidRPr="00D85A61">
        <w:rPr>
          <w:lang w:val="en-US"/>
        </w:rPr>
        <w:t>bkz</w:t>
      </w:r>
      <w:proofErr w:type="spellEnd"/>
      <w:r w:rsidRPr="00D85A61">
        <w:rPr>
          <w:lang w:val="en-US"/>
        </w:rPr>
        <w:t>. Akhil Reed Amar, The Supreme Court 1999 Term—Foreword: The Document and the Doctrine, 114 HARV. L. REV. 26, 26-28 (2000) (</w:t>
      </w:r>
      <w:proofErr w:type="spellStart"/>
      <w:r w:rsidRPr="00D85A61">
        <w:rPr>
          <w:lang w:val="en-US"/>
        </w:rPr>
        <w:t>anayasal</w:t>
      </w:r>
      <w:proofErr w:type="spellEnd"/>
      <w:r w:rsidRPr="00D85A61">
        <w:rPr>
          <w:lang w:val="en-US"/>
        </w:rPr>
        <w:t xml:space="preserve"> </w:t>
      </w:r>
      <w:proofErr w:type="spellStart"/>
      <w:r w:rsidRPr="00D85A61">
        <w:rPr>
          <w:lang w:val="en-US"/>
        </w:rPr>
        <w:t>içtihat</w:t>
      </w:r>
      <w:proofErr w:type="spellEnd"/>
      <w:r w:rsidRPr="00D85A61">
        <w:rPr>
          <w:lang w:val="en-US"/>
        </w:rPr>
        <w:t xml:space="preserve"> </w:t>
      </w:r>
      <w:proofErr w:type="spellStart"/>
      <w:r w:rsidRPr="00D85A61">
        <w:rPr>
          <w:lang w:val="en-US"/>
        </w:rPr>
        <w:t>hukukunun</w:t>
      </w:r>
      <w:proofErr w:type="spellEnd"/>
      <w:r w:rsidRPr="00D85A61">
        <w:rPr>
          <w:lang w:val="en-US"/>
        </w:rPr>
        <w:t xml:space="preserve"> </w:t>
      </w:r>
      <w:proofErr w:type="spellStart"/>
      <w:r w:rsidRPr="00D85A61">
        <w:rPr>
          <w:lang w:val="en-US"/>
        </w:rPr>
        <w:t>çoğu</w:t>
      </w:r>
      <w:proofErr w:type="spellEnd"/>
      <w:r w:rsidRPr="00D85A61">
        <w:rPr>
          <w:lang w:val="en-US"/>
        </w:rPr>
        <w:t xml:space="preserve"> zaman </w:t>
      </w:r>
      <w:proofErr w:type="spellStart"/>
      <w:r w:rsidRPr="00D85A61">
        <w:rPr>
          <w:lang w:val="en-US"/>
        </w:rPr>
        <w:t>Anayasa</w:t>
      </w:r>
      <w:proofErr w:type="spellEnd"/>
      <w:r w:rsidRPr="00D85A61">
        <w:rPr>
          <w:lang w:val="en-US"/>
        </w:rPr>
        <w:t xml:space="preserve"> </w:t>
      </w:r>
      <w:proofErr w:type="spellStart"/>
      <w:r w:rsidRPr="00D85A61">
        <w:rPr>
          <w:lang w:val="en-US"/>
        </w:rPr>
        <w:t>metninde</w:t>
      </w:r>
      <w:proofErr w:type="spellEnd"/>
      <w:r w:rsidRPr="00D85A61">
        <w:rPr>
          <w:lang w:val="en-US"/>
        </w:rPr>
        <w:t xml:space="preserve"> </w:t>
      </w:r>
      <w:proofErr w:type="spellStart"/>
      <w:r w:rsidRPr="00D85A61">
        <w:rPr>
          <w:lang w:val="en-US"/>
        </w:rPr>
        <w:t>ortaya</w:t>
      </w:r>
      <w:proofErr w:type="spellEnd"/>
      <w:r w:rsidRPr="00D85A61">
        <w:rPr>
          <w:lang w:val="en-US"/>
        </w:rPr>
        <w:t xml:space="preserve"> </w:t>
      </w:r>
      <w:proofErr w:type="spellStart"/>
      <w:r w:rsidRPr="00D85A61">
        <w:rPr>
          <w:lang w:val="en-US"/>
        </w:rPr>
        <w:t>konan</w:t>
      </w:r>
      <w:proofErr w:type="spellEnd"/>
      <w:r w:rsidRPr="00D85A61">
        <w:rPr>
          <w:lang w:val="en-US"/>
        </w:rPr>
        <w:t xml:space="preserve"> </w:t>
      </w:r>
      <w:proofErr w:type="spellStart"/>
      <w:r w:rsidRPr="00D85A61">
        <w:rPr>
          <w:lang w:val="en-US"/>
        </w:rPr>
        <w:t>vizyondan</w:t>
      </w:r>
      <w:proofErr w:type="spellEnd"/>
      <w:r w:rsidRPr="00D85A61">
        <w:rPr>
          <w:lang w:val="en-US"/>
        </w:rPr>
        <w:t xml:space="preserve"> </w:t>
      </w:r>
      <w:proofErr w:type="spellStart"/>
      <w:r w:rsidRPr="00D85A61">
        <w:rPr>
          <w:lang w:val="en-US"/>
        </w:rPr>
        <w:t>fazla</w:t>
      </w:r>
      <w:proofErr w:type="spellEnd"/>
      <w:r w:rsidRPr="00D85A61">
        <w:rPr>
          <w:lang w:val="en-US"/>
        </w:rPr>
        <w:t xml:space="preserve"> </w:t>
      </w:r>
      <w:proofErr w:type="spellStart"/>
      <w:r w:rsidRPr="00D85A61">
        <w:rPr>
          <w:lang w:val="en-US"/>
        </w:rPr>
        <w:t>uzaklaştığını</w:t>
      </w:r>
      <w:proofErr w:type="spellEnd"/>
      <w:r w:rsidRPr="00D85A61">
        <w:rPr>
          <w:lang w:val="en-US"/>
        </w:rPr>
        <w:t xml:space="preserve"> </w:t>
      </w:r>
      <w:proofErr w:type="spellStart"/>
      <w:r w:rsidRPr="00D85A61">
        <w:rPr>
          <w:lang w:val="en-US"/>
        </w:rPr>
        <w:t>savunmaktadır</w:t>
      </w:r>
      <w:proofErr w:type="spellEnd"/>
      <w:r w:rsidRPr="00D85A61">
        <w:rPr>
          <w:lang w:val="en-US"/>
        </w:rPr>
        <w:t>); Ernest A. Young, The Constitution Outside the Constitution, 117 YALE L.J. 408, 413 (2007) (</w:t>
      </w:r>
      <w:proofErr w:type="spellStart"/>
      <w:r w:rsidRPr="00D85A61">
        <w:rPr>
          <w:lang w:val="en-US"/>
        </w:rPr>
        <w:t>anayasa</w:t>
      </w:r>
      <w:proofErr w:type="spellEnd"/>
      <w:r w:rsidRPr="00D85A61">
        <w:rPr>
          <w:lang w:val="en-US"/>
        </w:rPr>
        <w:t xml:space="preserve"> </w:t>
      </w:r>
      <w:proofErr w:type="spellStart"/>
      <w:r w:rsidRPr="00D85A61">
        <w:rPr>
          <w:lang w:val="en-US"/>
        </w:rPr>
        <w:t>hukukunun</w:t>
      </w:r>
      <w:proofErr w:type="spellEnd"/>
      <w:r w:rsidRPr="00D85A61">
        <w:rPr>
          <w:lang w:val="en-US"/>
        </w:rPr>
        <w:t xml:space="preserve"> </w:t>
      </w:r>
      <w:proofErr w:type="spellStart"/>
      <w:r w:rsidRPr="00D85A61">
        <w:rPr>
          <w:lang w:val="en-US"/>
        </w:rPr>
        <w:t>büyük</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kısmını</w:t>
      </w:r>
      <w:proofErr w:type="spellEnd"/>
      <w:r w:rsidRPr="00D85A61">
        <w:rPr>
          <w:lang w:val="en-US"/>
        </w:rPr>
        <w:t>, “</w:t>
      </w:r>
      <w:proofErr w:type="spellStart"/>
      <w:r w:rsidRPr="00D85A61">
        <w:rPr>
          <w:lang w:val="en-US"/>
        </w:rPr>
        <w:t>Anayasa’nın</w:t>
      </w:r>
      <w:proofErr w:type="spellEnd"/>
      <w:r w:rsidRPr="00D85A61">
        <w:rPr>
          <w:lang w:val="en-US"/>
        </w:rPr>
        <w:t xml:space="preserve"> </w:t>
      </w:r>
      <w:proofErr w:type="spellStart"/>
      <w:r w:rsidRPr="00D85A61">
        <w:rPr>
          <w:lang w:val="en-US"/>
        </w:rPr>
        <w:t>kendisi</w:t>
      </w:r>
      <w:proofErr w:type="spellEnd"/>
      <w:r w:rsidRPr="00D85A61">
        <w:rPr>
          <w:lang w:val="en-US"/>
        </w:rPr>
        <w:t xml:space="preserve"> </w:t>
      </w:r>
      <w:proofErr w:type="spellStart"/>
      <w:r w:rsidRPr="00D85A61">
        <w:rPr>
          <w:lang w:val="en-US"/>
        </w:rPr>
        <w:t>dışındaki</w:t>
      </w:r>
      <w:proofErr w:type="spellEnd"/>
      <w:r w:rsidRPr="00D85A61">
        <w:rPr>
          <w:lang w:val="en-US"/>
        </w:rPr>
        <w:t xml:space="preserve"> </w:t>
      </w:r>
      <w:proofErr w:type="spellStart"/>
      <w:r w:rsidRPr="00D85A61">
        <w:rPr>
          <w:lang w:val="en-US"/>
        </w:rPr>
        <w:t>hukuki</w:t>
      </w:r>
      <w:proofErr w:type="spellEnd"/>
      <w:r w:rsidRPr="00D85A61">
        <w:rPr>
          <w:lang w:val="en-US"/>
        </w:rPr>
        <w:t xml:space="preserve"> </w:t>
      </w:r>
      <w:proofErr w:type="spellStart"/>
      <w:r w:rsidRPr="00D85A61">
        <w:rPr>
          <w:lang w:val="en-US"/>
        </w:rPr>
        <w:t>kaynaklardan</w:t>
      </w:r>
      <w:proofErr w:type="spellEnd"/>
      <w:r w:rsidRPr="00D85A61">
        <w:rPr>
          <w:lang w:val="en-US"/>
        </w:rPr>
        <w:t xml:space="preserve"> </w:t>
      </w:r>
      <w:proofErr w:type="spellStart"/>
      <w:r w:rsidRPr="00D85A61">
        <w:rPr>
          <w:lang w:val="en-US"/>
        </w:rPr>
        <w:t>türeyen</w:t>
      </w:r>
      <w:proofErr w:type="spellEnd"/>
      <w:r w:rsidRPr="00D85A61">
        <w:rPr>
          <w:lang w:val="en-US"/>
        </w:rPr>
        <w:t xml:space="preserve">” </w:t>
      </w:r>
      <w:proofErr w:type="spellStart"/>
      <w:r w:rsidRPr="00D85A61">
        <w:rPr>
          <w:lang w:val="en-US"/>
        </w:rPr>
        <w:t>bir</w:t>
      </w:r>
      <w:proofErr w:type="spellEnd"/>
      <w:r w:rsidRPr="00D85A61">
        <w:rPr>
          <w:lang w:val="en-US"/>
        </w:rPr>
        <w:t xml:space="preserve"> </w:t>
      </w:r>
      <w:proofErr w:type="spellStart"/>
      <w:r w:rsidRPr="00D85A61">
        <w:rPr>
          <w:lang w:val="en-US"/>
        </w:rPr>
        <w:t>yapı</w:t>
      </w:r>
      <w:proofErr w:type="spellEnd"/>
      <w:r w:rsidRPr="00D85A61">
        <w:rPr>
          <w:lang w:val="en-US"/>
        </w:rPr>
        <w:t xml:space="preserve"> </w:t>
      </w:r>
      <w:proofErr w:type="spellStart"/>
      <w:r w:rsidRPr="00D85A61">
        <w:rPr>
          <w:lang w:val="en-US"/>
        </w:rPr>
        <w:t>olarak</w:t>
      </w:r>
      <w:proofErr w:type="spellEnd"/>
      <w:r w:rsidRPr="00D85A61">
        <w:rPr>
          <w:lang w:val="en-US"/>
        </w:rPr>
        <w:t xml:space="preserve"> </w:t>
      </w:r>
      <w:proofErr w:type="spellStart"/>
      <w:r w:rsidRPr="00D85A61">
        <w:rPr>
          <w:lang w:val="en-US"/>
        </w:rPr>
        <w:t>tanımlamaktadır</w:t>
      </w:r>
      <w:proofErr w:type="spellEnd"/>
      <w:r w:rsidRPr="00D85A61">
        <w:rPr>
          <w:lang w:val="en-US"/>
        </w:rPr>
        <w:t>).</w:t>
      </w:r>
    </w:p>
  </w:footnote>
  <w:footnote w:id="11">
    <w:p w14:paraId="162EDB0E" w14:textId="77777777" w:rsidR="00D85A61" w:rsidRPr="00D85A61" w:rsidRDefault="00D85A61" w:rsidP="00D85A61">
      <w:pPr>
        <w:pStyle w:val="Dipnot"/>
        <w:rPr>
          <w:lang w:val="en-US"/>
        </w:rPr>
      </w:pPr>
      <w:r w:rsidRPr="00D85A61">
        <w:rPr>
          <w:rStyle w:val="FootnoteReference"/>
        </w:rPr>
        <w:footnoteRef/>
      </w:r>
      <w:r w:rsidRPr="00D85A61">
        <w:t xml:space="preserve"> </w:t>
      </w:r>
      <w:r w:rsidRPr="00D85A61">
        <w:tab/>
      </w:r>
      <w:r w:rsidRPr="00D85A61">
        <w:rPr>
          <w:lang w:val="en-US"/>
        </w:rPr>
        <w:t xml:space="preserve">¹¹ </w:t>
      </w:r>
      <w:proofErr w:type="spellStart"/>
      <w:r w:rsidRPr="00D85A61">
        <w:rPr>
          <w:lang w:val="en-US"/>
        </w:rPr>
        <w:t>Bkz</w:t>
      </w:r>
      <w:proofErr w:type="spellEnd"/>
      <w:r w:rsidRPr="00D85A61">
        <w:rPr>
          <w:lang w:val="en-US"/>
        </w:rPr>
        <w:t xml:space="preserve">. infra </w:t>
      </w:r>
      <w:proofErr w:type="spellStart"/>
      <w:r w:rsidRPr="00D85A61">
        <w:rPr>
          <w:lang w:val="en-US"/>
        </w:rPr>
        <w:t>Bölüm</w:t>
      </w:r>
      <w:proofErr w:type="spellEnd"/>
      <w:r w:rsidRPr="00D85A61">
        <w:rPr>
          <w:lang w:val="en-US"/>
        </w:rPr>
        <w:t xml:space="preserve"> IV (</w:t>
      </w:r>
      <w:proofErr w:type="spellStart"/>
      <w:r w:rsidRPr="00D85A61">
        <w:rPr>
          <w:lang w:val="en-US"/>
        </w:rPr>
        <w:t>bu</w:t>
      </w:r>
      <w:proofErr w:type="spellEnd"/>
      <w:r w:rsidRPr="00D85A61">
        <w:rPr>
          <w:lang w:val="en-US"/>
        </w:rPr>
        <w:t xml:space="preserve"> </w:t>
      </w:r>
      <w:proofErr w:type="spellStart"/>
      <w:r w:rsidRPr="00D85A61">
        <w:rPr>
          <w:lang w:val="en-US"/>
        </w:rPr>
        <w:t>noktayı</w:t>
      </w:r>
      <w:proofErr w:type="spellEnd"/>
      <w:r w:rsidRPr="00D85A61">
        <w:rPr>
          <w:lang w:val="en-US"/>
        </w:rPr>
        <w:t xml:space="preserve"> </w:t>
      </w:r>
      <w:proofErr w:type="spellStart"/>
      <w:r w:rsidRPr="00D85A61">
        <w:rPr>
          <w:lang w:val="en-US"/>
        </w:rPr>
        <w:t>ayrıntılı</w:t>
      </w:r>
      <w:proofErr w:type="spellEnd"/>
      <w:r w:rsidRPr="00D85A61">
        <w:rPr>
          <w:lang w:val="en-US"/>
        </w:rPr>
        <w:t xml:space="preserve"> </w:t>
      </w:r>
      <w:proofErr w:type="spellStart"/>
      <w:r w:rsidRPr="00D85A61">
        <w:rPr>
          <w:lang w:val="en-US"/>
        </w:rPr>
        <w:t>olarak</w:t>
      </w:r>
      <w:proofErr w:type="spellEnd"/>
      <w:r w:rsidRPr="00D85A61">
        <w:rPr>
          <w:lang w:val="en-US"/>
        </w:rPr>
        <w:t xml:space="preserve"> </w:t>
      </w:r>
      <w:proofErr w:type="spellStart"/>
      <w:r w:rsidRPr="00D85A61">
        <w:rPr>
          <w:lang w:val="en-US"/>
        </w:rPr>
        <w:t>geliştirmektedir</w:t>
      </w:r>
      <w:proofErr w:type="spellEnd"/>
      <w:r w:rsidRPr="00D85A61">
        <w:rPr>
          <w:lang w:val="en-US"/>
        </w:rPr>
        <w:t>).</w:t>
      </w:r>
    </w:p>
    <w:p w14:paraId="6554B64D" w14:textId="1E966741" w:rsidR="00D85A61" w:rsidRPr="00D85A61" w:rsidRDefault="00D85A61" w:rsidP="00D85A61">
      <w:pPr>
        <w:pStyle w:val="Dipnot"/>
        <w:rPr>
          <w:lang w:val="en-US"/>
        </w:rPr>
      </w:pPr>
    </w:p>
  </w:footnote>
  <w:footnote w:id="12">
    <w:p w14:paraId="73F4BEB6" w14:textId="3776F6AF" w:rsidR="00A91771" w:rsidRPr="00A91771" w:rsidRDefault="00A91771" w:rsidP="009F15C9">
      <w:pPr>
        <w:pStyle w:val="Dipnot"/>
        <w:rPr>
          <w:lang w:val="en-US"/>
        </w:rPr>
      </w:pPr>
      <w:r>
        <w:rPr>
          <w:rStyle w:val="FootnoteReference"/>
        </w:rPr>
        <w:footnoteRef/>
      </w:r>
      <w:r>
        <w:t xml:space="preserve"> </w:t>
      </w:r>
      <w:r>
        <w:tab/>
      </w:r>
      <w:r w:rsidRPr="00A91771">
        <w:rPr>
          <w:lang w:val="en-US"/>
        </w:rPr>
        <w:t xml:space="preserve">¹² </w:t>
      </w:r>
      <w:proofErr w:type="spellStart"/>
      <w:r w:rsidRPr="00A91771">
        <w:rPr>
          <w:lang w:val="en-US"/>
        </w:rPr>
        <w:t>Terminoloji</w:t>
      </w:r>
      <w:proofErr w:type="spellEnd"/>
      <w:r w:rsidRPr="00A91771">
        <w:rPr>
          <w:lang w:val="en-US"/>
        </w:rPr>
        <w:t xml:space="preserve"> </w:t>
      </w:r>
      <w:proofErr w:type="spellStart"/>
      <w:r w:rsidRPr="00A91771">
        <w:rPr>
          <w:lang w:val="en-US"/>
        </w:rPr>
        <w:t>seçimimi</w:t>
      </w:r>
      <w:proofErr w:type="spellEnd"/>
      <w:r w:rsidRPr="00A91771">
        <w:rPr>
          <w:lang w:val="en-US"/>
        </w:rPr>
        <w:t xml:space="preserve"> </w:t>
      </w:r>
      <w:proofErr w:type="spellStart"/>
      <w:r w:rsidRPr="00A91771">
        <w:rPr>
          <w:lang w:val="en-US"/>
        </w:rPr>
        <w:t>savunurken</w:t>
      </w:r>
      <w:proofErr w:type="spellEnd"/>
      <w:r w:rsidRPr="00A91771">
        <w:rPr>
          <w:lang w:val="en-US"/>
        </w:rPr>
        <w:t xml:space="preserve">, </w:t>
      </w:r>
      <w:proofErr w:type="spellStart"/>
      <w:r w:rsidRPr="00A91771">
        <w:rPr>
          <w:lang w:val="en-US"/>
        </w:rPr>
        <w:t>aşağıdaki</w:t>
      </w:r>
      <w:proofErr w:type="spellEnd"/>
      <w:r w:rsidRPr="00A91771">
        <w:rPr>
          <w:lang w:val="en-US"/>
        </w:rPr>
        <w:t xml:space="preserve"> </w:t>
      </w:r>
      <w:proofErr w:type="spellStart"/>
      <w:r w:rsidRPr="00A91771">
        <w:rPr>
          <w:lang w:val="en-US"/>
        </w:rPr>
        <w:t>odak</w:t>
      </w:r>
      <w:proofErr w:type="spellEnd"/>
      <w:r w:rsidRPr="00A91771">
        <w:rPr>
          <w:lang w:val="en-US"/>
        </w:rPr>
        <w:t xml:space="preserve"> </w:t>
      </w:r>
      <w:proofErr w:type="spellStart"/>
      <w:r w:rsidRPr="00A91771">
        <w:rPr>
          <w:lang w:val="en-US"/>
        </w:rPr>
        <w:t>noktası</w:t>
      </w:r>
      <w:proofErr w:type="spellEnd"/>
      <w:r w:rsidRPr="00A91771">
        <w:rPr>
          <w:lang w:val="en-US"/>
        </w:rPr>
        <w:t xml:space="preserve"> </w:t>
      </w:r>
      <w:proofErr w:type="spellStart"/>
      <w:r w:rsidRPr="00A91771">
        <w:rPr>
          <w:lang w:val="en-US"/>
        </w:rPr>
        <w:t>isim</w:t>
      </w:r>
      <w:proofErr w:type="spellEnd"/>
      <w:r w:rsidRPr="00A91771">
        <w:rPr>
          <w:lang w:val="en-US"/>
        </w:rPr>
        <w:t xml:space="preserve"> </w:t>
      </w:r>
      <w:proofErr w:type="spellStart"/>
      <w:r w:rsidRPr="00A91771">
        <w:rPr>
          <w:lang w:val="en-US"/>
        </w:rPr>
        <w:t>olan</w:t>
      </w:r>
      <w:proofErr w:type="spellEnd"/>
      <w:r w:rsidRPr="00A91771">
        <w:rPr>
          <w:lang w:val="en-US"/>
        </w:rPr>
        <w:t xml:space="preserve"> “</w:t>
      </w:r>
      <w:proofErr w:type="spellStart"/>
      <w:r w:rsidRPr="00A91771">
        <w:rPr>
          <w:lang w:val="en-US"/>
        </w:rPr>
        <w:t>kültür</w:t>
      </w:r>
      <w:proofErr w:type="spellEnd"/>
      <w:r w:rsidRPr="00A91771">
        <w:rPr>
          <w:lang w:val="en-US"/>
        </w:rPr>
        <w:t xml:space="preserve">” (culture) </w:t>
      </w:r>
      <w:proofErr w:type="spellStart"/>
      <w:r w:rsidRPr="00A91771">
        <w:rPr>
          <w:lang w:val="en-US"/>
        </w:rPr>
        <w:t>üzerinedir</w:t>
      </w:r>
      <w:proofErr w:type="spellEnd"/>
      <w:r w:rsidRPr="00A91771">
        <w:rPr>
          <w:lang w:val="en-US"/>
        </w:rPr>
        <w:t xml:space="preserve">. </w:t>
      </w:r>
      <w:proofErr w:type="spellStart"/>
      <w:r w:rsidRPr="00A91771">
        <w:rPr>
          <w:lang w:val="en-US"/>
        </w:rPr>
        <w:t>Meslektaşım</w:t>
      </w:r>
      <w:proofErr w:type="spellEnd"/>
      <w:r w:rsidRPr="00A91771">
        <w:rPr>
          <w:lang w:val="en-US"/>
        </w:rPr>
        <w:t xml:space="preserve"> Charlotte </w:t>
      </w:r>
      <w:proofErr w:type="spellStart"/>
      <w:r w:rsidRPr="00A91771">
        <w:rPr>
          <w:lang w:val="en-US"/>
        </w:rPr>
        <w:t>Garden’ın</w:t>
      </w:r>
      <w:proofErr w:type="spellEnd"/>
      <w:r w:rsidRPr="00A91771">
        <w:rPr>
          <w:lang w:val="en-US"/>
        </w:rPr>
        <w:t xml:space="preserve"> </w:t>
      </w:r>
      <w:proofErr w:type="spellStart"/>
      <w:r w:rsidRPr="00A91771">
        <w:rPr>
          <w:lang w:val="en-US"/>
        </w:rPr>
        <w:t>faydalı</w:t>
      </w:r>
      <w:proofErr w:type="spellEnd"/>
      <w:r w:rsidRPr="00A91771">
        <w:rPr>
          <w:lang w:val="en-US"/>
        </w:rPr>
        <w:t xml:space="preserve"> </w:t>
      </w:r>
      <w:proofErr w:type="spellStart"/>
      <w:r w:rsidRPr="00A91771">
        <w:rPr>
          <w:lang w:val="en-US"/>
        </w:rPr>
        <w:t>hatırlatmasıyla</w:t>
      </w:r>
      <w:proofErr w:type="spellEnd"/>
      <w:r w:rsidRPr="00A91771">
        <w:rPr>
          <w:lang w:val="en-US"/>
        </w:rPr>
        <w:t xml:space="preserve">, </w:t>
      </w:r>
      <w:proofErr w:type="spellStart"/>
      <w:r w:rsidRPr="00A91771">
        <w:rPr>
          <w:lang w:val="en-US"/>
        </w:rPr>
        <w:t>sıfat</w:t>
      </w:r>
      <w:proofErr w:type="spellEnd"/>
      <w:r w:rsidRPr="00A91771">
        <w:rPr>
          <w:lang w:val="en-US"/>
        </w:rPr>
        <w:t xml:space="preserve"> </w:t>
      </w:r>
      <w:proofErr w:type="spellStart"/>
      <w:r w:rsidRPr="00A91771">
        <w:rPr>
          <w:lang w:val="en-US"/>
        </w:rPr>
        <w:t>olan</w:t>
      </w:r>
      <w:proofErr w:type="spellEnd"/>
      <w:r w:rsidRPr="00A91771">
        <w:rPr>
          <w:lang w:val="en-US"/>
        </w:rPr>
        <w:t xml:space="preserve"> “</w:t>
      </w:r>
      <w:proofErr w:type="spellStart"/>
      <w:r w:rsidRPr="00A91771">
        <w:rPr>
          <w:lang w:val="en-US"/>
        </w:rPr>
        <w:t>anayasal</w:t>
      </w:r>
      <w:proofErr w:type="spellEnd"/>
      <w:r w:rsidRPr="00A91771">
        <w:rPr>
          <w:lang w:val="en-US"/>
        </w:rPr>
        <w:t xml:space="preserve">” (constitutional) </w:t>
      </w:r>
      <w:proofErr w:type="spellStart"/>
      <w:r w:rsidRPr="00A91771">
        <w:rPr>
          <w:lang w:val="en-US"/>
        </w:rPr>
        <w:t>teriminin</w:t>
      </w:r>
      <w:proofErr w:type="spellEnd"/>
      <w:r w:rsidRPr="00A91771">
        <w:rPr>
          <w:lang w:val="en-US"/>
        </w:rPr>
        <w:t xml:space="preserve"> de </w:t>
      </w:r>
      <w:proofErr w:type="spellStart"/>
      <w:r w:rsidRPr="00A91771">
        <w:rPr>
          <w:lang w:val="en-US"/>
        </w:rPr>
        <w:t>birkaç</w:t>
      </w:r>
      <w:proofErr w:type="spellEnd"/>
      <w:r w:rsidRPr="00A91771">
        <w:rPr>
          <w:lang w:val="en-US"/>
        </w:rPr>
        <w:t xml:space="preserve"> </w:t>
      </w:r>
      <w:proofErr w:type="spellStart"/>
      <w:r w:rsidRPr="00A91771">
        <w:rPr>
          <w:lang w:val="en-US"/>
        </w:rPr>
        <w:t>kelimeyle</w:t>
      </w:r>
      <w:proofErr w:type="spellEnd"/>
      <w:r w:rsidRPr="00A91771">
        <w:rPr>
          <w:lang w:val="en-US"/>
        </w:rPr>
        <w:t xml:space="preserve"> </w:t>
      </w:r>
      <w:proofErr w:type="spellStart"/>
      <w:r w:rsidRPr="00A91771">
        <w:rPr>
          <w:lang w:val="en-US"/>
        </w:rPr>
        <w:t>açıklanması</w:t>
      </w:r>
      <w:proofErr w:type="spellEnd"/>
      <w:r w:rsidRPr="00A91771">
        <w:rPr>
          <w:lang w:val="en-US"/>
        </w:rPr>
        <w:t xml:space="preserve"> </w:t>
      </w:r>
      <w:proofErr w:type="spellStart"/>
      <w:r w:rsidRPr="00A91771">
        <w:rPr>
          <w:lang w:val="en-US"/>
        </w:rPr>
        <w:t>gerektiğini</w:t>
      </w:r>
      <w:proofErr w:type="spellEnd"/>
      <w:r w:rsidRPr="00A91771">
        <w:rPr>
          <w:lang w:val="en-US"/>
        </w:rPr>
        <w:t xml:space="preserve"> </w:t>
      </w:r>
      <w:proofErr w:type="spellStart"/>
      <w:r w:rsidRPr="00A91771">
        <w:rPr>
          <w:lang w:val="en-US"/>
        </w:rPr>
        <w:t>belirtmek</w:t>
      </w:r>
      <w:proofErr w:type="spellEnd"/>
      <w:r w:rsidRPr="00A91771">
        <w:rPr>
          <w:lang w:val="en-US"/>
        </w:rPr>
        <w:t xml:space="preserve"> </w:t>
      </w:r>
      <w:proofErr w:type="spellStart"/>
      <w:r w:rsidRPr="00A91771">
        <w:rPr>
          <w:lang w:val="en-US"/>
        </w:rPr>
        <w:t>isterim</w:t>
      </w:r>
      <w:proofErr w:type="spellEnd"/>
      <w:r w:rsidRPr="00A91771">
        <w:rPr>
          <w:lang w:val="en-US"/>
        </w:rPr>
        <w:t>.</w:t>
      </w:r>
      <w:r w:rsidRPr="00A91771">
        <w:rPr>
          <w:lang w:val="en-US"/>
        </w:rPr>
        <w:t xml:space="preserve"> </w:t>
      </w:r>
      <w:r w:rsidRPr="00A91771">
        <w:rPr>
          <w:lang w:val="en-US"/>
        </w:rPr>
        <w:t xml:space="preserve">Bu </w:t>
      </w:r>
      <w:proofErr w:type="spellStart"/>
      <w:r w:rsidRPr="00A91771">
        <w:rPr>
          <w:lang w:val="en-US"/>
        </w:rPr>
        <w:t>makalede</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terimi</w:t>
      </w:r>
      <w:proofErr w:type="spellEnd"/>
      <w:r w:rsidRPr="00A91771">
        <w:rPr>
          <w:lang w:val="en-US"/>
        </w:rPr>
        <w:t xml:space="preserve">, hem </w:t>
      </w:r>
      <w:proofErr w:type="spellStart"/>
      <w:r w:rsidRPr="00A91771">
        <w:rPr>
          <w:lang w:val="en-US"/>
        </w:rPr>
        <w:t>ele</w:t>
      </w:r>
      <w:proofErr w:type="spellEnd"/>
      <w:r w:rsidRPr="00A91771">
        <w:rPr>
          <w:lang w:val="en-US"/>
        </w:rPr>
        <w:t xml:space="preserve"> </w:t>
      </w:r>
      <w:proofErr w:type="spellStart"/>
      <w:r w:rsidRPr="00A91771">
        <w:rPr>
          <w:lang w:val="en-US"/>
        </w:rPr>
        <w:t>aldığı</w:t>
      </w:r>
      <w:proofErr w:type="spellEnd"/>
      <w:r w:rsidRPr="00A91771">
        <w:rPr>
          <w:lang w:val="en-US"/>
        </w:rPr>
        <w:t xml:space="preserve"> </w:t>
      </w:r>
      <w:proofErr w:type="spellStart"/>
      <w:r w:rsidRPr="00A91771">
        <w:rPr>
          <w:lang w:val="en-US"/>
        </w:rPr>
        <w:t>temel</w:t>
      </w:r>
      <w:proofErr w:type="spellEnd"/>
      <w:r w:rsidRPr="00A91771">
        <w:rPr>
          <w:lang w:val="en-US"/>
        </w:rPr>
        <w:t xml:space="preserve"> </w:t>
      </w:r>
      <w:proofErr w:type="spellStart"/>
      <w:r w:rsidRPr="00A91771">
        <w:rPr>
          <w:lang w:val="en-US"/>
        </w:rPr>
        <w:t>analitik</w:t>
      </w:r>
      <w:proofErr w:type="spellEnd"/>
      <w:r w:rsidRPr="00A91771">
        <w:rPr>
          <w:lang w:val="en-US"/>
        </w:rPr>
        <w:t xml:space="preserve"> </w:t>
      </w:r>
      <w:proofErr w:type="spellStart"/>
      <w:r w:rsidRPr="00A91771">
        <w:rPr>
          <w:lang w:val="en-US"/>
        </w:rPr>
        <w:t>soruları</w:t>
      </w:r>
      <w:proofErr w:type="spellEnd"/>
      <w:r w:rsidRPr="00A91771">
        <w:rPr>
          <w:lang w:val="en-US"/>
        </w:rPr>
        <w:t xml:space="preserve"> </w:t>
      </w:r>
      <w:proofErr w:type="spellStart"/>
      <w:r w:rsidRPr="00A91771">
        <w:rPr>
          <w:lang w:val="en-US"/>
        </w:rPr>
        <w:t>vurgulamak</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hukukunu</w:t>
      </w:r>
      <w:proofErr w:type="spellEnd"/>
      <w:r w:rsidRPr="00A91771">
        <w:rPr>
          <w:lang w:val="en-US"/>
        </w:rPr>
        <w:t xml:space="preserve"> </w:t>
      </w:r>
      <w:proofErr w:type="spellStart"/>
      <w:r w:rsidRPr="00A91771">
        <w:rPr>
          <w:lang w:val="en-US"/>
        </w:rPr>
        <w:t>gerçekte</w:t>
      </w:r>
      <w:proofErr w:type="spellEnd"/>
      <w:r w:rsidRPr="00A91771">
        <w:rPr>
          <w:lang w:val="en-US"/>
        </w:rPr>
        <w:t xml:space="preserve"> </w:t>
      </w:r>
      <w:proofErr w:type="spellStart"/>
      <w:r w:rsidRPr="00A91771">
        <w:rPr>
          <w:lang w:val="en-US"/>
        </w:rPr>
        <w:t>nasıl</w:t>
      </w:r>
      <w:proofErr w:type="spellEnd"/>
      <w:r w:rsidRPr="00A91771">
        <w:rPr>
          <w:lang w:val="en-US"/>
        </w:rPr>
        <w:t xml:space="preserve"> </w:t>
      </w:r>
      <w:proofErr w:type="spellStart"/>
      <w:r w:rsidRPr="00A91771">
        <w:rPr>
          <w:lang w:val="en-US"/>
        </w:rPr>
        <w:t>oluşturuyoruz</w:t>
      </w:r>
      <w:proofErr w:type="spellEnd"/>
      <w:r w:rsidRPr="00A91771">
        <w:rPr>
          <w:lang w:val="en-US"/>
        </w:rPr>
        <w:t xml:space="preserve">?) hem de </w:t>
      </w:r>
      <w:proofErr w:type="spellStart"/>
      <w:r w:rsidRPr="00A91771">
        <w:rPr>
          <w:lang w:val="en-US"/>
        </w:rPr>
        <w:t>makaleyi</w:t>
      </w:r>
      <w:proofErr w:type="spellEnd"/>
      <w:r w:rsidRPr="00A91771">
        <w:rPr>
          <w:lang w:val="en-US"/>
        </w:rPr>
        <w:t xml:space="preserve"> </w:t>
      </w:r>
      <w:proofErr w:type="spellStart"/>
      <w:r w:rsidRPr="00A91771">
        <w:rPr>
          <w:lang w:val="en-US"/>
        </w:rPr>
        <w:t>belirli</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akademik</w:t>
      </w:r>
      <w:proofErr w:type="spellEnd"/>
      <w:r w:rsidRPr="00A91771">
        <w:rPr>
          <w:lang w:val="en-US"/>
        </w:rPr>
        <w:t xml:space="preserve"> </w:t>
      </w:r>
      <w:proofErr w:type="spellStart"/>
      <w:r w:rsidRPr="00A91771">
        <w:rPr>
          <w:lang w:val="en-US"/>
        </w:rPr>
        <w:t>topluluk</w:t>
      </w:r>
      <w:proofErr w:type="spellEnd"/>
      <w:r w:rsidRPr="00A91771">
        <w:rPr>
          <w:lang w:val="en-US"/>
        </w:rPr>
        <w:t xml:space="preserve"> </w:t>
      </w:r>
      <w:proofErr w:type="spellStart"/>
      <w:r w:rsidRPr="00A91771">
        <w:rPr>
          <w:lang w:val="en-US"/>
        </w:rPr>
        <w:t>içine</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teorisi</w:t>
      </w:r>
      <w:proofErr w:type="spellEnd"/>
      <w:r w:rsidRPr="00A91771">
        <w:rPr>
          <w:lang w:val="en-US"/>
        </w:rPr>
        <w:t xml:space="preserve">) </w:t>
      </w:r>
      <w:proofErr w:type="spellStart"/>
      <w:r w:rsidRPr="00A91771">
        <w:rPr>
          <w:lang w:val="en-US"/>
        </w:rPr>
        <w:t>yerleştirmek</w:t>
      </w:r>
      <w:proofErr w:type="spellEnd"/>
      <w:r w:rsidRPr="00A91771">
        <w:rPr>
          <w:lang w:val="en-US"/>
        </w:rPr>
        <w:t xml:space="preserve"> </w:t>
      </w:r>
      <w:proofErr w:type="spellStart"/>
      <w:r w:rsidRPr="00A91771">
        <w:rPr>
          <w:lang w:val="en-US"/>
        </w:rPr>
        <w:t>amacıyla</w:t>
      </w:r>
      <w:proofErr w:type="spellEnd"/>
      <w:r w:rsidRPr="00A91771">
        <w:rPr>
          <w:lang w:val="en-US"/>
        </w:rPr>
        <w:t xml:space="preserve"> </w:t>
      </w:r>
      <w:proofErr w:type="spellStart"/>
      <w:r w:rsidRPr="00A91771">
        <w:rPr>
          <w:lang w:val="en-US"/>
        </w:rPr>
        <w:t>kullanılmaktadır</w:t>
      </w:r>
      <w:proofErr w:type="spellEnd"/>
      <w:r w:rsidRPr="00A91771">
        <w:rPr>
          <w:lang w:val="en-US"/>
        </w:rPr>
        <w:t xml:space="preserve">. </w:t>
      </w:r>
      <w:proofErr w:type="spellStart"/>
      <w:r w:rsidRPr="00A91771">
        <w:rPr>
          <w:lang w:val="en-US"/>
        </w:rPr>
        <w:t>Bununla</w:t>
      </w:r>
      <w:proofErr w:type="spellEnd"/>
      <w:r w:rsidRPr="00A91771">
        <w:rPr>
          <w:lang w:val="en-US"/>
        </w:rPr>
        <w:t xml:space="preserve"> </w:t>
      </w:r>
      <w:proofErr w:type="spellStart"/>
      <w:r w:rsidRPr="00A91771">
        <w:rPr>
          <w:lang w:val="en-US"/>
        </w:rPr>
        <w:t>birlikte</w:t>
      </w:r>
      <w:proofErr w:type="spellEnd"/>
      <w:r w:rsidRPr="00A91771">
        <w:rPr>
          <w:lang w:val="en-US"/>
        </w:rPr>
        <w:t xml:space="preserve">, </w:t>
      </w:r>
      <w:proofErr w:type="spellStart"/>
      <w:r w:rsidRPr="00A91771">
        <w:rPr>
          <w:lang w:val="en-US"/>
        </w:rPr>
        <w:t>makaledeki</w:t>
      </w:r>
      <w:proofErr w:type="spellEnd"/>
      <w:r w:rsidRPr="00A91771">
        <w:rPr>
          <w:lang w:val="en-US"/>
        </w:rPr>
        <w:t xml:space="preserve"> </w:t>
      </w:r>
      <w:proofErr w:type="spellStart"/>
      <w:r w:rsidRPr="00A91771">
        <w:rPr>
          <w:lang w:val="en-US"/>
        </w:rPr>
        <w:t>birçok</w:t>
      </w:r>
      <w:proofErr w:type="spellEnd"/>
      <w:r w:rsidRPr="00A91771">
        <w:rPr>
          <w:lang w:val="en-US"/>
        </w:rPr>
        <w:t xml:space="preserve"> </w:t>
      </w:r>
      <w:proofErr w:type="spellStart"/>
      <w:r w:rsidRPr="00A91771">
        <w:rPr>
          <w:lang w:val="en-US"/>
        </w:rPr>
        <w:t>çıkarım</w:t>
      </w:r>
      <w:proofErr w:type="spellEnd"/>
      <w:r w:rsidRPr="00A91771">
        <w:rPr>
          <w:lang w:val="en-US"/>
        </w:rPr>
        <w:t xml:space="preserve">, </w:t>
      </w:r>
      <w:proofErr w:type="spellStart"/>
      <w:r w:rsidRPr="00A91771">
        <w:rPr>
          <w:lang w:val="en-US"/>
        </w:rPr>
        <w:t>temyiz</w:t>
      </w:r>
      <w:proofErr w:type="spellEnd"/>
      <w:r w:rsidRPr="00A91771">
        <w:rPr>
          <w:lang w:val="en-US"/>
        </w:rPr>
        <w:t xml:space="preserve"> </w:t>
      </w:r>
      <w:proofErr w:type="spellStart"/>
      <w:r w:rsidRPr="00A91771">
        <w:rPr>
          <w:lang w:val="en-US"/>
        </w:rPr>
        <w:t>mahkemelerine</w:t>
      </w:r>
      <w:proofErr w:type="spellEnd"/>
      <w:r w:rsidRPr="00A91771">
        <w:rPr>
          <w:lang w:val="en-US"/>
        </w:rPr>
        <w:t xml:space="preserve"> </w:t>
      </w:r>
      <w:proofErr w:type="spellStart"/>
      <w:r w:rsidRPr="00A91771">
        <w:rPr>
          <w:lang w:val="en-US"/>
        </w:rPr>
        <w:t>dair</w:t>
      </w:r>
      <w:proofErr w:type="spellEnd"/>
      <w:r w:rsidRPr="00A91771">
        <w:rPr>
          <w:lang w:val="en-US"/>
        </w:rPr>
        <w:t xml:space="preserve"> </w:t>
      </w:r>
      <w:proofErr w:type="spellStart"/>
      <w:r w:rsidRPr="00A91771">
        <w:rPr>
          <w:lang w:val="en-US"/>
        </w:rPr>
        <w:t>yapılan</w:t>
      </w:r>
      <w:proofErr w:type="spellEnd"/>
      <w:r w:rsidRPr="00A91771">
        <w:rPr>
          <w:lang w:val="en-US"/>
        </w:rPr>
        <w:t xml:space="preserve"> </w:t>
      </w:r>
      <w:proofErr w:type="spellStart"/>
      <w:r w:rsidRPr="00A91771">
        <w:rPr>
          <w:lang w:val="en-US"/>
        </w:rPr>
        <w:t>gözlemlerden</w:t>
      </w:r>
      <w:proofErr w:type="spellEnd"/>
      <w:r w:rsidRPr="00A91771">
        <w:rPr>
          <w:lang w:val="en-US"/>
        </w:rPr>
        <w:t xml:space="preserve"> </w:t>
      </w:r>
      <w:proofErr w:type="spellStart"/>
      <w:r w:rsidRPr="00A91771">
        <w:rPr>
          <w:lang w:val="en-US"/>
        </w:rPr>
        <w:t>türetilmiştir</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yasa</w:t>
      </w:r>
      <w:proofErr w:type="spellEnd"/>
      <w:r w:rsidRPr="00A91771">
        <w:rPr>
          <w:lang w:val="en-US"/>
        </w:rPr>
        <w:t xml:space="preserve"> (statutory) </w:t>
      </w:r>
      <w:proofErr w:type="spellStart"/>
      <w:r w:rsidRPr="00A91771">
        <w:rPr>
          <w:lang w:val="en-US"/>
        </w:rPr>
        <w:t>ve</w:t>
      </w:r>
      <w:proofErr w:type="spellEnd"/>
      <w:r w:rsidRPr="00A91771">
        <w:rPr>
          <w:lang w:val="en-US"/>
        </w:rPr>
        <w:t xml:space="preserve"> </w:t>
      </w:r>
      <w:proofErr w:type="spellStart"/>
      <w:r w:rsidRPr="00A91771">
        <w:rPr>
          <w:lang w:val="en-US"/>
        </w:rPr>
        <w:t>düzenleme</w:t>
      </w:r>
      <w:proofErr w:type="spellEnd"/>
      <w:r w:rsidRPr="00A91771">
        <w:rPr>
          <w:lang w:val="en-US"/>
        </w:rPr>
        <w:t xml:space="preserve"> (regulatory) </w:t>
      </w:r>
      <w:proofErr w:type="spellStart"/>
      <w:r w:rsidRPr="00A91771">
        <w:rPr>
          <w:lang w:val="en-US"/>
        </w:rPr>
        <w:t>davalarına</w:t>
      </w:r>
      <w:proofErr w:type="spellEnd"/>
      <w:r w:rsidRPr="00A91771">
        <w:rPr>
          <w:lang w:val="en-US"/>
        </w:rPr>
        <w:t xml:space="preserve"> da </w:t>
      </w:r>
      <w:proofErr w:type="spellStart"/>
      <w:r w:rsidRPr="00A91771">
        <w:rPr>
          <w:lang w:val="en-US"/>
        </w:rPr>
        <w:t>aynı</w:t>
      </w:r>
      <w:proofErr w:type="spellEnd"/>
      <w:r w:rsidRPr="00A91771">
        <w:rPr>
          <w:lang w:val="en-US"/>
        </w:rPr>
        <w:t xml:space="preserve"> </w:t>
      </w:r>
      <w:proofErr w:type="spellStart"/>
      <w:r w:rsidRPr="00A91771">
        <w:rPr>
          <w:lang w:val="en-US"/>
        </w:rPr>
        <w:t>ölçüde</w:t>
      </w:r>
      <w:proofErr w:type="spellEnd"/>
      <w:r w:rsidRPr="00A91771">
        <w:rPr>
          <w:lang w:val="en-US"/>
        </w:rPr>
        <w:t xml:space="preserve"> </w:t>
      </w:r>
      <w:proofErr w:type="spellStart"/>
      <w:r w:rsidRPr="00A91771">
        <w:rPr>
          <w:lang w:val="en-US"/>
        </w:rPr>
        <w:t>uygulanabilir</w:t>
      </w:r>
      <w:proofErr w:type="spellEnd"/>
      <w:r w:rsidRPr="00A91771">
        <w:rPr>
          <w:lang w:val="en-US"/>
        </w:rPr>
        <w:t xml:space="preserve"> </w:t>
      </w:r>
      <w:proofErr w:type="spellStart"/>
      <w:r w:rsidRPr="00A91771">
        <w:rPr>
          <w:lang w:val="en-US"/>
        </w:rPr>
        <w:t>niteliktedir</w:t>
      </w:r>
      <w:proofErr w:type="spellEnd"/>
      <w:r w:rsidRPr="00A91771">
        <w:rPr>
          <w:lang w:val="en-US"/>
        </w:rPr>
        <w:t>.</w:t>
      </w:r>
    </w:p>
  </w:footnote>
  <w:footnote w:id="13">
    <w:p w14:paraId="1CD13A6A" w14:textId="69E26220" w:rsidR="00A91771" w:rsidRPr="00A91771" w:rsidRDefault="00A91771" w:rsidP="009F15C9">
      <w:pPr>
        <w:pStyle w:val="Dipnot"/>
        <w:rPr>
          <w:lang w:val="en-US"/>
        </w:rPr>
      </w:pPr>
      <w:r>
        <w:rPr>
          <w:rStyle w:val="FootnoteReference"/>
        </w:rPr>
        <w:footnoteRef/>
      </w:r>
      <w:r>
        <w:t xml:space="preserve"> </w:t>
      </w:r>
      <w:r>
        <w:tab/>
      </w:r>
      <w:r w:rsidRPr="00A91771">
        <w:rPr>
          <w:lang w:val="en-US"/>
        </w:rPr>
        <w:t xml:space="preserve">¹³ </w:t>
      </w:r>
      <w:proofErr w:type="spellStart"/>
      <w:r w:rsidRPr="00A91771">
        <w:rPr>
          <w:lang w:val="en-US"/>
        </w:rPr>
        <w:t>Analizimize</w:t>
      </w:r>
      <w:proofErr w:type="spellEnd"/>
      <w:r w:rsidRPr="00A91771">
        <w:rPr>
          <w:lang w:val="en-US"/>
        </w:rPr>
        <w:t xml:space="preserve">, </w:t>
      </w:r>
      <w:proofErr w:type="spellStart"/>
      <w:r w:rsidRPr="00A91771">
        <w:rPr>
          <w:lang w:val="en-US"/>
        </w:rPr>
        <w:t>dünyayı</w:t>
      </w:r>
      <w:proofErr w:type="spellEnd"/>
      <w:r w:rsidRPr="00A91771">
        <w:rPr>
          <w:lang w:val="en-US"/>
        </w:rPr>
        <w:t xml:space="preserve"> "</w:t>
      </w:r>
      <w:proofErr w:type="spellStart"/>
      <w:r w:rsidRPr="00A91771">
        <w:rPr>
          <w:lang w:val="en-US"/>
        </w:rPr>
        <w:t>olduğu</w:t>
      </w:r>
      <w:proofErr w:type="spellEnd"/>
      <w:r w:rsidRPr="00A91771">
        <w:rPr>
          <w:lang w:val="en-US"/>
        </w:rPr>
        <w:t xml:space="preserve"> </w:t>
      </w:r>
      <w:proofErr w:type="spellStart"/>
      <w:r w:rsidRPr="00A91771">
        <w:rPr>
          <w:lang w:val="en-US"/>
        </w:rPr>
        <w:t>haliyle</w:t>
      </w:r>
      <w:proofErr w:type="spellEnd"/>
      <w:r w:rsidRPr="00A91771">
        <w:rPr>
          <w:lang w:val="en-US"/>
        </w:rPr>
        <w:t xml:space="preserve">" </w:t>
      </w:r>
      <w:proofErr w:type="spellStart"/>
      <w:r w:rsidRPr="00A91771">
        <w:rPr>
          <w:lang w:val="en-US"/>
        </w:rPr>
        <w:t>ele</w:t>
      </w:r>
      <w:proofErr w:type="spellEnd"/>
      <w:r w:rsidRPr="00A91771">
        <w:rPr>
          <w:lang w:val="en-US"/>
        </w:rPr>
        <w:t xml:space="preserve"> </w:t>
      </w:r>
      <w:proofErr w:type="spellStart"/>
      <w:r w:rsidRPr="00A91771">
        <w:rPr>
          <w:lang w:val="en-US"/>
        </w:rPr>
        <w:t>alan</w:t>
      </w:r>
      <w:proofErr w:type="spellEnd"/>
      <w:r w:rsidRPr="00A91771">
        <w:rPr>
          <w:lang w:val="en-US"/>
        </w:rPr>
        <w:t xml:space="preserve"> </w:t>
      </w:r>
      <w:proofErr w:type="spellStart"/>
      <w:r w:rsidRPr="00A91771">
        <w:rPr>
          <w:lang w:val="en-US"/>
        </w:rPr>
        <w:t>daha</w:t>
      </w:r>
      <w:proofErr w:type="spellEnd"/>
      <w:r w:rsidRPr="00A91771">
        <w:rPr>
          <w:lang w:val="en-US"/>
        </w:rPr>
        <w:t xml:space="preserve"> </w:t>
      </w:r>
      <w:proofErr w:type="spellStart"/>
      <w:r w:rsidRPr="00A91771">
        <w:rPr>
          <w:lang w:val="en-US"/>
        </w:rPr>
        <w:t>gerçekçi</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noktadan</w:t>
      </w:r>
      <w:proofErr w:type="spellEnd"/>
      <w:r w:rsidRPr="00A91771">
        <w:rPr>
          <w:lang w:val="en-US"/>
        </w:rPr>
        <w:t xml:space="preserve"> </w:t>
      </w:r>
      <w:proofErr w:type="spellStart"/>
      <w:r w:rsidRPr="00A91771">
        <w:rPr>
          <w:lang w:val="en-US"/>
        </w:rPr>
        <w:t>başlamak</w:t>
      </w:r>
      <w:proofErr w:type="spellEnd"/>
      <w:r w:rsidRPr="00A91771">
        <w:rPr>
          <w:lang w:val="en-US"/>
        </w:rPr>
        <w:t xml:space="preserve"> </w:t>
      </w:r>
      <w:proofErr w:type="spellStart"/>
      <w:r w:rsidRPr="00A91771">
        <w:rPr>
          <w:lang w:val="en-US"/>
        </w:rPr>
        <w:t>gerektiğini</w:t>
      </w:r>
      <w:proofErr w:type="spellEnd"/>
      <w:r w:rsidRPr="00A91771">
        <w:rPr>
          <w:lang w:val="en-US"/>
        </w:rPr>
        <w:t xml:space="preserve"> </w:t>
      </w:r>
      <w:proofErr w:type="spellStart"/>
      <w:r w:rsidRPr="00A91771">
        <w:rPr>
          <w:lang w:val="en-US"/>
        </w:rPr>
        <w:t>söylemek</w:t>
      </w:r>
      <w:proofErr w:type="spellEnd"/>
      <w:r w:rsidRPr="00A91771">
        <w:rPr>
          <w:lang w:val="en-US"/>
        </w:rPr>
        <w:t xml:space="preserve">, </w:t>
      </w:r>
      <w:proofErr w:type="spellStart"/>
      <w:r w:rsidRPr="00A91771">
        <w:rPr>
          <w:lang w:val="en-US"/>
        </w:rPr>
        <w:t>dünyayı</w:t>
      </w:r>
      <w:proofErr w:type="spellEnd"/>
      <w:r w:rsidRPr="00A91771">
        <w:rPr>
          <w:lang w:val="en-US"/>
        </w:rPr>
        <w:t xml:space="preserve"> </w:t>
      </w:r>
      <w:proofErr w:type="spellStart"/>
      <w:r w:rsidRPr="00A91771">
        <w:rPr>
          <w:lang w:val="en-US"/>
        </w:rPr>
        <w:t>tamamen</w:t>
      </w:r>
      <w:proofErr w:type="spellEnd"/>
      <w:r w:rsidRPr="00A91771">
        <w:rPr>
          <w:lang w:val="en-US"/>
        </w:rPr>
        <w:t xml:space="preserve"> </w:t>
      </w:r>
      <w:proofErr w:type="spellStart"/>
      <w:r w:rsidRPr="00A91771">
        <w:rPr>
          <w:lang w:val="en-US"/>
        </w:rPr>
        <w:t>nesnel</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aracısız</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şekilde</w:t>
      </w:r>
      <w:proofErr w:type="spellEnd"/>
      <w:r w:rsidRPr="00A91771">
        <w:rPr>
          <w:lang w:val="en-US"/>
        </w:rPr>
        <w:t xml:space="preserve"> </w:t>
      </w:r>
      <w:proofErr w:type="spellStart"/>
      <w:r w:rsidRPr="00A91771">
        <w:rPr>
          <w:lang w:val="en-US"/>
        </w:rPr>
        <w:t>kavrayabileceğimizi</w:t>
      </w:r>
      <w:proofErr w:type="spellEnd"/>
      <w:r w:rsidRPr="00A91771">
        <w:rPr>
          <w:lang w:val="en-US"/>
        </w:rPr>
        <w:t xml:space="preserve"> </w:t>
      </w:r>
      <w:proofErr w:type="spellStart"/>
      <w:r w:rsidRPr="00A91771">
        <w:rPr>
          <w:lang w:val="en-US"/>
        </w:rPr>
        <w:t>iddia</w:t>
      </w:r>
      <w:proofErr w:type="spellEnd"/>
      <w:r w:rsidRPr="00A91771">
        <w:rPr>
          <w:lang w:val="en-US"/>
        </w:rPr>
        <w:t xml:space="preserve"> </w:t>
      </w:r>
      <w:proofErr w:type="spellStart"/>
      <w:r w:rsidRPr="00A91771">
        <w:rPr>
          <w:lang w:val="en-US"/>
        </w:rPr>
        <w:t>etmek</w:t>
      </w:r>
      <w:proofErr w:type="spellEnd"/>
      <w:r w:rsidRPr="00A91771">
        <w:rPr>
          <w:lang w:val="en-US"/>
        </w:rPr>
        <w:t xml:space="preserve"> </w:t>
      </w:r>
      <w:proofErr w:type="spellStart"/>
      <w:r w:rsidRPr="00A91771">
        <w:rPr>
          <w:lang w:val="en-US"/>
        </w:rPr>
        <w:t>ya</w:t>
      </w:r>
      <w:proofErr w:type="spellEnd"/>
      <w:r w:rsidRPr="00A91771">
        <w:rPr>
          <w:lang w:val="en-US"/>
        </w:rPr>
        <w:t xml:space="preserve"> da </w:t>
      </w:r>
      <w:proofErr w:type="spellStart"/>
      <w:r w:rsidRPr="00A91771">
        <w:rPr>
          <w:lang w:val="en-US"/>
        </w:rPr>
        <w:t>tüm</w:t>
      </w:r>
      <w:proofErr w:type="spellEnd"/>
      <w:r w:rsidRPr="00A91771">
        <w:rPr>
          <w:lang w:val="en-US"/>
        </w:rPr>
        <w:t xml:space="preserve"> </w:t>
      </w:r>
      <w:proofErr w:type="spellStart"/>
      <w:r w:rsidRPr="00A91771">
        <w:rPr>
          <w:lang w:val="en-US"/>
        </w:rPr>
        <w:t>gözlemcilerin</w:t>
      </w:r>
      <w:proofErr w:type="spellEnd"/>
      <w:r w:rsidRPr="00A91771">
        <w:rPr>
          <w:lang w:val="en-US"/>
        </w:rPr>
        <w:t xml:space="preserve"> </w:t>
      </w:r>
      <w:proofErr w:type="spellStart"/>
      <w:r w:rsidRPr="00A91771">
        <w:rPr>
          <w:lang w:val="en-US"/>
        </w:rPr>
        <w:t>anayasa</w:t>
      </w:r>
      <w:proofErr w:type="spellEnd"/>
      <w:r w:rsidRPr="00A91771">
        <w:rPr>
          <w:lang w:val="en-US"/>
        </w:rPr>
        <w:t xml:space="preserve"> </w:t>
      </w:r>
      <w:proofErr w:type="spellStart"/>
      <w:r w:rsidRPr="00A91771">
        <w:rPr>
          <w:lang w:val="en-US"/>
        </w:rPr>
        <w:t>kültürümüzü</w:t>
      </w:r>
      <w:proofErr w:type="spellEnd"/>
      <w:r w:rsidRPr="00A91771">
        <w:rPr>
          <w:lang w:val="en-US"/>
        </w:rPr>
        <w:t xml:space="preserve"> </w:t>
      </w:r>
      <w:proofErr w:type="spellStart"/>
      <w:r w:rsidRPr="00A91771">
        <w:rPr>
          <w:lang w:val="en-US"/>
        </w:rPr>
        <w:t>tamamen</w:t>
      </w:r>
      <w:proofErr w:type="spellEnd"/>
      <w:r w:rsidRPr="00A91771">
        <w:rPr>
          <w:lang w:val="en-US"/>
        </w:rPr>
        <w:t xml:space="preserve"> </w:t>
      </w:r>
      <w:proofErr w:type="spellStart"/>
      <w:r w:rsidRPr="00A91771">
        <w:rPr>
          <w:lang w:val="en-US"/>
        </w:rPr>
        <w:t>aynı</w:t>
      </w:r>
      <w:proofErr w:type="spellEnd"/>
      <w:r w:rsidRPr="00A91771">
        <w:rPr>
          <w:lang w:val="en-US"/>
        </w:rPr>
        <w:t xml:space="preserve"> </w:t>
      </w:r>
      <w:proofErr w:type="spellStart"/>
      <w:r w:rsidRPr="00A91771">
        <w:rPr>
          <w:lang w:val="en-US"/>
        </w:rPr>
        <w:t>veya</w:t>
      </w:r>
      <w:proofErr w:type="spellEnd"/>
      <w:r w:rsidRPr="00A91771">
        <w:rPr>
          <w:lang w:val="en-US"/>
        </w:rPr>
        <w:t xml:space="preserve"> </w:t>
      </w:r>
      <w:proofErr w:type="spellStart"/>
      <w:r w:rsidRPr="00A91771">
        <w:rPr>
          <w:lang w:val="en-US"/>
        </w:rPr>
        <w:t>benzer</w:t>
      </w:r>
      <w:proofErr w:type="spellEnd"/>
      <w:r w:rsidRPr="00A91771">
        <w:rPr>
          <w:lang w:val="en-US"/>
        </w:rPr>
        <w:t xml:space="preserve"> </w:t>
      </w:r>
      <w:proofErr w:type="spellStart"/>
      <w:r w:rsidRPr="00A91771">
        <w:rPr>
          <w:lang w:val="en-US"/>
        </w:rPr>
        <w:t>terimlerle</w:t>
      </w:r>
      <w:proofErr w:type="spellEnd"/>
      <w:r w:rsidRPr="00A91771">
        <w:rPr>
          <w:lang w:val="en-US"/>
        </w:rPr>
        <w:t xml:space="preserve"> </w:t>
      </w:r>
      <w:proofErr w:type="spellStart"/>
      <w:r w:rsidRPr="00A91771">
        <w:rPr>
          <w:lang w:val="en-US"/>
        </w:rPr>
        <w:t>tanımlayacağını</w:t>
      </w:r>
      <w:proofErr w:type="spellEnd"/>
      <w:r w:rsidRPr="00A91771">
        <w:rPr>
          <w:lang w:val="en-US"/>
        </w:rPr>
        <w:t xml:space="preserve"> </w:t>
      </w:r>
      <w:proofErr w:type="spellStart"/>
      <w:r w:rsidRPr="00A91771">
        <w:rPr>
          <w:lang w:val="en-US"/>
        </w:rPr>
        <w:t>varsaymak</w:t>
      </w:r>
      <w:proofErr w:type="spellEnd"/>
      <w:r w:rsidRPr="00A91771">
        <w:rPr>
          <w:lang w:val="en-US"/>
        </w:rPr>
        <w:t xml:space="preserve"> </w:t>
      </w:r>
      <w:proofErr w:type="spellStart"/>
      <w:r w:rsidRPr="00A91771">
        <w:rPr>
          <w:lang w:val="en-US"/>
        </w:rPr>
        <w:t>anlamına</w:t>
      </w:r>
      <w:proofErr w:type="spellEnd"/>
      <w:r w:rsidRPr="00A91771">
        <w:rPr>
          <w:lang w:val="en-US"/>
        </w:rPr>
        <w:t xml:space="preserve"> </w:t>
      </w:r>
      <w:proofErr w:type="spellStart"/>
      <w:r w:rsidRPr="00A91771">
        <w:rPr>
          <w:lang w:val="en-US"/>
        </w:rPr>
        <w:t>gelmemektedir</w:t>
      </w:r>
      <w:proofErr w:type="spellEnd"/>
      <w:r w:rsidRPr="00A91771">
        <w:rPr>
          <w:lang w:val="en-US"/>
        </w:rPr>
        <w:t>.</w:t>
      </w:r>
      <w:r w:rsidRPr="00A91771">
        <w:rPr>
          <w:lang w:val="en-US"/>
        </w:rPr>
        <w:t xml:space="preserve"> </w:t>
      </w:r>
      <w:r w:rsidRPr="00A91771">
        <w:rPr>
          <w:lang w:val="en-US"/>
        </w:rPr>
        <w:t xml:space="preserve">Bunun </w:t>
      </w:r>
      <w:proofErr w:type="spellStart"/>
      <w:r w:rsidRPr="00A91771">
        <w:rPr>
          <w:lang w:val="en-US"/>
        </w:rPr>
        <w:t>yerine</w:t>
      </w:r>
      <w:proofErr w:type="spellEnd"/>
      <w:r w:rsidRPr="00A91771">
        <w:rPr>
          <w:lang w:val="en-US"/>
        </w:rPr>
        <w:t xml:space="preserve">, </w:t>
      </w:r>
      <w:proofErr w:type="spellStart"/>
      <w:r w:rsidRPr="00A91771">
        <w:rPr>
          <w:lang w:val="en-US"/>
        </w:rPr>
        <w:t>bu</w:t>
      </w:r>
      <w:proofErr w:type="spellEnd"/>
      <w:r w:rsidRPr="00A91771">
        <w:rPr>
          <w:lang w:val="en-US"/>
        </w:rPr>
        <w:t xml:space="preserve"> </w:t>
      </w:r>
      <w:proofErr w:type="spellStart"/>
      <w:r w:rsidRPr="00A91771">
        <w:rPr>
          <w:lang w:val="en-US"/>
        </w:rPr>
        <w:t>yaklaşımın</w:t>
      </w:r>
      <w:proofErr w:type="spellEnd"/>
      <w:r w:rsidRPr="00A91771">
        <w:rPr>
          <w:lang w:val="en-US"/>
        </w:rPr>
        <w:t xml:space="preserve"> </w:t>
      </w:r>
      <w:proofErr w:type="spellStart"/>
      <w:r w:rsidRPr="00A91771">
        <w:rPr>
          <w:lang w:val="en-US"/>
        </w:rPr>
        <w:t>temel</w:t>
      </w:r>
      <w:proofErr w:type="spellEnd"/>
      <w:r w:rsidRPr="00A91771">
        <w:rPr>
          <w:lang w:val="en-US"/>
        </w:rPr>
        <w:t xml:space="preserve"> </w:t>
      </w:r>
      <w:proofErr w:type="spellStart"/>
      <w:r w:rsidRPr="00A91771">
        <w:rPr>
          <w:lang w:val="en-US"/>
        </w:rPr>
        <w:t>savı</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kurumlarımızı</w:t>
      </w:r>
      <w:proofErr w:type="spellEnd"/>
      <w:r w:rsidRPr="00A91771">
        <w:rPr>
          <w:lang w:val="en-US"/>
        </w:rPr>
        <w:t xml:space="preserve">, </w:t>
      </w:r>
      <w:proofErr w:type="spellStart"/>
      <w:r w:rsidRPr="00A91771">
        <w:rPr>
          <w:lang w:val="en-US"/>
        </w:rPr>
        <w:t>uygulamalarımızı</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normlarımızı</w:t>
      </w:r>
      <w:proofErr w:type="spellEnd"/>
      <w:r w:rsidRPr="00A91771">
        <w:rPr>
          <w:lang w:val="en-US"/>
        </w:rPr>
        <w:t xml:space="preserve"> </w:t>
      </w:r>
      <w:proofErr w:type="spellStart"/>
      <w:r w:rsidRPr="00A91771">
        <w:rPr>
          <w:lang w:val="en-US"/>
        </w:rPr>
        <w:t>daha</w:t>
      </w:r>
      <w:proofErr w:type="spellEnd"/>
      <w:r w:rsidRPr="00A91771">
        <w:rPr>
          <w:lang w:val="en-US"/>
        </w:rPr>
        <w:t xml:space="preserve"> </w:t>
      </w:r>
      <w:proofErr w:type="spellStart"/>
      <w:r w:rsidRPr="00A91771">
        <w:rPr>
          <w:lang w:val="en-US"/>
        </w:rPr>
        <w:t>kapsamlı</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şekilde</w:t>
      </w:r>
      <w:proofErr w:type="spellEnd"/>
      <w:r w:rsidRPr="00A91771">
        <w:rPr>
          <w:lang w:val="en-US"/>
        </w:rPr>
        <w:t xml:space="preserve"> </w:t>
      </w:r>
      <w:proofErr w:type="spellStart"/>
      <w:r w:rsidRPr="00A91771">
        <w:rPr>
          <w:lang w:val="en-US"/>
        </w:rPr>
        <w:t>kataloglamaya</w:t>
      </w:r>
      <w:proofErr w:type="spellEnd"/>
      <w:r w:rsidRPr="00A91771">
        <w:rPr>
          <w:lang w:val="en-US"/>
        </w:rPr>
        <w:t xml:space="preserve"> </w:t>
      </w:r>
      <w:proofErr w:type="spellStart"/>
      <w:r w:rsidRPr="00A91771">
        <w:rPr>
          <w:lang w:val="en-US"/>
        </w:rPr>
        <w:t>çalışan</w:t>
      </w:r>
      <w:proofErr w:type="spellEnd"/>
      <w:r w:rsidRPr="00A91771">
        <w:rPr>
          <w:lang w:val="en-US"/>
        </w:rPr>
        <w:t xml:space="preserve">, </w:t>
      </w:r>
      <w:proofErr w:type="spellStart"/>
      <w:r w:rsidRPr="00A91771">
        <w:rPr>
          <w:lang w:val="en-US"/>
        </w:rPr>
        <w:t>bunların</w:t>
      </w:r>
      <w:proofErr w:type="spellEnd"/>
      <w:r w:rsidRPr="00A91771">
        <w:rPr>
          <w:lang w:val="en-US"/>
        </w:rPr>
        <w:t xml:space="preserve"> </w:t>
      </w:r>
      <w:proofErr w:type="spellStart"/>
      <w:r w:rsidRPr="00A91771">
        <w:rPr>
          <w:lang w:val="en-US"/>
        </w:rPr>
        <w:t>tarihsel</w:t>
      </w:r>
      <w:proofErr w:type="spellEnd"/>
      <w:r w:rsidRPr="00A91771">
        <w:rPr>
          <w:lang w:val="en-US"/>
        </w:rPr>
        <w:t xml:space="preserve"> </w:t>
      </w:r>
      <w:proofErr w:type="spellStart"/>
      <w:r w:rsidRPr="00A91771">
        <w:rPr>
          <w:lang w:val="en-US"/>
        </w:rPr>
        <w:t>gelişim</w:t>
      </w:r>
      <w:proofErr w:type="spellEnd"/>
      <w:r w:rsidRPr="00A91771">
        <w:rPr>
          <w:lang w:val="en-US"/>
        </w:rPr>
        <w:t xml:space="preserve"> </w:t>
      </w:r>
      <w:proofErr w:type="spellStart"/>
      <w:r w:rsidRPr="00A91771">
        <w:rPr>
          <w:lang w:val="en-US"/>
        </w:rPr>
        <w:t>süreçlerini</w:t>
      </w:r>
      <w:proofErr w:type="spellEnd"/>
      <w:r w:rsidRPr="00A91771">
        <w:rPr>
          <w:lang w:val="en-US"/>
        </w:rPr>
        <w:t xml:space="preserve"> </w:t>
      </w:r>
      <w:proofErr w:type="spellStart"/>
      <w:r w:rsidRPr="00A91771">
        <w:rPr>
          <w:lang w:val="en-US"/>
        </w:rPr>
        <w:t>dikkate</w:t>
      </w:r>
      <w:proofErr w:type="spellEnd"/>
      <w:r w:rsidRPr="00A91771">
        <w:rPr>
          <w:lang w:val="en-US"/>
        </w:rPr>
        <w:t xml:space="preserve"> </w:t>
      </w:r>
      <w:proofErr w:type="spellStart"/>
      <w:r w:rsidRPr="00A91771">
        <w:rPr>
          <w:lang w:val="en-US"/>
        </w:rPr>
        <w:t>alan</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karar</w:t>
      </w:r>
      <w:proofErr w:type="spellEnd"/>
      <w:r w:rsidRPr="00A91771">
        <w:rPr>
          <w:lang w:val="en-US"/>
        </w:rPr>
        <w:t xml:space="preserve"> alma </w:t>
      </w:r>
      <w:proofErr w:type="spellStart"/>
      <w:r w:rsidRPr="00A91771">
        <w:rPr>
          <w:lang w:val="en-US"/>
        </w:rPr>
        <w:t>sürecimize</w:t>
      </w:r>
      <w:proofErr w:type="spellEnd"/>
      <w:r w:rsidRPr="00A91771">
        <w:rPr>
          <w:lang w:val="en-US"/>
        </w:rPr>
        <w:t xml:space="preserve"> </w:t>
      </w:r>
      <w:proofErr w:type="spellStart"/>
      <w:r w:rsidRPr="00A91771">
        <w:rPr>
          <w:lang w:val="en-US"/>
        </w:rPr>
        <w:t>olan</w:t>
      </w:r>
      <w:proofErr w:type="spellEnd"/>
      <w:r w:rsidRPr="00A91771">
        <w:rPr>
          <w:lang w:val="en-US"/>
        </w:rPr>
        <w:t xml:space="preserve"> </w:t>
      </w:r>
      <w:proofErr w:type="spellStart"/>
      <w:r w:rsidRPr="00A91771">
        <w:rPr>
          <w:lang w:val="en-US"/>
        </w:rPr>
        <w:t>etkilerini</w:t>
      </w:r>
      <w:proofErr w:type="spellEnd"/>
      <w:r w:rsidRPr="00A91771">
        <w:rPr>
          <w:lang w:val="en-US"/>
        </w:rPr>
        <w:t xml:space="preserve"> </w:t>
      </w:r>
      <w:proofErr w:type="spellStart"/>
      <w:r w:rsidRPr="00A91771">
        <w:rPr>
          <w:lang w:val="en-US"/>
        </w:rPr>
        <w:t>soğukkanlı</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nesnel</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şekilde</w:t>
      </w:r>
      <w:proofErr w:type="spellEnd"/>
      <w:r w:rsidRPr="00A91771">
        <w:rPr>
          <w:lang w:val="en-US"/>
        </w:rPr>
        <w:t xml:space="preserve"> </w:t>
      </w:r>
      <w:proofErr w:type="spellStart"/>
      <w:r w:rsidRPr="00A91771">
        <w:rPr>
          <w:lang w:val="en-US"/>
        </w:rPr>
        <w:t>değerlendiren</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yöntemin</w:t>
      </w:r>
      <w:proofErr w:type="spellEnd"/>
      <w:r w:rsidRPr="00A91771">
        <w:rPr>
          <w:lang w:val="en-US"/>
        </w:rPr>
        <w:t xml:space="preserve"> </w:t>
      </w:r>
      <w:proofErr w:type="spellStart"/>
      <w:r w:rsidRPr="00A91771">
        <w:rPr>
          <w:lang w:val="en-US"/>
        </w:rPr>
        <w:t>önemine</w:t>
      </w:r>
      <w:proofErr w:type="spellEnd"/>
      <w:r w:rsidRPr="00A91771">
        <w:rPr>
          <w:lang w:val="en-US"/>
        </w:rPr>
        <w:t xml:space="preserve"> </w:t>
      </w:r>
      <w:proofErr w:type="spellStart"/>
      <w:r w:rsidRPr="00A91771">
        <w:rPr>
          <w:lang w:val="en-US"/>
        </w:rPr>
        <w:t>işaret</w:t>
      </w:r>
      <w:proofErr w:type="spellEnd"/>
      <w:r w:rsidRPr="00A91771">
        <w:rPr>
          <w:lang w:val="en-US"/>
        </w:rPr>
        <w:t xml:space="preserve"> </w:t>
      </w:r>
      <w:proofErr w:type="spellStart"/>
      <w:r w:rsidRPr="00A91771">
        <w:rPr>
          <w:lang w:val="en-US"/>
        </w:rPr>
        <w:t>etmektir</w:t>
      </w:r>
      <w:proofErr w:type="spellEnd"/>
      <w:r w:rsidRPr="00A91771">
        <w:rPr>
          <w:lang w:val="en-US"/>
        </w:rPr>
        <w:t>.</w:t>
      </w:r>
    </w:p>
  </w:footnote>
  <w:footnote w:id="14">
    <w:p w14:paraId="5B22502C" w14:textId="2CDB5B90" w:rsidR="00A91771" w:rsidRPr="00A91771" w:rsidRDefault="00A91771" w:rsidP="009F15C9">
      <w:pPr>
        <w:pStyle w:val="Dipnot"/>
        <w:rPr>
          <w:lang w:val="en-US"/>
        </w:rPr>
      </w:pPr>
      <w:r>
        <w:rPr>
          <w:rStyle w:val="FootnoteReference"/>
        </w:rPr>
        <w:footnoteRef/>
      </w:r>
      <w:r>
        <w:t xml:space="preserve"> </w:t>
      </w:r>
      <w:r>
        <w:tab/>
      </w:r>
      <w:r w:rsidRPr="00A91771">
        <w:rPr>
          <w:lang w:val="en-US"/>
        </w:rPr>
        <w:t xml:space="preserve">¹⁴ </w:t>
      </w:r>
      <w:proofErr w:type="spellStart"/>
      <w:r w:rsidRPr="00A91771">
        <w:rPr>
          <w:lang w:val="en-US"/>
        </w:rPr>
        <w:t>Bkz</w:t>
      </w:r>
      <w:proofErr w:type="spellEnd"/>
      <w:r w:rsidRPr="00A91771">
        <w:rPr>
          <w:lang w:val="en-US"/>
        </w:rPr>
        <w:t xml:space="preserve">. </w:t>
      </w:r>
      <w:proofErr w:type="spellStart"/>
      <w:r w:rsidRPr="00A91771">
        <w:rPr>
          <w:lang w:val="en-US"/>
        </w:rPr>
        <w:t>örn</w:t>
      </w:r>
      <w:proofErr w:type="spellEnd"/>
      <w:r w:rsidRPr="00A91771">
        <w:rPr>
          <w:lang w:val="en-US"/>
        </w:rPr>
        <w:t xml:space="preserve">., </w:t>
      </w:r>
      <w:r w:rsidRPr="00A91771">
        <w:rPr>
          <w:b/>
          <w:bCs/>
          <w:lang w:val="en-US"/>
        </w:rPr>
        <w:t>LAWRENCE G. SAGER, JUSTICE IN PLAINCLOTHES: A THEORY OF AMERICAN CONSTITUTIONAL PRACTICE</w:t>
      </w:r>
      <w:r w:rsidRPr="00A91771">
        <w:rPr>
          <w:lang w:val="en-US"/>
        </w:rPr>
        <w:t xml:space="preserve"> 5-10 (2004) (</w:t>
      </w:r>
      <w:proofErr w:type="spellStart"/>
      <w:r w:rsidRPr="00A91771">
        <w:rPr>
          <w:lang w:val="en-US"/>
        </w:rPr>
        <w:t>anayasal</w:t>
      </w:r>
      <w:proofErr w:type="spellEnd"/>
      <w:r w:rsidRPr="00A91771">
        <w:rPr>
          <w:lang w:val="en-US"/>
        </w:rPr>
        <w:t xml:space="preserve"> </w:t>
      </w:r>
      <w:proofErr w:type="spellStart"/>
      <w:r w:rsidRPr="00A91771">
        <w:rPr>
          <w:lang w:val="en-US"/>
        </w:rPr>
        <w:t>yapımızın</w:t>
      </w:r>
      <w:proofErr w:type="spellEnd"/>
      <w:r w:rsidRPr="00A91771">
        <w:rPr>
          <w:lang w:val="en-US"/>
        </w:rPr>
        <w:t xml:space="preserve"> </w:t>
      </w:r>
      <w:proofErr w:type="spellStart"/>
      <w:r w:rsidRPr="00A91771">
        <w:rPr>
          <w:lang w:val="en-US"/>
        </w:rPr>
        <w:t>doğasında</w:t>
      </w:r>
      <w:proofErr w:type="spellEnd"/>
      <w:r w:rsidRPr="00A91771">
        <w:rPr>
          <w:lang w:val="en-US"/>
        </w:rPr>
        <w:t xml:space="preserve"> var </w:t>
      </w:r>
      <w:proofErr w:type="spellStart"/>
      <w:r w:rsidRPr="00A91771">
        <w:rPr>
          <w:lang w:val="en-US"/>
        </w:rPr>
        <w:t>olan</w:t>
      </w:r>
      <w:proofErr w:type="spellEnd"/>
      <w:r w:rsidRPr="00A91771">
        <w:rPr>
          <w:lang w:val="en-US"/>
        </w:rPr>
        <w:t xml:space="preserve"> </w:t>
      </w:r>
      <w:proofErr w:type="spellStart"/>
      <w:r w:rsidRPr="00A91771">
        <w:rPr>
          <w:lang w:val="en-US"/>
        </w:rPr>
        <w:t>unsurları</w:t>
      </w:r>
      <w:proofErr w:type="spellEnd"/>
      <w:r w:rsidRPr="00A91771">
        <w:rPr>
          <w:lang w:val="en-US"/>
        </w:rPr>
        <w:t xml:space="preserve">, </w:t>
      </w:r>
      <w:proofErr w:type="spellStart"/>
      <w:r w:rsidRPr="00A91771">
        <w:rPr>
          <w:lang w:val="en-US"/>
        </w:rPr>
        <w:t>hükümetin</w:t>
      </w:r>
      <w:proofErr w:type="spellEnd"/>
      <w:r w:rsidRPr="00A91771">
        <w:rPr>
          <w:lang w:val="en-US"/>
        </w:rPr>
        <w:t xml:space="preserve"> </w:t>
      </w:r>
      <w:proofErr w:type="spellStart"/>
      <w:r w:rsidRPr="00A91771">
        <w:rPr>
          <w:lang w:val="en-US"/>
        </w:rPr>
        <w:t>farklı</w:t>
      </w:r>
      <w:proofErr w:type="spellEnd"/>
      <w:r w:rsidRPr="00A91771">
        <w:rPr>
          <w:lang w:val="en-US"/>
        </w:rPr>
        <w:t xml:space="preserve"> </w:t>
      </w:r>
      <w:proofErr w:type="spellStart"/>
      <w:r w:rsidRPr="00A91771">
        <w:rPr>
          <w:lang w:val="en-US"/>
        </w:rPr>
        <w:t>organları</w:t>
      </w:r>
      <w:proofErr w:type="spellEnd"/>
      <w:r w:rsidRPr="00A91771">
        <w:rPr>
          <w:lang w:val="en-US"/>
        </w:rPr>
        <w:t xml:space="preserve"> </w:t>
      </w:r>
      <w:proofErr w:type="spellStart"/>
      <w:r w:rsidRPr="00A91771">
        <w:rPr>
          <w:lang w:val="en-US"/>
        </w:rPr>
        <w:t>arasındaki</w:t>
      </w:r>
      <w:proofErr w:type="spellEnd"/>
      <w:r w:rsidRPr="00A91771">
        <w:rPr>
          <w:lang w:val="en-US"/>
        </w:rPr>
        <w:t xml:space="preserve"> </w:t>
      </w:r>
      <w:proofErr w:type="spellStart"/>
      <w:r w:rsidRPr="00A91771">
        <w:rPr>
          <w:lang w:val="en-US"/>
        </w:rPr>
        <w:t>bir</w:t>
      </w:r>
      <w:proofErr w:type="spellEnd"/>
      <w:r w:rsidRPr="00A91771">
        <w:rPr>
          <w:lang w:val="en-US"/>
        </w:rPr>
        <w:t xml:space="preserve"> </w:t>
      </w:r>
      <w:proofErr w:type="spellStart"/>
      <w:r w:rsidRPr="00A91771">
        <w:rPr>
          <w:lang w:val="en-US"/>
        </w:rPr>
        <w:t>iş</w:t>
      </w:r>
      <w:proofErr w:type="spellEnd"/>
      <w:r w:rsidRPr="00A91771">
        <w:rPr>
          <w:lang w:val="en-US"/>
        </w:rPr>
        <w:t xml:space="preserve"> </w:t>
      </w:r>
      <w:proofErr w:type="spellStart"/>
      <w:r w:rsidRPr="00A91771">
        <w:rPr>
          <w:lang w:val="en-US"/>
        </w:rPr>
        <w:t>birliği</w:t>
      </w:r>
      <w:proofErr w:type="spellEnd"/>
      <w:r w:rsidRPr="00A91771">
        <w:rPr>
          <w:lang w:val="en-US"/>
        </w:rPr>
        <w:t xml:space="preserve"> </w:t>
      </w:r>
      <w:proofErr w:type="spellStart"/>
      <w:r w:rsidRPr="00A91771">
        <w:rPr>
          <w:lang w:val="en-US"/>
        </w:rPr>
        <w:t>olarak</w:t>
      </w:r>
      <w:proofErr w:type="spellEnd"/>
      <w:r w:rsidRPr="00A91771">
        <w:rPr>
          <w:lang w:val="en-US"/>
        </w:rPr>
        <w:t xml:space="preserve"> </w:t>
      </w:r>
      <w:proofErr w:type="spellStart"/>
      <w:r w:rsidRPr="00A91771">
        <w:rPr>
          <w:lang w:val="en-US"/>
        </w:rPr>
        <w:t>tanımlamakta</w:t>
      </w:r>
      <w:proofErr w:type="spellEnd"/>
      <w:r w:rsidRPr="00A91771">
        <w:rPr>
          <w:lang w:val="en-US"/>
        </w:rPr>
        <w:t xml:space="preserve"> </w:t>
      </w:r>
      <w:proofErr w:type="spellStart"/>
      <w:r w:rsidRPr="00A91771">
        <w:rPr>
          <w:lang w:val="en-US"/>
        </w:rPr>
        <w:t>ve</w:t>
      </w:r>
      <w:proofErr w:type="spellEnd"/>
      <w:r w:rsidRPr="00A91771">
        <w:rPr>
          <w:lang w:val="en-US"/>
        </w:rPr>
        <w:t xml:space="preserve"> </w:t>
      </w:r>
      <w:proofErr w:type="spellStart"/>
      <w:r w:rsidRPr="00A91771">
        <w:rPr>
          <w:lang w:val="en-US"/>
        </w:rPr>
        <w:t>yargının</w:t>
      </w:r>
      <w:proofErr w:type="spellEnd"/>
      <w:r w:rsidRPr="00A91771">
        <w:rPr>
          <w:lang w:val="en-US"/>
        </w:rPr>
        <w:t xml:space="preserve">, </w:t>
      </w:r>
      <w:proofErr w:type="spellStart"/>
      <w:r w:rsidRPr="00A91771">
        <w:rPr>
          <w:lang w:val="en-US"/>
        </w:rPr>
        <w:t>halkın</w:t>
      </w:r>
      <w:proofErr w:type="spellEnd"/>
      <w:r w:rsidRPr="00A91771">
        <w:rPr>
          <w:lang w:val="en-US"/>
        </w:rPr>
        <w:t xml:space="preserve"> </w:t>
      </w:r>
      <w:proofErr w:type="spellStart"/>
      <w:r w:rsidRPr="00A91771">
        <w:rPr>
          <w:lang w:val="en-US"/>
        </w:rPr>
        <w:t>siyasi</w:t>
      </w:r>
      <w:proofErr w:type="spellEnd"/>
      <w:r w:rsidRPr="00A91771">
        <w:rPr>
          <w:lang w:val="en-US"/>
        </w:rPr>
        <w:t xml:space="preserve"> </w:t>
      </w:r>
      <w:proofErr w:type="spellStart"/>
      <w:r w:rsidRPr="00A91771">
        <w:rPr>
          <w:lang w:val="en-US"/>
        </w:rPr>
        <w:t>kurumlarının</w:t>
      </w:r>
      <w:proofErr w:type="spellEnd"/>
      <w:r w:rsidRPr="00A91771">
        <w:rPr>
          <w:lang w:val="en-US"/>
        </w:rPr>
        <w:t xml:space="preserve"> </w:t>
      </w:r>
      <w:proofErr w:type="spellStart"/>
      <w:r w:rsidRPr="00A91771">
        <w:rPr>
          <w:lang w:val="en-US"/>
        </w:rPr>
        <w:t>çözmeye</w:t>
      </w:r>
      <w:proofErr w:type="spellEnd"/>
      <w:r w:rsidRPr="00A91771">
        <w:rPr>
          <w:lang w:val="en-US"/>
        </w:rPr>
        <w:t xml:space="preserve"> </w:t>
      </w:r>
      <w:proofErr w:type="spellStart"/>
      <w:r w:rsidRPr="00A91771">
        <w:rPr>
          <w:lang w:val="en-US"/>
        </w:rPr>
        <w:t>daha</w:t>
      </w:r>
      <w:proofErr w:type="spellEnd"/>
      <w:r w:rsidRPr="00A91771">
        <w:rPr>
          <w:lang w:val="en-US"/>
        </w:rPr>
        <w:t xml:space="preserve"> </w:t>
      </w:r>
      <w:proofErr w:type="spellStart"/>
      <w:r w:rsidRPr="00A91771">
        <w:rPr>
          <w:lang w:val="en-US"/>
        </w:rPr>
        <w:t>yatkın</w:t>
      </w:r>
      <w:proofErr w:type="spellEnd"/>
      <w:r w:rsidRPr="00A91771">
        <w:rPr>
          <w:lang w:val="en-US"/>
        </w:rPr>
        <w:t xml:space="preserve"> </w:t>
      </w:r>
      <w:proofErr w:type="spellStart"/>
      <w:r w:rsidRPr="00A91771">
        <w:rPr>
          <w:lang w:val="en-US"/>
        </w:rPr>
        <w:t>olduğu</w:t>
      </w:r>
      <w:proofErr w:type="spellEnd"/>
      <w:r w:rsidRPr="00A91771">
        <w:rPr>
          <w:lang w:val="en-US"/>
        </w:rPr>
        <w:t xml:space="preserve"> </w:t>
      </w:r>
      <w:proofErr w:type="spellStart"/>
      <w:r w:rsidRPr="00A91771">
        <w:rPr>
          <w:lang w:val="en-US"/>
        </w:rPr>
        <w:t>anayasal</w:t>
      </w:r>
      <w:proofErr w:type="spellEnd"/>
      <w:r w:rsidRPr="00A91771">
        <w:rPr>
          <w:lang w:val="en-US"/>
        </w:rPr>
        <w:t xml:space="preserve"> </w:t>
      </w:r>
      <w:proofErr w:type="spellStart"/>
      <w:r w:rsidRPr="00A91771">
        <w:rPr>
          <w:lang w:val="en-US"/>
        </w:rPr>
        <w:t>yetersiz</w:t>
      </w:r>
      <w:proofErr w:type="spellEnd"/>
      <w:r w:rsidRPr="00A91771">
        <w:rPr>
          <w:lang w:val="en-US"/>
        </w:rPr>
        <w:t xml:space="preserve"> </w:t>
      </w:r>
      <w:proofErr w:type="spellStart"/>
      <w:r w:rsidRPr="00A91771">
        <w:rPr>
          <w:lang w:val="en-US"/>
        </w:rPr>
        <w:t>uygulama</w:t>
      </w:r>
      <w:proofErr w:type="spellEnd"/>
      <w:r w:rsidRPr="00A91771">
        <w:rPr>
          <w:lang w:val="en-US"/>
        </w:rPr>
        <w:t xml:space="preserve"> (constitutional underenforcement) </w:t>
      </w:r>
      <w:proofErr w:type="spellStart"/>
      <w:r w:rsidRPr="00A91771">
        <w:rPr>
          <w:lang w:val="en-US"/>
        </w:rPr>
        <w:t>alanlarına</w:t>
      </w:r>
      <w:proofErr w:type="spellEnd"/>
      <w:r w:rsidRPr="00A91771">
        <w:rPr>
          <w:lang w:val="en-US"/>
        </w:rPr>
        <w:t xml:space="preserve"> </w:t>
      </w:r>
      <w:proofErr w:type="spellStart"/>
      <w:r w:rsidRPr="00A91771">
        <w:rPr>
          <w:lang w:val="en-US"/>
        </w:rPr>
        <w:t>müdahil</w:t>
      </w:r>
      <w:proofErr w:type="spellEnd"/>
      <w:r w:rsidRPr="00A91771">
        <w:rPr>
          <w:lang w:val="en-US"/>
        </w:rPr>
        <w:t xml:space="preserve"> </w:t>
      </w:r>
      <w:proofErr w:type="spellStart"/>
      <w:r w:rsidRPr="00A91771">
        <w:rPr>
          <w:lang w:val="en-US"/>
        </w:rPr>
        <w:t>olduğunu</w:t>
      </w:r>
      <w:proofErr w:type="spellEnd"/>
      <w:r w:rsidRPr="00A91771">
        <w:rPr>
          <w:lang w:val="en-US"/>
        </w:rPr>
        <w:t xml:space="preserve"> </w:t>
      </w:r>
      <w:proofErr w:type="spellStart"/>
      <w:r w:rsidRPr="00A91771">
        <w:rPr>
          <w:lang w:val="en-US"/>
        </w:rPr>
        <w:t>savunmaktadır</w:t>
      </w:r>
      <w:proofErr w:type="spellEnd"/>
      <w:r w:rsidRPr="00A91771">
        <w:rPr>
          <w:lang w:val="en-US"/>
        </w:rPr>
        <w:t>).</w:t>
      </w:r>
    </w:p>
  </w:footnote>
  <w:footnote w:id="15">
    <w:p w14:paraId="505783EA" w14:textId="490564DD" w:rsidR="003177A9" w:rsidRPr="003177A9" w:rsidRDefault="003177A9" w:rsidP="009F15C9">
      <w:pPr>
        <w:pStyle w:val="Dipnot"/>
        <w:rPr>
          <w:lang w:val="en-US"/>
        </w:rPr>
      </w:pPr>
      <w:r>
        <w:rPr>
          <w:rStyle w:val="FootnoteReference"/>
        </w:rPr>
        <w:footnoteRef/>
      </w:r>
      <w:r>
        <w:t xml:space="preserve"> </w:t>
      </w:r>
      <w:r>
        <w:tab/>
      </w:r>
      <w:r w:rsidRPr="003177A9">
        <w:rPr>
          <w:lang w:val="en-US"/>
        </w:rPr>
        <w:t xml:space="preserve">¹⁵ Bu </w:t>
      </w:r>
      <w:proofErr w:type="spellStart"/>
      <w:r w:rsidRPr="003177A9">
        <w:rPr>
          <w:lang w:val="en-US"/>
        </w:rPr>
        <w:t>bölüm</w:t>
      </w:r>
      <w:proofErr w:type="spellEnd"/>
      <w:r w:rsidRPr="003177A9">
        <w:rPr>
          <w:lang w:val="en-US"/>
        </w:rPr>
        <w:t xml:space="preserve">, </w:t>
      </w:r>
      <w:proofErr w:type="spellStart"/>
      <w:r w:rsidRPr="003177A9">
        <w:rPr>
          <w:lang w:val="en-US"/>
        </w:rPr>
        <w:t>söz</w:t>
      </w:r>
      <w:proofErr w:type="spellEnd"/>
      <w:r w:rsidRPr="003177A9">
        <w:rPr>
          <w:lang w:val="en-US"/>
        </w:rPr>
        <w:t xml:space="preserve"> </w:t>
      </w:r>
      <w:proofErr w:type="spellStart"/>
      <w:r w:rsidRPr="003177A9">
        <w:rPr>
          <w:lang w:val="en-US"/>
        </w:rPr>
        <w:t>konusu</w:t>
      </w:r>
      <w:proofErr w:type="spellEnd"/>
      <w:r w:rsidRPr="003177A9">
        <w:rPr>
          <w:lang w:val="en-US"/>
        </w:rPr>
        <w:t xml:space="preserve"> </w:t>
      </w:r>
      <w:proofErr w:type="spellStart"/>
      <w:r w:rsidRPr="003177A9">
        <w:rPr>
          <w:lang w:val="en-US"/>
        </w:rPr>
        <w:t>eleştirinin</w:t>
      </w:r>
      <w:proofErr w:type="spellEnd"/>
      <w:r w:rsidRPr="003177A9">
        <w:rPr>
          <w:lang w:val="en-US"/>
        </w:rPr>
        <w:t xml:space="preserve"> </w:t>
      </w:r>
      <w:proofErr w:type="spellStart"/>
      <w:r w:rsidRPr="003177A9">
        <w:rPr>
          <w:lang w:val="en-US"/>
        </w:rPr>
        <w:t>normatif</w:t>
      </w:r>
      <w:proofErr w:type="spellEnd"/>
      <w:r w:rsidRPr="003177A9">
        <w:rPr>
          <w:lang w:val="en-US"/>
        </w:rPr>
        <w:t xml:space="preserve"> </w:t>
      </w:r>
      <w:proofErr w:type="spellStart"/>
      <w:r w:rsidRPr="003177A9">
        <w:rPr>
          <w:lang w:val="en-US"/>
        </w:rPr>
        <w:t>sonuçlarını</w:t>
      </w:r>
      <w:proofErr w:type="spellEnd"/>
      <w:r w:rsidRPr="003177A9">
        <w:rPr>
          <w:lang w:val="en-US"/>
        </w:rPr>
        <w:t xml:space="preserve"> </w:t>
      </w:r>
      <w:proofErr w:type="spellStart"/>
      <w:r w:rsidRPr="003177A9">
        <w:rPr>
          <w:lang w:val="en-US"/>
        </w:rPr>
        <w:t>yalnızca</w:t>
      </w:r>
      <w:proofErr w:type="spellEnd"/>
      <w:r w:rsidRPr="003177A9">
        <w:rPr>
          <w:lang w:val="en-US"/>
        </w:rPr>
        <w:t xml:space="preserve"> </w:t>
      </w:r>
      <w:proofErr w:type="spellStart"/>
      <w:r w:rsidRPr="003177A9">
        <w:rPr>
          <w:lang w:val="en-US"/>
        </w:rPr>
        <w:t>kısaca</w:t>
      </w:r>
      <w:proofErr w:type="spellEnd"/>
      <w:r w:rsidRPr="003177A9">
        <w:rPr>
          <w:lang w:val="en-US"/>
        </w:rPr>
        <w:t xml:space="preserve"> </w:t>
      </w:r>
      <w:proofErr w:type="spellStart"/>
      <w:r w:rsidRPr="003177A9">
        <w:rPr>
          <w:lang w:val="en-US"/>
        </w:rPr>
        <w:t>ele</w:t>
      </w:r>
      <w:proofErr w:type="spellEnd"/>
      <w:r w:rsidRPr="003177A9">
        <w:rPr>
          <w:lang w:val="en-US"/>
        </w:rPr>
        <w:t xml:space="preserve"> </w:t>
      </w:r>
      <w:proofErr w:type="spellStart"/>
      <w:r w:rsidRPr="003177A9">
        <w:rPr>
          <w:lang w:val="en-US"/>
        </w:rPr>
        <w:t>almaktadır</w:t>
      </w:r>
      <w:proofErr w:type="spellEnd"/>
      <w:r w:rsidRPr="003177A9">
        <w:rPr>
          <w:lang w:val="en-US"/>
        </w:rPr>
        <w:t xml:space="preserve">. Bu </w:t>
      </w:r>
      <w:proofErr w:type="spellStart"/>
      <w:r w:rsidRPr="003177A9">
        <w:rPr>
          <w:lang w:val="en-US"/>
        </w:rPr>
        <w:t>konuya</w:t>
      </w:r>
      <w:proofErr w:type="spellEnd"/>
      <w:r w:rsidRPr="003177A9">
        <w:rPr>
          <w:lang w:val="en-US"/>
        </w:rPr>
        <w:t xml:space="preserve"> </w:t>
      </w:r>
      <w:proofErr w:type="spellStart"/>
      <w:r w:rsidRPr="003177A9">
        <w:rPr>
          <w:lang w:val="en-US"/>
        </w:rPr>
        <w:t>daha</w:t>
      </w:r>
      <w:proofErr w:type="spellEnd"/>
      <w:r w:rsidRPr="003177A9">
        <w:rPr>
          <w:lang w:val="en-US"/>
        </w:rPr>
        <w:t xml:space="preserve"> </w:t>
      </w:r>
      <w:proofErr w:type="spellStart"/>
      <w:r w:rsidRPr="003177A9">
        <w:rPr>
          <w:lang w:val="en-US"/>
        </w:rPr>
        <w:t>doğrudan</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şekilde</w:t>
      </w:r>
      <w:proofErr w:type="spellEnd"/>
      <w:r w:rsidRPr="003177A9">
        <w:rPr>
          <w:lang w:val="en-US"/>
        </w:rPr>
        <w:t xml:space="preserve"> </w:t>
      </w:r>
      <w:proofErr w:type="spellStart"/>
      <w:r w:rsidRPr="003177A9">
        <w:rPr>
          <w:lang w:val="en-US"/>
        </w:rPr>
        <w:t>makalenin</w:t>
      </w:r>
      <w:proofErr w:type="spellEnd"/>
      <w:r w:rsidRPr="003177A9">
        <w:rPr>
          <w:lang w:val="en-US"/>
        </w:rPr>
        <w:t xml:space="preserve"> </w:t>
      </w:r>
      <w:proofErr w:type="spellStart"/>
      <w:r w:rsidRPr="003177A9">
        <w:rPr>
          <w:lang w:val="en-US"/>
        </w:rPr>
        <w:t>ilerleyen</w:t>
      </w:r>
      <w:proofErr w:type="spellEnd"/>
      <w:r w:rsidRPr="003177A9">
        <w:rPr>
          <w:lang w:val="en-US"/>
        </w:rPr>
        <w:t xml:space="preserve"> </w:t>
      </w:r>
      <w:proofErr w:type="spellStart"/>
      <w:r w:rsidRPr="003177A9">
        <w:rPr>
          <w:lang w:val="en-US"/>
        </w:rPr>
        <w:t>bölümlerinde</w:t>
      </w:r>
      <w:proofErr w:type="spellEnd"/>
      <w:r w:rsidRPr="003177A9">
        <w:rPr>
          <w:lang w:val="en-US"/>
        </w:rPr>
        <w:t xml:space="preserve"> </w:t>
      </w:r>
      <w:proofErr w:type="spellStart"/>
      <w:r w:rsidRPr="003177A9">
        <w:rPr>
          <w:lang w:val="en-US"/>
        </w:rPr>
        <w:t>geri</w:t>
      </w:r>
      <w:proofErr w:type="spellEnd"/>
      <w:r w:rsidRPr="003177A9">
        <w:rPr>
          <w:lang w:val="en-US"/>
        </w:rPr>
        <w:t xml:space="preserve"> </w:t>
      </w:r>
      <w:proofErr w:type="spellStart"/>
      <w:r w:rsidRPr="003177A9">
        <w:rPr>
          <w:lang w:val="en-US"/>
        </w:rPr>
        <w:t>döneceğim</w:t>
      </w:r>
      <w:proofErr w:type="spellEnd"/>
      <w:r w:rsidRPr="003177A9">
        <w:rPr>
          <w:lang w:val="en-US"/>
        </w:rPr>
        <w:t>.</w:t>
      </w:r>
    </w:p>
  </w:footnote>
  <w:footnote w:id="16">
    <w:p w14:paraId="4CBED0A0" w14:textId="62D6804B" w:rsidR="003177A9" w:rsidRPr="003177A9" w:rsidRDefault="003177A9" w:rsidP="009F15C9">
      <w:pPr>
        <w:pStyle w:val="Dipnot"/>
        <w:rPr>
          <w:lang w:val="en-US"/>
        </w:rPr>
      </w:pPr>
      <w:r>
        <w:rPr>
          <w:rStyle w:val="FootnoteReference"/>
        </w:rPr>
        <w:footnoteRef/>
      </w:r>
      <w:r>
        <w:t xml:space="preserve"> </w:t>
      </w:r>
      <w:r>
        <w:tab/>
      </w:r>
      <w:r w:rsidRPr="003177A9">
        <w:rPr>
          <w:lang w:val="en-US"/>
        </w:rPr>
        <w:t xml:space="preserve">¹⁶ </w:t>
      </w:r>
      <w:proofErr w:type="spellStart"/>
      <w:r w:rsidRPr="003177A9">
        <w:rPr>
          <w:lang w:val="en-US"/>
        </w:rPr>
        <w:t>Bkz</w:t>
      </w:r>
      <w:proofErr w:type="spellEnd"/>
      <w:r w:rsidRPr="003177A9">
        <w:rPr>
          <w:lang w:val="en-US"/>
        </w:rPr>
        <w:t>. ALEXANDER BICKEL, THE LEAST DANGEROUS BRANCH: THE SUPREME COURT AT THE BAR OF POLITICS 16-17 (1962) (</w:t>
      </w:r>
      <w:proofErr w:type="spellStart"/>
      <w:r w:rsidRPr="003177A9">
        <w:rPr>
          <w:lang w:val="en-US"/>
        </w:rPr>
        <w:t>bu</w:t>
      </w:r>
      <w:proofErr w:type="spellEnd"/>
      <w:r w:rsidRPr="003177A9">
        <w:rPr>
          <w:lang w:val="en-US"/>
        </w:rPr>
        <w:t xml:space="preserve"> </w:t>
      </w:r>
      <w:proofErr w:type="spellStart"/>
      <w:r w:rsidRPr="003177A9">
        <w:rPr>
          <w:lang w:val="en-US"/>
        </w:rPr>
        <w:t>sorunun</w:t>
      </w:r>
      <w:proofErr w:type="spellEnd"/>
      <w:r w:rsidRPr="003177A9">
        <w:rPr>
          <w:lang w:val="en-US"/>
        </w:rPr>
        <w:t xml:space="preserve"> </w:t>
      </w:r>
      <w:proofErr w:type="spellStart"/>
      <w:r w:rsidRPr="003177A9">
        <w:rPr>
          <w:lang w:val="en-US"/>
        </w:rPr>
        <w:t>klasik</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açıklamasını</w:t>
      </w:r>
      <w:proofErr w:type="spellEnd"/>
      <w:r w:rsidRPr="003177A9">
        <w:rPr>
          <w:lang w:val="en-US"/>
        </w:rPr>
        <w:t xml:space="preserve"> </w:t>
      </w:r>
      <w:proofErr w:type="spellStart"/>
      <w:r w:rsidRPr="003177A9">
        <w:rPr>
          <w:lang w:val="en-US"/>
        </w:rPr>
        <w:t>sunmaktadır</w:t>
      </w:r>
      <w:proofErr w:type="spellEnd"/>
      <w:r w:rsidRPr="003177A9">
        <w:rPr>
          <w:lang w:val="en-US"/>
        </w:rPr>
        <w:t xml:space="preserve">); </w:t>
      </w:r>
      <w:proofErr w:type="spellStart"/>
      <w:r w:rsidRPr="003177A9">
        <w:rPr>
          <w:lang w:val="en-US"/>
        </w:rPr>
        <w:t>ayrıca</w:t>
      </w:r>
      <w:proofErr w:type="spellEnd"/>
      <w:r w:rsidRPr="003177A9">
        <w:rPr>
          <w:lang w:val="en-US"/>
        </w:rPr>
        <w:t xml:space="preserve"> </w:t>
      </w:r>
      <w:proofErr w:type="spellStart"/>
      <w:r w:rsidRPr="003177A9">
        <w:rPr>
          <w:lang w:val="en-US"/>
        </w:rPr>
        <w:t>bkz</w:t>
      </w:r>
      <w:proofErr w:type="spellEnd"/>
      <w:r w:rsidRPr="003177A9">
        <w:rPr>
          <w:lang w:val="en-US"/>
        </w:rPr>
        <w:t>. Barry Friedman, The Counter-Majoritarian Problem and the Pathology of Constitutional Scholarship, 95 NW. U. L. REV. 933, 933 (2001) (</w:t>
      </w:r>
      <w:proofErr w:type="spellStart"/>
      <w:r w:rsidRPr="003177A9">
        <w:rPr>
          <w:lang w:val="en-US"/>
        </w:rPr>
        <w:t>bu</w:t>
      </w:r>
      <w:proofErr w:type="spellEnd"/>
      <w:r w:rsidRPr="003177A9">
        <w:rPr>
          <w:lang w:val="en-US"/>
        </w:rPr>
        <w:t xml:space="preserve"> </w:t>
      </w:r>
      <w:proofErr w:type="spellStart"/>
      <w:r w:rsidRPr="003177A9">
        <w:rPr>
          <w:lang w:val="en-US"/>
        </w:rPr>
        <w:t>meselenin</w:t>
      </w:r>
      <w:proofErr w:type="spellEnd"/>
      <w:r w:rsidRPr="003177A9">
        <w:rPr>
          <w:lang w:val="en-US"/>
        </w:rPr>
        <w:t xml:space="preserve"> </w:t>
      </w:r>
      <w:proofErr w:type="spellStart"/>
      <w:r w:rsidRPr="003177A9">
        <w:rPr>
          <w:lang w:val="en-US"/>
        </w:rPr>
        <w:t>anayasa</w:t>
      </w:r>
      <w:proofErr w:type="spellEnd"/>
      <w:r w:rsidRPr="003177A9">
        <w:rPr>
          <w:lang w:val="en-US"/>
        </w:rPr>
        <w:t xml:space="preserve"> </w:t>
      </w:r>
      <w:proofErr w:type="spellStart"/>
      <w:r w:rsidRPr="003177A9">
        <w:rPr>
          <w:lang w:val="en-US"/>
        </w:rPr>
        <w:t>teorisinde</w:t>
      </w:r>
      <w:proofErr w:type="spellEnd"/>
      <w:r w:rsidRPr="003177A9">
        <w:rPr>
          <w:lang w:val="en-US"/>
        </w:rPr>
        <w:t xml:space="preserve"> ne </w:t>
      </w:r>
      <w:proofErr w:type="spellStart"/>
      <w:r w:rsidRPr="003177A9">
        <w:rPr>
          <w:lang w:val="en-US"/>
        </w:rPr>
        <w:t>kadar</w:t>
      </w:r>
      <w:proofErr w:type="spellEnd"/>
      <w:r w:rsidRPr="003177A9">
        <w:rPr>
          <w:lang w:val="en-US"/>
        </w:rPr>
        <w:t xml:space="preserve"> </w:t>
      </w:r>
      <w:proofErr w:type="spellStart"/>
      <w:r w:rsidRPr="003177A9">
        <w:rPr>
          <w:lang w:val="en-US"/>
        </w:rPr>
        <w:t>yaygın</w:t>
      </w:r>
      <w:proofErr w:type="spellEnd"/>
      <w:r w:rsidRPr="003177A9">
        <w:rPr>
          <w:lang w:val="en-US"/>
        </w:rPr>
        <w:t xml:space="preserve"> </w:t>
      </w:r>
      <w:proofErr w:type="spellStart"/>
      <w:r w:rsidRPr="003177A9">
        <w:rPr>
          <w:lang w:val="en-US"/>
        </w:rPr>
        <w:t>olduğunu</w:t>
      </w:r>
      <w:proofErr w:type="spellEnd"/>
      <w:r w:rsidRPr="003177A9">
        <w:rPr>
          <w:lang w:val="en-US"/>
        </w:rPr>
        <w:t xml:space="preserve"> </w:t>
      </w:r>
      <w:proofErr w:type="spellStart"/>
      <w:r w:rsidRPr="003177A9">
        <w:rPr>
          <w:lang w:val="en-US"/>
        </w:rPr>
        <w:t>listelemektedir</w:t>
      </w:r>
      <w:proofErr w:type="spellEnd"/>
      <w:r w:rsidRPr="003177A9">
        <w:rPr>
          <w:lang w:val="en-US"/>
        </w:rPr>
        <w:t>).</w:t>
      </w:r>
    </w:p>
  </w:footnote>
  <w:footnote w:id="17">
    <w:p w14:paraId="351F540F" w14:textId="77777777" w:rsidR="003177A9" w:rsidRPr="003177A9" w:rsidRDefault="003177A9" w:rsidP="003177A9">
      <w:pPr>
        <w:pStyle w:val="Dipnot"/>
        <w:rPr>
          <w:lang w:val="en-US"/>
        </w:rPr>
      </w:pPr>
      <w:r>
        <w:rPr>
          <w:rStyle w:val="FootnoteReference"/>
        </w:rPr>
        <w:footnoteRef/>
      </w:r>
      <w:r>
        <w:t xml:space="preserve"> </w:t>
      </w:r>
      <w:r>
        <w:tab/>
      </w:r>
      <w:r w:rsidRPr="003177A9">
        <w:rPr>
          <w:lang w:val="en-US"/>
        </w:rPr>
        <w:t xml:space="preserve">17 </w:t>
      </w:r>
      <w:proofErr w:type="spellStart"/>
      <w:r w:rsidRPr="003177A9">
        <w:rPr>
          <w:lang w:val="en-US"/>
        </w:rPr>
        <w:t>Aslında</w:t>
      </w:r>
      <w:proofErr w:type="spellEnd"/>
      <w:r w:rsidRPr="003177A9">
        <w:rPr>
          <w:lang w:val="en-US"/>
        </w:rPr>
        <w:t xml:space="preserve">, </w:t>
      </w:r>
      <w:proofErr w:type="spellStart"/>
      <w:r w:rsidRPr="003177A9">
        <w:rPr>
          <w:lang w:val="en-US"/>
        </w:rPr>
        <w:t>anayasa</w:t>
      </w:r>
      <w:proofErr w:type="spellEnd"/>
      <w:r w:rsidRPr="003177A9">
        <w:rPr>
          <w:lang w:val="en-US"/>
        </w:rPr>
        <w:t xml:space="preserve"> </w:t>
      </w:r>
      <w:proofErr w:type="spellStart"/>
      <w:r w:rsidRPr="003177A9">
        <w:rPr>
          <w:lang w:val="en-US"/>
        </w:rPr>
        <w:t>hukuku</w:t>
      </w:r>
      <w:proofErr w:type="spellEnd"/>
      <w:r w:rsidRPr="003177A9">
        <w:rPr>
          <w:lang w:val="en-US"/>
        </w:rPr>
        <w:t xml:space="preserve"> (constitutional) </w:t>
      </w:r>
      <w:proofErr w:type="spellStart"/>
      <w:r w:rsidRPr="003177A9">
        <w:rPr>
          <w:lang w:val="en-US"/>
        </w:rPr>
        <w:t>akademisyenlerinin</w:t>
      </w:r>
      <w:proofErr w:type="spellEnd"/>
      <w:r w:rsidRPr="003177A9">
        <w:rPr>
          <w:lang w:val="en-US"/>
        </w:rPr>
        <w:t xml:space="preserve">, </w:t>
      </w:r>
      <w:proofErr w:type="spellStart"/>
      <w:r w:rsidRPr="003177A9">
        <w:rPr>
          <w:lang w:val="en-US"/>
        </w:rPr>
        <w:t>temel</w:t>
      </w:r>
      <w:proofErr w:type="spellEnd"/>
      <w:r w:rsidRPr="003177A9">
        <w:rPr>
          <w:lang w:val="en-US"/>
        </w:rPr>
        <w:t xml:space="preserve"> </w:t>
      </w:r>
      <w:proofErr w:type="spellStart"/>
      <w:r w:rsidRPr="003177A9">
        <w:rPr>
          <w:lang w:val="en-US"/>
        </w:rPr>
        <w:t>varsayımlarını</w:t>
      </w:r>
      <w:proofErr w:type="spellEnd"/>
      <w:r w:rsidRPr="003177A9">
        <w:rPr>
          <w:lang w:val="en-US"/>
        </w:rPr>
        <w:t xml:space="preserve"> </w:t>
      </w:r>
      <w:proofErr w:type="spellStart"/>
      <w:r w:rsidRPr="003177A9">
        <w:rPr>
          <w:lang w:val="en-US"/>
        </w:rPr>
        <w:t>paylaşan</w:t>
      </w:r>
      <w:proofErr w:type="spellEnd"/>
      <w:r w:rsidRPr="003177A9">
        <w:rPr>
          <w:lang w:val="en-US"/>
        </w:rPr>
        <w:t xml:space="preserve"> </w:t>
      </w:r>
      <w:proofErr w:type="spellStart"/>
      <w:r w:rsidRPr="003177A9">
        <w:rPr>
          <w:lang w:val="en-US"/>
        </w:rPr>
        <w:t>kişilerle</w:t>
      </w:r>
      <w:proofErr w:type="spellEnd"/>
      <w:r w:rsidRPr="003177A9">
        <w:rPr>
          <w:lang w:val="en-US"/>
        </w:rPr>
        <w:t xml:space="preserve"> bile </w:t>
      </w:r>
      <w:proofErr w:type="spellStart"/>
      <w:r w:rsidRPr="003177A9">
        <w:rPr>
          <w:lang w:val="en-US"/>
        </w:rPr>
        <w:t>tartışmayı</w:t>
      </w:r>
      <w:proofErr w:type="spellEnd"/>
      <w:r w:rsidRPr="003177A9">
        <w:rPr>
          <w:lang w:val="en-US"/>
        </w:rPr>
        <w:t xml:space="preserve"> ne </w:t>
      </w:r>
      <w:proofErr w:type="spellStart"/>
      <w:r w:rsidRPr="003177A9">
        <w:rPr>
          <w:lang w:val="en-US"/>
        </w:rPr>
        <w:t>kadar</w:t>
      </w:r>
      <w:proofErr w:type="spellEnd"/>
      <w:r w:rsidRPr="003177A9">
        <w:rPr>
          <w:lang w:val="en-US"/>
        </w:rPr>
        <w:t xml:space="preserve"> </w:t>
      </w:r>
      <w:proofErr w:type="spellStart"/>
      <w:r w:rsidRPr="003177A9">
        <w:rPr>
          <w:lang w:val="en-US"/>
        </w:rPr>
        <w:t>sevdiği</w:t>
      </w:r>
      <w:proofErr w:type="spellEnd"/>
      <w:r w:rsidRPr="003177A9">
        <w:rPr>
          <w:lang w:val="en-US"/>
        </w:rPr>
        <w:t xml:space="preserve"> </w:t>
      </w:r>
      <w:proofErr w:type="spellStart"/>
      <w:r w:rsidRPr="003177A9">
        <w:rPr>
          <w:lang w:val="en-US"/>
        </w:rPr>
        <w:t>göz</w:t>
      </w:r>
      <w:proofErr w:type="spellEnd"/>
      <w:r w:rsidRPr="003177A9">
        <w:rPr>
          <w:lang w:val="en-US"/>
        </w:rPr>
        <w:t xml:space="preserve"> </w:t>
      </w:r>
      <w:proofErr w:type="spellStart"/>
      <w:r w:rsidRPr="003177A9">
        <w:rPr>
          <w:lang w:val="en-US"/>
        </w:rPr>
        <w:t>önüne</w:t>
      </w:r>
      <w:proofErr w:type="spellEnd"/>
      <w:r w:rsidRPr="003177A9">
        <w:rPr>
          <w:lang w:val="en-US"/>
        </w:rPr>
        <w:t xml:space="preserve"> </w:t>
      </w:r>
      <w:proofErr w:type="spellStart"/>
      <w:r w:rsidRPr="003177A9">
        <w:rPr>
          <w:lang w:val="en-US"/>
        </w:rPr>
        <w:t>alındığında</w:t>
      </w:r>
      <w:proofErr w:type="spellEnd"/>
      <w:r w:rsidRPr="003177A9">
        <w:rPr>
          <w:lang w:val="en-US"/>
        </w:rPr>
        <w:t xml:space="preserve">, </w:t>
      </w:r>
      <w:proofErr w:type="spellStart"/>
      <w:r w:rsidRPr="003177A9">
        <w:rPr>
          <w:lang w:val="en-US"/>
        </w:rPr>
        <w:t>bu</w:t>
      </w:r>
      <w:proofErr w:type="spellEnd"/>
      <w:r w:rsidRPr="003177A9">
        <w:rPr>
          <w:lang w:val="en-US"/>
        </w:rPr>
        <w:t xml:space="preserve"> </w:t>
      </w:r>
      <w:proofErr w:type="spellStart"/>
      <w:r w:rsidRPr="003177A9">
        <w:rPr>
          <w:lang w:val="en-US"/>
        </w:rPr>
        <w:t>anlatıyı</w:t>
      </w:r>
      <w:proofErr w:type="spellEnd"/>
      <w:r w:rsidRPr="003177A9">
        <w:rPr>
          <w:lang w:val="en-US"/>
        </w:rPr>
        <w:t xml:space="preserve"> </w:t>
      </w:r>
      <w:proofErr w:type="spellStart"/>
      <w:r w:rsidRPr="003177A9">
        <w:rPr>
          <w:lang w:val="en-US"/>
        </w:rPr>
        <w:t>benimseyen</w:t>
      </w:r>
      <w:proofErr w:type="spellEnd"/>
      <w:r w:rsidRPr="003177A9">
        <w:rPr>
          <w:lang w:val="en-US"/>
        </w:rPr>
        <w:t xml:space="preserve"> </w:t>
      </w:r>
      <w:proofErr w:type="spellStart"/>
      <w:r w:rsidRPr="003177A9">
        <w:rPr>
          <w:lang w:val="en-US"/>
        </w:rPr>
        <w:t>teorisyenler</w:t>
      </w:r>
      <w:proofErr w:type="spellEnd"/>
      <w:r w:rsidRPr="003177A9">
        <w:rPr>
          <w:lang w:val="en-US"/>
        </w:rPr>
        <w:t xml:space="preserve"> </w:t>
      </w:r>
      <w:proofErr w:type="spellStart"/>
      <w:r w:rsidRPr="003177A9">
        <w:rPr>
          <w:lang w:val="en-US"/>
        </w:rPr>
        <w:t>muhtemelen</w:t>
      </w:r>
      <w:proofErr w:type="spellEnd"/>
      <w:r w:rsidRPr="003177A9">
        <w:rPr>
          <w:lang w:val="en-US"/>
        </w:rPr>
        <w:t xml:space="preserve"> </w:t>
      </w:r>
      <w:proofErr w:type="spellStart"/>
      <w:r w:rsidRPr="003177A9">
        <w:rPr>
          <w:lang w:val="en-US"/>
        </w:rPr>
        <w:t>pastanın</w:t>
      </w:r>
      <w:proofErr w:type="spellEnd"/>
      <w:r w:rsidRPr="003177A9">
        <w:rPr>
          <w:lang w:val="en-US"/>
        </w:rPr>
        <w:t xml:space="preserve"> (cake) hangi </w:t>
      </w:r>
      <w:proofErr w:type="spellStart"/>
      <w:r w:rsidRPr="003177A9">
        <w:rPr>
          <w:lang w:val="en-US"/>
        </w:rPr>
        <w:t>unsur</w:t>
      </w:r>
      <w:proofErr w:type="spellEnd"/>
      <w:r w:rsidRPr="003177A9">
        <w:rPr>
          <w:lang w:val="en-US"/>
        </w:rPr>
        <w:t xml:space="preserve"> </w:t>
      </w:r>
      <w:proofErr w:type="spellStart"/>
      <w:r w:rsidRPr="003177A9">
        <w:rPr>
          <w:lang w:val="en-US"/>
        </w:rPr>
        <w:t>olduğu</w:t>
      </w:r>
      <w:proofErr w:type="spellEnd"/>
      <w:r w:rsidRPr="003177A9">
        <w:rPr>
          <w:lang w:val="en-US"/>
        </w:rPr>
        <w:t xml:space="preserve"> </w:t>
      </w:r>
      <w:proofErr w:type="spellStart"/>
      <w:r w:rsidRPr="003177A9">
        <w:rPr>
          <w:lang w:val="en-US"/>
        </w:rPr>
        <w:t>ve</w:t>
      </w:r>
      <w:proofErr w:type="spellEnd"/>
      <w:r w:rsidRPr="003177A9">
        <w:rPr>
          <w:lang w:val="en-US"/>
        </w:rPr>
        <w:t xml:space="preserve"> </w:t>
      </w:r>
      <w:proofErr w:type="spellStart"/>
      <w:r w:rsidRPr="003177A9">
        <w:rPr>
          <w:lang w:val="en-US"/>
        </w:rPr>
        <w:t>yemeyi</w:t>
      </w:r>
      <w:proofErr w:type="spellEnd"/>
      <w:r w:rsidRPr="003177A9">
        <w:rPr>
          <w:lang w:val="en-US"/>
        </w:rPr>
        <w:t xml:space="preserve"> (eating) </w:t>
      </w:r>
      <w:proofErr w:type="spellStart"/>
      <w:r w:rsidRPr="003177A9">
        <w:rPr>
          <w:lang w:val="en-US"/>
        </w:rPr>
        <w:t>neyin</w:t>
      </w:r>
      <w:proofErr w:type="spellEnd"/>
      <w:r w:rsidRPr="003177A9">
        <w:rPr>
          <w:lang w:val="en-US"/>
        </w:rPr>
        <w:t xml:space="preserve"> </w:t>
      </w:r>
      <w:proofErr w:type="spellStart"/>
      <w:r w:rsidRPr="003177A9">
        <w:rPr>
          <w:lang w:val="en-US"/>
        </w:rPr>
        <w:t>temsil</w:t>
      </w:r>
      <w:proofErr w:type="spellEnd"/>
      <w:r w:rsidRPr="003177A9">
        <w:rPr>
          <w:lang w:val="en-US"/>
        </w:rPr>
        <w:t xml:space="preserve"> </w:t>
      </w:r>
      <w:proofErr w:type="spellStart"/>
      <w:r w:rsidRPr="003177A9">
        <w:rPr>
          <w:lang w:val="en-US"/>
        </w:rPr>
        <w:t>ettiği</w:t>
      </w:r>
      <w:proofErr w:type="spellEnd"/>
      <w:r w:rsidRPr="003177A9">
        <w:rPr>
          <w:lang w:val="en-US"/>
        </w:rPr>
        <w:t xml:space="preserve"> </w:t>
      </w:r>
      <w:proofErr w:type="spellStart"/>
      <w:r w:rsidRPr="003177A9">
        <w:rPr>
          <w:lang w:val="en-US"/>
        </w:rPr>
        <w:t>konusunda</w:t>
      </w:r>
      <w:proofErr w:type="spellEnd"/>
      <w:r w:rsidRPr="003177A9">
        <w:rPr>
          <w:lang w:val="en-US"/>
        </w:rPr>
        <w:t xml:space="preserve"> </w:t>
      </w:r>
      <w:proofErr w:type="spellStart"/>
      <w:r w:rsidRPr="003177A9">
        <w:rPr>
          <w:lang w:val="en-US"/>
        </w:rPr>
        <w:t>hararetli</w:t>
      </w:r>
      <w:proofErr w:type="spellEnd"/>
      <w:r w:rsidRPr="003177A9">
        <w:rPr>
          <w:lang w:val="en-US"/>
        </w:rPr>
        <w:t xml:space="preserve"> </w:t>
      </w:r>
      <w:proofErr w:type="spellStart"/>
      <w:r w:rsidRPr="003177A9">
        <w:rPr>
          <w:lang w:val="en-US"/>
        </w:rPr>
        <w:t>bir</w:t>
      </w:r>
      <w:proofErr w:type="spellEnd"/>
      <w:r w:rsidRPr="003177A9">
        <w:rPr>
          <w:lang w:val="en-US"/>
        </w:rPr>
        <w:t xml:space="preserve"> </w:t>
      </w:r>
      <w:proofErr w:type="spellStart"/>
      <w:r w:rsidRPr="003177A9">
        <w:rPr>
          <w:lang w:val="en-US"/>
        </w:rPr>
        <w:t>tartışma</w:t>
      </w:r>
      <w:proofErr w:type="spellEnd"/>
      <w:r w:rsidRPr="003177A9">
        <w:rPr>
          <w:lang w:val="en-US"/>
        </w:rPr>
        <w:t xml:space="preserve"> </w:t>
      </w:r>
      <w:proofErr w:type="spellStart"/>
      <w:r w:rsidRPr="003177A9">
        <w:rPr>
          <w:lang w:val="en-US"/>
        </w:rPr>
        <w:t>yürüteceklerdir</w:t>
      </w:r>
      <w:proofErr w:type="spellEnd"/>
      <w:r w:rsidRPr="003177A9">
        <w:rPr>
          <w:lang w:val="en-US"/>
        </w:rPr>
        <w:t>.</w:t>
      </w:r>
    </w:p>
    <w:p w14:paraId="5D126547" w14:textId="0DE88624" w:rsidR="003177A9" w:rsidRPr="003177A9" w:rsidRDefault="003177A9" w:rsidP="003177A9">
      <w:pPr>
        <w:pStyle w:val="Dipnot"/>
        <w:rPr>
          <w:lang w:val="en-US"/>
        </w:rPr>
      </w:pPr>
    </w:p>
  </w:footnote>
  <w:footnote w:id="18">
    <w:p w14:paraId="4BE985AD" w14:textId="7FB0D950" w:rsidR="00E85807" w:rsidRPr="00E85807" w:rsidRDefault="00E85807" w:rsidP="009F15C9">
      <w:pPr>
        <w:pStyle w:val="Dipnot"/>
        <w:rPr>
          <w:lang w:val="en-US"/>
        </w:rPr>
      </w:pPr>
      <w:r w:rsidRPr="00E85807">
        <w:rPr>
          <w:rStyle w:val="FootnoteReference"/>
        </w:rPr>
        <w:footnoteRef/>
      </w:r>
      <w:r w:rsidRPr="00E85807">
        <w:t xml:space="preserve"> </w:t>
      </w:r>
      <w:r w:rsidRPr="00E85807">
        <w:tab/>
      </w:r>
      <w:r w:rsidRPr="00E85807">
        <w:rPr>
          <w:lang w:val="en-US"/>
        </w:rPr>
        <w:t xml:space="preserve">18 </w:t>
      </w:r>
      <w:proofErr w:type="spellStart"/>
      <w:r w:rsidRPr="00E85807">
        <w:rPr>
          <w:lang w:val="en-US"/>
        </w:rPr>
        <w:t>Bkz</w:t>
      </w:r>
      <w:proofErr w:type="spellEnd"/>
      <w:r w:rsidRPr="00E85807">
        <w:rPr>
          <w:lang w:val="en-US"/>
        </w:rPr>
        <w:t xml:space="preserve">., </w:t>
      </w:r>
      <w:proofErr w:type="spellStart"/>
      <w:r w:rsidRPr="00E85807">
        <w:rPr>
          <w:lang w:val="en-US"/>
        </w:rPr>
        <w:t>örneğin</w:t>
      </w:r>
      <w:proofErr w:type="spellEnd"/>
      <w:r w:rsidRPr="00E85807">
        <w:rPr>
          <w:lang w:val="en-US"/>
        </w:rPr>
        <w:t xml:space="preserve">, SAGER, supra </w:t>
      </w:r>
      <w:proofErr w:type="spellStart"/>
      <w:r w:rsidRPr="00E85807">
        <w:rPr>
          <w:lang w:val="en-US"/>
        </w:rPr>
        <w:t>dipnot</w:t>
      </w:r>
      <w:proofErr w:type="spellEnd"/>
      <w:r w:rsidRPr="00E85807">
        <w:rPr>
          <w:lang w:val="en-US"/>
        </w:rPr>
        <w:t xml:space="preserve"> 14, s. 5-10 (</w:t>
      </w:r>
      <w:proofErr w:type="spellStart"/>
      <w:r w:rsidRPr="00E85807">
        <w:rPr>
          <w:lang w:val="en-US"/>
        </w:rPr>
        <w:t>anayasal</w:t>
      </w:r>
      <w:proofErr w:type="spellEnd"/>
      <w:r w:rsidRPr="00E85807">
        <w:rPr>
          <w:lang w:val="en-US"/>
        </w:rPr>
        <w:t xml:space="preserve"> </w:t>
      </w:r>
      <w:proofErr w:type="spellStart"/>
      <w:r w:rsidRPr="00E85807">
        <w:rPr>
          <w:lang w:val="en-US"/>
        </w:rPr>
        <w:t>yetersiz</w:t>
      </w:r>
      <w:proofErr w:type="spellEnd"/>
      <w:r w:rsidRPr="00E85807">
        <w:rPr>
          <w:lang w:val="en-US"/>
        </w:rPr>
        <w:t xml:space="preserve"> </w:t>
      </w:r>
      <w:proofErr w:type="spellStart"/>
      <w:r w:rsidRPr="00E85807">
        <w:rPr>
          <w:lang w:val="en-US"/>
        </w:rPr>
        <w:t>uygulama</w:t>
      </w:r>
      <w:proofErr w:type="spellEnd"/>
      <w:r w:rsidRPr="00E85807">
        <w:rPr>
          <w:lang w:val="en-US"/>
        </w:rPr>
        <w:t xml:space="preserve"> (constitutional underenforcement) </w:t>
      </w:r>
      <w:proofErr w:type="spellStart"/>
      <w:r w:rsidRPr="00E85807">
        <w:rPr>
          <w:lang w:val="en-US"/>
        </w:rPr>
        <w:t>yargısal</w:t>
      </w:r>
      <w:proofErr w:type="spellEnd"/>
      <w:r w:rsidRPr="00E85807">
        <w:rPr>
          <w:lang w:val="en-US"/>
        </w:rPr>
        <w:t xml:space="preserve"> </w:t>
      </w:r>
      <w:proofErr w:type="spellStart"/>
      <w:r w:rsidRPr="00E85807">
        <w:rPr>
          <w:lang w:val="en-US"/>
        </w:rPr>
        <w:t>pratiğini</w:t>
      </w:r>
      <w:proofErr w:type="spellEnd"/>
      <w:r w:rsidRPr="00E85807">
        <w:rPr>
          <w:lang w:val="en-US"/>
        </w:rPr>
        <w:t xml:space="preserve"> </w:t>
      </w:r>
      <w:proofErr w:type="spellStart"/>
      <w:r w:rsidRPr="00E85807">
        <w:rPr>
          <w:lang w:val="en-US"/>
        </w:rPr>
        <w:t>içkin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yapımızın</w:t>
      </w:r>
      <w:proofErr w:type="spellEnd"/>
      <w:r w:rsidRPr="00E85807">
        <w:rPr>
          <w:lang w:val="en-US"/>
        </w:rPr>
        <w:t xml:space="preserve"> (constitutional structure) </w:t>
      </w:r>
      <w:proofErr w:type="spellStart"/>
      <w:r w:rsidRPr="00E85807">
        <w:rPr>
          <w:lang w:val="en-US"/>
        </w:rPr>
        <w:t>bir</w:t>
      </w:r>
      <w:proofErr w:type="spellEnd"/>
      <w:r w:rsidRPr="00E85807">
        <w:rPr>
          <w:lang w:val="en-US"/>
        </w:rPr>
        <w:t xml:space="preserve"> </w:t>
      </w:r>
      <w:proofErr w:type="spellStart"/>
      <w:r w:rsidRPr="00E85807">
        <w:rPr>
          <w:lang w:val="en-US"/>
        </w:rPr>
        <w:t>bileşeni</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kavramsallaştırmaktadır</w:t>
      </w:r>
      <w:proofErr w:type="spellEnd"/>
      <w:r w:rsidRPr="00E85807">
        <w:rPr>
          <w:lang w:val="en-US"/>
        </w:rPr>
        <w:t>).</w:t>
      </w:r>
    </w:p>
  </w:footnote>
  <w:footnote w:id="19">
    <w:p w14:paraId="256FB6EA" w14:textId="5EFBDF42" w:rsidR="00E85807" w:rsidRPr="00E85807" w:rsidRDefault="00E85807" w:rsidP="009F15C9">
      <w:pPr>
        <w:pStyle w:val="Dipnot"/>
        <w:rPr>
          <w:lang w:val="en-US"/>
        </w:rPr>
      </w:pPr>
      <w:r w:rsidRPr="00E85807">
        <w:rPr>
          <w:rStyle w:val="FootnoteReference"/>
        </w:rPr>
        <w:footnoteRef/>
      </w:r>
      <w:r w:rsidRPr="00E85807">
        <w:t xml:space="preserve"> </w:t>
      </w:r>
      <w:r w:rsidRPr="00E85807">
        <w:tab/>
      </w:r>
      <w:r w:rsidRPr="00E85807">
        <w:rPr>
          <w:lang w:val="en-US"/>
        </w:rPr>
        <w:t xml:space="preserve">19 </w:t>
      </w:r>
      <w:proofErr w:type="spellStart"/>
      <w:r w:rsidRPr="00E85807">
        <w:rPr>
          <w:lang w:val="en-US"/>
        </w:rPr>
        <w:t>Bkz</w:t>
      </w:r>
      <w:proofErr w:type="spellEnd"/>
      <w:r w:rsidRPr="00E85807">
        <w:rPr>
          <w:lang w:val="en-US"/>
        </w:rPr>
        <w:t xml:space="preserve">., </w:t>
      </w:r>
      <w:proofErr w:type="spellStart"/>
      <w:r w:rsidRPr="00E85807">
        <w:rPr>
          <w:lang w:val="en-US"/>
        </w:rPr>
        <w:t>örneğin</w:t>
      </w:r>
      <w:proofErr w:type="spellEnd"/>
      <w:r w:rsidRPr="00E85807">
        <w:rPr>
          <w:lang w:val="en-US"/>
        </w:rPr>
        <w:t>, CASS R. SUNSTEIN, DESIGNING DEMOCRACY: WHAT CONSTITUTIONS DO 239-43 (2001) (“</w:t>
      </w:r>
      <w:proofErr w:type="spellStart"/>
      <w:r w:rsidRPr="00E85807">
        <w:rPr>
          <w:lang w:val="en-US"/>
        </w:rPr>
        <w:t>demokrasinin</w:t>
      </w:r>
      <w:proofErr w:type="spellEnd"/>
      <w:r w:rsidRPr="00E85807">
        <w:rPr>
          <w:lang w:val="en-US"/>
        </w:rPr>
        <w:t xml:space="preserve"> </w:t>
      </w:r>
      <w:proofErr w:type="spellStart"/>
      <w:r w:rsidRPr="00E85807">
        <w:rPr>
          <w:lang w:val="en-US"/>
        </w:rPr>
        <w:t>anayasası”nın</w:t>
      </w:r>
      <w:proofErr w:type="spellEnd"/>
      <w:r w:rsidRPr="00E85807">
        <w:rPr>
          <w:lang w:val="en-US"/>
        </w:rPr>
        <w:t xml:space="preserve"> (democracy’s constitution) </w:t>
      </w:r>
      <w:proofErr w:type="spellStart"/>
      <w:r w:rsidRPr="00E85807">
        <w:rPr>
          <w:lang w:val="en-US"/>
        </w:rPr>
        <w:t>rolünü</w:t>
      </w:r>
      <w:proofErr w:type="spellEnd"/>
      <w:r w:rsidRPr="00E85807">
        <w:rPr>
          <w:lang w:val="en-US"/>
        </w:rPr>
        <w:t xml:space="preserve">, </w:t>
      </w:r>
      <w:proofErr w:type="spellStart"/>
      <w:r w:rsidRPr="00E85807">
        <w:rPr>
          <w:lang w:val="en-US"/>
        </w:rPr>
        <w:t>farklı</w:t>
      </w:r>
      <w:proofErr w:type="spellEnd"/>
      <w:r w:rsidRPr="00E85807">
        <w:rPr>
          <w:lang w:val="en-US"/>
        </w:rPr>
        <w:t xml:space="preserve"> </w:t>
      </w:r>
      <w:proofErr w:type="spellStart"/>
      <w:r w:rsidRPr="00E85807">
        <w:rPr>
          <w:lang w:val="en-US"/>
        </w:rPr>
        <w:t>aktörler</w:t>
      </w:r>
      <w:proofErr w:type="spellEnd"/>
      <w:r w:rsidRPr="00E85807">
        <w:rPr>
          <w:lang w:val="en-US"/>
        </w:rPr>
        <w:t xml:space="preserve"> </w:t>
      </w:r>
      <w:proofErr w:type="spellStart"/>
      <w:r w:rsidRPr="00E85807">
        <w:rPr>
          <w:lang w:val="en-US"/>
        </w:rPr>
        <w:t>arasında</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diyalogu</w:t>
      </w:r>
      <w:proofErr w:type="spellEnd"/>
      <w:r w:rsidRPr="00E85807">
        <w:rPr>
          <w:lang w:val="en-US"/>
        </w:rPr>
        <w:t xml:space="preserve"> </w:t>
      </w:r>
      <w:proofErr w:type="spellStart"/>
      <w:r w:rsidRPr="00E85807">
        <w:rPr>
          <w:lang w:val="en-US"/>
        </w:rPr>
        <w:t>kolaylaştırmak</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gerektiğinde</w:t>
      </w:r>
      <w:proofErr w:type="spellEnd"/>
      <w:r w:rsidRPr="00E85807">
        <w:rPr>
          <w:lang w:val="en-US"/>
        </w:rPr>
        <w:t xml:space="preserve"> </w:t>
      </w:r>
      <w:proofErr w:type="spellStart"/>
      <w:r w:rsidRPr="00E85807">
        <w:rPr>
          <w:lang w:val="en-US"/>
        </w:rPr>
        <w:t>kurumların</w:t>
      </w:r>
      <w:proofErr w:type="spellEnd"/>
      <w:r w:rsidRPr="00E85807">
        <w:rPr>
          <w:lang w:val="en-US"/>
        </w:rPr>
        <w:t xml:space="preserve"> </w:t>
      </w:r>
      <w:proofErr w:type="spellStart"/>
      <w:r w:rsidRPr="00E85807">
        <w:rPr>
          <w:lang w:val="en-US"/>
        </w:rPr>
        <w:t>uzlaşma</w:t>
      </w:r>
      <w:proofErr w:type="spellEnd"/>
      <w:r w:rsidRPr="00E85807">
        <w:rPr>
          <w:lang w:val="en-US"/>
        </w:rPr>
        <w:t xml:space="preserve"> </w:t>
      </w:r>
      <w:proofErr w:type="spellStart"/>
      <w:r w:rsidRPr="00E85807">
        <w:rPr>
          <w:lang w:val="en-US"/>
        </w:rPr>
        <w:t>sağlamasına</w:t>
      </w:r>
      <w:proofErr w:type="spellEnd"/>
      <w:r w:rsidRPr="00E85807">
        <w:rPr>
          <w:lang w:val="en-US"/>
        </w:rPr>
        <w:t xml:space="preserve"> </w:t>
      </w:r>
      <w:proofErr w:type="spellStart"/>
      <w:r w:rsidRPr="00E85807">
        <w:rPr>
          <w:lang w:val="en-US"/>
        </w:rPr>
        <w:t>imkân</w:t>
      </w:r>
      <w:proofErr w:type="spellEnd"/>
      <w:r w:rsidRPr="00E85807">
        <w:rPr>
          <w:lang w:val="en-US"/>
        </w:rPr>
        <w:t xml:space="preserve"> </w:t>
      </w:r>
      <w:proofErr w:type="spellStart"/>
      <w:r w:rsidRPr="00E85807">
        <w:rPr>
          <w:lang w:val="en-US"/>
        </w:rPr>
        <w:t>tanımak</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nitelendirmektedir</w:t>
      </w:r>
      <w:proofErr w:type="spellEnd"/>
      <w:r w:rsidRPr="00E85807">
        <w:rPr>
          <w:lang w:val="en-US"/>
        </w:rPr>
        <w:t>).</w:t>
      </w:r>
    </w:p>
  </w:footnote>
  <w:footnote w:id="20">
    <w:p w14:paraId="20A174F8" w14:textId="32E6E56A" w:rsidR="00E85807" w:rsidRPr="00E85807" w:rsidRDefault="00E85807" w:rsidP="009F15C9">
      <w:pPr>
        <w:pStyle w:val="Dipnot"/>
        <w:rPr>
          <w:lang w:val="en-US"/>
        </w:rPr>
      </w:pPr>
      <w:r w:rsidRPr="00E85807">
        <w:rPr>
          <w:rStyle w:val="FootnoteReference"/>
        </w:rPr>
        <w:footnoteRef/>
      </w:r>
      <w:r w:rsidRPr="00E85807">
        <w:t xml:space="preserve"> </w:t>
      </w:r>
      <w:r w:rsidRPr="00E85807">
        <w:tab/>
      </w:r>
      <w:r w:rsidRPr="00E85807">
        <w:rPr>
          <w:lang w:val="en-US"/>
        </w:rPr>
        <w:t xml:space="preserve">20 </w:t>
      </w:r>
      <w:proofErr w:type="spellStart"/>
      <w:r w:rsidRPr="00E85807">
        <w:rPr>
          <w:lang w:val="en-US"/>
        </w:rPr>
        <w:t>Bkz</w:t>
      </w:r>
      <w:proofErr w:type="spellEnd"/>
      <w:r w:rsidRPr="00E85807">
        <w:rPr>
          <w:lang w:val="en-US"/>
        </w:rPr>
        <w:t xml:space="preserve">., </w:t>
      </w:r>
      <w:proofErr w:type="spellStart"/>
      <w:r w:rsidRPr="00E85807">
        <w:rPr>
          <w:lang w:val="en-US"/>
        </w:rPr>
        <w:t>örneğin</w:t>
      </w:r>
      <w:proofErr w:type="spellEnd"/>
      <w:r w:rsidRPr="00E85807">
        <w:rPr>
          <w:lang w:val="en-US"/>
        </w:rPr>
        <w:t xml:space="preserve">, RONALD DWORKIN, LAW’S EMPIRE 355-57, 365-67 (1986) (Amerika </w:t>
      </w:r>
      <w:proofErr w:type="spellStart"/>
      <w:r w:rsidRPr="00E85807">
        <w:rPr>
          <w:lang w:val="en-US"/>
        </w:rPr>
        <w:t>Birleşik</w:t>
      </w:r>
      <w:proofErr w:type="spellEnd"/>
      <w:r w:rsidRPr="00E85807">
        <w:rPr>
          <w:lang w:val="en-US"/>
        </w:rPr>
        <w:t xml:space="preserve"> </w:t>
      </w:r>
      <w:proofErr w:type="spellStart"/>
      <w:r w:rsidRPr="00E85807">
        <w:rPr>
          <w:lang w:val="en-US"/>
        </w:rPr>
        <w:t>Devletleri’nin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pratiğinin</w:t>
      </w:r>
      <w:proofErr w:type="spellEnd"/>
      <w:r w:rsidRPr="00E85807">
        <w:rPr>
          <w:lang w:val="en-US"/>
        </w:rPr>
        <w:t xml:space="preserve"> </w:t>
      </w:r>
      <w:proofErr w:type="spellStart"/>
      <w:r w:rsidRPr="00E85807">
        <w:rPr>
          <w:lang w:val="en-US"/>
        </w:rPr>
        <w:t>istikrarı</w:t>
      </w:r>
      <w:proofErr w:type="spellEnd"/>
      <w:r w:rsidRPr="00E85807">
        <w:rPr>
          <w:lang w:val="en-US"/>
        </w:rPr>
        <w:t xml:space="preserve"> </w:t>
      </w:r>
      <w:proofErr w:type="spellStart"/>
      <w:r w:rsidRPr="00E85807">
        <w:rPr>
          <w:lang w:val="en-US"/>
        </w:rPr>
        <w:t>nasıl</w:t>
      </w:r>
      <w:proofErr w:type="spellEnd"/>
      <w:r w:rsidRPr="00E85807">
        <w:rPr>
          <w:lang w:val="en-US"/>
        </w:rPr>
        <w:t xml:space="preserve"> </w:t>
      </w:r>
      <w:proofErr w:type="spellStart"/>
      <w:r w:rsidRPr="00E85807">
        <w:rPr>
          <w:lang w:val="en-US"/>
        </w:rPr>
        <w:t>teşvik</w:t>
      </w:r>
      <w:proofErr w:type="spellEnd"/>
      <w:r w:rsidRPr="00E85807">
        <w:rPr>
          <w:lang w:val="en-US"/>
        </w:rPr>
        <w:t xml:space="preserve"> </w:t>
      </w:r>
      <w:proofErr w:type="spellStart"/>
      <w:r w:rsidRPr="00E85807">
        <w:rPr>
          <w:lang w:val="en-US"/>
        </w:rPr>
        <w:t>ettiğini</w:t>
      </w:r>
      <w:proofErr w:type="spellEnd"/>
      <w:r w:rsidRPr="00E85807">
        <w:rPr>
          <w:lang w:val="en-US"/>
        </w:rPr>
        <w:t xml:space="preserve"> </w:t>
      </w:r>
      <w:proofErr w:type="spellStart"/>
      <w:r w:rsidRPr="00E85807">
        <w:rPr>
          <w:lang w:val="en-US"/>
        </w:rPr>
        <w:t>tartışmaktadır</w:t>
      </w:r>
      <w:proofErr w:type="spellEnd"/>
      <w:r w:rsidRPr="00E85807">
        <w:rPr>
          <w:lang w:val="en-US"/>
        </w:rPr>
        <w:t xml:space="preserve">); </w:t>
      </w:r>
      <w:proofErr w:type="spellStart"/>
      <w:r w:rsidRPr="00E85807">
        <w:rPr>
          <w:lang w:val="en-US"/>
        </w:rPr>
        <w:t>ayrıca</w:t>
      </w:r>
      <w:proofErr w:type="spellEnd"/>
      <w:r w:rsidRPr="00E85807">
        <w:rPr>
          <w:lang w:val="en-US"/>
        </w:rPr>
        <w:t xml:space="preserve"> </w:t>
      </w:r>
      <w:proofErr w:type="spellStart"/>
      <w:r w:rsidRPr="00E85807">
        <w:rPr>
          <w:lang w:val="en-US"/>
        </w:rPr>
        <w:t>bkz</w:t>
      </w:r>
      <w:proofErr w:type="spellEnd"/>
      <w:r w:rsidRPr="00E85807">
        <w:rPr>
          <w:lang w:val="en-US"/>
        </w:rPr>
        <w:t xml:space="preserve">. id. s. 356 (“Amerika </w:t>
      </w:r>
      <w:proofErr w:type="spellStart"/>
      <w:r w:rsidRPr="00E85807">
        <w:rPr>
          <w:lang w:val="en-US"/>
        </w:rPr>
        <w:t>Birleşik</w:t>
      </w:r>
      <w:proofErr w:type="spellEnd"/>
      <w:r w:rsidRPr="00E85807">
        <w:rPr>
          <w:lang w:val="en-US"/>
        </w:rPr>
        <w:t xml:space="preserve"> </w:t>
      </w:r>
      <w:proofErr w:type="spellStart"/>
      <w:r w:rsidRPr="00E85807">
        <w:rPr>
          <w:lang w:val="en-US"/>
        </w:rPr>
        <w:t>Devletleri</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haklarının</w:t>
      </w:r>
      <w:proofErr w:type="spellEnd"/>
      <w:r w:rsidRPr="00E85807">
        <w:rPr>
          <w:lang w:val="en-US"/>
        </w:rPr>
        <w:t xml:space="preserve"> (constitutional rights) </w:t>
      </w:r>
      <w:proofErr w:type="spellStart"/>
      <w:r w:rsidRPr="00E85807">
        <w:rPr>
          <w:lang w:val="en-US"/>
        </w:rPr>
        <w:t>çoğunlukçu</w:t>
      </w:r>
      <w:proofErr w:type="spellEnd"/>
      <w:r w:rsidRPr="00E85807">
        <w:rPr>
          <w:lang w:val="en-US"/>
        </w:rPr>
        <w:t xml:space="preserve"> </w:t>
      </w:r>
      <w:proofErr w:type="spellStart"/>
      <w:r w:rsidRPr="00E85807">
        <w:rPr>
          <w:lang w:val="en-US"/>
        </w:rPr>
        <w:t>kurumların</w:t>
      </w:r>
      <w:proofErr w:type="spellEnd"/>
      <w:r w:rsidRPr="00E85807">
        <w:rPr>
          <w:lang w:val="en-US"/>
        </w:rPr>
        <w:t xml:space="preserve"> (majoritarian institutions) </w:t>
      </w:r>
      <w:proofErr w:type="spellStart"/>
      <w:r w:rsidRPr="00E85807">
        <w:rPr>
          <w:lang w:val="en-US"/>
        </w:rPr>
        <w:t>vicdanına</w:t>
      </w:r>
      <w:proofErr w:type="spellEnd"/>
      <w:r w:rsidRPr="00E85807">
        <w:rPr>
          <w:lang w:val="en-US"/>
        </w:rPr>
        <w:t xml:space="preserve"> </w:t>
      </w:r>
      <w:proofErr w:type="spellStart"/>
      <w:r w:rsidRPr="00E85807">
        <w:rPr>
          <w:lang w:val="en-US"/>
        </w:rPr>
        <w:t>bırakıldığı</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toplum</w:t>
      </w:r>
      <w:proofErr w:type="spellEnd"/>
      <w:r w:rsidRPr="00E85807">
        <w:rPr>
          <w:lang w:val="en-US"/>
        </w:rPr>
        <w:t xml:space="preserve"> </w:t>
      </w:r>
      <w:proofErr w:type="spellStart"/>
      <w:r w:rsidRPr="00E85807">
        <w:rPr>
          <w:lang w:val="en-US"/>
        </w:rPr>
        <w:t>olsaydı</w:t>
      </w:r>
      <w:proofErr w:type="spellEnd"/>
      <w:r w:rsidRPr="00E85807">
        <w:rPr>
          <w:lang w:val="en-US"/>
        </w:rPr>
        <w:t xml:space="preserve">, </w:t>
      </w:r>
      <w:proofErr w:type="spellStart"/>
      <w:r w:rsidRPr="00E85807">
        <w:rPr>
          <w:lang w:val="en-US"/>
        </w:rPr>
        <w:t>bugün</w:t>
      </w:r>
      <w:proofErr w:type="spellEnd"/>
      <w:r w:rsidRPr="00E85807">
        <w:rPr>
          <w:lang w:val="en-US"/>
        </w:rPr>
        <w:t xml:space="preserve"> </w:t>
      </w:r>
      <w:proofErr w:type="spellStart"/>
      <w:r w:rsidRPr="00E85807">
        <w:rPr>
          <w:lang w:val="en-US"/>
        </w:rPr>
        <w:t>olduğundan</w:t>
      </w:r>
      <w:proofErr w:type="spellEnd"/>
      <w:r w:rsidRPr="00E85807">
        <w:rPr>
          <w:lang w:val="en-US"/>
        </w:rPr>
        <w:t xml:space="preserve"> </w:t>
      </w:r>
      <w:proofErr w:type="spellStart"/>
      <w:r w:rsidRPr="00E85807">
        <w:rPr>
          <w:lang w:val="en-US"/>
        </w:rPr>
        <w:t>daha</w:t>
      </w:r>
      <w:proofErr w:type="spellEnd"/>
      <w:r w:rsidRPr="00E85807">
        <w:rPr>
          <w:lang w:val="en-US"/>
        </w:rPr>
        <w:t xml:space="preserve"> </w:t>
      </w:r>
      <w:proofErr w:type="spellStart"/>
      <w:r w:rsidRPr="00E85807">
        <w:rPr>
          <w:lang w:val="en-US"/>
        </w:rPr>
        <w:t>adaletsiz</w:t>
      </w:r>
      <w:proofErr w:type="spellEnd"/>
      <w:r w:rsidRPr="00E85807">
        <w:rPr>
          <w:lang w:val="en-US"/>
        </w:rPr>
        <w:t xml:space="preserve"> </w:t>
      </w:r>
      <w:proofErr w:type="spellStart"/>
      <w:r w:rsidRPr="00E85807">
        <w:rPr>
          <w:lang w:val="en-US"/>
        </w:rPr>
        <w:t>bir</w:t>
      </w:r>
      <w:proofErr w:type="spellEnd"/>
      <w:r w:rsidRPr="00E85807">
        <w:rPr>
          <w:lang w:val="en-US"/>
        </w:rPr>
        <w:t xml:space="preserve"> </w:t>
      </w:r>
      <w:proofErr w:type="spellStart"/>
      <w:r w:rsidRPr="00E85807">
        <w:rPr>
          <w:lang w:val="en-US"/>
        </w:rPr>
        <w:t>toplum</w:t>
      </w:r>
      <w:proofErr w:type="spellEnd"/>
      <w:r w:rsidRPr="00E85807">
        <w:rPr>
          <w:lang w:val="en-US"/>
        </w:rPr>
        <w:t xml:space="preserve"> </w:t>
      </w:r>
      <w:proofErr w:type="spellStart"/>
      <w:r w:rsidRPr="00E85807">
        <w:rPr>
          <w:lang w:val="en-US"/>
        </w:rPr>
        <w:t>olurdu</w:t>
      </w:r>
      <w:proofErr w:type="spellEnd"/>
      <w:r w:rsidRPr="00E85807">
        <w:rPr>
          <w:lang w:val="en-US"/>
        </w:rPr>
        <w:t>.”).</w:t>
      </w:r>
    </w:p>
  </w:footnote>
  <w:footnote w:id="21">
    <w:p w14:paraId="68834734" w14:textId="0AECA0F1" w:rsidR="00E85807" w:rsidRPr="00E85807" w:rsidRDefault="00E85807" w:rsidP="009F15C9">
      <w:pPr>
        <w:pStyle w:val="Dipnot"/>
        <w:rPr>
          <w:lang w:val="en-US"/>
        </w:rPr>
      </w:pPr>
      <w:r w:rsidRPr="00E85807">
        <w:rPr>
          <w:rStyle w:val="FootnoteReference"/>
        </w:rPr>
        <w:footnoteRef/>
      </w:r>
      <w:r w:rsidRPr="00E85807">
        <w:t xml:space="preserve"> </w:t>
      </w:r>
      <w:r w:rsidRPr="00E85807">
        <w:tab/>
      </w:r>
      <w:r w:rsidRPr="00E85807">
        <w:rPr>
          <w:lang w:val="en-US"/>
        </w:rPr>
        <w:t xml:space="preserve">21 </w:t>
      </w:r>
      <w:proofErr w:type="spellStart"/>
      <w:r w:rsidRPr="00E85807">
        <w:rPr>
          <w:lang w:val="en-US"/>
        </w:rPr>
        <w:t>Bkz</w:t>
      </w:r>
      <w:proofErr w:type="spellEnd"/>
      <w:r w:rsidRPr="00E85807">
        <w:rPr>
          <w:lang w:val="en-US"/>
        </w:rPr>
        <w:t xml:space="preserve">., </w:t>
      </w:r>
      <w:proofErr w:type="spellStart"/>
      <w:r w:rsidRPr="00E85807">
        <w:rPr>
          <w:lang w:val="en-US"/>
        </w:rPr>
        <w:t>örneğin</w:t>
      </w:r>
      <w:proofErr w:type="spellEnd"/>
      <w:r w:rsidRPr="00E85807">
        <w:rPr>
          <w:lang w:val="en-US"/>
        </w:rPr>
        <w:t>, CHRISTOPHER L. EISGRUBER, CONSTITUTIONAL SELF-GOVERNMENT 2-3, 10-11 (2001) (</w:t>
      </w:r>
      <w:proofErr w:type="spellStart"/>
      <w:r w:rsidRPr="00E85807">
        <w:rPr>
          <w:lang w:val="en-US"/>
        </w:rPr>
        <w:t>Anayasa’nın</w:t>
      </w:r>
      <w:proofErr w:type="spellEnd"/>
      <w:r w:rsidRPr="00E85807">
        <w:rPr>
          <w:lang w:val="en-US"/>
        </w:rPr>
        <w:t xml:space="preserve"> (Constitution) </w:t>
      </w:r>
      <w:proofErr w:type="spellStart"/>
      <w:r w:rsidRPr="00E85807">
        <w:rPr>
          <w:lang w:val="en-US"/>
        </w:rPr>
        <w:t>soyut</w:t>
      </w:r>
      <w:proofErr w:type="spellEnd"/>
      <w:r w:rsidRPr="00E85807">
        <w:rPr>
          <w:lang w:val="en-US"/>
        </w:rPr>
        <w:t xml:space="preserve"> </w:t>
      </w:r>
      <w:proofErr w:type="spellStart"/>
      <w:r w:rsidRPr="00E85807">
        <w:rPr>
          <w:lang w:val="en-US"/>
        </w:rPr>
        <w:t>hükümlerinin</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yargısal</w:t>
      </w:r>
      <w:proofErr w:type="spellEnd"/>
      <w:r w:rsidRPr="00E85807">
        <w:rPr>
          <w:lang w:val="en-US"/>
        </w:rPr>
        <w:t xml:space="preserve"> </w:t>
      </w:r>
      <w:proofErr w:type="spellStart"/>
      <w:r w:rsidRPr="00E85807">
        <w:rPr>
          <w:lang w:val="en-US"/>
        </w:rPr>
        <w:t>denetimin</w:t>
      </w:r>
      <w:proofErr w:type="spellEnd"/>
      <w:r w:rsidRPr="00E85807">
        <w:rPr>
          <w:lang w:val="en-US"/>
        </w:rPr>
        <w:t xml:space="preserve"> (judicial review) </w:t>
      </w:r>
      <w:proofErr w:type="spellStart"/>
      <w:r w:rsidRPr="00E85807">
        <w:rPr>
          <w:lang w:val="en-US"/>
        </w:rPr>
        <w:t>halkın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diyalogunu</w:t>
      </w:r>
      <w:proofErr w:type="spellEnd"/>
      <w:r w:rsidRPr="00E85807">
        <w:rPr>
          <w:lang w:val="en-US"/>
        </w:rPr>
        <w:t xml:space="preserve"> </w:t>
      </w:r>
      <w:proofErr w:type="spellStart"/>
      <w:r w:rsidRPr="00E85807">
        <w:rPr>
          <w:lang w:val="en-US"/>
        </w:rPr>
        <w:t>teşvik</w:t>
      </w:r>
      <w:proofErr w:type="spellEnd"/>
      <w:r w:rsidRPr="00E85807">
        <w:rPr>
          <w:lang w:val="en-US"/>
        </w:rPr>
        <w:t xml:space="preserve"> </w:t>
      </w:r>
      <w:proofErr w:type="spellStart"/>
      <w:r w:rsidRPr="00E85807">
        <w:rPr>
          <w:lang w:val="en-US"/>
        </w:rPr>
        <w:t>edecek</w:t>
      </w:r>
      <w:proofErr w:type="spellEnd"/>
      <w:r w:rsidRPr="00E85807">
        <w:rPr>
          <w:lang w:val="en-US"/>
        </w:rPr>
        <w:t xml:space="preserve"> </w:t>
      </w:r>
      <w:proofErr w:type="spellStart"/>
      <w:r w:rsidRPr="00E85807">
        <w:rPr>
          <w:lang w:val="en-US"/>
        </w:rPr>
        <w:t>şekilde</w:t>
      </w:r>
      <w:proofErr w:type="spellEnd"/>
      <w:r w:rsidRPr="00E85807">
        <w:rPr>
          <w:lang w:val="en-US"/>
        </w:rPr>
        <w:t xml:space="preserve"> </w:t>
      </w:r>
      <w:proofErr w:type="spellStart"/>
      <w:r w:rsidRPr="00E85807">
        <w:rPr>
          <w:lang w:val="en-US"/>
        </w:rPr>
        <w:t>yorumlanması</w:t>
      </w:r>
      <w:proofErr w:type="spellEnd"/>
      <w:r w:rsidRPr="00E85807">
        <w:rPr>
          <w:lang w:val="en-US"/>
        </w:rPr>
        <w:t xml:space="preserve"> </w:t>
      </w:r>
      <w:proofErr w:type="spellStart"/>
      <w:r w:rsidRPr="00E85807">
        <w:rPr>
          <w:lang w:val="en-US"/>
        </w:rPr>
        <w:t>gerektiğini</w:t>
      </w:r>
      <w:proofErr w:type="spellEnd"/>
      <w:r w:rsidRPr="00E85807">
        <w:rPr>
          <w:lang w:val="en-US"/>
        </w:rPr>
        <w:t xml:space="preserve"> </w:t>
      </w:r>
      <w:proofErr w:type="spellStart"/>
      <w:r w:rsidRPr="00E85807">
        <w:rPr>
          <w:lang w:val="en-US"/>
        </w:rPr>
        <w:t>savunmaktadır</w:t>
      </w:r>
      <w:proofErr w:type="spellEnd"/>
      <w:r w:rsidRPr="00E85807">
        <w:rPr>
          <w:lang w:val="en-US"/>
        </w:rPr>
        <w:t>).</w:t>
      </w:r>
    </w:p>
  </w:footnote>
  <w:footnote w:id="22">
    <w:p w14:paraId="542FB535" w14:textId="0679D4FD" w:rsidR="00E85807" w:rsidRPr="00E85807" w:rsidRDefault="00E85807" w:rsidP="009F15C9">
      <w:pPr>
        <w:pStyle w:val="Dipnot"/>
        <w:rPr>
          <w:lang w:val="en-US"/>
        </w:rPr>
      </w:pPr>
      <w:r>
        <w:rPr>
          <w:rStyle w:val="FootnoteReference"/>
        </w:rPr>
        <w:footnoteRef/>
      </w:r>
      <w:r>
        <w:t xml:space="preserve"> </w:t>
      </w:r>
      <w:r>
        <w:tab/>
      </w:r>
      <w:r w:rsidRPr="00E85807">
        <w:rPr>
          <w:lang w:val="en-US"/>
        </w:rPr>
        <w:t xml:space="preserve">22 </w:t>
      </w:r>
      <w:proofErr w:type="spellStart"/>
      <w:r w:rsidRPr="00E85807">
        <w:rPr>
          <w:lang w:val="en-US"/>
        </w:rPr>
        <w:t>Bkz</w:t>
      </w:r>
      <w:proofErr w:type="spellEnd"/>
      <w:r w:rsidRPr="00E85807">
        <w:rPr>
          <w:lang w:val="en-US"/>
        </w:rPr>
        <w:t xml:space="preserve">., </w:t>
      </w:r>
      <w:proofErr w:type="spellStart"/>
      <w:r w:rsidRPr="00E85807">
        <w:rPr>
          <w:lang w:val="en-US"/>
        </w:rPr>
        <w:t>örneğin</w:t>
      </w:r>
      <w:proofErr w:type="spellEnd"/>
      <w:r w:rsidRPr="00E85807">
        <w:rPr>
          <w:lang w:val="en-US"/>
        </w:rPr>
        <w:t>, JAMES E. FLEMING, SECURING CONSTITUTIONAL DEMOCRACY: THE CASE OF AUTONOMY 3-5 (2006) (</w:t>
      </w:r>
      <w:proofErr w:type="spellStart"/>
      <w:r w:rsidRPr="00E85807">
        <w:rPr>
          <w:lang w:val="en-US"/>
        </w:rPr>
        <w:t>anayasal</w:t>
      </w:r>
      <w:proofErr w:type="spellEnd"/>
      <w:r w:rsidRPr="00E85807">
        <w:rPr>
          <w:lang w:val="en-US"/>
        </w:rPr>
        <w:t xml:space="preserve"> </w:t>
      </w:r>
      <w:proofErr w:type="spellStart"/>
      <w:r w:rsidRPr="00E85807">
        <w:rPr>
          <w:lang w:val="en-US"/>
        </w:rPr>
        <w:t>düzenimizin</w:t>
      </w:r>
      <w:proofErr w:type="spellEnd"/>
      <w:r w:rsidRPr="00E85807">
        <w:rPr>
          <w:lang w:val="en-US"/>
        </w:rPr>
        <w:t xml:space="preserve"> (constitutional scheme) “</w:t>
      </w:r>
      <w:proofErr w:type="spellStart"/>
      <w:r w:rsidRPr="00E85807">
        <w:rPr>
          <w:lang w:val="en-US"/>
        </w:rPr>
        <w:t>temel</w:t>
      </w:r>
      <w:proofErr w:type="spellEnd"/>
      <w:r w:rsidRPr="00E85807">
        <w:rPr>
          <w:lang w:val="en-US"/>
        </w:rPr>
        <w:t xml:space="preserve"> </w:t>
      </w:r>
      <w:proofErr w:type="spellStart"/>
      <w:r w:rsidRPr="00E85807">
        <w:rPr>
          <w:lang w:val="en-US"/>
        </w:rPr>
        <w:t>yapılarını</w:t>
      </w:r>
      <w:proofErr w:type="spellEnd"/>
      <w:r w:rsidRPr="00E85807">
        <w:rPr>
          <w:lang w:val="en-US"/>
        </w:rPr>
        <w:t>” (bedrock structures) “</w:t>
      </w:r>
      <w:proofErr w:type="spellStart"/>
      <w:r w:rsidRPr="00E85807">
        <w:rPr>
          <w:lang w:val="en-US"/>
        </w:rPr>
        <w:t>müzakereci</w:t>
      </w:r>
      <w:proofErr w:type="spellEnd"/>
      <w:r w:rsidRPr="00E85807">
        <w:rPr>
          <w:lang w:val="en-US"/>
        </w:rPr>
        <w:t xml:space="preserve"> </w:t>
      </w:r>
      <w:proofErr w:type="spellStart"/>
      <w:r w:rsidRPr="00E85807">
        <w:rPr>
          <w:lang w:val="en-US"/>
        </w:rPr>
        <w:t>siyasi</w:t>
      </w:r>
      <w:proofErr w:type="spellEnd"/>
      <w:r w:rsidRPr="00E85807">
        <w:rPr>
          <w:lang w:val="en-US"/>
        </w:rPr>
        <w:t xml:space="preserve"> </w:t>
      </w:r>
      <w:proofErr w:type="spellStart"/>
      <w:r w:rsidRPr="00E85807">
        <w:rPr>
          <w:lang w:val="en-US"/>
        </w:rPr>
        <w:t>ve</w:t>
      </w:r>
      <w:proofErr w:type="spellEnd"/>
      <w:r w:rsidRPr="00E85807">
        <w:rPr>
          <w:lang w:val="en-US"/>
        </w:rPr>
        <w:t xml:space="preserve"> </w:t>
      </w:r>
      <w:proofErr w:type="spellStart"/>
      <w:r w:rsidRPr="00E85807">
        <w:rPr>
          <w:lang w:val="en-US"/>
        </w:rPr>
        <w:t>kişisel</w:t>
      </w:r>
      <w:proofErr w:type="spellEnd"/>
      <w:r w:rsidRPr="00E85807">
        <w:rPr>
          <w:lang w:val="en-US"/>
        </w:rPr>
        <w:t xml:space="preserve"> </w:t>
      </w:r>
      <w:proofErr w:type="spellStart"/>
      <w:r w:rsidRPr="00E85807">
        <w:rPr>
          <w:lang w:val="en-US"/>
        </w:rPr>
        <w:t>özyönetim</w:t>
      </w:r>
      <w:proofErr w:type="spellEnd"/>
      <w:r w:rsidRPr="00E85807">
        <w:rPr>
          <w:lang w:val="en-US"/>
        </w:rPr>
        <w:t xml:space="preserve">” </w:t>
      </w:r>
      <w:proofErr w:type="spellStart"/>
      <w:r w:rsidRPr="00E85807">
        <w:rPr>
          <w:lang w:val="en-US"/>
        </w:rPr>
        <w:t>olarak</w:t>
      </w:r>
      <w:proofErr w:type="spellEnd"/>
      <w:r w:rsidRPr="00E85807">
        <w:rPr>
          <w:lang w:val="en-US"/>
        </w:rPr>
        <w:t xml:space="preserve"> </w:t>
      </w:r>
      <w:proofErr w:type="spellStart"/>
      <w:r w:rsidRPr="00E85807">
        <w:rPr>
          <w:lang w:val="en-US"/>
        </w:rPr>
        <w:t>tanımlamaktadır</w:t>
      </w:r>
      <w:proofErr w:type="spellEnd"/>
      <w:r w:rsidRPr="00E85807">
        <w:rPr>
          <w:lang w:val="en-US"/>
        </w:rPr>
        <w:t>).</w:t>
      </w:r>
    </w:p>
  </w:footnote>
  <w:footnote w:id="23">
    <w:p w14:paraId="2DCB1D52" w14:textId="3E8DD94F" w:rsidR="00E85807" w:rsidRPr="00E85807" w:rsidRDefault="00E85807" w:rsidP="009F15C9">
      <w:pPr>
        <w:pStyle w:val="Dipnot"/>
        <w:rPr>
          <w:lang w:val="en-US"/>
        </w:rPr>
      </w:pPr>
      <w:r>
        <w:rPr>
          <w:rStyle w:val="FootnoteReference"/>
        </w:rPr>
        <w:footnoteRef/>
      </w:r>
      <w:r>
        <w:t xml:space="preserve"> </w:t>
      </w:r>
      <w:r>
        <w:tab/>
      </w:r>
      <w:r w:rsidRPr="00E85807">
        <w:rPr>
          <w:lang w:val="en-US"/>
        </w:rPr>
        <w:t xml:space="preserve">23 </w:t>
      </w:r>
      <w:proofErr w:type="spellStart"/>
      <w:r w:rsidRPr="00E85807">
        <w:rPr>
          <w:lang w:val="en-US"/>
        </w:rPr>
        <w:t>Bkz</w:t>
      </w:r>
      <w:proofErr w:type="spellEnd"/>
      <w:r w:rsidRPr="00E85807">
        <w:rPr>
          <w:lang w:val="en-US"/>
        </w:rPr>
        <w:t xml:space="preserve">., </w:t>
      </w:r>
      <w:proofErr w:type="spellStart"/>
      <w:r w:rsidRPr="00E85807">
        <w:rPr>
          <w:lang w:val="en-US"/>
        </w:rPr>
        <w:t>örneğin</w:t>
      </w:r>
      <w:proofErr w:type="spellEnd"/>
      <w:r w:rsidRPr="00E85807">
        <w:rPr>
          <w:lang w:val="en-US"/>
        </w:rPr>
        <w:t xml:space="preserve">, RICHARD H. FALLON, JR., IMPLEMENTING THE CONSTITUTION 1-2 (2001) (Amerikan </w:t>
      </w:r>
      <w:proofErr w:type="spellStart"/>
      <w:r w:rsidRPr="00E85807">
        <w:rPr>
          <w:lang w:val="en-US"/>
        </w:rPr>
        <w:t>yargısal</w:t>
      </w:r>
      <w:proofErr w:type="spellEnd"/>
      <w:r w:rsidRPr="00E85807">
        <w:rPr>
          <w:lang w:val="en-US"/>
        </w:rPr>
        <w:t xml:space="preserve"> </w:t>
      </w:r>
      <w:proofErr w:type="spellStart"/>
      <w:r w:rsidRPr="00E85807">
        <w:rPr>
          <w:lang w:val="en-US"/>
        </w:rPr>
        <w:t>üstünlüğünün</w:t>
      </w:r>
      <w:proofErr w:type="spellEnd"/>
      <w:r w:rsidRPr="00E85807">
        <w:rPr>
          <w:lang w:val="en-US"/>
        </w:rPr>
        <w:t xml:space="preserve"> (judicial supremacy), Amerika </w:t>
      </w:r>
      <w:proofErr w:type="spellStart"/>
      <w:r w:rsidRPr="00E85807">
        <w:rPr>
          <w:lang w:val="en-US"/>
        </w:rPr>
        <w:t>Birleşik</w:t>
      </w:r>
      <w:proofErr w:type="spellEnd"/>
      <w:r w:rsidRPr="00E85807">
        <w:rPr>
          <w:lang w:val="en-US"/>
        </w:rPr>
        <w:t xml:space="preserve"> </w:t>
      </w:r>
      <w:proofErr w:type="spellStart"/>
      <w:r w:rsidRPr="00E85807">
        <w:rPr>
          <w:lang w:val="en-US"/>
        </w:rPr>
        <w:t>Devletleri’nin</w:t>
      </w:r>
      <w:proofErr w:type="spellEnd"/>
      <w:r w:rsidRPr="00E85807">
        <w:rPr>
          <w:lang w:val="en-US"/>
        </w:rPr>
        <w:t xml:space="preserve"> </w:t>
      </w:r>
      <w:proofErr w:type="spellStart"/>
      <w:r w:rsidRPr="00E85807">
        <w:rPr>
          <w:lang w:val="en-US"/>
        </w:rPr>
        <w:t>değişen</w:t>
      </w:r>
      <w:proofErr w:type="spellEnd"/>
      <w:r w:rsidRPr="00E85807">
        <w:rPr>
          <w:lang w:val="en-US"/>
        </w:rPr>
        <w:t xml:space="preserve"> </w:t>
      </w:r>
      <w:proofErr w:type="spellStart"/>
      <w:r w:rsidRPr="00E85807">
        <w:rPr>
          <w:lang w:val="en-US"/>
        </w:rPr>
        <w:t>anayasal</w:t>
      </w:r>
      <w:proofErr w:type="spellEnd"/>
      <w:r w:rsidRPr="00E85807">
        <w:rPr>
          <w:lang w:val="en-US"/>
        </w:rPr>
        <w:t xml:space="preserve"> </w:t>
      </w:r>
      <w:proofErr w:type="spellStart"/>
      <w:r w:rsidRPr="00E85807">
        <w:rPr>
          <w:lang w:val="en-US"/>
        </w:rPr>
        <w:t>kültüründen</w:t>
      </w:r>
      <w:proofErr w:type="spellEnd"/>
      <w:r w:rsidRPr="00E85807">
        <w:rPr>
          <w:lang w:val="en-US"/>
        </w:rPr>
        <w:t xml:space="preserve"> (constitutional culture) </w:t>
      </w:r>
      <w:proofErr w:type="spellStart"/>
      <w:r w:rsidRPr="00E85807">
        <w:rPr>
          <w:lang w:val="en-US"/>
        </w:rPr>
        <w:t>geliştiğini</w:t>
      </w:r>
      <w:proofErr w:type="spellEnd"/>
      <w:r w:rsidRPr="00E85807">
        <w:rPr>
          <w:lang w:val="en-US"/>
        </w:rPr>
        <w:t xml:space="preserve"> </w:t>
      </w:r>
      <w:proofErr w:type="spellStart"/>
      <w:r w:rsidRPr="00E85807">
        <w:rPr>
          <w:lang w:val="en-US"/>
        </w:rPr>
        <w:t>tanımlamaktadır</w:t>
      </w:r>
      <w:proofErr w:type="spellEnd"/>
      <w:r w:rsidRPr="00E85807">
        <w:rPr>
          <w:lang w:val="en-US"/>
        </w:rPr>
        <w:t>).</w:t>
      </w:r>
    </w:p>
  </w:footnote>
  <w:footnote w:id="24">
    <w:p w14:paraId="27FD311A" w14:textId="44803B90" w:rsidR="006A62B6" w:rsidRPr="006A62B6" w:rsidRDefault="006A62B6" w:rsidP="009F15C9">
      <w:pPr>
        <w:pStyle w:val="Dipnot"/>
        <w:rPr>
          <w:lang w:val="en-US"/>
        </w:rPr>
      </w:pPr>
      <w:r w:rsidRPr="006A62B6">
        <w:rPr>
          <w:rStyle w:val="FootnoteReference"/>
        </w:rPr>
        <w:footnoteRef/>
      </w:r>
      <w:r w:rsidRPr="006A62B6">
        <w:t xml:space="preserve"> </w:t>
      </w:r>
      <w:r w:rsidRPr="006A62B6">
        <w:tab/>
      </w:r>
      <w:r w:rsidRPr="006A62B6">
        <w:rPr>
          <w:lang w:val="en-US"/>
        </w:rPr>
        <w:t xml:space="preserve">24 Bu </w:t>
      </w:r>
      <w:proofErr w:type="spellStart"/>
      <w:r w:rsidRPr="006A62B6">
        <w:rPr>
          <w:lang w:val="en-US"/>
        </w:rPr>
        <w:t>argümanların</w:t>
      </w:r>
      <w:proofErr w:type="spellEnd"/>
      <w:r w:rsidRPr="006A62B6">
        <w:rPr>
          <w:lang w:val="en-US"/>
        </w:rPr>
        <w:t xml:space="preserve"> </w:t>
      </w:r>
      <w:proofErr w:type="spellStart"/>
      <w:r w:rsidRPr="006A62B6">
        <w:rPr>
          <w:lang w:val="en-US"/>
        </w:rPr>
        <w:t>en</w:t>
      </w:r>
      <w:proofErr w:type="spellEnd"/>
      <w:r w:rsidRPr="006A62B6">
        <w:rPr>
          <w:lang w:val="en-US"/>
        </w:rPr>
        <w:t xml:space="preserve"> </w:t>
      </w:r>
      <w:proofErr w:type="spellStart"/>
      <w:r w:rsidRPr="006A62B6">
        <w:rPr>
          <w:lang w:val="en-US"/>
        </w:rPr>
        <w:t>kapsamlı</w:t>
      </w:r>
      <w:proofErr w:type="spellEnd"/>
      <w:r w:rsidRPr="006A62B6">
        <w:rPr>
          <w:lang w:val="en-US"/>
        </w:rPr>
        <w:t xml:space="preserve"> </w:t>
      </w:r>
      <w:proofErr w:type="spellStart"/>
      <w:r w:rsidRPr="006A62B6">
        <w:rPr>
          <w:lang w:val="en-US"/>
        </w:rPr>
        <w:t>açıklamalarından</w:t>
      </w:r>
      <w:proofErr w:type="spellEnd"/>
      <w:r w:rsidRPr="006A62B6">
        <w:rPr>
          <w:lang w:val="en-US"/>
        </w:rPr>
        <w:t xml:space="preserve"> </w:t>
      </w:r>
      <w:proofErr w:type="spellStart"/>
      <w:r w:rsidRPr="006A62B6">
        <w:rPr>
          <w:lang w:val="en-US"/>
        </w:rPr>
        <w:t>biri</w:t>
      </w:r>
      <w:proofErr w:type="spellEnd"/>
      <w:r w:rsidRPr="006A62B6">
        <w:rPr>
          <w:lang w:val="en-US"/>
        </w:rPr>
        <w:t xml:space="preserve"> </w:t>
      </w:r>
      <w:proofErr w:type="spellStart"/>
      <w:r w:rsidRPr="006A62B6">
        <w:rPr>
          <w:lang w:val="en-US"/>
        </w:rPr>
        <w:t>için</w:t>
      </w:r>
      <w:proofErr w:type="spellEnd"/>
      <w:r w:rsidRPr="006A62B6">
        <w:rPr>
          <w:lang w:val="en-US"/>
        </w:rPr>
        <w:t xml:space="preserve"> </w:t>
      </w:r>
      <w:proofErr w:type="spellStart"/>
      <w:r w:rsidRPr="006A62B6">
        <w:rPr>
          <w:lang w:val="en-US"/>
        </w:rPr>
        <w:t>bkz</w:t>
      </w:r>
      <w:proofErr w:type="spellEnd"/>
      <w:r w:rsidRPr="006A62B6">
        <w:rPr>
          <w:lang w:val="en-US"/>
        </w:rPr>
        <w:t xml:space="preserve">. Paul E. McGreal, Ambition’s Playground, 68 FORDHAM L. REV. 1107, 1171-85 (2000) (Amerikan </w:t>
      </w:r>
      <w:proofErr w:type="spellStart"/>
      <w:r w:rsidRPr="006A62B6">
        <w:rPr>
          <w:lang w:val="en-US"/>
        </w:rPr>
        <w:t>anayasal</w:t>
      </w:r>
      <w:proofErr w:type="spellEnd"/>
      <w:r w:rsidRPr="006A62B6">
        <w:rPr>
          <w:lang w:val="en-US"/>
        </w:rPr>
        <w:t xml:space="preserve"> </w:t>
      </w:r>
      <w:proofErr w:type="spellStart"/>
      <w:r w:rsidRPr="006A62B6">
        <w:rPr>
          <w:lang w:val="en-US"/>
        </w:rPr>
        <w:t>güç</w:t>
      </w:r>
      <w:proofErr w:type="spellEnd"/>
      <w:r w:rsidRPr="006A62B6">
        <w:rPr>
          <w:lang w:val="en-US"/>
        </w:rPr>
        <w:t xml:space="preserve"> </w:t>
      </w:r>
      <w:proofErr w:type="spellStart"/>
      <w:r w:rsidRPr="006A62B6">
        <w:rPr>
          <w:lang w:val="en-US"/>
        </w:rPr>
        <w:t>dengesi</w:t>
      </w:r>
      <w:proofErr w:type="spellEnd"/>
      <w:r w:rsidRPr="006A62B6">
        <w:rPr>
          <w:lang w:val="en-US"/>
        </w:rPr>
        <w:t xml:space="preserve"> (constitutional scheme of balanced powers) </w:t>
      </w:r>
      <w:proofErr w:type="spellStart"/>
      <w:r w:rsidRPr="006A62B6">
        <w:rPr>
          <w:lang w:val="en-US"/>
        </w:rPr>
        <w:t>içerisinde</w:t>
      </w:r>
      <w:proofErr w:type="spellEnd"/>
      <w:r w:rsidRPr="006A62B6">
        <w:rPr>
          <w:lang w:val="en-US"/>
        </w:rPr>
        <w:t xml:space="preserve"> </w:t>
      </w:r>
      <w:proofErr w:type="spellStart"/>
      <w:r w:rsidRPr="006A62B6">
        <w:rPr>
          <w:lang w:val="en-US"/>
        </w:rPr>
        <w:t>yargının</w:t>
      </w:r>
      <w:proofErr w:type="spellEnd"/>
      <w:r w:rsidRPr="006A62B6">
        <w:rPr>
          <w:lang w:val="en-US"/>
        </w:rPr>
        <w:t xml:space="preserve">, federal </w:t>
      </w:r>
      <w:proofErr w:type="spellStart"/>
      <w:r w:rsidRPr="006A62B6">
        <w:rPr>
          <w:lang w:val="en-US"/>
        </w:rPr>
        <w:t>yargıçların</w:t>
      </w:r>
      <w:proofErr w:type="spellEnd"/>
      <w:r w:rsidRPr="006A62B6">
        <w:rPr>
          <w:lang w:val="en-US"/>
        </w:rPr>
        <w:t xml:space="preserve"> </w:t>
      </w:r>
      <w:proofErr w:type="spellStart"/>
      <w:r w:rsidRPr="006A62B6">
        <w:rPr>
          <w:lang w:val="en-US"/>
        </w:rPr>
        <w:t>kendine</w:t>
      </w:r>
      <w:proofErr w:type="spellEnd"/>
      <w:r w:rsidRPr="006A62B6">
        <w:rPr>
          <w:lang w:val="en-US"/>
        </w:rPr>
        <w:t xml:space="preserve"> </w:t>
      </w:r>
      <w:proofErr w:type="spellStart"/>
      <w:r w:rsidRPr="006A62B6">
        <w:rPr>
          <w:lang w:val="en-US"/>
        </w:rPr>
        <w:t>özgü</w:t>
      </w:r>
      <w:proofErr w:type="spellEnd"/>
      <w:r w:rsidRPr="006A62B6">
        <w:rPr>
          <w:lang w:val="en-US"/>
        </w:rPr>
        <w:t xml:space="preserve"> </w:t>
      </w:r>
      <w:proofErr w:type="spellStart"/>
      <w:r w:rsidRPr="006A62B6">
        <w:rPr>
          <w:lang w:val="en-US"/>
        </w:rPr>
        <w:t>geçmişi</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eğitimi</w:t>
      </w:r>
      <w:proofErr w:type="spellEnd"/>
      <w:r w:rsidRPr="006A62B6">
        <w:rPr>
          <w:lang w:val="en-US"/>
        </w:rPr>
        <w:t xml:space="preserve"> </w:t>
      </w:r>
      <w:proofErr w:type="spellStart"/>
      <w:r w:rsidRPr="006A62B6">
        <w:rPr>
          <w:lang w:val="en-US"/>
        </w:rPr>
        <w:t>nedeniyle</w:t>
      </w:r>
      <w:proofErr w:type="spellEnd"/>
      <w:r w:rsidRPr="006A62B6">
        <w:rPr>
          <w:lang w:val="en-US"/>
        </w:rPr>
        <w:t xml:space="preserve"> </w:t>
      </w:r>
      <w:proofErr w:type="spellStart"/>
      <w:r w:rsidRPr="006A62B6">
        <w:rPr>
          <w:lang w:val="en-US"/>
        </w:rPr>
        <w:t>hukuku</w:t>
      </w:r>
      <w:proofErr w:type="spellEnd"/>
      <w:r w:rsidRPr="006A62B6">
        <w:rPr>
          <w:lang w:val="en-US"/>
        </w:rPr>
        <w:t xml:space="preserve"> </w:t>
      </w:r>
      <w:proofErr w:type="spellStart"/>
      <w:r w:rsidRPr="006A62B6">
        <w:rPr>
          <w:lang w:val="en-US"/>
        </w:rPr>
        <w:t>yorumlamada</w:t>
      </w:r>
      <w:proofErr w:type="spellEnd"/>
      <w:r w:rsidRPr="006A62B6">
        <w:rPr>
          <w:lang w:val="en-US"/>
        </w:rPr>
        <w:t xml:space="preserve"> </w:t>
      </w:r>
      <w:proofErr w:type="spellStart"/>
      <w:r w:rsidRPr="006A62B6">
        <w:rPr>
          <w:lang w:val="en-US"/>
        </w:rPr>
        <w:t>karşılaştırmalı</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avantaja</w:t>
      </w:r>
      <w:proofErr w:type="spellEnd"/>
      <w:r w:rsidRPr="006A62B6">
        <w:rPr>
          <w:lang w:val="en-US"/>
        </w:rPr>
        <w:t xml:space="preserve"> </w:t>
      </w:r>
      <w:proofErr w:type="spellStart"/>
      <w:r w:rsidRPr="006A62B6">
        <w:rPr>
          <w:lang w:val="en-US"/>
        </w:rPr>
        <w:t>sahip</w:t>
      </w:r>
      <w:proofErr w:type="spellEnd"/>
      <w:r w:rsidRPr="006A62B6">
        <w:rPr>
          <w:lang w:val="en-US"/>
        </w:rPr>
        <w:t xml:space="preserve"> </w:t>
      </w:r>
      <w:proofErr w:type="spellStart"/>
      <w:r w:rsidRPr="006A62B6">
        <w:rPr>
          <w:lang w:val="en-US"/>
        </w:rPr>
        <w:t>olduğunu</w:t>
      </w:r>
      <w:proofErr w:type="spellEnd"/>
      <w:r w:rsidRPr="006A62B6">
        <w:rPr>
          <w:lang w:val="en-US"/>
        </w:rPr>
        <w:t xml:space="preserve"> </w:t>
      </w:r>
      <w:proofErr w:type="spellStart"/>
      <w:r w:rsidRPr="006A62B6">
        <w:rPr>
          <w:lang w:val="en-US"/>
        </w:rPr>
        <w:t>savunmaktadır</w:t>
      </w:r>
      <w:proofErr w:type="spellEnd"/>
      <w:r w:rsidRPr="006A62B6">
        <w:rPr>
          <w:lang w:val="en-US"/>
        </w:rPr>
        <w:t>).</w:t>
      </w:r>
    </w:p>
  </w:footnote>
  <w:footnote w:id="25">
    <w:p w14:paraId="30A49E1C" w14:textId="25623B0E" w:rsidR="006A62B6" w:rsidRPr="006A62B6" w:rsidRDefault="006A62B6" w:rsidP="009F15C9">
      <w:pPr>
        <w:pStyle w:val="Dipnot"/>
        <w:rPr>
          <w:lang w:val="en-US"/>
        </w:rPr>
      </w:pPr>
      <w:r w:rsidRPr="006A62B6">
        <w:rPr>
          <w:rStyle w:val="FootnoteReference"/>
        </w:rPr>
        <w:footnoteRef/>
      </w:r>
      <w:r w:rsidRPr="006A62B6">
        <w:t xml:space="preserve"> </w:t>
      </w:r>
      <w:r w:rsidRPr="006A62B6">
        <w:tab/>
      </w:r>
      <w:r w:rsidRPr="006A62B6">
        <w:rPr>
          <w:lang w:val="en-US"/>
        </w:rPr>
        <w:t xml:space="preserve">25 </w:t>
      </w:r>
      <w:proofErr w:type="spellStart"/>
      <w:r w:rsidRPr="006A62B6">
        <w:rPr>
          <w:lang w:val="en-US"/>
        </w:rPr>
        <w:t>Karşılaştırınız</w:t>
      </w:r>
      <w:proofErr w:type="spellEnd"/>
      <w:r w:rsidRPr="006A62B6">
        <w:rPr>
          <w:lang w:val="en-US"/>
        </w:rPr>
        <w:t>: RICHARD A. POSNER, REFLECTIONS ON JUDGING 3, 5, 8-9 (2013) (</w:t>
      </w:r>
      <w:proofErr w:type="spellStart"/>
      <w:r w:rsidRPr="006A62B6">
        <w:rPr>
          <w:lang w:val="en-US"/>
        </w:rPr>
        <w:t>yazarın</w:t>
      </w:r>
      <w:proofErr w:type="spellEnd"/>
      <w:r w:rsidRPr="006A62B6">
        <w:rPr>
          <w:lang w:val="en-US"/>
        </w:rPr>
        <w:t xml:space="preserve">, </w:t>
      </w:r>
      <w:proofErr w:type="spellStart"/>
      <w:r w:rsidRPr="006A62B6">
        <w:rPr>
          <w:lang w:val="en-US"/>
        </w:rPr>
        <w:t>çağdaş</w:t>
      </w:r>
      <w:proofErr w:type="spellEnd"/>
      <w:r w:rsidRPr="006A62B6">
        <w:rPr>
          <w:lang w:val="en-US"/>
        </w:rPr>
        <w:t xml:space="preserve"> </w:t>
      </w:r>
      <w:proofErr w:type="spellStart"/>
      <w:r w:rsidRPr="006A62B6">
        <w:rPr>
          <w:lang w:val="en-US"/>
        </w:rPr>
        <w:t>yargıçların</w:t>
      </w:r>
      <w:proofErr w:type="spellEnd"/>
      <w:r w:rsidRPr="006A62B6">
        <w:rPr>
          <w:lang w:val="en-US"/>
        </w:rPr>
        <w:t xml:space="preserve"> </w:t>
      </w:r>
      <w:proofErr w:type="spellStart"/>
      <w:r w:rsidRPr="006A62B6">
        <w:rPr>
          <w:lang w:val="en-US"/>
        </w:rPr>
        <w:t>dava</w:t>
      </w:r>
      <w:proofErr w:type="spellEnd"/>
      <w:r w:rsidRPr="006A62B6">
        <w:rPr>
          <w:lang w:val="en-US"/>
        </w:rPr>
        <w:t xml:space="preserve"> </w:t>
      </w:r>
      <w:proofErr w:type="spellStart"/>
      <w:r w:rsidRPr="006A62B6">
        <w:rPr>
          <w:lang w:val="en-US"/>
        </w:rPr>
        <w:t>çözümünde</w:t>
      </w:r>
      <w:proofErr w:type="spellEnd"/>
      <w:r w:rsidRPr="006A62B6">
        <w:rPr>
          <w:lang w:val="en-US"/>
        </w:rPr>
        <w:t xml:space="preserve"> </w:t>
      </w:r>
      <w:proofErr w:type="spellStart"/>
      <w:r w:rsidRPr="006A62B6">
        <w:rPr>
          <w:lang w:val="en-US"/>
        </w:rPr>
        <w:t>kullandıkları</w:t>
      </w:r>
      <w:proofErr w:type="spellEnd"/>
      <w:r w:rsidRPr="006A62B6">
        <w:rPr>
          <w:lang w:val="en-US"/>
        </w:rPr>
        <w:t xml:space="preserve"> </w:t>
      </w:r>
      <w:proofErr w:type="spellStart"/>
      <w:r w:rsidRPr="006A62B6">
        <w:rPr>
          <w:lang w:val="en-US"/>
        </w:rPr>
        <w:t>yöntemlere</w:t>
      </w:r>
      <w:proofErr w:type="spellEnd"/>
      <w:r w:rsidRPr="006A62B6">
        <w:rPr>
          <w:lang w:val="en-US"/>
        </w:rPr>
        <w:t xml:space="preserve"> </w:t>
      </w:r>
      <w:proofErr w:type="spellStart"/>
      <w:r w:rsidRPr="006A62B6">
        <w:rPr>
          <w:lang w:val="en-US"/>
        </w:rPr>
        <w:t>yönelik</w:t>
      </w:r>
      <w:proofErr w:type="spellEnd"/>
      <w:r w:rsidRPr="006A62B6">
        <w:rPr>
          <w:lang w:val="en-US"/>
        </w:rPr>
        <w:t xml:space="preserve"> </w:t>
      </w:r>
      <w:proofErr w:type="spellStart"/>
      <w:r w:rsidRPr="006A62B6">
        <w:rPr>
          <w:lang w:val="en-US"/>
        </w:rPr>
        <w:t>süregelen</w:t>
      </w:r>
      <w:proofErr w:type="spellEnd"/>
      <w:r w:rsidRPr="006A62B6">
        <w:rPr>
          <w:lang w:val="en-US"/>
        </w:rPr>
        <w:t xml:space="preserve"> </w:t>
      </w:r>
      <w:proofErr w:type="spellStart"/>
      <w:r w:rsidRPr="006A62B6">
        <w:rPr>
          <w:lang w:val="en-US"/>
        </w:rPr>
        <w:t>eleştirisini</w:t>
      </w:r>
      <w:proofErr w:type="spellEnd"/>
      <w:r w:rsidRPr="006A62B6">
        <w:rPr>
          <w:lang w:val="en-US"/>
        </w:rPr>
        <w:t xml:space="preserve"> </w:t>
      </w:r>
      <w:proofErr w:type="spellStart"/>
      <w:r w:rsidRPr="006A62B6">
        <w:rPr>
          <w:lang w:val="en-US"/>
        </w:rPr>
        <w:t>özetlemekte</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bu</w:t>
      </w:r>
      <w:proofErr w:type="spellEnd"/>
      <w:r w:rsidRPr="006A62B6">
        <w:rPr>
          <w:lang w:val="en-US"/>
        </w:rPr>
        <w:t xml:space="preserve"> </w:t>
      </w:r>
      <w:proofErr w:type="spellStart"/>
      <w:r w:rsidRPr="006A62B6">
        <w:rPr>
          <w:lang w:val="en-US"/>
        </w:rPr>
        <w:t>yöntemlerin</w:t>
      </w:r>
      <w:proofErr w:type="spellEnd"/>
      <w:r w:rsidRPr="006A62B6">
        <w:rPr>
          <w:lang w:val="en-US"/>
        </w:rPr>
        <w:t xml:space="preserve"> </w:t>
      </w:r>
      <w:proofErr w:type="spellStart"/>
      <w:r w:rsidRPr="006A62B6">
        <w:rPr>
          <w:lang w:val="en-US"/>
        </w:rPr>
        <w:t>kendi</w:t>
      </w:r>
      <w:proofErr w:type="spellEnd"/>
      <w:r w:rsidRPr="006A62B6">
        <w:rPr>
          <w:lang w:val="en-US"/>
        </w:rPr>
        <w:t xml:space="preserve"> </w:t>
      </w:r>
      <w:proofErr w:type="spellStart"/>
      <w:r w:rsidRPr="006A62B6">
        <w:rPr>
          <w:lang w:val="en-US"/>
        </w:rPr>
        <w:t>ortaya</w:t>
      </w:r>
      <w:proofErr w:type="spellEnd"/>
      <w:r w:rsidRPr="006A62B6">
        <w:rPr>
          <w:lang w:val="en-US"/>
        </w:rPr>
        <w:t xml:space="preserve"> </w:t>
      </w:r>
      <w:proofErr w:type="spellStart"/>
      <w:r w:rsidRPr="006A62B6">
        <w:rPr>
          <w:lang w:val="en-US"/>
        </w:rPr>
        <w:t>koydukları</w:t>
      </w:r>
      <w:proofErr w:type="spellEnd"/>
      <w:r w:rsidRPr="006A62B6">
        <w:rPr>
          <w:lang w:val="en-US"/>
        </w:rPr>
        <w:t xml:space="preserve"> </w:t>
      </w:r>
      <w:proofErr w:type="spellStart"/>
      <w:r w:rsidRPr="006A62B6">
        <w:rPr>
          <w:lang w:val="en-US"/>
        </w:rPr>
        <w:t>birçok</w:t>
      </w:r>
      <w:proofErr w:type="spellEnd"/>
      <w:r w:rsidRPr="006A62B6">
        <w:rPr>
          <w:lang w:val="en-US"/>
        </w:rPr>
        <w:t xml:space="preserve"> </w:t>
      </w:r>
      <w:proofErr w:type="spellStart"/>
      <w:r w:rsidRPr="006A62B6">
        <w:rPr>
          <w:lang w:val="en-US"/>
        </w:rPr>
        <w:t>soruya</w:t>
      </w:r>
      <w:proofErr w:type="spellEnd"/>
      <w:r w:rsidRPr="006A62B6">
        <w:rPr>
          <w:lang w:val="en-US"/>
        </w:rPr>
        <w:t xml:space="preserve"> </w:t>
      </w:r>
      <w:proofErr w:type="spellStart"/>
      <w:r w:rsidRPr="006A62B6">
        <w:rPr>
          <w:lang w:val="en-US"/>
        </w:rPr>
        <w:t>yanıt</w:t>
      </w:r>
      <w:proofErr w:type="spellEnd"/>
      <w:r w:rsidRPr="006A62B6">
        <w:rPr>
          <w:lang w:val="en-US"/>
        </w:rPr>
        <w:t xml:space="preserve"> </w:t>
      </w:r>
      <w:proofErr w:type="spellStart"/>
      <w:r w:rsidRPr="006A62B6">
        <w:rPr>
          <w:lang w:val="en-US"/>
        </w:rPr>
        <w:t>verebilme</w:t>
      </w:r>
      <w:proofErr w:type="spellEnd"/>
      <w:r w:rsidRPr="006A62B6">
        <w:rPr>
          <w:lang w:val="en-US"/>
        </w:rPr>
        <w:t xml:space="preserve"> </w:t>
      </w:r>
      <w:proofErr w:type="spellStart"/>
      <w:r w:rsidRPr="006A62B6">
        <w:rPr>
          <w:lang w:val="en-US"/>
        </w:rPr>
        <w:t>yetisini</w:t>
      </w:r>
      <w:proofErr w:type="spellEnd"/>
      <w:r w:rsidRPr="006A62B6">
        <w:rPr>
          <w:lang w:val="en-US"/>
        </w:rPr>
        <w:t xml:space="preserve"> </w:t>
      </w:r>
      <w:proofErr w:type="spellStart"/>
      <w:r w:rsidRPr="006A62B6">
        <w:rPr>
          <w:lang w:val="en-US"/>
        </w:rPr>
        <w:t>sorgulamaktadır</w:t>
      </w:r>
      <w:proofErr w:type="spellEnd"/>
      <w:r w:rsidRPr="006A62B6">
        <w:rPr>
          <w:lang w:val="en-US"/>
        </w:rPr>
        <w:t xml:space="preserve">); ERIC J. SEGALL, SUPREME MYTHS: WHY THE SUPREME COURT IS NOT A COURT AND ITS JUSTICES ARE NOT JUDGES 5-6 (2012) (Yüksek </w:t>
      </w:r>
      <w:proofErr w:type="spellStart"/>
      <w:r w:rsidRPr="006A62B6">
        <w:rPr>
          <w:lang w:val="en-US"/>
        </w:rPr>
        <w:t>Mahkeme’nin</w:t>
      </w:r>
      <w:proofErr w:type="spellEnd"/>
      <w:r w:rsidRPr="006A62B6">
        <w:rPr>
          <w:lang w:val="en-US"/>
        </w:rPr>
        <w:t xml:space="preserve"> (Supreme Court) </w:t>
      </w:r>
      <w:proofErr w:type="spellStart"/>
      <w:r w:rsidRPr="006A62B6">
        <w:rPr>
          <w:lang w:val="en-US"/>
        </w:rPr>
        <w:t>anayasal</w:t>
      </w:r>
      <w:proofErr w:type="spellEnd"/>
      <w:r w:rsidRPr="006A62B6">
        <w:rPr>
          <w:lang w:val="en-US"/>
        </w:rPr>
        <w:t xml:space="preserve"> </w:t>
      </w:r>
      <w:proofErr w:type="spellStart"/>
      <w:r w:rsidRPr="006A62B6">
        <w:rPr>
          <w:lang w:val="en-US"/>
        </w:rPr>
        <w:t>davalarda</w:t>
      </w:r>
      <w:proofErr w:type="spellEnd"/>
      <w:r w:rsidRPr="006A62B6">
        <w:rPr>
          <w:lang w:val="en-US"/>
        </w:rPr>
        <w:t xml:space="preserve"> </w:t>
      </w:r>
      <w:proofErr w:type="spellStart"/>
      <w:r w:rsidRPr="006A62B6">
        <w:rPr>
          <w:lang w:val="en-US"/>
        </w:rPr>
        <w:t>yaptığı</w:t>
      </w:r>
      <w:proofErr w:type="spellEnd"/>
      <w:r w:rsidRPr="006A62B6">
        <w:rPr>
          <w:lang w:val="en-US"/>
        </w:rPr>
        <w:t xml:space="preserve"> </w:t>
      </w:r>
      <w:proofErr w:type="spellStart"/>
      <w:r w:rsidRPr="006A62B6">
        <w:rPr>
          <w:lang w:val="en-US"/>
        </w:rPr>
        <w:t>çoğu</w:t>
      </w:r>
      <w:proofErr w:type="spellEnd"/>
      <w:r w:rsidRPr="006A62B6">
        <w:rPr>
          <w:lang w:val="en-US"/>
        </w:rPr>
        <w:t xml:space="preserve"> </w:t>
      </w:r>
      <w:proofErr w:type="spellStart"/>
      <w:r w:rsidRPr="006A62B6">
        <w:rPr>
          <w:lang w:val="en-US"/>
        </w:rPr>
        <w:t>şeyin</w:t>
      </w:r>
      <w:proofErr w:type="spellEnd"/>
      <w:r w:rsidRPr="006A62B6">
        <w:rPr>
          <w:lang w:val="en-US"/>
        </w:rPr>
        <w:t xml:space="preserve"> </w:t>
      </w:r>
      <w:proofErr w:type="spellStart"/>
      <w:r w:rsidRPr="006A62B6">
        <w:rPr>
          <w:lang w:val="en-US"/>
        </w:rPr>
        <w:t>özel</w:t>
      </w:r>
      <w:proofErr w:type="spellEnd"/>
      <w:r w:rsidRPr="006A62B6">
        <w:rPr>
          <w:lang w:val="en-US"/>
        </w:rPr>
        <w:t xml:space="preserve"> </w:t>
      </w:r>
      <w:proofErr w:type="spellStart"/>
      <w:r w:rsidRPr="006A62B6">
        <w:rPr>
          <w:lang w:val="en-US"/>
        </w:rPr>
        <w:t>bir</w:t>
      </w:r>
      <w:proofErr w:type="spellEnd"/>
      <w:r w:rsidRPr="006A62B6">
        <w:rPr>
          <w:lang w:val="en-US"/>
        </w:rPr>
        <w:t xml:space="preserve"> </w:t>
      </w:r>
      <w:proofErr w:type="spellStart"/>
      <w:r w:rsidRPr="006A62B6">
        <w:rPr>
          <w:lang w:val="en-US"/>
        </w:rPr>
        <w:t>uzmanlığa</w:t>
      </w:r>
      <w:proofErr w:type="spellEnd"/>
      <w:r w:rsidRPr="006A62B6">
        <w:rPr>
          <w:lang w:val="en-US"/>
        </w:rPr>
        <w:t xml:space="preserve"> </w:t>
      </w:r>
      <w:proofErr w:type="spellStart"/>
      <w:r w:rsidRPr="006A62B6">
        <w:rPr>
          <w:lang w:val="en-US"/>
        </w:rPr>
        <w:t>dayanmadığını</w:t>
      </w:r>
      <w:proofErr w:type="spellEnd"/>
      <w:r w:rsidRPr="006A62B6">
        <w:rPr>
          <w:lang w:val="en-US"/>
        </w:rPr>
        <w:t xml:space="preserve"> </w:t>
      </w:r>
      <w:proofErr w:type="spellStart"/>
      <w:r w:rsidRPr="006A62B6">
        <w:rPr>
          <w:lang w:val="en-US"/>
        </w:rPr>
        <w:t>savunmaktadır</w:t>
      </w:r>
      <w:proofErr w:type="spellEnd"/>
      <w:r w:rsidRPr="006A62B6">
        <w:rPr>
          <w:lang w:val="en-US"/>
        </w:rPr>
        <w:t>).</w:t>
      </w:r>
    </w:p>
  </w:footnote>
  <w:footnote w:id="26">
    <w:p w14:paraId="4679018E" w14:textId="03F33C70" w:rsidR="006A62B6" w:rsidRPr="006A62B6" w:rsidRDefault="006A62B6" w:rsidP="009F15C9">
      <w:pPr>
        <w:pStyle w:val="Dipnot"/>
        <w:rPr>
          <w:lang w:val="en-US"/>
        </w:rPr>
      </w:pPr>
      <w:r w:rsidRPr="006A62B6">
        <w:rPr>
          <w:rStyle w:val="FootnoteReference"/>
        </w:rPr>
        <w:footnoteRef/>
      </w:r>
      <w:r w:rsidRPr="006A62B6">
        <w:t xml:space="preserve"> </w:t>
      </w:r>
      <w:r w:rsidRPr="006A62B6">
        <w:tab/>
      </w:r>
      <w:r w:rsidRPr="006A62B6">
        <w:rPr>
          <w:lang w:val="en-US"/>
        </w:rPr>
        <w:t xml:space="preserve">26 </w:t>
      </w:r>
      <w:proofErr w:type="spellStart"/>
      <w:r w:rsidRPr="006A62B6">
        <w:rPr>
          <w:lang w:val="en-US"/>
        </w:rPr>
        <w:t>Karşılaştırınız</w:t>
      </w:r>
      <w:proofErr w:type="spellEnd"/>
      <w:r w:rsidRPr="006A62B6">
        <w:rPr>
          <w:lang w:val="en-US"/>
        </w:rPr>
        <w:t xml:space="preserve">: L.A. Powe, Jr., The Not-So-Brave New Constitutional Order, 117 HARV. L. REV. 647, 672-75 (2003) (MARK TUSHNET, THE NEW CONSTITUTIONAL ORDER (2003) </w:t>
      </w:r>
      <w:proofErr w:type="spellStart"/>
      <w:r w:rsidRPr="006A62B6">
        <w:rPr>
          <w:lang w:val="en-US"/>
        </w:rPr>
        <w:t>adlı</w:t>
      </w:r>
      <w:proofErr w:type="spellEnd"/>
      <w:r w:rsidRPr="006A62B6">
        <w:rPr>
          <w:lang w:val="en-US"/>
        </w:rPr>
        <w:t xml:space="preserve"> </w:t>
      </w:r>
      <w:proofErr w:type="spellStart"/>
      <w:r w:rsidRPr="006A62B6">
        <w:rPr>
          <w:lang w:val="en-US"/>
        </w:rPr>
        <w:t>eserinin</w:t>
      </w:r>
      <w:proofErr w:type="spellEnd"/>
      <w:r w:rsidRPr="006A62B6">
        <w:rPr>
          <w:lang w:val="en-US"/>
        </w:rPr>
        <w:t xml:space="preserve"> </w:t>
      </w:r>
      <w:proofErr w:type="spellStart"/>
      <w:r w:rsidRPr="006A62B6">
        <w:rPr>
          <w:lang w:val="en-US"/>
        </w:rPr>
        <w:t>incelemesi</w:t>
      </w:r>
      <w:proofErr w:type="spellEnd"/>
      <w:r w:rsidRPr="006A62B6">
        <w:rPr>
          <w:lang w:val="en-US"/>
        </w:rPr>
        <w:t>) (</w:t>
      </w:r>
      <w:proofErr w:type="spellStart"/>
      <w:r w:rsidRPr="006A62B6">
        <w:rPr>
          <w:lang w:val="en-US"/>
        </w:rPr>
        <w:t>günümüz</w:t>
      </w:r>
      <w:proofErr w:type="spellEnd"/>
      <w:r w:rsidRPr="006A62B6">
        <w:rPr>
          <w:lang w:val="en-US"/>
        </w:rPr>
        <w:t xml:space="preserve"> Yüksek </w:t>
      </w:r>
      <w:proofErr w:type="spellStart"/>
      <w:r w:rsidRPr="006A62B6">
        <w:rPr>
          <w:lang w:val="en-US"/>
        </w:rPr>
        <w:t>Mahkeme</w:t>
      </w:r>
      <w:proofErr w:type="spellEnd"/>
      <w:r w:rsidRPr="006A62B6">
        <w:rPr>
          <w:lang w:val="en-US"/>
        </w:rPr>
        <w:t xml:space="preserve"> </w:t>
      </w:r>
      <w:proofErr w:type="spellStart"/>
      <w:r w:rsidRPr="006A62B6">
        <w:rPr>
          <w:lang w:val="en-US"/>
        </w:rPr>
        <w:t>yargıçlarının</w:t>
      </w:r>
      <w:proofErr w:type="spellEnd"/>
      <w:r w:rsidRPr="006A62B6">
        <w:rPr>
          <w:lang w:val="en-US"/>
        </w:rPr>
        <w:t xml:space="preserve"> (Supreme Court Justices), </w:t>
      </w:r>
      <w:proofErr w:type="spellStart"/>
      <w:r w:rsidRPr="006A62B6">
        <w:rPr>
          <w:lang w:val="en-US"/>
        </w:rPr>
        <w:t>ortak</w:t>
      </w:r>
      <w:proofErr w:type="spellEnd"/>
      <w:r w:rsidRPr="006A62B6">
        <w:rPr>
          <w:lang w:val="en-US"/>
        </w:rPr>
        <w:t xml:space="preserve"> </w:t>
      </w:r>
      <w:proofErr w:type="spellStart"/>
      <w:r w:rsidRPr="006A62B6">
        <w:rPr>
          <w:lang w:val="en-US"/>
        </w:rPr>
        <w:t>mesleki</w:t>
      </w:r>
      <w:proofErr w:type="spellEnd"/>
      <w:r w:rsidRPr="006A62B6">
        <w:rPr>
          <w:lang w:val="en-US"/>
        </w:rPr>
        <w:t xml:space="preserve"> </w:t>
      </w:r>
      <w:proofErr w:type="spellStart"/>
      <w:r w:rsidRPr="006A62B6">
        <w:rPr>
          <w:lang w:val="en-US"/>
        </w:rPr>
        <w:t>kimlikleri</w:t>
      </w:r>
      <w:proofErr w:type="spellEnd"/>
      <w:r w:rsidRPr="006A62B6">
        <w:rPr>
          <w:lang w:val="en-US"/>
        </w:rPr>
        <w:t xml:space="preserve"> </w:t>
      </w:r>
      <w:proofErr w:type="spellStart"/>
      <w:r w:rsidRPr="006A62B6">
        <w:rPr>
          <w:lang w:val="en-US"/>
        </w:rPr>
        <w:t>temelinde</w:t>
      </w:r>
      <w:proofErr w:type="spellEnd"/>
      <w:r w:rsidRPr="006A62B6">
        <w:rPr>
          <w:lang w:val="en-US"/>
        </w:rPr>
        <w:t xml:space="preserve"> </w:t>
      </w:r>
      <w:proofErr w:type="spellStart"/>
      <w:r w:rsidRPr="006A62B6">
        <w:rPr>
          <w:lang w:val="en-US"/>
        </w:rPr>
        <w:t>hissettikleri</w:t>
      </w:r>
      <w:proofErr w:type="spellEnd"/>
      <w:r w:rsidRPr="006A62B6">
        <w:rPr>
          <w:lang w:val="en-US"/>
        </w:rPr>
        <w:t xml:space="preserve"> </w:t>
      </w:r>
      <w:proofErr w:type="spellStart"/>
      <w:r w:rsidRPr="006A62B6">
        <w:rPr>
          <w:lang w:val="en-US"/>
        </w:rPr>
        <w:t>kolektif</w:t>
      </w:r>
      <w:proofErr w:type="spellEnd"/>
      <w:r w:rsidRPr="006A62B6">
        <w:rPr>
          <w:lang w:val="en-US"/>
        </w:rPr>
        <w:t xml:space="preserve"> </w:t>
      </w:r>
      <w:proofErr w:type="spellStart"/>
      <w:r w:rsidRPr="006A62B6">
        <w:rPr>
          <w:lang w:val="en-US"/>
        </w:rPr>
        <w:t>amaç</w:t>
      </w:r>
      <w:proofErr w:type="spellEnd"/>
      <w:r w:rsidRPr="006A62B6">
        <w:rPr>
          <w:lang w:val="en-US"/>
        </w:rPr>
        <w:t xml:space="preserve"> </w:t>
      </w:r>
      <w:proofErr w:type="spellStart"/>
      <w:r w:rsidRPr="006A62B6">
        <w:rPr>
          <w:lang w:val="en-US"/>
        </w:rPr>
        <w:t>duygusunu</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yüzeysel</w:t>
      </w:r>
      <w:proofErr w:type="spellEnd"/>
      <w:r w:rsidRPr="006A62B6">
        <w:rPr>
          <w:lang w:val="en-US"/>
        </w:rPr>
        <w:t xml:space="preserve"> </w:t>
      </w:r>
      <w:proofErr w:type="spellStart"/>
      <w:r w:rsidRPr="006A62B6">
        <w:rPr>
          <w:lang w:val="en-US"/>
        </w:rPr>
        <w:t>yoldaşlığı</w:t>
      </w:r>
      <w:proofErr w:type="spellEnd"/>
      <w:r w:rsidRPr="006A62B6">
        <w:rPr>
          <w:lang w:val="en-US"/>
        </w:rPr>
        <w:t xml:space="preserve"> </w:t>
      </w:r>
      <w:proofErr w:type="spellStart"/>
      <w:r w:rsidRPr="006A62B6">
        <w:rPr>
          <w:lang w:val="en-US"/>
        </w:rPr>
        <w:t>tartışmaktadır</w:t>
      </w:r>
      <w:proofErr w:type="spellEnd"/>
      <w:r w:rsidRPr="006A62B6">
        <w:rPr>
          <w:lang w:val="en-US"/>
        </w:rPr>
        <w:t>).</w:t>
      </w:r>
    </w:p>
  </w:footnote>
  <w:footnote w:id="27">
    <w:p w14:paraId="7AD2F93C" w14:textId="266175DC" w:rsidR="006A62B6" w:rsidRPr="006A62B6" w:rsidRDefault="006A62B6" w:rsidP="009F15C9">
      <w:pPr>
        <w:pStyle w:val="Dipnot"/>
        <w:rPr>
          <w:lang w:val="en-US"/>
        </w:rPr>
      </w:pPr>
      <w:r w:rsidRPr="006A62B6">
        <w:rPr>
          <w:rStyle w:val="FootnoteReference"/>
        </w:rPr>
        <w:footnoteRef/>
      </w:r>
      <w:r w:rsidRPr="006A62B6">
        <w:t xml:space="preserve"> </w:t>
      </w:r>
      <w:r w:rsidRPr="006A62B6">
        <w:tab/>
      </w:r>
      <w:r w:rsidRPr="006A62B6">
        <w:rPr>
          <w:lang w:val="en-US"/>
        </w:rPr>
        <w:t xml:space="preserve">27 Yüksek </w:t>
      </w:r>
      <w:proofErr w:type="spellStart"/>
      <w:r w:rsidRPr="006A62B6">
        <w:rPr>
          <w:lang w:val="en-US"/>
        </w:rPr>
        <w:t>Mahkeme</w:t>
      </w:r>
      <w:proofErr w:type="spellEnd"/>
      <w:r w:rsidRPr="006A62B6">
        <w:rPr>
          <w:lang w:val="en-US"/>
        </w:rPr>
        <w:t xml:space="preserve"> </w:t>
      </w:r>
      <w:proofErr w:type="spellStart"/>
      <w:r w:rsidRPr="006A62B6">
        <w:rPr>
          <w:lang w:val="en-US"/>
        </w:rPr>
        <w:t>yargıçlarına</w:t>
      </w:r>
      <w:proofErr w:type="spellEnd"/>
      <w:r w:rsidRPr="006A62B6">
        <w:rPr>
          <w:lang w:val="en-US"/>
        </w:rPr>
        <w:t xml:space="preserve"> (Justices) </w:t>
      </w:r>
      <w:proofErr w:type="spellStart"/>
      <w:r w:rsidRPr="006A62B6">
        <w:rPr>
          <w:lang w:val="en-US"/>
        </w:rPr>
        <w:t>ilişkin</w:t>
      </w:r>
      <w:proofErr w:type="spellEnd"/>
      <w:r w:rsidRPr="006A62B6">
        <w:rPr>
          <w:lang w:val="en-US"/>
        </w:rPr>
        <w:t xml:space="preserve"> </w:t>
      </w:r>
      <w:proofErr w:type="spellStart"/>
      <w:r w:rsidRPr="006A62B6">
        <w:rPr>
          <w:lang w:val="en-US"/>
        </w:rPr>
        <w:t>biyografik</w:t>
      </w:r>
      <w:proofErr w:type="spellEnd"/>
      <w:r w:rsidRPr="006A62B6">
        <w:rPr>
          <w:lang w:val="en-US"/>
        </w:rPr>
        <w:t xml:space="preserve"> </w:t>
      </w:r>
      <w:proofErr w:type="spellStart"/>
      <w:r w:rsidRPr="006A62B6">
        <w:rPr>
          <w:lang w:val="en-US"/>
        </w:rPr>
        <w:t>veriler</w:t>
      </w:r>
      <w:proofErr w:type="spellEnd"/>
      <w:r w:rsidRPr="006A62B6">
        <w:rPr>
          <w:lang w:val="en-US"/>
        </w:rPr>
        <w:t xml:space="preserve"> </w:t>
      </w:r>
      <w:proofErr w:type="spellStart"/>
      <w:r w:rsidRPr="006A62B6">
        <w:rPr>
          <w:lang w:val="en-US"/>
        </w:rPr>
        <w:t>için</w:t>
      </w:r>
      <w:proofErr w:type="spellEnd"/>
      <w:r w:rsidRPr="006A62B6">
        <w:rPr>
          <w:lang w:val="en-US"/>
        </w:rPr>
        <w:t xml:space="preserve"> </w:t>
      </w:r>
      <w:proofErr w:type="spellStart"/>
      <w:r w:rsidRPr="006A62B6">
        <w:rPr>
          <w:lang w:val="en-US"/>
        </w:rPr>
        <w:t>genel</w:t>
      </w:r>
      <w:proofErr w:type="spellEnd"/>
      <w:r w:rsidRPr="006A62B6">
        <w:rPr>
          <w:lang w:val="en-US"/>
        </w:rPr>
        <w:t xml:space="preserve"> </w:t>
      </w:r>
      <w:proofErr w:type="spellStart"/>
      <w:r w:rsidRPr="006A62B6">
        <w:rPr>
          <w:lang w:val="en-US"/>
        </w:rPr>
        <w:t>olarak</w:t>
      </w:r>
      <w:proofErr w:type="spellEnd"/>
      <w:r w:rsidRPr="006A62B6">
        <w:rPr>
          <w:lang w:val="en-US"/>
        </w:rPr>
        <w:t xml:space="preserve"> </w:t>
      </w:r>
      <w:proofErr w:type="spellStart"/>
      <w:r w:rsidRPr="006A62B6">
        <w:rPr>
          <w:lang w:val="en-US"/>
        </w:rPr>
        <w:t>bkz</w:t>
      </w:r>
      <w:proofErr w:type="spellEnd"/>
      <w:r w:rsidRPr="006A62B6">
        <w:rPr>
          <w:lang w:val="en-US"/>
        </w:rPr>
        <w:t>. LEE EPSTEIN ET AL., THE SUPREME COURT COMPENDIUM (5th ed. 2012).</w:t>
      </w:r>
    </w:p>
  </w:footnote>
  <w:footnote w:id="28">
    <w:p w14:paraId="3C3C750E" w14:textId="2C17C15A" w:rsidR="006A62B6" w:rsidRPr="006A62B6" w:rsidRDefault="006A62B6" w:rsidP="009F15C9">
      <w:pPr>
        <w:pStyle w:val="Dipnot"/>
        <w:rPr>
          <w:lang w:val="en-US"/>
        </w:rPr>
      </w:pPr>
      <w:r w:rsidRPr="006A62B6">
        <w:rPr>
          <w:rStyle w:val="FootnoteReference"/>
        </w:rPr>
        <w:footnoteRef/>
      </w:r>
      <w:r w:rsidRPr="006A62B6">
        <w:t xml:space="preserve"> </w:t>
      </w:r>
      <w:r w:rsidRPr="006A62B6">
        <w:tab/>
      </w:r>
      <w:r w:rsidRPr="006A62B6">
        <w:rPr>
          <w:lang w:val="en-US"/>
        </w:rPr>
        <w:t xml:space="preserve">28 </w:t>
      </w:r>
      <w:proofErr w:type="spellStart"/>
      <w:r w:rsidRPr="006A62B6">
        <w:rPr>
          <w:lang w:val="en-US"/>
        </w:rPr>
        <w:t>Bkz</w:t>
      </w:r>
      <w:proofErr w:type="spellEnd"/>
      <w:r w:rsidRPr="006A62B6">
        <w:rPr>
          <w:lang w:val="en-US"/>
        </w:rPr>
        <w:t xml:space="preserve">., </w:t>
      </w:r>
      <w:proofErr w:type="spellStart"/>
      <w:r w:rsidRPr="006A62B6">
        <w:rPr>
          <w:lang w:val="en-US"/>
        </w:rPr>
        <w:t>örneğin</w:t>
      </w:r>
      <w:proofErr w:type="spellEnd"/>
      <w:r w:rsidRPr="006A62B6">
        <w:rPr>
          <w:lang w:val="en-US"/>
        </w:rPr>
        <w:t xml:space="preserve">, Lee Epstein et al., Circuit Effects: How the Norm of Federal Judicial Experience Biases the Supreme Court, 157 U. PA. L. REV. 833, 835-36 (2009) (Başkan </w:t>
      </w:r>
      <w:proofErr w:type="spellStart"/>
      <w:r w:rsidRPr="006A62B6">
        <w:rPr>
          <w:lang w:val="en-US"/>
        </w:rPr>
        <w:t>Eisenhower’ın</w:t>
      </w:r>
      <w:proofErr w:type="spellEnd"/>
      <w:r w:rsidRPr="006A62B6">
        <w:rPr>
          <w:lang w:val="en-US"/>
        </w:rPr>
        <w:t xml:space="preserve">, </w:t>
      </w:r>
      <w:proofErr w:type="spellStart"/>
      <w:r w:rsidRPr="006A62B6">
        <w:rPr>
          <w:lang w:val="en-US"/>
        </w:rPr>
        <w:t>önceki</w:t>
      </w:r>
      <w:proofErr w:type="spellEnd"/>
      <w:r w:rsidRPr="006A62B6">
        <w:rPr>
          <w:lang w:val="en-US"/>
        </w:rPr>
        <w:t xml:space="preserve"> federal </w:t>
      </w:r>
      <w:proofErr w:type="spellStart"/>
      <w:r w:rsidRPr="006A62B6">
        <w:rPr>
          <w:lang w:val="en-US"/>
        </w:rPr>
        <w:t>yargı</w:t>
      </w:r>
      <w:proofErr w:type="spellEnd"/>
      <w:r w:rsidRPr="006A62B6">
        <w:rPr>
          <w:lang w:val="en-US"/>
        </w:rPr>
        <w:t xml:space="preserve"> </w:t>
      </w:r>
      <w:proofErr w:type="spellStart"/>
      <w:r w:rsidRPr="006A62B6">
        <w:rPr>
          <w:lang w:val="en-US"/>
        </w:rPr>
        <w:t>deneyimini</w:t>
      </w:r>
      <w:proofErr w:type="spellEnd"/>
      <w:r w:rsidRPr="006A62B6">
        <w:rPr>
          <w:lang w:val="en-US"/>
        </w:rPr>
        <w:t xml:space="preserve"> </w:t>
      </w:r>
      <w:proofErr w:type="spellStart"/>
      <w:r w:rsidRPr="006A62B6">
        <w:rPr>
          <w:lang w:val="en-US"/>
        </w:rPr>
        <w:t>bir</w:t>
      </w:r>
      <w:proofErr w:type="spellEnd"/>
      <w:r w:rsidRPr="006A62B6">
        <w:rPr>
          <w:lang w:val="en-US"/>
        </w:rPr>
        <w:t xml:space="preserve"> norm </w:t>
      </w:r>
      <w:proofErr w:type="spellStart"/>
      <w:r w:rsidRPr="006A62B6">
        <w:rPr>
          <w:lang w:val="en-US"/>
        </w:rPr>
        <w:t>olarak</w:t>
      </w:r>
      <w:proofErr w:type="spellEnd"/>
      <w:r w:rsidRPr="006A62B6">
        <w:rPr>
          <w:lang w:val="en-US"/>
        </w:rPr>
        <w:t xml:space="preserve"> </w:t>
      </w:r>
      <w:proofErr w:type="spellStart"/>
      <w:r w:rsidRPr="006A62B6">
        <w:rPr>
          <w:lang w:val="en-US"/>
        </w:rPr>
        <w:t>yerleştirme</w:t>
      </w:r>
      <w:proofErr w:type="spellEnd"/>
      <w:r w:rsidRPr="006A62B6">
        <w:rPr>
          <w:lang w:val="en-US"/>
        </w:rPr>
        <w:t xml:space="preserve"> </w:t>
      </w:r>
      <w:proofErr w:type="spellStart"/>
      <w:r w:rsidRPr="006A62B6">
        <w:rPr>
          <w:lang w:val="en-US"/>
        </w:rPr>
        <w:t>hedefini</w:t>
      </w:r>
      <w:proofErr w:type="spellEnd"/>
      <w:r w:rsidRPr="006A62B6">
        <w:rPr>
          <w:lang w:val="en-US"/>
        </w:rPr>
        <w:t xml:space="preserve"> </w:t>
      </w:r>
      <w:proofErr w:type="spellStart"/>
      <w:r w:rsidRPr="006A62B6">
        <w:rPr>
          <w:lang w:val="en-US"/>
        </w:rPr>
        <w:t>ve</w:t>
      </w:r>
      <w:proofErr w:type="spellEnd"/>
      <w:r w:rsidRPr="006A62B6">
        <w:rPr>
          <w:lang w:val="en-US"/>
        </w:rPr>
        <w:t xml:space="preserve"> </w:t>
      </w:r>
      <w:proofErr w:type="spellStart"/>
      <w:r w:rsidRPr="006A62B6">
        <w:rPr>
          <w:lang w:val="en-US"/>
        </w:rPr>
        <w:t>bu</w:t>
      </w:r>
      <w:proofErr w:type="spellEnd"/>
      <w:r w:rsidRPr="006A62B6">
        <w:rPr>
          <w:lang w:val="en-US"/>
        </w:rPr>
        <w:t xml:space="preserve"> </w:t>
      </w:r>
      <w:proofErr w:type="spellStart"/>
      <w:r w:rsidRPr="006A62B6">
        <w:rPr>
          <w:lang w:val="en-US"/>
        </w:rPr>
        <w:t>hedefin</w:t>
      </w:r>
      <w:proofErr w:type="spellEnd"/>
      <w:r w:rsidRPr="006A62B6">
        <w:rPr>
          <w:lang w:val="en-US"/>
        </w:rPr>
        <w:t xml:space="preserve"> ne </w:t>
      </w:r>
      <w:proofErr w:type="spellStart"/>
      <w:r w:rsidRPr="006A62B6">
        <w:rPr>
          <w:lang w:val="en-US"/>
        </w:rPr>
        <w:t>kendi</w:t>
      </w:r>
      <w:proofErr w:type="spellEnd"/>
      <w:r w:rsidRPr="006A62B6">
        <w:rPr>
          <w:lang w:val="en-US"/>
        </w:rPr>
        <w:t xml:space="preserve"> </w:t>
      </w:r>
      <w:proofErr w:type="spellStart"/>
      <w:r w:rsidRPr="006A62B6">
        <w:rPr>
          <w:lang w:val="en-US"/>
        </w:rPr>
        <w:t>başkanlığı</w:t>
      </w:r>
      <w:proofErr w:type="spellEnd"/>
      <w:r w:rsidRPr="006A62B6">
        <w:rPr>
          <w:lang w:val="en-US"/>
        </w:rPr>
        <w:t xml:space="preserve"> </w:t>
      </w:r>
      <w:proofErr w:type="spellStart"/>
      <w:r w:rsidRPr="006A62B6">
        <w:rPr>
          <w:lang w:val="en-US"/>
        </w:rPr>
        <w:t>döneminde</w:t>
      </w:r>
      <w:proofErr w:type="spellEnd"/>
      <w:r w:rsidRPr="006A62B6">
        <w:rPr>
          <w:lang w:val="en-US"/>
        </w:rPr>
        <w:t xml:space="preserve"> ne de </w:t>
      </w:r>
      <w:proofErr w:type="spellStart"/>
      <w:r w:rsidRPr="006A62B6">
        <w:rPr>
          <w:lang w:val="en-US"/>
        </w:rPr>
        <w:t>onu</w:t>
      </w:r>
      <w:proofErr w:type="spellEnd"/>
      <w:r w:rsidRPr="006A62B6">
        <w:rPr>
          <w:lang w:val="en-US"/>
        </w:rPr>
        <w:t xml:space="preserve"> </w:t>
      </w:r>
      <w:proofErr w:type="spellStart"/>
      <w:r w:rsidRPr="006A62B6">
        <w:rPr>
          <w:lang w:val="en-US"/>
        </w:rPr>
        <w:t>izleyen</w:t>
      </w:r>
      <w:proofErr w:type="spellEnd"/>
      <w:r w:rsidRPr="006A62B6">
        <w:rPr>
          <w:lang w:val="en-US"/>
        </w:rPr>
        <w:t xml:space="preserve"> </w:t>
      </w:r>
      <w:proofErr w:type="spellStart"/>
      <w:r w:rsidRPr="006A62B6">
        <w:rPr>
          <w:lang w:val="en-US"/>
        </w:rPr>
        <w:t>beş</w:t>
      </w:r>
      <w:proofErr w:type="spellEnd"/>
      <w:r w:rsidRPr="006A62B6">
        <w:rPr>
          <w:lang w:val="en-US"/>
        </w:rPr>
        <w:t xml:space="preserve"> on </w:t>
      </w:r>
      <w:proofErr w:type="spellStart"/>
      <w:r w:rsidRPr="006A62B6">
        <w:rPr>
          <w:lang w:val="en-US"/>
        </w:rPr>
        <w:t>yılda</w:t>
      </w:r>
      <w:proofErr w:type="spellEnd"/>
      <w:r w:rsidRPr="006A62B6">
        <w:rPr>
          <w:lang w:val="en-US"/>
        </w:rPr>
        <w:t xml:space="preserve"> tam </w:t>
      </w:r>
      <w:proofErr w:type="spellStart"/>
      <w:r w:rsidRPr="006A62B6">
        <w:rPr>
          <w:lang w:val="en-US"/>
        </w:rPr>
        <w:t>olarak</w:t>
      </w:r>
      <w:proofErr w:type="spellEnd"/>
      <w:r w:rsidRPr="006A62B6">
        <w:rPr>
          <w:lang w:val="en-US"/>
        </w:rPr>
        <w:t xml:space="preserve"> </w:t>
      </w:r>
      <w:proofErr w:type="spellStart"/>
      <w:r w:rsidRPr="006A62B6">
        <w:rPr>
          <w:lang w:val="en-US"/>
        </w:rPr>
        <w:t>hayata</w:t>
      </w:r>
      <w:proofErr w:type="spellEnd"/>
      <w:r w:rsidRPr="006A62B6">
        <w:rPr>
          <w:lang w:val="en-US"/>
        </w:rPr>
        <w:t xml:space="preserve"> </w:t>
      </w:r>
      <w:proofErr w:type="spellStart"/>
      <w:r w:rsidRPr="006A62B6">
        <w:rPr>
          <w:lang w:val="en-US"/>
        </w:rPr>
        <w:t>geçirilemediğini</w:t>
      </w:r>
      <w:proofErr w:type="spellEnd"/>
      <w:r w:rsidRPr="006A62B6">
        <w:rPr>
          <w:lang w:val="en-US"/>
        </w:rPr>
        <w:t xml:space="preserve"> </w:t>
      </w:r>
      <w:proofErr w:type="spellStart"/>
      <w:r w:rsidRPr="006A62B6">
        <w:rPr>
          <w:lang w:val="en-US"/>
        </w:rPr>
        <w:t>açıklamaktadır</w:t>
      </w:r>
      <w:proofErr w:type="spellEnd"/>
      <w:r w:rsidRPr="006A62B6">
        <w:rPr>
          <w:lang w:val="en-US"/>
        </w:rPr>
        <w:t>).</w:t>
      </w:r>
    </w:p>
  </w:footnote>
  <w:footnote w:id="29">
    <w:p w14:paraId="35469ADA" w14:textId="5FED4EC5" w:rsidR="006A62B6" w:rsidRPr="009F15C9" w:rsidRDefault="006A62B6" w:rsidP="006A62B6">
      <w:pPr>
        <w:pStyle w:val="Dipnot"/>
        <w:rPr>
          <w:lang w:val="en-US"/>
        </w:rPr>
      </w:pPr>
      <w:r>
        <w:rPr>
          <w:rStyle w:val="FootnoteReference"/>
        </w:rPr>
        <w:footnoteRef/>
      </w:r>
      <w:r>
        <w:t xml:space="preserve"> </w:t>
      </w:r>
      <w:r>
        <w:tab/>
      </w:r>
      <w:r w:rsidR="009F15C9" w:rsidRPr="009F15C9">
        <w:t>29 Bkz. RICHARD SEAMON ET AL., THE SUPREME COURT SOURCEBOOK 21, 22-23 (2013) (Yüksek Mahkeme yargıçlarının (</w:t>
      </w:r>
      <w:proofErr w:type="spellStart"/>
      <w:r w:rsidR="009F15C9" w:rsidRPr="009F15C9">
        <w:t>Supreme</w:t>
      </w:r>
      <w:proofErr w:type="spellEnd"/>
      <w:r w:rsidR="009F15C9" w:rsidRPr="009F15C9">
        <w:t xml:space="preserve"> Court </w:t>
      </w:r>
      <w:proofErr w:type="spellStart"/>
      <w:r w:rsidR="009F15C9" w:rsidRPr="009F15C9">
        <w:t>Justices</w:t>
      </w:r>
      <w:proofErr w:type="spellEnd"/>
      <w:r w:rsidR="009F15C9" w:rsidRPr="009F15C9">
        <w:t>) tarih boyunca kişisel ve mesleki geçmişlerini tartışmaktadır).</w:t>
      </w:r>
    </w:p>
  </w:footnote>
  <w:footnote w:id="30">
    <w:p w14:paraId="505AEDE7" w14:textId="68732BEB" w:rsidR="009F15C9" w:rsidRPr="009F15C9" w:rsidRDefault="009F15C9" w:rsidP="009F15C9">
      <w:pPr>
        <w:pStyle w:val="Dipnot"/>
        <w:rPr>
          <w:lang w:val="en-US"/>
        </w:rPr>
      </w:pPr>
      <w:r w:rsidRPr="009F15C9">
        <w:rPr>
          <w:rStyle w:val="FootnoteReference"/>
        </w:rPr>
        <w:footnoteRef/>
      </w:r>
      <w:r w:rsidRPr="009F15C9">
        <w:t xml:space="preserve"> </w:t>
      </w:r>
      <w:r w:rsidRPr="009F15C9">
        <w:rPr>
          <w:lang w:val="en-US"/>
        </w:rPr>
        <w:t xml:space="preserve"> </w:t>
      </w:r>
      <w:r w:rsidRPr="009F15C9">
        <w:rPr>
          <w:lang w:val="en-US"/>
        </w:rPr>
        <w:tab/>
      </w:r>
      <w:r w:rsidRPr="009F15C9">
        <w:t>30 Bkz. id. (Yüksek Mahkeme yargıçlarının üçte ikisinden daha azının daha önce yargı deneyimine sahip olduğunu, buna karşın yaklaşık yarısının yasama deneyimi bulunduğunu belirtmektedir).</w:t>
      </w:r>
    </w:p>
  </w:footnote>
  <w:footnote w:id="31">
    <w:p w14:paraId="30E5E979" w14:textId="7223FC2D" w:rsidR="009F15C9" w:rsidRPr="009F15C9" w:rsidRDefault="009F15C9" w:rsidP="009F15C9">
      <w:pPr>
        <w:pStyle w:val="Dipnot"/>
        <w:rPr>
          <w:lang w:val="en-US"/>
        </w:rPr>
      </w:pPr>
      <w:r w:rsidRPr="009F15C9">
        <w:rPr>
          <w:rStyle w:val="FootnoteReference"/>
        </w:rPr>
        <w:footnoteRef/>
      </w:r>
      <w:r w:rsidRPr="009F15C9">
        <w:t xml:space="preserve"> </w:t>
      </w:r>
      <w:r w:rsidRPr="009F15C9">
        <w:tab/>
      </w:r>
      <w:r w:rsidRPr="009F15C9">
        <w:rPr>
          <w:lang w:val="en-US"/>
        </w:rPr>
        <w:t xml:space="preserve">31 </w:t>
      </w:r>
      <w:proofErr w:type="spellStart"/>
      <w:r w:rsidRPr="009F15C9">
        <w:rPr>
          <w:lang w:val="en-US"/>
        </w:rPr>
        <w:t>Resmî</w:t>
      </w:r>
      <w:proofErr w:type="spellEnd"/>
      <w:r w:rsidRPr="009F15C9">
        <w:rPr>
          <w:lang w:val="en-US"/>
        </w:rPr>
        <w:t xml:space="preserve"> </w:t>
      </w:r>
      <w:proofErr w:type="spellStart"/>
      <w:r w:rsidRPr="009F15C9">
        <w:rPr>
          <w:lang w:val="en-US"/>
        </w:rPr>
        <w:t>hukuk</w:t>
      </w:r>
      <w:proofErr w:type="spellEnd"/>
      <w:r w:rsidRPr="009F15C9">
        <w:rPr>
          <w:lang w:val="en-US"/>
        </w:rPr>
        <w:t xml:space="preserve"> </w:t>
      </w:r>
      <w:proofErr w:type="spellStart"/>
      <w:r w:rsidRPr="009F15C9">
        <w:rPr>
          <w:lang w:val="en-US"/>
        </w:rPr>
        <w:t>eğitimi</w:t>
      </w:r>
      <w:proofErr w:type="spellEnd"/>
      <w:r w:rsidRPr="009F15C9">
        <w:rPr>
          <w:lang w:val="en-US"/>
        </w:rPr>
        <w:t xml:space="preserve"> </w:t>
      </w:r>
      <w:proofErr w:type="spellStart"/>
      <w:r w:rsidRPr="009F15C9">
        <w:rPr>
          <w:lang w:val="en-US"/>
        </w:rPr>
        <w:t>almamış</w:t>
      </w:r>
      <w:proofErr w:type="spellEnd"/>
      <w:r w:rsidRPr="009F15C9">
        <w:rPr>
          <w:lang w:val="en-US"/>
        </w:rPr>
        <w:t xml:space="preserve"> son Yüksek </w:t>
      </w:r>
      <w:proofErr w:type="spellStart"/>
      <w:r w:rsidRPr="009F15C9">
        <w:rPr>
          <w:lang w:val="en-US"/>
        </w:rPr>
        <w:t>Mahkeme</w:t>
      </w:r>
      <w:proofErr w:type="spellEnd"/>
      <w:r w:rsidRPr="009F15C9">
        <w:rPr>
          <w:lang w:val="en-US"/>
        </w:rPr>
        <w:t xml:space="preserve"> </w:t>
      </w:r>
      <w:proofErr w:type="spellStart"/>
      <w:r w:rsidRPr="009F15C9">
        <w:rPr>
          <w:lang w:val="en-US"/>
        </w:rPr>
        <w:t>yargıcı</w:t>
      </w:r>
      <w:proofErr w:type="spellEnd"/>
      <w:r w:rsidRPr="009F15C9">
        <w:rPr>
          <w:lang w:val="en-US"/>
        </w:rPr>
        <w:t xml:space="preserve"> (Justice) </w:t>
      </w:r>
      <w:proofErr w:type="spellStart"/>
      <w:r w:rsidRPr="009F15C9">
        <w:rPr>
          <w:lang w:val="en-US"/>
        </w:rPr>
        <w:t>olan</w:t>
      </w:r>
      <w:proofErr w:type="spellEnd"/>
      <w:r w:rsidRPr="009F15C9">
        <w:rPr>
          <w:lang w:val="en-US"/>
        </w:rPr>
        <w:t xml:space="preserve"> Stanley Reed, 1957 </w:t>
      </w:r>
      <w:proofErr w:type="spellStart"/>
      <w:r w:rsidRPr="009F15C9">
        <w:rPr>
          <w:lang w:val="en-US"/>
        </w:rPr>
        <w:t>yılına</w:t>
      </w:r>
      <w:proofErr w:type="spellEnd"/>
      <w:r w:rsidRPr="009F15C9">
        <w:rPr>
          <w:lang w:val="en-US"/>
        </w:rPr>
        <w:t xml:space="preserve"> </w:t>
      </w:r>
      <w:proofErr w:type="spellStart"/>
      <w:r w:rsidRPr="009F15C9">
        <w:rPr>
          <w:lang w:val="en-US"/>
        </w:rPr>
        <w:t>kadar</w:t>
      </w:r>
      <w:proofErr w:type="spellEnd"/>
      <w:r w:rsidRPr="009F15C9">
        <w:rPr>
          <w:lang w:val="en-US"/>
        </w:rPr>
        <w:t xml:space="preserve"> </w:t>
      </w:r>
      <w:proofErr w:type="spellStart"/>
      <w:r w:rsidRPr="009F15C9">
        <w:rPr>
          <w:lang w:val="en-US"/>
        </w:rPr>
        <w:t>görevde</w:t>
      </w:r>
      <w:proofErr w:type="spellEnd"/>
      <w:r w:rsidRPr="009F15C9">
        <w:rPr>
          <w:lang w:val="en-US"/>
        </w:rPr>
        <w:t xml:space="preserve"> </w:t>
      </w:r>
      <w:proofErr w:type="spellStart"/>
      <w:r w:rsidRPr="009F15C9">
        <w:rPr>
          <w:lang w:val="en-US"/>
        </w:rPr>
        <w:t>kalmıştır</w:t>
      </w:r>
      <w:proofErr w:type="spellEnd"/>
      <w:r w:rsidRPr="009F15C9">
        <w:rPr>
          <w:lang w:val="en-US"/>
        </w:rPr>
        <w:t>. Id. s. 23.</w:t>
      </w:r>
    </w:p>
  </w:footnote>
  <w:footnote w:id="32">
    <w:p w14:paraId="549B9E56" w14:textId="77777777" w:rsidR="009F15C9" w:rsidRPr="009F15C9" w:rsidRDefault="009F15C9" w:rsidP="009F15C9">
      <w:pPr>
        <w:pStyle w:val="Dipnot"/>
        <w:rPr>
          <w:lang w:val="en-US"/>
        </w:rPr>
      </w:pPr>
      <w:r>
        <w:rPr>
          <w:rStyle w:val="FootnoteReference"/>
        </w:rPr>
        <w:footnoteRef/>
      </w:r>
      <w:r>
        <w:t xml:space="preserve"> </w:t>
      </w:r>
      <w:r>
        <w:tab/>
      </w:r>
      <w:r w:rsidRPr="009F15C9">
        <w:rPr>
          <w:lang w:val="en-US"/>
        </w:rPr>
        <w:t xml:space="preserve">32 Bu </w:t>
      </w:r>
      <w:proofErr w:type="spellStart"/>
      <w:r w:rsidRPr="009F15C9">
        <w:rPr>
          <w:lang w:val="en-US"/>
        </w:rPr>
        <w:t>yoldan</w:t>
      </w:r>
      <w:proofErr w:type="spellEnd"/>
      <w:r w:rsidRPr="009F15C9">
        <w:rPr>
          <w:lang w:val="en-US"/>
        </w:rPr>
        <w:t xml:space="preserve"> </w:t>
      </w:r>
      <w:proofErr w:type="spellStart"/>
      <w:r w:rsidRPr="009F15C9">
        <w:rPr>
          <w:lang w:val="en-US"/>
        </w:rPr>
        <w:t>küçük</w:t>
      </w:r>
      <w:proofErr w:type="spellEnd"/>
      <w:r w:rsidRPr="009F15C9">
        <w:rPr>
          <w:lang w:val="en-US"/>
        </w:rPr>
        <w:t xml:space="preserve"> </w:t>
      </w:r>
      <w:proofErr w:type="spellStart"/>
      <w:r w:rsidRPr="009F15C9">
        <w:rPr>
          <w:lang w:val="en-US"/>
        </w:rPr>
        <w:t>sapmalar</w:t>
      </w:r>
      <w:proofErr w:type="spellEnd"/>
      <w:r w:rsidRPr="009F15C9">
        <w:rPr>
          <w:lang w:val="en-US"/>
        </w:rPr>
        <w:t xml:space="preserve"> </w:t>
      </w:r>
      <w:proofErr w:type="spellStart"/>
      <w:r w:rsidRPr="009F15C9">
        <w:rPr>
          <w:lang w:val="en-US"/>
        </w:rPr>
        <w:t>kabul</w:t>
      </w:r>
      <w:proofErr w:type="spellEnd"/>
      <w:r w:rsidRPr="009F15C9">
        <w:rPr>
          <w:lang w:val="en-US"/>
        </w:rPr>
        <w:t xml:space="preserve"> </w:t>
      </w:r>
      <w:proofErr w:type="spellStart"/>
      <w:r w:rsidRPr="009F15C9">
        <w:rPr>
          <w:lang w:val="en-US"/>
        </w:rPr>
        <w:t>edilebilir</w:t>
      </w:r>
      <w:proofErr w:type="spellEnd"/>
      <w:r w:rsidRPr="009F15C9">
        <w:rPr>
          <w:lang w:val="en-US"/>
        </w:rPr>
        <w:t>—</w:t>
      </w:r>
      <w:proofErr w:type="spellStart"/>
      <w:r w:rsidRPr="009F15C9">
        <w:rPr>
          <w:lang w:val="en-US"/>
        </w:rPr>
        <w:t>örneğin</w:t>
      </w:r>
      <w:proofErr w:type="spellEnd"/>
      <w:r w:rsidRPr="009F15C9">
        <w:rPr>
          <w:lang w:val="en-US"/>
        </w:rPr>
        <w:t xml:space="preserve">, </w:t>
      </w:r>
      <w:proofErr w:type="spellStart"/>
      <w:r w:rsidRPr="009F15C9">
        <w:rPr>
          <w:lang w:val="en-US"/>
        </w:rPr>
        <w:t>Yargıç</w:t>
      </w:r>
      <w:proofErr w:type="spellEnd"/>
      <w:r w:rsidRPr="009F15C9">
        <w:rPr>
          <w:lang w:val="en-US"/>
        </w:rPr>
        <w:t xml:space="preserve"> Sonia </w:t>
      </w:r>
      <w:proofErr w:type="spellStart"/>
      <w:r w:rsidRPr="009F15C9">
        <w:rPr>
          <w:lang w:val="en-US"/>
        </w:rPr>
        <w:t>Sotomayor’un</w:t>
      </w:r>
      <w:proofErr w:type="spellEnd"/>
      <w:r w:rsidRPr="009F15C9">
        <w:rPr>
          <w:lang w:val="en-US"/>
        </w:rPr>
        <w:t xml:space="preserve"> </w:t>
      </w:r>
      <w:proofErr w:type="spellStart"/>
      <w:r w:rsidRPr="009F15C9">
        <w:rPr>
          <w:lang w:val="en-US"/>
        </w:rPr>
        <w:t>katiplik</w:t>
      </w:r>
      <w:proofErr w:type="spellEnd"/>
      <w:r w:rsidRPr="009F15C9">
        <w:rPr>
          <w:lang w:val="en-US"/>
        </w:rPr>
        <w:t xml:space="preserve"> (clerkship) </w:t>
      </w:r>
      <w:proofErr w:type="spellStart"/>
      <w:r w:rsidRPr="009F15C9">
        <w:rPr>
          <w:lang w:val="en-US"/>
        </w:rPr>
        <w:t>yapmamış</w:t>
      </w:r>
      <w:proofErr w:type="spellEnd"/>
      <w:r w:rsidRPr="009F15C9">
        <w:rPr>
          <w:lang w:val="en-US"/>
        </w:rPr>
        <w:t xml:space="preserve"> </w:t>
      </w:r>
      <w:proofErr w:type="spellStart"/>
      <w:r w:rsidRPr="009F15C9">
        <w:rPr>
          <w:lang w:val="en-US"/>
        </w:rPr>
        <w:t>olması</w:t>
      </w:r>
      <w:proofErr w:type="spellEnd"/>
      <w:r w:rsidRPr="009F15C9">
        <w:rPr>
          <w:lang w:val="en-US"/>
        </w:rPr>
        <w:t xml:space="preserve">, </w:t>
      </w:r>
      <w:proofErr w:type="spellStart"/>
      <w:r w:rsidRPr="009F15C9">
        <w:rPr>
          <w:lang w:val="en-US"/>
        </w:rPr>
        <w:t>Yargıç</w:t>
      </w:r>
      <w:proofErr w:type="spellEnd"/>
      <w:r w:rsidRPr="009F15C9">
        <w:rPr>
          <w:lang w:val="en-US"/>
        </w:rPr>
        <w:t xml:space="preserve"> Elena </w:t>
      </w:r>
      <w:proofErr w:type="spellStart"/>
      <w:r w:rsidRPr="009F15C9">
        <w:rPr>
          <w:lang w:val="en-US"/>
        </w:rPr>
        <w:t>Kagan’ın</w:t>
      </w:r>
      <w:proofErr w:type="spellEnd"/>
      <w:r w:rsidRPr="009F15C9">
        <w:rPr>
          <w:lang w:val="en-US"/>
        </w:rPr>
        <w:t xml:space="preserve"> </w:t>
      </w:r>
      <w:proofErr w:type="spellStart"/>
      <w:r w:rsidRPr="009F15C9">
        <w:rPr>
          <w:lang w:val="en-US"/>
        </w:rPr>
        <w:t>daha</w:t>
      </w:r>
      <w:proofErr w:type="spellEnd"/>
      <w:r w:rsidRPr="009F15C9">
        <w:rPr>
          <w:lang w:val="en-US"/>
        </w:rPr>
        <w:t xml:space="preserve"> </w:t>
      </w:r>
      <w:proofErr w:type="spellStart"/>
      <w:r w:rsidRPr="009F15C9">
        <w:rPr>
          <w:lang w:val="en-US"/>
        </w:rPr>
        <w:t>önce</w:t>
      </w:r>
      <w:proofErr w:type="spellEnd"/>
      <w:r w:rsidRPr="009F15C9">
        <w:rPr>
          <w:lang w:val="en-US"/>
        </w:rPr>
        <w:t xml:space="preserve"> </w:t>
      </w:r>
      <w:proofErr w:type="spellStart"/>
      <w:r w:rsidRPr="009F15C9">
        <w:rPr>
          <w:lang w:val="en-US"/>
        </w:rPr>
        <w:t>yargı</w:t>
      </w:r>
      <w:proofErr w:type="spellEnd"/>
      <w:r w:rsidRPr="009F15C9">
        <w:rPr>
          <w:lang w:val="en-US"/>
        </w:rPr>
        <w:t xml:space="preserve"> </w:t>
      </w:r>
      <w:proofErr w:type="spellStart"/>
      <w:r w:rsidRPr="009F15C9">
        <w:rPr>
          <w:lang w:val="en-US"/>
        </w:rPr>
        <w:t>deneyimine</w:t>
      </w:r>
      <w:proofErr w:type="spellEnd"/>
      <w:r w:rsidRPr="009F15C9">
        <w:rPr>
          <w:lang w:val="en-US"/>
        </w:rPr>
        <w:t xml:space="preserve"> </w:t>
      </w:r>
      <w:proofErr w:type="spellStart"/>
      <w:r w:rsidRPr="009F15C9">
        <w:rPr>
          <w:lang w:val="en-US"/>
        </w:rPr>
        <w:t>sahip</w:t>
      </w:r>
      <w:proofErr w:type="spellEnd"/>
      <w:r w:rsidRPr="009F15C9">
        <w:rPr>
          <w:lang w:val="en-US"/>
        </w:rPr>
        <w:t xml:space="preserve"> </w:t>
      </w:r>
      <w:proofErr w:type="spellStart"/>
      <w:r w:rsidRPr="009F15C9">
        <w:rPr>
          <w:lang w:val="en-US"/>
        </w:rPr>
        <w:t>olmaması</w:t>
      </w:r>
      <w:proofErr w:type="spellEnd"/>
      <w:r w:rsidRPr="009F15C9">
        <w:rPr>
          <w:lang w:val="en-US"/>
        </w:rPr>
        <w:t xml:space="preserve"> </w:t>
      </w:r>
      <w:proofErr w:type="spellStart"/>
      <w:r w:rsidRPr="009F15C9">
        <w:rPr>
          <w:lang w:val="en-US"/>
        </w:rPr>
        <w:t>ve</w:t>
      </w:r>
      <w:proofErr w:type="spellEnd"/>
      <w:r w:rsidRPr="009F15C9">
        <w:rPr>
          <w:lang w:val="en-US"/>
        </w:rPr>
        <w:t xml:space="preserve"> </w:t>
      </w:r>
      <w:proofErr w:type="spellStart"/>
      <w:r w:rsidRPr="009F15C9">
        <w:rPr>
          <w:lang w:val="en-US"/>
        </w:rPr>
        <w:t>Yargıç</w:t>
      </w:r>
      <w:proofErr w:type="spellEnd"/>
      <w:r w:rsidRPr="009F15C9">
        <w:rPr>
          <w:lang w:val="en-US"/>
        </w:rPr>
        <w:t xml:space="preserve"> Clarence </w:t>
      </w:r>
      <w:proofErr w:type="spellStart"/>
      <w:r w:rsidRPr="009F15C9">
        <w:rPr>
          <w:lang w:val="en-US"/>
        </w:rPr>
        <w:t>Thomas’ın</w:t>
      </w:r>
      <w:proofErr w:type="spellEnd"/>
      <w:r w:rsidRPr="009F15C9">
        <w:rPr>
          <w:lang w:val="en-US"/>
        </w:rPr>
        <w:t xml:space="preserve"> </w:t>
      </w:r>
      <w:proofErr w:type="spellStart"/>
      <w:r w:rsidRPr="009F15C9">
        <w:rPr>
          <w:lang w:val="en-US"/>
        </w:rPr>
        <w:t>akademik</w:t>
      </w:r>
      <w:proofErr w:type="spellEnd"/>
      <w:r w:rsidRPr="009F15C9">
        <w:rPr>
          <w:lang w:val="en-US"/>
        </w:rPr>
        <w:t xml:space="preserve"> </w:t>
      </w:r>
      <w:proofErr w:type="spellStart"/>
      <w:r w:rsidRPr="009F15C9">
        <w:rPr>
          <w:lang w:val="en-US"/>
        </w:rPr>
        <w:t>açıdan</w:t>
      </w:r>
      <w:proofErr w:type="spellEnd"/>
      <w:r w:rsidRPr="009F15C9">
        <w:rPr>
          <w:lang w:val="en-US"/>
        </w:rPr>
        <w:t xml:space="preserve"> </w:t>
      </w:r>
      <w:proofErr w:type="spellStart"/>
      <w:r w:rsidRPr="009F15C9">
        <w:rPr>
          <w:lang w:val="en-US"/>
        </w:rPr>
        <w:t>öne</w:t>
      </w:r>
      <w:proofErr w:type="spellEnd"/>
      <w:r w:rsidRPr="009F15C9">
        <w:rPr>
          <w:lang w:val="en-US"/>
        </w:rPr>
        <w:t xml:space="preserve"> </w:t>
      </w:r>
      <w:proofErr w:type="spellStart"/>
      <w:r w:rsidRPr="009F15C9">
        <w:rPr>
          <w:lang w:val="en-US"/>
        </w:rPr>
        <w:t>çıkmamış</w:t>
      </w:r>
      <w:proofErr w:type="spellEnd"/>
      <w:r w:rsidRPr="009F15C9">
        <w:rPr>
          <w:lang w:val="en-US"/>
        </w:rPr>
        <w:t xml:space="preserve"> </w:t>
      </w:r>
      <w:proofErr w:type="spellStart"/>
      <w:r w:rsidRPr="009F15C9">
        <w:rPr>
          <w:lang w:val="en-US"/>
        </w:rPr>
        <w:t>olması</w:t>
      </w:r>
      <w:proofErr w:type="spellEnd"/>
      <w:r w:rsidRPr="009F15C9">
        <w:rPr>
          <w:lang w:val="en-US"/>
        </w:rPr>
        <w:t>—</w:t>
      </w:r>
      <w:proofErr w:type="spellStart"/>
      <w:r w:rsidRPr="009F15C9">
        <w:rPr>
          <w:lang w:val="en-US"/>
        </w:rPr>
        <w:t>ancak</w:t>
      </w:r>
      <w:proofErr w:type="spellEnd"/>
      <w:r w:rsidRPr="009F15C9">
        <w:rPr>
          <w:lang w:val="en-US"/>
        </w:rPr>
        <w:t xml:space="preserve"> </w:t>
      </w:r>
      <w:proofErr w:type="spellStart"/>
      <w:r w:rsidRPr="009F15C9">
        <w:rPr>
          <w:lang w:val="en-US"/>
        </w:rPr>
        <w:t>yalnızca</w:t>
      </w:r>
      <w:proofErr w:type="spellEnd"/>
      <w:r w:rsidRPr="009F15C9">
        <w:rPr>
          <w:lang w:val="en-US"/>
        </w:rPr>
        <w:t xml:space="preserve"> </w:t>
      </w:r>
      <w:proofErr w:type="spellStart"/>
      <w:r w:rsidRPr="009F15C9">
        <w:rPr>
          <w:lang w:val="en-US"/>
        </w:rPr>
        <w:t>aday</w:t>
      </w:r>
      <w:proofErr w:type="spellEnd"/>
      <w:r w:rsidRPr="009F15C9">
        <w:rPr>
          <w:lang w:val="en-US"/>
        </w:rPr>
        <w:t xml:space="preserve">, </w:t>
      </w:r>
      <w:proofErr w:type="spellStart"/>
      <w:r w:rsidRPr="009F15C9">
        <w:rPr>
          <w:lang w:val="en-US"/>
        </w:rPr>
        <w:t>bu</w:t>
      </w:r>
      <w:proofErr w:type="spellEnd"/>
      <w:r w:rsidRPr="009F15C9">
        <w:rPr>
          <w:lang w:val="en-US"/>
        </w:rPr>
        <w:t xml:space="preserve"> </w:t>
      </w:r>
      <w:proofErr w:type="spellStart"/>
      <w:r w:rsidRPr="009F15C9">
        <w:rPr>
          <w:lang w:val="en-US"/>
        </w:rPr>
        <w:t>ölçütlerin</w:t>
      </w:r>
      <w:proofErr w:type="spellEnd"/>
      <w:r w:rsidRPr="009F15C9">
        <w:rPr>
          <w:lang w:val="en-US"/>
        </w:rPr>
        <w:t xml:space="preserve"> </w:t>
      </w:r>
      <w:proofErr w:type="spellStart"/>
      <w:r w:rsidRPr="009F15C9">
        <w:rPr>
          <w:lang w:val="en-US"/>
        </w:rPr>
        <w:t>çoğunu</w:t>
      </w:r>
      <w:proofErr w:type="spellEnd"/>
      <w:r w:rsidRPr="009F15C9">
        <w:rPr>
          <w:lang w:val="en-US"/>
        </w:rPr>
        <w:t xml:space="preserve"> </w:t>
      </w:r>
      <w:proofErr w:type="spellStart"/>
      <w:r w:rsidRPr="009F15C9">
        <w:rPr>
          <w:lang w:val="en-US"/>
        </w:rPr>
        <w:t>karşılıyor</w:t>
      </w:r>
      <w:proofErr w:type="spellEnd"/>
      <w:r w:rsidRPr="009F15C9">
        <w:rPr>
          <w:lang w:val="en-US"/>
        </w:rPr>
        <w:t xml:space="preserve"> </w:t>
      </w:r>
      <w:proofErr w:type="spellStart"/>
      <w:r w:rsidRPr="009F15C9">
        <w:rPr>
          <w:lang w:val="en-US"/>
        </w:rPr>
        <w:t>ve</w:t>
      </w:r>
      <w:proofErr w:type="spellEnd"/>
      <w:r w:rsidRPr="009F15C9">
        <w:rPr>
          <w:lang w:val="en-US"/>
        </w:rPr>
        <w:t xml:space="preserve"> </w:t>
      </w:r>
      <w:proofErr w:type="spellStart"/>
      <w:r w:rsidRPr="009F15C9">
        <w:rPr>
          <w:lang w:val="en-US"/>
        </w:rPr>
        <w:t>aday</w:t>
      </w:r>
      <w:proofErr w:type="spellEnd"/>
      <w:r w:rsidRPr="009F15C9">
        <w:rPr>
          <w:lang w:val="en-US"/>
        </w:rPr>
        <w:t xml:space="preserve"> </w:t>
      </w:r>
      <w:proofErr w:type="spellStart"/>
      <w:r w:rsidRPr="009F15C9">
        <w:rPr>
          <w:lang w:val="en-US"/>
        </w:rPr>
        <w:t>havuzunda</w:t>
      </w:r>
      <w:proofErr w:type="spellEnd"/>
      <w:r w:rsidRPr="009F15C9">
        <w:rPr>
          <w:lang w:val="en-US"/>
        </w:rPr>
        <w:t xml:space="preserve"> </w:t>
      </w:r>
      <w:proofErr w:type="spellStart"/>
      <w:r w:rsidRPr="009F15C9">
        <w:rPr>
          <w:lang w:val="en-US"/>
        </w:rPr>
        <w:t>başka</w:t>
      </w:r>
      <w:proofErr w:type="spellEnd"/>
      <w:r w:rsidRPr="009F15C9">
        <w:rPr>
          <w:lang w:val="en-US"/>
        </w:rPr>
        <w:t xml:space="preserve"> </w:t>
      </w:r>
      <w:proofErr w:type="spellStart"/>
      <w:r w:rsidRPr="009F15C9">
        <w:rPr>
          <w:lang w:val="en-US"/>
        </w:rPr>
        <w:t>hiçbir</w:t>
      </w:r>
      <w:proofErr w:type="spellEnd"/>
      <w:r w:rsidRPr="009F15C9">
        <w:rPr>
          <w:lang w:val="en-US"/>
        </w:rPr>
        <w:t xml:space="preserve"> </w:t>
      </w:r>
      <w:proofErr w:type="spellStart"/>
      <w:r w:rsidRPr="009F15C9">
        <w:rPr>
          <w:lang w:val="en-US"/>
        </w:rPr>
        <w:t>yerde</w:t>
      </w:r>
      <w:proofErr w:type="spellEnd"/>
      <w:r w:rsidRPr="009F15C9">
        <w:rPr>
          <w:lang w:val="en-US"/>
        </w:rPr>
        <w:t xml:space="preserve"> </w:t>
      </w:r>
      <w:proofErr w:type="spellStart"/>
      <w:r w:rsidRPr="009F15C9">
        <w:rPr>
          <w:lang w:val="en-US"/>
        </w:rPr>
        <w:t>bulunamayacak</w:t>
      </w:r>
      <w:proofErr w:type="spellEnd"/>
      <w:r w:rsidRPr="009F15C9">
        <w:rPr>
          <w:lang w:val="en-US"/>
        </w:rPr>
        <w:t xml:space="preserve"> </w:t>
      </w:r>
      <w:proofErr w:type="spellStart"/>
      <w:r w:rsidRPr="009F15C9">
        <w:rPr>
          <w:lang w:val="en-US"/>
        </w:rPr>
        <w:t>belirli</w:t>
      </w:r>
      <w:proofErr w:type="spellEnd"/>
      <w:r w:rsidRPr="009F15C9">
        <w:rPr>
          <w:lang w:val="en-US"/>
        </w:rPr>
        <w:t xml:space="preserve"> </w:t>
      </w:r>
      <w:proofErr w:type="spellStart"/>
      <w:r w:rsidRPr="009F15C9">
        <w:rPr>
          <w:lang w:val="en-US"/>
        </w:rPr>
        <w:t>nitelikler</w:t>
      </w:r>
      <w:proofErr w:type="spellEnd"/>
      <w:r w:rsidRPr="009F15C9">
        <w:rPr>
          <w:lang w:val="en-US"/>
        </w:rPr>
        <w:t xml:space="preserve"> </w:t>
      </w:r>
      <w:proofErr w:type="spellStart"/>
      <w:r w:rsidRPr="009F15C9">
        <w:rPr>
          <w:lang w:val="en-US"/>
        </w:rPr>
        <w:t>sunuyorsa</w:t>
      </w:r>
      <w:proofErr w:type="spellEnd"/>
      <w:r w:rsidRPr="009F15C9">
        <w:rPr>
          <w:lang w:val="en-US"/>
        </w:rPr>
        <w:t xml:space="preserve">. Harriet </w:t>
      </w:r>
      <w:proofErr w:type="spellStart"/>
      <w:r w:rsidRPr="009F15C9">
        <w:rPr>
          <w:lang w:val="en-US"/>
        </w:rPr>
        <w:t>Miers’in</w:t>
      </w:r>
      <w:proofErr w:type="spellEnd"/>
      <w:r w:rsidRPr="009F15C9">
        <w:rPr>
          <w:lang w:val="en-US"/>
        </w:rPr>
        <w:t xml:space="preserve"> </w:t>
      </w:r>
      <w:proofErr w:type="spellStart"/>
      <w:r w:rsidRPr="009F15C9">
        <w:rPr>
          <w:lang w:val="en-US"/>
        </w:rPr>
        <w:t>hikâyesinin</w:t>
      </w:r>
      <w:proofErr w:type="spellEnd"/>
      <w:r w:rsidRPr="009F15C9">
        <w:rPr>
          <w:lang w:val="en-US"/>
        </w:rPr>
        <w:t xml:space="preserve"> </w:t>
      </w:r>
      <w:proofErr w:type="spellStart"/>
      <w:r w:rsidRPr="009F15C9">
        <w:rPr>
          <w:lang w:val="en-US"/>
        </w:rPr>
        <w:t>gösterdiği</w:t>
      </w:r>
      <w:proofErr w:type="spellEnd"/>
      <w:r w:rsidRPr="009F15C9">
        <w:rPr>
          <w:lang w:val="en-US"/>
        </w:rPr>
        <w:t xml:space="preserve"> </w:t>
      </w:r>
      <w:proofErr w:type="spellStart"/>
      <w:r w:rsidRPr="009F15C9">
        <w:rPr>
          <w:lang w:val="en-US"/>
        </w:rPr>
        <w:t>gibi</w:t>
      </w:r>
      <w:proofErr w:type="spellEnd"/>
      <w:r w:rsidRPr="009F15C9">
        <w:rPr>
          <w:lang w:val="en-US"/>
        </w:rPr>
        <w:t xml:space="preserve">, </w:t>
      </w:r>
      <w:proofErr w:type="spellStart"/>
      <w:r w:rsidRPr="009F15C9">
        <w:rPr>
          <w:lang w:val="en-US"/>
        </w:rPr>
        <w:t>bu</w:t>
      </w:r>
      <w:proofErr w:type="spellEnd"/>
      <w:r w:rsidRPr="009F15C9">
        <w:rPr>
          <w:lang w:val="en-US"/>
        </w:rPr>
        <w:t xml:space="preserve"> </w:t>
      </w:r>
      <w:proofErr w:type="spellStart"/>
      <w:r w:rsidRPr="009F15C9">
        <w:rPr>
          <w:lang w:val="en-US"/>
        </w:rPr>
        <w:t>normlardan</w:t>
      </w:r>
      <w:proofErr w:type="spellEnd"/>
      <w:r w:rsidRPr="009F15C9">
        <w:rPr>
          <w:lang w:val="en-US"/>
        </w:rPr>
        <w:t xml:space="preserve"> </w:t>
      </w:r>
      <w:proofErr w:type="spellStart"/>
      <w:r w:rsidRPr="009F15C9">
        <w:rPr>
          <w:lang w:val="en-US"/>
        </w:rPr>
        <w:t>önemli</w:t>
      </w:r>
      <w:proofErr w:type="spellEnd"/>
      <w:r w:rsidRPr="009F15C9">
        <w:rPr>
          <w:lang w:val="en-US"/>
        </w:rPr>
        <w:t xml:space="preserve"> </w:t>
      </w:r>
      <w:proofErr w:type="spellStart"/>
      <w:r w:rsidRPr="009F15C9">
        <w:rPr>
          <w:lang w:val="en-US"/>
        </w:rPr>
        <w:t>ölçüde</w:t>
      </w:r>
      <w:proofErr w:type="spellEnd"/>
      <w:r w:rsidRPr="009F15C9">
        <w:rPr>
          <w:lang w:val="en-US"/>
        </w:rPr>
        <w:t xml:space="preserve"> </w:t>
      </w:r>
      <w:proofErr w:type="spellStart"/>
      <w:r w:rsidRPr="009F15C9">
        <w:rPr>
          <w:lang w:val="en-US"/>
        </w:rPr>
        <w:t>sapma</w:t>
      </w:r>
      <w:proofErr w:type="spellEnd"/>
      <w:r w:rsidRPr="009F15C9">
        <w:rPr>
          <w:lang w:val="en-US"/>
        </w:rPr>
        <w:t xml:space="preserve"> </w:t>
      </w:r>
      <w:proofErr w:type="spellStart"/>
      <w:r w:rsidRPr="009F15C9">
        <w:rPr>
          <w:lang w:val="en-US"/>
        </w:rPr>
        <w:t>gösteren</w:t>
      </w:r>
      <w:proofErr w:type="spellEnd"/>
      <w:r w:rsidRPr="009F15C9">
        <w:rPr>
          <w:lang w:val="en-US"/>
        </w:rPr>
        <w:t xml:space="preserve"> </w:t>
      </w:r>
      <w:proofErr w:type="spellStart"/>
      <w:r w:rsidRPr="009F15C9">
        <w:rPr>
          <w:lang w:val="en-US"/>
        </w:rPr>
        <w:t>adaylar</w:t>
      </w:r>
      <w:proofErr w:type="spellEnd"/>
      <w:r w:rsidRPr="009F15C9">
        <w:rPr>
          <w:lang w:val="en-US"/>
        </w:rPr>
        <w:t xml:space="preserve"> (</w:t>
      </w:r>
      <w:proofErr w:type="spellStart"/>
      <w:r w:rsidRPr="009F15C9">
        <w:rPr>
          <w:lang w:val="en-US"/>
        </w:rPr>
        <w:t>veya</w:t>
      </w:r>
      <w:proofErr w:type="spellEnd"/>
      <w:r w:rsidRPr="009F15C9">
        <w:rPr>
          <w:lang w:val="en-US"/>
        </w:rPr>
        <w:t xml:space="preserve"> </w:t>
      </w:r>
      <w:proofErr w:type="spellStart"/>
      <w:r w:rsidRPr="009F15C9">
        <w:rPr>
          <w:lang w:val="en-US"/>
        </w:rPr>
        <w:t>aday</w:t>
      </w:r>
      <w:proofErr w:type="spellEnd"/>
      <w:r w:rsidRPr="009F15C9">
        <w:rPr>
          <w:lang w:val="en-US"/>
        </w:rPr>
        <w:t xml:space="preserve"> </w:t>
      </w:r>
      <w:proofErr w:type="spellStart"/>
      <w:r w:rsidRPr="009F15C9">
        <w:rPr>
          <w:lang w:val="en-US"/>
        </w:rPr>
        <w:t>gösterilenler</w:t>
      </w:r>
      <w:proofErr w:type="spellEnd"/>
      <w:r w:rsidRPr="009F15C9">
        <w:rPr>
          <w:lang w:val="en-US"/>
        </w:rPr>
        <w:t xml:space="preserve">), </w:t>
      </w:r>
      <w:proofErr w:type="spellStart"/>
      <w:r w:rsidRPr="009F15C9">
        <w:rPr>
          <w:lang w:val="en-US"/>
        </w:rPr>
        <w:t>mesleki</w:t>
      </w:r>
      <w:proofErr w:type="spellEnd"/>
      <w:r w:rsidRPr="009F15C9">
        <w:rPr>
          <w:lang w:val="en-US"/>
        </w:rPr>
        <w:t xml:space="preserve"> </w:t>
      </w:r>
      <w:proofErr w:type="spellStart"/>
      <w:r w:rsidRPr="009F15C9">
        <w:rPr>
          <w:lang w:val="en-US"/>
        </w:rPr>
        <w:t>başarı</w:t>
      </w:r>
      <w:proofErr w:type="spellEnd"/>
      <w:r w:rsidRPr="009F15C9">
        <w:rPr>
          <w:lang w:val="en-US"/>
        </w:rPr>
        <w:t xml:space="preserve"> </w:t>
      </w:r>
      <w:proofErr w:type="spellStart"/>
      <w:r w:rsidRPr="009F15C9">
        <w:rPr>
          <w:lang w:val="en-US"/>
        </w:rPr>
        <w:t>ve</w:t>
      </w:r>
      <w:proofErr w:type="spellEnd"/>
      <w:r w:rsidRPr="009F15C9">
        <w:rPr>
          <w:lang w:val="en-US"/>
        </w:rPr>
        <w:t xml:space="preserve"> </w:t>
      </w:r>
      <w:proofErr w:type="spellStart"/>
      <w:r w:rsidRPr="009F15C9">
        <w:rPr>
          <w:lang w:val="en-US"/>
        </w:rPr>
        <w:t>hukuki</w:t>
      </w:r>
      <w:proofErr w:type="spellEnd"/>
      <w:r w:rsidRPr="009F15C9">
        <w:rPr>
          <w:lang w:val="en-US"/>
        </w:rPr>
        <w:t xml:space="preserve"> </w:t>
      </w:r>
      <w:proofErr w:type="spellStart"/>
      <w:r w:rsidRPr="009F15C9">
        <w:rPr>
          <w:lang w:val="en-US"/>
        </w:rPr>
        <w:t>yetkinlik</w:t>
      </w:r>
      <w:proofErr w:type="spellEnd"/>
      <w:r w:rsidRPr="009F15C9">
        <w:rPr>
          <w:lang w:val="en-US"/>
        </w:rPr>
        <w:t xml:space="preserve"> </w:t>
      </w:r>
      <w:proofErr w:type="spellStart"/>
      <w:r w:rsidRPr="009F15C9">
        <w:rPr>
          <w:lang w:val="en-US"/>
        </w:rPr>
        <w:t>açısından</w:t>
      </w:r>
      <w:proofErr w:type="spellEnd"/>
      <w:r w:rsidRPr="009F15C9">
        <w:rPr>
          <w:lang w:val="en-US"/>
        </w:rPr>
        <w:t xml:space="preserve"> </w:t>
      </w:r>
      <w:proofErr w:type="spellStart"/>
      <w:r w:rsidRPr="009F15C9">
        <w:rPr>
          <w:lang w:val="en-US"/>
        </w:rPr>
        <w:t>güçlü</w:t>
      </w:r>
      <w:proofErr w:type="spellEnd"/>
      <w:r w:rsidRPr="009F15C9">
        <w:rPr>
          <w:lang w:val="en-US"/>
        </w:rPr>
        <w:t xml:space="preserve"> </w:t>
      </w:r>
      <w:proofErr w:type="spellStart"/>
      <w:r w:rsidRPr="009F15C9">
        <w:rPr>
          <w:lang w:val="en-US"/>
        </w:rPr>
        <w:t>göstergelere</w:t>
      </w:r>
      <w:proofErr w:type="spellEnd"/>
      <w:r w:rsidRPr="009F15C9">
        <w:rPr>
          <w:lang w:val="en-US"/>
        </w:rPr>
        <w:t xml:space="preserve"> </w:t>
      </w:r>
      <w:proofErr w:type="spellStart"/>
      <w:r w:rsidRPr="009F15C9">
        <w:rPr>
          <w:lang w:val="en-US"/>
        </w:rPr>
        <w:t>sahip</w:t>
      </w:r>
      <w:proofErr w:type="spellEnd"/>
      <w:r w:rsidRPr="009F15C9">
        <w:rPr>
          <w:lang w:val="en-US"/>
        </w:rPr>
        <w:t xml:space="preserve"> </w:t>
      </w:r>
      <w:proofErr w:type="spellStart"/>
      <w:r w:rsidRPr="009F15C9">
        <w:rPr>
          <w:lang w:val="en-US"/>
        </w:rPr>
        <w:t>olsalar</w:t>
      </w:r>
      <w:proofErr w:type="spellEnd"/>
      <w:r w:rsidRPr="009F15C9">
        <w:rPr>
          <w:lang w:val="en-US"/>
        </w:rPr>
        <w:t xml:space="preserve"> bile </w:t>
      </w:r>
      <w:proofErr w:type="spellStart"/>
      <w:r w:rsidRPr="009F15C9">
        <w:rPr>
          <w:lang w:val="en-US"/>
        </w:rPr>
        <w:t>süreçte</w:t>
      </w:r>
      <w:proofErr w:type="spellEnd"/>
      <w:r w:rsidRPr="009F15C9">
        <w:rPr>
          <w:lang w:val="en-US"/>
        </w:rPr>
        <w:t xml:space="preserve"> </w:t>
      </w:r>
      <w:proofErr w:type="spellStart"/>
      <w:r w:rsidRPr="009F15C9">
        <w:rPr>
          <w:lang w:val="en-US"/>
        </w:rPr>
        <w:t>ilerlemekte</w:t>
      </w:r>
      <w:proofErr w:type="spellEnd"/>
      <w:r w:rsidRPr="009F15C9">
        <w:rPr>
          <w:lang w:val="en-US"/>
        </w:rPr>
        <w:t xml:space="preserve"> </w:t>
      </w:r>
      <w:proofErr w:type="spellStart"/>
      <w:r w:rsidRPr="009F15C9">
        <w:rPr>
          <w:lang w:val="en-US"/>
        </w:rPr>
        <w:t>zorlanmaktadır</w:t>
      </w:r>
      <w:proofErr w:type="spellEnd"/>
      <w:r w:rsidRPr="009F15C9">
        <w:rPr>
          <w:lang w:val="en-US"/>
        </w:rPr>
        <w:t>.</w:t>
      </w:r>
    </w:p>
    <w:p w14:paraId="242371EF" w14:textId="71163151" w:rsidR="009F15C9" w:rsidRPr="009F15C9" w:rsidRDefault="009F15C9" w:rsidP="009F15C9">
      <w:pPr>
        <w:pStyle w:val="Dipnot"/>
        <w:rPr>
          <w:lang w:val="en-US"/>
        </w:rPr>
      </w:pPr>
    </w:p>
  </w:footnote>
  <w:footnote w:id="33">
    <w:p w14:paraId="01E29699" w14:textId="7AEFFD67" w:rsidR="009F15C9" w:rsidRPr="006C0620" w:rsidRDefault="009F15C9" w:rsidP="009F15C9">
      <w:pPr>
        <w:pStyle w:val="Dipnot"/>
        <w:rPr>
          <w:lang w:val="en-US"/>
        </w:rPr>
      </w:pPr>
      <w:r>
        <w:rPr>
          <w:rStyle w:val="FootnoteReference"/>
        </w:rPr>
        <w:footnoteRef/>
      </w:r>
      <w:r>
        <w:t xml:space="preserve"> </w:t>
      </w:r>
      <w:r w:rsidRPr="006C0620">
        <w:tab/>
      </w:r>
      <w:r w:rsidRPr="006C0620">
        <w:rPr>
          <w:lang w:val="en-US"/>
        </w:rPr>
        <w:t xml:space="preserve">33 </w:t>
      </w:r>
      <w:proofErr w:type="spellStart"/>
      <w:r w:rsidRPr="006C0620">
        <w:rPr>
          <w:lang w:val="en-US"/>
        </w:rPr>
        <w:t>Bkz</w:t>
      </w:r>
      <w:proofErr w:type="spellEnd"/>
      <w:r w:rsidRPr="006C0620">
        <w:rPr>
          <w:lang w:val="en-US"/>
        </w:rPr>
        <w:t xml:space="preserve">. DAVID ALISTAIR YALOF, PURSUIT OF JUSTICES: PRESIDENTIAL POLITICS AND THE SELECTION OF SUPREME COURT NOMINEES 44 (2001) (Başkan </w:t>
      </w:r>
      <w:proofErr w:type="spellStart"/>
      <w:r w:rsidRPr="006C0620">
        <w:rPr>
          <w:lang w:val="en-US"/>
        </w:rPr>
        <w:t>Eisenhower’ın</w:t>
      </w:r>
      <w:proofErr w:type="spellEnd"/>
      <w:r w:rsidRPr="006C0620">
        <w:rPr>
          <w:lang w:val="en-US"/>
        </w:rPr>
        <w:t xml:space="preserve">, </w:t>
      </w:r>
      <w:proofErr w:type="spellStart"/>
      <w:r w:rsidRPr="006C0620">
        <w:rPr>
          <w:lang w:val="en-US"/>
        </w:rPr>
        <w:t>adaylarını</w:t>
      </w:r>
      <w:proofErr w:type="spellEnd"/>
      <w:r w:rsidRPr="006C0620">
        <w:rPr>
          <w:lang w:val="en-US"/>
        </w:rPr>
        <w:t xml:space="preserve"> “federal</w:t>
      </w:r>
      <w:r w:rsidRPr="009F15C9">
        <w:rPr>
          <w:lang w:val="en-US"/>
        </w:rPr>
        <w:t xml:space="preserve"> </w:t>
      </w:r>
      <w:proofErr w:type="spellStart"/>
      <w:r w:rsidRPr="009F15C9">
        <w:rPr>
          <w:lang w:val="en-US"/>
        </w:rPr>
        <w:t>temyiz</w:t>
      </w:r>
      <w:proofErr w:type="spellEnd"/>
      <w:r w:rsidRPr="009F15C9">
        <w:rPr>
          <w:lang w:val="en-US"/>
        </w:rPr>
        <w:t xml:space="preserve"> </w:t>
      </w:r>
      <w:proofErr w:type="spellStart"/>
      <w:r w:rsidRPr="009F15C9">
        <w:rPr>
          <w:lang w:val="en-US"/>
        </w:rPr>
        <w:t>mahkemeleri</w:t>
      </w:r>
      <w:proofErr w:type="spellEnd"/>
      <w:r w:rsidRPr="009F15C9">
        <w:rPr>
          <w:lang w:val="en-US"/>
        </w:rPr>
        <w:t xml:space="preserve"> (federal courts of appeals) </w:t>
      </w:r>
      <w:proofErr w:type="spellStart"/>
      <w:r w:rsidRPr="009F15C9">
        <w:rPr>
          <w:lang w:val="en-US"/>
        </w:rPr>
        <w:t>ve</w:t>
      </w:r>
      <w:proofErr w:type="spellEnd"/>
      <w:r w:rsidRPr="009F15C9">
        <w:rPr>
          <w:lang w:val="en-US"/>
        </w:rPr>
        <w:t xml:space="preserve"> eyalet </w:t>
      </w:r>
      <w:proofErr w:type="spellStart"/>
      <w:r w:rsidRPr="009F15C9">
        <w:rPr>
          <w:lang w:val="en-US"/>
        </w:rPr>
        <w:t>yüksek</w:t>
      </w:r>
      <w:proofErr w:type="spellEnd"/>
      <w:r w:rsidRPr="009F15C9">
        <w:rPr>
          <w:lang w:val="en-US"/>
        </w:rPr>
        <w:t xml:space="preserve"> </w:t>
      </w:r>
      <w:proofErr w:type="spellStart"/>
      <w:r w:rsidRPr="009F15C9">
        <w:rPr>
          <w:lang w:val="en-US"/>
        </w:rPr>
        <w:t>mahkemeleri</w:t>
      </w:r>
      <w:proofErr w:type="spellEnd"/>
      <w:r w:rsidRPr="009F15C9">
        <w:rPr>
          <w:lang w:val="en-US"/>
        </w:rPr>
        <w:t xml:space="preserve"> (state supreme courts) </w:t>
      </w:r>
      <w:proofErr w:type="spellStart"/>
      <w:r w:rsidRPr="009F15C9">
        <w:rPr>
          <w:lang w:val="en-US"/>
        </w:rPr>
        <w:t>saflarından</w:t>
      </w:r>
      <w:proofErr w:type="spellEnd"/>
      <w:r w:rsidRPr="009F15C9">
        <w:rPr>
          <w:lang w:val="en-US"/>
        </w:rPr>
        <w:t xml:space="preserve">” </w:t>
      </w:r>
      <w:proofErr w:type="spellStart"/>
      <w:r w:rsidRPr="006C0620">
        <w:rPr>
          <w:lang w:val="en-US"/>
        </w:rPr>
        <w:t>seçme</w:t>
      </w:r>
      <w:proofErr w:type="spellEnd"/>
      <w:r w:rsidRPr="006C0620">
        <w:rPr>
          <w:lang w:val="en-US"/>
        </w:rPr>
        <w:t xml:space="preserve"> </w:t>
      </w:r>
      <w:proofErr w:type="spellStart"/>
      <w:r w:rsidRPr="006C0620">
        <w:rPr>
          <w:lang w:val="en-US"/>
        </w:rPr>
        <w:t>tercihine</w:t>
      </w:r>
      <w:proofErr w:type="spellEnd"/>
      <w:r w:rsidRPr="006C0620">
        <w:rPr>
          <w:lang w:val="en-US"/>
        </w:rPr>
        <w:t xml:space="preserve"> </w:t>
      </w:r>
      <w:proofErr w:type="spellStart"/>
      <w:r w:rsidRPr="006C0620">
        <w:rPr>
          <w:lang w:val="en-US"/>
        </w:rPr>
        <w:t>ilişkin</w:t>
      </w:r>
      <w:proofErr w:type="spellEnd"/>
      <w:r w:rsidRPr="006C0620">
        <w:rPr>
          <w:lang w:val="en-US"/>
        </w:rPr>
        <w:t xml:space="preserve"> </w:t>
      </w:r>
      <w:proofErr w:type="spellStart"/>
      <w:r w:rsidRPr="006C0620">
        <w:rPr>
          <w:lang w:val="en-US"/>
        </w:rPr>
        <w:t>açıklama</w:t>
      </w:r>
      <w:proofErr w:type="spellEnd"/>
      <w:r w:rsidRPr="006C0620">
        <w:rPr>
          <w:lang w:val="en-US"/>
        </w:rPr>
        <w:t xml:space="preserve"> </w:t>
      </w:r>
      <w:proofErr w:type="spellStart"/>
      <w:r w:rsidRPr="006C0620">
        <w:rPr>
          <w:lang w:val="en-US"/>
        </w:rPr>
        <w:t>yapmaktadır</w:t>
      </w:r>
      <w:proofErr w:type="spellEnd"/>
      <w:r w:rsidRPr="006C0620">
        <w:rPr>
          <w:lang w:val="en-US"/>
        </w:rPr>
        <w:t xml:space="preserve">); Epstein et al., supra </w:t>
      </w:r>
      <w:proofErr w:type="spellStart"/>
      <w:r w:rsidRPr="006C0620">
        <w:rPr>
          <w:lang w:val="en-US"/>
        </w:rPr>
        <w:t>dipnot</w:t>
      </w:r>
      <w:proofErr w:type="spellEnd"/>
      <w:r w:rsidRPr="006C0620">
        <w:rPr>
          <w:lang w:val="en-US"/>
        </w:rPr>
        <w:t xml:space="preserve"> 28, s. 835 (Başkan Dwight D. </w:t>
      </w:r>
      <w:proofErr w:type="spellStart"/>
      <w:r w:rsidRPr="006C0620">
        <w:rPr>
          <w:lang w:val="en-US"/>
        </w:rPr>
        <w:t>Eisenhower’ın</w:t>
      </w:r>
      <w:proofErr w:type="spellEnd"/>
      <w:r w:rsidRPr="006C0620">
        <w:rPr>
          <w:lang w:val="en-US"/>
        </w:rPr>
        <w:t xml:space="preserve">, </w:t>
      </w:r>
      <w:proofErr w:type="spellStart"/>
      <w:r w:rsidRPr="006C0620">
        <w:rPr>
          <w:lang w:val="en-US"/>
        </w:rPr>
        <w:t>temyiz</w:t>
      </w:r>
      <w:proofErr w:type="spellEnd"/>
      <w:r w:rsidRPr="006C0620">
        <w:rPr>
          <w:lang w:val="en-US"/>
        </w:rPr>
        <w:t xml:space="preserve"> </w:t>
      </w:r>
      <w:proofErr w:type="spellStart"/>
      <w:r w:rsidRPr="006C0620">
        <w:rPr>
          <w:lang w:val="en-US"/>
        </w:rPr>
        <w:t>mahkemesi</w:t>
      </w:r>
      <w:proofErr w:type="spellEnd"/>
      <w:r w:rsidRPr="006C0620">
        <w:rPr>
          <w:lang w:val="en-US"/>
        </w:rPr>
        <w:t xml:space="preserve"> </w:t>
      </w:r>
      <w:proofErr w:type="spellStart"/>
      <w:r w:rsidRPr="006C0620">
        <w:rPr>
          <w:lang w:val="en-US"/>
        </w:rPr>
        <w:t>yargıçlığı</w:t>
      </w:r>
      <w:proofErr w:type="spellEnd"/>
      <w:r w:rsidRPr="006C0620">
        <w:rPr>
          <w:lang w:val="en-US"/>
        </w:rPr>
        <w:t xml:space="preserve"> </w:t>
      </w:r>
      <w:proofErr w:type="spellStart"/>
      <w:r w:rsidRPr="006C0620">
        <w:rPr>
          <w:lang w:val="en-US"/>
        </w:rPr>
        <w:t>atamalarını</w:t>
      </w:r>
      <w:proofErr w:type="spellEnd"/>
      <w:r w:rsidRPr="006C0620">
        <w:rPr>
          <w:lang w:val="en-US"/>
        </w:rPr>
        <w:t xml:space="preserve"> Yüksek </w:t>
      </w:r>
      <w:proofErr w:type="spellStart"/>
      <w:r w:rsidRPr="006C0620">
        <w:rPr>
          <w:lang w:val="en-US"/>
        </w:rPr>
        <w:t>Mahkeme’ye</w:t>
      </w:r>
      <w:proofErr w:type="spellEnd"/>
      <w:r w:rsidRPr="006C0620">
        <w:rPr>
          <w:lang w:val="en-US"/>
        </w:rPr>
        <w:t xml:space="preserve"> (Supreme Court) </w:t>
      </w:r>
      <w:proofErr w:type="spellStart"/>
      <w:r w:rsidRPr="006C0620">
        <w:rPr>
          <w:lang w:val="en-US"/>
        </w:rPr>
        <w:t>giden</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basamak</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proofErr w:type="spellStart"/>
      <w:r w:rsidRPr="006C0620">
        <w:rPr>
          <w:lang w:val="en-US"/>
        </w:rPr>
        <w:t>kullanacağını</w:t>
      </w:r>
      <w:proofErr w:type="spellEnd"/>
      <w:r w:rsidRPr="006C0620">
        <w:rPr>
          <w:lang w:val="en-US"/>
        </w:rPr>
        <w:t xml:space="preserve"> </w:t>
      </w:r>
      <w:proofErr w:type="spellStart"/>
      <w:r w:rsidRPr="006C0620">
        <w:rPr>
          <w:lang w:val="en-US"/>
        </w:rPr>
        <w:t>açıkça</w:t>
      </w:r>
      <w:proofErr w:type="spellEnd"/>
      <w:r w:rsidRPr="006C0620">
        <w:rPr>
          <w:lang w:val="en-US"/>
        </w:rPr>
        <w:t xml:space="preserve"> </w:t>
      </w:r>
      <w:proofErr w:type="spellStart"/>
      <w:r w:rsidRPr="006C0620">
        <w:rPr>
          <w:lang w:val="en-US"/>
        </w:rPr>
        <w:t>belirttiğini</w:t>
      </w:r>
      <w:proofErr w:type="spellEnd"/>
      <w:r w:rsidRPr="006C0620">
        <w:rPr>
          <w:lang w:val="en-US"/>
        </w:rPr>
        <w:t xml:space="preserve"> </w:t>
      </w:r>
      <w:proofErr w:type="spellStart"/>
      <w:r w:rsidRPr="006C0620">
        <w:rPr>
          <w:lang w:val="en-US"/>
        </w:rPr>
        <w:t>açıklamaktadır</w:t>
      </w:r>
      <w:proofErr w:type="spellEnd"/>
      <w:r w:rsidRPr="006C0620">
        <w:rPr>
          <w:lang w:val="en-US"/>
        </w:rPr>
        <w:t>).</w:t>
      </w:r>
    </w:p>
  </w:footnote>
  <w:footnote w:id="34">
    <w:p w14:paraId="5DA8D036" w14:textId="30C50C6F" w:rsidR="009F15C9" w:rsidRPr="006C0620" w:rsidRDefault="009F15C9" w:rsidP="009F15C9">
      <w:pPr>
        <w:pStyle w:val="Dipnot"/>
        <w:rPr>
          <w:lang w:val="en-US"/>
        </w:rPr>
      </w:pPr>
      <w:r w:rsidRPr="006C0620">
        <w:rPr>
          <w:rStyle w:val="FootnoteReference"/>
        </w:rPr>
        <w:footnoteRef/>
      </w:r>
      <w:r w:rsidRPr="006C0620">
        <w:t xml:space="preserve"> </w:t>
      </w:r>
      <w:r w:rsidRPr="006C0620">
        <w:tab/>
      </w:r>
      <w:r w:rsidRPr="006C0620">
        <w:rPr>
          <w:lang w:val="en-US"/>
        </w:rPr>
        <w:t xml:space="preserve">34 </w:t>
      </w:r>
      <w:proofErr w:type="spellStart"/>
      <w:r w:rsidRPr="006C0620">
        <w:rPr>
          <w:lang w:val="en-US"/>
        </w:rPr>
        <w:t>Bkz</w:t>
      </w:r>
      <w:proofErr w:type="spellEnd"/>
      <w:r w:rsidRPr="006C0620">
        <w:rPr>
          <w:lang w:val="en-US"/>
        </w:rPr>
        <w:t xml:space="preserve">. SEAMON ET AL., supra </w:t>
      </w:r>
      <w:proofErr w:type="spellStart"/>
      <w:r w:rsidRPr="006C0620">
        <w:rPr>
          <w:lang w:val="en-US"/>
        </w:rPr>
        <w:t>dipnot</w:t>
      </w:r>
      <w:proofErr w:type="spellEnd"/>
      <w:r w:rsidRPr="006C0620">
        <w:rPr>
          <w:lang w:val="en-US"/>
        </w:rPr>
        <w:t xml:space="preserve"> 29, s. 24, 26-27 (</w:t>
      </w:r>
      <w:proofErr w:type="spellStart"/>
      <w:r w:rsidRPr="006C0620">
        <w:rPr>
          <w:lang w:val="en-US"/>
        </w:rPr>
        <w:t>Başkanlar</w:t>
      </w:r>
      <w:proofErr w:type="spellEnd"/>
      <w:r w:rsidRPr="006C0620">
        <w:rPr>
          <w:lang w:val="en-US"/>
        </w:rPr>
        <w:t xml:space="preserve"> Eisenhower, Kennedy, Johnson </w:t>
      </w:r>
      <w:proofErr w:type="spellStart"/>
      <w:r w:rsidRPr="006C0620">
        <w:rPr>
          <w:lang w:val="en-US"/>
        </w:rPr>
        <w:t>ve</w:t>
      </w:r>
      <w:proofErr w:type="spellEnd"/>
      <w:r w:rsidRPr="006C0620">
        <w:rPr>
          <w:lang w:val="en-US"/>
        </w:rPr>
        <w:t xml:space="preserve"> Nixon </w:t>
      </w:r>
      <w:proofErr w:type="spellStart"/>
      <w:r w:rsidRPr="006C0620">
        <w:rPr>
          <w:lang w:val="en-US"/>
        </w:rPr>
        <w:t>dönemlerindeki</w:t>
      </w:r>
      <w:proofErr w:type="spellEnd"/>
      <w:r w:rsidRPr="006C0620">
        <w:rPr>
          <w:lang w:val="en-US"/>
        </w:rPr>
        <w:t xml:space="preserve"> </w:t>
      </w:r>
      <w:proofErr w:type="spellStart"/>
      <w:r w:rsidRPr="006C0620">
        <w:rPr>
          <w:lang w:val="en-US"/>
        </w:rPr>
        <w:t>aday</w:t>
      </w:r>
      <w:proofErr w:type="spellEnd"/>
      <w:r w:rsidRPr="006C0620">
        <w:rPr>
          <w:lang w:val="en-US"/>
        </w:rPr>
        <w:t xml:space="preserve"> </w:t>
      </w:r>
      <w:proofErr w:type="spellStart"/>
      <w:r w:rsidRPr="006C0620">
        <w:rPr>
          <w:lang w:val="en-US"/>
        </w:rPr>
        <w:t>gösterme</w:t>
      </w:r>
      <w:proofErr w:type="spellEnd"/>
      <w:r w:rsidRPr="006C0620">
        <w:rPr>
          <w:lang w:val="en-US"/>
        </w:rPr>
        <w:t xml:space="preserve"> </w:t>
      </w:r>
      <w:proofErr w:type="spellStart"/>
      <w:r w:rsidRPr="006C0620">
        <w:rPr>
          <w:lang w:val="en-US"/>
        </w:rPr>
        <w:t>süreçlerini</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seçimlerini</w:t>
      </w:r>
      <w:proofErr w:type="spellEnd"/>
      <w:r w:rsidRPr="006C0620">
        <w:rPr>
          <w:lang w:val="en-US"/>
        </w:rPr>
        <w:t xml:space="preserve"> </w:t>
      </w:r>
      <w:proofErr w:type="spellStart"/>
      <w:r w:rsidRPr="006C0620">
        <w:rPr>
          <w:lang w:val="en-US"/>
        </w:rPr>
        <w:t>tartışmaktadır</w:t>
      </w:r>
      <w:proofErr w:type="spellEnd"/>
      <w:r w:rsidRPr="006C0620">
        <w:rPr>
          <w:lang w:val="en-US"/>
        </w:rPr>
        <w:t>).</w:t>
      </w:r>
    </w:p>
  </w:footnote>
  <w:footnote w:id="35">
    <w:p w14:paraId="401D70EB" w14:textId="3878C4A7" w:rsidR="009F15C9" w:rsidRPr="006C0620" w:rsidRDefault="009F15C9" w:rsidP="00653741">
      <w:pPr>
        <w:pStyle w:val="Dipnot"/>
        <w:rPr>
          <w:lang w:val="en-US"/>
        </w:rPr>
      </w:pPr>
      <w:r w:rsidRPr="006C0620">
        <w:rPr>
          <w:rStyle w:val="FootnoteReference"/>
        </w:rPr>
        <w:footnoteRef/>
      </w:r>
      <w:r w:rsidRPr="006C0620">
        <w:t xml:space="preserve"> </w:t>
      </w:r>
      <w:r w:rsidRPr="006C0620">
        <w:rPr>
          <w:lang w:val="en-US"/>
        </w:rPr>
        <w:tab/>
      </w:r>
      <w:r w:rsidRPr="006C0620">
        <w:rPr>
          <w:lang w:val="en-US"/>
        </w:rPr>
        <w:t xml:space="preserve">35 </w:t>
      </w:r>
      <w:proofErr w:type="spellStart"/>
      <w:r w:rsidRPr="006C0620">
        <w:rPr>
          <w:lang w:val="en-US"/>
        </w:rPr>
        <w:t>Bkz</w:t>
      </w:r>
      <w:proofErr w:type="spellEnd"/>
      <w:r w:rsidRPr="006C0620">
        <w:rPr>
          <w:lang w:val="en-US"/>
        </w:rPr>
        <w:t xml:space="preserve">. Warren E. Burger: 1969-1986, THE SUPREME COURT HISTORICAL SOCIETY, </w:t>
      </w:r>
      <w:hyperlink r:id="rId1" w:history="1">
        <w:r w:rsidRPr="006C0620">
          <w:rPr>
            <w:rStyle w:val="Hyperlink"/>
            <w:lang w:val="en-US"/>
          </w:rPr>
          <w:t>http://www.supremecourthistory.org/timeline_burger.html</w:t>
        </w:r>
      </w:hyperlink>
      <w:r w:rsidRPr="006C0620">
        <w:rPr>
          <w:lang w:val="en-US"/>
        </w:rPr>
        <w:t xml:space="preserve"> (son </w:t>
      </w:r>
      <w:proofErr w:type="spellStart"/>
      <w:r w:rsidRPr="006C0620">
        <w:rPr>
          <w:lang w:val="en-US"/>
        </w:rPr>
        <w:t>ziyaret</w:t>
      </w:r>
      <w:proofErr w:type="spellEnd"/>
      <w:r w:rsidRPr="006C0620">
        <w:rPr>
          <w:lang w:val="en-US"/>
        </w:rPr>
        <w:t xml:space="preserve">: 24 </w:t>
      </w:r>
      <w:proofErr w:type="spellStart"/>
      <w:r w:rsidRPr="006C0620">
        <w:rPr>
          <w:lang w:val="en-US"/>
        </w:rPr>
        <w:t>Şubat</w:t>
      </w:r>
      <w:proofErr w:type="spellEnd"/>
      <w:r w:rsidRPr="006C0620">
        <w:rPr>
          <w:lang w:val="en-US"/>
        </w:rPr>
        <w:t xml:space="preserve"> 2016) (</w:t>
      </w:r>
      <w:proofErr w:type="spellStart"/>
      <w:r w:rsidRPr="006C0620">
        <w:rPr>
          <w:lang w:val="en-US"/>
        </w:rPr>
        <w:t>Yargıç</w:t>
      </w:r>
      <w:proofErr w:type="spellEnd"/>
      <w:r w:rsidRPr="006C0620">
        <w:rPr>
          <w:lang w:val="en-US"/>
        </w:rPr>
        <w:t xml:space="preserve"> </w:t>
      </w:r>
      <w:proofErr w:type="spellStart"/>
      <w:r w:rsidRPr="006C0620">
        <w:rPr>
          <w:lang w:val="en-US"/>
        </w:rPr>
        <w:t>Burger’in</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hayat</w:t>
      </w:r>
      <w:proofErr w:type="spellEnd"/>
      <w:r w:rsidRPr="006C0620">
        <w:rPr>
          <w:lang w:val="en-US"/>
        </w:rPr>
        <w:t xml:space="preserve"> </w:t>
      </w:r>
      <w:proofErr w:type="spellStart"/>
      <w:r w:rsidRPr="006C0620">
        <w:rPr>
          <w:lang w:val="en-US"/>
        </w:rPr>
        <w:t>sigortası</w:t>
      </w:r>
      <w:proofErr w:type="spellEnd"/>
      <w:r w:rsidRPr="006C0620">
        <w:rPr>
          <w:lang w:val="en-US"/>
        </w:rPr>
        <w:t xml:space="preserve"> </w:t>
      </w:r>
      <w:proofErr w:type="spellStart"/>
      <w:r w:rsidRPr="006C0620">
        <w:rPr>
          <w:lang w:val="en-US"/>
        </w:rPr>
        <w:t>şirketinin</w:t>
      </w:r>
      <w:proofErr w:type="spellEnd"/>
      <w:r w:rsidRPr="006C0620">
        <w:rPr>
          <w:lang w:val="en-US"/>
        </w:rPr>
        <w:t xml:space="preserve"> </w:t>
      </w:r>
      <w:proofErr w:type="spellStart"/>
      <w:r w:rsidRPr="006C0620">
        <w:rPr>
          <w:lang w:val="en-US"/>
        </w:rPr>
        <w:t>muhasebe</w:t>
      </w:r>
      <w:proofErr w:type="spellEnd"/>
      <w:r w:rsidRPr="006C0620">
        <w:rPr>
          <w:lang w:val="en-US"/>
        </w:rPr>
        <w:t xml:space="preserve"> </w:t>
      </w:r>
      <w:proofErr w:type="spellStart"/>
      <w:r w:rsidRPr="006C0620">
        <w:rPr>
          <w:lang w:val="en-US"/>
        </w:rPr>
        <w:t>departmanında</w:t>
      </w:r>
      <w:proofErr w:type="spellEnd"/>
      <w:r w:rsidRPr="006C0620">
        <w:rPr>
          <w:lang w:val="en-US"/>
        </w:rPr>
        <w:t xml:space="preserve"> </w:t>
      </w:r>
      <w:proofErr w:type="spellStart"/>
      <w:r w:rsidRPr="006C0620">
        <w:rPr>
          <w:lang w:val="en-US"/>
        </w:rPr>
        <w:t>çalışırken</w:t>
      </w:r>
      <w:proofErr w:type="spellEnd"/>
      <w:r w:rsidRPr="006C0620">
        <w:rPr>
          <w:lang w:val="en-US"/>
        </w:rPr>
        <w:t xml:space="preserve"> </w:t>
      </w:r>
      <w:proofErr w:type="spellStart"/>
      <w:r w:rsidRPr="006C0620">
        <w:rPr>
          <w:lang w:val="en-US"/>
        </w:rPr>
        <w:t>dört</w:t>
      </w:r>
      <w:proofErr w:type="spellEnd"/>
      <w:r w:rsidRPr="006C0620">
        <w:rPr>
          <w:lang w:val="en-US"/>
        </w:rPr>
        <w:t xml:space="preserve"> </w:t>
      </w:r>
      <w:proofErr w:type="spellStart"/>
      <w:r w:rsidRPr="006C0620">
        <w:rPr>
          <w:lang w:val="en-US"/>
        </w:rPr>
        <w:t>yıl</w:t>
      </w:r>
      <w:proofErr w:type="spellEnd"/>
      <w:r w:rsidRPr="006C0620">
        <w:rPr>
          <w:lang w:val="en-US"/>
        </w:rPr>
        <w:t xml:space="preserve"> </w:t>
      </w:r>
      <w:proofErr w:type="spellStart"/>
      <w:r w:rsidRPr="006C0620">
        <w:rPr>
          <w:lang w:val="en-US"/>
        </w:rPr>
        <w:t>boyunca</w:t>
      </w:r>
      <w:proofErr w:type="spellEnd"/>
      <w:r w:rsidRPr="006C0620">
        <w:rPr>
          <w:lang w:val="en-US"/>
        </w:rPr>
        <w:t xml:space="preserve"> </w:t>
      </w:r>
      <w:proofErr w:type="spellStart"/>
      <w:r w:rsidRPr="006C0620">
        <w:rPr>
          <w:lang w:val="en-US"/>
        </w:rPr>
        <w:t>gece</w:t>
      </w:r>
      <w:proofErr w:type="spellEnd"/>
      <w:r w:rsidRPr="006C0620">
        <w:rPr>
          <w:lang w:val="en-US"/>
        </w:rPr>
        <w:t xml:space="preserve"> </w:t>
      </w:r>
      <w:proofErr w:type="spellStart"/>
      <w:r w:rsidRPr="006C0620">
        <w:rPr>
          <w:lang w:val="en-US"/>
        </w:rPr>
        <w:t>derslerine</w:t>
      </w:r>
      <w:proofErr w:type="spellEnd"/>
      <w:r w:rsidRPr="006C0620">
        <w:rPr>
          <w:lang w:val="en-US"/>
        </w:rPr>
        <w:t xml:space="preserve"> </w:t>
      </w:r>
      <w:proofErr w:type="spellStart"/>
      <w:r w:rsidRPr="006C0620">
        <w:rPr>
          <w:lang w:val="en-US"/>
        </w:rPr>
        <w:t>katıldığını</w:t>
      </w:r>
      <w:proofErr w:type="spellEnd"/>
      <w:r w:rsidRPr="006C0620">
        <w:rPr>
          <w:lang w:val="en-US"/>
        </w:rPr>
        <w:t xml:space="preserve"> </w:t>
      </w:r>
      <w:proofErr w:type="spellStart"/>
      <w:r w:rsidRPr="006C0620">
        <w:rPr>
          <w:lang w:val="en-US"/>
        </w:rPr>
        <w:t>açıklamaktadır</w:t>
      </w:r>
      <w:proofErr w:type="spellEnd"/>
      <w:r w:rsidRPr="006C0620">
        <w:rPr>
          <w:lang w:val="en-US"/>
        </w:rPr>
        <w:t>).</w:t>
      </w:r>
    </w:p>
  </w:footnote>
  <w:footnote w:id="36">
    <w:p w14:paraId="2B0DD76C" w14:textId="57462BBE" w:rsidR="00653741" w:rsidRPr="006C0620" w:rsidRDefault="00653741" w:rsidP="00653741">
      <w:pPr>
        <w:pStyle w:val="Dipnot"/>
        <w:rPr>
          <w:lang w:val="en-US"/>
        </w:rPr>
      </w:pPr>
      <w:r w:rsidRPr="006C0620">
        <w:rPr>
          <w:rStyle w:val="FootnoteReference"/>
        </w:rPr>
        <w:footnoteRef/>
      </w:r>
      <w:r w:rsidRPr="006C0620">
        <w:t xml:space="preserve"> </w:t>
      </w:r>
      <w:r w:rsidRPr="006C0620">
        <w:tab/>
      </w:r>
      <w:r w:rsidRPr="006C0620">
        <w:rPr>
          <w:lang w:val="en-US"/>
        </w:rPr>
        <w:t xml:space="preserve">36 </w:t>
      </w:r>
      <w:proofErr w:type="spellStart"/>
      <w:r w:rsidRPr="006C0620">
        <w:rPr>
          <w:lang w:val="en-US"/>
        </w:rPr>
        <w:t>Bkz</w:t>
      </w:r>
      <w:proofErr w:type="spellEnd"/>
      <w:r w:rsidRPr="006C0620">
        <w:rPr>
          <w:lang w:val="en-US"/>
        </w:rPr>
        <w:t xml:space="preserve">., </w:t>
      </w:r>
      <w:proofErr w:type="spellStart"/>
      <w:r w:rsidRPr="006C0620">
        <w:rPr>
          <w:lang w:val="en-US"/>
        </w:rPr>
        <w:t>örneğin</w:t>
      </w:r>
      <w:proofErr w:type="spellEnd"/>
      <w:r w:rsidRPr="006C0620">
        <w:rPr>
          <w:lang w:val="en-US"/>
        </w:rPr>
        <w:t xml:space="preserve">, Mark </w:t>
      </w:r>
      <w:proofErr w:type="spellStart"/>
      <w:r w:rsidRPr="006C0620">
        <w:rPr>
          <w:lang w:val="en-US"/>
        </w:rPr>
        <w:t>Tushnet</w:t>
      </w:r>
      <w:proofErr w:type="spellEnd"/>
      <w:r w:rsidRPr="006C0620">
        <w:rPr>
          <w:lang w:val="en-US"/>
        </w:rPr>
        <w:t>, Statement and Testimony, The Senate's Role in the Confirmation Process: Whose Burden?: Hearings Before the Senate Comm. on the Judiciary, Subcommittee on Administrative Oversight and the Courts, 107th Cong. 1st Sess. 179 (4 Eylül 2001) (</w:t>
      </w:r>
      <w:proofErr w:type="spellStart"/>
      <w:r w:rsidRPr="006C0620">
        <w:rPr>
          <w:lang w:val="en-US"/>
        </w:rPr>
        <w:t>bazı</w:t>
      </w:r>
      <w:proofErr w:type="spellEnd"/>
      <w:r w:rsidRPr="006C0620">
        <w:rPr>
          <w:lang w:val="en-US"/>
        </w:rPr>
        <w:t xml:space="preserve"> Yüksek </w:t>
      </w:r>
      <w:proofErr w:type="spellStart"/>
      <w:r w:rsidRPr="006C0620">
        <w:rPr>
          <w:lang w:val="en-US"/>
        </w:rPr>
        <w:t>Mahkeme</w:t>
      </w:r>
      <w:proofErr w:type="spellEnd"/>
      <w:r w:rsidRPr="006C0620">
        <w:rPr>
          <w:lang w:val="en-US"/>
        </w:rPr>
        <w:t xml:space="preserve"> </w:t>
      </w:r>
      <w:proofErr w:type="spellStart"/>
      <w:r w:rsidRPr="006C0620">
        <w:rPr>
          <w:lang w:val="en-US"/>
        </w:rPr>
        <w:t>yargıçlarının</w:t>
      </w:r>
      <w:proofErr w:type="spellEnd"/>
      <w:r w:rsidRPr="006C0620">
        <w:rPr>
          <w:lang w:val="en-US"/>
        </w:rPr>
        <w:t xml:space="preserve"> (Supreme Court Justices) </w:t>
      </w:r>
      <w:proofErr w:type="spellStart"/>
      <w:r w:rsidRPr="006C0620">
        <w:rPr>
          <w:lang w:val="en-US"/>
        </w:rPr>
        <w:t>daha</w:t>
      </w:r>
      <w:proofErr w:type="spellEnd"/>
      <w:r w:rsidRPr="006C0620">
        <w:rPr>
          <w:lang w:val="en-US"/>
        </w:rPr>
        <w:t xml:space="preserve"> </w:t>
      </w:r>
      <w:proofErr w:type="spellStart"/>
      <w:r w:rsidRPr="006C0620">
        <w:rPr>
          <w:lang w:val="en-US"/>
        </w:rPr>
        <w:t>fazla</w:t>
      </w:r>
      <w:proofErr w:type="spellEnd"/>
      <w:r w:rsidRPr="006C0620">
        <w:rPr>
          <w:lang w:val="en-US"/>
        </w:rPr>
        <w:t xml:space="preserve"> </w:t>
      </w:r>
      <w:proofErr w:type="spellStart"/>
      <w:r w:rsidRPr="006C0620">
        <w:rPr>
          <w:lang w:val="en-US"/>
        </w:rPr>
        <w:t>siyasi</w:t>
      </w:r>
      <w:proofErr w:type="spellEnd"/>
      <w:r w:rsidRPr="006C0620">
        <w:rPr>
          <w:lang w:val="en-US"/>
        </w:rPr>
        <w:t xml:space="preserve"> </w:t>
      </w:r>
      <w:proofErr w:type="spellStart"/>
      <w:r w:rsidRPr="006C0620">
        <w:rPr>
          <w:lang w:val="en-US"/>
        </w:rPr>
        <w:t>deneyime</w:t>
      </w:r>
      <w:proofErr w:type="spellEnd"/>
      <w:r w:rsidRPr="006C0620">
        <w:rPr>
          <w:lang w:val="en-US"/>
        </w:rPr>
        <w:t xml:space="preserve"> </w:t>
      </w:r>
      <w:proofErr w:type="spellStart"/>
      <w:r w:rsidRPr="006C0620">
        <w:rPr>
          <w:lang w:val="en-US"/>
        </w:rPr>
        <w:t>sahip</w:t>
      </w:r>
      <w:proofErr w:type="spellEnd"/>
      <w:r w:rsidRPr="006C0620">
        <w:rPr>
          <w:lang w:val="en-US"/>
        </w:rPr>
        <w:t xml:space="preserve"> </w:t>
      </w:r>
      <w:proofErr w:type="spellStart"/>
      <w:r w:rsidRPr="006C0620">
        <w:rPr>
          <w:lang w:val="en-US"/>
        </w:rPr>
        <w:t>olması</w:t>
      </w:r>
      <w:proofErr w:type="spellEnd"/>
      <w:r w:rsidRPr="006C0620">
        <w:rPr>
          <w:lang w:val="en-US"/>
        </w:rPr>
        <w:t xml:space="preserve"> </w:t>
      </w:r>
      <w:proofErr w:type="spellStart"/>
      <w:r w:rsidRPr="006C0620">
        <w:rPr>
          <w:lang w:val="en-US"/>
        </w:rPr>
        <w:t>gerektiğini</w:t>
      </w:r>
      <w:proofErr w:type="spellEnd"/>
      <w:r w:rsidRPr="006C0620">
        <w:rPr>
          <w:lang w:val="en-US"/>
        </w:rPr>
        <w:t xml:space="preserve"> </w:t>
      </w:r>
      <w:proofErr w:type="spellStart"/>
      <w:r w:rsidRPr="006C0620">
        <w:rPr>
          <w:lang w:val="en-US"/>
        </w:rPr>
        <w:t>savunmaktadır</w:t>
      </w:r>
      <w:proofErr w:type="spellEnd"/>
      <w:r w:rsidRPr="006C0620">
        <w:rPr>
          <w:lang w:val="en-US"/>
        </w:rPr>
        <w:t>), reprinted in 50 Drake L. Rev. 511, 561 (2002).</w:t>
      </w:r>
    </w:p>
  </w:footnote>
  <w:footnote w:id="37">
    <w:p w14:paraId="25E4BCE2" w14:textId="376ACF4D" w:rsidR="00653741" w:rsidRPr="00653741" w:rsidRDefault="00653741" w:rsidP="00653741">
      <w:pPr>
        <w:pStyle w:val="Dipnot"/>
        <w:rPr>
          <w:lang w:val="en-US"/>
        </w:rPr>
      </w:pPr>
      <w:r w:rsidRPr="006C0620">
        <w:rPr>
          <w:rStyle w:val="FootnoteReference"/>
        </w:rPr>
        <w:footnoteRef/>
      </w:r>
      <w:r w:rsidRPr="006C0620">
        <w:t xml:space="preserve"> </w:t>
      </w:r>
      <w:r w:rsidRPr="006C0620">
        <w:tab/>
      </w:r>
      <w:r w:rsidRPr="006C0620">
        <w:rPr>
          <w:lang w:val="en-US"/>
        </w:rPr>
        <w:t xml:space="preserve">37 Başkan </w:t>
      </w:r>
      <w:proofErr w:type="spellStart"/>
      <w:r w:rsidRPr="006C0620">
        <w:rPr>
          <w:lang w:val="en-US"/>
        </w:rPr>
        <w:t>Clinton’ın</w:t>
      </w:r>
      <w:proofErr w:type="spellEnd"/>
      <w:r w:rsidRPr="006C0620">
        <w:rPr>
          <w:lang w:val="en-US"/>
        </w:rPr>
        <w:t xml:space="preserve"> </w:t>
      </w:r>
      <w:proofErr w:type="spellStart"/>
      <w:r w:rsidRPr="006C0620">
        <w:rPr>
          <w:lang w:val="en-US"/>
        </w:rPr>
        <w:t>siyasi</w:t>
      </w:r>
      <w:proofErr w:type="spellEnd"/>
      <w:r w:rsidRPr="006C0620">
        <w:rPr>
          <w:lang w:val="en-US"/>
        </w:rPr>
        <w:t xml:space="preserve"> </w:t>
      </w:r>
      <w:proofErr w:type="spellStart"/>
      <w:r w:rsidRPr="006C0620">
        <w:rPr>
          <w:lang w:val="en-US"/>
        </w:rPr>
        <w:t>dünyadan</w:t>
      </w:r>
      <w:proofErr w:type="spellEnd"/>
      <w:r w:rsidRPr="006C0620">
        <w:rPr>
          <w:lang w:val="en-US"/>
        </w:rPr>
        <w:t xml:space="preserve"> </w:t>
      </w:r>
      <w:proofErr w:type="spellStart"/>
      <w:r w:rsidRPr="006C0620">
        <w:rPr>
          <w:lang w:val="en-US"/>
        </w:rPr>
        <w:t>potansiyel</w:t>
      </w:r>
      <w:proofErr w:type="spellEnd"/>
      <w:r w:rsidRPr="006C0620">
        <w:rPr>
          <w:lang w:val="en-US"/>
        </w:rPr>
        <w:t xml:space="preserve"> </w:t>
      </w:r>
      <w:proofErr w:type="spellStart"/>
      <w:r w:rsidRPr="006C0620">
        <w:rPr>
          <w:lang w:val="en-US"/>
        </w:rPr>
        <w:t>adaylarla</w:t>
      </w:r>
      <w:proofErr w:type="spellEnd"/>
      <w:r w:rsidRPr="006C0620">
        <w:rPr>
          <w:lang w:val="en-US"/>
        </w:rPr>
        <w:t xml:space="preserve"> (</w:t>
      </w:r>
      <w:proofErr w:type="spellStart"/>
      <w:r w:rsidRPr="006C0620">
        <w:rPr>
          <w:lang w:val="en-US"/>
        </w:rPr>
        <w:t>özellikle</w:t>
      </w:r>
      <w:proofErr w:type="spellEnd"/>
      <w:r w:rsidRPr="006C0620">
        <w:rPr>
          <w:lang w:val="en-US"/>
        </w:rPr>
        <w:t xml:space="preserve"> Mario Cuomo, George Mitchell </w:t>
      </w:r>
      <w:proofErr w:type="spellStart"/>
      <w:r w:rsidRPr="006C0620">
        <w:rPr>
          <w:lang w:val="en-US"/>
        </w:rPr>
        <w:t>ve</w:t>
      </w:r>
      <w:proofErr w:type="spellEnd"/>
      <w:r w:rsidRPr="006C0620">
        <w:rPr>
          <w:lang w:val="en-US"/>
        </w:rPr>
        <w:t xml:space="preserve"> Bruce Babbitt) </w:t>
      </w:r>
      <w:proofErr w:type="spellStart"/>
      <w:r w:rsidRPr="006C0620">
        <w:rPr>
          <w:lang w:val="en-US"/>
        </w:rPr>
        <w:t>yaptığı</w:t>
      </w:r>
      <w:proofErr w:type="spellEnd"/>
      <w:r w:rsidRPr="006C0620">
        <w:rPr>
          <w:lang w:val="en-US"/>
        </w:rPr>
        <w:t xml:space="preserve"> </w:t>
      </w:r>
      <w:proofErr w:type="spellStart"/>
      <w:r w:rsidRPr="006C0620">
        <w:rPr>
          <w:lang w:val="en-US"/>
        </w:rPr>
        <w:t>görüşmelere</w:t>
      </w:r>
      <w:proofErr w:type="spellEnd"/>
      <w:r w:rsidRPr="006C0620">
        <w:rPr>
          <w:lang w:val="en-US"/>
        </w:rPr>
        <w:t xml:space="preserve"> </w:t>
      </w:r>
      <w:proofErr w:type="spellStart"/>
      <w:r w:rsidRPr="006C0620">
        <w:rPr>
          <w:lang w:val="en-US"/>
        </w:rPr>
        <w:t>dair</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anlatı</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bkz</w:t>
      </w:r>
      <w:proofErr w:type="spellEnd"/>
      <w:r w:rsidRPr="006C0620">
        <w:rPr>
          <w:lang w:val="en-US"/>
        </w:rPr>
        <w:t>. JEFFREY TOOBIN, THE NINE: INSIDE THE SECRET WORLD OF THE SUPREME COURT 60-73 (2007).</w:t>
      </w:r>
    </w:p>
  </w:footnote>
  <w:footnote w:id="38">
    <w:p w14:paraId="61C7E109" w14:textId="60ACBEB1" w:rsidR="00653741" w:rsidRPr="006C0620" w:rsidRDefault="00653741" w:rsidP="00653741">
      <w:pPr>
        <w:pStyle w:val="Dipnot"/>
        <w:rPr>
          <w:lang w:val="en-US"/>
        </w:rPr>
      </w:pPr>
      <w:r>
        <w:rPr>
          <w:rStyle w:val="FootnoteReference"/>
        </w:rPr>
        <w:footnoteRef/>
      </w:r>
      <w:r>
        <w:t xml:space="preserve"> </w:t>
      </w:r>
      <w:r>
        <w:tab/>
      </w:r>
      <w:r w:rsidRPr="006C0620">
        <w:rPr>
          <w:lang w:val="en-US"/>
        </w:rPr>
        <w:t xml:space="preserve">38 Bu </w:t>
      </w:r>
      <w:proofErr w:type="spellStart"/>
      <w:r w:rsidRPr="006C0620">
        <w:rPr>
          <w:lang w:val="en-US"/>
        </w:rPr>
        <w:t>konudaki</w:t>
      </w:r>
      <w:proofErr w:type="spellEnd"/>
      <w:r w:rsidRPr="006C0620">
        <w:rPr>
          <w:lang w:val="en-US"/>
        </w:rPr>
        <w:t xml:space="preserve"> </w:t>
      </w:r>
      <w:proofErr w:type="spellStart"/>
      <w:r w:rsidRPr="006C0620">
        <w:rPr>
          <w:lang w:val="en-US"/>
        </w:rPr>
        <w:t>keskin</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ayrılıklarının</w:t>
      </w:r>
      <w:proofErr w:type="spellEnd"/>
      <w:r w:rsidRPr="006C0620">
        <w:rPr>
          <w:lang w:val="en-US"/>
        </w:rPr>
        <w:t xml:space="preserve"> Jackson </w:t>
      </w:r>
      <w:proofErr w:type="spellStart"/>
      <w:r w:rsidRPr="006C0620">
        <w:rPr>
          <w:lang w:val="en-US"/>
        </w:rPr>
        <w:t>dönemi</w:t>
      </w:r>
      <w:proofErr w:type="spellEnd"/>
      <w:r w:rsidRPr="006C0620">
        <w:rPr>
          <w:lang w:val="en-US"/>
        </w:rPr>
        <w:t xml:space="preserve"> (Jacksonian era) </w:t>
      </w:r>
      <w:proofErr w:type="spellStart"/>
      <w:r w:rsidRPr="006C0620">
        <w:rPr>
          <w:lang w:val="en-US"/>
        </w:rPr>
        <w:t>sırasında</w:t>
      </w:r>
      <w:proofErr w:type="spellEnd"/>
      <w:r w:rsidRPr="006C0620">
        <w:rPr>
          <w:lang w:val="en-US"/>
        </w:rPr>
        <w:t xml:space="preserve"> </w:t>
      </w:r>
      <w:proofErr w:type="spellStart"/>
      <w:r w:rsidRPr="006C0620">
        <w:rPr>
          <w:lang w:val="en-US"/>
        </w:rPr>
        <w:t>nasıl</w:t>
      </w:r>
      <w:proofErr w:type="spellEnd"/>
      <w:r w:rsidRPr="006C0620">
        <w:rPr>
          <w:lang w:val="en-US"/>
        </w:rPr>
        <w:t xml:space="preserve"> </w:t>
      </w:r>
      <w:proofErr w:type="spellStart"/>
      <w:r w:rsidRPr="006C0620">
        <w:rPr>
          <w:lang w:val="en-US"/>
        </w:rPr>
        <w:t>ortaya</w:t>
      </w:r>
      <w:proofErr w:type="spellEnd"/>
      <w:r w:rsidRPr="006C0620">
        <w:rPr>
          <w:lang w:val="en-US"/>
        </w:rPr>
        <w:t xml:space="preserve"> </w:t>
      </w:r>
      <w:proofErr w:type="spellStart"/>
      <w:r w:rsidRPr="006C0620">
        <w:rPr>
          <w:lang w:val="en-US"/>
        </w:rPr>
        <w:t>çıktığına</w:t>
      </w:r>
      <w:proofErr w:type="spellEnd"/>
      <w:r w:rsidRPr="006C0620">
        <w:rPr>
          <w:lang w:val="en-US"/>
        </w:rPr>
        <w:t xml:space="preserve"> </w:t>
      </w:r>
      <w:proofErr w:type="spellStart"/>
      <w:r w:rsidRPr="006C0620">
        <w:rPr>
          <w:lang w:val="en-US"/>
        </w:rPr>
        <w:t>dair</w:t>
      </w:r>
      <w:proofErr w:type="spellEnd"/>
      <w:r w:rsidRPr="006C0620">
        <w:rPr>
          <w:lang w:val="en-US"/>
        </w:rPr>
        <w:t xml:space="preserve"> </w:t>
      </w:r>
      <w:proofErr w:type="spellStart"/>
      <w:r w:rsidRPr="006C0620">
        <w:rPr>
          <w:lang w:val="en-US"/>
        </w:rPr>
        <w:t>özlü</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tartışma</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bkz</w:t>
      </w:r>
      <w:proofErr w:type="spellEnd"/>
      <w:r w:rsidRPr="006C0620">
        <w:rPr>
          <w:lang w:val="en-US"/>
        </w:rPr>
        <w:t>. LAWRENCE M. FRIEDMAN, A HISTORY OF AMERICAN LAW 79-90 (3d ed. 2005).</w:t>
      </w:r>
    </w:p>
  </w:footnote>
  <w:footnote w:id="39">
    <w:p w14:paraId="704BCCCB" w14:textId="7BAD4958" w:rsidR="00653741" w:rsidRPr="006C0620" w:rsidRDefault="00653741" w:rsidP="006C0620">
      <w:pPr>
        <w:pStyle w:val="Dipnot"/>
        <w:rPr>
          <w:lang w:val="en-US"/>
        </w:rPr>
      </w:pPr>
      <w:r w:rsidRPr="006C0620">
        <w:rPr>
          <w:rStyle w:val="FootnoteReference"/>
        </w:rPr>
        <w:footnoteRef/>
      </w:r>
      <w:r w:rsidRPr="006C0620">
        <w:t xml:space="preserve"> </w:t>
      </w:r>
      <w:r w:rsidRPr="006C0620">
        <w:tab/>
      </w:r>
      <w:r w:rsidRPr="006C0620">
        <w:rPr>
          <w:lang w:val="en-US"/>
        </w:rPr>
        <w:t xml:space="preserve">39 </w:t>
      </w:r>
      <w:proofErr w:type="spellStart"/>
      <w:r w:rsidRPr="006C0620">
        <w:rPr>
          <w:lang w:val="en-US"/>
        </w:rPr>
        <w:t>Bkz</w:t>
      </w:r>
      <w:proofErr w:type="spellEnd"/>
      <w:r w:rsidRPr="006C0620">
        <w:rPr>
          <w:lang w:val="en-US"/>
        </w:rPr>
        <w:t xml:space="preserve">., </w:t>
      </w:r>
      <w:proofErr w:type="spellStart"/>
      <w:r w:rsidRPr="006C0620">
        <w:rPr>
          <w:lang w:val="en-US"/>
        </w:rPr>
        <w:t>örneğin</w:t>
      </w:r>
      <w:proofErr w:type="spellEnd"/>
      <w:r w:rsidRPr="006C0620">
        <w:rPr>
          <w:lang w:val="en-US"/>
        </w:rPr>
        <w:t>, Theodore W. Ruger, The Chief Justice’s Special Authority and the Norms of Judicial Power, 154 U. PA. L. REV. 1551, 1551 (2006) (“</w:t>
      </w:r>
      <w:proofErr w:type="spellStart"/>
      <w:r w:rsidRPr="006C0620">
        <w:rPr>
          <w:lang w:val="en-US"/>
        </w:rPr>
        <w:t>Yargıçlar</w:t>
      </w:r>
      <w:proofErr w:type="spellEnd"/>
      <w:r w:rsidRPr="006C0620">
        <w:rPr>
          <w:lang w:val="en-US"/>
        </w:rPr>
        <w:t xml:space="preserve">, </w:t>
      </w:r>
      <w:proofErr w:type="spellStart"/>
      <w:r w:rsidRPr="006C0620">
        <w:rPr>
          <w:lang w:val="en-US"/>
        </w:rPr>
        <w:t>az</w:t>
      </w:r>
      <w:proofErr w:type="spellEnd"/>
      <w:r w:rsidRPr="006C0620">
        <w:rPr>
          <w:lang w:val="en-US"/>
        </w:rPr>
        <w:t xml:space="preserve"> </w:t>
      </w:r>
      <w:proofErr w:type="spellStart"/>
      <w:r w:rsidRPr="006C0620">
        <w:rPr>
          <w:lang w:val="en-US"/>
        </w:rPr>
        <w:t>ya</w:t>
      </w:r>
      <w:proofErr w:type="spellEnd"/>
      <w:r w:rsidRPr="006C0620">
        <w:rPr>
          <w:lang w:val="en-US"/>
        </w:rPr>
        <w:t xml:space="preserve"> da </w:t>
      </w:r>
      <w:proofErr w:type="spellStart"/>
      <w:r w:rsidRPr="006C0620">
        <w:rPr>
          <w:lang w:val="en-US"/>
        </w:rPr>
        <w:t>çok</w:t>
      </w:r>
      <w:proofErr w:type="spellEnd"/>
      <w:r w:rsidRPr="006C0620">
        <w:rPr>
          <w:lang w:val="en-US"/>
        </w:rPr>
        <w:t xml:space="preserve">, </w:t>
      </w:r>
      <w:proofErr w:type="spellStart"/>
      <w:r w:rsidRPr="006C0620">
        <w:rPr>
          <w:lang w:val="en-US"/>
        </w:rPr>
        <w:t>biçimsel</w:t>
      </w:r>
      <w:proofErr w:type="spellEnd"/>
      <w:r w:rsidRPr="006C0620">
        <w:rPr>
          <w:lang w:val="en-US"/>
        </w:rPr>
        <w:t xml:space="preserve"> ‘</w:t>
      </w:r>
      <w:proofErr w:type="spellStart"/>
      <w:r w:rsidRPr="006C0620">
        <w:rPr>
          <w:lang w:val="en-US"/>
        </w:rPr>
        <w:t>hukuk</w:t>
      </w:r>
      <w:proofErr w:type="spellEnd"/>
      <w:r w:rsidRPr="006C0620">
        <w:rPr>
          <w:lang w:val="en-US"/>
        </w:rPr>
        <w:t xml:space="preserve">’ (law) </w:t>
      </w:r>
      <w:proofErr w:type="spellStart"/>
      <w:r w:rsidRPr="006C0620">
        <w:rPr>
          <w:lang w:val="en-US"/>
        </w:rPr>
        <w:t>tarafından</w:t>
      </w:r>
      <w:proofErr w:type="spellEnd"/>
      <w:r w:rsidRPr="006C0620">
        <w:rPr>
          <w:lang w:val="en-US"/>
        </w:rPr>
        <w:t xml:space="preserve"> </w:t>
      </w:r>
      <w:proofErr w:type="spellStart"/>
      <w:r w:rsidRPr="006C0620">
        <w:rPr>
          <w:lang w:val="en-US"/>
        </w:rPr>
        <w:t>kısıtlanmaktadır</w:t>
      </w:r>
      <w:proofErr w:type="spellEnd"/>
      <w:r w:rsidRPr="006C0620">
        <w:rPr>
          <w:lang w:val="en-US"/>
        </w:rPr>
        <w:t xml:space="preserve">, </w:t>
      </w:r>
      <w:proofErr w:type="spellStart"/>
      <w:r w:rsidRPr="006C0620">
        <w:rPr>
          <w:lang w:val="en-US"/>
        </w:rPr>
        <w:t>ancak</w:t>
      </w:r>
      <w:proofErr w:type="spellEnd"/>
      <w:r w:rsidRPr="006C0620">
        <w:rPr>
          <w:lang w:val="en-US"/>
        </w:rPr>
        <w:t xml:space="preserve"> </w:t>
      </w:r>
      <w:proofErr w:type="spellStart"/>
      <w:r w:rsidRPr="006C0620">
        <w:rPr>
          <w:lang w:val="en-US"/>
        </w:rPr>
        <w:t>takdir</w:t>
      </w:r>
      <w:proofErr w:type="spellEnd"/>
      <w:r w:rsidRPr="006C0620">
        <w:rPr>
          <w:lang w:val="en-US"/>
        </w:rPr>
        <w:t xml:space="preserve"> </w:t>
      </w:r>
      <w:proofErr w:type="spellStart"/>
      <w:r w:rsidRPr="006C0620">
        <w:rPr>
          <w:lang w:val="en-US"/>
        </w:rPr>
        <w:t>yetkileri</w:t>
      </w:r>
      <w:proofErr w:type="spellEnd"/>
      <w:r w:rsidRPr="006C0620">
        <w:rPr>
          <w:lang w:val="en-US"/>
        </w:rPr>
        <w:t xml:space="preserve"> </w:t>
      </w:r>
      <w:proofErr w:type="spellStart"/>
      <w:r w:rsidRPr="006C0620">
        <w:rPr>
          <w:lang w:val="en-US"/>
        </w:rPr>
        <w:t>ayrıca</w:t>
      </w:r>
      <w:proofErr w:type="spellEnd"/>
      <w:r w:rsidRPr="006C0620">
        <w:rPr>
          <w:lang w:val="en-US"/>
        </w:rPr>
        <w:t xml:space="preserve"> federal </w:t>
      </w:r>
      <w:proofErr w:type="spellStart"/>
      <w:r w:rsidRPr="006C0620">
        <w:rPr>
          <w:lang w:val="en-US"/>
        </w:rPr>
        <w:t>yargının</w:t>
      </w:r>
      <w:proofErr w:type="spellEnd"/>
      <w:r w:rsidRPr="006C0620">
        <w:rPr>
          <w:lang w:val="en-US"/>
        </w:rPr>
        <w:t xml:space="preserve"> </w:t>
      </w:r>
      <w:proofErr w:type="spellStart"/>
      <w:r w:rsidRPr="006C0620">
        <w:rPr>
          <w:lang w:val="en-US"/>
        </w:rPr>
        <w:t>kolektif</w:t>
      </w:r>
      <w:proofErr w:type="spellEnd"/>
      <w:r w:rsidRPr="006C0620">
        <w:rPr>
          <w:lang w:val="en-US"/>
        </w:rPr>
        <w:t xml:space="preserve"> </w:t>
      </w:r>
      <w:proofErr w:type="spellStart"/>
      <w:r w:rsidRPr="006C0620">
        <w:rPr>
          <w:lang w:val="en-US"/>
        </w:rPr>
        <w:t>yapıları</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kararlarına</w:t>
      </w:r>
      <w:proofErr w:type="spellEnd"/>
      <w:r w:rsidRPr="006C0620">
        <w:rPr>
          <w:lang w:val="en-US"/>
        </w:rPr>
        <w:t xml:space="preserve"> </w:t>
      </w:r>
      <w:proofErr w:type="spellStart"/>
      <w:r w:rsidRPr="006C0620">
        <w:rPr>
          <w:lang w:val="en-US"/>
        </w:rPr>
        <w:t>açıkça</w:t>
      </w:r>
      <w:proofErr w:type="spellEnd"/>
      <w:r w:rsidRPr="006C0620">
        <w:rPr>
          <w:lang w:val="en-US"/>
        </w:rPr>
        <w:t xml:space="preserve"> </w:t>
      </w:r>
      <w:proofErr w:type="spellStart"/>
      <w:r w:rsidRPr="006C0620">
        <w:rPr>
          <w:lang w:val="en-US"/>
        </w:rPr>
        <w:t>gerekçe</w:t>
      </w:r>
      <w:proofErr w:type="spellEnd"/>
      <w:r w:rsidRPr="006C0620">
        <w:rPr>
          <w:lang w:val="en-US"/>
        </w:rPr>
        <w:t xml:space="preserve"> </w:t>
      </w:r>
      <w:proofErr w:type="spellStart"/>
      <w:r w:rsidRPr="006C0620">
        <w:rPr>
          <w:lang w:val="en-US"/>
        </w:rPr>
        <w:t>sunması</w:t>
      </w:r>
      <w:proofErr w:type="spellEnd"/>
      <w:r w:rsidRPr="006C0620">
        <w:rPr>
          <w:lang w:val="en-US"/>
        </w:rPr>
        <w:t xml:space="preserve"> </w:t>
      </w:r>
      <w:proofErr w:type="spellStart"/>
      <w:r w:rsidRPr="006C0620">
        <w:rPr>
          <w:lang w:val="en-US"/>
        </w:rPr>
        <w:t>yönündeki</w:t>
      </w:r>
      <w:proofErr w:type="spellEnd"/>
      <w:r w:rsidRPr="006C0620">
        <w:rPr>
          <w:lang w:val="en-US"/>
        </w:rPr>
        <w:t xml:space="preserve"> </w:t>
      </w:r>
      <w:proofErr w:type="spellStart"/>
      <w:r w:rsidRPr="006C0620">
        <w:rPr>
          <w:lang w:val="en-US"/>
        </w:rPr>
        <w:t>normatif</w:t>
      </w:r>
      <w:proofErr w:type="spellEnd"/>
      <w:r w:rsidRPr="006C0620">
        <w:rPr>
          <w:lang w:val="en-US"/>
        </w:rPr>
        <w:t xml:space="preserve"> </w:t>
      </w:r>
      <w:proofErr w:type="spellStart"/>
      <w:r w:rsidRPr="006C0620">
        <w:rPr>
          <w:lang w:val="en-US"/>
        </w:rPr>
        <w:t>beklenti</w:t>
      </w:r>
      <w:proofErr w:type="spellEnd"/>
      <w:r w:rsidRPr="006C0620">
        <w:rPr>
          <w:lang w:val="en-US"/>
        </w:rPr>
        <w:t xml:space="preserve"> </w:t>
      </w:r>
      <w:proofErr w:type="spellStart"/>
      <w:r w:rsidRPr="006C0620">
        <w:rPr>
          <w:lang w:val="en-US"/>
        </w:rPr>
        <w:t>tarafından</w:t>
      </w:r>
      <w:proofErr w:type="spellEnd"/>
      <w:r w:rsidRPr="006C0620">
        <w:rPr>
          <w:lang w:val="en-US"/>
        </w:rPr>
        <w:t xml:space="preserve"> da </w:t>
      </w:r>
      <w:proofErr w:type="spellStart"/>
      <w:r w:rsidRPr="006C0620">
        <w:rPr>
          <w:lang w:val="en-US"/>
        </w:rPr>
        <w:t>sınırlandırılmaktadır</w:t>
      </w:r>
      <w:proofErr w:type="spellEnd"/>
      <w:r w:rsidRPr="006C0620">
        <w:rPr>
          <w:lang w:val="en-US"/>
        </w:rPr>
        <w:t xml:space="preserve">.”); </w:t>
      </w:r>
      <w:proofErr w:type="spellStart"/>
      <w:r w:rsidRPr="006C0620">
        <w:rPr>
          <w:lang w:val="en-US"/>
        </w:rPr>
        <w:t>ayrıca</w:t>
      </w:r>
      <w:proofErr w:type="spellEnd"/>
      <w:r w:rsidRPr="006C0620">
        <w:rPr>
          <w:lang w:val="en-US"/>
        </w:rPr>
        <w:t xml:space="preserve"> </w:t>
      </w:r>
      <w:proofErr w:type="spellStart"/>
      <w:r w:rsidRPr="006C0620">
        <w:rPr>
          <w:lang w:val="en-US"/>
        </w:rPr>
        <w:t>bkz</w:t>
      </w:r>
      <w:proofErr w:type="spellEnd"/>
      <w:r w:rsidRPr="006C0620">
        <w:rPr>
          <w:lang w:val="en-US"/>
        </w:rPr>
        <w:t>. Frederick Schauer, Giving Reasons, 47 STAN. L. REV. 633, 648, 654-56 (1995) (</w:t>
      </w:r>
      <w:proofErr w:type="spellStart"/>
      <w:r w:rsidRPr="006C0620">
        <w:rPr>
          <w:lang w:val="en-US"/>
        </w:rPr>
        <w:t>yargıçların</w:t>
      </w:r>
      <w:proofErr w:type="spellEnd"/>
      <w:r w:rsidRPr="006C0620">
        <w:rPr>
          <w:lang w:val="en-US"/>
        </w:rPr>
        <w:t xml:space="preserve"> </w:t>
      </w:r>
      <w:proofErr w:type="spellStart"/>
      <w:r w:rsidRPr="006C0620">
        <w:rPr>
          <w:lang w:val="en-US"/>
        </w:rPr>
        <w:t>kararlarına</w:t>
      </w:r>
      <w:proofErr w:type="spellEnd"/>
      <w:r w:rsidRPr="006C0620">
        <w:rPr>
          <w:lang w:val="en-US"/>
        </w:rPr>
        <w:t xml:space="preserve"> </w:t>
      </w:r>
      <w:proofErr w:type="spellStart"/>
      <w:r w:rsidRPr="006C0620">
        <w:rPr>
          <w:lang w:val="en-US"/>
        </w:rPr>
        <w:t>gerekçe</w:t>
      </w:r>
      <w:proofErr w:type="spellEnd"/>
      <w:r w:rsidRPr="006C0620">
        <w:rPr>
          <w:lang w:val="en-US"/>
        </w:rPr>
        <w:t xml:space="preserve"> </w:t>
      </w:r>
      <w:proofErr w:type="spellStart"/>
      <w:r w:rsidRPr="006C0620">
        <w:rPr>
          <w:lang w:val="en-US"/>
        </w:rPr>
        <w:t>sunduklarında</w:t>
      </w:r>
      <w:proofErr w:type="spellEnd"/>
      <w:r w:rsidRPr="006C0620">
        <w:rPr>
          <w:lang w:val="en-US"/>
        </w:rPr>
        <w:t xml:space="preserve">, </w:t>
      </w:r>
      <w:proofErr w:type="spellStart"/>
      <w:r w:rsidRPr="006C0620">
        <w:rPr>
          <w:lang w:val="en-US"/>
        </w:rPr>
        <w:t>bu</w:t>
      </w:r>
      <w:proofErr w:type="spellEnd"/>
      <w:r w:rsidRPr="006C0620">
        <w:rPr>
          <w:lang w:val="en-US"/>
        </w:rPr>
        <w:t xml:space="preserve"> </w:t>
      </w:r>
      <w:proofErr w:type="spellStart"/>
      <w:r w:rsidRPr="006C0620">
        <w:rPr>
          <w:lang w:val="en-US"/>
        </w:rPr>
        <w:t>gerekçelerin</w:t>
      </w:r>
      <w:proofErr w:type="spellEnd"/>
      <w:r w:rsidRPr="006C0620">
        <w:rPr>
          <w:lang w:val="en-US"/>
        </w:rPr>
        <w:t xml:space="preserve"> </w:t>
      </w:r>
      <w:proofErr w:type="spellStart"/>
      <w:r w:rsidRPr="006C0620">
        <w:rPr>
          <w:lang w:val="en-US"/>
        </w:rPr>
        <w:t>kararlarını</w:t>
      </w:r>
      <w:proofErr w:type="spellEnd"/>
      <w:r w:rsidRPr="006C0620">
        <w:rPr>
          <w:lang w:val="en-US"/>
        </w:rPr>
        <w:t xml:space="preserve"> </w:t>
      </w:r>
      <w:proofErr w:type="spellStart"/>
      <w:r w:rsidRPr="006C0620">
        <w:rPr>
          <w:lang w:val="en-US"/>
        </w:rPr>
        <w:t>sürdürmeye</w:t>
      </w:r>
      <w:proofErr w:type="spellEnd"/>
      <w:r w:rsidRPr="006C0620">
        <w:rPr>
          <w:lang w:val="en-US"/>
        </w:rPr>
        <w:t xml:space="preserve"> </w:t>
      </w:r>
      <w:proofErr w:type="spellStart"/>
      <w:r w:rsidRPr="006C0620">
        <w:rPr>
          <w:lang w:val="en-US"/>
        </w:rPr>
        <w:t>yönelik</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taahhüt</w:t>
      </w:r>
      <w:proofErr w:type="spellEnd"/>
      <w:r w:rsidRPr="006C0620">
        <w:rPr>
          <w:lang w:val="en-US"/>
        </w:rPr>
        <w:t xml:space="preserve"> </w:t>
      </w:r>
      <w:proofErr w:type="spellStart"/>
      <w:r w:rsidRPr="006C0620">
        <w:rPr>
          <w:lang w:val="en-US"/>
        </w:rPr>
        <w:t>anlamına</w:t>
      </w:r>
      <w:proofErr w:type="spellEnd"/>
      <w:r w:rsidRPr="006C0620">
        <w:rPr>
          <w:lang w:val="en-US"/>
        </w:rPr>
        <w:t xml:space="preserve"> </w:t>
      </w:r>
      <w:proofErr w:type="spellStart"/>
      <w:r w:rsidRPr="006C0620">
        <w:rPr>
          <w:lang w:val="en-US"/>
        </w:rPr>
        <w:t>geldiğini</w:t>
      </w:r>
      <w:proofErr w:type="spellEnd"/>
      <w:r w:rsidRPr="006C0620">
        <w:rPr>
          <w:lang w:val="en-US"/>
        </w:rPr>
        <w:t xml:space="preserve"> </w:t>
      </w:r>
      <w:proofErr w:type="spellStart"/>
      <w:r w:rsidRPr="006C0620">
        <w:rPr>
          <w:lang w:val="en-US"/>
        </w:rPr>
        <w:t>savunmaktadır</w:t>
      </w:r>
      <w:proofErr w:type="spellEnd"/>
      <w:r w:rsidRPr="006C0620">
        <w:rPr>
          <w:lang w:val="en-US"/>
        </w:rPr>
        <w:t xml:space="preserve">). </w:t>
      </w:r>
      <w:proofErr w:type="spellStart"/>
      <w:r w:rsidRPr="006C0620">
        <w:rPr>
          <w:lang w:val="en-US"/>
        </w:rPr>
        <w:t>Karşılaştırınız</w:t>
      </w:r>
      <w:proofErr w:type="spellEnd"/>
      <w:r w:rsidRPr="006C0620">
        <w:rPr>
          <w:lang w:val="en-US"/>
        </w:rPr>
        <w:t>: Lewis A. Kornhauser &amp; Lawrence G. Sager, Unpacking the Court, 96 YALE L.J. 82, 100-02 (1986) (</w:t>
      </w:r>
      <w:proofErr w:type="spellStart"/>
      <w:r w:rsidRPr="006C0620">
        <w:rPr>
          <w:lang w:val="en-US"/>
        </w:rPr>
        <w:t>çok</w:t>
      </w:r>
      <w:proofErr w:type="spellEnd"/>
      <w:r w:rsidRPr="006C0620">
        <w:rPr>
          <w:lang w:val="en-US"/>
        </w:rPr>
        <w:t xml:space="preserve"> </w:t>
      </w:r>
      <w:proofErr w:type="spellStart"/>
      <w:r w:rsidRPr="006C0620">
        <w:rPr>
          <w:lang w:val="en-US"/>
        </w:rPr>
        <w:t>üyeli</w:t>
      </w:r>
      <w:proofErr w:type="spellEnd"/>
      <w:r w:rsidRPr="006C0620">
        <w:rPr>
          <w:lang w:val="en-US"/>
        </w:rPr>
        <w:t xml:space="preserve"> </w:t>
      </w:r>
      <w:proofErr w:type="spellStart"/>
      <w:r w:rsidRPr="006C0620">
        <w:rPr>
          <w:lang w:val="en-US"/>
        </w:rPr>
        <w:t>mahkemelerin</w:t>
      </w:r>
      <w:proofErr w:type="spellEnd"/>
      <w:r w:rsidRPr="006C0620">
        <w:rPr>
          <w:lang w:val="en-US"/>
        </w:rPr>
        <w:t xml:space="preserve"> (multi-member courts) </w:t>
      </w:r>
      <w:proofErr w:type="spellStart"/>
      <w:r w:rsidRPr="006C0620">
        <w:rPr>
          <w:lang w:val="en-US"/>
        </w:rPr>
        <w:t>yargılama</w:t>
      </w:r>
      <w:proofErr w:type="spellEnd"/>
      <w:r w:rsidRPr="006C0620">
        <w:rPr>
          <w:lang w:val="en-US"/>
        </w:rPr>
        <w:t xml:space="preserve"> </w:t>
      </w:r>
      <w:proofErr w:type="spellStart"/>
      <w:r w:rsidRPr="006C0620">
        <w:rPr>
          <w:lang w:val="en-US"/>
        </w:rPr>
        <w:t>sürecine</w:t>
      </w:r>
      <w:proofErr w:type="spellEnd"/>
      <w:r w:rsidRPr="006C0620">
        <w:rPr>
          <w:lang w:val="en-US"/>
        </w:rPr>
        <w:t xml:space="preserve"> </w:t>
      </w:r>
      <w:proofErr w:type="spellStart"/>
      <w:r w:rsidRPr="006C0620">
        <w:rPr>
          <w:lang w:val="en-US"/>
        </w:rPr>
        <w:t>ilişkin</w:t>
      </w:r>
      <w:proofErr w:type="spellEnd"/>
      <w:r w:rsidRPr="006C0620">
        <w:rPr>
          <w:lang w:val="en-US"/>
        </w:rPr>
        <w:t xml:space="preserve"> </w:t>
      </w:r>
      <w:proofErr w:type="spellStart"/>
      <w:r w:rsidRPr="006C0620">
        <w:rPr>
          <w:lang w:val="en-US"/>
        </w:rPr>
        <w:t>temel</w:t>
      </w:r>
      <w:proofErr w:type="spellEnd"/>
      <w:r w:rsidRPr="006C0620">
        <w:rPr>
          <w:lang w:val="en-US"/>
        </w:rPr>
        <w:t xml:space="preserve"> </w:t>
      </w:r>
      <w:proofErr w:type="spellStart"/>
      <w:r w:rsidRPr="006C0620">
        <w:rPr>
          <w:lang w:val="en-US"/>
        </w:rPr>
        <w:t>tartışmalarımız</w:t>
      </w:r>
      <w:proofErr w:type="spellEnd"/>
      <w:r w:rsidRPr="006C0620">
        <w:rPr>
          <w:lang w:val="en-US"/>
        </w:rPr>
        <w:t xml:space="preserve"> </w:t>
      </w:r>
      <w:proofErr w:type="spellStart"/>
      <w:r w:rsidRPr="006C0620">
        <w:rPr>
          <w:lang w:val="en-US"/>
        </w:rPr>
        <w:t>üzerindeki</w:t>
      </w:r>
      <w:proofErr w:type="spellEnd"/>
      <w:r w:rsidRPr="006C0620">
        <w:rPr>
          <w:lang w:val="en-US"/>
        </w:rPr>
        <w:t xml:space="preserve"> </w:t>
      </w:r>
      <w:proofErr w:type="spellStart"/>
      <w:r w:rsidRPr="006C0620">
        <w:rPr>
          <w:lang w:val="en-US"/>
        </w:rPr>
        <w:t>etkilerini</w:t>
      </w:r>
      <w:proofErr w:type="spellEnd"/>
      <w:r w:rsidRPr="006C0620">
        <w:rPr>
          <w:lang w:val="en-US"/>
        </w:rPr>
        <w:t xml:space="preserve"> </w:t>
      </w:r>
      <w:proofErr w:type="spellStart"/>
      <w:r w:rsidRPr="006C0620">
        <w:rPr>
          <w:lang w:val="en-US"/>
        </w:rPr>
        <w:t>ele</w:t>
      </w:r>
      <w:proofErr w:type="spellEnd"/>
      <w:r w:rsidRPr="006C0620">
        <w:rPr>
          <w:lang w:val="en-US"/>
        </w:rPr>
        <w:t xml:space="preserve"> </w:t>
      </w:r>
      <w:proofErr w:type="spellStart"/>
      <w:r w:rsidRPr="006C0620">
        <w:rPr>
          <w:lang w:val="en-US"/>
        </w:rPr>
        <w:t>almaktadır</w:t>
      </w:r>
      <w:proofErr w:type="spellEnd"/>
      <w:r w:rsidRPr="006C0620">
        <w:rPr>
          <w:lang w:val="en-US"/>
        </w:rPr>
        <w:t>).</w:t>
      </w:r>
    </w:p>
  </w:footnote>
  <w:footnote w:id="40">
    <w:p w14:paraId="491D76AE" w14:textId="41E3BE2A" w:rsidR="006C0620" w:rsidRPr="006C0620" w:rsidRDefault="006C0620" w:rsidP="006C0620">
      <w:pPr>
        <w:pStyle w:val="Dipnot"/>
        <w:rPr>
          <w:lang w:val="en-US"/>
        </w:rPr>
      </w:pPr>
      <w:r w:rsidRPr="006C0620">
        <w:rPr>
          <w:rStyle w:val="FootnoteReference"/>
        </w:rPr>
        <w:footnoteRef/>
      </w:r>
      <w:r w:rsidRPr="006C0620">
        <w:t xml:space="preserve"> </w:t>
      </w:r>
      <w:r w:rsidRPr="006C0620">
        <w:tab/>
      </w:r>
      <w:r w:rsidRPr="006C0620">
        <w:rPr>
          <w:lang w:val="en-US"/>
        </w:rPr>
        <w:t xml:space="preserve">40 </w:t>
      </w:r>
      <w:proofErr w:type="spellStart"/>
      <w:r w:rsidRPr="006C0620">
        <w:rPr>
          <w:lang w:val="en-US"/>
        </w:rPr>
        <w:t>Bkz</w:t>
      </w:r>
      <w:proofErr w:type="spellEnd"/>
      <w:r w:rsidRPr="006C0620">
        <w:rPr>
          <w:lang w:val="en-US"/>
        </w:rPr>
        <w:t>. M. Todd Henderson, From Seriatim to Consensus and Back Again: A Theory of Dissent, 2007 SUP. CT. REV. 283, 292-303 (</w:t>
      </w:r>
      <w:proofErr w:type="spellStart"/>
      <w:r w:rsidRPr="006C0620">
        <w:rPr>
          <w:lang w:val="en-US"/>
        </w:rPr>
        <w:t>İngiliz</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erken</w:t>
      </w:r>
      <w:proofErr w:type="spellEnd"/>
      <w:r w:rsidRPr="006C0620">
        <w:rPr>
          <w:lang w:val="en-US"/>
        </w:rPr>
        <w:t xml:space="preserve"> </w:t>
      </w:r>
      <w:proofErr w:type="spellStart"/>
      <w:r w:rsidRPr="006C0620">
        <w:rPr>
          <w:lang w:val="en-US"/>
        </w:rPr>
        <w:t>dönem</w:t>
      </w:r>
      <w:proofErr w:type="spellEnd"/>
      <w:r w:rsidRPr="006C0620">
        <w:rPr>
          <w:lang w:val="en-US"/>
        </w:rPr>
        <w:t xml:space="preserve"> Amerikan </w:t>
      </w:r>
      <w:proofErr w:type="spellStart"/>
      <w:r w:rsidRPr="006C0620">
        <w:rPr>
          <w:lang w:val="en-US"/>
        </w:rPr>
        <w:t>uygulamasında</w:t>
      </w:r>
      <w:proofErr w:type="spellEnd"/>
      <w:r w:rsidRPr="006C0620">
        <w:rPr>
          <w:lang w:val="en-US"/>
        </w:rPr>
        <w:t xml:space="preserve"> </w:t>
      </w:r>
      <w:proofErr w:type="spellStart"/>
      <w:r w:rsidRPr="006C0620">
        <w:rPr>
          <w:lang w:val="en-US"/>
        </w:rPr>
        <w:t>kararların</w:t>
      </w:r>
      <w:proofErr w:type="spellEnd"/>
      <w:r w:rsidRPr="006C0620">
        <w:rPr>
          <w:lang w:val="en-US"/>
        </w:rPr>
        <w:t xml:space="preserve"> seriatim </w:t>
      </w:r>
      <w:proofErr w:type="spellStart"/>
      <w:r w:rsidRPr="006C0620">
        <w:rPr>
          <w:lang w:val="en-US"/>
        </w:rPr>
        <w:t>olarak</w:t>
      </w:r>
      <w:proofErr w:type="spellEnd"/>
      <w:r w:rsidRPr="006C0620">
        <w:rPr>
          <w:lang w:val="en-US"/>
        </w:rPr>
        <w:t xml:space="preserve">, </w:t>
      </w:r>
      <w:proofErr w:type="spellStart"/>
      <w:r w:rsidRPr="006C0620">
        <w:rPr>
          <w:lang w:val="en-US"/>
        </w:rPr>
        <w:t>yani</w:t>
      </w:r>
      <w:proofErr w:type="spellEnd"/>
      <w:r w:rsidRPr="006C0620">
        <w:rPr>
          <w:lang w:val="en-US"/>
        </w:rPr>
        <w:t xml:space="preserve"> her </w:t>
      </w:r>
      <w:proofErr w:type="spellStart"/>
      <w:r w:rsidRPr="006C0620">
        <w:rPr>
          <w:lang w:val="en-US"/>
        </w:rPr>
        <w:t>yargıcın</w:t>
      </w:r>
      <w:proofErr w:type="spellEnd"/>
      <w:r w:rsidRPr="006C0620">
        <w:rPr>
          <w:lang w:val="en-US"/>
        </w:rPr>
        <w:t xml:space="preserve"> </w:t>
      </w:r>
      <w:proofErr w:type="spellStart"/>
      <w:r w:rsidRPr="006C0620">
        <w:rPr>
          <w:lang w:val="en-US"/>
        </w:rPr>
        <w:t>ayrı</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bildirmesi</w:t>
      </w:r>
      <w:proofErr w:type="spellEnd"/>
      <w:r w:rsidRPr="006C0620">
        <w:rPr>
          <w:lang w:val="en-US"/>
        </w:rPr>
        <w:t xml:space="preserve"> </w:t>
      </w:r>
      <w:proofErr w:type="spellStart"/>
      <w:r w:rsidRPr="006C0620">
        <w:rPr>
          <w:lang w:val="en-US"/>
        </w:rPr>
        <w:t>şeklinde</w:t>
      </w:r>
      <w:proofErr w:type="spellEnd"/>
      <w:r w:rsidRPr="006C0620">
        <w:rPr>
          <w:lang w:val="en-US"/>
        </w:rPr>
        <w:t xml:space="preserve"> </w:t>
      </w:r>
      <w:proofErr w:type="spellStart"/>
      <w:r w:rsidRPr="006C0620">
        <w:rPr>
          <w:lang w:val="en-US"/>
        </w:rPr>
        <w:t>verildiğini</w:t>
      </w:r>
      <w:proofErr w:type="spellEnd"/>
      <w:r w:rsidRPr="006C0620">
        <w:rPr>
          <w:lang w:val="en-US"/>
        </w:rPr>
        <w:t xml:space="preserve"> </w:t>
      </w:r>
      <w:proofErr w:type="spellStart"/>
      <w:r w:rsidRPr="006C0620">
        <w:rPr>
          <w:lang w:val="en-US"/>
        </w:rPr>
        <w:t>açıklamaktadır</w:t>
      </w:r>
      <w:proofErr w:type="spellEnd"/>
      <w:r w:rsidRPr="006C0620">
        <w:rPr>
          <w:lang w:val="en-US"/>
        </w:rPr>
        <w:t>).</w:t>
      </w:r>
      <w:r w:rsidRPr="006C0620">
        <w:rPr>
          <w:lang w:val="en-US"/>
        </w:rPr>
        <w:t xml:space="preserve"> </w:t>
      </w:r>
      <w:r w:rsidRPr="006C0620">
        <w:rPr>
          <w:lang w:val="en-US"/>
        </w:rPr>
        <w:t xml:space="preserve">Benzer </w:t>
      </w:r>
      <w:proofErr w:type="spellStart"/>
      <w:r w:rsidRPr="006C0620">
        <w:rPr>
          <w:lang w:val="en-US"/>
        </w:rPr>
        <w:t>şekilde</w:t>
      </w:r>
      <w:proofErr w:type="spellEnd"/>
      <w:r w:rsidRPr="006C0620">
        <w:rPr>
          <w:lang w:val="en-US"/>
        </w:rPr>
        <w:t xml:space="preserve">, </w:t>
      </w:r>
      <w:proofErr w:type="spellStart"/>
      <w:r w:rsidRPr="006C0620">
        <w:rPr>
          <w:lang w:val="en-US"/>
        </w:rPr>
        <w:t>Yargıçların</w:t>
      </w:r>
      <w:proofErr w:type="spellEnd"/>
      <w:r w:rsidRPr="006C0620">
        <w:rPr>
          <w:lang w:val="en-US"/>
        </w:rPr>
        <w:t xml:space="preserve"> </w:t>
      </w:r>
      <w:proofErr w:type="spellStart"/>
      <w:r w:rsidRPr="006C0620">
        <w:rPr>
          <w:lang w:val="en-US"/>
        </w:rPr>
        <w:t>kararlarına</w:t>
      </w:r>
      <w:proofErr w:type="spellEnd"/>
      <w:r w:rsidRPr="006C0620">
        <w:rPr>
          <w:lang w:val="en-US"/>
        </w:rPr>
        <w:t xml:space="preserve"> </w:t>
      </w:r>
      <w:proofErr w:type="spellStart"/>
      <w:r w:rsidRPr="006C0620">
        <w:rPr>
          <w:lang w:val="en-US"/>
        </w:rPr>
        <w:t>imza</w:t>
      </w:r>
      <w:proofErr w:type="spellEnd"/>
      <w:r w:rsidRPr="006C0620">
        <w:rPr>
          <w:lang w:val="en-US"/>
        </w:rPr>
        <w:t xml:space="preserve"> </w:t>
      </w:r>
      <w:proofErr w:type="spellStart"/>
      <w:r w:rsidRPr="006C0620">
        <w:rPr>
          <w:lang w:val="en-US"/>
        </w:rPr>
        <w:t>atmalarının</w:t>
      </w:r>
      <w:proofErr w:type="spellEnd"/>
      <w:r w:rsidRPr="006C0620">
        <w:rPr>
          <w:lang w:val="en-US"/>
        </w:rPr>
        <w:t xml:space="preserve"> </w:t>
      </w:r>
      <w:proofErr w:type="spellStart"/>
      <w:r w:rsidRPr="006C0620">
        <w:rPr>
          <w:lang w:val="en-US"/>
        </w:rPr>
        <w:t>zorunlu</w:t>
      </w:r>
      <w:proofErr w:type="spellEnd"/>
      <w:r w:rsidRPr="006C0620">
        <w:rPr>
          <w:lang w:val="en-US"/>
        </w:rPr>
        <w:t xml:space="preserve"> </w:t>
      </w:r>
      <w:proofErr w:type="spellStart"/>
      <w:r w:rsidRPr="006C0620">
        <w:rPr>
          <w:lang w:val="en-US"/>
        </w:rPr>
        <w:t>olduğu</w:t>
      </w:r>
      <w:proofErr w:type="spellEnd"/>
      <w:r w:rsidRPr="006C0620">
        <w:rPr>
          <w:lang w:val="en-US"/>
        </w:rPr>
        <w:t xml:space="preserve"> </w:t>
      </w:r>
      <w:proofErr w:type="spellStart"/>
      <w:r w:rsidRPr="006C0620">
        <w:rPr>
          <w:lang w:val="en-US"/>
        </w:rPr>
        <w:t>fikri</w:t>
      </w:r>
      <w:proofErr w:type="spellEnd"/>
      <w:r w:rsidRPr="006C0620">
        <w:rPr>
          <w:lang w:val="en-US"/>
        </w:rPr>
        <w:t xml:space="preserve"> </w:t>
      </w:r>
      <w:proofErr w:type="spellStart"/>
      <w:r w:rsidRPr="006C0620">
        <w:rPr>
          <w:lang w:val="en-US"/>
        </w:rPr>
        <w:t>en</w:t>
      </w:r>
      <w:proofErr w:type="spellEnd"/>
      <w:r w:rsidRPr="006C0620">
        <w:rPr>
          <w:lang w:val="en-US"/>
        </w:rPr>
        <w:t xml:space="preserve"> iyi </w:t>
      </w:r>
      <w:proofErr w:type="spellStart"/>
      <w:r w:rsidRPr="006C0620">
        <w:rPr>
          <w:lang w:val="en-US"/>
        </w:rPr>
        <w:t>ihtimalle</w:t>
      </w:r>
      <w:proofErr w:type="spellEnd"/>
      <w:r w:rsidRPr="006C0620">
        <w:rPr>
          <w:lang w:val="en-US"/>
        </w:rPr>
        <w:t xml:space="preserve"> tam </w:t>
      </w:r>
      <w:proofErr w:type="spellStart"/>
      <w:r w:rsidRPr="006C0620">
        <w:rPr>
          <w:lang w:val="en-US"/>
        </w:rPr>
        <w:t>olarak</w:t>
      </w:r>
      <w:proofErr w:type="spellEnd"/>
      <w:r w:rsidRPr="006C0620">
        <w:rPr>
          <w:lang w:val="en-US"/>
        </w:rPr>
        <w:t xml:space="preserve"> </w:t>
      </w:r>
      <w:proofErr w:type="spellStart"/>
      <w:r w:rsidRPr="006C0620">
        <w:rPr>
          <w:lang w:val="en-US"/>
        </w:rPr>
        <w:t>hayata</w:t>
      </w:r>
      <w:proofErr w:type="spellEnd"/>
      <w:r w:rsidRPr="006C0620">
        <w:rPr>
          <w:lang w:val="en-US"/>
        </w:rPr>
        <w:t xml:space="preserve"> </w:t>
      </w:r>
      <w:proofErr w:type="spellStart"/>
      <w:r w:rsidRPr="006C0620">
        <w:rPr>
          <w:lang w:val="en-US"/>
        </w:rPr>
        <w:t>geçirilememiş</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normdur</w:t>
      </w:r>
      <w:proofErr w:type="spellEnd"/>
      <w:r w:rsidRPr="006C0620">
        <w:rPr>
          <w:lang w:val="en-US"/>
        </w:rPr>
        <w:t xml:space="preserve">. Federal </w:t>
      </w:r>
      <w:proofErr w:type="spellStart"/>
      <w:r w:rsidRPr="006C0620">
        <w:rPr>
          <w:lang w:val="en-US"/>
        </w:rPr>
        <w:t>temyiz</w:t>
      </w:r>
      <w:proofErr w:type="spellEnd"/>
      <w:r w:rsidRPr="006C0620">
        <w:rPr>
          <w:lang w:val="en-US"/>
        </w:rPr>
        <w:t xml:space="preserve"> </w:t>
      </w:r>
      <w:proofErr w:type="spellStart"/>
      <w:r w:rsidRPr="006C0620">
        <w:rPr>
          <w:lang w:val="en-US"/>
        </w:rPr>
        <w:t>mahkemeleri</w:t>
      </w:r>
      <w:proofErr w:type="spellEnd"/>
      <w:r w:rsidRPr="006C0620">
        <w:rPr>
          <w:lang w:val="en-US"/>
        </w:rPr>
        <w:t xml:space="preserve"> (federal appellate courts), </w:t>
      </w:r>
      <w:proofErr w:type="spellStart"/>
      <w:r w:rsidRPr="006C0620">
        <w:rPr>
          <w:lang w:val="en-US"/>
        </w:rPr>
        <w:t>birçok</w:t>
      </w:r>
      <w:proofErr w:type="spellEnd"/>
      <w:r w:rsidRPr="006C0620">
        <w:rPr>
          <w:lang w:val="en-US"/>
        </w:rPr>
        <w:t xml:space="preserve"> </w:t>
      </w:r>
      <w:proofErr w:type="spellStart"/>
      <w:r w:rsidRPr="006C0620">
        <w:rPr>
          <w:lang w:val="en-US"/>
        </w:rPr>
        <w:t>davayı</w:t>
      </w:r>
      <w:proofErr w:type="spellEnd"/>
      <w:r w:rsidRPr="006C0620">
        <w:rPr>
          <w:lang w:val="en-US"/>
        </w:rPr>
        <w:t xml:space="preserve"> </w:t>
      </w:r>
      <w:proofErr w:type="spellStart"/>
      <w:r w:rsidRPr="006C0620">
        <w:rPr>
          <w:lang w:val="en-US"/>
        </w:rPr>
        <w:t>imzasız</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çoğu</w:t>
      </w:r>
      <w:proofErr w:type="spellEnd"/>
      <w:r w:rsidRPr="006C0620">
        <w:rPr>
          <w:lang w:val="en-US"/>
        </w:rPr>
        <w:t xml:space="preserve"> zaman </w:t>
      </w:r>
      <w:proofErr w:type="spellStart"/>
      <w:r w:rsidRPr="006C0620">
        <w:rPr>
          <w:lang w:val="en-US"/>
        </w:rPr>
        <w:t>emsal</w:t>
      </w:r>
      <w:proofErr w:type="spellEnd"/>
      <w:r w:rsidRPr="006C0620">
        <w:rPr>
          <w:lang w:val="en-US"/>
        </w:rPr>
        <w:t xml:space="preserve"> </w:t>
      </w:r>
      <w:proofErr w:type="spellStart"/>
      <w:r w:rsidRPr="006C0620">
        <w:rPr>
          <w:lang w:val="en-US"/>
        </w:rPr>
        <w:t>teşkil</w:t>
      </w:r>
      <w:proofErr w:type="spellEnd"/>
      <w:r w:rsidRPr="006C0620">
        <w:rPr>
          <w:lang w:val="en-US"/>
        </w:rPr>
        <w:t xml:space="preserve"> </w:t>
      </w:r>
      <w:proofErr w:type="spellStart"/>
      <w:r w:rsidRPr="006C0620">
        <w:rPr>
          <w:lang w:val="en-US"/>
        </w:rPr>
        <w:t>etmeyen</w:t>
      </w:r>
      <w:proofErr w:type="spellEnd"/>
      <w:r w:rsidRPr="006C0620">
        <w:rPr>
          <w:lang w:val="en-US"/>
        </w:rPr>
        <w:t xml:space="preserve">) </w:t>
      </w:r>
      <w:proofErr w:type="spellStart"/>
      <w:r w:rsidRPr="006C0620">
        <w:rPr>
          <w:lang w:val="en-US"/>
        </w:rPr>
        <w:t>kararlarla</w:t>
      </w:r>
      <w:proofErr w:type="spellEnd"/>
      <w:r w:rsidRPr="006C0620">
        <w:rPr>
          <w:lang w:val="en-US"/>
        </w:rPr>
        <w:t xml:space="preserve"> </w:t>
      </w:r>
      <w:proofErr w:type="spellStart"/>
      <w:r w:rsidRPr="006C0620">
        <w:rPr>
          <w:lang w:val="en-US"/>
        </w:rPr>
        <w:t>çözmektedir</w:t>
      </w:r>
      <w:proofErr w:type="spellEnd"/>
      <w:r w:rsidRPr="006C0620">
        <w:rPr>
          <w:lang w:val="en-US"/>
        </w:rPr>
        <w:t xml:space="preserve">. Yüksek </w:t>
      </w:r>
      <w:proofErr w:type="spellStart"/>
      <w:r w:rsidRPr="006C0620">
        <w:rPr>
          <w:lang w:val="en-US"/>
        </w:rPr>
        <w:t>Mahkeme</w:t>
      </w:r>
      <w:proofErr w:type="spellEnd"/>
      <w:r w:rsidRPr="006C0620">
        <w:rPr>
          <w:lang w:val="en-US"/>
        </w:rPr>
        <w:t xml:space="preserve"> (Supreme Court), her </w:t>
      </w:r>
      <w:proofErr w:type="spellStart"/>
      <w:r w:rsidRPr="006C0620">
        <w:rPr>
          <w:lang w:val="en-US"/>
        </w:rPr>
        <w:t>dönem</w:t>
      </w:r>
      <w:proofErr w:type="spellEnd"/>
      <w:r w:rsidRPr="006C0620">
        <w:rPr>
          <w:lang w:val="en-US"/>
        </w:rPr>
        <w:t xml:space="preserve"> </w:t>
      </w:r>
      <w:proofErr w:type="spellStart"/>
      <w:r w:rsidRPr="006C0620">
        <w:rPr>
          <w:lang w:val="en-US"/>
        </w:rPr>
        <w:t>yaklaşık</w:t>
      </w:r>
      <w:proofErr w:type="spellEnd"/>
      <w:r w:rsidRPr="006C0620">
        <w:rPr>
          <w:lang w:val="en-US"/>
        </w:rPr>
        <w:t xml:space="preserve"> </w:t>
      </w:r>
      <w:proofErr w:type="spellStart"/>
      <w:r w:rsidRPr="006C0620">
        <w:rPr>
          <w:lang w:val="en-US"/>
        </w:rPr>
        <w:t>yarım</w:t>
      </w:r>
      <w:proofErr w:type="spellEnd"/>
      <w:r w:rsidRPr="006C0620">
        <w:rPr>
          <w:lang w:val="en-US"/>
        </w:rPr>
        <w:t xml:space="preserve"> </w:t>
      </w:r>
      <w:proofErr w:type="spellStart"/>
      <w:r w:rsidRPr="006C0620">
        <w:rPr>
          <w:lang w:val="en-US"/>
        </w:rPr>
        <w:t>düzine</w:t>
      </w:r>
      <w:proofErr w:type="spellEnd"/>
      <w:r w:rsidRPr="006C0620">
        <w:rPr>
          <w:lang w:val="en-US"/>
        </w:rPr>
        <w:t xml:space="preserve"> </w:t>
      </w:r>
      <w:proofErr w:type="spellStart"/>
      <w:r w:rsidRPr="006C0620">
        <w:rPr>
          <w:lang w:val="en-US"/>
        </w:rPr>
        <w:t>davada</w:t>
      </w:r>
      <w:proofErr w:type="spellEnd"/>
      <w:r w:rsidRPr="006C0620">
        <w:rPr>
          <w:lang w:val="en-US"/>
        </w:rPr>
        <w:t xml:space="preserve">, </w:t>
      </w:r>
      <w:proofErr w:type="spellStart"/>
      <w:r w:rsidRPr="006C0620">
        <w:rPr>
          <w:lang w:val="en-US"/>
        </w:rPr>
        <w:t>sözlü</w:t>
      </w:r>
      <w:proofErr w:type="spellEnd"/>
      <w:r w:rsidRPr="006C0620">
        <w:rPr>
          <w:lang w:val="en-US"/>
        </w:rPr>
        <w:t xml:space="preserve"> </w:t>
      </w:r>
      <w:proofErr w:type="spellStart"/>
      <w:r w:rsidRPr="006C0620">
        <w:rPr>
          <w:lang w:val="en-US"/>
        </w:rPr>
        <w:t>tartışma</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fazla</w:t>
      </w:r>
      <w:proofErr w:type="spellEnd"/>
      <w:r w:rsidRPr="006C0620">
        <w:rPr>
          <w:lang w:val="en-US"/>
        </w:rPr>
        <w:t xml:space="preserve"> </w:t>
      </w:r>
      <w:proofErr w:type="spellStart"/>
      <w:r w:rsidRPr="006C0620">
        <w:rPr>
          <w:lang w:val="en-US"/>
        </w:rPr>
        <w:t>basit</w:t>
      </w:r>
      <w:proofErr w:type="spellEnd"/>
      <w:r w:rsidRPr="006C0620">
        <w:rPr>
          <w:lang w:val="en-US"/>
        </w:rPr>
        <w:t xml:space="preserve"> </w:t>
      </w:r>
      <w:proofErr w:type="spellStart"/>
      <w:r w:rsidRPr="006C0620">
        <w:rPr>
          <w:lang w:val="en-US"/>
        </w:rPr>
        <w:t>görülen</w:t>
      </w:r>
      <w:proofErr w:type="spellEnd"/>
      <w:r w:rsidRPr="006C0620">
        <w:rPr>
          <w:lang w:val="en-US"/>
        </w:rPr>
        <w:t xml:space="preserve"> </w:t>
      </w:r>
      <w:proofErr w:type="spellStart"/>
      <w:r w:rsidRPr="006C0620">
        <w:rPr>
          <w:lang w:val="en-US"/>
        </w:rPr>
        <w:t>meselelerde</w:t>
      </w:r>
      <w:proofErr w:type="spellEnd"/>
      <w:r w:rsidRPr="006C0620">
        <w:rPr>
          <w:lang w:val="en-US"/>
        </w:rPr>
        <w:t xml:space="preserve"> </w:t>
      </w:r>
      <w:proofErr w:type="spellStart"/>
      <w:r w:rsidRPr="006C0620">
        <w:rPr>
          <w:lang w:val="en-US"/>
        </w:rPr>
        <w:t>imzasız</w:t>
      </w:r>
      <w:proofErr w:type="spellEnd"/>
      <w:r w:rsidRPr="006C0620">
        <w:rPr>
          <w:lang w:val="en-US"/>
        </w:rPr>
        <w:t xml:space="preserve"> per </w:t>
      </w:r>
      <w:proofErr w:type="spellStart"/>
      <w:r w:rsidRPr="006C0620">
        <w:rPr>
          <w:lang w:val="en-US"/>
        </w:rPr>
        <w:t>curiam</w:t>
      </w:r>
      <w:proofErr w:type="spellEnd"/>
      <w:r w:rsidRPr="006C0620">
        <w:rPr>
          <w:lang w:val="en-US"/>
        </w:rPr>
        <w:t xml:space="preserve"> </w:t>
      </w:r>
      <w:proofErr w:type="spellStart"/>
      <w:r w:rsidRPr="006C0620">
        <w:rPr>
          <w:lang w:val="en-US"/>
        </w:rPr>
        <w:t>kararlar</w:t>
      </w:r>
      <w:proofErr w:type="spellEnd"/>
      <w:r w:rsidRPr="006C0620">
        <w:rPr>
          <w:lang w:val="en-US"/>
        </w:rPr>
        <w:t xml:space="preserve"> </w:t>
      </w:r>
      <w:proofErr w:type="spellStart"/>
      <w:r w:rsidRPr="006C0620">
        <w:rPr>
          <w:lang w:val="en-US"/>
        </w:rPr>
        <w:t>vermektedir</w:t>
      </w:r>
      <w:proofErr w:type="spellEnd"/>
      <w:r w:rsidRPr="006C0620">
        <w:rPr>
          <w:lang w:val="en-US"/>
        </w:rPr>
        <w:t xml:space="preserve">. </w:t>
      </w:r>
      <w:proofErr w:type="spellStart"/>
      <w:r w:rsidRPr="006C0620">
        <w:rPr>
          <w:lang w:val="en-US"/>
        </w:rPr>
        <w:t>Ayrıca</w:t>
      </w:r>
      <w:proofErr w:type="spellEnd"/>
      <w:r w:rsidRPr="006C0620">
        <w:rPr>
          <w:lang w:val="en-US"/>
        </w:rPr>
        <w:t xml:space="preserve">, </w:t>
      </w:r>
      <w:proofErr w:type="spellStart"/>
      <w:r w:rsidRPr="006C0620">
        <w:rPr>
          <w:lang w:val="en-US"/>
        </w:rPr>
        <w:t>Mahkeme</w:t>
      </w:r>
      <w:proofErr w:type="spellEnd"/>
      <w:r w:rsidRPr="006C0620">
        <w:rPr>
          <w:lang w:val="en-US"/>
        </w:rPr>
        <w:t xml:space="preserve">, </w:t>
      </w:r>
      <w:proofErr w:type="spellStart"/>
      <w:r w:rsidRPr="006C0620">
        <w:rPr>
          <w:lang w:val="en-US"/>
        </w:rPr>
        <w:t>özellikle</w:t>
      </w:r>
      <w:proofErr w:type="spellEnd"/>
      <w:r w:rsidRPr="006C0620">
        <w:rPr>
          <w:lang w:val="en-US"/>
        </w:rPr>
        <w:t xml:space="preserve"> </w:t>
      </w:r>
      <w:proofErr w:type="spellStart"/>
      <w:r w:rsidRPr="006C0620">
        <w:rPr>
          <w:lang w:val="en-US"/>
        </w:rPr>
        <w:t>zorlu</w:t>
      </w:r>
      <w:proofErr w:type="spellEnd"/>
      <w:r w:rsidRPr="006C0620">
        <w:rPr>
          <w:lang w:val="en-US"/>
        </w:rPr>
        <w:t xml:space="preserve"> </w:t>
      </w:r>
      <w:proofErr w:type="spellStart"/>
      <w:r w:rsidRPr="006C0620">
        <w:rPr>
          <w:lang w:val="en-US"/>
        </w:rPr>
        <w:t>bazı</w:t>
      </w:r>
      <w:proofErr w:type="spellEnd"/>
      <w:r w:rsidRPr="006C0620">
        <w:rPr>
          <w:lang w:val="en-US"/>
        </w:rPr>
        <w:t xml:space="preserve"> </w:t>
      </w:r>
      <w:proofErr w:type="spellStart"/>
      <w:r w:rsidRPr="006C0620">
        <w:rPr>
          <w:lang w:val="en-US"/>
        </w:rPr>
        <w:t>davalarda</w:t>
      </w:r>
      <w:proofErr w:type="spellEnd"/>
      <w:r w:rsidRPr="006C0620">
        <w:rPr>
          <w:lang w:val="en-US"/>
        </w:rPr>
        <w:t xml:space="preserve"> per </w:t>
      </w:r>
      <w:proofErr w:type="spellStart"/>
      <w:r w:rsidRPr="006C0620">
        <w:rPr>
          <w:lang w:val="en-US"/>
        </w:rPr>
        <w:t>curiam</w:t>
      </w:r>
      <w:proofErr w:type="spellEnd"/>
      <w:r w:rsidRPr="006C0620">
        <w:rPr>
          <w:lang w:val="en-US"/>
        </w:rPr>
        <w:t xml:space="preserve"> </w:t>
      </w:r>
      <w:proofErr w:type="spellStart"/>
      <w:r w:rsidRPr="006C0620">
        <w:rPr>
          <w:lang w:val="en-US"/>
        </w:rPr>
        <w:t>karar</w:t>
      </w:r>
      <w:proofErr w:type="spellEnd"/>
      <w:r w:rsidRPr="006C0620">
        <w:rPr>
          <w:lang w:val="en-US"/>
        </w:rPr>
        <w:t xml:space="preserve"> </w:t>
      </w:r>
      <w:proofErr w:type="spellStart"/>
      <w:r w:rsidRPr="006C0620">
        <w:rPr>
          <w:lang w:val="en-US"/>
        </w:rPr>
        <w:t>yöntemine</w:t>
      </w:r>
      <w:proofErr w:type="spellEnd"/>
      <w:r w:rsidRPr="006C0620">
        <w:rPr>
          <w:lang w:val="en-US"/>
        </w:rPr>
        <w:t xml:space="preserve">, </w:t>
      </w:r>
      <w:proofErr w:type="spellStart"/>
      <w:r w:rsidRPr="006C0620">
        <w:rPr>
          <w:lang w:val="en-US"/>
        </w:rPr>
        <w:t>belirsiz</w:t>
      </w:r>
      <w:proofErr w:type="spellEnd"/>
      <w:r w:rsidRPr="006C0620">
        <w:rPr>
          <w:lang w:val="en-US"/>
        </w:rPr>
        <w:t xml:space="preserve"> </w:t>
      </w:r>
      <w:proofErr w:type="spellStart"/>
      <w:r w:rsidRPr="006C0620">
        <w:rPr>
          <w:lang w:val="en-US"/>
        </w:rPr>
        <w:t>nedenlerle</w:t>
      </w:r>
      <w:proofErr w:type="spellEnd"/>
      <w:r w:rsidRPr="006C0620">
        <w:rPr>
          <w:lang w:val="en-US"/>
        </w:rPr>
        <w:t xml:space="preserve"> </w:t>
      </w:r>
      <w:proofErr w:type="spellStart"/>
      <w:r w:rsidRPr="006C0620">
        <w:rPr>
          <w:lang w:val="en-US"/>
        </w:rPr>
        <w:t>başvurmuştur</w:t>
      </w:r>
      <w:proofErr w:type="spellEnd"/>
      <w:r w:rsidRPr="006C0620">
        <w:rPr>
          <w:lang w:val="en-US"/>
        </w:rPr>
        <w:t xml:space="preserve">; buna </w:t>
      </w:r>
      <w:proofErr w:type="spellStart"/>
      <w:r w:rsidRPr="006C0620">
        <w:rPr>
          <w:lang w:val="en-US"/>
        </w:rPr>
        <w:t>örnek</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r w:rsidRPr="006C0620">
        <w:rPr>
          <w:i/>
          <w:iCs/>
          <w:lang w:val="en-US"/>
        </w:rPr>
        <w:t>Bush v. Gore</w:t>
      </w:r>
      <w:r w:rsidRPr="006C0620">
        <w:rPr>
          <w:lang w:val="en-US"/>
        </w:rPr>
        <w:t xml:space="preserve">, 531 U.S. 98 (2000) </w:t>
      </w:r>
      <w:proofErr w:type="spellStart"/>
      <w:r w:rsidRPr="006C0620">
        <w:rPr>
          <w:lang w:val="en-US"/>
        </w:rPr>
        <w:t>davası</w:t>
      </w:r>
      <w:proofErr w:type="spellEnd"/>
      <w:r w:rsidRPr="006C0620">
        <w:rPr>
          <w:lang w:val="en-US"/>
        </w:rPr>
        <w:t xml:space="preserve"> </w:t>
      </w:r>
      <w:proofErr w:type="spellStart"/>
      <w:r w:rsidRPr="006C0620">
        <w:rPr>
          <w:lang w:val="en-US"/>
        </w:rPr>
        <w:t>verilebilir</w:t>
      </w:r>
      <w:proofErr w:type="spellEnd"/>
      <w:r w:rsidRPr="006C0620">
        <w:rPr>
          <w:lang w:val="en-US"/>
        </w:rPr>
        <w:t>.</w:t>
      </w:r>
    </w:p>
  </w:footnote>
  <w:footnote w:id="41">
    <w:p w14:paraId="55EBEF36" w14:textId="77777777" w:rsidR="006C0620" w:rsidRPr="006C0620" w:rsidRDefault="006C0620" w:rsidP="006C0620">
      <w:pPr>
        <w:pStyle w:val="Dipnot"/>
        <w:rPr>
          <w:lang w:val="en-US"/>
        </w:rPr>
      </w:pPr>
      <w:r w:rsidRPr="006C0620">
        <w:rPr>
          <w:rStyle w:val="FootnoteReference"/>
        </w:rPr>
        <w:footnoteRef/>
      </w:r>
      <w:r w:rsidRPr="006C0620">
        <w:t xml:space="preserve"> </w:t>
      </w:r>
      <w:r w:rsidRPr="006C0620">
        <w:tab/>
      </w:r>
      <w:r w:rsidRPr="006C0620">
        <w:rPr>
          <w:lang w:val="en-US"/>
        </w:rPr>
        <w:t xml:space="preserve">41 </w:t>
      </w:r>
      <w:proofErr w:type="spellStart"/>
      <w:r w:rsidRPr="006C0620">
        <w:rPr>
          <w:lang w:val="en-US"/>
        </w:rPr>
        <w:t>Bkz</w:t>
      </w:r>
      <w:proofErr w:type="spellEnd"/>
      <w:r w:rsidRPr="006C0620">
        <w:rPr>
          <w:lang w:val="en-US"/>
        </w:rPr>
        <w:t xml:space="preserve">., </w:t>
      </w:r>
      <w:proofErr w:type="spellStart"/>
      <w:r w:rsidRPr="006C0620">
        <w:rPr>
          <w:lang w:val="en-US"/>
        </w:rPr>
        <w:t>örneğin</w:t>
      </w:r>
      <w:proofErr w:type="spellEnd"/>
      <w:r w:rsidRPr="006C0620">
        <w:rPr>
          <w:lang w:val="en-US"/>
        </w:rPr>
        <w:t xml:space="preserve">, Henderson, supra </w:t>
      </w:r>
      <w:proofErr w:type="spellStart"/>
      <w:r w:rsidRPr="006C0620">
        <w:rPr>
          <w:lang w:val="en-US"/>
        </w:rPr>
        <w:t>dipnot</w:t>
      </w:r>
      <w:proofErr w:type="spellEnd"/>
      <w:r w:rsidRPr="006C0620">
        <w:rPr>
          <w:lang w:val="en-US"/>
        </w:rPr>
        <w:t xml:space="preserve"> 40, s. 304-07 (John Marshall </w:t>
      </w:r>
      <w:proofErr w:type="spellStart"/>
      <w:r w:rsidRPr="006C0620">
        <w:rPr>
          <w:lang w:val="en-US"/>
        </w:rPr>
        <w:t>ile</w:t>
      </w:r>
      <w:proofErr w:type="spellEnd"/>
      <w:r w:rsidRPr="006C0620">
        <w:rPr>
          <w:lang w:val="en-US"/>
        </w:rPr>
        <w:t xml:space="preserve"> Thomas Jefferson </w:t>
      </w:r>
      <w:proofErr w:type="spellStart"/>
      <w:r w:rsidRPr="006C0620">
        <w:rPr>
          <w:lang w:val="en-US"/>
        </w:rPr>
        <w:t>arasında</w:t>
      </w:r>
      <w:proofErr w:type="spellEnd"/>
      <w:r w:rsidRPr="006C0620">
        <w:rPr>
          <w:lang w:val="en-US"/>
        </w:rPr>
        <w:t xml:space="preserve"> seriatim </w:t>
      </w:r>
      <w:proofErr w:type="spellStart"/>
      <w:r w:rsidRPr="006C0620">
        <w:rPr>
          <w:lang w:val="en-US"/>
        </w:rPr>
        <w:t>görüşlerden</w:t>
      </w:r>
      <w:proofErr w:type="spellEnd"/>
      <w:r w:rsidRPr="006C0620">
        <w:rPr>
          <w:lang w:val="en-US"/>
        </w:rPr>
        <w:t xml:space="preserve"> (seriatim opinions) </w:t>
      </w:r>
      <w:proofErr w:type="spellStart"/>
      <w:r w:rsidRPr="006C0620">
        <w:rPr>
          <w:lang w:val="en-US"/>
        </w:rPr>
        <w:t>vazgeçilmesi</w:t>
      </w:r>
      <w:proofErr w:type="spellEnd"/>
      <w:r w:rsidRPr="006C0620">
        <w:rPr>
          <w:lang w:val="en-US"/>
        </w:rPr>
        <w:t xml:space="preserve"> </w:t>
      </w:r>
      <w:proofErr w:type="spellStart"/>
      <w:r w:rsidRPr="006C0620">
        <w:rPr>
          <w:lang w:val="en-US"/>
        </w:rPr>
        <w:t>konusunda</w:t>
      </w:r>
      <w:proofErr w:type="spellEnd"/>
      <w:r w:rsidRPr="006C0620">
        <w:rPr>
          <w:lang w:val="en-US"/>
        </w:rPr>
        <w:t xml:space="preserve"> </w:t>
      </w:r>
      <w:proofErr w:type="spellStart"/>
      <w:r w:rsidRPr="006C0620">
        <w:rPr>
          <w:lang w:val="en-US"/>
        </w:rPr>
        <w:t>yaşanan</w:t>
      </w:r>
      <w:proofErr w:type="spellEnd"/>
      <w:r w:rsidRPr="006C0620">
        <w:rPr>
          <w:lang w:val="en-US"/>
        </w:rPr>
        <w:t xml:space="preserve"> </w:t>
      </w:r>
      <w:proofErr w:type="spellStart"/>
      <w:r w:rsidRPr="006C0620">
        <w:rPr>
          <w:lang w:val="en-US"/>
        </w:rPr>
        <w:t>tartışmayı</w:t>
      </w:r>
      <w:proofErr w:type="spellEnd"/>
      <w:r w:rsidRPr="006C0620">
        <w:rPr>
          <w:lang w:val="en-US"/>
        </w:rPr>
        <w:t xml:space="preserve">, </w:t>
      </w:r>
      <w:proofErr w:type="spellStart"/>
      <w:r w:rsidRPr="006C0620">
        <w:rPr>
          <w:lang w:val="en-US"/>
        </w:rPr>
        <w:t>yargı</w:t>
      </w:r>
      <w:proofErr w:type="spellEnd"/>
      <w:r w:rsidRPr="006C0620">
        <w:rPr>
          <w:lang w:val="en-US"/>
        </w:rPr>
        <w:t xml:space="preserve"> </w:t>
      </w:r>
      <w:proofErr w:type="spellStart"/>
      <w:r w:rsidRPr="006C0620">
        <w:rPr>
          <w:lang w:val="en-US"/>
        </w:rPr>
        <w:t>yetkisinin</w:t>
      </w:r>
      <w:proofErr w:type="spellEnd"/>
      <w:r w:rsidRPr="006C0620">
        <w:rPr>
          <w:lang w:val="en-US"/>
        </w:rPr>
        <w:t xml:space="preserve"> </w:t>
      </w:r>
      <w:proofErr w:type="spellStart"/>
      <w:r w:rsidRPr="006C0620">
        <w:rPr>
          <w:lang w:val="en-US"/>
        </w:rPr>
        <w:t>kapsamına</w:t>
      </w:r>
      <w:proofErr w:type="spellEnd"/>
      <w:r w:rsidRPr="006C0620">
        <w:rPr>
          <w:lang w:val="en-US"/>
        </w:rPr>
        <w:t xml:space="preserve"> </w:t>
      </w:r>
      <w:proofErr w:type="spellStart"/>
      <w:r w:rsidRPr="006C0620">
        <w:rPr>
          <w:lang w:val="en-US"/>
        </w:rPr>
        <w:t>ilişkin</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tartışma</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proofErr w:type="spellStart"/>
      <w:r w:rsidRPr="006C0620">
        <w:rPr>
          <w:lang w:val="en-US"/>
        </w:rPr>
        <w:t>ele</w:t>
      </w:r>
      <w:proofErr w:type="spellEnd"/>
      <w:r w:rsidRPr="006C0620">
        <w:rPr>
          <w:lang w:val="en-US"/>
        </w:rPr>
        <w:t xml:space="preserve"> </w:t>
      </w:r>
      <w:proofErr w:type="spellStart"/>
      <w:r w:rsidRPr="006C0620">
        <w:rPr>
          <w:lang w:val="en-US"/>
        </w:rPr>
        <w:t>almakta</w:t>
      </w:r>
      <w:proofErr w:type="spellEnd"/>
      <w:r w:rsidRPr="006C0620">
        <w:rPr>
          <w:lang w:val="en-US"/>
        </w:rPr>
        <w:t xml:space="preserve">; Jefferson, seriatim </w:t>
      </w:r>
      <w:proofErr w:type="spellStart"/>
      <w:r w:rsidRPr="006C0620">
        <w:rPr>
          <w:lang w:val="en-US"/>
        </w:rPr>
        <w:t>görüşlerin</w:t>
      </w:r>
      <w:proofErr w:type="spellEnd"/>
      <w:r w:rsidRPr="006C0620">
        <w:rPr>
          <w:lang w:val="en-US"/>
        </w:rPr>
        <w:t xml:space="preserve"> </w:t>
      </w:r>
      <w:proofErr w:type="spellStart"/>
      <w:r w:rsidRPr="006C0620">
        <w:rPr>
          <w:lang w:val="en-US"/>
        </w:rPr>
        <w:t>yargının</w:t>
      </w:r>
      <w:proofErr w:type="spellEnd"/>
      <w:r w:rsidRPr="006C0620">
        <w:rPr>
          <w:lang w:val="en-US"/>
        </w:rPr>
        <w:t xml:space="preserve"> </w:t>
      </w:r>
      <w:proofErr w:type="spellStart"/>
      <w:r w:rsidRPr="006C0620">
        <w:rPr>
          <w:lang w:val="en-US"/>
        </w:rPr>
        <w:t>aşırı</w:t>
      </w:r>
      <w:proofErr w:type="spellEnd"/>
      <w:r w:rsidRPr="006C0620">
        <w:rPr>
          <w:lang w:val="en-US"/>
        </w:rPr>
        <w:t xml:space="preserve"> </w:t>
      </w:r>
      <w:proofErr w:type="spellStart"/>
      <w:r w:rsidRPr="006C0620">
        <w:rPr>
          <w:lang w:val="en-US"/>
        </w:rPr>
        <w:t>yetki</w:t>
      </w:r>
      <w:proofErr w:type="spellEnd"/>
      <w:r w:rsidRPr="006C0620">
        <w:rPr>
          <w:lang w:val="en-US"/>
        </w:rPr>
        <w:t xml:space="preserve"> </w:t>
      </w:r>
      <w:proofErr w:type="spellStart"/>
      <w:r w:rsidRPr="006C0620">
        <w:rPr>
          <w:lang w:val="en-US"/>
        </w:rPr>
        <w:t>kullanımını</w:t>
      </w:r>
      <w:proofErr w:type="spellEnd"/>
      <w:r w:rsidRPr="006C0620">
        <w:rPr>
          <w:lang w:val="en-US"/>
        </w:rPr>
        <w:t xml:space="preserve"> </w:t>
      </w:r>
      <w:proofErr w:type="spellStart"/>
      <w:r w:rsidRPr="006C0620">
        <w:rPr>
          <w:lang w:val="en-US"/>
        </w:rPr>
        <w:t>sınırlamak</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arzu</w:t>
      </w:r>
      <w:proofErr w:type="spellEnd"/>
      <w:r w:rsidRPr="006C0620">
        <w:rPr>
          <w:lang w:val="en-US"/>
        </w:rPr>
        <w:t xml:space="preserve"> </w:t>
      </w:r>
      <w:proofErr w:type="spellStart"/>
      <w:r w:rsidRPr="006C0620">
        <w:rPr>
          <w:lang w:val="en-US"/>
        </w:rPr>
        <w:t>edilen</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mekanizma</w:t>
      </w:r>
      <w:proofErr w:type="spellEnd"/>
      <w:r w:rsidRPr="006C0620">
        <w:rPr>
          <w:lang w:val="en-US"/>
        </w:rPr>
        <w:t xml:space="preserve"> </w:t>
      </w:r>
      <w:proofErr w:type="spellStart"/>
      <w:r w:rsidRPr="006C0620">
        <w:rPr>
          <w:lang w:val="en-US"/>
        </w:rPr>
        <w:t>olduğunu</w:t>
      </w:r>
      <w:proofErr w:type="spellEnd"/>
      <w:r w:rsidRPr="006C0620">
        <w:rPr>
          <w:lang w:val="en-US"/>
        </w:rPr>
        <w:t xml:space="preserve"> </w:t>
      </w:r>
      <w:proofErr w:type="spellStart"/>
      <w:r w:rsidRPr="006C0620">
        <w:rPr>
          <w:lang w:val="en-US"/>
        </w:rPr>
        <w:t>savunmaktadır</w:t>
      </w:r>
      <w:proofErr w:type="spellEnd"/>
      <w:r w:rsidRPr="006C0620">
        <w:rPr>
          <w:lang w:val="en-US"/>
        </w:rPr>
        <w:t>).</w:t>
      </w:r>
    </w:p>
    <w:p w14:paraId="44E9122C" w14:textId="5744D11E" w:rsidR="006C0620" w:rsidRPr="006C0620" w:rsidRDefault="006C0620" w:rsidP="006C0620">
      <w:pPr>
        <w:pStyle w:val="Dipnot"/>
        <w:rPr>
          <w:lang w:val="en-US"/>
        </w:rPr>
      </w:pPr>
    </w:p>
  </w:footnote>
  <w:footnote w:id="42">
    <w:p w14:paraId="1EA2D902" w14:textId="25D2C264" w:rsidR="006C0620" w:rsidRPr="006C0620" w:rsidRDefault="006C0620" w:rsidP="00CA6E33">
      <w:pPr>
        <w:pStyle w:val="Dipnot"/>
        <w:rPr>
          <w:lang w:val="en-US"/>
        </w:rPr>
      </w:pPr>
      <w:r>
        <w:rPr>
          <w:rStyle w:val="FootnoteReference"/>
        </w:rPr>
        <w:footnoteRef/>
      </w:r>
      <w:r>
        <w:t xml:space="preserve"> </w:t>
      </w:r>
      <w:r w:rsidRPr="006C0620">
        <w:tab/>
      </w:r>
      <w:r w:rsidRPr="006C0620">
        <w:rPr>
          <w:lang w:val="en-US"/>
        </w:rPr>
        <w:t xml:space="preserve">42 </w:t>
      </w:r>
      <w:proofErr w:type="spellStart"/>
      <w:r w:rsidRPr="006C0620">
        <w:rPr>
          <w:lang w:val="en-US"/>
        </w:rPr>
        <w:t>Görüş</w:t>
      </w:r>
      <w:proofErr w:type="spellEnd"/>
      <w:r w:rsidRPr="006C0620">
        <w:rPr>
          <w:lang w:val="en-US"/>
        </w:rPr>
        <w:t xml:space="preserve"> </w:t>
      </w:r>
      <w:proofErr w:type="spellStart"/>
      <w:r w:rsidRPr="006C0620">
        <w:rPr>
          <w:lang w:val="en-US"/>
        </w:rPr>
        <w:t>yazımı</w:t>
      </w:r>
      <w:proofErr w:type="spellEnd"/>
      <w:r w:rsidRPr="006C0620">
        <w:rPr>
          <w:lang w:val="en-US"/>
        </w:rPr>
        <w:t xml:space="preserve"> </w:t>
      </w:r>
      <w:proofErr w:type="spellStart"/>
      <w:r w:rsidRPr="006C0620">
        <w:rPr>
          <w:lang w:val="en-US"/>
        </w:rPr>
        <w:t>protokollerinin</w:t>
      </w:r>
      <w:proofErr w:type="spellEnd"/>
      <w:r w:rsidRPr="006C0620">
        <w:rPr>
          <w:lang w:val="en-US"/>
        </w:rPr>
        <w:t xml:space="preserve"> </w:t>
      </w:r>
      <w:proofErr w:type="spellStart"/>
      <w:r w:rsidRPr="006C0620">
        <w:rPr>
          <w:lang w:val="en-US"/>
        </w:rPr>
        <w:t>tarihsel</w:t>
      </w:r>
      <w:proofErr w:type="spellEnd"/>
      <w:r w:rsidRPr="006C0620">
        <w:rPr>
          <w:lang w:val="en-US"/>
        </w:rPr>
        <w:t xml:space="preserve"> </w:t>
      </w:r>
      <w:proofErr w:type="spellStart"/>
      <w:r w:rsidRPr="006C0620">
        <w:rPr>
          <w:lang w:val="en-US"/>
        </w:rPr>
        <w:t>evrimi</w:t>
      </w:r>
      <w:proofErr w:type="spellEnd"/>
      <w:r w:rsidRPr="006C0620">
        <w:rPr>
          <w:lang w:val="en-US"/>
        </w:rPr>
        <w:t xml:space="preserve"> </w:t>
      </w:r>
      <w:proofErr w:type="spellStart"/>
      <w:r w:rsidRPr="006C0620">
        <w:rPr>
          <w:lang w:val="en-US"/>
        </w:rPr>
        <w:t>hakkında</w:t>
      </w:r>
      <w:proofErr w:type="spellEnd"/>
      <w:r w:rsidRPr="006C0620">
        <w:rPr>
          <w:lang w:val="en-US"/>
        </w:rPr>
        <w:t xml:space="preserve"> </w:t>
      </w:r>
      <w:proofErr w:type="spellStart"/>
      <w:r w:rsidRPr="006C0620">
        <w:rPr>
          <w:lang w:val="en-US"/>
        </w:rPr>
        <w:t>genel</w:t>
      </w:r>
      <w:proofErr w:type="spellEnd"/>
      <w:r w:rsidRPr="006C0620">
        <w:rPr>
          <w:lang w:val="en-US"/>
        </w:rPr>
        <w:t xml:space="preserve"> </w:t>
      </w:r>
      <w:proofErr w:type="spellStart"/>
      <w:r w:rsidRPr="006C0620">
        <w:rPr>
          <w:lang w:val="en-US"/>
        </w:rPr>
        <w:t>bir</w:t>
      </w:r>
      <w:proofErr w:type="spellEnd"/>
      <w:r w:rsidRPr="006C0620">
        <w:rPr>
          <w:lang w:val="en-US"/>
        </w:rPr>
        <w:t xml:space="preserve"> </w:t>
      </w:r>
      <w:proofErr w:type="spellStart"/>
      <w:r w:rsidRPr="006C0620">
        <w:rPr>
          <w:lang w:val="en-US"/>
        </w:rPr>
        <w:t>değerlendirme</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bkz</w:t>
      </w:r>
      <w:proofErr w:type="spellEnd"/>
      <w:r w:rsidRPr="006C0620">
        <w:rPr>
          <w:lang w:val="en-US"/>
        </w:rPr>
        <w:t xml:space="preserve">. John P. Kelsh, The Opinion Delivery Practices of the United States Supreme Court 1790-1945, 77 WASH. U. L.Q. 137 (1999) (1790-1801 </w:t>
      </w:r>
      <w:proofErr w:type="spellStart"/>
      <w:r w:rsidRPr="006C0620">
        <w:rPr>
          <w:lang w:val="en-US"/>
        </w:rPr>
        <w:t>dönemindeki</w:t>
      </w:r>
      <w:proofErr w:type="spellEnd"/>
      <w:r w:rsidRPr="006C0620">
        <w:rPr>
          <w:lang w:val="en-US"/>
        </w:rPr>
        <w:t xml:space="preserve"> </w:t>
      </w:r>
      <w:proofErr w:type="spellStart"/>
      <w:r w:rsidRPr="006C0620">
        <w:rPr>
          <w:lang w:val="en-US"/>
        </w:rPr>
        <w:t>belirsiz</w:t>
      </w:r>
      <w:proofErr w:type="spellEnd"/>
      <w:r w:rsidRPr="006C0620">
        <w:rPr>
          <w:lang w:val="en-US"/>
        </w:rPr>
        <w:t xml:space="preserve"> </w:t>
      </w:r>
      <w:proofErr w:type="spellStart"/>
      <w:r w:rsidRPr="006C0620">
        <w:rPr>
          <w:lang w:val="en-US"/>
        </w:rPr>
        <w:t>uygulamalardan</w:t>
      </w:r>
      <w:proofErr w:type="spellEnd"/>
      <w:r w:rsidRPr="006C0620">
        <w:rPr>
          <w:lang w:val="en-US"/>
        </w:rPr>
        <w:t xml:space="preserve"> Marshall </w:t>
      </w:r>
      <w:proofErr w:type="spellStart"/>
      <w:r w:rsidRPr="006C0620">
        <w:rPr>
          <w:lang w:val="en-US"/>
        </w:rPr>
        <w:t>dönemi</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bireysel</w:t>
      </w:r>
      <w:proofErr w:type="spellEnd"/>
      <w:r w:rsidRPr="006C0620">
        <w:rPr>
          <w:lang w:val="en-US"/>
        </w:rPr>
        <w:t xml:space="preserve"> </w:t>
      </w:r>
      <w:proofErr w:type="spellStart"/>
      <w:r w:rsidRPr="006C0620">
        <w:rPr>
          <w:lang w:val="en-US"/>
        </w:rPr>
        <w:t>yargıç</w:t>
      </w:r>
      <w:proofErr w:type="spellEnd"/>
      <w:r w:rsidRPr="006C0620">
        <w:rPr>
          <w:lang w:val="en-US"/>
        </w:rPr>
        <w:t xml:space="preserve"> </w:t>
      </w:r>
      <w:proofErr w:type="spellStart"/>
      <w:r w:rsidRPr="006C0620">
        <w:rPr>
          <w:lang w:val="en-US"/>
        </w:rPr>
        <w:t>ifadelerine</w:t>
      </w:r>
      <w:proofErr w:type="spellEnd"/>
      <w:r w:rsidRPr="006C0620">
        <w:rPr>
          <w:lang w:val="en-US"/>
        </w:rPr>
        <w:t xml:space="preserve"> </w:t>
      </w:r>
      <w:proofErr w:type="spellStart"/>
      <w:r w:rsidRPr="006C0620">
        <w:rPr>
          <w:lang w:val="en-US"/>
        </w:rPr>
        <w:t>yönelik</w:t>
      </w:r>
      <w:proofErr w:type="spellEnd"/>
      <w:r w:rsidRPr="006C0620">
        <w:rPr>
          <w:lang w:val="en-US"/>
        </w:rPr>
        <w:t xml:space="preserve"> </w:t>
      </w:r>
      <w:proofErr w:type="spellStart"/>
      <w:r w:rsidRPr="006C0620">
        <w:rPr>
          <w:lang w:val="en-US"/>
        </w:rPr>
        <w:t>günümüz</w:t>
      </w:r>
      <w:proofErr w:type="spellEnd"/>
      <w:r w:rsidRPr="006C0620">
        <w:rPr>
          <w:lang w:val="en-US"/>
        </w:rPr>
        <w:t xml:space="preserve"> </w:t>
      </w:r>
      <w:proofErr w:type="spellStart"/>
      <w:r w:rsidRPr="006C0620">
        <w:rPr>
          <w:lang w:val="en-US"/>
        </w:rPr>
        <w:t>anlayışına</w:t>
      </w:r>
      <w:proofErr w:type="spellEnd"/>
      <w:r w:rsidRPr="006C0620">
        <w:rPr>
          <w:lang w:val="en-US"/>
        </w:rPr>
        <w:t xml:space="preserve"> </w:t>
      </w:r>
      <w:proofErr w:type="spellStart"/>
      <w:r w:rsidRPr="006C0620">
        <w:rPr>
          <w:lang w:val="en-US"/>
        </w:rPr>
        <w:t>kadar</w:t>
      </w:r>
      <w:proofErr w:type="spellEnd"/>
      <w:r w:rsidRPr="006C0620">
        <w:rPr>
          <w:lang w:val="en-US"/>
        </w:rPr>
        <w:t xml:space="preserve"> </w:t>
      </w:r>
      <w:proofErr w:type="spellStart"/>
      <w:r w:rsidRPr="006C0620">
        <w:rPr>
          <w:lang w:val="en-US"/>
        </w:rPr>
        <w:t>görüş</w:t>
      </w:r>
      <w:proofErr w:type="spellEnd"/>
      <w:r w:rsidRPr="006C0620">
        <w:rPr>
          <w:lang w:val="en-US"/>
        </w:rPr>
        <w:t xml:space="preserve"> </w:t>
      </w:r>
      <w:proofErr w:type="spellStart"/>
      <w:r w:rsidRPr="006C0620">
        <w:rPr>
          <w:lang w:val="en-US"/>
        </w:rPr>
        <w:t>yazımı</w:t>
      </w:r>
      <w:proofErr w:type="spellEnd"/>
      <w:r w:rsidRPr="006C0620">
        <w:rPr>
          <w:lang w:val="en-US"/>
        </w:rPr>
        <w:t xml:space="preserve"> </w:t>
      </w:r>
      <w:proofErr w:type="spellStart"/>
      <w:r w:rsidRPr="006C0620">
        <w:rPr>
          <w:lang w:val="en-US"/>
        </w:rPr>
        <w:t>protokollerinin</w:t>
      </w:r>
      <w:proofErr w:type="spellEnd"/>
      <w:r w:rsidRPr="006C0620">
        <w:rPr>
          <w:lang w:val="en-US"/>
        </w:rPr>
        <w:t xml:space="preserve"> </w:t>
      </w:r>
      <w:proofErr w:type="spellStart"/>
      <w:r w:rsidRPr="006C0620">
        <w:rPr>
          <w:lang w:val="en-US"/>
        </w:rPr>
        <w:t>gelişimini</w:t>
      </w:r>
      <w:proofErr w:type="spellEnd"/>
      <w:r w:rsidRPr="006C0620">
        <w:rPr>
          <w:lang w:val="en-US"/>
        </w:rPr>
        <w:t xml:space="preserve"> </w:t>
      </w:r>
      <w:proofErr w:type="spellStart"/>
      <w:r w:rsidRPr="006C0620">
        <w:rPr>
          <w:lang w:val="en-US"/>
        </w:rPr>
        <w:t>ayrıntılı</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proofErr w:type="spellStart"/>
      <w:r w:rsidRPr="006C0620">
        <w:rPr>
          <w:lang w:val="en-US"/>
        </w:rPr>
        <w:t>incelemektedir</w:t>
      </w:r>
      <w:proofErr w:type="spellEnd"/>
      <w:r w:rsidRPr="006C0620">
        <w:rPr>
          <w:lang w:val="en-US"/>
        </w:rPr>
        <w:t>).</w:t>
      </w:r>
      <w:r w:rsidRPr="006C0620">
        <w:rPr>
          <w:lang w:val="en-US"/>
        </w:rPr>
        <w:t xml:space="preserve"> </w:t>
      </w:r>
      <w:proofErr w:type="spellStart"/>
      <w:r w:rsidRPr="006C0620">
        <w:rPr>
          <w:lang w:val="en-US"/>
        </w:rPr>
        <w:t>Muhalefet</w:t>
      </w:r>
      <w:proofErr w:type="spellEnd"/>
      <w:r w:rsidRPr="006C0620">
        <w:rPr>
          <w:lang w:val="en-US"/>
        </w:rPr>
        <w:t xml:space="preserve"> </w:t>
      </w:r>
      <w:proofErr w:type="spellStart"/>
      <w:r w:rsidRPr="006C0620">
        <w:rPr>
          <w:lang w:val="en-US"/>
        </w:rPr>
        <w:t>şerhi</w:t>
      </w:r>
      <w:proofErr w:type="spellEnd"/>
      <w:r w:rsidRPr="006C0620">
        <w:rPr>
          <w:lang w:val="en-US"/>
        </w:rPr>
        <w:t xml:space="preserve"> (dissent) </w:t>
      </w:r>
      <w:proofErr w:type="spellStart"/>
      <w:r w:rsidRPr="006C0620">
        <w:rPr>
          <w:lang w:val="en-US"/>
        </w:rPr>
        <w:t>yazma</w:t>
      </w:r>
      <w:proofErr w:type="spellEnd"/>
      <w:r w:rsidRPr="006C0620">
        <w:rPr>
          <w:lang w:val="en-US"/>
        </w:rPr>
        <w:t xml:space="preserve"> </w:t>
      </w:r>
      <w:proofErr w:type="spellStart"/>
      <w:r w:rsidRPr="006C0620">
        <w:rPr>
          <w:lang w:val="en-US"/>
        </w:rPr>
        <w:t>kararına</w:t>
      </w:r>
      <w:proofErr w:type="spellEnd"/>
      <w:r w:rsidRPr="006C0620">
        <w:rPr>
          <w:lang w:val="en-US"/>
        </w:rPr>
        <w:t xml:space="preserve"> </w:t>
      </w:r>
      <w:proofErr w:type="spellStart"/>
      <w:r w:rsidRPr="006C0620">
        <w:rPr>
          <w:lang w:val="en-US"/>
        </w:rPr>
        <w:t>ilişkin</w:t>
      </w:r>
      <w:proofErr w:type="spellEnd"/>
      <w:r w:rsidRPr="006C0620">
        <w:rPr>
          <w:lang w:val="en-US"/>
        </w:rPr>
        <w:t xml:space="preserve"> </w:t>
      </w:r>
      <w:proofErr w:type="spellStart"/>
      <w:r w:rsidRPr="006C0620">
        <w:rPr>
          <w:lang w:val="en-US"/>
        </w:rPr>
        <w:t>değerlendirme</w:t>
      </w:r>
      <w:proofErr w:type="spellEnd"/>
      <w:r w:rsidRPr="006C0620">
        <w:rPr>
          <w:lang w:val="en-US"/>
        </w:rPr>
        <w:t xml:space="preserve"> </w:t>
      </w:r>
      <w:proofErr w:type="spellStart"/>
      <w:r w:rsidRPr="006C0620">
        <w:rPr>
          <w:lang w:val="en-US"/>
        </w:rPr>
        <w:t>için</w:t>
      </w:r>
      <w:proofErr w:type="spellEnd"/>
      <w:r w:rsidRPr="006C0620">
        <w:rPr>
          <w:lang w:val="en-US"/>
        </w:rPr>
        <w:t xml:space="preserve"> </w:t>
      </w:r>
      <w:proofErr w:type="spellStart"/>
      <w:r w:rsidRPr="006C0620">
        <w:rPr>
          <w:lang w:val="en-US"/>
        </w:rPr>
        <w:t>genel</w:t>
      </w:r>
      <w:proofErr w:type="spellEnd"/>
      <w:r w:rsidRPr="006C0620">
        <w:rPr>
          <w:lang w:val="en-US"/>
        </w:rPr>
        <w:t xml:space="preserve"> </w:t>
      </w:r>
      <w:proofErr w:type="spellStart"/>
      <w:r w:rsidRPr="006C0620">
        <w:rPr>
          <w:lang w:val="en-US"/>
        </w:rPr>
        <w:t>olarak</w:t>
      </w:r>
      <w:proofErr w:type="spellEnd"/>
      <w:r w:rsidRPr="006C0620">
        <w:rPr>
          <w:lang w:val="en-US"/>
        </w:rPr>
        <w:t xml:space="preserve"> </w:t>
      </w:r>
      <w:proofErr w:type="spellStart"/>
      <w:r w:rsidRPr="006C0620">
        <w:rPr>
          <w:lang w:val="en-US"/>
        </w:rPr>
        <w:t>bkz</w:t>
      </w:r>
      <w:proofErr w:type="spellEnd"/>
      <w:r w:rsidRPr="006C0620">
        <w:rPr>
          <w:lang w:val="en-US"/>
        </w:rPr>
        <w:t>. Antonin Scalia, The Dissenting Opinion, 1994 J. SUP. CT. HIST. 33 (</w:t>
      </w:r>
      <w:proofErr w:type="spellStart"/>
      <w:r w:rsidRPr="006C0620">
        <w:rPr>
          <w:lang w:val="en-US"/>
        </w:rPr>
        <w:t>muhalefet</w:t>
      </w:r>
      <w:proofErr w:type="spellEnd"/>
      <w:r w:rsidRPr="006C0620">
        <w:rPr>
          <w:lang w:val="en-US"/>
        </w:rPr>
        <w:t xml:space="preserve"> </w:t>
      </w:r>
      <w:proofErr w:type="spellStart"/>
      <w:r w:rsidRPr="006C0620">
        <w:rPr>
          <w:lang w:val="en-US"/>
        </w:rPr>
        <w:t>görüşü</w:t>
      </w:r>
      <w:proofErr w:type="spellEnd"/>
      <w:r w:rsidRPr="006C0620">
        <w:rPr>
          <w:lang w:val="en-US"/>
        </w:rPr>
        <w:t xml:space="preserve"> </w:t>
      </w:r>
      <w:proofErr w:type="spellStart"/>
      <w:r w:rsidRPr="006C0620">
        <w:rPr>
          <w:lang w:val="en-US"/>
        </w:rPr>
        <w:t>yazmanın</w:t>
      </w:r>
      <w:proofErr w:type="spellEnd"/>
      <w:r w:rsidRPr="006C0620">
        <w:rPr>
          <w:lang w:val="en-US"/>
        </w:rPr>
        <w:t xml:space="preserve"> </w:t>
      </w:r>
      <w:proofErr w:type="spellStart"/>
      <w:r w:rsidRPr="006C0620">
        <w:rPr>
          <w:lang w:val="en-US"/>
        </w:rPr>
        <w:t>avantajlarını</w:t>
      </w:r>
      <w:proofErr w:type="spellEnd"/>
      <w:r w:rsidRPr="006C0620">
        <w:rPr>
          <w:lang w:val="en-US"/>
        </w:rPr>
        <w:t xml:space="preserve">, </w:t>
      </w:r>
      <w:proofErr w:type="spellStart"/>
      <w:r w:rsidRPr="006C0620">
        <w:rPr>
          <w:lang w:val="en-US"/>
        </w:rPr>
        <w:t>dezavantajlarını</w:t>
      </w:r>
      <w:proofErr w:type="spellEnd"/>
      <w:r w:rsidRPr="006C0620">
        <w:rPr>
          <w:lang w:val="en-US"/>
        </w:rPr>
        <w:t xml:space="preserve"> </w:t>
      </w:r>
      <w:proofErr w:type="spellStart"/>
      <w:r w:rsidRPr="006C0620">
        <w:rPr>
          <w:lang w:val="en-US"/>
        </w:rPr>
        <w:t>ve</w:t>
      </w:r>
      <w:proofErr w:type="spellEnd"/>
      <w:r w:rsidRPr="006C0620">
        <w:rPr>
          <w:lang w:val="en-US"/>
        </w:rPr>
        <w:t xml:space="preserve"> </w:t>
      </w:r>
      <w:proofErr w:type="spellStart"/>
      <w:r w:rsidRPr="006C0620">
        <w:rPr>
          <w:lang w:val="en-US"/>
        </w:rPr>
        <w:t>etkilerini</w:t>
      </w:r>
      <w:proofErr w:type="spellEnd"/>
      <w:r w:rsidRPr="006C0620">
        <w:rPr>
          <w:lang w:val="en-US"/>
        </w:rPr>
        <w:t xml:space="preserve"> </w:t>
      </w:r>
      <w:proofErr w:type="spellStart"/>
      <w:r w:rsidRPr="006C0620">
        <w:rPr>
          <w:lang w:val="en-US"/>
        </w:rPr>
        <w:t>tartışmaktadır</w:t>
      </w:r>
      <w:proofErr w:type="spellEnd"/>
      <w:r w:rsidRPr="006C0620">
        <w:rPr>
          <w:lang w:val="en-US"/>
        </w:rPr>
        <w:t>).</w:t>
      </w:r>
    </w:p>
  </w:footnote>
  <w:footnote w:id="43">
    <w:p w14:paraId="7BCE3973" w14:textId="61540649" w:rsidR="00CA6E33" w:rsidRPr="00CA6E33" w:rsidRDefault="00CA6E33" w:rsidP="00CA6E33">
      <w:pPr>
        <w:pStyle w:val="Dipnot"/>
        <w:rPr>
          <w:lang w:val="en-US"/>
        </w:rPr>
      </w:pPr>
      <w:r>
        <w:rPr>
          <w:rStyle w:val="FootnoteReference"/>
        </w:rPr>
        <w:footnoteRef/>
      </w:r>
      <w:r>
        <w:t xml:space="preserve"> </w:t>
      </w:r>
      <w:r w:rsidRPr="00CA6E33">
        <w:tab/>
      </w:r>
      <w:r w:rsidRPr="00CA6E33">
        <w:t xml:space="preserve">43 Bkz., örneğin, THE SUPREME COURT IN CONFERENCE (1940-1985): THE PRIVATE DISCUSSIONS BEHIND NEARLY 300 SUPREME COURT DECISIONS 79 (Del </w:t>
      </w:r>
      <w:proofErr w:type="spellStart"/>
      <w:r w:rsidRPr="00CA6E33">
        <w:t>Dickson</w:t>
      </w:r>
      <w:proofErr w:type="spellEnd"/>
      <w:r w:rsidRPr="00CA6E33">
        <w:t xml:space="preserve"> ed., 2001) (“[1]935 yılında... [Mahkeme] caddenin karşısındaki yeni Yüksek Mahkeme binasına taşındı... Sadece George </w:t>
      </w:r>
      <w:proofErr w:type="spellStart"/>
      <w:r w:rsidRPr="00CA6E33">
        <w:t>Sutherland</w:t>
      </w:r>
      <w:proofErr w:type="spellEnd"/>
      <w:r w:rsidRPr="00CA6E33">
        <w:t xml:space="preserve"> ve </w:t>
      </w:r>
      <w:proofErr w:type="spellStart"/>
      <w:r w:rsidRPr="00CA6E33">
        <w:t>Owen</w:t>
      </w:r>
      <w:proofErr w:type="spellEnd"/>
      <w:r w:rsidRPr="00CA6E33">
        <w:t xml:space="preserve"> Roberts yeni binada odalar aldı. Geri kalanlar... evlerinde çalışmaya devam etti.”).</w:t>
      </w:r>
    </w:p>
  </w:footnote>
  <w:footnote w:id="44">
    <w:p w14:paraId="1EE37E2A" w14:textId="45A399FC" w:rsidR="00CA6E33" w:rsidRPr="00CA6E33" w:rsidRDefault="00CA6E33" w:rsidP="00CA6E33">
      <w:pPr>
        <w:pStyle w:val="Dipnot"/>
        <w:rPr>
          <w:lang w:val="en-US"/>
        </w:rPr>
      </w:pPr>
      <w:r w:rsidRPr="00CA6E33">
        <w:rPr>
          <w:rStyle w:val="FootnoteReference"/>
        </w:rPr>
        <w:footnoteRef/>
      </w:r>
      <w:r w:rsidRPr="00CA6E33">
        <w:t xml:space="preserve"> </w:t>
      </w:r>
      <w:r w:rsidRPr="00CA6E33">
        <w:tab/>
      </w:r>
      <w:r w:rsidRPr="00CA6E33">
        <w:t>44 Mahkeme konferanslarının evrimi hakkında bkz. WILLIAM H. REHNQUIST, THE SUPREME COURT 254-58 (2d ed. 2001) (Yargıçların konferansları yönetirken benimsedikleri farklı stilleri karşılaştırmakta; özellikle “Hughes konferanslarının gergin atmosferine,” Stone konferanslarının tartışma odaklı yapısına ve Warren Burger dönemindeki konferansların “bu ikisinin arasında bir yerde” olduğuna dikkat çekmektedir).</w:t>
      </w:r>
    </w:p>
  </w:footnote>
  <w:footnote w:id="45">
    <w:p w14:paraId="4899DB55" w14:textId="77777777" w:rsidR="00CA6E33" w:rsidRPr="00CA6E33" w:rsidRDefault="00CA6E33" w:rsidP="00CA6E33">
      <w:pPr>
        <w:pStyle w:val="Dipnot"/>
        <w:rPr>
          <w:lang w:val="en-US"/>
        </w:rPr>
      </w:pPr>
      <w:r>
        <w:rPr>
          <w:rStyle w:val="FootnoteReference"/>
        </w:rPr>
        <w:footnoteRef/>
      </w:r>
      <w:r>
        <w:t xml:space="preserve"> </w:t>
      </w:r>
      <w:r>
        <w:tab/>
      </w:r>
      <w:r w:rsidRPr="00CA6E33">
        <w:rPr>
          <w:lang w:val="en-US"/>
        </w:rPr>
        <w:t xml:space="preserve">45 </w:t>
      </w:r>
      <w:proofErr w:type="spellStart"/>
      <w:r w:rsidRPr="00CA6E33">
        <w:rPr>
          <w:lang w:val="en-US"/>
        </w:rPr>
        <w:t>Bkz</w:t>
      </w:r>
      <w:proofErr w:type="spellEnd"/>
      <w:r w:rsidRPr="00CA6E33">
        <w:rPr>
          <w:lang w:val="en-US"/>
        </w:rPr>
        <w:t xml:space="preserve">. </w:t>
      </w:r>
      <w:r w:rsidRPr="00CA6E33">
        <w:rPr>
          <w:b/>
          <w:bCs/>
          <w:lang w:val="en-US"/>
        </w:rPr>
        <w:t>infra</w:t>
      </w:r>
      <w:r w:rsidRPr="00CA6E33">
        <w:rPr>
          <w:lang w:val="en-US"/>
        </w:rPr>
        <w:t xml:space="preserve"> </w:t>
      </w:r>
      <w:proofErr w:type="spellStart"/>
      <w:r w:rsidRPr="00CA6E33">
        <w:rPr>
          <w:lang w:val="en-US"/>
        </w:rPr>
        <w:t>dipnotlar</w:t>
      </w:r>
      <w:proofErr w:type="spellEnd"/>
      <w:r w:rsidRPr="00CA6E33">
        <w:rPr>
          <w:lang w:val="en-US"/>
        </w:rPr>
        <w:t xml:space="preserve"> 80-91 </w:t>
      </w:r>
      <w:proofErr w:type="spellStart"/>
      <w:r w:rsidRPr="00CA6E33">
        <w:rPr>
          <w:lang w:val="en-US"/>
        </w:rPr>
        <w:t>ve</w:t>
      </w:r>
      <w:proofErr w:type="spellEnd"/>
      <w:r w:rsidRPr="00CA6E33">
        <w:rPr>
          <w:lang w:val="en-US"/>
        </w:rPr>
        <w:t xml:space="preserve"> </w:t>
      </w:r>
      <w:proofErr w:type="spellStart"/>
      <w:r w:rsidRPr="00CA6E33">
        <w:rPr>
          <w:lang w:val="en-US"/>
        </w:rPr>
        <w:t>ilgili</w:t>
      </w:r>
      <w:proofErr w:type="spellEnd"/>
      <w:r w:rsidRPr="00CA6E33">
        <w:rPr>
          <w:lang w:val="en-US"/>
        </w:rPr>
        <w:t xml:space="preserve"> metin.</w:t>
      </w:r>
    </w:p>
    <w:p w14:paraId="5EE32A25" w14:textId="518015C2" w:rsidR="00CA6E33" w:rsidRPr="00CA6E33" w:rsidRDefault="00CA6E33" w:rsidP="00CA6E33">
      <w:pPr>
        <w:pStyle w:val="Dipnot"/>
        <w:rPr>
          <w:lang w:val="en-US"/>
        </w:rPr>
      </w:pPr>
    </w:p>
  </w:footnote>
  <w:footnote w:id="46">
    <w:p w14:paraId="3E3BE598" w14:textId="018A7297" w:rsidR="00575B92" w:rsidRPr="00575B92" w:rsidRDefault="00575B92" w:rsidP="00575B92">
      <w:pPr>
        <w:pStyle w:val="Dipnot"/>
        <w:rPr>
          <w:lang w:val="en-US"/>
        </w:rPr>
      </w:pPr>
      <w:r w:rsidRPr="00575B92">
        <w:rPr>
          <w:rStyle w:val="FootnoteReference"/>
        </w:rPr>
        <w:footnoteRef/>
      </w:r>
      <w:r w:rsidRPr="00575B92">
        <w:t xml:space="preserve"> </w:t>
      </w:r>
      <w:r w:rsidRPr="00575B92">
        <w:tab/>
      </w:r>
      <w:r w:rsidRPr="00575B92">
        <w:rPr>
          <w:lang w:val="en-US"/>
        </w:rPr>
        <w:t xml:space="preserve">46 </w:t>
      </w:r>
      <w:proofErr w:type="spellStart"/>
      <w:r w:rsidRPr="00575B92">
        <w:rPr>
          <w:lang w:val="en-US"/>
        </w:rPr>
        <w:t>Bkz</w:t>
      </w:r>
      <w:proofErr w:type="spellEnd"/>
      <w:r w:rsidRPr="00575B92">
        <w:rPr>
          <w:lang w:val="en-US"/>
        </w:rPr>
        <w:t xml:space="preserve">., </w:t>
      </w:r>
      <w:proofErr w:type="spellStart"/>
      <w:r w:rsidRPr="00575B92">
        <w:rPr>
          <w:lang w:val="en-US"/>
        </w:rPr>
        <w:t>örneğin</w:t>
      </w:r>
      <w:proofErr w:type="spellEnd"/>
      <w:r w:rsidRPr="00575B92">
        <w:rPr>
          <w:lang w:val="en-US"/>
        </w:rPr>
        <w:t xml:space="preserve">, Fiss, supra </w:t>
      </w:r>
      <w:proofErr w:type="spellStart"/>
      <w:r w:rsidRPr="00575B92">
        <w:rPr>
          <w:lang w:val="en-US"/>
        </w:rPr>
        <w:t>dipnot</w:t>
      </w:r>
      <w:proofErr w:type="spellEnd"/>
      <w:r w:rsidRPr="00575B92">
        <w:rPr>
          <w:lang w:val="en-US"/>
        </w:rPr>
        <w:t xml:space="preserve"> 1, s. 744-45 (</w:t>
      </w:r>
      <w:proofErr w:type="spellStart"/>
      <w:r w:rsidRPr="00575B92">
        <w:rPr>
          <w:lang w:val="en-US"/>
        </w:rPr>
        <w:t>tüm</w:t>
      </w:r>
      <w:proofErr w:type="spellEnd"/>
      <w:r w:rsidRPr="00575B92">
        <w:rPr>
          <w:lang w:val="en-US"/>
        </w:rPr>
        <w:t xml:space="preserve"> </w:t>
      </w:r>
      <w:proofErr w:type="spellStart"/>
      <w:r w:rsidRPr="00575B92">
        <w:rPr>
          <w:lang w:val="en-US"/>
        </w:rPr>
        <w:t>yorum</w:t>
      </w:r>
      <w:proofErr w:type="spellEnd"/>
      <w:r w:rsidRPr="00575B92">
        <w:rPr>
          <w:lang w:val="en-US"/>
        </w:rPr>
        <w:t xml:space="preserve"> </w:t>
      </w:r>
      <w:proofErr w:type="spellStart"/>
      <w:r w:rsidRPr="00575B92">
        <w:rPr>
          <w:lang w:val="en-US"/>
        </w:rPr>
        <w:t>alanlarında</w:t>
      </w:r>
      <w:proofErr w:type="spellEnd"/>
      <w:r w:rsidRPr="00575B92">
        <w:rPr>
          <w:lang w:val="en-US"/>
        </w:rPr>
        <w:t xml:space="preserve">, </w:t>
      </w:r>
      <w:proofErr w:type="spellStart"/>
      <w:r w:rsidRPr="00575B92">
        <w:rPr>
          <w:lang w:val="en-US"/>
        </w:rPr>
        <w:t>özellikle</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yorum</w:t>
      </w:r>
      <w:proofErr w:type="spellEnd"/>
      <w:r w:rsidRPr="00575B92">
        <w:rPr>
          <w:lang w:val="en-US"/>
        </w:rPr>
        <w:t xml:space="preserve"> (constitutional interpretation) </w:t>
      </w:r>
      <w:proofErr w:type="spellStart"/>
      <w:r w:rsidRPr="00575B92">
        <w:rPr>
          <w:lang w:val="en-US"/>
        </w:rPr>
        <w:t>dâhil</w:t>
      </w:r>
      <w:proofErr w:type="spellEnd"/>
      <w:r w:rsidRPr="00575B92">
        <w:rPr>
          <w:lang w:val="en-US"/>
        </w:rPr>
        <w:t xml:space="preserve"> </w:t>
      </w:r>
      <w:proofErr w:type="spellStart"/>
      <w:r w:rsidRPr="00575B92">
        <w:rPr>
          <w:lang w:val="en-US"/>
        </w:rPr>
        <w:t>olmak</w:t>
      </w:r>
      <w:proofErr w:type="spellEnd"/>
      <w:r w:rsidRPr="00575B92">
        <w:rPr>
          <w:lang w:val="en-US"/>
        </w:rPr>
        <w:t xml:space="preserve"> </w:t>
      </w:r>
      <w:proofErr w:type="spellStart"/>
      <w:r w:rsidRPr="00575B92">
        <w:rPr>
          <w:lang w:val="en-US"/>
        </w:rPr>
        <w:t>üzere</w:t>
      </w:r>
      <w:proofErr w:type="spellEnd"/>
      <w:r w:rsidRPr="00575B92">
        <w:rPr>
          <w:lang w:val="en-US"/>
        </w:rPr>
        <w:t>, “</w:t>
      </w:r>
      <w:proofErr w:type="spellStart"/>
      <w:r w:rsidRPr="00575B92">
        <w:rPr>
          <w:lang w:val="en-US"/>
        </w:rPr>
        <w:t>yorumcunun</w:t>
      </w:r>
      <w:proofErr w:type="spellEnd"/>
      <w:r w:rsidRPr="00575B92">
        <w:rPr>
          <w:lang w:val="en-US"/>
        </w:rPr>
        <w:t xml:space="preserve"> </w:t>
      </w:r>
      <w:proofErr w:type="spellStart"/>
      <w:r w:rsidRPr="00575B92">
        <w:rPr>
          <w:lang w:val="en-US"/>
        </w:rPr>
        <w:t>özgürlüğünün</w:t>
      </w:r>
      <w:proofErr w:type="spellEnd"/>
      <w:r w:rsidRPr="00575B92">
        <w:rPr>
          <w:lang w:val="en-US"/>
        </w:rPr>
        <w:t xml:space="preserve"> </w:t>
      </w:r>
      <w:proofErr w:type="spellStart"/>
      <w:r w:rsidRPr="00575B92">
        <w:rPr>
          <w:lang w:val="en-US"/>
        </w:rPr>
        <w:t>mutlak</w:t>
      </w:r>
      <w:proofErr w:type="spellEnd"/>
      <w:r w:rsidRPr="00575B92">
        <w:rPr>
          <w:lang w:val="en-US"/>
        </w:rPr>
        <w:t xml:space="preserve"> </w:t>
      </w:r>
      <w:proofErr w:type="spellStart"/>
      <w:r w:rsidRPr="00575B92">
        <w:rPr>
          <w:lang w:val="en-US"/>
        </w:rPr>
        <w:t>olmadığı</w:t>
      </w:r>
      <w:proofErr w:type="spellEnd"/>
      <w:r w:rsidRPr="00575B92">
        <w:rPr>
          <w:lang w:val="en-US"/>
        </w:rPr>
        <w:t xml:space="preserve">, </w:t>
      </w:r>
      <w:proofErr w:type="spellStart"/>
      <w:r w:rsidRPr="00575B92">
        <w:rPr>
          <w:lang w:val="en-US"/>
        </w:rPr>
        <w:t>aksine</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kurallar</w:t>
      </w:r>
      <w:proofErr w:type="spellEnd"/>
      <w:r w:rsidRPr="00575B92">
        <w:rPr>
          <w:lang w:val="en-US"/>
        </w:rPr>
        <w:t xml:space="preserve"> </w:t>
      </w:r>
      <w:proofErr w:type="spellStart"/>
      <w:r w:rsidRPr="00575B92">
        <w:rPr>
          <w:lang w:val="en-US"/>
        </w:rPr>
        <w:t>tarafından</w:t>
      </w:r>
      <w:proofErr w:type="spellEnd"/>
      <w:r w:rsidRPr="00575B92">
        <w:rPr>
          <w:lang w:val="en-US"/>
        </w:rPr>
        <w:t xml:space="preserve"> </w:t>
      </w:r>
      <w:proofErr w:type="spellStart"/>
      <w:r w:rsidRPr="00575B92">
        <w:rPr>
          <w:lang w:val="en-US"/>
        </w:rPr>
        <w:t>disipline</w:t>
      </w:r>
      <w:proofErr w:type="spellEnd"/>
      <w:r w:rsidRPr="00575B92">
        <w:rPr>
          <w:lang w:val="en-US"/>
        </w:rPr>
        <w:t xml:space="preserve"> </w:t>
      </w:r>
      <w:proofErr w:type="spellStart"/>
      <w:r w:rsidRPr="00575B92">
        <w:rPr>
          <w:lang w:val="en-US"/>
        </w:rPr>
        <w:t>edildiği</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bu</w:t>
      </w:r>
      <w:proofErr w:type="spellEnd"/>
      <w:r w:rsidRPr="00575B92">
        <w:rPr>
          <w:lang w:val="en-US"/>
        </w:rPr>
        <w:t xml:space="preserve"> </w:t>
      </w:r>
      <w:proofErr w:type="spellStart"/>
      <w:r w:rsidRPr="00575B92">
        <w:rPr>
          <w:lang w:val="en-US"/>
        </w:rPr>
        <w:t>kuralların</w:t>
      </w:r>
      <w:proofErr w:type="spellEnd"/>
      <w:r w:rsidRPr="00575B92">
        <w:rPr>
          <w:lang w:val="en-US"/>
        </w:rPr>
        <w:t xml:space="preserve"> </w:t>
      </w:r>
      <w:proofErr w:type="spellStart"/>
      <w:r w:rsidRPr="00575B92">
        <w:rPr>
          <w:lang w:val="en-US"/>
        </w:rPr>
        <w:t>ilgili</w:t>
      </w:r>
      <w:proofErr w:type="spellEnd"/>
      <w:r w:rsidRPr="00575B92">
        <w:rPr>
          <w:lang w:val="en-US"/>
        </w:rPr>
        <w:t xml:space="preserve"> </w:t>
      </w:r>
      <w:proofErr w:type="spellStart"/>
      <w:r w:rsidRPr="00575B92">
        <w:rPr>
          <w:lang w:val="en-US"/>
        </w:rPr>
        <w:t>materyale</w:t>
      </w:r>
      <w:proofErr w:type="spellEnd"/>
      <w:r w:rsidRPr="00575B92">
        <w:rPr>
          <w:lang w:val="en-US"/>
        </w:rPr>
        <w:t xml:space="preserve"> </w:t>
      </w:r>
      <w:proofErr w:type="spellStart"/>
      <w:r w:rsidRPr="00575B92">
        <w:rPr>
          <w:lang w:val="en-US"/>
        </w:rPr>
        <w:t>atfedilecek</w:t>
      </w:r>
      <w:proofErr w:type="spellEnd"/>
      <w:r w:rsidRPr="00575B92">
        <w:rPr>
          <w:lang w:val="en-US"/>
        </w:rPr>
        <w:t xml:space="preserve"> </w:t>
      </w:r>
      <w:proofErr w:type="spellStart"/>
      <w:r w:rsidRPr="00575B92">
        <w:rPr>
          <w:lang w:val="en-US"/>
        </w:rPr>
        <w:t>önem</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ağırlığı</w:t>
      </w:r>
      <w:proofErr w:type="spellEnd"/>
      <w:r w:rsidRPr="00575B92">
        <w:rPr>
          <w:lang w:val="en-US"/>
        </w:rPr>
        <w:t xml:space="preserve"> </w:t>
      </w:r>
      <w:proofErr w:type="spellStart"/>
      <w:r w:rsidRPr="00575B92">
        <w:rPr>
          <w:lang w:val="en-US"/>
        </w:rPr>
        <w:t>belirlediği</w:t>
      </w:r>
      <w:proofErr w:type="spellEnd"/>
      <w:r w:rsidRPr="00575B92">
        <w:rPr>
          <w:lang w:val="en-US"/>
        </w:rPr>
        <w:t xml:space="preserve">” </w:t>
      </w:r>
      <w:proofErr w:type="spellStart"/>
      <w:r w:rsidRPr="00575B92">
        <w:rPr>
          <w:lang w:val="en-US"/>
        </w:rPr>
        <w:t>hususunu</w:t>
      </w:r>
      <w:proofErr w:type="spellEnd"/>
      <w:r w:rsidRPr="00575B92">
        <w:rPr>
          <w:lang w:val="en-US"/>
        </w:rPr>
        <w:t xml:space="preserve"> </w:t>
      </w:r>
      <w:proofErr w:type="spellStart"/>
      <w:r w:rsidRPr="00575B92">
        <w:rPr>
          <w:lang w:val="en-US"/>
        </w:rPr>
        <w:t>tartışmaktadır</w:t>
      </w:r>
      <w:proofErr w:type="spellEnd"/>
      <w:r w:rsidRPr="00575B92">
        <w:rPr>
          <w:lang w:val="en-US"/>
        </w:rPr>
        <w:t>).</w:t>
      </w:r>
    </w:p>
  </w:footnote>
  <w:footnote w:id="47">
    <w:p w14:paraId="5DFBA356" w14:textId="25201E37" w:rsidR="00575B92" w:rsidRPr="00575B92" w:rsidRDefault="00575B92" w:rsidP="00575B92">
      <w:pPr>
        <w:pStyle w:val="Dipnot"/>
        <w:rPr>
          <w:lang w:val="en-US"/>
        </w:rPr>
      </w:pPr>
      <w:r w:rsidRPr="00575B92">
        <w:rPr>
          <w:rStyle w:val="FootnoteReference"/>
        </w:rPr>
        <w:footnoteRef/>
      </w:r>
      <w:r w:rsidRPr="00575B92">
        <w:t xml:space="preserve"> </w:t>
      </w:r>
      <w:r w:rsidRPr="00575B92">
        <w:tab/>
      </w:r>
      <w:r w:rsidRPr="00575B92">
        <w:rPr>
          <w:lang w:val="en-US"/>
        </w:rPr>
        <w:t xml:space="preserve">47 </w:t>
      </w:r>
      <w:proofErr w:type="spellStart"/>
      <w:r w:rsidRPr="00575B92">
        <w:rPr>
          <w:lang w:val="en-US"/>
        </w:rPr>
        <w:t>Bkz</w:t>
      </w:r>
      <w:proofErr w:type="spellEnd"/>
      <w:r w:rsidRPr="00575B92">
        <w:rPr>
          <w:lang w:val="en-US"/>
        </w:rPr>
        <w:t xml:space="preserve">., </w:t>
      </w:r>
      <w:proofErr w:type="spellStart"/>
      <w:r w:rsidRPr="00575B92">
        <w:rPr>
          <w:lang w:val="en-US"/>
        </w:rPr>
        <w:t>örneğin</w:t>
      </w:r>
      <w:proofErr w:type="spellEnd"/>
      <w:r w:rsidRPr="00575B92">
        <w:rPr>
          <w:lang w:val="en-US"/>
        </w:rPr>
        <w:t xml:space="preserve">, Patrick J. Schiltz, The Citation of Unpublished Opinions in the Federal Courts of Appeals, 74 FORDHAM L. REV. 23, 49 (2005) (“Her </w:t>
      </w:r>
      <w:proofErr w:type="spellStart"/>
      <w:r w:rsidRPr="00575B92">
        <w:rPr>
          <w:lang w:val="en-US"/>
        </w:rPr>
        <w:t>yargıç</w:t>
      </w:r>
      <w:proofErr w:type="spellEnd"/>
      <w:r w:rsidRPr="00575B92">
        <w:rPr>
          <w:lang w:val="en-US"/>
        </w:rPr>
        <w:t xml:space="preserve">, </w:t>
      </w:r>
      <w:proofErr w:type="spellStart"/>
      <w:r w:rsidRPr="00575B92">
        <w:rPr>
          <w:lang w:val="en-US"/>
        </w:rPr>
        <w:t>başlangıçta</w:t>
      </w:r>
      <w:proofErr w:type="spellEnd"/>
      <w:r w:rsidRPr="00575B92">
        <w:rPr>
          <w:lang w:val="en-US"/>
        </w:rPr>
        <w:t xml:space="preserve"> </w:t>
      </w:r>
      <w:proofErr w:type="spellStart"/>
      <w:r w:rsidRPr="00575B92">
        <w:rPr>
          <w:lang w:val="en-US"/>
        </w:rPr>
        <w:t>verilen</w:t>
      </w:r>
      <w:proofErr w:type="spellEnd"/>
      <w:r w:rsidRPr="00575B92">
        <w:rPr>
          <w:lang w:val="en-US"/>
        </w:rPr>
        <w:t xml:space="preserve"> </w:t>
      </w:r>
      <w:proofErr w:type="spellStart"/>
      <w:r w:rsidRPr="00575B92">
        <w:rPr>
          <w:lang w:val="en-US"/>
        </w:rPr>
        <w:t>bir</w:t>
      </w:r>
      <w:proofErr w:type="spellEnd"/>
      <w:r w:rsidRPr="00575B92">
        <w:rPr>
          <w:lang w:val="en-US"/>
        </w:rPr>
        <w:t xml:space="preserve"> </w:t>
      </w:r>
      <w:proofErr w:type="spellStart"/>
      <w:r w:rsidRPr="00575B92">
        <w:rPr>
          <w:lang w:val="en-US"/>
        </w:rPr>
        <w:t>kararın</w:t>
      </w:r>
      <w:proofErr w:type="spellEnd"/>
      <w:r w:rsidRPr="00575B92">
        <w:rPr>
          <w:lang w:val="en-US"/>
        </w:rPr>
        <w:t xml:space="preserve"> ‘</w:t>
      </w:r>
      <w:proofErr w:type="spellStart"/>
      <w:r w:rsidRPr="00575B92">
        <w:rPr>
          <w:lang w:val="en-US"/>
        </w:rPr>
        <w:t>yazılamaz</w:t>
      </w:r>
      <w:proofErr w:type="spellEnd"/>
      <w:r w:rsidRPr="00575B92">
        <w:rPr>
          <w:lang w:val="en-US"/>
        </w:rPr>
        <w:t xml:space="preserve">’ </w:t>
      </w:r>
      <w:proofErr w:type="spellStart"/>
      <w:r w:rsidRPr="00575B92">
        <w:rPr>
          <w:lang w:val="en-US"/>
        </w:rPr>
        <w:t>olduğunu</w:t>
      </w:r>
      <w:proofErr w:type="spellEnd"/>
      <w:r w:rsidRPr="00575B92">
        <w:rPr>
          <w:lang w:val="en-US"/>
        </w:rPr>
        <w:t xml:space="preserve"> fark </w:t>
      </w:r>
      <w:proofErr w:type="spellStart"/>
      <w:r w:rsidRPr="00575B92">
        <w:rPr>
          <w:lang w:val="en-US"/>
        </w:rPr>
        <w:t>etme</w:t>
      </w:r>
      <w:proofErr w:type="spellEnd"/>
      <w:r w:rsidRPr="00575B92">
        <w:rPr>
          <w:lang w:val="en-US"/>
        </w:rPr>
        <w:t xml:space="preserve"> </w:t>
      </w:r>
      <w:proofErr w:type="spellStart"/>
      <w:r w:rsidRPr="00575B92">
        <w:rPr>
          <w:lang w:val="en-US"/>
        </w:rPr>
        <w:t>deneyimini</w:t>
      </w:r>
      <w:proofErr w:type="spellEnd"/>
      <w:r w:rsidRPr="00575B92">
        <w:rPr>
          <w:lang w:val="en-US"/>
        </w:rPr>
        <w:t xml:space="preserve"> </w:t>
      </w:r>
      <w:proofErr w:type="spellStart"/>
      <w:r w:rsidRPr="00575B92">
        <w:rPr>
          <w:lang w:val="en-US"/>
        </w:rPr>
        <w:t>yaşamıştır</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dolayısıyla</w:t>
      </w:r>
      <w:proofErr w:type="spellEnd"/>
      <w:r w:rsidRPr="00575B92">
        <w:rPr>
          <w:lang w:val="en-US"/>
        </w:rPr>
        <w:t xml:space="preserve"> her </w:t>
      </w:r>
      <w:proofErr w:type="spellStart"/>
      <w:r w:rsidRPr="00575B92">
        <w:rPr>
          <w:lang w:val="en-US"/>
        </w:rPr>
        <w:t>yargıç</w:t>
      </w:r>
      <w:proofErr w:type="spellEnd"/>
      <w:r w:rsidRPr="00575B92">
        <w:rPr>
          <w:lang w:val="en-US"/>
        </w:rPr>
        <w:t xml:space="preserve">, </w:t>
      </w:r>
      <w:proofErr w:type="spellStart"/>
      <w:r w:rsidRPr="00575B92">
        <w:rPr>
          <w:lang w:val="en-US"/>
        </w:rPr>
        <w:t>gerekçelendirme</w:t>
      </w:r>
      <w:proofErr w:type="spellEnd"/>
      <w:r w:rsidRPr="00575B92">
        <w:rPr>
          <w:lang w:val="en-US"/>
        </w:rPr>
        <w:t xml:space="preserve"> </w:t>
      </w:r>
      <w:proofErr w:type="spellStart"/>
      <w:r w:rsidRPr="00575B92">
        <w:rPr>
          <w:lang w:val="en-US"/>
        </w:rPr>
        <w:t>ile</w:t>
      </w:r>
      <w:proofErr w:type="spellEnd"/>
      <w:r w:rsidRPr="00575B92">
        <w:rPr>
          <w:lang w:val="en-US"/>
        </w:rPr>
        <w:t xml:space="preserve"> </w:t>
      </w:r>
      <w:proofErr w:type="spellStart"/>
      <w:r w:rsidRPr="00575B92">
        <w:rPr>
          <w:lang w:val="en-US"/>
        </w:rPr>
        <w:t>yazımın</w:t>
      </w:r>
      <w:proofErr w:type="spellEnd"/>
      <w:r w:rsidRPr="00575B92">
        <w:rPr>
          <w:lang w:val="en-US"/>
        </w:rPr>
        <w:t xml:space="preserve"> </w:t>
      </w:r>
      <w:proofErr w:type="spellStart"/>
      <w:r w:rsidRPr="00575B92">
        <w:rPr>
          <w:lang w:val="en-US"/>
        </w:rPr>
        <w:t>birbirinden</w:t>
      </w:r>
      <w:proofErr w:type="spellEnd"/>
      <w:r w:rsidRPr="00575B92">
        <w:rPr>
          <w:lang w:val="en-US"/>
        </w:rPr>
        <w:t xml:space="preserve"> </w:t>
      </w:r>
      <w:proofErr w:type="spellStart"/>
      <w:r w:rsidRPr="00575B92">
        <w:rPr>
          <w:lang w:val="en-US"/>
        </w:rPr>
        <w:t>ayrılabileceği</w:t>
      </w:r>
      <w:proofErr w:type="spellEnd"/>
      <w:r w:rsidRPr="00575B92">
        <w:rPr>
          <w:lang w:val="en-US"/>
        </w:rPr>
        <w:t xml:space="preserve"> </w:t>
      </w:r>
      <w:proofErr w:type="spellStart"/>
      <w:r w:rsidRPr="00575B92">
        <w:rPr>
          <w:lang w:val="en-US"/>
        </w:rPr>
        <w:t>iddiasının</w:t>
      </w:r>
      <w:proofErr w:type="spellEnd"/>
      <w:r w:rsidRPr="00575B92">
        <w:rPr>
          <w:lang w:val="en-US"/>
        </w:rPr>
        <w:t xml:space="preserve"> </w:t>
      </w:r>
      <w:proofErr w:type="spellStart"/>
      <w:r w:rsidRPr="00575B92">
        <w:rPr>
          <w:lang w:val="en-US"/>
        </w:rPr>
        <w:t>açıkça</w:t>
      </w:r>
      <w:proofErr w:type="spellEnd"/>
      <w:r w:rsidRPr="00575B92">
        <w:rPr>
          <w:lang w:val="en-US"/>
        </w:rPr>
        <w:t xml:space="preserve"> </w:t>
      </w:r>
      <w:proofErr w:type="spellStart"/>
      <w:r w:rsidRPr="00575B92">
        <w:rPr>
          <w:lang w:val="en-US"/>
        </w:rPr>
        <w:t>yanlış</w:t>
      </w:r>
      <w:proofErr w:type="spellEnd"/>
      <w:r w:rsidRPr="00575B92">
        <w:rPr>
          <w:lang w:val="en-US"/>
        </w:rPr>
        <w:t xml:space="preserve"> </w:t>
      </w:r>
      <w:proofErr w:type="spellStart"/>
      <w:r w:rsidRPr="00575B92">
        <w:rPr>
          <w:lang w:val="en-US"/>
        </w:rPr>
        <w:t>olduğunu</w:t>
      </w:r>
      <w:proofErr w:type="spellEnd"/>
      <w:r w:rsidRPr="00575B92">
        <w:rPr>
          <w:lang w:val="en-US"/>
        </w:rPr>
        <w:t xml:space="preserve"> </w:t>
      </w:r>
      <w:proofErr w:type="spellStart"/>
      <w:r w:rsidRPr="00575B92">
        <w:rPr>
          <w:lang w:val="en-US"/>
        </w:rPr>
        <w:t>bilir</w:t>
      </w:r>
      <w:proofErr w:type="spellEnd"/>
      <w:r w:rsidRPr="00575B92">
        <w:rPr>
          <w:lang w:val="en-US"/>
        </w:rPr>
        <w:t>.”).</w:t>
      </w:r>
    </w:p>
  </w:footnote>
  <w:footnote w:id="48">
    <w:p w14:paraId="2DAC66EB" w14:textId="37610E7D" w:rsidR="00575B92" w:rsidRPr="00575B92" w:rsidRDefault="00575B92" w:rsidP="00575B92">
      <w:pPr>
        <w:pStyle w:val="Dipnot"/>
        <w:rPr>
          <w:lang w:val="en-US"/>
        </w:rPr>
      </w:pPr>
      <w:r>
        <w:rPr>
          <w:rStyle w:val="FootnoteReference"/>
        </w:rPr>
        <w:footnoteRef/>
      </w:r>
      <w:r>
        <w:t xml:space="preserve"> </w:t>
      </w:r>
      <w:r w:rsidRPr="00575B92">
        <w:tab/>
      </w:r>
      <w:r w:rsidRPr="00575B92">
        <w:rPr>
          <w:lang w:val="en-US"/>
        </w:rPr>
        <w:t xml:space="preserve">48 </w:t>
      </w:r>
      <w:proofErr w:type="spellStart"/>
      <w:r w:rsidRPr="00575B92">
        <w:rPr>
          <w:lang w:val="en-US"/>
        </w:rPr>
        <w:t>Bkz</w:t>
      </w:r>
      <w:proofErr w:type="spellEnd"/>
      <w:r w:rsidRPr="00575B92">
        <w:rPr>
          <w:lang w:val="en-US"/>
        </w:rPr>
        <w:t xml:space="preserve">., </w:t>
      </w:r>
      <w:proofErr w:type="spellStart"/>
      <w:r w:rsidRPr="00575B92">
        <w:rPr>
          <w:lang w:val="en-US"/>
        </w:rPr>
        <w:t>örneğin</w:t>
      </w:r>
      <w:proofErr w:type="spellEnd"/>
      <w:r w:rsidRPr="00575B92">
        <w:rPr>
          <w:lang w:val="en-US"/>
        </w:rPr>
        <w:t xml:space="preserve">, Schauer, supra </w:t>
      </w:r>
      <w:proofErr w:type="spellStart"/>
      <w:r w:rsidRPr="00575B92">
        <w:rPr>
          <w:lang w:val="en-US"/>
        </w:rPr>
        <w:t>dipnot</w:t>
      </w:r>
      <w:proofErr w:type="spellEnd"/>
      <w:r w:rsidRPr="00575B92">
        <w:rPr>
          <w:lang w:val="en-US"/>
        </w:rPr>
        <w:t xml:space="preserve"> 39, s. 651-52 (</w:t>
      </w:r>
      <w:proofErr w:type="spellStart"/>
      <w:r w:rsidRPr="00575B92">
        <w:rPr>
          <w:lang w:val="en-US"/>
        </w:rPr>
        <w:t>yargıçların</w:t>
      </w:r>
      <w:proofErr w:type="spellEnd"/>
      <w:r w:rsidRPr="00575B92">
        <w:rPr>
          <w:lang w:val="en-US"/>
        </w:rPr>
        <w:t xml:space="preserve"> </w:t>
      </w:r>
      <w:proofErr w:type="spellStart"/>
      <w:r w:rsidRPr="00575B92">
        <w:rPr>
          <w:lang w:val="en-US"/>
        </w:rPr>
        <w:t>kararları</w:t>
      </w:r>
      <w:proofErr w:type="spellEnd"/>
      <w:r w:rsidRPr="00575B92">
        <w:rPr>
          <w:lang w:val="en-US"/>
        </w:rPr>
        <w:t xml:space="preserve"> </w:t>
      </w:r>
      <w:proofErr w:type="spellStart"/>
      <w:r w:rsidRPr="00575B92">
        <w:rPr>
          <w:lang w:val="en-US"/>
        </w:rPr>
        <w:t>için</w:t>
      </w:r>
      <w:proofErr w:type="spellEnd"/>
      <w:r w:rsidRPr="00575B92">
        <w:rPr>
          <w:lang w:val="en-US"/>
        </w:rPr>
        <w:t xml:space="preserve"> </w:t>
      </w:r>
      <w:proofErr w:type="spellStart"/>
      <w:r w:rsidRPr="00575B92">
        <w:rPr>
          <w:lang w:val="en-US"/>
        </w:rPr>
        <w:t>belirli</w:t>
      </w:r>
      <w:proofErr w:type="spellEnd"/>
      <w:r w:rsidRPr="00575B92">
        <w:rPr>
          <w:lang w:val="en-US"/>
        </w:rPr>
        <w:t xml:space="preserve"> </w:t>
      </w:r>
      <w:proofErr w:type="spellStart"/>
      <w:r w:rsidRPr="00575B92">
        <w:rPr>
          <w:lang w:val="en-US"/>
        </w:rPr>
        <w:t>türde</w:t>
      </w:r>
      <w:proofErr w:type="spellEnd"/>
      <w:r w:rsidRPr="00575B92">
        <w:rPr>
          <w:lang w:val="en-US"/>
        </w:rPr>
        <w:t xml:space="preserve"> </w:t>
      </w:r>
      <w:proofErr w:type="spellStart"/>
      <w:r w:rsidRPr="00575B92">
        <w:rPr>
          <w:lang w:val="en-US"/>
        </w:rPr>
        <w:t>gerekçeler</w:t>
      </w:r>
      <w:proofErr w:type="spellEnd"/>
      <w:r w:rsidRPr="00575B92">
        <w:rPr>
          <w:lang w:val="en-US"/>
        </w:rPr>
        <w:t xml:space="preserve"> </w:t>
      </w:r>
      <w:proofErr w:type="spellStart"/>
      <w:r w:rsidRPr="00575B92">
        <w:rPr>
          <w:lang w:val="en-US"/>
        </w:rPr>
        <w:t>sunmalarını</w:t>
      </w:r>
      <w:proofErr w:type="spellEnd"/>
      <w:r w:rsidRPr="00575B92">
        <w:rPr>
          <w:lang w:val="en-US"/>
        </w:rPr>
        <w:t xml:space="preserve"> </w:t>
      </w:r>
      <w:proofErr w:type="spellStart"/>
      <w:r w:rsidRPr="00575B92">
        <w:rPr>
          <w:lang w:val="en-US"/>
        </w:rPr>
        <w:t>gerektiren</w:t>
      </w:r>
      <w:proofErr w:type="spellEnd"/>
      <w:r w:rsidRPr="00575B92">
        <w:rPr>
          <w:lang w:val="en-US"/>
        </w:rPr>
        <w:t xml:space="preserve"> </w:t>
      </w:r>
      <w:proofErr w:type="spellStart"/>
      <w:r w:rsidRPr="00575B92">
        <w:rPr>
          <w:lang w:val="en-US"/>
        </w:rPr>
        <w:t>kuralların</w:t>
      </w:r>
      <w:proofErr w:type="spellEnd"/>
      <w:r w:rsidRPr="00575B92">
        <w:rPr>
          <w:lang w:val="en-US"/>
        </w:rPr>
        <w:t xml:space="preserve">, </w:t>
      </w:r>
      <w:proofErr w:type="spellStart"/>
      <w:r w:rsidRPr="00575B92">
        <w:rPr>
          <w:lang w:val="en-US"/>
        </w:rPr>
        <w:t>karmaşık</w:t>
      </w:r>
      <w:proofErr w:type="spellEnd"/>
      <w:r w:rsidRPr="00575B92">
        <w:rPr>
          <w:lang w:val="en-US"/>
        </w:rPr>
        <w:t xml:space="preserve"> </w:t>
      </w:r>
      <w:proofErr w:type="spellStart"/>
      <w:r w:rsidRPr="00575B92">
        <w:rPr>
          <w:lang w:val="en-US"/>
        </w:rPr>
        <w:t>ve</w:t>
      </w:r>
      <w:proofErr w:type="spellEnd"/>
      <w:r w:rsidRPr="00575B92">
        <w:rPr>
          <w:lang w:val="en-US"/>
        </w:rPr>
        <w:t xml:space="preserve"> </w:t>
      </w:r>
      <w:proofErr w:type="spellStart"/>
      <w:r w:rsidRPr="00575B92">
        <w:rPr>
          <w:lang w:val="en-US"/>
        </w:rPr>
        <w:t>sınırlı</w:t>
      </w:r>
      <w:proofErr w:type="spellEnd"/>
      <w:r w:rsidRPr="00575B92">
        <w:rPr>
          <w:lang w:val="en-US"/>
        </w:rPr>
        <w:t xml:space="preserve"> </w:t>
      </w:r>
      <w:proofErr w:type="spellStart"/>
      <w:r w:rsidRPr="00575B92">
        <w:rPr>
          <w:lang w:val="en-US"/>
        </w:rPr>
        <w:t>olsa</w:t>
      </w:r>
      <w:proofErr w:type="spellEnd"/>
      <w:r w:rsidRPr="00575B92">
        <w:rPr>
          <w:lang w:val="en-US"/>
        </w:rPr>
        <w:t xml:space="preserve"> da, </w:t>
      </w:r>
      <w:proofErr w:type="spellStart"/>
      <w:r w:rsidRPr="00575B92">
        <w:rPr>
          <w:lang w:val="en-US"/>
        </w:rPr>
        <w:t>yine</w:t>
      </w:r>
      <w:proofErr w:type="spellEnd"/>
      <w:r w:rsidRPr="00575B92">
        <w:rPr>
          <w:lang w:val="en-US"/>
        </w:rPr>
        <w:t xml:space="preserve"> de </w:t>
      </w:r>
      <w:proofErr w:type="spellStart"/>
      <w:r w:rsidRPr="00575B92">
        <w:rPr>
          <w:lang w:val="en-US"/>
        </w:rPr>
        <w:t>gerçek</w:t>
      </w:r>
      <w:proofErr w:type="spellEnd"/>
      <w:r w:rsidRPr="00575B92">
        <w:rPr>
          <w:lang w:val="en-US"/>
        </w:rPr>
        <w:t xml:space="preserve"> </w:t>
      </w:r>
      <w:proofErr w:type="spellStart"/>
      <w:r w:rsidRPr="00575B92">
        <w:rPr>
          <w:lang w:val="en-US"/>
        </w:rPr>
        <w:t>anlamda</w:t>
      </w:r>
      <w:proofErr w:type="spellEnd"/>
      <w:r w:rsidRPr="00575B92">
        <w:rPr>
          <w:lang w:val="en-US"/>
        </w:rPr>
        <w:t xml:space="preserve"> </w:t>
      </w:r>
      <w:proofErr w:type="spellStart"/>
      <w:r w:rsidRPr="00575B92">
        <w:rPr>
          <w:lang w:val="en-US"/>
        </w:rPr>
        <w:t>onların</w:t>
      </w:r>
      <w:proofErr w:type="spellEnd"/>
      <w:r w:rsidRPr="00575B92">
        <w:rPr>
          <w:lang w:val="en-US"/>
        </w:rPr>
        <w:t xml:space="preserve"> </w:t>
      </w:r>
      <w:proofErr w:type="spellStart"/>
      <w:r w:rsidRPr="00575B92">
        <w:rPr>
          <w:lang w:val="en-US"/>
        </w:rPr>
        <w:t>gelecekteki</w:t>
      </w:r>
      <w:proofErr w:type="spellEnd"/>
      <w:r w:rsidRPr="00575B92">
        <w:rPr>
          <w:lang w:val="en-US"/>
        </w:rPr>
        <w:t xml:space="preserve"> </w:t>
      </w:r>
      <w:proofErr w:type="spellStart"/>
      <w:r w:rsidRPr="00575B92">
        <w:rPr>
          <w:lang w:val="en-US"/>
        </w:rPr>
        <w:t>davranışlarını</w:t>
      </w:r>
      <w:proofErr w:type="spellEnd"/>
      <w:r w:rsidRPr="00575B92">
        <w:rPr>
          <w:lang w:val="en-US"/>
        </w:rPr>
        <w:t xml:space="preserve"> </w:t>
      </w:r>
      <w:proofErr w:type="spellStart"/>
      <w:r w:rsidRPr="00575B92">
        <w:rPr>
          <w:lang w:val="en-US"/>
        </w:rPr>
        <w:t>nasıl</w:t>
      </w:r>
      <w:proofErr w:type="spellEnd"/>
      <w:r w:rsidRPr="00575B92">
        <w:rPr>
          <w:lang w:val="en-US"/>
        </w:rPr>
        <w:t xml:space="preserve"> “</w:t>
      </w:r>
      <w:proofErr w:type="spellStart"/>
      <w:r w:rsidRPr="00575B92">
        <w:rPr>
          <w:lang w:val="en-US"/>
        </w:rPr>
        <w:t>sınırlandırdığını</w:t>
      </w:r>
      <w:proofErr w:type="spellEnd"/>
      <w:r w:rsidRPr="00575B92">
        <w:rPr>
          <w:lang w:val="en-US"/>
        </w:rPr>
        <w:t xml:space="preserve">” </w:t>
      </w:r>
      <w:proofErr w:type="spellStart"/>
      <w:r w:rsidRPr="00575B92">
        <w:rPr>
          <w:lang w:val="en-US"/>
        </w:rPr>
        <w:t>tartışmaktadır</w:t>
      </w:r>
      <w:proofErr w:type="spellEnd"/>
      <w:r w:rsidRPr="00575B92">
        <w:rPr>
          <w:lang w:val="en-US"/>
        </w:rPr>
        <w:t>).</w:t>
      </w:r>
    </w:p>
  </w:footnote>
  <w:footnote w:id="49">
    <w:p w14:paraId="1DBED98E" w14:textId="7409751B" w:rsidR="00575B92" w:rsidRPr="00575B92" w:rsidRDefault="00575B92" w:rsidP="00575B92">
      <w:pPr>
        <w:pStyle w:val="Dipnot"/>
        <w:rPr>
          <w:lang w:val="en-US"/>
        </w:rPr>
      </w:pPr>
      <w:r>
        <w:rPr>
          <w:rStyle w:val="FootnoteReference"/>
        </w:rPr>
        <w:footnoteRef/>
      </w:r>
      <w:r>
        <w:t xml:space="preserve"> </w:t>
      </w:r>
      <w:r>
        <w:tab/>
      </w:r>
      <w:r w:rsidRPr="00575B92">
        <w:rPr>
          <w:lang w:val="en-US"/>
        </w:rPr>
        <w:t>49 PHILIP BOBBITT, CONSTITUTIONAL INTERPRETATION 12-13 (1991) (</w:t>
      </w:r>
      <w:proofErr w:type="spellStart"/>
      <w:r w:rsidRPr="00575B92">
        <w:rPr>
          <w:lang w:val="en-US"/>
        </w:rPr>
        <w:t>bu</w:t>
      </w:r>
      <w:proofErr w:type="spellEnd"/>
      <w:r w:rsidRPr="00575B92">
        <w:rPr>
          <w:lang w:val="en-US"/>
        </w:rPr>
        <w:t xml:space="preserve"> “</w:t>
      </w:r>
      <w:proofErr w:type="spellStart"/>
      <w:r w:rsidRPr="00575B92">
        <w:rPr>
          <w:lang w:val="en-US"/>
        </w:rPr>
        <w:t>altı</w:t>
      </w:r>
      <w:proofErr w:type="spellEnd"/>
      <w:r w:rsidRPr="00575B92">
        <w:rPr>
          <w:lang w:val="en-US"/>
        </w:rPr>
        <w:t xml:space="preserve"> </w:t>
      </w:r>
      <w:proofErr w:type="spellStart"/>
      <w:r w:rsidRPr="00575B92">
        <w:rPr>
          <w:lang w:val="en-US"/>
        </w:rPr>
        <w:t>anayasal</w:t>
      </w:r>
      <w:proofErr w:type="spellEnd"/>
      <w:r w:rsidRPr="00575B92">
        <w:rPr>
          <w:lang w:val="en-US"/>
        </w:rPr>
        <w:t xml:space="preserve"> </w:t>
      </w:r>
      <w:proofErr w:type="spellStart"/>
      <w:r w:rsidRPr="00575B92">
        <w:rPr>
          <w:lang w:val="en-US"/>
        </w:rPr>
        <w:t>argüman</w:t>
      </w:r>
      <w:proofErr w:type="spellEnd"/>
      <w:r w:rsidRPr="00575B92">
        <w:rPr>
          <w:lang w:val="en-US"/>
        </w:rPr>
        <w:t xml:space="preserve"> </w:t>
      </w:r>
      <w:proofErr w:type="spellStart"/>
      <w:r w:rsidRPr="00575B92">
        <w:rPr>
          <w:lang w:val="en-US"/>
        </w:rPr>
        <w:t>modalitesini</w:t>
      </w:r>
      <w:proofErr w:type="spellEnd"/>
      <w:r w:rsidRPr="00575B92">
        <w:rPr>
          <w:lang w:val="en-US"/>
        </w:rPr>
        <w:t xml:space="preserve">” </w:t>
      </w:r>
      <w:proofErr w:type="spellStart"/>
      <w:r w:rsidRPr="00575B92">
        <w:rPr>
          <w:lang w:val="en-US"/>
        </w:rPr>
        <w:t>listeleyen</w:t>
      </w:r>
      <w:proofErr w:type="spellEnd"/>
      <w:r w:rsidRPr="00575B92">
        <w:rPr>
          <w:lang w:val="en-US"/>
        </w:rPr>
        <w:t>); PHILIP BOBBITT, CONSTITUTIONAL FATE: THEORY OF THE CONSTITUTION 5-8 (1982) [</w:t>
      </w:r>
      <w:proofErr w:type="spellStart"/>
      <w:r w:rsidRPr="00575B92">
        <w:rPr>
          <w:lang w:val="en-US"/>
        </w:rPr>
        <w:t>bundan</w:t>
      </w:r>
      <w:proofErr w:type="spellEnd"/>
      <w:r w:rsidRPr="00575B92">
        <w:rPr>
          <w:lang w:val="en-US"/>
        </w:rPr>
        <w:t xml:space="preserve"> </w:t>
      </w:r>
      <w:proofErr w:type="spellStart"/>
      <w:r w:rsidRPr="00575B92">
        <w:rPr>
          <w:lang w:val="en-US"/>
        </w:rPr>
        <w:t>sonra</w:t>
      </w:r>
      <w:proofErr w:type="spellEnd"/>
      <w:r w:rsidRPr="00575B92">
        <w:rPr>
          <w:lang w:val="en-US"/>
        </w:rPr>
        <w:t xml:space="preserve"> BOBBITT, CONSTITUTIONAL FATE </w:t>
      </w:r>
      <w:proofErr w:type="spellStart"/>
      <w:r w:rsidRPr="00575B92">
        <w:rPr>
          <w:lang w:val="en-US"/>
        </w:rPr>
        <w:t>olarak</w:t>
      </w:r>
      <w:proofErr w:type="spellEnd"/>
      <w:r w:rsidRPr="00575B92">
        <w:rPr>
          <w:lang w:val="en-US"/>
        </w:rPr>
        <w:t xml:space="preserve"> </w:t>
      </w:r>
      <w:proofErr w:type="spellStart"/>
      <w:r w:rsidRPr="00575B92">
        <w:rPr>
          <w:lang w:val="en-US"/>
        </w:rPr>
        <w:t>anılacaktır</w:t>
      </w:r>
      <w:proofErr w:type="spellEnd"/>
      <w:r w:rsidRPr="00575B92">
        <w:rPr>
          <w:lang w:val="en-US"/>
        </w:rPr>
        <w:t>].</w:t>
      </w:r>
    </w:p>
  </w:footnote>
  <w:footnote w:id="50">
    <w:p w14:paraId="03419C56" w14:textId="77777777" w:rsidR="00575B92" w:rsidRPr="00575B92" w:rsidRDefault="00575B92" w:rsidP="00575B92">
      <w:pPr>
        <w:pStyle w:val="Dipnot"/>
        <w:rPr>
          <w:lang w:val="en-US"/>
        </w:rPr>
      </w:pPr>
      <w:r>
        <w:rPr>
          <w:rStyle w:val="FootnoteReference"/>
        </w:rPr>
        <w:footnoteRef/>
      </w:r>
      <w:r>
        <w:t xml:space="preserve"> </w:t>
      </w:r>
      <w:r>
        <w:tab/>
      </w:r>
      <w:r w:rsidRPr="00575B92">
        <w:rPr>
          <w:lang w:val="en-US"/>
        </w:rPr>
        <w:t xml:space="preserve">50 BOBBITT, CONSTITUTIONAL INTERPRETATION, supra </w:t>
      </w:r>
      <w:proofErr w:type="spellStart"/>
      <w:r w:rsidRPr="00575B92">
        <w:rPr>
          <w:lang w:val="en-US"/>
        </w:rPr>
        <w:t>dipnot</w:t>
      </w:r>
      <w:proofErr w:type="spellEnd"/>
      <w:r w:rsidRPr="00575B92">
        <w:rPr>
          <w:lang w:val="en-US"/>
        </w:rPr>
        <w:t xml:space="preserve"> 49, s. 22.</w:t>
      </w:r>
    </w:p>
    <w:p w14:paraId="2B109022" w14:textId="071731F0" w:rsidR="00575B92" w:rsidRPr="00575B92" w:rsidRDefault="00575B92" w:rsidP="00575B92">
      <w:pPr>
        <w:pStyle w:val="Dipnot"/>
        <w:rPr>
          <w:lang w:val="en-US"/>
        </w:rPr>
      </w:pPr>
    </w:p>
  </w:footnote>
  <w:footnote w:id="51">
    <w:p w14:paraId="1B4BCAC0" w14:textId="6557786E" w:rsidR="0006440D" w:rsidRPr="0006440D" w:rsidRDefault="0006440D" w:rsidP="0006440D">
      <w:pPr>
        <w:pStyle w:val="Dipnot"/>
        <w:rPr>
          <w:lang w:val="en-US"/>
        </w:rPr>
      </w:pPr>
      <w:r w:rsidRPr="0006440D">
        <w:rPr>
          <w:rStyle w:val="FootnoteReference"/>
        </w:rPr>
        <w:footnoteRef/>
      </w:r>
      <w:r w:rsidRPr="0006440D">
        <w:t xml:space="preserve"> </w:t>
      </w:r>
      <w:r w:rsidRPr="0006440D">
        <w:tab/>
      </w:r>
      <w:r w:rsidRPr="0006440D">
        <w:rPr>
          <w:lang w:val="en-US"/>
        </w:rPr>
        <w:t xml:space="preserve">51 </w:t>
      </w:r>
      <w:proofErr w:type="spellStart"/>
      <w:r w:rsidRPr="0006440D">
        <w:rPr>
          <w:lang w:val="en-US"/>
        </w:rPr>
        <w:t>Bkz</w:t>
      </w:r>
      <w:proofErr w:type="spellEnd"/>
      <w:r w:rsidRPr="0006440D">
        <w:rPr>
          <w:lang w:val="en-US"/>
        </w:rPr>
        <w:t xml:space="preserve">. BOBBITT, CONSTITUTIONAL FATE, supra </w:t>
      </w:r>
      <w:proofErr w:type="spellStart"/>
      <w:r w:rsidRPr="0006440D">
        <w:rPr>
          <w:lang w:val="en-US"/>
        </w:rPr>
        <w:t>dipnot</w:t>
      </w:r>
      <w:proofErr w:type="spellEnd"/>
      <w:r w:rsidRPr="0006440D">
        <w:rPr>
          <w:lang w:val="en-US"/>
        </w:rPr>
        <w:t xml:space="preserve"> 49, s. 6 (</w:t>
      </w:r>
      <w:proofErr w:type="spellStart"/>
      <w:r w:rsidRPr="0006440D">
        <w:rPr>
          <w:lang w:val="en-US"/>
        </w:rPr>
        <w:t>hukuki</w:t>
      </w:r>
      <w:proofErr w:type="spellEnd"/>
      <w:r w:rsidRPr="0006440D">
        <w:rPr>
          <w:lang w:val="en-US"/>
        </w:rPr>
        <w:t xml:space="preserve"> </w:t>
      </w:r>
      <w:proofErr w:type="spellStart"/>
      <w:r w:rsidRPr="0006440D">
        <w:rPr>
          <w:lang w:val="en-US"/>
        </w:rPr>
        <w:t>dilbilgimizin</w:t>
      </w:r>
      <w:proofErr w:type="spellEnd"/>
      <w:r w:rsidRPr="0006440D">
        <w:rPr>
          <w:lang w:val="en-US"/>
        </w:rPr>
        <w:t xml:space="preserve"> [“legal grammar”] </w:t>
      </w:r>
      <w:proofErr w:type="spellStart"/>
      <w:r w:rsidRPr="0006440D">
        <w:rPr>
          <w:lang w:val="en-US"/>
        </w:rPr>
        <w:t>parçası</w:t>
      </w:r>
      <w:proofErr w:type="spellEnd"/>
      <w:r w:rsidRPr="0006440D">
        <w:rPr>
          <w:lang w:val="en-US"/>
        </w:rPr>
        <w:t xml:space="preserve"> </w:t>
      </w:r>
      <w:proofErr w:type="spellStart"/>
      <w:r w:rsidRPr="0006440D">
        <w:rPr>
          <w:lang w:val="en-US"/>
        </w:rPr>
        <w:t>olmayan</w:t>
      </w:r>
      <w:proofErr w:type="spellEnd"/>
      <w:r w:rsidRPr="0006440D">
        <w:rPr>
          <w:lang w:val="en-US"/>
        </w:rPr>
        <w:t xml:space="preserve"> </w:t>
      </w:r>
      <w:proofErr w:type="spellStart"/>
      <w:r w:rsidRPr="0006440D">
        <w:rPr>
          <w:lang w:val="en-US"/>
        </w:rPr>
        <w:t>argümanların</w:t>
      </w:r>
      <w:proofErr w:type="spellEnd"/>
      <w:r w:rsidRPr="0006440D">
        <w:rPr>
          <w:lang w:val="en-US"/>
        </w:rPr>
        <w:t xml:space="preserve"> </w:t>
      </w:r>
      <w:proofErr w:type="spellStart"/>
      <w:r w:rsidRPr="0006440D">
        <w:rPr>
          <w:lang w:val="en-US"/>
        </w:rPr>
        <w:t>başka</w:t>
      </w:r>
      <w:proofErr w:type="spellEnd"/>
      <w:r w:rsidRPr="0006440D">
        <w:rPr>
          <w:lang w:val="en-US"/>
        </w:rPr>
        <w:t xml:space="preserve"> </w:t>
      </w:r>
      <w:proofErr w:type="spellStart"/>
      <w:r w:rsidRPr="0006440D">
        <w:rPr>
          <w:lang w:val="en-US"/>
        </w:rPr>
        <w:t>toplumlarda</w:t>
      </w:r>
      <w:proofErr w:type="spellEnd"/>
      <w:r w:rsidRPr="0006440D">
        <w:rPr>
          <w:lang w:val="en-US"/>
        </w:rPr>
        <w:t xml:space="preserve"> </w:t>
      </w:r>
      <w:proofErr w:type="spellStart"/>
      <w:r w:rsidRPr="0006440D">
        <w:rPr>
          <w:lang w:val="en-US"/>
        </w:rPr>
        <w:t>geçerli</w:t>
      </w:r>
      <w:proofErr w:type="spellEnd"/>
      <w:r w:rsidRPr="0006440D">
        <w:rPr>
          <w:lang w:val="en-US"/>
        </w:rPr>
        <w:t xml:space="preserve"> </w:t>
      </w:r>
      <w:proofErr w:type="spellStart"/>
      <w:r w:rsidRPr="0006440D">
        <w:rPr>
          <w:lang w:val="en-US"/>
        </w:rPr>
        <w:t>olabileceğini</w:t>
      </w:r>
      <w:proofErr w:type="spellEnd"/>
      <w:r w:rsidRPr="0006440D">
        <w:rPr>
          <w:lang w:val="en-US"/>
        </w:rPr>
        <w:t xml:space="preserve"> </w:t>
      </w:r>
      <w:proofErr w:type="spellStart"/>
      <w:r w:rsidRPr="0006440D">
        <w:rPr>
          <w:lang w:val="en-US"/>
        </w:rPr>
        <w:t>açıklayarak</w:t>
      </w:r>
      <w:proofErr w:type="spellEnd"/>
      <w:r w:rsidRPr="0006440D">
        <w:rPr>
          <w:lang w:val="en-US"/>
        </w:rPr>
        <w:t xml:space="preserve">, “[b]u, </w:t>
      </w:r>
      <w:proofErr w:type="spellStart"/>
      <w:r w:rsidRPr="0006440D">
        <w:rPr>
          <w:lang w:val="en-US"/>
        </w:rPr>
        <w:t>argümanların</w:t>
      </w:r>
      <w:proofErr w:type="spellEnd"/>
      <w:r w:rsidRPr="0006440D">
        <w:rPr>
          <w:lang w:val="en-US"/>
        </w:rPr>
        <w:t xml:space="preserve"> </w:t>
      </w:r>
      <w:proofErr w:type="spellStart"/>
      <w:r w:rsidRPr="0006440D">
        <w:rPr>
          <w:lang w:val="en-US"/>
        </w:rPr>
        <w:t>aslında</w:t>
      </w:r>
      <w:proofErr w:type="spellEnd"/>
      <w:r w:rsidRPr="0006440D">
        <w:rPr>
          <w:lang w:val="en-US"/>
        </w:rPr>
        <w:t xml:space="preserve"> </w:t>
      </w:r>
      <w:proofErr w:type="spellStart"/>
      <w:r w:rsidRPr="0006440D">
        <w:rPr>
          <w:lang w:val="en-US"/>
        </w:rPr>
        <w:t>gelenekler</w:t>
      </w:r>
      <w:proofErr w:type="spellEnd"/>
      <w:r w:rsidRPr="0006440D">
        <w:rPr>
          <w:lang w:val="en-US"/>
        </w:rPr>
        <w:t xml:space="preserve"> </w:t>
      </w:r>
      <w:proofErr w:type="spellStart"/>
      <w:r w:rsidRPr="0006440D">
        <w:rPr>
          <w:lang w:val="en-US"/>
        </w:rPr>
        <w:t>olduğu</w:t>
      </w:r>
      <w:proofErr w:type="spellEnd"/>
      <w:r w:rsidRPr="0006440D">
        <w:rPr>
          <w:lang w:val="en-US"/>
        </w:rPr>
        <w:t xml:space="preserve"> </w:t>
      </w:r>
      <w:proofErr w:type="spellStart"/>
      <w:r w:rsidRPr="0006440D">
        <w:rPr>
          <w:lang w:val="en-US"/>
        </w:rPr>
        <w:t>ve</w:t>
      </w:r>
      <w:proofErr w:type="spellEnd"/>
      <w:r w:rsidRPr="0006440D">
        <w:rPr>
          <w:lang w:val="en-US"/>
        </w:rPr>
        <w:t xml:space="preserve"> </w:t>
      </w:r>
      <w:proofErr w:type="spellStart"/>
      <w:r w:rsidRPr="0006440D">
        <w:rPr>
          <w:lang w:val="en-US"/>
        </w:rPr>
        <w:t>farklı</w:t>
      </w:r>
      <w:proofErr w:type="spellEnd"/>
      <w:r w:rsidRPr="0006440D">
        <w:rPr>
          <w:lang w:val="en-US"/>
        </w:rPr>
        <w:t xml:space="preserve"> </w:t>
      </w:r>
      <w:proofErr w:type="spellStart"/>
      <w:r w:rsidRPr="0006440D">
        <w:rPr>
          <w:lang w:val="en-US"/>
        </w:rPr>
        <w:t>olabilecekleri</w:t>
      </w:r>
      <w:proofErr w:type="spellEnd"/>
      <w:r w:rsidRPr="0006440D">
        <w:rPr>
          <w:lang w:val="en-US"/>
        </w:rPr>
        <w:t xml:space="preserve">, </w:t>
      </w:r>
      <w:proofErr w:type="spellStart"/>
      <w:r w:rsidRPr="0006440D">
        <w:rPr>
          <w:lang w:val="en-US"/>
        </w:rPr>
        <w:t>ancak</w:t>
      </w:r>
      <w:proofErr w:type="spellEnd"/>
      <w:r w:rsidRPr="0006440D">
        <w:rPr>
          <w:lang w:val="en-US"/>
        </w:rPr>
        <w:t xml:space="preserve"> o </w:t>
      </w:r>
      <w:proofErr w:type="spellStart"/>
      <w:r w:rsidRPr="0006440D">
        <w:rPr>
          <w:lang w:val="en-US"/>
        </w:rPr>
        <w:t>durumda</w:t>
      </w:r>
      <w:proofErr w:type="spellEnd"/>
      <w:r w:rsidRPr="0006440D">
        <w:rPr>
          <w:lang w:val="en-US"/>
        </w:rPr>
        <w:t xml:space="preserve"> </w:t>
      </w:r>
      <w:proofErr w:type="spellStart"/>
      <w:r w:rsidRPr="0006440D">
        <w:rPr>
          <w:lang w:val="en-US"/>
        </w:rPr>
        <w:t>bizim</w:t>
      </w:r>
      <w:proofErr w:type="spellEnd"/>
      <w:r w:rsidRPr="0006440D">
        <w:rPr>
          <w:lang w:val="en-US"/>
        </w:rPr>
        <w:t xml:space="preserve"> de </w:t>
      </w:r>
      <w:proofErr w:type="spellStart"/>
      <w:r w:rsidRPr="0006440D">
        <w:rPr>
          <w:lang w:val="en-US"/>
        </w:rPr>
        <w:t>farklı</w:t>
      </w:r>
      <w:proofErr w:type="spellEnd"/>
      <w:r w:rsidRPr="0006440D">
        <w:rPr>
          <w:lang w:val="en-US"/>
        </w:rPr>
        <w:t xml:space="preserve"> </w:t>
      </w:r>
      <w:proofErr w:type="spellStart"/>
      <w:r w:rsidRPr="0006440D">
        <w:rPr>
          <w:lang w:val="en-US"/>
        </w:rPr>
        <w:t>olacağımız</w:t>
      </w:r>
      <w:proofErr w:type="spellEnd"/>
      <w:r w:rsidRPr="0006440D">
        <w:rPr>
          <w:lang w:val="en-US"/>
        </w:rPr>
        <w:t xml:space="preserve">” </w:t>
      </w:r>
      <w:proofErr w:type="spellStart"/>
      <w:r w:rsidRPr="0006440D">
        <w:rPr>
          <w:lang w:val="en-US"/>
        </w:rPr>
        <w:t>sonucuna</w:t>
      </w:r>
      <w:proofErr w:type="spellEnd"/>
      <w:r w:rsidRPr="0006440D">
        <w:rPr>
          <w:lang w:val="en-US"/>
        </w:rPr>
        <w:t xml:space="preserve"> </w:t>
      </w:r>
      <w:proofErr w:type="spellStart"/>
      <w:r w:rsidRPr="0006440D">
        <w:rPr>
          <w:lang w:val="en-US"/>
        </w:rPr>
        <w:t>varmaktadır</w:t>
      </w:r>
      <w:proofErr w:type="spellEnd"/>
      <w:r w:rsidRPr="0006440D">
        <w:rPr>
          <w:lang w:val="en-US"/>
        </w:rPr>
        <w:t>).</w:t>
      </w:r>
    </w:p>
  </w:footnote>
  <w:footnote w:id="52">
    <w:p w14:paraId="5325A09D" w14:textId="4DAFC2DC" w:rsidR="0006440D" w:rsidRPr="0006440D" w:rsidRDefault="0006440D" w:rsidP="0006440D">
      <w:pPr>
        <w:pStyle w:val="Dipnot"/>
        <w:rPr>
          <w:lang w:val="en-US"/>
        </w:rPr>
      </w:pPr>
      <w:r>
        <w:rPr>
          <w:rStyle w:val="FootnoteReference"/>
        </w:rPr>
        <w:footnoteRef/>
      </w:r>
      <w:r>
        <w:t xml:space="preserve"> </w:t>
      </w:r>
      <w:r>
        <w:tab/>
      </w:r>
      <w:r w:rsidRPr="0006440D">
        <w:t xml:space="preserve">52 Bkz. James E. </w:t>
      </w:r>
      <w:proofErr w:type="spellStart"/>
      <w:r w:rsidRPr="0006440D">
        <w:t>Ryan</w:t>
      </w:r>
      <w:proofErr w:type="spellEnd"/>
      <w:r w:rsidRPr="0006440D">
        <w:t xml:space="preserve">, </w:t>
      </w:r>
      <w:proofErr w:type="spellStart"/>
      <w:r w:rsidRPr="0006440D">
        <w:rPr>
          <w:i/>
          <w:iCs/>
        </w:rPr>
        <w:t>Does</w:t>
      </w:r>
      <w:proofErr w:type="spellEnd"/>
      <w:r w:rsidRPr="0006440D">
        <w:rPr>
          <w:i/>
          <w:iCs/>
        </w:rPr>
        <w:t xml:space="preserve"> it </w:t>
      </w:r>
      <w:proofErr w:type="spellStart"/>
      <w:r w:rsidRPr="0006440D">
        <w:rPr>
          <w:i/>
          <w:iCs/>
        </w:rPr>
        <w:t>Take</w:t>
      </w:r>
      <w:proofErr w:type="spellEnd"/>
      <w:r w:rsidRPr="0006440D">
        <w:rPr>
          <w:i/>
          <w:iCs/>
        </w:rPr>
        <w:t xml:space="preserve"> a </w:t>
      </w:r>
      <w:proofErr w:type="spellStart"/>
      <w:r w:rsidRPr="0006440D">
        <w:rPr>
          <w:i/>
          <w:iCs/>
        </w:rPr>
        <w:t>Theory</w:t>
      </w:r>
      <w:proofErr w:type="spellEnd"/>
      <w:r w:rsidRPr="0006440D">
        <w:rPr>
          <w:i/>
          <w:iCs/>
        </w:rPr>
        <w:t xml:space="preserve">? </w:t>
      </w:r>
      <w:proofErr w:type="spellStart"/>
      <w:r w:rsidRPr="0006440D">
        <w:rPr>
          <w:i/>
          <w:iCs/>
        </w:rPr>
        <w:t>Originalism</w:t>
      </w:r>
      <w:proofErr w:type="spellEnd"/>
      <w:r w:rsidRPr="0006440D">
        <w:rPr>
          <w:i/>
          <w:iCs/>
        </w:rPr>
        <w:t xml:space="preserve">, Active </w:t>
      </w:r>
      <w:proofErr w:type="spellStart"/>
      <w:r w:rsidRPr="0006440D">
        <w:rPr>
          <w:i/>
          <w:iCs/>
        </w:rPr>
        <w:t>Liberty</w:t>
      </w:r>
      <w:proofErr w:type="spellEnd"/>
      <w:r w:rsidRPr="0006440D">
        <w:rPr>
          <w:i/>
          <w:iCs/>
        </w:rPr>
        <w:t xml:space="preserve">, </w:t>
      </w:r>
      <w:proofErr w:type="spellStart"/>
      <w:r w:rsidRPr="0006440D">
        <w:rPr>
          <w:i/>
          <w:iCs/>
        </w:rPr>
        <w:t>and</w:t>
      </w:r>
      <w:proofErr w:type="spellEnd"/>
      <w:r w:rsidRPr="0006440D">
        <w:rPr>
          <w:i/>
          <w:iCs/>
        </w:rPr>
        <w:t xml:space="preserve"> </w:t>
      </w:r>
      <w:proofErr w:type="spellStart"/>
      <w:r w:rsidRPr="0006440D">
        <w:rPr>
          <w:i/>
          <w:iCs/>
        </w:rPr>
        <w:t>Minimalism</w:t>
      </w:r>
      <w:proofErr w:type="spellEnd"/>
      <w:r w:rsidRPr="0006440D">
        <w:t xml:space="preserve">, 58 </w:t>
      </w:r>
      <w:r w:rsidRPr="0006440D">
        <w:rPr>
          <w:i/>
          <w:iCs/>
        </w:rPr>
        <w:t>STAN. L. REV.</w:t>
      </w:r>
      <w:r w:rsidRPr="0006440D">
        <w:t xml:space="preserve"> 1623, 1623-24 (2006) (STEPHEN BREYER, </w:t>
      </w:r>
      <w:r w:rsidRPr="0006440D">
        <w:rPr>
          <w:i/>
          <w:iCs/>
        </w:rPr>
        <w:t>ACTIVE LIBERTY: INTERPRETING OUR DEMOCRATIC CONSTITUTION</w:t>
      </w:r>
      <w:r w:rsidRPr="0006440D">
        <w:t xml:space="preserve"> (2005); CASS R. SUNSTEIN, </w:t>
      </w:r>
      <w:r w:rsidRPr="0006440D">
        <w:rPr>
          <w:i/>
          <w:iCs/>
        </w:rPr>
        <w:t>RADICALS IN ROBES: WHY EXTREME RIGHT-WING COURTS ARE WRONG FOR AMERICA</w:t>
      </w:r>
      <w:r w:rsidRPr="0006440D">
        <w:t xml:space="preserve"> (2005) adlı eserleri inceleyerek) (“Son on beş yıl boyunca, Yargıç </w:t>
      </w:r>
      <w:proofErr w:type="spellStart"/>
      <w:r w:rsidRPr="0006440D">
        <w:t>Antonin</w:t>
      </w:r>
      <w:proofErr w:type="spellEnd"/>
      <w:r w:rsidRPr="0006440D">
        <w:t xml:space="preserve"> </w:t>
      </w:r>
      <w:proofErr w:type="spellStart"/>
      <w:r w:rsidRPr="0006440D">
        <w:t>Scalia</w:t>
      </w:r>
      <w:proofErr w:type="spellEnd"/>
      <w:r w:rsidRPr="0006440D">
        <w:t xml:space="preserve"> ve akademi içindeki ve dışındaki destekçileri, Anayasa’nın en iyi nasıl yorumlanması gerektiğine dair tartışmalara ve akademik söyleme hâkim olmuştur.”).</w:t>
      </w:r>
    </w:p>
  </w:footnote>
  <w:footnote w:id="53">
    <w:p w14:paraId="5FB58D31" w14:textId="28E87744" w:rsidR="0006440D" w:rsidRPr="0006440D" w:rsidRDefault="0006440D" w:rsidP="0006440D">
      <w:pPr>
        <w:pStyle w:val="Dipnot"/>
        <w:rPr>
          <w:lang w:val="en-US"/>
        </w:rPr>
      </w:pPr>
      <w:r>
        <w:rPr>
          <w:rStyle w:val="FootnoteReference"/>
        </w:rPr>
        <w:footnoteRef/>
      </w:r>
      <w:r>
        <w:t xml:space="preserve"> </w:t>
      </w:r>
      <w:r>
        <w:tab/>
      </w:r>
      <w:r w:rsidRPr="0006440D">
        <w:t xml:space="preserve">53 Bkz. </w:t>
      </w:r>
      <w:proofErr w:type="spellStart"/>
      <w:r w:rsidRPr="0006440D">
        <w:t>Jamal</w:t>
      </w:r>
      <w:proofErr w:type="spellEnd"/>
      <w:r w:rsidRPr="0006440D">
        <w:t xml:space="preserve"> </w:t>
      </w:r>
      <w:proofErr w:type="spellStart"/>
      <w:r w:rsidRPr="0006440D">
        <w:t>Greene</w:t>
      </w:r>
      <w:proofErr w:type="spellEnd"/>
      <w:r w:rsidRPr="0006440D">
        <w:t xml:space="preserve">, </w:t>
      </w:r>
      <w:proofErr w:type="spellStart"/>
      <w:r w:rsidRPr="0006440D">
        <w:rPr>
          <w:i/>
          <w:iCs/>
        </w:rPr>
        <w:t>Selling</w:t>
      </w:r>
      <w:proofErr w:type="spellEnd"/>
      <w:r w:rsidRPr="0006440D">
        <w:rPr>
          <w:i/>
          <w:iCs/>
        </w:rPr>
        <w:t xml:space="preserve"> </w:t>
      </w:r>
      <w:proofErr w:type="spellStart"/>
      <w:r w:rsidRPr="0006440D">
        <w:rPr>
          <w:i/>
          <w:iCs/>
        </w:rPr>
        <w:t>Originalism</w:t>
      </w:r>
      <w:proofErr w:type="spellEnd"/>
      <w:r w:rsidRPr="0006440D">
        <w:t xml:space="preserve">, 97 </w:t>
      </w:r>
      <w:r w:rsidRPr="0006440D">
        <w:rPr>
          <w:i/>
          <w:iCs/>
        </w:rPr>
        <w:t>GEO. L.J.</w:t>
      </w:r>
      <w:r w:rsidRPr="0006440D">
        <w:t xml:space="preserve"> 657, 678 (2009) (“1970'lerde başlayan </w:t>
      </w:r>
      <w:proofErr w:type="spellStart"/>
      <w:r w:rsidRPr="0006440D">
        <w:t>orijinalist</w:t>
      </w:r>
      <w:proofErr w:type="spellEnd"/>
      <w:r w:rsidRPr="0006440D">
        <w:t xml:space="preserve"> proje büyük ölçüde savcılar ile eyalet yasama organlarına yetkiyi geri kazandırmayı amaçlıyordu.”); </w:t>
      </w:r>
      <w:r w:rsidRPr="0006440D">
        <w:rPr>
          <w:i/>
          <w:iCs/>
        </w:rPr>
        <w:t>ayrıca bkz.</w:t>
      </w:r>
      <w:r w:rsidRPr="0006440D">
        <w:t xml:space="preserve"> STEVEN M. TELES, </w:t>
      </w:r>
      <w:r w:rsidRPr="0006440D">
        <w:rPr>
          <w:i/>
          <w:iCs/>
        </w:rPr>
        <w:t>THE RISE OF THE CONSERVATIVE LEGAL MOVEMENT: THE BATTLE FOR CONTROL OF THE LAW</w:t>
      </w:r>
      <w:r w:rsidRPr="0006440D">
        <w:t xml:space="preserve"> 2-3 (2008) (“Muhafazakâr koalisyonun belirli şikâyetleri farklılık gösterse de, ‘katı yorumculuk’ [</w:t>
      </w:r>
      <w:proofErr w:type="spellStart"/>
      <w:r w:rsidRPr="0006440D">
        <w:t>strict</w:t>
      </w:r>
      <w:proofErr w:type="spellEnd"/>
      <w:r w:rsidRPr="0006440D">
        <w:t xml:space="preserve"> </w:t>
      </w:r>
      <w:proofErr w:type="spellStart"/>
      <w:r w:rsidRPr="0006440D">
        <w:t>constructionism</w:t>
      </w:r>
      <w:proofErr w:type="spellEnd"/>
      <w:r w:rsidRPr="0006440D">
        <w:t>] ve ‘yargısal itidal’ [</w:t>
      </w:r>
      <w:proofErr w:type="spellStart"/>
      <w:r w:rsidRPr="0006440D">
        <w:t>judicial</w:t>
      </w:r>
      <w:proofErr w:type="spellEnd"/>
      <w:r w:rsidRPr="0006440D">
        <w:t xml:space="preserve"> </w:t>
      </w:r>
      <w:proofErr w:type="spellStart"/>
      <w:r w:rsidRPr="0006440D">
        <w:t>restraint</w:t>
      </w:r>
      <w:proofErr w:type="spellEnd"/>
      <w:r w:rsidRPr="0006440D">
        <w:t xml:space="preserve">] talepleriyle birleşmişlerdi.”); Robert Post &amp; Reva </w:t>
      </w:r>
      <w:proofErr w:type="spellStart"/>
      <w:r w:rsidRPr="0006440D">
        <w:t>Siegel</w:t>
      </w:r>
      <w:proofErr w:type="spellEnd"/>
      <w:r w:rsidRPr="0006440D">
        <w:t xml:space="preserve">, </w:t>
      </w:r>
      <w:proofErr w:type="spellStart"/>
      <w:r w:rsidRPr="0006440D">
        <w:rPr>
          <w:i/>
          <w:iCs/>
        </w:rPr>
        <w:t>Originalism</w:t>
      </w:r>
      <w:proofErr w:type="spellEnd"/>
      <w:r w:rsidRPr="0006440D">
        <w:rPr>
          <w:i/>
          <w:iCs/>
        </w:rPr>
        <w:t xml:space="preserve"> as a </w:t>
      </w:r>
      <w:proofErr w:type="spellStart"/>
      <w:r w:rsidRPr="0006440D">
        <w:rPr>
          <w:i/>
          <w:iCs/>
        </w:rPr>
        <w:t>Political</w:t>
      </w:r>
      <w:proofErr w:type="spellEnd"/>
      <w:r w:rsidRPr="0006440D">
        <w:rPr>
          <w:i/>
          <w:iCs/>
        </w:rPr>
        <w:t xml:space="preserve"> </w:t>
      </w:r>
      <w:proofErr w:type="spellStart"/>
      <w:r w:rsidRPr="0006440D">
        <w:rPr>
          <w:i/>
          <w:iCs/>
        </w:rPr>
        <w:t>Practice</w:t>
      </w:r>
      <w:proofErr w:type="spellEnd"/>
      <w:r w:rsidRPr="0006440D">
        <w:rPr>
          <w:i/>
          <w:iCs/>
        </w:rPr>
        <w:t xml:space="preserve">: </w:t>
      </w:r>
      <w:proofErr w:type="spellStart"/>
      <w:r w:rsidRPr="0006440D">
        <w:rPr>
          <w:i/>
          <w:iCs/>
        </w:rPr>
        <w:t>The</w:t>
      </w:r>
      <w:proofErr w:type="spellEnd"/>
      <w:r w:rsidRPr="0006440D">
        <w:rPr>
          <w:i/>
          <w:iCs/>
        </w:rPr>
        <w:t xml:space="preserve"> </w:t>
      </w:r>
      <w:proofErr w:type="spellStart"/>
      <w:r w:rsidRPr="0006440D">
        <w:rPr>
          <w:i/>
          <w:iCs/>
        </w:rPr>
        <w:t>Right’s</w:t>
      </w:r>
      <w:proofErr w:type="spellEnd"/>
      <w:r w:rsidRPr="0006440D">
        <w:rPr>
          <w:i/>
          <w:iCs/>
        </w:rPr>
        <w:t xml:space="preserve"> </w:t>
      </w:r>
      <w:proofErr w:type="spellStart"/>
      <w:r w:rsidRPr="0006440D">
        <w:rPr>
          <w:i/>
          <w:iCs/>
        </w:rPr>
        <w:t>Living</w:t>
      </w:r>
      <w:proofErr w:type="spellEnd"/>
      <w:r w:rsidRPr="0006440D">
        <w:rPr>
          <w:i/>
          <w:iCs/>
        </w:rPr>
        <w:t xml:space="preserve"> </w:t>
      </w:r>
      <w:proofErr w:type="spellStart"/>
      <w:r w:rsidRPr="0006440D">
        <w:rPr>
          <w:i/>
          <w:iCs/>
        </w:rPr>
        <w:t>Constitution</w:t>
      </w:r>
      <w:proofErr w:type="spellEnd"/>
      <w:r w:rsidRPr="0006440D">
        <w:t xml:space="preserve">, 75 </w:t>
      </w:r>
      <w:r w:rsidRPr="0006440D">
        <w:rPr>
          <w:i/>
          <w:iCs/>
        </w:rPr>
        <w:t>FORDHAM L. REV.</w:t>
      </w:r>
      <w:r w:rsidRPr="0006440D">
        <w:t xml:space="preserve"> 545, 546-48 (2006) (</w:t>
      </w:r>
      <w:proofErr w:type="spellStart"/>
      <w:r w:rsidRPr="0006440D">
        <w:t>orijinalizmin</w:t>
      </w:r>
      <w:proofErr w:type="spellEnd"/>
      <w:r w:rsidRPr="0006440D">
        <w:t xml:space="preserve">, Warren Mahkemesi'nin eleştirmenleri arasında etkili olan ve Reagan Başkanlığı dönemindeki aktivistler tarafından güçlendirilen “muhafazakâr seferberlik için güçlü bir araç” olduğunu açıklamaktadır). </w:t>
      </w:r>
      <w:r w:rsidRPr="0006440D">
        <w:rPr>
          <w:i/>
          <w:iCs/>
        </w:rPr>
        <w:t>Karşılaştırınız</w:t>
      </w:r>
      <w:r w:rsidRPr="0006440D">
        <w:t xml:space="preserve"> </w:t>
      </w:r>
      <w:proofErr w:type="spellStart"/>
      <w:r w:rsidRPr="0006440D">
        <w:t>Craig</w:t>
      </w:r>
      <w:proofErr w:type="spellEnd"/>
      <w:r w:rsidRPr="0006440D">
        <w:t xml:space="preserve"> </w:t>
      </w:r>
      <w:proofErr w:type="spellStart"/>
      <w:r w:rsidRPr="0006440D">
        <w:t>Green</w:t>
      </w:r>
      <w:proofErr w:type="spellEnd"/>
      <w:r w:rsidRPr="0006440D">
        <w:t xml:space="preserve">, </w:t>
      </w:r>
      <w:r w:rsidRPr="0006440D">
        <w:rPr>
          <w:i/>
          <w:iCs/>
        </w:rPr>
        <w:t xml:space="preserve">An </w:t>
      </w:r>
      <w:proofErr w:type="spellStart"/>
      <w:r w:rsidRPr="0006440D">
        <w:rPr>
          <w:i/>
          <w:iCs/>
        </w:rPr>
        <w:t>Intellectual</w:t>
      </w:r>
      <w:proofErr w:type="spellEnd"/>
      <w:r w:rsidRPr="0006440D">
        <w:rPr>
          <w:i/>
          <w:iCs/>
        </w:rPr>
        <w:t xml:space="preserve"> </w:t>
      </w:r>
      <w:proofErr w:type="spellStart"/>
      <w:r w:rsidRPr="0006440D">
        <w:rPr>
          <w:i/>
          <w:iCs/>
        </w:rPr>
        <w:t>History</w:t>
      </w:r>
      <w:proofErr w:type="spellEnd"/>
      <w:r w:rsidRPr="0006440D">
        <w:rPr>
          <w:i/>
          <w:iCs/>
        </w:rPr>
        <w:t xml:space="preserve"> of </w:t>
      </w:r>
      <w:proofErr w:type="spellStart"/>
      <w:r w:rsidRPr="0006440D">
        <w:rPr>
          <w:i/>
          <w:iCs/>
        </w:rPr>
        <w:t>Judicial</w:t>
      </w:r>
      <w:proofErr w:type="spellEnd"/>
      <w:r w:rsidRPr="0006440D">
        <w:rPr>
          <w:i/>
          <w:iCs/>
        </w:rPr>
        <w:t xml:space="preserve"> </w:t>
      </w:r>
      <w:proofErr w:type="spellStart"/>
      <w:r w:rsidRPr="0006440D">
        <w:rPr>
          <w:i/>
          <w:iCs/>
        </w:rPr>
        <w:t>Activism</w:t>
      </w:r>
      <w:proofErr w:type="spellEnd"/>
      <w:r w:rsidRPr="0006440D">
        <w:t xml:space="preserve">, 58 </w:t>
      </w:r>
      <w:r w:rsidRPr="0006440D">
        <w:rPr>
          <w:i/>
          <w:iCs/>
        </w:rPr>
        <w:t>EMORY L.J.</w:t>
      </w:r>
      <w:r w:rsidRPr="0006440D">
        <w:t xml:space="preserve"> 1195 (2009) (Amerikan kamuoyuna, uygun yargısal rol normlarının benimsetilmesine yönelik paralel süreci tanımlamaktadır).</w:t>
      </w:r>
    </w:p>
  </w:footnote>
  <w:footnote w:id="54">
    <w:p w14:paraId="25394C8A" w14:textId="76448C3C" w:rsidR="0006440D" w:rsidRPr="00D301C5" w:rsidRDefault="0006440D" w:rsidP="00D301C5">
      <w:pPr>
        <w:pStyle w:val="Dipnot"/>
        <w:rPr>
          <w:lang w:val="en-US"/>
        </w:rPr>
      </w:pPr>
      <w:r>
        <w:rPr>
          <w:rStyle w:val="FootnoteReference"/>
        </w:rPr>
        <w:footnoteRef/>
      </w:r>
      <w:r>
        <w:t xml:space="preserve"> </w:t>
      </w:r>
      <w:r w:rsidRPr="00D301C5">
        <w:tab/>
      </w:r>
      <w:r w:rsidR="00D301C5" w:rsidRPr="00D301C5">
        <w:rPr>
          <w:lang w:val="en-US"/>
        </w:rPr>
        <w:t xml:space="preserve">54 </w:t>
      </w:r>
      <w:proofErr w:type="spellStart"/>
      <w:r w:rsidR="00D301C5" w:rsidRPr="00D301C5">
        <w:rPr>
          <w:lang w:val="en-US"/>
        </w:rPr>
        <w:t>Bkz</w:t>
      </w:r>
      <w:proofErr w:type="spellEnd"/>
      <w:r w:rsidR="00D301C5" w:rsidRPr="00D301C5">
        <w:rPr>
          <w:lang w:val="en-US"/>
        </w:rPr>
        <w:t xml:space="preserve">. </w:t>
      </w:r>
      <w:proofErr w:type="spellStart"/>
      <w:r w:rsidR="00D301C5" w:rsidRPr="00D301C5">
        <w:rPr>
          <w:lang w:val="en-US"/>
        </w:rPr>
        <w:t>örneğin</w:t>
      </w:r>
      <w:proofErr w:type="spellEnd"/>
      <w:r w:rsidR="00D301C5" w:rsidRPr="00D301C5">
        <w:rPr>
          <w:lang w:val="en-US"/>
        </w:rPr>
        <w:t xml:space="preserve">, Steven G. Calabresi &amp; Stephanie Dotson Zimdahl, </w:t>
      </w:r>
      <w:r w:rsidR="00D301C5" w:rsidRPr="00D301C5">
        <w:rPr>
          <w:i/>
          <w:iCs/>
          <w:lang w:val="en-US"/>
        </w:rPr>
        <w:t xml:space="preserve">Yüksek </w:t>
      </w:r>
      <w:proofErr w:type="spellStart"/>
      <w:r w:rsidR="00D301C5" w:rsidRPr="00D301C5">
        <w:rPr>
          <w:i/>
          <w:iCs/>
          <w:lang w:val="en-US"/>
        </w:rPr>
        <w:t>Mahkeme</w:t>
      </w:r>
      <w:proofErr w:type="spellEnd"/>
      <w:r w:rsidR="00D301C5" w:rsidRPr="00D301C5">
        <w:rPr>
          <w:i/>
          <w:iCs/>
          <w:lang w:val="en-US"/>
        </w:rPr>
        <w:t xml:space="preserve"> </w:t>
      </w:r>
      <w:proofErr w:type="spellStart"/>
      <w:r w:rsidR="00D301C5" w:rsidRPr="00D301C5">
        <w:rPr>
          <w:i/>
          <w:iCs/>
          <w:lang w:val="en-US"/>
        </w:rPr>
        <w:t>ve</w:t>
      </w:r>
      <w:proofErr w:type="spellEnd"/>
      <w:r w:rsidR="00D301C5" w:rsidRPr="00D301C5">
        <w:rPr>
          <w:i/>
          <w:iCs/>
          <w:lang w:val="en-US"/>
        </w:rPr>
        <w:t xml:space="preserve"> </w:t>
      </w:r>
      <w:proofErr w:type="spellStart"/>
      <w:r w:rsidR="00D301C5" w:rsidRPr="00D301C5">
        <w:rPr>
          <w:i/>
          <w:iCs/>
          <w:lang w:val="en-US"/>
        </w:rPr>
        <w:t>Yabancı</w:t>
      </w:r>
      <w:proofErr w:type="spellEnd"/>
      <w:r w:rsidR="00D301C5" w:rsidRPr="00D301C5">
        <w:rPr>
          <w:i/>
          <w:iCs/>
          <w:lang w:val="en-US"/>
        </w:rPr>
        <w:t xml:space="preserve"> </w:t>
      </w:r>
      <w:proofErr w:type="spellStart"/>
      <w:r w:rsidR="00D301C5" w:rsidRPr="00D301C5">
        <w:rPr>
          <w:i/>
          <w:iCs/>
          <w:lang w:val="en-US"/>
        </w:rPr>
        <w:t>Hukuk</w:t>
      </w:r>
      <w:proofErr w:type="spellEnd"/>
      <w:r w:rsidR="00D301C5" w:rsidRPr="00D301C5">
        <w:rPr>
          <w:i/>
          <w:iCs/>
          <w:lang w:val="en-US"/>
        </w:rPr>
        <w:t xml:space="preserve"> </w:t>
      </w:r>
      <w:proofErr w:type="spellStart"/>
      <w:r w:rsidR="00D301C5" w:rsidRPr="00D301C5">
        <w:rPr>
          <w:i/>
          <w:iCs/>
          <w:lang w:val="en-US"/>
        </w:rPr>
        <w:t>Kaynakları</w:t>
      </w:r>
      <w:proofErr w:type="spellEnd"/>
      <w:r w:rsidR="00D301C5" w:rsidRPr="00D301C5">
        <w:rPr>
          <w:i/>
          <w:iCs/>
          <w:lang w:val="en-US"/>
        </w:rPr>
        <w:t xml:space="preserve">: İki </w:t>
      </w:r>
      <w:proofErr w:type="spellStart"/>
      <w:r w:rsidR="00D301C5" w:rsidRPr="00D301C5">
        <w:rPr>
          <w:i/>
          <w:iCs/>
          <w:lang w:val="en-US"/>
        </w:rPr>
        <w:t>Yüz</w:t>
      </w:r>
      <w:proofErr w:type="spellEnd"/>
      <w:r w:rsidR="00D301C5" w:rsidRPr="00D301C5">
        <w:rPr>
          <w:i/>
          <w:iCs/>
          <w:lang w:val="en-US"/>
        </w:rPr>
        <w:t xml:space="preserve"> </w:t>
      </w:r>
      <w:proofErr w:type="spellStart"/>
      <w:r w:rsidR="00D301C5" w:rsidRPr="00D301C5">
        <w:rPr>
          <w:i/>
          <w:iCs/>
          <w:lang w:val="en-US"/>
        </w:rPr>
        <w:t>Yıllık</w:t>
      </w:r>
      <w:proofErr w:type="spellEnd"/>
      <w:r w:rsidR="00D301C5" w:rsidRPr="00D301C5">
        <w:rPr>
          <w:i/>
          <w:iCs/>
          <w:lang w:val="en-US"/>
        </w:rPr>
        <w:t xml:space="preserve"> </w:t>
      </w:r>
      <w:proofErr w:type="spellStart"/>
      <w:r w:rsidR="00D301C5" w:rsidRPr="00D301C5">
        <w:rPr>
          <w:i/>
          <w:iCs/>
          <w:lang w:val="en-US"/>
        </w:rPr>
        <w:t>Uygulama</w:t>
      </w:r>
      <w:proofErr w:type="spellEnd"/>
      <w:r w:rsidR="00D301C5" w:rsidRPr="00D301C5">
        <w:rPr>
          <w:i/>
          <w:iCs/>
          <w:lang w:val="en-US"/>
        </w:rPr>
        <w:t xml:space="preserve"> </w:t>
      </w:r>
      <w:proofErr w:type="spellStart"/>
      <w:r w:rsidR="00D301C5" w:rsidRPr="00D301C5">
        <w:rPr>
          <w:i/>
          <w:iCs/>
          <w:lang w:val="en-US"/>
        </w:rPr>
        <w:t>ve</w:t>
      </w:r>
      <w:proofErr w:type="spellEnd"/>
      <w:r w:rsidR="00D301C5" w:rsidRPr="00D301C5">
        <w:rPr>
          <w:i/>
          <w:iCs/>
          <w:lang w:val="en-US"/>
        </w:rPr>
        <w:t xml:space="preserve"> </w:t>
      </w:r>
      <w:proofErr w:type="spellStart"/>
      <w:r w:rsidR="00D301C5" w:rsidRPr="00D301C5">
        <w:rPr>
          <w:i/>
          <w:iCs/>
          <w:lang w:val="en-US"/>
        </w:rPr>
        <w:t>Çocuk</w:t>
      </w:r>
      <w:proofErr w:type="spellEnd"/>
      <w:r w:rsidR="00D301C5" w:rsidRPr="00D301C5">
        <w:rPr>
          <w:i/>
          <w:iCs/>
          <w:lang w:val="en-US"/>
        </w:rPr>
        <w:t xml:space="preserve"> </w:t>
      </w:r>
      <w:proofErr w:type="spellStart"/>
      <w:r w:rsidR="00D301C5" w:rsidRPr="00D301C5">
        <w:rPr>
          <w:i/>
          <w:iCs/>
          <w:lang w:val="en-US"/>
        </w:rPr>
        <w:t>Yaşta</w:t>
      </w:r>
      <w:proofErr w:type="spellEnd"/>
      <w:r w:rsidR="00D301C5" w:rsidRPr="00D301C5">
        <w:rPr>
          <w:i/>
          <w:iCs/>
          <w:lang w:val="en-US"/>
        </w:rPr>
        <w:t xml:space="preserve"> </w:t>
      </w:r>
      <w:proofErr w:type="spellStart"/>
      <w:r w:rsidR="00D301C5" w:rsidRPr="00D301C5">
        <w:rPr>
          <w:i/>
          <w:iCs/>
          <w:lang w:val="en-US"/>
        </w:rPr>
        <w:t>İşlenen</w:t>
      </w:r>
      <w:proofErr w:type="spellEnd"/>
      <w:r w:rsidR="00D301C5" w:rsidRPr="00D301C5">
        <w:rPr>
          <w:i/>
          <w:iCs/>
          <w:lang w:val="en-US"/>
        </w:rPr>
        <w:t xml:space="preserve"> </w:t>
      </w:r>
      <w:proofErr w:type="spellStart"/>
      <w:r w:rsidR="00D301C5" w:rsidRPr="00D301C5">
        <w:rPr>
          <w:i/>
          <w:iCs/>
          <w:lang w:val="en-US"/>
        </w:rPr>
        <w:t>Suçlar</w:t>
      </w:r>
      <w:proofErr w:type="spellEnd"/>
      <w:r w:rsidR="00D301C5" w:rsidRPr="00D301C5">
        <w:rPr>
          <w:i/>
          <w:iCs/>
          <w:lang w:val="en-US"/>
        </w:rPr>
        <w:t xml:space="preserve"> </w:t>
      </w:r>
      <w:proofErr w:type="spellStart"/>
      <w:r w:rsidR="00D301C5" w:rsidRPr="00D301C5">
        <w:rPr>
          <w:i/>
          <w:iCs/>
          <w:lang w:val="en-US"/>
        </w:rPr>
        <w:t>İçin</w:t>
      </w:r>
      <w:proofErr w:type="spellEnd"/>
      <w:r w:rsidR="00D301C5" w:rsidRPr="00D301C5">
        <w:rPr>
          <w:i/>
          <w:iCs/>
          <w:lang w:val="en-US"/>
        </w:rPr>
        <w:t xml:space="preserve"> </w:t>
      </w:r>
      <w:proofErr w:type="spellStart"/>
      <w:r w:rsidR="00D301C5" w:rsidRPr="00D301C5">
        <w:rPr>
          <w:i/>
          <w:iCs/>
          <w:lang w:val="en-US"/>
        </w:rPr>
        <w:t>Ölüm</w:t>
      </w:r>
      <w:proofErr w:type="spellEnd"/>
      <w:r w:rsidR="00D301C5" w:rsidRPr="00D301C5">
        <w:rPr>
          <w:i/>
          <w:iCs/>
          <w:lang w:val="en-US"/>
        </w:rPr>
        <w:t xml:space="preserve"> </w:t>
      </w:r>
      <w:proofErr w:type="spellStart"/>
      <w:r w:rsidR="00D301C5" w:rsidRPr="00D301C5">
        <w:rPr>
          <w:i/>
          <w:iCs/>
          <w:lang w:val="en-US"/>
        </w:rPr>
        <w:t>Cezası</w:t>
      </w:r>
      <w:proofErr w:type="spellEnd"/>
      <w:r w:rsidR="00D301C5" w:rsidRPr="00D301C5">
        <w:rPr>
          <w:i/>
          <w:iCs/>
          <w:lang w:val="en-US"/>
        </w:rPr>
        <w:t xml:space="preserve"> </w:t>
      </w:r>
      <w:proofErr w:type="spellStart"/>
      <w:r w:rsidR="00D301C5" w:rsidRPr="00D301C5">
        <w:rPr>
          <w:i/>
          <w:iCs/>
          <w:lang w:val="en-US"/>
        </w:rPr>
        <w:t>Kararı</w:t>
      </w:r>
      <w:proofErr w:type="spellEnd"/>
      <w:r w:rsidR="00D301C5" w:rsidRPr="00D301C5">
        <w:rPr>
          <w:lang w:val="en-US"/>
        </w:rPr>
        <w:t>, 47 WM. &amp; MARY L. REV. 743, 838-83 (2005) (</w:t>
      </w:r>
      <w:proofErr w:type="spellStart"/>
      <w:r w:rsidR="00D301C5" w:rsidRPr="00D301C5">
        <w:rPr>
          <w:lang w:val="en-US"/>
        </w:rPr>
        <w:t>bu</w:t>
      </w:r>
      <w:proofErr w:type="spellEnd"/>
      <w:r w:rsidR="00D301C5" w:rsidRPr="00D301C5">
        <w:rPr>
          <w:lang w:val="en-US"/>
        </w:rPr>
        <w:t xml:space="preserve"> </w:t>
      </w:r>
      <w:proofErr w:type="spellStart"/>
      <w:r w:rsidR="00D301C5" w:rsidRPr="00D301C5">
        <w:rPr>
          <w:lang w:val="en-US"/>
        </w:rPr>
        <w:t>tür</w:t>
      </w:r>
      <w:proofErr w:type="spellEnd"/>
      <w:r w:rsidR="00D301C5" w:rsidRPr="00D301C5">
        <w:rPr>
          <w:lang w:val="en-US"/>
        </w:rPr>
        <w:t xml:space="preserve"> </w:t>
      </w:r>
      <w:proofErr w:type="spellStart"/>
      <w:r w:rsidR="00D301C5" w:rsidRPr="00D301C5">
        <w:rPr>
          <w:lang w:val="en-US"/>
        </w:rPr>
        <w:t>atıfların</w:t>
      </w:r>
      <w:proofErr w:type="spellEnd"/>
      <w:r w:rsidR="00D301C5" w:rsidRPr="00D301C5">
        <w:rPr>
          <w:lang w:val="en-US"/>
        </w:rPr>
        <w:t xml:space="preserve"> </w:t>
      </w:r>
      <w:proofErr w:type="spellStart"/>
      <w:r w:rsidR="00D301C5" w:rsidRPr="00D301C5">
        <w:rPr>
          <w:lang w:val="en-US"/>
        </w:rPr>
        <w:t>tarihini</w:t>
      </w:r>
      <w:proofErr w:type="spellEnd"/>
      <w:r w:rsidR="00D301C5" w:rsidRPr="00D301C5">
        <w:rPr>
          <w:lang w:val="en-US"/>
        </w:rPr>
        <w:t xml:space="preserve">, </w:t>
      </w:r>
      <w:proofErr w:type="spellStart"/>
      <w:r w:rsidR="00D301C5" w:rsidRPr="00D301C5">
        <w:rPr>
          <w:lang w:val="en-US"/>
        </w:rPr>
        <w:t>bu</w:t>
      </w:r>
      <w:proofErr w:type="spellEnd"/>
      <w:r w:rsidR="00D301C5" w:rsidRPr="00D301C5">
        <w:rPr>
          <w:lang w:val="en-US"/>
        </w:rPr>
        <w:t xml:space="preserve"> </w:t>
      </w:r>
      <w:proofErr w:type="spellStart"/>
      <w:r w:rsidR="00D301C5" w:rsidRPr="00D301C5">
        <w:rPr>
          <w:lang w:val="en-US"/>
        </w:rPr>
        <w:t>konudaki</w:t>
      </w:r>
      <w:proofErr w:type="spellEnd"/>
      <w:r w:rsidR="00D301C5" w:rsidRPr="00D301C5">
        <w:rPr>
          <w:lang w:val="en-US"/>
        </w:rPr>
        <w:t xml:space="preserve"> </w:t>
      </w:r>
      <w:proofErr w:type="spellStart"/>
      <w:r w:rsidR="00D301C5" w:rsidRPr="00D301C5">
        <w:rPr>
          <w:lang w:val="en-US"/>
        </w:rPr>
        <w:t>en</w:t>
      </w:r>
      <w:proofErr w:type="spellEnd"/>
      <w:r w:rsidR="00D301C5" w:rsidRPr="00D301C5">
        <w:rPr>
          <w:lang w:val="en-US"/>
        </w:rPr>
        <w:t xml:space="preserve"> </w:t>
      </w:r>
      <w:proofErr w:type="spellStart"/>
      <w:r w:rsidR="00D301C5" w:rsidRPr="00D301C5">
        <w:rPr>
          <w:lang w:val="en-US"/>
        </w:rPr>
        <w:t>yoğun</w:t>
      </w:r>
      <w:proofErr w:type="spellEnd"/>
      <w:r w:rsidR="00D301C5" w:rsidRPr="00D301C5">
        <w:rPr>
          <w:lang w:val="en-US"/>
        </w:rPr>
        <w:t xml:space="preserve"> </w:t>
      </w:r>
      <w:proofErr w:type="spellStart"/>
      <w:r w:rsidR="00D301C5" w:rsidRPr="00D301C5">
        <w:rPr>
          <w:lang w:val="en-US"/>
        </w:rPr>
        <w:t>tartışmaların</w:t>
      </w:r>
      <w:proofErr w:type="spellEnd"/>
      <w:r w:rsidR="00D301C5" w:rsidRPr="00D301C5">
        <w:rPr>
          <w:lang w:val="en-US"/>
        </w:rPr>
        <w:t xml:space="preserve"> </w:t>
      </w:r>
      <w:proofErr w:type="spellStart"/>
      <w:r w:rsidR="00D301C5" w:rsidRPr="00D301C5">
        <w:rPr>
          <w:lang w:val="en-US"/>
        </w:rPr>
        <w:t>yaşandığı</w:t>
      </w:r>
      <w:proofErr w:type="spellEnd"/>
      <w:r w:rsidR="00D301C5" w:rsidRPr="00D301C5">
        <w:rPr>
          <w:lang w:val="en-US"/>
        </w:rPr>
        <w:t xml:space="preserve"> </w:t>
      </w:r>
      <w:proofErr w:type="spellStart"/>
      <w:r w:rsidR="00D301C5" w:rsidRPr="00D301C5">
        <w:rPr>
          <w:lang w:val="en-US"/>
        </w:rPr>
        <w:t>dönemde</w:t>
      </w:r>
      <w:proofErr w:type="spellEnd"/>
      <w:r w:rsidR="00D301C5" w:rsidRPr="00D301C5">
        <w:rPr>
          <w:lang w:val="en-US"/>
        </w:rPr>
        <w:t xml:space="preserve"> </w:t>
      </w:r>
      <w:proofErr w:type="spellStart"/>
      <w:r w:rsidR="00D301C5" w:rsidRPr="00D301C5">
        <w:rPr>
          <w:lang w:val="en-US"/>
        </w:rPr>
        <w:t>incelemektedir</w:t>
      </w:r>
      <w:proofErr w:type="spellEnd"/>
      <w:r w:rsidR="00D301C5" w:rsidRPr="00D301C5">
        <w:rPr>
          <w:lang w:val="en-US"/>
        </w:rPr>
        <w:t>).</w:t>
      </w:r>
    </w:p>
  </w:footnote>
  <w:footnote w:id="55">
    <w:p w14:paraId="7B1D6A09" w14:textId="610062A2" w:rsidR="00D301C5" w:rsidRPr="00D301C5" w:rsidRDefault="00D301C5" w:rsidP="00D301C5">
      <w:pPr>
        <w:pStyle w:val="Dipnot"/>
        <w:rPr>
          <w:lang w:val="en-US"/>
        </w:rPr>
      </w:pPr>
      <w:r w:rsidRPr="00D301C5">
        <w:rPr>
          <w:rStyle w:val="FootnoteReference"/>
        </w:rPr>
        <w:footnoteRef/>
      </w:r>
      <w:r w:rsidRPr="00D301C5">
        <w:t xml:space="preserve"> </w:t>
      </w:r>
      <w:r w:rsidRPr="00D301C5">
        <w:rPr>
          <w:lang w:val="en-US"/>
        </w:rPr>
        <w:tab/>
      </w:r>
      <w:r w:rsidRPr="00D301C5">
        <w:rPr>
          <w:lang w:val="en-US"/>
        </w:rPr>
        <w:t xml:space="preserve">55 </w:t>
      </w:r>
      <w:proofErr w:type="spellStart"/>
      <w:r w:rsidRPr="00D301C5">
        <w:rPr>
          <w:lang w:val="en-US"/>
        </w:rPr>
        <w:t>Bkz</w:t>
      </w:r>
      <w:proofErr w:type="spellEnd"/>
      <w:r w:rsidRPr="00D301C5">
        <w:rPr>
          <w:lang w:val="en-US"/>
        </w:rPr>
        <w:t xml:space="preserve">. </w:t>
      </w:r>
      <w:proofErr w:type="spellStart"/>
      <w:r w:rsidRPr="00D301C5">
        <w:rPr>
          <w:lang w:val="en-US"/>
        </w:rPr>
        <w:t>karşılaştırınız</w:t>
      </w:r>
      <w:proofErr w:type="spellEnd"/>
      <w:r w:rsidRPr="00D301C5">
        <w:rPr>
          <w:lang w:val="en-US"/>
        </w:rPr>
        <w:t xml:space="preserve">, Bobbitt, </w:t>
      </w:r>
      <w:proofErr w:type="spellStart"/>
      <w:r w:rsidRPr="00D301C5">
        <w:rPr>
          <w:i/>
          <w:iCs/>
          <w:lang w:val="en-US"/>
        </w:rPr>
        <w:t>Anayasal</w:t>
      </w:r>
      <w:proofErr w:type="spellEnd"/>
      <w:r w:rsidRPr="00D301C5">
        <w:rPr>
          <w:i/>
          <w:iCs/>
          <w:lang w:val="en-US"/>
        </w:rPr>
        <w:t xml:space="preserve"> </w:t>
      </w:r>
      <w:proofErr w:type="spellStart"/>
      <w:r w:rsidRPr="00D301C5">
        <w:rPr>
          <w:i/>
          <w:iCs/>
          <w:lang w:val="en-US"/>
        </w:rPr>
        <w:t>Yorum</w:t>
      </w:r>
      <w:proofErr w:type="spellEnd"/>
      <w:r w:rsidRPr="00D301C5">
        <w:rPr>
          <w:lang w:val="en-US"/>
        </w:rPr>
        <w:t xml:space="preserve"> (Constitutional Interpretation), supra not 49, s. 22 (</w:t>
      </w:r>
      <w:proofErr w:type="spellStart"/>
      <w:r w:rsidRPr="00D301C5">
        <w:rPr>
          <w:lang w:val="en-US"/>
        </w:rPr>
        <w:t>altı</w:t>
      </w:r>
      <w:proofErr w:type="spellEnd"/>
      <w:r w:rsidRPr="00D301C5">
        <w:rPr>
          <w:lang w:val="en-US"/>
        </w:rPr>
        <w:t xml:space="preserve"> </w:t>
      </w:r>
      <w:proofErr w:type="spellStart"/>
      <w:r w:rsidRPr="00D301C5">
        <w:rPr>
          <w:lang w:val="en-US"/>
        </w:rPr>
        <w:t>yorumlama</w:t>
      </w:r>
      <w:proofErr w:type="spellEnd"/>
      <w:r w:rsidRPr="00D301C5">
        <w:rPr>
          <w:lang w:val="en-US"/>
        </w:rPr>
        <w:t xml:space="preserve"> </w:t>
      </w:r>
      <w:proofErr w:type="spellStart"/>
      <w:r w:rsidRPr="00D301C5">
        <w:rPr>
          <w:lang w:val="en-US"/>
        </w:rPr>
        <w:t>biçiminden</w:t>
      </w:r>
      <w:proofErr w:type="spellEnd"/>
      <w:r w:rsidRPr="00D301C5">
        <w:rPr>
          <w:lang w:val="en-US"/>
        </w:rPr>
        <w:t xml:space="preserve"> </w:t>
      </w:r>
      <w:proofErr w:type="spellStart"/>
      <w:r w:rsidRPr="00D301C5">
        <w:rPr>
          <w:lang w:val="en-US"/>
        </w:rPr>
        <w:t>birine</w:t>
      </w:r>
      <w:proofErr w:type="spellEnd"/>
      <w:r w:rsidRPr="00D301C5">
        <w:rPr>
          <w:lang w:val="en-US"/>
        </w:rPr>
        <w:t xml:space="preserve"> </w:t>
      </w:r>
      <w:proofErr w:type="spellStart"/>
      <w:r w:rsidRPr="00D301C5">
        <w:rPr>
          <w:lang w:val="en-US"/>
        </w:rPr>
        <w:t>uymayan</w:t>
      </w:r>
      <w:proofErr w:type="spellEnd"/>
      <w:r w:rsidRPr="00D301C5">
        <w:rPr>
          <w:lang w:val="en-US"/>
        </w:rPr>
        <w:t xml:space="preserve"> </w:t>
      </w:r>
      <w:proofErr w:type="spellStart"/>
      <w:r w:rsidRPr="00D301C5">
        <w:rPr>
          <w:lang w:val="en-US"/>
        </w:rPr>
        <w:t>argümanların</w:t>
      </w:r>
      <w:proofErr w:type="spellEnd"/>
      <w:r w:rsidRPr="00D301C5">
        <w:rPr>
          <w:lang w:val="en-US"/>
        </w:rPr>
        <w:t xml:space="preserve">, </w:t>
      </w:r>
      <w:proofErr w:type="spellStart"/>
      <w:r w:rsidRPr="00D301C5">
        <w:rPr>
          <w:lang w:val="en-US"/>
        </w:rPr>
        <w:t>diğer</w:t>
      </w:r>
      <w:proofErr w:type="spellEnd"/>
      <w:r w:rsidRPr="00D301C5">
        <w:rPr>
          <w:lang w:val="en-US"/>
        </w:rPr>
        <w:t xml:space="preserve"> </w:t>
      </w:r>
      <w:proofErr w:type="spellStart"/>
      <w:r w:rsidRPr="00D301C5">
        <w:rPr>
          <w:lang w:val="en-US"/>
        </w:rPr>
        <w:t>erdemlerinin</w:t>
      </w:r>
      <w:proofErr w:type="spellEnd"/>
      <w:r w:rsidRPr="00D301C5">
        <w:rPr>
          <w:lang w:val="en-US"/>
        </w:rPr>
        <w:t xml:space="preserve"> </w:t>
      </w:r>
      <w:proofErr w:type="spellStart"/>
      <w:r w:rsidRPr="00D301C5">
        <w:rPr>
          <w:lang w:val="en-US"/>
        </w:rPr>
        <w:t>yanı</w:t>
      </w:r>
      <w:proofErr w:type="spellEnd"/>
      <w:r w:rsidRPr="00D301C5">
        <w:rPr>
          <w:lang w:val="en-US"/>
        </w:rPr>
        <w:t xml:space="preserve"> </w:t>
      </w:r>
      <w:proofErr w:type="spellStart"/>
      <w:r w:rsidRPr="00D301C5">
        <w:rPr>
          <w:lang w:val="en-US"/>
        </w:rPr>
        <w:t>sıra</w:t>
      </w:r>
      <w:proofErr w:type="spellEnd"/>
      <w:r w:rsidRPr="00D301C5">
        <w:rPr>
          <w:lang w:val="en-US"/>
        </w:rPr>
        <w:t>, “</w:t>
      </w:r>
      <w:proofErr w:type="spellStart"/>
      <w:r w:rsidRPr="00D301C5">
        <w:rPr>
          <w:lang w:val="en-US"/>
        </w:rPr>
        <w:t>şiirsel</w:t>
      </w:r>
      <w:proofErr w:type="spellEnd"/>
      <w:r w:rsidRPr="00D301C5">
        <w:rPr>
          <w:lang w:val="en-US"/>
        </w:rPr>
        <w:t xml:space="preserve">” </w:t>
      </w:r>
      <w:proofErr w:type="spellStart"/>
      <w:r w:rsidRPr="00D301C5">
        <w:rPr>
          <w:lang w:val="en-US"/>
        </w:rPr>
        <w:t>olabileceğini</w:t>
      </w:r>
      <w:proofErr w:type="spellEnd"/>
      <w:r w:rsidRPr="00D301C5">
        <w:rPr>
          <w:lang w:val="en-US"/>
        </w:rPr>
        <w:t xml:space="preserve">, </w:t>
      </w:r>
      <w:proofErr w:type="spellStart"/>
      <w:r w:rsidRPr="00D301C5">
        <w:rPr>
          <w:lang w:val="en-US"/>
        </w:rPr>
        <w:t>ancak</w:t>
      </w:r>
      <w:proofErr w:type="spellEnd"/>
      <w:r w:rsidRPr="00D301C5">
        <w:rPr>
          <w:lang w:val="en-US"/>
        </w:rPr>
        <w:t xml:space="preserve"> </w:t>
      </w:r>
      <w:proofErr w:type="spellStart"/>
      <w:r w:rsidRPr="00D301C5">
        <w:rPr>
          <w:lang w:val="en-US"/>
        </w:rPr>
        <w:t>anayasal</w:t>
      </w:r>
      <w:proofErr w:type="spellEnd"/>
      <w:r w:rsidRPr="00D301C5">
        <w:rPr>
          <w:lang w:val="en-US"/>
        </w:rPr>
        <w:t xml:space="preserve"> </w:t>
      </w:r>
      <w:proofErr w:type="spellStart"/>
      <w:r w:rsidRPr="00D301C5">
        <w:rPr>
          <w:lang w:val="en-US"/>
        </w:rPr>
        <w:t>açıdan</w:t>
      </w:r>
      <w:proofErr w:type="spellEnd"/>
      <w:r w:rsidRPr="00D301C5">
        <w:rPr>
          <w:lang w:val="en-US"/>
        </w:rPr>
        <w:t xml:space="preserve"> </w:t>
      </w:r>
      <w:proofErr w:type="spellStart"/>
      <w:r w:rsidRPr="00D301C5">
        <w:rPr>
          <w:lang w:val="en-US"/>
        </w:rPr>
        <w:t>ilgili</w:t>
      </w:r>
      <w:proofErr w:type="spellEnd"/>
      <w:r w:rsidRPr="00D301C5">
        <w:rPr>
          <w:lang w:val="en-US"/>
        </w:rPr>
        <w:t xml:space="preserve"> </w:t>
      </w:r>
      <w:proofErr w:type="spellStart"/>
      <w:r w:rsidRPr="00D301C5">
        <w:rPr>
          <w:lang w:val="en-US"/>
        </w:rPr>
        <w:t>olmadığını</w:t>
      </w:r>
      <w:proofErr w:type="spellEnd"/>
      <w:r w:rsidRPr="00D301C5">
        <w:rPr>
          <w:lang w:val="en-US"/>
        </w:rPr>
        <w:t xml:space="preserve"> </w:t>
      </w:r>
      <w:proofErr w:type="spellStart"/>
      <w:r w:rsidRPr="00D301C5">
        <w:rPr>
          <w:lang w:val="en-US"/>
        </w:rPr>
        <w:t>belirtmektedir</w:t>
      </w:r>
      <w:proofErr w:type="spellEnd"/>
      <w:r w:rsidRPr="00D301C5">
        <w:rPr>
          <w:lang w:val="en-US"/>
        </w:rPr>
        <w:t>).</w:t>
      </w:r>
    </w:p>
  </w:footnote>
  <w:footnote w:id="56">
    <w:p w14:paraId="703E8A7E" w14:textId="2FBCBB92" w:rsidR="00D301C5" w:rsidRPr="00D301C5" w:rsidRDefault="00D301C5" w:rsidP="00D301C5">
      <w:pPr>
        <w:pStyle w:val="Dipnot"/>
        <w:rPr>
          <w:lang w:val="en-US"/>
        </w:rPr>
      </w:pPr>
      <w:r w:rsidRPr="00D301C5">
        <w:rPr>
          <w:rStyle w:val="FootnoteReference"/>
        </w:rPr>
        <w:footnoteRef/>
      </w:r>
      <w:r w:rsidRPr="00D301C5">
        <w:t xml:space="preserve"> </w:t>
      </w:r>
      <w:r w:rsidRPr="00D301C5">
        <w:tab/>
      </w:r>
      <w:r w:rsidRPr="00D301C5">
        <w:t xml:space="preserve">56 Bkz. örneğin, William H. </w:t>
      </w:r>
      <w:proofErr w:type="spellStart"/>
      <w:r w:rsidRPr="00D301C5">
        <w:t>Rehnquist</w:t>
      </w:r>
      <w:proofErr w:type="spellEnd"/>
      <w:r w:rsidRPr="00D301C5">
        <w:t xml:space="preserve">, </w:t>
      </w:r>
      <w:r w:rsidRPr="00D301C5">
        <w:rPr>
          <w:i/>
          <w:iCs/>
        </w:rPr>
        <w:t>Federal Mahkemelerin Geleceği</w:t>
      </w:r>
      <w:r w:rsidRPr="00D301C5">
        <w:t xml:space="preserve"> (</w:t>
      </w:r>
      <w:proofErr w:type="spellStart"/>
      <w:r w:rsidRPr="00D301C5">
        <w:t>The</w:t>
      </w:r>
      <w:proofErr w:type="spellEnd"/>
      <w:r w:rsidRPr="00D301C5">
        <w:t xml:space="preserve"> </w:t>
      </w:r>
      <w:proofErr w:type="spellStart"/>
      <w:r w:rsidRPr="00D301C5">
        <w:t>Future</w:t>
      </w:r>
      <w:proofErr w:type="spellEnd"/>
      <w:r w:rsidRPr="00D301C5">
        <w:t xml:space="preserve"> of </w:t>
      </w:r>
      <w:proofErr w:type="spellStart"/>
      <w:r w:rsidRPr="00D301C5">
        <w:t>the</w:t>
      </w:r>
      <w:proofErr w:type="spellEnd"/>
      <w:r w:rsidRPr="00D301C5">
        <w:t xml:space="preserve"> Federal </w:t>
      </w:r>
      <w:proofErr w:type="spellStart"/>
      <w:r w:rsidRPr="00D301C5">
        <w:t>Courts</w:t>
      </w:r>
      <w:proofErr w:type="spellEnd"/>
      <w:r w:rsidRPr="00D301C5">
        <w:t xml:space="preserve">), 46 AM. U. L. REV. 263, 274 (1996) (bağımsız yargıyı, “bugün hükümet sistemimizin en değerli unsurlarından biri” olarak tanımlamaktadır). Bu fikirlerin erken dönem evrimi ve bunlara karşılık gelen kurumsal düzenlemelerin en kapsamlı analizi için bkz. Scott Douglas </w:t>
      </w:r>
      <w:proofErr w:type="spellStart"/>
      <w:r w:rsidRPr="00D301C5">
        <w:t>Gerber</w:t>
      </w:r>
      <w:proofErr w:type="spellEnd"/>
      <w:r w:rsidRPr="00D301C5">
        <w:t xml:space="preserve">, A </w:t>
      </w:r>
      <w:proofErr w:type="spellStart"/>
      <w:r w:rsidRPr="00D301C5">
        <w:t>Distinct</w:t>
      </w:r>
      <w:proofErr w:type="spellEnd"/>
      <w:r w:rsidRPr="00D301C5">
        <w:t xml:space="preserve"> </w:t>
      </w:r>
      <w:proofErr w:type="spellStart"/>
      <w:r w:rsidRPr="00D301C5">
        <w:t>Judicial</w:t>
      </w:r>
      <w:proofErr w:type="spellEnd"/>
      <w:r w:rsidRPr="00D301C5">
        <w:t xml:space="preserve"> </w:t>
      </w:r>
      <w:proofErr w:type="spellStart"/>
      <w:r w:rsidRPr="00D301C5">
        <w:t>Power</w:t>
      </w:r>
      <w:proofErr w:type="spellEnd"/>
      <w:r w:rsidRPr="00D301C5">
        <w:t xml:space="preserve">: </w:t>
      </w:r>
      <w:proofErr w:type="spellStart"/>
      <w:r w:rsidRPr="00D301C5">
        <w:t>The</w:t>
      </w:r>
      <w:proofErr w:type="spellEnd"/>
      <w:r w:rsidRPr="00D301C5">
        <w:t xml:space="preserve"> </w:t>
      </w:r>
      <w:proofErr w:type="spellStart"/>
      <w:r w:rsidRPr="00D301C5">
        <w:t>Origins</w:t>
      </w:r>
      <w:proofErr w:type="spellEnd"/>
      <w:r w:rsidRPr="00D301C5">
        <w:t xml:space="preserve"> of an </w:t>
      </w:r>
      <w:proofErr w:type="spellStart"/>
      <w:r w:rsidRPr="00D301C5">
        <w:t>Independent</w:t>
      </w:r>
      <w:proofErr w:type="spellEnd"/>
      <w:r w:rsidRPr="00D301C5">
        <w:t xml:space="preserve"> </w:t>
      </w:r>
      <w:proofErr w:type="spellStart"/>
      <w:r w:rsidRPr="00D301C5">
        <w:t>Judiciary</w:t>
      </w:r>
      <w:proofErr w:type="spellEnd"/>
      <w:r w:rsidRPr="00D301C5">
        <w:t>, 1606-1787 (2011).</w:t>
      </w:r>
    </w:p>
  </w:footnote>
  <w:footnote w:id="57">
    <w:p w14:paraId="122AE15E" w14:textId="3240E395" w:rsidR="00D301C5" w:rsidRPr="00D301C5" w:rsidRDefault="00D301C5" w:rsidP="00D301C5">
      <w:pPr>
        <w:pStyle w:val="Dipnot"/>
        <w:rPr>
          <w:lang w:val="en-US"/>
        </w:rPr>
      </w:pPr>
      <w:r>
        <w:rPr>
          <w:rStyle w:val="FootnoteReference"/>
        </w:rPr>
        <w:footnoteRef/>
      </w:r>
      <w:r>
        <w:t xml:space="preserve"> </w:t>
      </w:r>
      <w:r w:rsidRPr="00D301C5">
        <w:tab/>
      </w:r>
      <w:r w:rsidRPr="00D301C5">
        <w:t>57 ABD Anayasası, madde III, § 1.</w:t>
      </w:r>
    </w:p>
  </w:footnote>
  <w:footnote w:id="58">
    <w:p w14:paraId="7E105D4C" w14:textId="359F3E4E" w:rsidR="00D301C5" w:rsidRPr="00D301C5" w:rsidRDefault="00D301C5" w:rsidP="00D301C5">
      <w:pPr>
        <w:pStyle w:val="Dipnot"/>
        <w:rPr>
          <w:lang w:val="en-US"/>
        </w:rPr>
      </w:pPr>
      <w:r>
        <w:rPr>
          <w:rStyle w:val="FootnoteReference"/>
        </w:rPr>
        <w:footnoteRef/>
      </w:r>
      <w:r>
        <w:t xml:space="preserve"> </w:t>
      </w:r>
      <w:r>
        <w:tab/>
      </w:r>
      <w:r w:rsidRPr="00D301C5">
        <w:t xml:space="preserve">59 Bu konuda en dikkat çekici çalışmalar Larry </w:t>
      </w:r>
      <w:proofErr w:type="spellStart"/>
      <w:r w:rsidRPr="00D301C5">
        <w:t>Kramer’a</w:t>
      </w:r>
      <w:proofErr w:type="spellEnd"/>
      <w:r w:rsidRPr="00D301C5">
        <w:t xml:space="preserve"> (bazı durumlarda John </w:t>
      </w:r>
      <w:proofErr w:type="spellStart"/>
      <w:r w:rsidRPr="00D301C5">
        <w:t>Ferejohn</w:t>
      </w:r>
      <w:proofErr w:type="spellEnd"/>
      <w:r w:rsidRPr="00D301C5">
        <w:t xml:space="preserve"> ile birlikte) aittir. </w:t>
      </w:r>
      <w:r w:rsidRPr="00D301C5">
        <w:rPr>
          <w:i/>
          <w:iCs/>
        </w:rPr>
        <w:t>Bkz. örneğin</w:t>
      </w:r>
      <w:r w:rsidRPr="00D301C5">
        <w:t xml:space="preserve">, </w:t>
      </w:r>
      <w:r w:rsidRPr="00D301C5">
        <w:rPr>
          <w:b/>
          <w:bCs/>
        </w:rPr>
        <w:t xml:space="preserve">Larry D. Kramer, </w:t>
      </w:r>
      <w:proofErr w:type="spellStart"/>
      <w:r w:rsidRPr="00D301C5">
        <w:rPr>
          <w:b/>
          <w:bCs/>
        </w:rPr>
        <w:t>The</w:t>
      </w:r>
      <w:proofErr w:type="spellEnd"/>
      <w:r w:rsidRPr="00D301C5">
        <w:rPr>
          <w:b/>
          <w:bCs/>
        </w:rPr>
        <w:t xml:space="preserve"> People </w:t>
      </w:r>
      <w:proofErr w:type="spellStart"/>
      <w:r w:rsidRPr="00D301C5">
        <w:rPr>
          <w:b/>
          <w:bCs/>
        </w:rPr>
        <w:t>Themselves</w:t>
      </w:r>
      <w:proofErr w:type="spellEnd"/>
      <w:r w:rsidRPr="00D301C5">
        <w:rPr>
          <w:b/>
          <w:bCs/>
        </w:rPr>
        <w:t xml:space="preserve">: Popular </w:t>
      </w:r>
      <w:proofErr w:type="spellStart"/>
      <w:r w:rsidRPr="00D301C5">
        <w:rPr>
          <w:b/>
          <w:bCs/>
        </w:rPr>
        <w:t>Constitutionalism</w:t>
      </w:r>
      <w:proofErr w:type="spellEnd"/>
      <w:r w:rsidRPr="00D301C5">
        <w:rPr>
          <w:b/>
          <w:bCs/>
        </w:rPr>
        <w:t xml:space="preserve"> </w:t>
      </w:r>
      <w:proofErr w:type="spellStart"/>
      <w:r w:rsidRPr="00D301C5">
        <w:rPr>
          <w:b/>
          <w:bCs/>
        </w:rPr>
        <w:t>and</w:t>
      </w:r>
      <w:proofErr w:type="spellEnd"/>
      <w:r w:rsidRPr="00D301C5">
        <w:rPr>
          <w:b/>
          <w:bCs/>
        </w:rPr>
        <w:t xml:space="preserve"> </w:t>
      </w:r>
      <w:proofErr w:type="spellStart"/>
      <w:r w:rsidRPr="00D301C5">
        <w:rPr>
          <w:b/>
          <w:bCs/>
        </w:rPr>
        <w:t>Judicial</w:t>
      </w:r>
      <w:proofErr w:type="spellEnd"/>
      <w:r w:rsidRPr="00D301C5">
        <w:rPr>
          <w:b/>
          <w:bCs/>
        </w:rPr>
        <w:t xml:space="preserve"> </w:t>
      </w:r>
      <w:proofErr w:type="spellStart"/>
      <w:r w:rsidRPr="00D301C5">
        <w:rPr>
          <w:b/>
          <w:bCs/>
        </w:rPr>
        <w:t>Review</w:t>
      </w:r>
      <w:proofErr w:type="spellEnd"/>
      <w:r w:rsidRPr="00D301C5">
        <w:t xml:space="preserve"> 7-8 (2004); John A. </w:t>
      </w:r>
      <w:proofErr w:type="spellStart"/>
      <w:r w:rsidRPr="00D301C5">
        <w:t>Ferejohn</w:t>
      </w:r>
      <w:proofErr w:type="spellEnd"/>
      <w:r w:rsidRPr="00D301C5">
        <w:t xml:space="preserve"> &amp; Larry D. Kramer, </w:t>
      </w:r>
      <w:proofErr w:type="spellStart"/>
      <w:r w:rsidRPr="00D301C5">
        <w:rPr>
          <w:b/>
          <w:bCs/>
        </w:rPr>
        <w:t>Independent</w:t>
      </w:r>
      <w:proofErr w:type="spellEnd"/>
      <w:r w:rsidRPr="00D301C5">
        <w:rPr>
          <w:b/>
          <w:bCs/>
        </w:rPr>
        <w:t xml:space="preserve"> </w:t>
      </w:r>
      <w:proofErr w:type="spellStart"/>
      <w:r w:rsidRPr="00D301C5">
        <w:rPr>
          <w:b/>
          <w:bCs/>
        </w:rPr>
        <w:t>Judges</w:t>
      </w:r>
      <w:proofErr w:type="spellEnd"/>
      <w:r w:rsidRPr="00D301C5">
        <w:rPr>
          <w:b/>
          <w:bCs/>
        </w:rPr>
        <w:t xml:space="preserve">, </w:t>
      </w:r>
      <w:proofErr w:type="spellStart"/>
      <w:r w:rsidRPr="00D301C5">
        <w:rPr>
          <w:b/>
          <w:bCs/>
        </w:rPr>
        <w:t>Dependent</w:t>
      </w:r>
      <w:proofErr w:type="spellEnd"/>
      <w:r w:rsidRPr="00D301C5">
        <w:rPr>
          <w:b/>
          <w:bCs/>
        </w:rPr>
        <w:t xml:space="preserve"> </w:t>
      </w:r>
      <w:proofErr w:type="spellStart"/>
      <w:r w:rsidRPr="00D301C5">
        <w:rPr>
          <w:b/>
          <w:bCs/>
        </w:rPr>
        <w:t>Judiciary</w:t>
      </w:r>
      <w:proofErr w:type="spellEnd"/>
      <w:r w:rsidRPr="00D301C5">
        <w:rPr>
          <w:b/>
          <w:bCs/>
        </w:rPr>
        <w:t xml:space="preserve">: </w:t>
      </w:r>
      <w:proofErr w:type="spellStart"/>
      <w:r w:rsidRPr="00D301C5">
        <w:rPr>
          <w:b/>
          <w:bCs/>
        </w:rPr>
        <w:t>Institutionalizing</w:t>
      </w:r>
      <w:proofErr w:type="spellEnd"/>
      <w:r w:rsidRPr="00D301C5">
        <w:rPr>
          <w:b/>
          <w:bCs/>
        </w:rPr>
        <w:t xml:space="preserve"> </w:t>
      </w:r>
      <w:proofErr w:type="spellStart"/>
      <w:r w:rsidRPr="00D301C5">
        <w:rPr>
          <w:b/>
          <w:bCs/>
        </w:rPr>
        <w:t>Judicial</w:t>
      </w:r>
      <w:proofErr w:type="spellEnd"/>
      <w:r w:rsidRPr="00D301C5">
        <w:rPr>
          <w:b/>
          <w:bCs/>
        </w:rPr>
        <w:t xml:space="preserve"> </w:t>
      </w:r>
      <w:proofErr w:type="spellStart"/>
      <w:r w:rsidRPr="00D301C5">
        <w:rPr>
          <w:b/>
          <w:bCs/>
        </w:rPr>
        <w:t>Restraint</w:t>
      </w:r>
      <w:proofErr w:type="spellEnd"/>
      <w:r w:rsidRPr="00D301C5">
        <w:t xml:space="preserve">, 77 </w:t>
      </w:r>
      <w:r w:rsidRPr="00D301C5">
        <w:rPr>
          <w:b/>
          <w:bCs/>
        </w:rPr>
        <w:t>N.Y.U. L. REV.</w:t>
      </w:r>
      <w:r w:rsidRPr="00D301C5">
        <w:t xml:space="preserve"> 962, 1038 (2002); Larry D. Kramer, </w:t>
      </w:r>
      <w:proofErr w:type="spellStart"/>
      <w:r w:rsidRPr="00D301C5">
        <w:rPr>
          <w:b/>
          <w:bCs/>
        </w:rPr>
        <w:t>The</w:t>
      </w:r>
      <w:proofErr w:type="spellEnd"/>
      <w:r w:rsidRPr="00D301C5">
        <w:rPr>
          <w:b/>
          <w:bCs/>
        </w:rPr>
        <w:t xml:space="preserve"> </w:t>
      </w:r>
      <w:proofErr w:type="spellStart"/>
      <w:r w:rsidRPr="00D301C5">
        <w:rPr>
          <w:b/>
          <w:bCs/>
        </w:rPr>
        <w:t>Supreme</w:t>
      </w:r>
      <w:proofErr w:type="spellEnd"/>
      <w:r w:rsidRPr="00D301C5">
        <w:rPr>
          <w:b/>
          <w:bCs/>
        </w:rPr>
        <w:t xml:space="preserve"> Court 2000 </w:t>
      </w:r>
      <w:proofErr w:type="spellStart"/>
      <w:r w:rsidRPr="00D301C5">
        <w:rPr>
          <w:b/>
          <w:bCs/>
        </w:rPr>
        <w:t>Term</w:t>
      </w:r>
      <w:proofErr w:type="spellEnd"/>
      <w:r w:rsidRPr="00D301C5">
        <w:rPr>
          <w:b/>
          <w:bCs/>
        </w:rPr>
        <w:t>—</w:t>
      </w:r>
      <w:proofErr w:type="spellStart"/>
      <w:r w:rsidRPr="00D301C5">
        <w:rPr>
          <w:b/>
          <w:bCs/>
        </w:rPr>
        <w:t>Foreword</w:t>
      </w:r>
      <w:proofErr w:type="spellEnd"/>
      <w:r w:rsidRPr="00D301C5">
        <w:rPr>
          <w:b/>
          <w:bCs/>
        </w:rPr>
        <w:t xml:space="preserve">: </w:t>
      </w:r>
      <w:proofErr w:type="spellStart"/>
      <w:r w:rsidRPr="00D301C5">
        <w:rPr>
          <w:b/>
          <w:bCs/>
        </w:rPr>
        <w:t>We</w:t>
      </w:r>
      <w:proofErr w:type="spellEnd"/>
      <w:r w:rsidRPr="00D301C5">
        <w:rPr>
          <w:b/>
          <w:bCs/>
        </w:rPr>
        <w:t xml:space="preserve"> </w:t>
      </w:r>
      <w:proofErr w:type="spellStart"/>
      <w:r w:rsidRPr="00D301C5">
        <w:rPr>
          <w:b/>
          <w:bCs/>
        </w:rPr>
        <w:t>the</w:t>
      </w:r>
      <w:proofErr w:type="spellEnd"/>
      <w:r w:rsidRPr="00D301C5">
        <w:rPr>
          <w:b/>
          <w:bCs/>
        </w:rPr>
        <w:t xml:space="preserve"> Court</w:t>
      </w:r>
      <w:r w:rsidRPr="00D301C5">
        <w:t xml:space="preserve">, 115 </w:t>
      </w:r>
      <w:r w:rsidRPr="00D301C5">
        <w:rPr>
          <w:b/>
          <w:bCs/>
        </w:rPr>
        <w:t>HARV. L. REV.</w:t>
      </w:r>
      <w:r w:rsidRPr="00D301C5">
        <w:t xml:space="preserve"> 5, 6 (2001) (bundan sonra </w:t>
      </w:r>
      <w:r w:rsidRPr="00D301C5">
        <w:rPr>
          <w:b/>
          <w:bCs/>
        </w:rPr>
        <w:t xml:space="preserve">Kramer, </w:t>
      </w:r>
      <w:proofErr w:type="spellStart"/>
      <w:r w:rsidRPr="00D301C5">
        <w:rPr>
          <w:b/>
          <w:bCs/>
        </w:rPr>
        <w:t>We</w:t>
      </w:r>
      <w:proofErr w:type="spellEnd"/>
      <w:r w:rsidRPr="00D301C5">
        <w:rPr>
          <w:b/>
          <w:bCs/>
        </w:rPr>
        <w:t xml:space="preserve"> </w:t>
      </w:r>
      <w:proofErr w:type="spellStart"/>
      <w:r w:rsidRPr="00D301C5">
        <w:rPr>
          <w:b/>
          <w:bCs/>
        </w:rPr>
        <w:t>the</w:t>
      </w:r>
      <w:proofErr w:type="spellEnd"/>
      <w:r w:rsidRPr="00D301C5">
        <w:rPr>
          <w:b/>
          <w:bCs/>
        </w:rPr>
        <w:t xml:space="preserve"> Court</w:t>
      </w:r>
      <w:r w:rsidRPr="00D301C5">
        <w:t xml:space="preserve"> olarak anılacaktır).</w:t>
      </w:r>
    </w:p>
  </w:footnote>
  <w:footnote w:id="59">
    <w:p w14:paraId="280E9338" w14:textId="2EC6613E" w:rsidR="00D301C5" w:rsidRDefault="00D301C5" w:rsidP="00D301C5">
      <w:pPr>
        <w:pStyle w:val="Dipnot"/>
      </w:pPr>
      <w:r w:rsidRPr="00D301C5">
        <w:rPr>
          <w:rStyle w:val="FootnoteReference"/>
        </w:rPr>
        <w:footnoteRef/>
      </w:r>
      <w:r w:rsidRPr="00D301C5">
        <w:t xml:space="preserve"> </w:t>
      </w:r>
      <w:r w:rsidRPr="00D301C5">
        <w:tab/>
      </w:r>
      <w:r w:rsidRPr="00D301C5">
        <w:t xml:space="preserve">58 Bu noktada klasik başvuru kaynağı </w:t>
      </w:r>
      <w:proofErr w:type="spellStart"/>
      <w:r w:rsidRPr="00D301C5">
        <w:rPr>
          <w:i/>
          <w:iCs/>
        </w:rPr>
        <w:t>The</w:t>
      </w:r>
      <w:proofErr w:type="spellEnd"/>
      <w:r w:rsidRPr="00D301C5">
        <w:rPr>
          <w:i/>
          <w:iCs/>
        </w:rPr>
        <w:t xml:space="preserve"> Federalist</w:t>
      </w:r>
      <w:r w:rsidRPr="00D301C5">
        <w:t xml:space="preserve"> No. 78'dir (Alexander Hamilton); ayrıca bkz. genel olarak </w:t>
      </w:r>
      <w:proofErr w:type="spellStart"/>
      <w:r w:rsidRPr="00D301C5">
        <w:t>Gerber</w:t>
      </w:r>
      <w:proofErr w:type="spellEnd"/>
      <w:r w:rsidRPr="00D301C5">
        <w:t xml:space="preserve">, </w:t>
      </w:r>
      <w:proofErr w:type="spellStart"/>
      <w:r w:rsidRPr="00D301C5">
        <w:t>supra</w:t>
      </w:r>
      <w:proofErr w:type="spellEnd"/>
      <w:r w:rsidRPr="00D301C5">
        <w:t xml:space="preserve"> not 56.</w:t>
      </w:r>
    </w:p>
    <w:p w14:paraId="61CF61DF" w14:textId="77777777" w:rsidR="00D301C5" w:rsidRPr="00D301C5" w:rsidRDefault="00D301C5" w:rsidP="00D301C5">
      <w:pPr>
        <w:ind w:firstLine="0"/>
      </w:pPr>
    </w:p>
  </w:footnote>
  <w:footnote w:id="60">
    <w:p w14:paraId="7C5C7880" w14:textId="68C56BC6" w:rsidR="00517D68" w:rsidRPr="00517D68" w:rsidRDefault="00517D68" w:rsidP="00517D68">
      <w:pPr>
        <w:pStyle w:val="Dipnot"/>
        <w:rPr>
          <w:lang w:val="en-US"/>
        </w:rPr>
      </w:pPr>
      <w:r w:rsidRPr="00517D68">
        <w:rPr>
          <w:rStyle w:val="FootnoteReference"/>
        </w:rPr>
        <w:footnoteRef/>
      </w:r>
      <w:r w:rsidRPr="00517D68">
        <w:t xml:space="preserve"> </w:t>
      </w:r>
      <w:r w:rsidRPr="00517D68">
        <w:tab/>
      </w:r>
      <w:r w:rsidRPr="00517D68">
        <w:rPr>
          <w:lang w:val="en-US"/>
        </w:rPr>
        <w:t xml:space="preserve">⁶⁰ </w:t>
      </w:r>
      <w:proofErr w:type="spellStart"/>
      <w:r w:rsidRPr="00517D68">
        <w:rPr>
          <w:i/>
          <w:iCs/>
          <w:lang w:val="en-US"/>
        </w:rPr>
        <w:t>Bkz</w:t>
      </w:r>
      <w:proofErr w:type="spellEnd"/>
      <w:r w:rsidRPr="00517D68">
        <w:rPr>
          <w:i/>
          <w:iCs/>
          <w:lang w:val="en-US"/>
        </w:rPr>
        <w:t>. supra</w:t>
      </w:r>
      <w:r w:rsidRPr="00517D68">
        <w:rPr>
          <w:lang w:val="en-US"/>
        </w:rPr>
        <w:t xml:space="preserve"> not 59; </w:t>
      </w:r>
      <w:proofErr w:type="spellStart"/>
      <w:r w:rsidRPr="00517D68">
        <w:rPr>
          <w:lang w:val="en-US"/>
        </w:rPr>
        <w:t>ayrıca</w:t>
      </w:r>
      <w:proofErr w:type="spellEnd"/>
      <w:r w:rsidRPr="00517D68">
        <w:rPr>
          <w:lang w:val="en-US"/>
        </w:rPr>
        <w:t xml:space="preserve"> </w:t>
      </w:r>
      <w:proofErr w:type="spellStart"/>
      <w:r w:rsidRPr="00517D68">
        <w:rPr>
          <w:lang w:val="en-US"/>
        </w:rPr>
        <w:t>bkz</w:t>
      </w:r>
      <w:proofErr w:type="spellEnd"/>
      <w:r w:rsidRPr="00517D68">
        <w:rPr>
          <w:lang w:val="en-US"/>
        </w:rPr>
        <w:t xml:space="preserve">. </w:t>
      </w:r>
      <w:proofErr w:type="spellStart"/>
      <w:r w:rsidRPr="00517D68">
        <w:rPr>
          <w:lang w:val="en-US"/>
        </w:rPr>
        <w:t>genel</w:t>
      </w:r>
      <w:proofErr w:type="spellEnd"/>
      <w:r w:rsidRPr="00517D68">
        <w:rPr>
          <w:lang w:val="en-US"/>
        </w:rPr>
        <w:t xml:space="preserve"> </w:t>
      </w:r>
      <w:proofErr w:type="spellStart"/>
      <w:r w:rsidRPr="00517D68">
        <w:rPr>
          <w:lang w:val="en-US"/>
        </w:rPr>
        <w:t>olarak</w:t>
      </w:r>
      <w:proofErr w:type="spellEnd"/>
      <w:r w:rsidRPr="00517D68">
        <w:rPr>
          <w:lang w:val="en-US"/>
        </w:rPr>
        <w:t xml:space="preserve"> Stephen B. Burbank, The Architecture of Judicial Independence, 72 S. CAL. L. REV. 315 (1999) (</w:t>
      </w:r>
      <w:proofErr w:type="spellStart"/>
      <w:r w:rsidRPr="00517D68">
        <w:rPr>
          <w:lang w:val="en-US"/>
        </w:rPr>
        <w:t>yargı</w:t>
      </w:r>
      <w:proofErr w:type="spellEnd"/>
      <w:r w:rsidRPr="00517D68">
        <w:rPr>
          <w:lang w:val="en-US"/>
        </w:rPr>
        <w:t xml:space="preserve"> </w:t>
      </w:r>
      <w:proofErr w:type="spellStart"/>
      <w:r w:rsidRPr="00517D68">
        <w:rPr>
          <w:lang w:val="en-US"/>
        </w:rPr>
        <w:t>bağımsızlığı</w:t>
      </w:r>
      <w:proofErr w:type="spellEnd"/>
      <w:r w:rsidRPr="00517D68">
        <w:rPr>
          <w:lang w:val="en-US"/>
        </w:rPr>
        <w:t xml:space="preserve"> </w:t>
      </w:r>
      <w:proofErr w:type="spellStart"/>
      <w:r w:rsidRPr="00517D68">
        <w:rPr>
          <w:lang w:val="en-US"/>
        </w:rPr>
        <w:t>kavramını</w:t>
      </w:r>
      <w:proofErr w:type="spellEnd"/>
      <w:r w:rsidRPr="00517D68">
        <w:rPr>
          <w:lang w:val="en-US"/>
        </w:rPr>
        <w:t xml:space="preserve"> </w:t>
      </w:r>
      <w:proofErr w:type="spellStart"/>
      <w:r w:rsidRPr="00517D68">
        <w:rPr>
          <w:lang w:val="en-US"/>
        </w:rPr>
        <w:t>bileşenlerine</w:t>
      </w:r>
      <w:proofErr w:type="spellEnd"/>
      <w:r w:rsidRPr="00517D68">
        <w:rPr>
          <w:lang w:val="en-US"/>
        </w:rPr>
        <w:t xml:space="preserve"> </w:t>
      </w:r>
      <w:proofErr w:type="spellStart"/>
      <w:r w:rsidRPr="00517D68">
        <w:rPr>
          <w:lang w:val="en-US"/>
        </w:rPr>
        <w:t>ayırarak</w:t>
      </w:r>
      <w:proofErr w:type="spellEnd"/>
      <w:r w:rsidRPr="00517D68">
        <w:rPr>
          <w:lang w:val="en-US"/>
        </w:rPr>
        <w:t xml:space="preserve"> her </w:t>
      </w:r>
      <w:proofErr w:type="spellStart"/>
      <w:r w:rsidRPr="00517D68">
        <w:rPr>
          <w:lang w:val="en-US"/>
        </w:rPr>
        <w:t>birini</w:t>
      </w:r>
      <w:proofErr w:type="spellEnd"/>
      <w:r w:rsidRPr="00517D68">
        <w:rPr>
          <w:lang w:val="en-US"/>
        </w:rPr>
        <w:t xml:space="preserve"> </w:t>
      </w:r>
      <w:proofErr w:type="spellStart"/>
      <w:r w:rsidRPr="00517D68">
        <w:rPr>
          <w:lang w:val="en-US"/>
        </w:rPr>
        <w:t>tarihsel</w:t>
      </w:r>
      <w:proofErr w:type="spellEnd"/>
      <w:r w:rsidRPr="00517D68">
        <w:rPr>
          <w:lang w:val="en-US"/>
        </w:rPr>
        <w:t xml:space="preserve"> </w:t>
      </w:r>
      <w:proofErr w:type="spellStart"/>
      <w:r w:rsidRPr="00517D68">
        <w:rPr>
          <w:lang w:val="en-US"/>
        </w:rPr>
        <w:t>bağlamda</w:t>
      </w:r>
      <w:proofErr w:type="spellEnd"/>
      <w:r w:rsidRPr="00517D68">
        <w:rPr>
          <w:lang w:val="en-US"/>
        </w:rPr>
        <w:t xml:space="preserve"> </w:t>
      </w:r>
      <w:proofErr w:type="spellStart"/>
      <w:r w:rsidRPr="00517D68">
        <w:rPr>
          <w:lang w:val="en-US"/>
        </w:rPr>
        <w:t>incelemekte</w:t>
      </w:r>
      <w:proofErr w:type="spellEnd"/>
      <w:r w:rsidRPr="00517D68">
        <w:rPr>
          <w:lang w:val="en-US"/>
        </w:rPr>
        <w:t xml:space="preserve"> </w:t>
      </w:r>
      <w:proofErr w:type="spellStart"/>
      <w:r w:rsidRPr="00517D68">
        <w:rPr>
          <w:lang w:val="en-US"/>
        </w:rPr>
        <w:t>ve</w:t>
      </w:r>
      <w:proofErr w:type="spellEnd"/>
      <w:r w:rsidRPr="00517D68">
        <w:rPr>
          <w:lang w:val="en-US"/>
        </w:rPr>
        <w:t xml:space="preserve"> </w:t>
      </w:r>
      <w:proofErr w:type="spellStart"/>
      <w:r w:rsidRPr="00517D68">
        <w:rPr>
          <w:lang w:val="en-US"/>
        </w:rPr>
        <w:t>anayasal</w:t>
      </w:r>
      <w:proofErr w:type="spellEnd"/>
      <w:r w:rsidRPr="00517D68">
        <w:rPr>
          <w:lang w:val="en-US"/>
        </w:rPr>
        <w:t xml:space="preserve"> </w:t>
      </w:r>
      <w:proofErr w:type="spellStart"/>
      <w:r w:rsidRPr="00517D68">
        <w:rPr>
          <w:lang w:val="en-US"/>
        </w:rPr>
        <w:t>kültürümüzde</w:t>
      </w:r>
      <w:proofErr w:type="spellEnd"/>
      <w:r w:rsidRPr="00517D68">
        <w:rPr>
          <w:lang w:val="en-US"/>
        </w:rPr>
        <w:t xml:space="preserve"> </w:t>
      </w:r>
      <w:proofErr w:type="spellStart"/>
      <w:r w:rsidRPr="00517D68">
        <w:rPr>
          <w:lang w:val="en-US"/>
        </w:rPr>
        <w:t>yargı</w:t>
      </w:r>
      <w:proofErr w:type="spellEnd"/>
      <w:r w:rsidRPr="00517D68">
        <w:rPr>
          <w:lang w:val="en-US"/>
        </w:rPr>
        <w:t xml:space="preserve"> </w:t>
      </w:r>
      <w:proofErr w:type="spellStart"/>
      <w:r w:rsidRPr="00517D68">
        <w:rPr>
          <w:lang w:val="en-US"/>
        </w:rPr>
        <w:t>bağımsızlığının</w:t>
      </w:r>
      <w:proofErr w:type="spellEnd"/>
      <w:r w:rsidRPr="00517D68">
        <w:rPr>
          <w:lang w:val="en-US"/>
        </w:rPr>
        <w:t xml:space="preserve"> </w:t>
      </w:r>
      <w:proofErr w:type="spellStart"/>
      <w:r w:rsidRPr="00517D68">
        <w:rPr>
          <w:lang w:val="en-US"/>
        </w:rPr>
        <w:t>özünde</w:t>
      </w:r>
      <w:proofErr w:type="spellEnd"/>
      <w:r w:rsidRPr="00517D68">
        <w:rPr>
          <w:lang w:val="en-US"/>
        </w:rPr>
        <w:t xml:space="preserve"> var </w:t>
      </w:r>
      <w:proofErr w:type="spellStart"/>
      <w:r w:rsidRPr="00517D68">
        <w:rPr>
          <w:lang w:val="en-US"/>
        </w:rPr>
        <w:t>olan</w:t>
      </w:r>
      <w:proofErr w:type="spellEnd"/>
      <w:r w:rsidRPr="00517D68">
        <w:rPr>
          <w:lang w:val="en-US"/>
        </w:rPr>
        <w:t xml:space="preserve"> </w:t>
      </w:r>
      <w:proofErr w:type="spellStart"/>
      <w:r w:rsidRPr="00517D68">
        <w:rPr>
          <w:lang w:val="en-US"/>
        </w:rPr>
        <w:t>ya</w:t>
      </w:r>
      <w:proofErr w:type="spellEnd"/>
      <w:r w:rsidRPr="00517D68">
        <w:rPr>
          <w:lang w:val="en-US"/>
        </w:rPr>
        <w:t xml:space="preserve"> da </w:t>
      </w:r>
      <w:proofErr w:type="spellStart"/>
      <w:r w:rsidRPr="00517D68">
        <w:rPr>
          <w:lang w:val="en-US"/>
        </w:rPr>
        <w:t>genel</w:t>
      </w:r>
      <w:proofErr w:type="spellEnd"/>
      <w:r w:rsidRPr="00517D68">
        <w:rPr>
          <w:lang w:val="en-US"/>
        </w:rPr>
        <w:t xml:space="preserve"> </w:t>
      </w:r>
      <w:proofErr w:type="spellStart"/>
      <w:r w:rsidRPr="00517D68">
        <w:rPr>
          <w:lang w:val="en-US"/>
        </w:rPr>
        <w:t>kabul</w:t>
      </w:r>
      <w:proofErr w:type="spellEnd"/>
      <w:r w:rsidRPr="00517D68">
        <w:rPr>
          <w:lang w:val="en-US"/>
        </w:rPr>
        <w:t xml:space="preserve"> </w:t>
      </w:r>
      <w:proofErr w:type="spellStart"/>
      <w:r w:rsidRPr="00517D68">
        <w:rPr>
          <w:lang w:val="en-US"/>
        </w:rPr>
        <w:t>gören</w:t>
      </w:r>
      <w:proofErr w:type="spellEnd"/>
      <w:r w:rsidRPr="00517D68">
        <w:rPr>
          <w:lang w:val="en-US"/>
        </w:rPr>
        <w:t xml:space="preserve"> </w:t>
      </w:r>
      <w:proofErr w:type="spellStart"/>
      <w:r w:rsidRPr="00517D68">
        <w:rPr>
          <w:lang w:val="en-US"/>
        </w:rPr>
        <w:t>temel</w:t>
      </w:r>
      <w:proofErr w:type="spellEnd"/>
      <w:r w:rsidRPr="00517D68">
        <w:rPr>
          <w:lang w:val="en-US"/>
        </w:rPr>
        <w:t xml:space="preserve"> </w:t>
      </w:r>
      <w:proofErr w:type="spellStart"/>
      <w:r w:rsidRPr="00517D68">
        <w:rPr>
          <w:lang w:val="en-US"/>
        </w:rPr>
        <w:t>bir</w:t>
      </w:r>
      <w:proofErr w:type="spellEnd"/>
      <w:r w:rsidRPr="00517D68">
        <w:rPr>
          <w:lang w:val="en-US"/>
        </w:rPr>
        <w:t xml:space="preserve"> </w:t>
      </w:r>
      <w:proofErr w:type="spellStart"/>
      <w:r w:rsidRPr="00517D68">
        <w:rPr>
          <w:lang w:val="en-US"/>
        </w:rPr>
        <w:t>anlayış</w:t>
      </w:r>
      <w:proofErr w:type="spellEnd"/>
      <w:r w:rsidRPr="00517D68">
        <w:rPr>
          <w:lang w:val="en-US"/>
        </w:rPr>
        <w:t xml:space="preserve"> </w:t>
      </w:r>
      <w:proofErr w:type="spellStart"/>
      <w:r w:rsidRPr="00517D68">
        <w:rPr>
          <w:lang w:val="en-US"/>
        </w:rPr>
        <w:t>olup</w:t>
      </w:r>
      <w:proofErr w:type="spellEnd"/>
      <w:r w:rsidRPr="00517D68">
        <w:rPr>
          <w:lang w:val="en-US"/>
        </w:rPr>
        <w:t xml:space="preserve"> </w:t>
      </w:r>
      <w:proofErr w:type="spellStart"/>
      <w:r w:rsidRPr="00517D68">
        <w:rPr>
          <w:lang w:val="en-US"/>
        </w:rPr>
        <w:t>olmadığını</w:t>
      </w:r>
      <w:proofErr w:type="spellEnd"/>
      <w:r w:rsidRPr="00517D68">
        <w:rPr>
          <w:lang w:val="en-US"/>
        </w:rPr>
        <w:t xml:space="preserve"> </w:t>
      </w:r>
      <w:proofErr w:type="spellStart"/>
      <w:r w:rsidRPr="00517D68">
        <w:rPr>
          <w:lang w:val="en-US"/>
        </w:rPr>
        <w:t>belirlemeye</w:t>
      </w:r>
      <w:proofErr w:type="spellEnd"/>
      <w:r w:rsidRPr="00517D68">
        <w:rPr>
          <w:lang w:val="en-US"/>
        </w:rPr>
        <w:t xml:space="preserve"> </w:t>
      </w:r>
      <w:proofErr w:type="spellStart"/>
      <w:r w:rsidRPr="00517D68">
        <w:rPr>
          <w:lang w:val="en-US"/>
        </w:rPr>
        <w:t>çalışmaktadır</w:t>
      </w:r>
      <w:proofErr w:type="spellEnd"/>
      <w:r w:rsidRPr="00517D68">
        <w:rPr>
          <w:lang w:val="en-US"/>
        </w:rPr>
        <w:t>).</w:t>
      </w:r>
    </w:p>
  </w:footnote>
  <w:footnote w:id="61">
    <w:p w14:paraId="51B93FD2" w14:textId="29093EF4" w:rsidR="00517D68" w:rsidRPr="00517D68" w:rsidRDefault="00517D68" w:rsidP="00517D68">
      <w:pPr>
        <w:pStyle w:val="Dipnot"/>
        <w:rPr>
          <w:lang w:val="en-US"/>
        </w:rPr>
      </w:pPr>
      <w:r w:rsidRPr="00517D68">
        <w:rPr>
          <w:rStyle w:val="FootnoteReference"/>
        </w:rPr>
        <w:footnoteRef/>
      </w:r>
      <w:r w:rsidRPr="00517D68">
        <w:t xml:space="preserve"> </w:t>
      </w:r>
      <w:r w:rsidRPr="00517D68">
        <w:tab/>
      </w:r>
      <w:r w:rsidRPr="00517D68">
        <w:t xml:space="preserve">⁶¹ </w:t>
      </w:r>
      <w:r w:rsidRPr="00517D68">
        <w:rPr>
          <w:i/>
          <w:iCs/>
        </w:rPr>
        <w:t>Bkz. genel olarak</w:t>
      </w:r>
      <w:r w:rsidRPr="00517D68">
        <w:t xml:space="preserve"> Kramer, </w:t>
      </w:r>
      <w:proofErr w:type="spellStart"/>
      <w:r w:rsidRPr="00517D68">
        <w:t>We</w:t>
      </w:r>
      <w:proofErr w:type="spellEnd"/>
      <w:r w:rsidRPr="00517D68">
        <w:t xml:space="preserve"> </w:t>
      </w:r>
      <w:proofErr w:type="spellStart"/>
      <w:r w:rsidRPr="00517D68">
        <w:t>the</w:t>
      </w:r>
      <w:proofErr w:type="spellEnd"/>
      <w:r w:rsidRPr="00517D68">
        <w:t xml:space="preserve"> Court, </w:t>
      </w:r>
      <w:proofErr w:type="spellStart"/>
      <w:r w:rsidRPr="00517D68">
        <w:t>supra</w:t>
      </w:r>
      <w:proofErr w:type="spellEnd"/>
      <w:r w:rsidRPr="00517D68">
        <w:t xml:space="preserve"> not 59.</w:t>
      </w:r>
    </w:p>
  </w:footnote>
  <w:footnote w:id="62">
    <w:p w14:paraId="05C1674F" w14:textId="67A4F03A" w:rsidR="00517D68" w:rsidRPr="00517D68" w:rsidRDefault="00517D68" w:rsidP="00517D68">
      <w:pPr>
        <w:pStyle w:val="Dipnot"/>
      </w:pPr>
      <w:r w:rsidRPr="00517D68">
        <w:rPr>
          <w:rStyle w:val="FootnoteReference"/>
        </w:rPr>
        <w:footnoteRef/>
      </w:r>
      <w:r w:rsidRPr="00517D68">
        <w:t xml:space="preserve"> </w:t>
      </w:r>
      <w:r w:rsidRPr="00517D68">
        <w:tab/>
      </w:r>
      <w:r w:rsidRPr="00517D68">
        <w:t xml:space="preserve">⁶² ABD Anayasası, madde III, § 1. </w:t>
      </w:r>
      <w:r w:rsidRPr="00517D68">
        <w:rPr>
          <w:i/>
          <w:iCs/>
        </w:rPr>
        <w:t xml:space="preserve">Ayrıca bkz. </w:t>
      </w:r>
      <w:proofErr w:type="spellStart"/>
      <w:r w:rsidRPr="00517D68">
        <w:rPr>
          <w:i/>
          <w:iCs/>
        </w:rPr>
        <w:t>infra</w:t>
      </w:r>
      <w:proofErr w:type="spellEnd"/>
      <w:r w:rsidRPr="00517D68">
        <w:t xml:space="preserve"> not 68 ve ilgili metin (bu yetkinin en ünlü kullanımına ilişkin tartışma).</w:t>
      </w:r>
    </w:p>
  </w:footnote>
  <w:footnote w:id="63">
    <w:p w14:paraId="125B8019" w14:textId="56F4C75D" w:rsidR="00517D68" w:rsidRPr="00517D68" w:rsidRDefault="00517D68" w:rsidP="00517D68">
      <w:pPr>
        <w:pStyle w:val="Dipnot"/>
        <w:rPr>
          <w:lang w:val="en-US"/>
        </w:rPr>
      </w:pPr>
      <w:r w:rsidRPr="00517D68">
        <w:rPr>
          <w:rStyle w:val="FootnoteReference"/>
        </w:rPr>
        <w:footnoteRef/>
      </w:r>
      <w:r w:rsidRPr="00517D68">
        <w:t xml:space="preserve"> </w:t>
      </w:r>
      <w:r w:rsidRPr="00517D68">
        <w:tab/>
      </w:r>
      <w:r w:rsidRPr="00517D68">
        <w:t>⁶³ ABD Anayasası, madde I, § 8, bent 9; ABD Anayasası, madde III, § 1.</w:t>
      </w:r>
    </w:p>
  </w:footnote>
  <w:footnote w:id="64">
    <w:p w14:paraId="36060E54" w14:textId="67B573BE" w:rsidR="00517D68" w:rsidRPr="00517D68" w:rsidRDefault="00517D68" w:rsidP="00517D68">
      <w:pPr>
        <w:pStyle w:val="Dipnot"/>
        <w:rPr>
          <w:lang w:val="en-US"/>
        </w:rPr>
      </w:pPr>
      <w:r w:rsidRPr="00517D68">
        <w:rPr>
          <w:rStyle w:val="FootnoteReference"/>
        </w:rPr>
        <w:footnoteRef/>
      </w:r>
      <w:r w:rsidRPr="00517D68">
        <w:t xml:space="preserve"> </w:t>
      </w:r>
      <w:r w:rsidRPr="00517D68">
        <w:tab/>
      </w:r>
      <w:r w:rsidRPr="00517D68">
        <w:t>⁶⁴ ABD Anayasası, madde III, § 2.</w:t>
      </w:r>
    </w:p>
  </w:footnote>
  <w:footnote w:id="65">
    <w:p w14:paraId="716BE539" w14:textId="639CD299" w:rsidR="00517D68" w:rsidRPr="00517D68" w:rsidRDefault="00517D68" w:rsidP="00517D68">
      <w:pPr>
        <w:pStyle w:val="Dipnot"/>
        <w:rPr>
          <w:lang w:val="en-US"/>
        </w:rPr>
      </w:pPr>
      <w:r w:rsidRPr="00517D68">
        <w:rPr>
          <w:rStyle w:val="FootnoteReference"/>
        </w:rPr>
        <w:footnoteRef/>
      </w:r>
      <w:r w:rsidRPr="00517D68">
        <w:t xml:space="preserve">  </w:t>
      </w:r>
      <w:r w:rsidRPr="00517D68">
        <w:tab/>
      </w:r>
      <w:r w:rsidRPr="00517D68">
        <w:t>⁶⁵ ABD Anayasası, madde III, § 1.</w:t>
      </w:r>
    </w:p>
  </w:footnote>
  <w:footnote w:id="66">
    <w:p w14:paraId="3B3095CD" w14:textId="6F98DA8C" w:rsidR="00517D68" w:rsidRPr="00517D68" w:rsidRDefault="00517D68" w:rsidP="00517D68">
      <w:pPr>
        <w:pStyle w:val="Dipnot"/>
        <w:rPr>
          <w:lang w:val="en-US"/>
        </w:rPr>
      </w:pPr>
      <w:r w:rsidRPr="00517D68">
        <w:rPr>
          <w:rStyle w:val="FootnoteReference"/>
        </w:rPr>
        <w:footnoteRef/>
      </w:r>
      <w:r w:rsidRPr="00517D68">
        <w:t xml:space="preserve"> </w:t>
      </w:r>
      <w:r w:rsidRPr="00517D68">
        <w:tab/>
      </w:r>
      <w:r w:rsidRPr="00517D68">
        <w:t>⁶⁶ ABD Anayasası, madde I, § 3.</w:t>
      </w:r>
    </w:p>
  </w:footnote>
  <w:footnote w:id="67">
    <w:p w14:paraId="3055C03D" w14:textId="109249E2" w:rsidR="007571F2" w:rsidRPr="007571F2" w:rsidRDefault="007571F2" w:rsidP="007571F2">
      <w:pPr>
        <w:pStyle w:val="Dipnot"/>
        <w:rPr>
          <w:lang w:val="en-US"/>
        </w:rPr>
      </w:pPr>
      <w:r>
        <w:rPr>
          <w:rStyle w:val="FootnoteReference"/>
        </w:rPr>
        <w:footnoteRef/>
      </w:r>
      <w:r>
        <w:t xml:space="preserve"> </w:t>
      </w:r>
      <w:r>
        <w:tab/>
      </w:r>
      <w:r w:rsidRPr="007571F2">
        <w:t xml:space="preserve">⁶⁷ </w:t>
      </w:r>
      <w:r w:rsidRPr="007571F2">
        <w:rPr>
          <w:i/>
          <w:iCs/>
        </w:rPr>
        <w:t>Bkz.</w:t>
      </w:r>
      <w:r w:rsidRPr="007571F2">
        <w:t xml:space="preserve"> Richard E. </w:t>
      </w:r>
      <w:proofErr w:type="spellStart"/>
      <w:r w:rsidRPr="007571F2">
        <w:t>Ellis</w:t>
      </w:r>
      <w:proofErr w:type="spellEnd"/>
      <w:r w:rsidRPr="007571F2">
        <w:t xml:space="preserve">, </w:t>
      </w:r>
      <w:proofErr w:type="spellStart"/>
      <w:r w:rsidRPr="007571F2">
        <w:t>The</w:t>
      </w:r>
      <w:proofErr w:type="spellEnd"/>
      <w:r w:rsidRPr="007571F2">
        <w:t xml:space="preserve"> </w:t>
      </w:r>
      <w:proofErr w:type="spellStart"/>
      <w:r w:rsidRPr="007571F2">
        <w:t>Jeffersonian</w:t>
      </w:r>
      <w:proofErr w:type="spellEnd"/>
      <w:r w:rsidRPr="007571F2">
        <w:t xml:space="preserve"> </w:t>
      </w:r>
      <w:proofErr w:type="spellStart"/>
      <w:r w:rsidRPr="007571F2">
        <w:t>Crisis</w:t>
      </w:r>
      <w:proofErr w:type="spellEnd"/>
      <w:r w:rsidRPr="007571F2">
        <w:t xml:space="preserve">: </w:t>
      </w:r>
      <w:proofErr w:type="spellStart"/>
      <w:r w:rsidRPr="007571F2">
        <w:t>Courts</w:t>
      </w:r>
      <w:proofErr w:type="spellEnd"/>
      <w:r w:rsidRPr="007571F2">
        <w:t xml:space="preserve"> </w:t>
      </w:r>
      <w:proofErr w:type="spellStart"/>
      <w:r w:rsidRPr="007571F2">
        <w:t>and</w:t>
      </w:r>
      <w:proofErr w:type="spellEnd"/>
      <w:r w:rsidRPr="007571F2">
        <w:t xml:space="preserve"> </w:t>
      </w:r>
      <w:proofErr w:type="spellStart"/>
      <w:r w:rsidRPr="007571F2">
        <w:t>Politics</w:t>
      </w:r>
      <w:proofErr w:type="spellEnd"/>
      <w:r w:rsidRPr="007571F2">
        <w:t xml:space="preserve"> in </w:t>
      </w:r>
      <w:proofErr w:type="spellStart"/>
      <w:r w:rsidRPr="007571F2">
        <w:t>the</w:t>
      </w:r>
      <w:proofErr w:type="spellEnd"/>
      <w:r w:rsidRPr="007571F2">
        <w:t xml:space="preserve"> Young </w:t>
      </w:r>
      <w:proofErr w:type="spellStart"/>
      <w:r w:rsidRPr="007571F2">
        <w:t>Republic</w:t>
      </w:r>
      <w:proofErr w:type="spellEnd"/>
      <w:r w:rsidRPr="007571F2">
        <w:t xml:space="preserve"> 69-108 (1971) (Yargıç John </w:t>
      </w:r>
      <w:proofErr w:type="spellStart"/>
      <w:r w:rsidRPr="007571F2">
        <w:t>Pickering’in</w:t>
      </w:r>
      <w:proofErr w:type="spellEnd"/>
      <w:r w:rsidRPr="007571F2">
        <w:t xml:space="preserve"> başarılı bir şekilde azledilmesini ve Yüksek Mahkeme Yargıcı Samuel </w:t>
      </w:r>
      <w:proofErr w:type="spellStart"/>
      <w:r w:rsidRPr="007571F2">
        <w:t>Chase’in</w:t>
      </w:r>
      <w:proofErr w:type="spellEnd"/>
      <w:r w:rsidRPr="007571F2">
        <w:t xml:space="preserve"> azledilme girişiminin neredeyse başarılı olmasını detaylandırmaktadır).</w:t>
      </w:r>
    </w:p>
  </w:footnote>
  <w:footnote w:id="68">
    <w:p w14:paraId="7D2EFFA3" w14:textId="6D7B761F" w:rsidR="007571F2" w:rsidRPr="007571F2" w:rsidRDefault="007571F2" w:rsidP="007571F2">
      <w:pPr>
        <w:pStyle w:val="Dipnot"/>
        <w:rPr>
          <w:lang w:val="en-US"/>
        </w:rPr>
      </w:pPr>
      <w:r w:rsidRPr="007571F2">
        <w:rPr>
          <w:rStyle w:val="FootnoteReference"/>
        </w:rPr>
        <w:footnoteRef/>
      </w:r>
      <w:r w:rsidRPr="007571F2">
        <w:t xml:space="preserve"> </w:t>
      </w:r>
      <w:r w:rsidRPr="007571F2">
        <w:tab/>
      </w:r>
      <w:r w:rsidRPr="007571F2">
        <w:t xml:space="preserve">⁶⁸ </w:t>
      </w:r>
      <w:proofErr w:type="spellStart"/>
      <w:r w:rsidRPr="007571F2">
        <w:rPr>
          <w:i/>
          <w:iCs/>
        </w:rPr>
        <w:t>Id</w:t>
      </w:r>
      <w:proofErr w:type="spellEnd"/>
      <w:r w:rsidRPr="007571F2">
        <w:rPr>
          <w:i/>
          <w:iCs/>
        </w:rPr>
        <w:t>.</w:t>
      </w:r>
      <w:r w:rsidRPr="007571F2">
        <w:t xml:space="preserve"> at 59-60. Geciken davalar, elbette </w:t>
      </w:r>
      <w:proofErr w:type="spellStart"/>
      <w:r w:rsidRPr="007571F2">
        <w:t>Marbury</w:t>
      </w:r>
      <w:proofErr w:type="spellEnd"/>
      <w:r w:rsidRPr="007571F2">
        <w:t xml:space="preserve"> v. Madison, 5 U.S. 137 (1803) ve Stuart v. </w:t>
      </w:r>
      <w:proofErr w:type="spellStart"/>
      <w:r w:rsidRPr="007571F2">
        <w:t>Laird</w:t>
      </w:r>
      <w:proofErr w:type="spellEnd"/>
      <w:r w:rsidRPr="007571F2">
        <w:t>, 5 U.S. 299 (1803) davalarına dönüşmüştür.</w:t>
      </w:r>
    </w:p>
  </w:footnote>
  <w:footnote w:id="69">
    <w:p w14:paraId="02E9A23F" w14:textId="266DD337" w:rsidR="007571F2" w:rsidRPr="007571F2" w:rsidRDefault="007571F2" w:rsidP="007571F2">
      <w:pPr>
        <w:pStyle w:val="Dipnot"/>
        <w:rPr>
          <w:lang w:val="en-US"/>
        </w:rPr>
      </w:pPr>
      <w:r w:rsidRPr="007571F2">
        <w:rPr>
          <w:rStyle w:val="FootnoteReference"/>
        </w:rPr>
        <w:footnoteRef/>
      </w:r>
      <w:r w:rsidRPr="007571F2">
        <w:t xml:space="preserve"> </w:t>
      </w:r>
      <w:r w:rsidRPr="007571F2">
        <w:tab/>
      </w:r>
      <w:r w:rsidRPr="007571F2">
        <w:t xml:space="preserve">⁶⁹ </w:t>
      </w:r>
      <w:r w:rsidRPr="007571F2">
        <w:rPr>
          <w:i/>
          <w:iCs/>
        </w:rPr>
        <w:t>Bkz.</w:t>
      </w:r>
      <w:r w:rsidRPr="007571F2">
        <w:t xml:space="preserve"> </w:t>
      </w:r>
      <w:proofErr w:type="spellStart"/>
      <w:r w:rsidRPr="007571F2">
        <w:t>Ellis</w:t>
      </w:r>
      <w:proofErr w:type="spellEnd"/>
      <w:r w:rsidRPr="007571F2">
        <w:t xml:space="preserve">, </w:t>
      </w:r>
      <w:proofErr w:type="spellStart"/>
      <w:r w:rsidRPr="007571F2">
        <w:t>supra</w:t>
      </w:r>
      <w:proofErr w:type="spellEnd"/>
      <w:r w:rsidRPr="007571F2">
        <w:t xml:space="preserve"> not 67, at 36-52; </w:t>
      </w:r>
      <w:r w:rsidRPr="007571F2">
        <w:rPr>
          <w:i/>
          <w:iCs/>
        </w:rPr>
        <w:t>ayrıca bkz.</w:t>
      </w:r>
      <w:r w:rsidRPr="007571F2">
        <w:t xml:space="preserve"> Stuart, 5 U.S. at 301-02 (1800 tarihli Yargı Yasası’nın devre mahkemeleriyle ilgili hükümlerinin iptal edilmesini, en azından davacıların getirdiği itirazlar açısından, onaylamaktadır).</w:t>
      </w:r>
    </w:p>
  </w:footnote>
  <w:footnote w:id="70">
    <w:p w14:paraId="3B8CC55A" w14:textId="2290E702" w:rsidR="007571F2" w:rsidRPr="007571F2" w:rsidRDefault="007571F2" w:rsidP="007571F2">
      <w:pPr>
        <w:pStyle w:val="Dipnot"/>
        <w:rPr>
          <w:lang w:val="en-US"/>
        </w:rPr>
      </w:pPr>
      <w:r w:rsidRPr="007571F2">
        <w:rPr>
          <w:rStyle w:val="FootnoteReference"/>
        </w:rPr>
        <w:footnoteRef/>
      </w:r>
      <w:r w:rsidRPr="007571F2">
        <w:t xml:space="preserve"> </w:t>
      </w:r>
      <w:r w:rsidRPr="007571F2">
        <w:tab/>
      </w:r>
      <w:r w:rsidRPr="007571F2">
        <w:t xml:space="preserve">⁷⁰ </w:t>
      </w:r>
      <w:r w:rsidRPr="007571F2">
        <w:rPr>
          <w:i/>
          <w:iCs/>
        </w:rPr>
        <w:t>Bkz.</w:t>
      </w:r>
      <w:r w:rsidRPr="007571F2">
        <w:t xml:space="preserve"> F. Andrew </w:t>
      </w:r>
      <w:proofErr w:type="spellStart"/>
      <w:r w:rsidRPr="007571F2">
        <w:t>Hessick</w:t>
      </w:r>
      <w:proofErr w:type="spellEnd"/>
      <w:r w:rsidRPr="007571F2">
        <w:t xml:space="preserve"> &amp; Samuel P. Jordan, </w:t>
      </w:r>
      <w:proofErr w:type="spellStart"/>
      <w:r w:rsidRPr="007571F2">
        <w:t>Setting</w:t>
      </w:r>
      <w:proofErr w:type="spellEnd"/>
      <w:r w:rsidRPr="007571F2">
        <w:t xml:space="preserve"> </w:t>
      </w:r>
      <w:proofErr w:type="spellStart"/>
      <w:r w:rsidRPr="007571F2">
        <w:t>the</w:t>
      </w:r>
      <w:proofErr w:type="spellEnd"/>
      <w:r w:rsidRPr="007571F2">
        <w:t xml:space="preserve"> Size of </w:t>
      </w:r>
      <w:proofErr w:type="spellStart"/>
      <w:r w:rsidRPr="007571F2">
        <w:t>the</w:t>
      </w:r>
      <w:proofErr w:type="spellEnd"/>
      <w:r w:rsidRPr="007571F2">
        <w:t xml:space="preserve"> </w:t>
      </w:r>
      <w:proofErr w:type="spellStart"/>
      <w:r w:rsidRPr="007571F2">
        <w:t>Supreme</w:t>
      </w:r>
      <w:proofErr w:type="spellEnd"/>
      <w:r w:rsidRPr="007571F2">
        <w:t xml:space="preserve"> Court, 41 ARIZ. ST. L.J. 645, 647, 664-71 (2009) (bu tarihsel süreci tartışmaktadır).</w:t>
      </w:r>
    </w:p>
  </w:footnote>
  <w:footnote w:id="71">
    <w:p w14:paraId="44F5E392" w14:textId="32177E97" w:rsidR="007571F2" w:rsidRPr="007571F2" w:rsidRDefault="007571F2" w:rsidP="007571F2">
      <w:pPr>
        <w:pStyle w:val="Dipnot"/>
        <w:rPr>
          <w:lang w:val="en-US"/>
        </w:rPr>
      </w:pPr>
      <w:r w:rsidRPr="007571F2">
        <w:rPr>
          <w:rStyle w:val="FootnoteReference"/>
        </w:rPr>
        <w:footnoteRef/>
      </w:r>
      <w:r w:rsidRPr="007571F2">
        <w:t xml:space="preserve"> </w:t>
      </w:r>
      <w:r w:rsidRPr="007571F2">
        <w:rPr>
          <w:lang w:val="en-US"/>
        </w:rPr>
        <w:tab/>
      </w:r>
      <w:r w:rsidRPr="007571F2">
        <w:t xml:space="preserve">⁷¹ Bu tür girişimlerin yaygınlığına ilişkin klasik bir değerlendirme için, otuz yıl önce yazılmış olmasına rağmen temel unsurları hâlâ geçerliliğini koruyan </w:t>
      </w:r>
      <w:r w:rsidRPr="007571F2">
        <w:rPr>
          <w:i/>
          <w:iCs/>
        </w:rPr>
        <w:t>bkz.</w:t>
      </w:r>
      <w:r w:rsidRPr="007571F2">
        <w:t xml:space="preserve"> Gerald </w:t>
      </w:r>
      <w:proofErr w:type="spellStart"/>
      <w:r w:rsidRPr="007571F2">
        <w:t>Gunther</w:t>
      </w:r>
      <w:proofErr w:type="spellEnd"/>
      <w:r w:rsidRPr="007571F2">
        <w:t xml:space="preserve">, </w:t>
      </w:r>
      <w:proofErr w:type="spellStart"/>
      <w:r w:rsidRPr="007571F2">
        <w:t>Congressional</w:t>
      </w:r>
      <w:proofErr w:type="spellEnd"/>
      <w:r w:rsidRPr="007571F2">
        <w:t xml:space="preserve"> </w:t>
      </w:r>
      <w:proofErr w:type="spellStart"/>
      <w:r w:rsidRPr="007571F2">
        <w:t>Power</w:t>
      </w:r>
      <w:proofErr w:type="spellEnd"/>
      <w:r w:rsidRPr="007571F2">
        <w:t xml:space="preserve"> </w:t>
      </w:r>
      <w:proofErr w:type="spellStart"/>
      <w:r w:rsidRPr="007571F2">
        <w:t>to</w:t>
      </w:r>
      <w:proofErr w:type="spellEnd"/>
      <w:r w:rsidRPr="007571F2">
        <w:t xml:space="preserve"> </w:t>
      </w:r>
      <w:proofErr w:type="spellStart"/>
      <w:r w:rsidRPr="007571F2">
        <w:t>Curtail</w:t>
      </w:r>
      <w:proofErr w:type="spellEnd"/>
      <w:r w:rsidRPr="007571F2">
        <w:t xml:space="preserve"> Federal Court </w:t>
      </w:r>
      <w:proofErr w:type="spellStart"/>
      <w:r w:rsidRPr="007571F2">
        <w:t>Jurisdiction</w:t>
      </w:r>
      <w:proofErr w:type="spellEnd"/>
      <w:r w:rsidRPr="007571F2">
        <w:t xml:space="preserve">: An </w:t>
      </w:r>
      <w:proofErr w:type="spellStart"/>
      <w:r w:rsidRPr="007571F2">
        <w:t>Opinionated</w:t>
      </w:r>
      <w:proofErr w:type="spellEnd"/>
      <w:r w:rsidRPr="007571F2">
        <w:t xml:space="preserve"> Guide </w:t>
      </w:r>
      <w:proofErr w:type="spellStart"/>
      <w:r w:rsidRPr="007571F2">
        <w:t>to</w:t>
      </w:r>
      <w:proofErr w:type="spellEnd"/>
      <w:r w:rsidRPr="007571F2">
        <w:t xml:space="preserve"> </w:t>
      </w:r>
      <w:proofErr w:type="spellStart"/>
      <w:r w:rsidRPr="007571F2">
        <w:t>the</w:t>
      </w:r>
      <w:proofErr w:type="spellEnd"/>
      <w:r w:rsidRPr="007571F2">
        <w:t xml:space="preserve"> </w:t>
      </w:r>
      <w:proofErr w:type="spellStart"/>
      <w:r w:rsidRPr="007571F2">
        <w:t>Ongoing</w:t>
      </w:r>
      <w:proofErr w:type="spellEnd"/>
      <w:r w:rsidRPr="007571F2">
        <w:t xml:space="preserve"> </w:t>
      </w:r>
      <w:proofErr w:type="spellStart"/>
      <w:r w:rsidRPr="007571F2">
        <w:t>Debate</w:t>
      </w:r>
      <w:proofErr w:type="spellEnd"/>
      <w:r w:rsidRPr="007571F2">
        <w:t>, 36 STAN. L. REV. 895, 896-97 (1984).</w:t>
      </w:r>
    </w:p>
  </w:footnote>
  <w:footnote w:id="72">
    <w:p w14:paraId="76DF0DE8" w14:textId="3C7A6D45" w:rsidR="007571F2" w:rsidRPr="007571F2" w:rsidRDefault="007571F2" w:rsidP="007571F2">
      <w:pPr>
        <w:pStyle w:val="Dipnot"/>
        <w:rPr>
          <w:lang w:val="en-US"/>
        </w:rPr>
      </w:pPr>
      <w:r w:rsidRPr="007571F2">
        <w:rPr>
          <w:rStyle w:val="FootnoteReference"/>
        </w:rPr>
        <w:footnoteRef/>
      </w:r>
      <w:r w:rsidRPr="007571F2">
        <w:t xml:space="preserve"> </w:t>
      </w:r>
      <w:r w:rsidRPr="007571F2">
        <w:tab/>
      </w:r>
      <w:r w:rsidRPr="007571F2">
        <w:t xml:space="preserve">⁷² Bu sürecin rastlantısallığını vurgulayan kısa bir özet için </w:t>
      </w:r>
      <w:r w:rsidRPr="007571F2">
        <w:rPr>
          <w:i/>
          <w:iCs/>
        </w:rPr>
        <w:t>bkz.</w:t>
      </w:r>
      <w:r w:rsidRPr="007571F2">
        <w:t xml:space="preserve"> Barry Friedman, “</w:t>
      </w:r>
      <w:proofErr w:type="spellStart"/>
      <w:r w:rsidRPr="007571F2">
        <w:t>Things</w:t>
      </w:r>
      <w:proofErr w:type="spellEnd"/>
      <w:r w:rsidRPr="007571F2">
        <w:t xml:space="preserve"> </w:t>
      </w:r>
      <w:proofErr w:type="spellStart"/>
      <w:r w:rsidRPr="007571F2">
        <w:t>Forgotten</w:t>
      </w:r>
      <w:proofErr w:type="spellEnd"/>
      <w:r w:rsidRPr="007571F2">
        <w:t xml:space="preserve">” in </w:t>
      </w:r>
      <w:proofErr w:type="spellStart"/>
      <w:r w:rsidRPr="007571F2">
        <w:t>the</w:t>
      </w:r>
      <w:proofErr w:type="spellEnd"/>
      <w:r w:rsidRPr="007571F2">
        <w:t xml:space="preserve"> </w:t>
      </w:r>
      <w:proofErr w:type="spellStart"/>
      <w:r w:rsidRPr="007571F2">
        <w:t>Debate</w:t>
      </w:r>
      <w:proofErr w:type="spellEnd"/>
      <w:r w:rsidRPr="007571F2">
        <w:t xml:space="preserve"> </w:t>
      </w:r>
      <w:proofErr w:type="spellStart"/>
      <w:r w:rsidRPr="007571F2">
        <w:t>Over</w:t>
      </w:r>
      <w:proofErr w:type="spellEnd"/>
      <w:r w:rsidRPr="007571F2">
        <w:t xml:space="preserve"> </w:t>
      </w:r>
      <w:proofErr w:type="spellStart"/>
      <w:r w:rsidRPr="007571F2">
        <w:t>Judicial</w:t>
      </w:r>
      <w:proofErr w:type="spellEnd"/>
      <w:r w:rsidRPr="007571F2">
        <w:t xml:space="preserve"> </w:t>
      </w:r>
      <w:proofErr w:type="spellStart"/>
      <w:r w:rsidRPr="007571F2">
        <w:t>Independence</w:t>
      </w:r>
      <w:proofErr w:type="spellEnd"/>
      <w:r w:rsidRPr="007571F2">
        <w:t>, 14 GA. ST. U. L. REV. 737, 748-52 (1998).</w:t>
      </w:r>
    </w:p>
  </w:footnote>
  <w:footnote w:id="73">
    <w:p w14:paraId="57F8A8AB" w14:textId="4DC4946B" w:rsidR="007571F2" w:rsidRPr="007571F2" w:rsidRDefault="007571F2" w:rsidP="007571F2">
      <w:pPr>
        <w:pStyle w:val="Dipnot"/>
        <w:rPr>
          <w:lang w:val="en-US"/>
        </w:rPr>
      </w:pPr>
      <w:r>
        <w:rPr>
          <w:rStyle w:val="FootnoteReference"/>
        </w:rPr>
        <w:footnoteRef/>
      </w:r>
      <w:r>
        <w:t xml:space="preserve"> </w:t>
      </w:r>
      <w:r>
        <w:tab/>
      </w:r>
      <w:r w:rsidRPr="007571F2">
        <w:t xml:space="preserve">⁷³ </w:t>
      </w:r>
      <w:r w:rsidRPr="007571F2">
        <w:rPr>
          <w:i/>
          <w:iCs/>
        </w:rPr>
        <w:t>Bkz. genel olarak</w:t>
      </w:r>
      <w:r w:rsidRPr="007571F2">
        <w:t xml:space="preserve"> </w:t>
      </w:r>
      <w:proofErr w:type="spellStart"/>
      <w:r w:rsidRPr="007571F2">
        <w:rPr>
          <w:b/>
          <w:bCs/>
        </w:rPr>
        <w:t>Seamon</w:t>
      </w:r>
      <w:proofErr w:type="spellEnd"/>
      <w:r w:rsidRPr="007571F2">
        <w:rPr>
          <w:b/>
          <w:bCs/>
        </w:rPr>
        <w:t xml:space="preserve"> </w:t>
      </w:r>
      <w:r w:rsidRPr="007571F2">
        <w:rPr>
          <w:b/>
          <w:bCs/>
          <w:i/>
          <w:iCs/>
        </w:rPr>
        <w:t xml:space="preserve">et al., </w:t>
      </w:r>
      <w:proofErr w:type="spellStart"/>
      <w:r w:rsidRPr="007571F2">
        <w:rPr>
          <w:b/>
          <w:bCs/>
          <w:i/>
          <w:iCs/>
        </w:rPr>
        <w:t>supra</w:t>
      </w:r>
      <w:proofErr w:type="spellEnd"/>
      <w:r w:rsidRPr="007571F2">
        <w:t xml:space="preserve"> not 29, at 24-28 (Yüksek Mahkeme yargıçlarının seçilme sürecinin "evrimsel sürecini" tartışmaktadır).</w:t>
      </w:r>
    </w:p>
  </w:footnote>
  <w:footnote w:id="74">
    <w:p w14:paraId="7CA7FE4D" w14:textId="59645DBF" w:rsidR="007571F2" w:rsidRPr="007571F2" w:rsidRDefault="007571F2" w:rsidP="007571F2">
      <w:pPr>
        <w:pStyle w:val="Dipnot"/>
        <w:rPr>
          <w:lang w:val="en-US"/>
        </w:rPr>
      </w:pPr>
      <w:r>
        <w:rPr>
          <w:rStyle w:val="FootnoteReference"/>
        </w:rPr>
        <w:footnoteRef/>
      </w:r>
      <w:r>
        <w:t xml:space="preserve"> </w:t>
      </w:r>
      <w:r>
        <w:tab/>
      </w:r>
      <w:r w:rsidRPr="007571F2">
        <w:t xml:space="preserve">⁷⁴ </w:t>
      </w:r>
      <w:r w:rsidRPr="007571F2">
        <w:rPr>
          <w:i/>
          <w:iCs/>
        </w:rPr>
        <w:t>Bkz. id.</w:t>
      </w:r>
    </w:p>
  </w:footnote>
  <w:footnote w:id="75">
    <w:p w14:paraId="09AFD390" w14:textId="27E9DA15" w:rsidR="007571F2" w:rsidRPr="007571F2" w:rsidRDefault="007571F2" w:rsidP="007571F2">
      <w:pPr>
        <w:pStyle w:val="Dipnot"/>
        <w:rPr>
          <w:lang w:val="en-US"/>
        </w:rPr>
      </w:pPr>
      <w:r>
        <w:rPr>
          <w:rStyle w:val="FootnoteReference"/>
        </w:rPr>
        <w:footnoteRef/>
      </w:r>
      <w:r>
        <w:t xml:space="preserve"> </w:t>
      </w:r>
      <w:r>
        <w:rPr>
          <w:lang w:val="en-US"/>
        </w:rPr>
        <w:tab/>
      </w:r>
      <w:r w:rsidRPr="007571F2">
        <w:t xml:space="preserve">⁷⁵ </w:t>
      </w:r>
      <w:r w:rsidRPr="007571F2">
        <w:rPr>
          <w:i/>
          <w:iCs/>
        </w:rPr>
        <w:t xml:space="preserve">Bkz. </w:t>
      </w:r>
      <w:proofErr w:type="spellStart"/>
      <w:r w:rsidRPr="007571F2">
        <w:rPr>
          <w:i/>
          <w:iCs/>
        </w:rPr>
        <w:t>infra</w:t>
      </w:r>
      <w:proofErr w:type="spellEnd"/>
      <w:r w:rsidRPr="007571F2">
        <w:t xml:space="preserve"> notlar 133-141 ve ilgili metin (bu noktayı geliştirerek bazı sonuçlarını açıklamaktadır).</w:t>
      </w:r>
    </w:p>
  </w:footnote>
  <w:footnote w:id="76">
    <w:p w14:paraId="4EF6D39D" w14:textId="7A7AB5C1" w:rsidR="005336FE" w:rsidRPr="005336FE" w:rsidRDefault="005336FE" w:rsidP="005336FE">
      <w:pPr>
        <w:pStyle w:val="Dipnot"/>
        <w:rPr>
          <w:lang w:val="en-US"/>
        </w:rPr>
      </w:pPr>
      <w:r>
        <w:rPr>
          <w:rStyle w:val="FootnoteReference"/>
        </w:rPr>
        <w:footnoteRef/>
      </w:r>
      <w:r>
        <w:t xml:space="preserve"> </w:t>
      </w:r>
      <w:r>
        <w:rPr>
          <w:lang w:val="en-US"/>
        </w:rPr>
        <w:tab/>
      </w:r>
      <w:r w:rsidR="008D7AD1" w:rsidRPr="008D7AD1">
        <w:t xml:space="preserve">76 Bu liste—yukarıda Bölüm </w:t>
      </w:r>
      <w:proofErr w:type="spellStart"/>
      <w:r w:rsidR="008D7AD1" w:rsidRPr="008D7AD1">
        <w:t>I’de</w:t>
      </w:r>
      <w:proofErr w:type="spellEnd"/>
      <w:r w:rsidR="008D7AD1" w:rsidRPr="008D7AD1">
        <w:t xml:space="preserve"> tartışılan uygulamalar listesi gibi—örnekleyici nitelikte olup, kapsamlı değildir. Bu bölüm, aynı kolaylıkla, Yüksek Mahkeme’nin takviminin yoğunluğunu, uzmanlaşmış ve seçkin bir Yüksek Mahkeme avukat grubunun yeniden doğuşunu ya da çağdaş anayasal karar alma süreçlerinin (</w:t>
      </w:r>
      <w:proofErr w:type="spellStart"/>
      <w:r w:rsidR="008D7AD1" w:rsidRPr="008D7AD1">
        <w:t>constitutional</w:t>
      </w:r>
      <w:proofErr w:type="spellEnd"/>
      <w:r w:rsidR="008D7AD1" w:rsidRPr="008D7AD1">
        <w:t xml:space="preserve"> </w:t>
      </w:r>
      <w:proofErr w:type="spellStart"/>
      <w:r w:rsidR="008D7AD1" w:rsidRPr="008D7AD1">
        <w:t>decisionmaking</w:t>
      </w:r>
      <w:proofErr w:type="spellEnd"/>
      <w:r w:rsidR="008D7AD1" w:rsidRPr="008D7AD1">
        <w:t>) diğer birkaç yönünü de ele alabilirdi.</w:t>
      </w:r>
    </w:p>
  </w:footnote>
  <w:footnote w:id="77">
    <w:p w14:paraId="6C62469F" w14:textId="41C16056" w:rsidR="008D7AD1" w:rsidRPr="008D7AD1" w:rsidRDefault="008D7AD1" w:rsidP="008D7AD1">
      <w:pPr>
        <w:pStyle w:val="Dipnot"/>
        <w:rPr>
          <w:lang w:val="en-US"/>
        </w:rPr>
      </w:pPr>
      <w:r>
        <w:rPr>
          <w:rStyle w:val="FootnoteReference"/>
        </w:rPr>
        <w:footnoteRef/>
      </w:r>
      <w:r>
        <w:t xml:space="preserve"> </w:t>
      </w:r>
      <w:r>
        <w:tab/>
      </w:r>
      <w:r w:rsidRPr="008D7AD1">
        <w:t xml:space="preserve">77 </w:t>
      </w:r>
      <w:r w:rsidRPr="008D7AD1">
        <w:rPr>
          <w:i/>
          <w:iCs/>
        </w:rPr>
        <w:t xml:space="preserve">Bkz. </w:t>
      </w:r>
      <w:proofErr w:type="spellStart"/>
      <w:r w:rsidRPr="008D7AD1">
        <w:rPr>
          <w:i/>
          <w:iCs/>
        </w:rPr>
        <w:t>örn</w:t>
      </w:r>
      <w:proofErr w:type="spellEnd"/>
      <w:r w:rsidRPr="008D7AD1">
        <w:rPr>
          <w:i/>
          <w:iCs/>
        </w:rPr>
        <w:t>.</w:t>
      </w:r>
      <w:r w:rsidRPr="008D7AD1">
        <w:t xml:space="preserve">, EDWARD LAZARUS, </w:t>
      </w:r>
      <w:r w:rsidRPr="008D7AD1">
        <w:rPr>
          <w:i/>
          <w:iCs/>
        </w:rPr>
        <w:t>CLOSED CHAMBERS: THE RISE, FALL, AND FUTURE OF THE MODERN SUPREME COURT</w:t>
      </w:r>
      <w:r w:rsidRPr="008D7AD1">
        <w:t xml:space="preserve"> (1998) (eski bir katip tarafından yazılan ve Mahkeme içindeki güç dinamiklerini ve hem Yargıçlar hem de katipler arasındaki iddia edilen partizan gerilimleri vurgulayan ünlü bir içerden anlatım sunan eser); BOB WOODWARD &amp; SCOTT ARMSTRONG, </w:t>
      </w:r>
      <w:r w:rsidRPr="008D7AD1">
        <w:rPr>
          <w:i/>
          <w:iCs/>
        </w:rPr>
        <w:t>THE BRETHREN: INSIDE THE SUPREME COURT</w:t>
      </w:r>
      <w:r w:rsidRPr="008D7AD1">
        <w:t xml:space="preserve"> (1979) (Yüksek Mahkeme içindeki yaşamı anlatan ve katiplere önemli, belki de abartılı bir güç atfeden eser); Adam </w:t>
      </w:r>
      <w:proofErr w:type="spellStart"/>
      <w:r w:rsidRPr="008D7AD1">
        <w:t>Liptak</w:t>
      </w:r>
      <w:proofErr w:type="spellEnd"/>
      <w:r w:rsidRPr="008D7AD1">
        <w:t xml:space="preserve">, </w:t>
      </w:r>
      <w:proofErr w:type="spellStart"/>
      <w:r w:rsidRPr="008D7AD1">
        <w:rPr>
          <w:i/>
          <w:iCs/>
        </w:rPr>
        <w:t>The</w:t>
      </w:r>
      <w:proofErr w:type="spellEnd"/>
      <w:r w:rsidRPr="008D7AD1">
        <w:rPr>
          <w:i/>
          <w:iCs/>
        </w:rPr>
        <w:t xml:space="preserve"> </w:t>
      </w:r>
      <w:proofErr w:type="spellStart"/>
      <w:r w:rsidRPr="008D7AD1">
        <w:rPr>
          <w:i/>
          <w:iCs/>
        </w:rPr>
        <w:t>Polarized</w:t>
      </w:r>
      <w:proofErr w:type="spellEnd"/>
      <w:r w:rsidRPr="008D7AD1">
        <w:rPr>
          <w:i/>
          <w:iCs/>
        </w:rPr>
        <w:t xml:space="preserve"> Court</w:t>
      </w:r>
      <w:r w:rsidRPr="008D7AD1">
        <w:t>, N.Y. TIMES, 11 Mayıs 2014, s. SR1, SR6 (federal mahkemelerde artan siyasileşme ve ideolojik kutuplaşmayı tartışan makale).</w:t>
      </w:r>
    </w:p>
  </w:footnote>
  <w:footnote w:id="78">
    <w:p w14:paraId="0D1E4B5D" w14:textId="7828FE25" w:rsidR="008D7AD1" w:rsidRPr="008D7AD1" w:rsidRDefault="008D7AD1" w:rsidP="008D7AD1">
      <w:pPr>
        <w:pStyle w:val="Dipnot"/>
        <w:rPr>
          <w:lang w:val="en-US"/>
        </w:rPr>
      </w:pPr>
      <w:r>
        <w:rPr>
          <w:rStyle w:val="FootnoteReference"/>
        </w:rPr>
        <w:footnoteRef/>
      </w:r>
      <w:r>
        <w:t xml:space="preserve"> </w:t>
      </w:r>
      <w:r>
        <w:tab/>
      </w:r>
      <w:r w:rsidRPr="008D7AD1">
        <w:t xml:space="preserve">78 </w:t>
      </w:r>
      <w:r w:rsidRPr="008D7AD1">
        <w:rPr>
          <w:i/>
          <w:iCs/>
        </w:rPr>
        <w:t xml:space="preserve">Bkz. </w:t>
      </w:r>
      <w:proofErr w:type="spellStart"/>
      <w:r w:rsidRPr="008D7AD1">
        <w:rPr>
          <w:i/>
          <w:iCs/>
        </w:rPr>
        <w:t>örn</w:t>
      </w:r>
      <w:proofErr w:type="spellEnd"/>
      <w:r w:rsidRPr="008D7AD1">
        <w:rPr>
          <w:i/>
          <w:iCs/>
        </w:rPr>
        <w:t>.</w:t>
      </w:r>
      <w:r w:rsidRPr="008D7AD1">
        <w:t xml:space="preserve">, PAUL M. COLLINS, JR., </w:t>
      </w:r>
      <w:r w:rsidRPr="008D7AD1">
        <w:rPr>
          <w:i/>
          <w:iCs/>
        </w:rPr>
        <w:t>FRIENDS OF THE SUPREME COURT: INTEREST GROUPS AND JUDICIAL DECISION MAKING</w:t>
      </w:r>
      <w:r w:rsidRPr="008D7AD1">
        <w:t xml:space="preserve"> (2008) (Yüksek Mahkeme karar alma süreçlerinde çıkar gruplarının </w:t>
      </w:r>
      <w:proofErr w:type="spellStart"/>
      <w:r w:rsidRPr="008D7AD1">
        <w:t>amicus</w:t>
      </w:r>
      <w:proofErr w:type="spellEnd"/>
      <w:r w:rsidRPr="008D7AD1">
        <w:t xml:space="preserve"> </w:t>
      </w:r>
      <w:proofErr w:type="spellStart"/>
      <w:r w:rsidRPr="008D7AD1">
        <w:t>curiae</w:t>
      </w:r>
      <w:proofErr w:type="spellEnd"/>
      <w:r w:rsidRPr="008D7AD1">
        <w:t xml:space="preserve"> faaliyetlerinin etkisini analiz eden ve açıklayan eser); TODD C. PEPPERS, </w:t>
      </w:r>
      <w:r w:rsidRPr="008D7AD1">
        <w:rPr>
          <w:i/>
          <w:iCs/>
        </w:rPr>
        <w:t>COURTIERS OF THE MARBLE PALACE: THE RISE AND INFLUENCE OF THE SUPREME COURT LAW CLERK</w:t>
      </w:r>
      <w:r w:rsidRPr="008D7AD1">
        <w:t xml:space="preserve"> (2006).</w:t>
      </w:r>
    </w:p>
  </w:footnote>
  <w:footnote w:id="79">
    <w:p w14:paraId="4900DF15" w14:textId="49C4ED1E" w:rsidR="008D7AD1" w:rsidRPr="008D7AD1" w:rsidRDefault="008D7AD1" w:rsidP="008D7AD1">
      <w:pPr>
        <w:pStyle w:val="Dipnot"/>
        <w:rPr>
          <w:lang w:val="en-US"/>
        </w:rPr>
      </w:pPr>
      <w:r>
        <w:rPr>
          <w:rStyle w:val="FootnoteReference"/>
        </w:rPr>
        <w:footnoteRef/>
      </w:r>
      <w:r>
        <w:t xml:space="preserve"> </w:t>
      </w:r>
      <w:r>
        <w:tab/>
      </w:r>
      <w:r w:rsidRPr="008D7AD1">
        <w:t xml:space="preserve">79 </w:t>
      </w:r>
      <w:r w:rsidRPr="008D7AD1">
        <w:rPr>
          <w:i/>
          <w:iCs/>
        </w:rPr>
        <w:t xml:space="preserve">Bkz. </w:t>
      </w:r>
      <w:proofErr w:type="spellStart"/>
      <w:r w:rsidRPr="008D7AD1">
        <w:rPr>
          <w:i/>
          <w:iCs/>
        </w:rPr>
        <w:t>örn</w:t>
      </w:r>
      <w:proofErr w:type="spellEnd"/>
      <w:r w:rsidRPr="008D7AD1">
        <w:rPr>
          <w:i/>
          <w:iCs/>
        </w:rPr>
        <w:t>.</w:t>
      </w:r>
      <w:r w:rsidRPr="008D7AD1">
        <w:t xml:space="preserve">, Joseph D. </w:t>
      </w:r>
      <w:proofErr w:type="spellStart"/>
      <w:r w:rsidRPr="008D7AD1">
        <w:t>Kearney</w:t>
      </w:r>
      <w:proofErr w:type="spellEnd"/>
      <w:r w:rsidRPr="008D7AD1">
        <w:t xml:space="preserve"> &amp; Thomas W. Merrill, </w:t>
      </w:r>
      <w:proofErr w:type="spellStart"/>
      <w:r w:rsidRPr="008D7AD1">
        <w:rPr>
          <w:i/>
          <w:iCs/>
        </w:rPr>
        <w:t>The</w:t>
      </w:r>
      <w:proofErr w:type="spellEnd"/>
      <w:r w:rsidRPr="008D7AD1">
        <w:rPr>
          <w:i/>
          <w:iCs/>
        </w:rPr>
        <w:t xml:space="preserve"> </w:t>
      </w:r>
      <w:proofErr w:type="spellStart"/>
      <w:r w:rsidRPr="008D7AD1">
        <w:rPr>
          <w:i/>
          <w:iCs/>
        </w:rPr>
        <w:t>Influence</w:t>
      </w:r>
      <w:proofErr w:type="spellEnd"/>
      <w:r w:rsidRPr="008D7AD1">
        <w:rPr>
          <w:i/>
          <w:iCs/>
        </w:rPr>
        <w:t xml:space="preserve"> of </w:t>
      </w:r>
      <w:proofErr w:type="spellStart"/>
      <w:r w:rsidRPr="008D7AD1">
        <w:rPr>
          <w:i/>
          <w:iCs/>
        </w:rPr>
        <w:t>Amicus</w:t>
      </w:r>
      <w:proofErr w:type="spellEnd"/>
      <w:r w:rsidRPr="008D7AD1">
        <w:rPr>
          <w:i/>
          <w:iCs/>
        </w:rPr>
        <w:t xml:space="preserve"> </w:t>
      </w:r>
      <w:proofErr w:type="spellStart"/>
      <w:r w:rsidRPr="008D7AD1">
        <w:rPr>
          <w:i/>
          <w:iCs/>
        </w:rPr>
        <w:t>Curiae</w:t>
      </w:r>
      <w:proofErr w:type="spellEnd"/>
      <w:r w:rsidRPr="008D7AD1">
        <w:rPr>
          <w:i/>
          <w:iCs/>
        </w:rPr>
        <w:t xml:space="preserve"> </w:t>
      </w:r>
      <w:proofErr w:type="spellStart"/>
      <w:r w:rsidRPr="008D7AD1">
        <w:rPr>
          <w:i/>
          <w:iCs/>
        </w:rPr>
        <w:t>Briefs</w:t>
      </w:r>
      <w:proofErr w:type="spellEnd"/>
      <w:r w:rsidRPr="008D7AD1">
        <w:rPr>
          <w:i/>
          <w:iCs/>
        </w:rPr>
        <w:t xml:space="preserve"> on </w:t>
      </w:r>
      <w:proofErr w:type="spellStart"/>
      <w:r w:rsidRPr="008D7AD1">
        <w:rPr>
          <w:i/>
          <w:iCs/>
        </w:rPr>
        <w:t>the</w:t>
      </w:r>
      <w:proofErr w:type="spellEnd"/>
      <w:r w:rsidRPr="008D7AD1">
        <w:rPr>
          <w:i/>
          <w:iCs/>
        </w:rPr>
        <w:t xml:space="preserve"> </w:t>
      </w:r>
      <w:proofErr w:type="spellStart"/>
      <w:r w:rsidRPr="008D7AD1">
        <w:rPr>
          <w:i/>
          <w:iCs/>
        </w:rPr>
        <w:t>Supreme</w:t>
      </w:r>
      <w:proofErr w:type="spellEnd"/>
      <w:r w:rsidRPr="008D7AD1">
        <w:rPr>
          <w:i/>
          <w:iCs/>
        </w:rPr>
        <w:t xml:space="preserve"> Court</w:t>
      </w:r>
      <w:r w:rsidRPr="008D7AD1">
        <w:t xml:space="preserve">, 148 U. PA. L. REV. 743, 749-50 (2000) (Yüksek Mahkeme davalarında </w:t>
      </w:r>
      <w:proofErr w:type="spellStart"/>
      <w:r w:rsidRPr="008D7AD1">
        <w:t>amicus</w:t>
      </w:r>
      <w:proofErr w:type="spellEnd"/>
      <w:r w:rsidRPr="008D7AD1">
        <w:t xml:space="preserve"> </w:t>
      </w:r>
      <w:proofErr w:type="spellStart"/>
      <w:r w:rsidRPr="008D7AD1">
        <w:t>curiae</w:t>
      </w:r>
      <w:proofErr w:type="spellEnd"/>
      <w:r w:rsidRPr="008D7AD1">
        <w:t xml:space="preserve"> katılımındaki belirgin artışı belgeleyen ve </w:t>
      </w:r>
      <w:proofErr w:type="spellStart"/>
      <w:r w:rsidRPr="008D7AD1">
        <w:t>amicus</w:t>
      </w:r>
      <w:proofErr w:type="spellEnd"/>
      <w:r w:rsidRPr="008D7AD1">
        <w:t xml:space="preserve"> dilekçelerinin, yeni ve değerli bilgiler sundukları ölçüde davaların sonucunu etkilediğini tespit eden çalışma); Kelly J. Lynch, </w:t>
      </w:r>
      <w:r w:rsidRPr="008D7AD1">
        <w:rPr>
          <w:i/>
          <w:iCs/>
        </w:rPr>
        <w:t xml:space="preserve">Best </w:t>
      </w:r>
      <w:proofErr w:type="spellStart"/>
      <w:r w:rsidRPr="008D7AD1">
        <w:rPr>
          <w:i/>
          <w:iCs/>
        </w:rPr>
        <w:t>Friends</w:t>
      </w:r>
      <w:proofErr w:type="spellEnd"/>
      <w:r w:rsidRPr="008D7AD1">
        <w:rPr>
          <w:i/>
          <w:iCs/>
        </w:rPr>
        <w:t xml:space="preserve">? </w:t>
      </w:r>
      <w:proofErr w:type="spellStart"/>
      <w:r w:rsidRPr="008D7AD1">
        <w:rPr>
          <w:i/>
          <w:iCs/>
        </w:rPr>
        <w:t>Supreme</w:t>
      </w:r>
      <w:proofErr w:type="spellEnd"/>
      <w:r w:rsidRPr="008D7AD1">
        <w:rPr>
          <w:i/>
          <w:iCs/>
        </w:rPr>
        <w:t xml:space="preserve"> Court </w:t>
      </w:r>
      <w:proofErr w:type="spellStart"/>
      <w:r w:rsidRPr="008D7AD1">
        <w:rPr>
          <w:i/>
          <w:iCs/>
        </w:rPr>
        <w:t>Law</w:t>
      </w:r>
      <w:proofErr w:type="spellEnd"/>
      <w:r w:rsidRPr="008D7AD1">
        <w:rPr>
          <w:i/>
          <w:iCs/>
        </w:rPr>
        <w:t xml:space="preserve"> </w:t>
      </w:r>
      <w:proofErr w:type="spellStart"/>
      <w:r w:rsidRPr="008D7AD1">
        <w:rPr>
          <w:i/>
          <w:iCs/>
        </w:rPr>
        <w:t>Clerks</w:t>
      </w:r>
      <w:proofErr w:type="spellEnd"/>
      <w:r w:rsidRPr="008D7AD1">
        <w:rPr>
          <w:i/>
          <w:iCs/>
        </w:rPr>
        <w:t xml:space="preserve"> on </w:t>
      </w:r>
      <w:proofErr w:type="spellStart"/>
      <w:r w:rsidRPr="008D7AD1">
        <w:rPr>
          <w:i/>
          <w:iCs/>
        </w:rPr>
        <w:t>Effective</w:t>
      </w:r>
      <w:proofErr w:type="spellEnd"/>
      <w:r w:rsidRPr="008D7AD1">
        <w:rPr>
          <w:i/>
          <w:iCs/>
        </w:rPr>
        <w:t xml:space="preserve"> </w:t>
      </w:r>
      <w:proofErr w:type="spellStart"/>
      <w:r w:rsidRPr="008D7AD1">
        <w:rPr>
          <w:i/>
          <w:iCs/>
        </w:rPr>
        <w:t>Amicus</w:t>
      </w:r>
      <w:proofErr w:type="spellEnd"/>
      <w:r w:rsidRPr="008D7AD1">
        <w:rPr>
          <w:i/>
          <w:iCs/>
        </w:rPr>
        <w:t xml:space="preserve"> </w:t>
      </w:r>
      <w:proofErr w:type="spellStart"/>
      <w:r w:rsidRPr="008D7AD1">
        <w:rPr>
          <w:i/>
          <w:iCs/>
        </w:rPr>
        <w:t>Curiae</w:t>
      </w:r>
      <w:proofErr w:type="spellEnd"/>
      <w:r w:rsidRPr="008D7AD1">
        <w:rPr>
          <w:i/>
          <w:iCs/>
        </w:rPr>
        <w:t xml:space="preserve"> </w:t>
      </w:r>
      <w:proofErr w:type="spellStart"/>
      <w:r w:rsidRPr="008D7AD1">
        <w:rPr>
          <w:i/>
          <w:iCs/>
        </w:rPr>
        <w:t>Briefs</w:t>
      </w:r>
      <w:proofErr w:type="spellEnd"/>
      <w:r w:rsidRPr="008D7AD1">
        <w:t xml:space="preserve">, 20 J.L. &amp; POL. 33, 33-35, 72 (2004) (eski Yüksek Mahkeme katiplerinin etkili </w:t>
      </w:r>
      <w:proofErr w:type="spellStart"/>
      <w:r w:rsidRPr="008D7AD1">
        <w:t>amicus</w:t>
      </w:r>
      <w:proofErr w:type="spellEnd"/>
      <w:r w:rsidRPr="008D7AD1">
        <w:t xml:space="preserve"> </w:t>
      </w:r>
      <w:proofErr w:type="spellStart"/>
      <w:r w:rsidRPr="008D7AD1">
        <w:t>curiae</w:t>
      </w:r>
      <w:proofErr w:type="spellEnd"/>
      <w:r w:rsidRPr="008D7AD1">
        <w:t xml:space="preserve"> dilekçeleri hakkındaki görüşlerini içeren mülakat yanıtlarını detaylandıran çalışma); Linda </w:t>
      </w:r>
      <w:proofErr w:type="spellStart"/>
      <w:r w:rsidRPr="008D7AD1">
        <w:t>Sandstrom</w:t>
      </w:r>
      <w:proofErr w:type="spellEnd"/>
      <w:r w:rsidRPr="008D7AD1">
        <w:t xml:space="preserve"> </w:t>
      </w:r>
      <w:proofErr w:type="spellStart"/>
      <w:r w:rsidRPr="008D7AD1">
        <w:t>Simard</w:t>
      </w:r>
      <w:proofErr w:type="spellEnd"/>
      <w:r w:rsidRPr="008D7AD1">
        <w:t xml:space="preserve">, </w:t>
      </w:r>
      <w:r w:rsidRPr="008D7AD1">
        <w:rPr>
          <w:i/>
          <w:iCs/>
        </w:rPr>
        <w:t xml:space="preserve">An </w:t>
      </w:r>
      <w:proofErr w:type="spellStart"/>
      <w:r w:rsidRPr="008D7AD1">
        <w:rPr>
          <w:i/>
          <w:iCs/>
        </w:rPr>
        <w:t>Empirical</w:t>
      </w:r>
      <w:proofErr w:type="spellEnd"/>
      <w:r w:rsidRPr="008D7AD1">
        <w:rPr>
          <w:i/>
          <w:iCs/>
        </w:rPr>
        <w:t xml:space="preserve"> </w:t>
      </w:r>
      <w:proofErr w:type="spellStart"/>
      <w:r w:rsidRPr="008D7AD1">
        <w:rPr>
          <w:i/>
          <w:iCs/>
        </w:rPr>
        <w:t>Study</w:t>
      </w:r>
      <w:proofErr w:type="spellEnd"/>
      <w:r w:rsidRPr="008D7AD1">
        <w:rPr>
          <w:i/>
          <w:iCs/>
        </w:rPr>
        <w:t xml:space="preserve"> of </w:t>
      </w:r>
      <w:proofErr w:type="spellStart"/>
      <w:r w:rsidRPr="008D7AD1">
        <w:rPr>
          <w:i/>
          <w:iCs/>
        </w:rPr>
        <w:t>Amici</w:t>
      </w:r>
      <w:proofErr w:type="spellEnd"/>
      <w:r w:rsidRPr="008D7AD1">
        <w:rPr>
          <w:i/>
          <w:iCs/>
        </w:rPr>
        <w:t xml:space="preserve"> </w:t>
      </w:r>
      <w:proofErr w:type="spellStart"/>
      <w:r w:rsidRPr="008D7AD1">
        <w:rPr>
          <w:i/>
          <w:iCs/>
        </w:rPr>
        <w:t>Curiae</w:t>
      </w:r>
      <w:proofErr w:type="spellEnd"/>
      <w:r w:rsidRPr="008D7AD1">
        <w:rPr>
          <w:i/>
          <w:iCs/>
        </w:rPr>
        <w:t xml:space="preserve"> in Federal Court: A </w:t>
      </w:r>
      <w:proofErr w:type="spellStart"/>
      <w:r w:rsidRPr="008D7AD1">
        <w:rPr>
          <w:i/>
          <w:iCs/>
        </w:rPr>
        <w:t>Fine</w:t>
      </w:r>
      <w:proofErr w:type="spellEnd"/>
      <w:r w:rsidRPr="008D7AD1">
        <w:rPr>
          <w:i/>
          <w:iCs/>
        </w:rPr>
        <w:t xml:space="preserve"> </w:t>
      </w:r>
      <w:proofErr w:type="spellStart"/>
      <w:r w:rsidRPr="008D7AD1">
        <w:rPr>
          <w:i/>
          <w:iCs/>
        </w:rPr>
        <w:t>Balance</w:t>
      </w:r>
      <w:proofErr w:type="spellEnd"/>
      <w:r w:rsidRPr="008D7AD1">
        <w:rPr>
          <w:i/>
          <w:iCs/>
        </w:rPr>
        <w:t xml:space="preserve"> of Access, </w:t>
      </w:r>
      <w:proofErr w:type="spellStart"/>
      <w:r w:rsidRPr="008D7AD1">
        <w:rPr>
          <w:i/>
          <w:iCs/>
        </w:rPr>
        <w:t>Efficiency</w:t>
      </w:r>
      <w:proofErr w:type="spellEnd"/>
      <w:r w:rsidRPr="008D7AD1">
        <w:rPr>
          <w:i/>
          <w:iCs/>
        </w:rPr>
        <w:t xml:space="preserve">, </w:t>
      </w:r>
      <w:proofErr w:type="spellStart"/>
      <w:r w:rsidRPr="008D7AD1">
        <w:rPr>
          <w:i/>
          <w:iCs/>
        </w:rPr>
        <w:t>and</w:t>
      </w:r>
      <w:proofErr w:type="spellEnd"/>
      <w:r w:rsidRPr="008D7AD1">
        <w:rPr>
          <w:i/>
          <w:iCs/>
        </w:rPr>
        <w:t xml:space="preserve"> </w:t>
      </w:r>
      <w:proofErr w:type="spellStart"/>
      <w:r w:rsidRPr="008D7AD1">
        <w:rPr>
          <w:i/>
          <w:iCs/>
        </w:rPr>
        <w:t>Adversarialism</w:t>
      </w:r>
      <w:proofErr w:type="spellEnd"/>
      <w:r w:rsidRPr="008D7AD1">
        <w:t xml:space="preserve">, 27 REV. LITIG. 669, 675, 710-11 (2008) (modern federal yargılamada </w:t>
      </w:r>
      <w:proofErr w:type="spellStart"/>
      <w:r w:rsidRPr="008D7AD1">
        <w:t>amicus</w:t>
      </w:r>
      <w:proofErr w:type="spellEnd"/>
      <w:r w:rsidRPr="008D7AD1">
        <w:t xml:space="preserve"> </w:t>
      </w:r>
      <w:proofErr w:type="spellStart"/>
      <w:r w:rsidRPr="008D7AD1">
        <w:t>curiae</w:t>
      </w:r>
      <w:proofErr w:type="spellEnd"/>
      <w:r w:rsidRPr="008D7AD1">
        <w:t xml:space="preserve"> dilekçelerinin rolünü analiz eden ve bu dilekçelerin sunulmasına yönelik usule ilişkin sınırlamaların bulunmamasının yargısal etkinliğe zarar verdiği sonucuna ulaşan çalışma).</w:t>
      </w:r>
    </w:p>
  </w:footnote>
  <w:footnote w:id="80">
    <w:p w14:paraId="6D0A9828" w14:textId="11A17738" w:rsidR="008D7AD1" w:rsidRPr="008D7AD1" w:rsidRDefault="008D7AD1" w:rsidP="008D7AD1">
      <w:pPr>
        <w:pStyle w:val="Dipnot"/>
        <w:rPr>
          <w:lang w:val="en-US"/>
        </w:rPr>
      </w:pPr>
      <w:r>
        <w:rPr>
          <w:rStyle w:val="FootnoteReference"/>
        </w:rPr>
        <w:footnoteRef/>
      </w:r>
      <w:r>
        <w:t xml:space="preserve"> </w:t>
      </w:r>
      <w:r>
        <w:tab/>
      </w:r>
      <w:r w:rsidRPr="008D7AD1">
        <w:t xml:space="preserve">80 Ekim Dönemi 2014 için katiplerin listesi ve Ekim Dönemi 2015 için erken işe alımların bir kısmı ile ilgili özgeçmiş bilgilerini içeren açıklamalar için </w:t>
      </w:r>
      <w:r w:rsidRPr="008D7AD1">
        <w:rPr>
          <w:i/>
          <w:iCs/>
        </w:rPr>
        <w:t>bkz.</w:t>
      </w:r>
      <w:r w:rsidRPr="008D7AD1">
        <w:t xml:space="preserve"> David </w:t>
      </w:r>
      <w:proofErr w:type="spellStart"/>
      <w:r w:rsidRPr="008D7AD1">
        <w:t>Lat</w:t>
      </w:r>
      <w:proofErr w:type="spellEnd"/>
      <w:r w:rsidRPr="008D7AD1">
        <w:t xml:space="preserve">, </w:t>
      </w:r>
      <w:proofErr w:type="spellStart"/>
      <w:r w:rsidRPr="008D7AD1">
        <w:rPr>
          <w:i/>
          <w:iCs/>
        </w:rPr>
        <w:t>Supreme</w:t>
      </w:r>
      <w:proofErr w:type="spellEnd"/>
      <w:r w:rsidRPr="008D7AD1">
        <w:rPr>
          <w:i/>
          <w:iCs/>
        </w:rPr>
        <w:t xml:space="preserve"> Court </w:t>
      </w:r>
      <w:proofErr w:type="spellStart"/>
      <w:r w:rsidRPr="008D7AD1">
        <w:rPr>
          <w:i/>
          <w:iCs/>
        </w:rPr>
        <w:t>Clerk</w:t>
      </w:r>
      <w:proofErr w:type="spellEnd"/>
      <w:r w:rsidRPr="008D7AD1">
        <w:rPr>
          <w:i/>
          <w:iCs/>
        </w:rPr>
        <w:t xml:space="preserve"> </w:t>
      </w:r>
      <w:proofErr w:type="spellStart"/>
      <w:r w:rsidRPr="008D7AD1">
        <w:rPr>
          <w:i/>
          <w:iCs/>
        </w:rPr>
        <w:t>Hiring</w:t>
      </w:r>
      <w:proofErr w:type="spellEnd"/>
      <w:r w:rsidRPr="008D7AD1">
        <w:rPr>
          <w:i/>
          <w:iCs/>
        </w:rPr>
        <w:t xml:space="preserve"> Watch: </w:t>
      </w:r>
      <w:proofErr w:type="spellStart"/>
      <w:r w:rsidRPr="008D7AD1">
        <w:rPr>
          <w:i/>
          <w:iCs/>
        </w:rPr>
        <w:t>Looking</w:t>
      </w:r>
      <w:proofErr w:type="spellEnd"/>
      <w:r w:rsidRPr="008D7AD1">
        <w:rPr>
          <w:i/>
          <w:iCs/>
        </w:rPr>
        <w:t xml:space="preserve"> </w:t>
      </w:r>
      <w:proofErr w:type="spellStart"/>
      <w:r w:rsidRPr="008D7AD1">
        <w:rPr>
          <w:i/>
          <w:iCs/>
        </w:rPr>
        <w:t>Ahead</w:t>
      </w:r>
      <w:proofErr w:type="spellEnd"/>
      <w:r w:rsidRPr="008D7AD1">
        <w:rPr>
          <w:i/>
          <w:iCs/>
        </w:rPr>
        <w:t xml:space="preserve"> </w:t>
      </w:r>
      <w:proofErr w:type="spellStart"/>
      <w:r w:rsidRPr="008D7AD1">
        <w:rPr>
          <w:i/>
          <w:iCs/>
        </w:rPr>
        <w:t>to</w:t>
      </w:r>
      <w:proofErr w:type="spellEnd"/>
      <w:r w:rsidRPr="008D7AD1">
        <w:rPr>
          <w:i/>
          <w:iCs/>
        </w:rPr>
        <w:t xml:space="preserve"> </w:t>
      </w:r>
      <w:proofErr w:type="spellStart"/>
      <w:r w:rsidRPr="008D7AD1">
        <w:rPr>
          <w:i/>
          <w:iCs/>
        </w:rPr>
        <w:t>October</w:t>
      </w:r>
      <w:proofErr w:type="spellEnd"/>
      <w:r w:rsidRPr="008D7AD1">
        <w:rPr>
          <w:i/>
          <w:iCs/>
        </w:rPr>
        <w:t xml:space="preserve"> </w:t>
      </w:r>
      <w:proofErr w:type="spellStart"/>
      <w:r w:rsidRPr="008D7AD1">
        <w:rPr>
          <w:i/>
          <w:iCs/>
        </w:rPr>
        <w:t>Term</w:t>
      </w:r>
      <w:proofErr w:type="spellEnd"/>
      <w:r w:rsidRPr="008D7AD1">
        <w:rPr>
          <w:i/>
          <w:iCs/>
        </w:rPr>
        <w:t xml:space="preserve"> 2015</w:t>
      </w:r>
      <w:r w:rsidRPr="008D7AD1">
        <w:t xml:space="preserve">, ABOVE THE LAW (27 Haziran 2014, 10:08 AM), </w:t>
      </w:r>
      <w:hyperlink r:id="rId2" w:tgtFrame="_new" w:history="1">
        <w:r w:rsidRPr="008D7AD1">
          <w:rPr>
            <w:rStyle w:val="Hyperlink"/>
          </w:rPr>
          <w:t>http://abovethelaw.com/2014/06/supreme-court-clerk-hiring-watch-looking-ahead-to-october-term-2015/</w:t>
        </w:r>
      </w:hyperlink>
      <w:r w:rsidRPr="008D7AD1">
        <w:t>.</w:t>
      </w:r>
    </w:p>
  </w:footnote>
  <w:footnote w:id="81">
    <w:p w14:paraId="0B949D15" w14:textId="7E61695B" w:rsidR="008D7AD1" w:rsidRPr="008D7AD1" w:rsidRDefault="008D7AD1" w:rsidP="008D7AD1">
      <w:pPr>
        <w:pStyle w:val="Dipnot"/>
        <w:rPr>
          <w:lang w:val="en-US"/>
        </w:rPr>
      </w:pPr>
      <w:r>
        <w:rPr>
          <w:rStyle w:val="FootnoteReference"/>
        </w:rPr>
        <w:footnoteRef/>
      </w:r>
      <w:r>
        <w:t xml:space="preserve"> </w:t>
      </w:r>
      <w:r>
        <w:tab/>
      </w:r>
      <w:r w:rsidRPr="008D7AD1">
        <w:t xml:space="preserve">81 </w:t>
      </w:r>
      <w:r w:rsidRPr="008D7AD1">
        <w:rPr>
          <w:i/>
          <w:iCs/>
        </w:rPr>
        <w:t>Bkz.</w:t>
      </w:r>
      <w:r w:rsidRPr="008D7AD1">
        <w:t xml:space="preserve"> ARTEMUS WARD &amp; DAVID L. WEIDEN, </w:t>
      </w:r>
      <w:r w:rsidRPr="008D7AD1">
        <w:rPr>
          <w:i/>
          <w:iCs/>
        </w:rPr>
        <w:t>SORCERERS’ APPRENTICES: 100 YEARS OF LAW CLERKS AT THE UNITED STATES SUPREME COURT</w:t>
      </w:r>
      <w:r w:rsidRPr="008D7AD1">
        <w:t xml:space="preserve"> 200-36 (2006) (Yüksek Mahkeme Yargıçlarının odalarındaki farklı görüş yazımı süreçlerini tanımlayan ve son yıllarda Yargıçların, görüşlerin fiili taslağının hazırlanmasında katiplere daha fazla sorumluluk devrettiğini ileri süren çalışma).</w:t>
      </w:r>
    </w:p>
  </w:footnote>
  <w:footnote w:id="82">
    <w:p w14:paraId="7A516925" w14:textId="73038444" w:rsidR="008D7AD1" w:rsidRPr="008D7AD1" w:rsidRDefault="008D7AD1" w:rsidP="008D7AD1">
      <w:pPr>
        <w:pStyle w:val="Dipnot"/>
        <w:rPr>
          <w:lang w:val="en-US"/>
        </w:rPr>
      </w:pPr>
      <w:r>
        <w:rPr>
          <w:rStyle w:val="FootnoteReference"/>
        </w:rPr>
        <w:footnoteRef/>
      </w:r>
      <w:r>
        <w:t xml:space="preserve"> </w:t>
      </w:r>
      <w:r>
        <w:rPr>
          <w:lang w:val="en-US"/>
        </w:rPr>
        <w:tab/>
      </w:r>
      <w:r w:rsidRPr="008D7AD1">
        <w:t xml:space="preserve">82 Hukuk katiplerinin rolüne ilişkin en kapsamlı akademik çalışmalar için genel olarak </w:t>
      </w:r>
      <w:r w:rsidRPr="008D7AD1">
        <w:rPr>
          <w:i/>
          <w:iCs/>
        </w:rPr>
        <w:t>bkz.</w:t>
      </w:r>
      <w:r w:rsidRPr="008D7AD1">
        <w:t xml:space="preserve"> </w:t>
      </w:r>
      <w:proofErr w:type="spellStart"/>
      <w:r w:rsidRPr="008D7AD1">
        <w:t>Peppers</w:t>
      </w:r>
      <w:proofErr w:type="spellEnd"/>
      <w:r w:rsidRPr="008D7AD1">
        <w:t xml:space="preserve">, </w:t>
      </w:r>
      <w:proofErr w:type="spellStart"/>
      <w:r w:rsidRPr="008D7AD1">
        <w:rPr>
          <w:i/>
          <w:iCs/>
        </w:rPr>
        <w:t>supra</w:t>
      </w:r>
      <w:proofErr w:type="spellEnd"/>
      <w:r w:rsidRPr="008D7AD1">
        <w:t xml:space="preserve"> not 78; </w:t>
      </w:r>
      <w:proofErr w:type="spellStart"/>
      <w:r w:rsidRPr="008D7AD1">
        <w:t>Ward</w:t>
      </w:r>
      <w:proofErr w:type="spellEnd"/>
      <w:r w:rsidRPr="008D7AD1">
        <w:t xml:space="preserve"> &amp; </w:t>
      </w:r>
      <w:proofErr w:type="spellStart"/>
      <w:r w:rsidRPr="008D7AD1">
        <w:t>Weiden</w:t>
      </w:r>
      <w:proofErr w:type="spellEnd"/>
      <w:r w:rsidRPr="008D7AD1">
        <w:t xml:space="preserve">, </w:t>
      </w:r>
      <w:proofErr w:type="spellStart"/>
      <w:r w:rsidRPr="008D7AD1">
        <w:rPr>
          <w:i/>
          <w:iCs/>
        </w:rPr>
        <w:t>supra</w:t>
      </w:r>
      <w:proofErr w:type="spellEnd"/>
      <w:r w:rsidRPr="008D7AD1">
        <w:t xml:space="preserve"> not 81.</w:t>
      </w:r>
    </w:p>
  </w:footnote>
  <w:footnote w:id="83">
    <w:p w14:paraId="4D45D1C7" w14:textId="45E36C5D" w:rsidR="008D7AD1" w:rsidRPr="008D7AD1" w:rsidRDefault="008D7AD1" w:rsidP="008D7AD1">
      <w:pPr>
        <w:pStyle w:val="Dipnot"/>
        <w:rPr>
          <w:lang w:val="en-US"/>
        </w:rPr>
      </w:pPr>
      <w:r>
        <w:rPr>
          <w:rStyle w:val="FootnoteReference"/>
        </w:rPr>
        <w:footnoteRef/>
      </w:r>
      <w:r>
        <w:t xml:space="preserve"> </w:t>
      </w:r>
      <w:r>
        <w:tab/>
      </w:r>
      <w:r w:rsidRPr="008D7AD1">
        <w:t xml:space="preserve">83 </w:t>
      </w:r>
      <w:r w:rsidRPr="008D7AD1">
        <w:rPr>
          <w:i/>
          <w:iCs/>
        </w:rPr>
        <w:t>Bkz.</w:t>
      </w:r>
      <w:r w:rsidRPr="008D7AD1">
        <w:t xml:space="preserve"> </w:t>
      </w:r>
      <w:proofErr w:type="spellStart"/>
      <w:r w:rsidRPr="008D7AD1">
        <w:t>Peppers</w:t>
      </w:r>
      <w:proofErr w:type="spellEnd"/>
      <w:r w:rsidRPr="008D7AD1">
        <w:t xml:space="preserve">, </w:t>
      </w:r>
      <w:proofErr w:type="spellStart"/>
      <w:r w:rsidRPr="008D7AD1">
        <w:rPr>
          <w:i/>
          <w:iCs/>
        </w:rPr>
        <w:t>supra</w:t>
      </w:r>
      <w:proofErr w:type="spellEnd"/>
      <w:r w:rsidRPr="008D7AD1">
        <w:t xml:space="preserve"> not 78, s. 3.</w:t>
      </w:r>
    </w:p>
  </w:footnote>
  <w:footnote w:id="84">
    <w:p w14:paraId="278CAC85" w14:textId="15BD9553" w:rsidR="008D7AD1" w:rsidRPr="008D7AD1" w:rsidRDefault="008D7AD1" w:rsidP="008D7AD1">
      <w:pPr>
        <w:pStyle w:val="Dipnot"/>
        <w:rPr>
          <w:lang w:val="en-US"/>
        </w:rPr>
      </w:pPr>
      <w:r>
        <w:rPr>
          <w:rStyle w:val="FootnoteReference"/>
        </w:rPr>
        <w:footnoteRef/>
      </w:r>
      <w:r>
        <w:t xml:space="preserve"> </w:t>
      </w:r>
      <w:r>
        <w:tab/>
      </w:r>
      <w:r w:rsidRPr="008D7AD1">
        <w:t xml:space="preserve">84 </w:t>
      </w:r>
      <w:r w:rsidRPr="008D7AD1">
        <w:rPr>
          <w:i/>
          <w:iCs/>
        </w:rPr>
        <w:t>Bkz.</w:t>
      </w:r>
      <w:r w:rsidRPr="008D7AD1">
        <w:t xml:space="preserve"> Martha </w:t>
      </w:r>
      <w:proofErr w:type="spellStart"/>
      <w:r w:rsidRPr="008D7AD1">
        <w:t>Swann</w:t>
      </w:r>
      <w:proofErr w:type="spellEnd"/>
      <w:r w:rsidRPr="008D7AD1">
        <w:t xml:space="preserve">, </w:t>
      </w:r>
      <w:proofErr w:type="spellStart"/>
      <w:r w:rsidRPr="008D7AD1">
        <w:rPr>
          <w:i/>
          <w:iCs/>
        </w:rPr>
        <w:t>Clerks</w:t>
      </w:r>
      <w:proofErr w:type="spellEnd"/>
      <w:r w:rsidRPr="008D7AD1">
        <w:rPr>
          <w:i/>
          <w:iCs/>
        </w:rPr>
        <w:t xml:space="preserve"> of </w:t>
      </w:r>
      <w:proofErr w:type="spellStart"/>
      <w:r w:rsidRPr="008D7AD1">
        <w:rPr>
          <w:i/>
          <w:iCs/>
        </w:rPr>
        <w:t>the</w:t>
      </w:r>
      <w:proofErr w:type="spellEnd"/>
      <w:r w:rsidRPr="008D7AD1">
        <w:rPr>
          <w:i/>
          <w:iCs/>
        </w:rPr>
        <w:t xml:space="preserve"> </w:t>
      </w:r>
      <w:proofErr w:type="spellStart"/>
      <w:r w:rsidRPr="008D7AD1">
        <w:rPr>
          <w:i/>
          <w:iCs/>
        </w:rPr>
        <w:t>Justices</w:t>
      </w:r>
      <w:proofErr w:type="spellEnd"/>
      <w:r w:rsidRPr="008D7AD1">
        <w:t xml:space="preserve">, </w:t>
      </w:r>
      <w:proofErr w:type="spellStart"/>
      <w:r w:rsidRPr="008D7AD1">
        <w:rPr>
          <w:i/>
          <w:iCs/>
        </w:rPr>
        <w:t>The</w:t>
      </w:r>
      <w:proofErr w:type="spellEnd"/>
      <w:r w:rsidRPr="008D7AD1">
        <w:rPr>
          <w:i/>
          <w:iCs/>
        </w:rPr>
        <w:t xml:space="preserve"> Oxford Companion </w:t>
      </w:r>
      <w:proofErr w:type="spellStart"/>
      <w:r w:rsidRPr="008D7AD1">
        <w:rPr>
          <w:i/>
          <w:iCs/>
        </w:rPr>
        <w:t>to</w:t>
      </w:r>
      <w:proofErr w:type="spellEnd"/>
      <w:r w:rsidRPr="008D7AD1">
        <w:rPr>
          <w:i/>
          <w:iCs/>
        </w:rPr>
        <w:t xml:space="preserve"> </w:t>
      </w:r>
      <w:proofErr w:type="spellStart"/>
      <w:r w:rsidRPr="008D7AD1">
        <w:rPr>
          <w:i/>
          <w:iCs/>
        </w:rPr>
        <w:t>the</w:t>
      </w:r>
      <w:proofErr w:type="spellEnd"/>
      <w:r w:rsidRPr="008D7AD1">
        <w:rPr>
          <w:i/>
          <w:iCs/>
        </w:rPr>
        <w:t xml:space="preserve"> </w:t>
      </w:r>
      <w:proofErr w:type="spellStart"/>
      <w:r w:rsidRPr="008D7AD1">
        <w:rPr>
          <w:i/>
          <w:iCs/>
        </w:rPr>
        <w:t>Supreme</w:t>
      </w:r>
      <w:proofErr w:type="spellEnd"/>
      <w:r w:rsidRPr="008D7AD1">
        <w:rPr>
          <w:i/>
          <w:iCs/>
        </w:rPr>
        <w:t xml:space="preserve"> Court of </w:t>
      </w:r>
      <w:proofErr w:type="spellStart"/>
      <w:r w:rsidRPr="008D7AD1">
        <w:rPr>
          <w:i/>
          <w:iCs/>
        </w:rPr>
        <w:t>the</w:t>
      </w:r>
      <w:proofErr w:type="spellEnd"/>
      <w:r w:rsidRPr="008D7AD1">
        <w:rPr>
          <w:i/>
          <w:iCs/>
        </w:rPr>
        <w:t xml:space="preserve"> United </w:t>
      </w:r>
      <w:proofErr w:type="spellStart"/>
      <w:r w:rsidRPr="008D7AD1">
        <w:rPr>
          <w:i/>
          <w:iCs/>
        </w:rPr>
        <w:t>States</w:t>
      </w:r>
      <w:proofErr w:type="spellEnd"/>
      <w:r w:rsidRPr="008D7AD1">
        <w:t xml:space="preserve"> 159, 159–60 (</w:t>
      </w:r>
      <w:proofErr w:type="spellStart"/>
      <w:r w:rsidRPr="008D7AD1">
        <w:t>Kermit</w:t>
      </w:r>
      <w:proofErr w:type="spellEnd"/>
      <w:r w:rsidRPr="008D7AD1">
        <w:t xml:space="preserve"> L. </w:t>
      </w:r>
      <w:proofErr w:type="spellStart"/>
      <w:r w:rsidRPr="008D7AD1">
        <w:t>Hall</w:t>
      </w:r>
      <w:proofErr w:type="spellEnd"/>
      <w:r w:rsidRPr="008D7AD1">
        <w:t xml:space="preserve"> ve diğerleri ed., 1992).</w:t>
      </w:r>
    </w:p>
  </w:footnote>
  <w:footnote w:id="85">
    <w:p w14:paraId="65510985" w14:textId="500254F5" w:rsidR="008D7AD1" w:rsidRPr="008D7AD1" w:rsidRDefault="008D7AD1" w:rsidP="008D7AD1">
      <w:pPr>
        <w:pStyle w:val="Dipnot"/>
        <w:rPr>
          <w:lang w:val="en-US"/>
        </w:rPr>
      </w:pPr>
      <w:r>
        <w:rPr>
          <w:rStyle w:val="FootnoteReference"/>
        </w:rPr>
        <w:footnoteRef/>
      </w:r>
      <w:r>
        <w:t xml:space="preserve"> </w:t>
      </w:r>
      <w:r>
        <w:tab/>
      </w:r>
      <w:r w:rsidRPr="008D7AD1">
        <w:t xml:space="preserve">85 </w:t>
      </w:r>
      <w:r w:rsidRPr="008D7AD1">
        <w:rPr>
          <w:i/>
          <w:iCs/>
        </w:rPr>
        <w:t>Bkz.</w:t>
      </w:r>
      <w:r w:rsidRPr="008D7AD1">
        <w:t xml:space="preserve"> </w:t>
      </w:r>
      <w:r w:rsidRPr="008D7AD1">
        <w:rPr>
          <w:i/>
          <w:iCs/>
        </w:rPr>
        <w:t>id.</w:t>
      </w:r>
      <w:r w:rsidRPr="008D7AD1">
        <w:t xml:space="preserve"> Bu olayların daha ayrıntılı bir anlatımı için genel olarak </w:t>
      </w:r>
      <w:r w:rsidRPr="008D7AD1">
        <w:rPr>
          <w:i/>
          <w:iCs/>
        </w:rPr>
        <w:t>bkz.</w:t>
      </w:r>
      <w:r w:rsidRPr="008D7AD1">
        <w:t xml:space="preserve"> </w:t>
      </w:r>
      <w:proofErr w:type="spellStart"/>
      <w:r w:rsidRPr="008D7AD1">
        <w:t>Peppers</w:t>
      </w:r>
      <w:proofErr w:type="spellEnd"/>
      <w:r w:rsidRPr="008D7AD1">
        <w:t xml:space="preserve">, </w:t>
      </w:r>
      <w:proofErr w:type="spellStart"/>
      <w:r w:rsidRPr="008D7AD1">
        <w:rPr>
          <w:i/>
          <w:iCs/>
        </w:rPr>
        <w:t>supra</w:t>
      </w:r>
      <w:proofErr w:type="spellEnd"/>
      <w:r w:rsidRPr="008D7AD1">
        <w:t xml:space="preserve"> not 78.</w:t>
      </w:r>
    </w:p>
  </w:footnote>
  <w:footnote w:id="86">
    <w:p w14:paraId="5B87615A" w14:textId="0C97F0C4" w:rsidR="008D7AD1" w:rsidRPr="008D7AD1" w:rsidRDefault="008D7AD1" w:rsidP="00FD2A62">
      <w:pPr>
        <w:pStyle w:val="Dipnot"/>
        <w:rPr>
          <w:lang w:val="en-US"/>
        </w:rPr>
      </w:pPr>
      <w:r>
        <w:rPr>
          <w:rStyle w:val="FootnoteReference"/>
        </w:rPr>
        <w:footnoteRef/>
      </w:r>
      <w:r w:rsidR="00FD2A62">
        <w:rPr>
          <w:lang w:val="en-US"/>
        </w:rPr>
        <w:tab/>
      </w:r>
      <w:r w:rsidR="00FD2A62" w:rsidRPr="00FD2A62">
        <w:t xml:space="preserve">86 </w:t>
      </w:r>
      <w:r w:rsidR="00FD2A62" w:rsidRPr="00FD2A62">
        <w:rPr>
          <w:i/>
          <w:iCs/>
        </w:rPr>
        <w:t>Bkz.</w:t>
      </w:r>
      <w:r w:rsidR="00FD2A62" w:rsidRPr="00FD2A62">
        <w:t xml:space="preserve"> </w:t>
      </w:r>
      <w:proofErr w:type="spellStart"/>
      <w:r w:rsidR="00FD2A62" w:rsidRPr="00FD2A62">
        <w:rPr>
          <w:i/>
          <w:iCs/>
        </w:rPr>
        <w:t>supra</w:t>
      </w:r>
      <w:proofErr w:type="spellEnd"/>
      <w:r w:rsidR="00FD2A62" w:rsidRPr="00FD2A62">
        <w:t xml:space="preserve"> notlar 43–45 ve ilgili metin.</w:t>
      </w:r>
    </w:p>
  </w:footnote>
  <w:footnote w:id="87">
    <w:p w14:paraId="1A6D61A6" w14:textId="606500CA" w:rsidR="00FD2A62" w:rsidRPr="00FD2A62" w:rsidRDefault="00FD2A62" w:rsidP="00FD2A62">
      <w:pPr>
        <w:pStyle w:val="Dipnot"/>
        <w:rPr>
          <w:lang w:val="en-US"/>
        </w:rPr>
      </w:pPr>
      <w:r>
        <w:rPr>
          <w:rStyle w:val="FootnoteReference"/>
        </w:rPr>
        <w:footnoteRef/>
      </w:r>
      <w:r>
        <w:t xml:space="preserve"> </w:t>
      </w:r>
      <w:r>
        <w:tab/>
      </w:r>
      <w:r w:rsidRPr="00FD2A62">
        <w:t xml:space="preserve">87 </w:t>
      </w:r>
      <w:r w:rsidRPr="00FD2A62">
        <w:rPr>
          <w:i/>
          <w:iCs/>
        </w:rPr>
        <w:t>Bkz.</w:t>
      </w:r>
      <w:r w:rsidRPr="00FD2A62">
        <w:t xml:space="preserve"> Adam </w:t>
      </w:r>
      <w:proofErr w:type="spellStart"/>
      <w:r w:rsidRPr="00FD2A62">
        <w:t>Liptak</w:t>
      </w:r>
      <w:proofErr w:type="spellEnd"/>
      <w:r w:rsidRPr="00FD2A62">
        <w:t xml:space="preserve">, </w:t>
      </w:r>
      <w:r w:rsidRPr="00FD2A62">
        <w:rPr>
          <w:i/>
          <w:iCs/>
        </w:rPr>
        <w:t xml:space="preserve">A </w:t>
      </w:r>
      <w:proofErr w:type="spellStart"/>
      <w:r w:rsidRPr="00FD2A62">
        <w:rPr>
          <w:i/>
          <w:iCs/>
        </w:rPr>
        <w:t>Sign</w:t>
      </w:r>
      <w:proofErr w:type="spellEnd"/>
      <w:r w:rsidRPr="00FD2A62">
        <w:rPr>
          <w:i/>
          <w:iCs/>
        </w:rPr>
        <w:t xml:space="preserve"> of </w:t>
      </w:r>
      <w:proofErr w:type="spellStart"/>
      <w:r w:rsidRPr="00FD2A62">
        <w:rPr>
          <w:i/>
          <w:iCs/>
        </w:rPr>
        <w:t>Court’s</w:t>
      </w:r>
      <w:proofErr w:type="spellEnd"/>
      <w:r w:rsidRPr="00FD2A62">
        <w:rPr>
          <w:i/>
          <w:iCs/>
        </w:rPr>
        <w:t xml:space="preserve"> </w:t>
      </w:r>
      <w:proofErr w:type="spellStart"/>
      <w:r w:rsidRPr="00FD2A62">
        <w:rPr>
          <w:i/>
          <w:iCs/>
        </w:rPr>
        <w:t>Polarization</w:t>
      </w:r>
      <w:proofErr w:type="spellEnd"/>
      <w:r w:rsidRPr="00FD2A62">
        <w:rPr>
          <w:i/>
          <w:iCs/>
        </w:rPr>
        <w:t xml:space="preserve">: </w:t>
      </w:r>
      <w:proofErr w:type="spellStart"/>
      <w:r w:rsidRPr="00FD2A62">
        <w:rPr>
          <w:i/>
          <w:iCs/>
        </w:rPr>
        <w:t>Choice</w:t>
      </w:r>
      <w:proofErr w:type="spellEnd"/>
      <w:r w:rsidRPr="00FD2A62">
        <w:rPr>
          <w:i/>
          <w:iCs/>
        </w:rPr>
        <w:t xml:space="preserve"> of </w:t>
      </w:r>
      <w:proofErr w:type="spellStart"/>
      <w:r w:rsidRPr="00FD2A62">
        <w:rPr>
          <w:i/>
          <w:iCs/>
        </w:rPr>
        <w:t>Clerks</w:t>
      </w:r>
      <w:proofErr w:type="spellEnd"/>
      <w:r w:rsidRPr="00FD2A62">
        <w:t>, N.Y. Times, 7 Eylül 2010, s. A1, A16.</w:t>
      </w:r>
    </w:p>
  </w:footnote>
  <w:footnote w:id="88">
    <w:p w14:paraId="3277ED78" w14:textId="0959A6B6" w:rsidR="00FD2A62" w:rsidRPr="00FD2A62" w:rsidRDefault="00FD2A62" w:rsidP="00FD2A62">
      <w:pPr>
        <w:pStyle w:val="Dipnot"/>
        <w:rPr>
          <w:lang w:val="en-US"/>
        </w:rPr>
      </w:pPr>
      <w:r>
        <w:rPr>
          <w:rStyle w:val="FootnoteReference"/>
        </w:rPr>
        <w:footnoteRef/>
      </w:r>
      <w:r>
        <w:t xml:space="preserve"> </w:t>
      </w:r>
      <w:r>
        <w:tab/>
      </w:r>
      <w:r w:rsidRPr="00FD2A62">
        <w:t xml:space="preserve">88 </w:t>
      </w:r>
      <w:r w:rsidRPr="00FD2A62">
        <w:rPr>
          <w:i/>
          <w:iCs/>
        </w:rPr>
        <w:t xml:space="preserve">Bkz. </w:t>
      </w:r>
      <w:proofErr w:type="spellStart"/>
      <w:r w:rsidRPr="00FD2A62">
        <w:rPr>
          <w:i/>
          <w:iCs/>
        </w:rPr>
        <w:t>örn</w:t>
      </w:r>
      <w:proofErr w:type="spellEnd"/>
      <w:r w:rsidRPr="00FD2A62">
        <w:rPr>
          <w:i/>
          <w:iCs/>
        </w:rPr>
        <w:t>.</w:t>
      </w:r>
      <w:r w:rsidRPr="00FD2A62">
        <w:t xml:space="preserve">, </w:t>
      </w:r>
      <w:proofErr w:type="spellStart"/>
      <w:r w:rsidRPr="00FD2A62">
        <w:t>Posner</w:t>
      </w:r>
      <w:proofErr w:type="spellEnd"/>
      <w:r w:rsidRPr="00FD2A62">
        <w:t xml:space="preserve">, </w:t>
      </w:r>
      <w:proofErr w:type="spellStart"/>
      <w:r w:rsidRPr="00FD2A62">
        <w:rPr>
          <w:i/>
          <w:iCs/>
        </w:rPr>
        <w:t>supra</w:t>
      </w:r>
      <w:proofErr w:type="spellEnd"/>
      <w:r w:rsidRPr="00FD2A62">
        <w:t xml:space="preserve"> not 25, s. 238–55 (ilk taslakların hukuk katiplerine devredilmesi uygulamasını hem içerik hem de üslup açısından eleştiren çalışma).</w:t>
      </w:r>
    </w:p>
  </w:footnote>
  <w:footnote w:id="89">
    <w:p w14:paraId="673DC08C" w14:textId="68F5CDF8" w:rsidR="00FD2A62" w:rsidRPr="00FD2A62" w:rsidRDefault="00FD2A62" w:rsidP="00FD2A62">
      <w:pPr>
        <w:pStyle w:val="Dipnot"/>
        <w:rPr>
          <w:lang w:val="en-US"/>
        </w:rPr>
      </w:pPr>
      <w:r>
        <w:rPr>
          <w:rStyle w:val="FootnoteReference"/>
        </w:rPr>
        <w:footnoteRef/>
      </w:r>
      <w:r>
        <w:t xml:space="preserve"> </w:t>
      </w:r>
      <w:r>
        <w:rPr>
          <w:lang w:val="en-US"/>
        </w:rPr>
        <w:tab/>
      </w:r>
      <w:r w:rsidRPr="00FD2A62">
        <w:t xml:space="preserve">89 </w:t>
      </w:r>
      <w:r w:rsidRPr="00FD2A62">
        <w:rPr>
          <w:i/>
          <w:iCs/>
        </w:rPr>
        <w:t>Bkz.</w:t>
      </w:r>
      <w:r w:rsidRPr="00FD2A62">
        <w:t xml:space="preserve"> </w:t>
      </w:r>
      <w:proofErr w:type="spellStart"/>
      <w:r w:rsidRPr="00FD2A62">
        <w:rPr>
          <w:i/>
          <w:iCs/>
        </w:rPr>
        <w:t>supra</w:t>
      </w:r>
      <w:proofErr w:type="spellEnd"/>
      <w:r w:rsidRPr="00FD2A62">
        <w:t xml:space="preserve"> notlar 43–45 ve ilgili metin.</w:t>
      </w:r>
    </w:p>
  </w:footnote>
  <w:footnote w:id="90">
    <w:p w14:paraId="56C0A548" w14:textId="79C6AE30" w:rsidR="00FD2A62" w:rsidRPr="00FD2A62" w:rsidRDefault="00FD2A62" w:rsidP="00FD2A62">
      <w:pPr>
        <w:pStyle w:val="Dipnot"/>
        <w:rPr>
          <w:lang w:val="en-US"/>
        </w:rPr>
      </w:pPr>
      <w:r>
        <w:rPr>
          <w:rStyle w:val="FootnoteReference"/>
        </w:rPr>
        <w:footnoteRef/>
      </w:r>
      <w:r>
        <w:t xml:space="preserve"> </w:t>
      </w:r>
      <w:r>
        <w:tab/>
      </w:r>
      <w:r w:rsidR="003E5A86" w:rsidRPr="003E5A86">
        <w:t xml:space="preserve">90 Yüksek Mahkeme’nin </w:t>
      </w:r>
      <w:r w:rsidR="003E5A86" w:rsidRPr="003E5A86">
        <w:rPr>
          <w:i/>
          <w:iCs/>
        </w:rPr>
        <w:t>Lawrence v. Texas</w:t>
      </w:r>
      <w:r w:rsidR="003E5A86" w:rsidRPr="003E5A86">
        <w:t xml:space="preserve">, 539 U.S. 558 (2003) kararını vererek </w:t>
      </w:r>
      <w:proofErr w:type="spellStart"/>
      <w:r w:rsidR="003E5A86" w:rsidRPr="003E5A86">
        <w:rPr>
          <w:i/>
          <w:iCs/>
        </w:rPr>
        <w:t>Bowers</w:t>
      </w:r>
      <w:proofErr w:type="spellEnd"/>
      <w:r w:rsidR="003E5A86" w:rsidRPr="003E5A86">
        <w:rPr>
          <w:i/>
          <w:iCs/>
        </w:rPr>
        <w:t xml:space="preserve"> v. </w:t>
      </w:r>
      <w:proofErr w:type="spellStart"/>
      <w:r w:rsidR="003E5A86" w:rsidRPr="003E5A86">
        <w:rPr>
          <w:i/>
          <w:iCs/>
        </w:rPr>
        <w:t>Hardwick</w:t>
      </w:r>
      <w:proofErr w:type="spellEnd"/>
      <w:r w:rsidR="003E5A86" w:rsidRPr="003E5A86">
        <w:t xml:space="preserve">, 478 U.S. 186 (1986) kararını ilga ettiği ve On Dördüncü </w:t>
      </w:r>
      <w:proofErr w:type="spellStart"/>
      <w:r w:rsidR="003E5A86" w:rsidRPr="003E5A86">
        <w:t>Değişiklik’in</w:t>
      </w:r>
      <w:proofErr w:type="spellEnd"/>
      <w:r w:rsidR="003E5A86" w:rsidRPr="003E5A86">
        <w:t xml:space="preserve"> (</w:t>
      </w:r>
      <w:proofErr w:type="spellStart"/>
      <w:r w:rsidR="003E5A86" w:rsidRPr="003E5A86">
        <w:t>Fourteenth</w:t>
      </w:r>
      <w:proofErr w:type="spellEnd"/>
      <w:r w:rsidR="003E5A86" w:rsidRPr="003E5A86">
        <w:t xml:space="preserve"> </w:t>
      </w:r>
      <w:proofErr w:type="spellStart"/>
      <w:r w:rsidR="003E5A86" w:rsidRPr="003E5A86">
        <w:t>Amendment</w:t>
      </w:r>
      <w:proofErr w:type="spellEnd"/>
      <w:r w:rsidR="003E5A86" w:rsidRPr="003E5A86">
        <w:t xml:space="preserve">) </w:t>
      </w:r>
      <w:r w:rsidR="003E5A86" w:rsidRPr="003E5A86">
        <w:rPr>
          <w:b/>
          <w:bCs/>
        </w:rPr>
        <w:t>usulüne uygun yargılama</w:t>
      </w:r>
      <w:r w:rsidR="003E5A86" w:rsidRPr="003E5A86">
        <w:t xml:space="preserve"> (</w:t>
      </w:r>
      <w:proofErr w:type="spellStart"/>
      <w:r w:rsidR="003E5A86" w:rsidRPr="003E5A86">
        <w:t>Due</w:t>
      </w:r>
      <w:proofErr w:type="spellEnd"/>
      <w:r w:rsidR="003E5A86" w:rsidRPr="003E5A86">
        <w:t xml:space="preserve"> </w:t>
      </w:r>
      <w:proofErr w:type="spellStart"/>
      <w:r w:rsidR="003E5A86" w:rsidRPr="003E5A86">
        <w:t>Process</w:t>
      </w:r>
      <w:proofErr w:type="spellEnd"/>
      <w:r w:rsidR="003E5A86" w:rsidRPr="003E5A86">
        <w:t xml:space="preserve"> </w:t>
      </w:r>
      <w:proofErr w:type="spellStart"/>
      <w:r w:rsidR="003E5A86" w:rsidRPr="003E5A86">
        <w:t>Clause</w:t>
      </w:r>
      <w:proofErr w:type="spellEnd"/>
      <w:r w:rsidR="003E5A86" w:rsidRPr="003E5A86">
        <w:t xml:space="preserve">) hükmünün, eşcinsel yetişkinler arasındaki özel ve rızaya dayalı cinsel ilişkiyi suç sayan eyalet yasalarını yasakladığını belirttiği günden bu yana, söz konusu kararın analitik netlikten yoksun olmasının kısmen, Yargıç Kennedy’nin görüşünü, sonucu konusunda aynı fikirde olmayan katibine “karşı yazarak” kaleme almasından kaynaklandığına dair sürekli söylentiler dolaşmaktadır. </w:t>
      </w:r>
      <w:proofErr w:type="spellStart"/>
      <w:r w:rsidR="003E5A86" w:rsidRPr="003E5A86">
        <w:rPr>
          <w:i/>
          <w:iCs/>
        </w:rPr>
        <w:t>Karş</w:t>
      </w:r>
      <w:proofErr w:type="spellEnd"/>
      <w:r w:rsidR="003E5A86" w:rsidRPr="003E5A86">
        <w:rPr>
          <w:i/>
          <w:iCs/>
        </w:rPr>
        <w:t>.</w:t>
      </w:r>
      <w:r w:rsidR="003E5A86" w:rsidRPr="003E5A86">
        <w:t xml:space="preserve"> </w:t>
      </w:r>
      <w:proofErr w:type="spellStart"/>
      <w:r w:rsidR="003E5A86" w:rsidRPr="003E5A86">
        <w:t>Toobin</w:t>
      </w:r>
      <w:proofErr w:type="spellEnd"/>
      <w:r w:rsidR="003E5A86" w:rsidRPr="003E5A86">
        <w:t xml:space="preserve">, </w:t>
      </w:r>
      <w:proofErr w:type="spellStart"/>
      <w:r w:rsidR="003E5A86" w:rsidRPr="003E5A86">
        <w:rPr>
          <w:i/>
          <w:iCs/>
        </w:rPr>
        <w:t>supra</w:t>
      </w:r>
      <w:proofErr w:type="spellEnd"/>
      <w:r w:rsidR="003E5A86" w:rsidRPr="003E5A86">
        <w:t xml:space="preserve"> not 37, s. 189 (o dönemde Yargıç Kennedy’nin dört katibinden üçünün "muhafazakâr" olduğunu belirten çalışma).</w:t>
      </w:r>
    </w:p>
  </w:footnote>
  <w:footnote w:id="91">
    <w:p w14:paraId="02078C2B" w14:textId="1F53A18D" w:rsidR="00FD2A62" w:rsidRPr="00FD2A62" w:rsidRDefault="00FD2A62" w:rsidP="00FD2A62">
      <w:pPr>
        <w:pStyle w:val="Dipnot"/>
        <w:rPr>
          <w:lang w:val="en-US"/>
        </w:rPr>
      </w:pPr>
      <w:r>
        <w:rPr>
          <w:rStyle w:val="FootnoteReference"/>
        </w:rPr>
        <w:footnoteRef/>
      </w:r>
      <w:r>
        <w:t xml:space="preserve"> </w:t>
      </w:r>
      <w:r>
        <w:tab/>
      </w:r>
      <w:r w:rsidR="003E5A86" w:rsidRPr="003E5A86">
        <w:t xml:space="preserve">91 </w:t>
      </w:r>
      <w:r w:rsidR="003E5A86" w:rsidRPr="003E5A86">
        <w:rPr>
          <w:i/>
          <w:iCs/>
        </w:rPr>
        <w:t xml:space="preserve">Bkz. </w:t>
      </w:r>
      <w:proofErr w:type="spellStart"/>
      <w:r w:rsidR="003E5A86" w:rsidRPr="003E5A86">
        <w:rPr>
          <w:i/>
          <w:iCs/>
        </w:rPr>
        <w:t>örn</w:t>
      </w:r>
      <w:proofErr w:type="spellEnd"/>
      <w:r w:rsidR="003E5A86" w:rsidRPr="003E5A86">
        <w:rPr>
          <w:i/>
          <w:iCs/>
        </w:rPr>
        <w:t>.</w:t>
      </w:r>
      <w:r w:rsidR="003E5A86" w:rsidRPr="003E5A86">
        <w:t xml:space="preserve">, Richard L. </w:t>
      </w:r>
      <w:proofErr w:type="spellStart"/>
      <w:r w:rsidR="003E5A86" w:rsidRPr="003E5A86">
        <w:t>Hasen</w:t>
      </w:r>
      <w:proofErr w:type="spellEnd"/>
      <w:r w:rsidR="003E5A86" w:rsidRPr="003E5A86">
        <w:t xml:space="preserve">, </w:t>
      </w:r>
      <w:proofErr w:type="spellStart"/>
      <w:r w:rsidR="003E5A86" w:rsidRPr="003E5A86">
        <w:rPr>
          <w:i/>
          <w:iCs/>
        </w:rPr>
        <w:t>Anticipatory</w:t>
      </w:r>
      <w:proofErr w:type="spellEnd"/>
      <w:r w:rsidR="003E5A86" w:rsidRPr="003E5A86">
        <w:rPr>
          <w:i/>
          <w:iCs/>
        </w:rPr>
        <w:t xml:space="preserve"> </w:t>
      </w:r>
      <w:proofErr w:type="spellStart"/>
      <w:r w:rsidR="003E5A86" w:rsidRPr="003E5A86">
        <w:rPr>
          <w:i/>
          <w:iCs/>
        </w:rPr>
        <w:t>Overrulings</w:t>
      </w:r>
      <w:proofErr w:type="spellEnd"/>
      <w:r w:rsidR="003E5A86" w:rsidRPr="003E5A86">
        <w:rPr>
          <w:i/>
          <w:iCs/>
        </w:rPr>
        <w:t xml:space="preserve">, </w:t>
      </w:r>
      <w:proofErr w:type="spellStart"/>
      <w:r w:rsidR="003E5A86" w:rsidRPr="003E5A86">
        <w:rPr>
          <w:i/>
          <w:iCs/>
        </w:rPr>
        <w:t>Invitations</w:t>
      </w:r>
      <w:proofErr w:type="spellEnd"/>
      <w:r w:rsidR="003E5A86" w:rsidRPr="003E5A86">
        <w:rPr>
          <w:i/>
          <w:iCs/>
        </w:rPr>
        <w:t xml:space="preserve">, Time </w:t>
      </w:r>
      <w:proofErr w:type="spellStart"/>
      <w:r w:rsidR="003E5A86" w:rsidRPr="003E5A86">
        <w:rPr>
          <w:i/>
          <w:iCs/>
        </w:rPr>
        <w:t>Bombs</w:t>
      </w:r>
      <w:proofErr w:type="spellEnd"/>
      <w:r w:rsidR="003E5A86" w:rsidRPr="003E5A86">
        <w:rPr>
          <w:i/>
          <w:iCs/>
        </w:rPr>
        <w:t xml:space="preserve">, </w:t>
      </w:r>
      <w:proofErr w:type="spellStart"/>
      <w:r w:rsidR="003E5A86" w:rsidRPr="003E5A86">
        <w:rPr>
          <w:i/>
          <w:iCs/>
        </w:rPr>
        <w:t>and</w:t>
      </w:r>
      <w:proofErr w:type="spellEnd"/>
      <w:r w:rsidR="003E5A86" w:rsidRPr="003E5A86">
        <w:rPr>
          <w:i/>
          <w:iCs/>
        </w:rPr>
        <w:t xml:space="preserve"> </w:t>
      </w:r>
      <w:proofErr w:type="spellStart"/>
      <w:r w:rsidR="003E5A86" w:rsidRPr="003E5A86">
        <w:rPr>
          <w:i/>
          <w:iCs/>
        </w:rPr>
        <w:t>Inadvertence</w:t>
      </w:r>
      <w:proofErr w:type="spellEnd"/>
      <w:r w:rsidR="003E5A86" w:rsidRPr="003E5A86">
        <w:rPr>
          <w:i/>
          <w:iCs/>
        </w:rPr>
        <w:t xml:space="preserve">: How </w:t>
      </w:r>
      <w:proofErr w:type="spellStart"/>
      <w:r w:rsidR="003E5A86" w:rsidRPr="003E5A86">
        <w:rPr>
          <w:i/>
          <w:iCs/>
        </w:rPr>
        <w:t>Supreme</w:t>
      </w:r>
      <w:proofErr w:type="spellEnd"/>
      <w:r w:rsidR="003E5A86" w:rsidRPr="003E5A86">
        <w:rPr>
          <w:i/>
          <w:iCs/>
        </w:rPr>
        <w:t xml:space="preserve"> Court </w:t>
      </w:r>
      <w:proofErr w:type="spellStart"/>
      <w:r w:rsidR="003E5A86" w:rsidRPr="003E5A86">
        <w:rPr>
          <w:i/>
          <w:iCs/>
        </w:rPr>
        <w:t>Justices</w:t>
      </w:r>
      <w:proofErr w:type="spellEnd"/>
      <w:r w:rsidR="003E5A86" w:rsidRPr="003E5A86">
        <w:rPr>
          <w:i/>
          <w:iCs/>
        </w:rPr>
        <w:t xml:space="preserve"> </w:t>
      </w:r>
      <w:proofErr w:type="spellStart"/>
      <w:r w:rsidR="003E5A86" w:rsidRPr="003E5A86">
        <w:rPr>
          <w:i/>
          <w:iCs/>
        </w:rPr>
        <w:t>Move</w:t>
      </w:r>
      <w:proofErr w:type="spellEnd"/>
      <w:r w:rsidR="003E5A86" w:rsidRPr="003E5A86">
        <w:rPr>
          <w:i/>
          <w:iCs/>
        </w:rPr>
        <w:t xml:space="preserve"> </w:t>
      </w:r>
      <w:proofErr w:type="spellStart"/>
      <w:r w:rsidR="003E5A86" w:rsidRPr="003E5A86">
        <w:rPr>
          <w:i/>
          <w:iCs/>
        </w:rPr>
        <w:t>the</w:t>
      </w:r>
      <w:proofErr w:type="spellEnd"/>
      <w:r w:rsidR="003E5A86" w:rsidRPr="003E5A86">
        <w:rPr>
          <w:i/>
          <w:iCs/>
        </w:rPr>
        <w:t xml:space="preserve"> </w:t>
      </w:r>
      <w:proofErr w:type="spellStart"/>
      <w:r w:rsidR="003E5A86" w:rsidRPr="003E5A86">
        <w:rPr>
          <w:i/>
          <w:iCs/>
        </w:rPr>
        <w:t>Law</w:t>
      </w:r>
      <w:proofErr w:type="spellEnd"/>
      <w:r w:rsidR="003E5A86" w:rsidRPr="003E5A86">
        <w:t xml:space="preserve">, 61 </w:t>
      </w:r>
      <w:r w:rsidR="003E5A86" w:rsidRPr="003E5A86">
        <w:rPr>
          <w:i/>
          <w:iCs/>
        </w:rPr>
        <w:t>Emory L.J.</w:t>
      </w:r>
      <w:r w:rsidR="003E5A86" w:rsidRPr="003E5A86">
        <w:t xml:space="preserve"> 779, 780–81 (2012) (Yüksek Mahkeme Yargıçlarının ve katiplerinin, mevcut davada açıkça hukuku değiştirmeden gelecekteki içtihat değişikliklerine zemin hazırlamak için başvurdukları çeşitli yöntemleri tanımlayan çalışma).</w:t>
      </w:r>
    </w:p>
  </w:footnote>
  <w:footnote w:id="92">
    <w:p w14:paraId="6340AE27" w14:textId="6B65AAA2" w:rsidR="003E5A86" w:rsidRPr="003E5A86" w:rsidRDefault="003E5A86" w:rsidP="003E5A86">
      <w:pPr>
        <w:pStyle w:val="Dipnot"/>
        <w:rPr>
          <w:lang w:val="en-US"/>
        </w:rPr>
      </w:pPr>
      <w:r>
        <w:rPr>
          <w:rStyle w:val="FootnoteReference"/>
        </w:rPr>
        <w:footnoteRef/>
      </w:r>
      <w:r>
        <w:t xml:space="preserve"> </w:t>
      </w:r>
      <w:r>
        <w:tab/>
      </w:r>
      <w:r w:rsidRPr="003E5A86">
        <w:t xml:space="preserve">92 </w:t>
      </w:r>
      <w:r w:rsidRPr="003E5A86">
        <w:rPr>
          <w:i/>
          <w:iCs/>
        </w:rPr>
        <w:t>Bkz.</w:t>
      </w:r>
      <w:r w:rsidRPr="003E5A86">
        <w:t xml:space="preserve"> </w:t>
      </w:r>
      <w:proofErr w:type="spellStart"/>
      <w:r w:rsidRPr="003E5A86">
        <w:t>Simard</w:t>
      </w:r>
      <w:proofErr w:type="spellEnd"/>
      <w:r w:rsidRPr="003E5A86">
        <w:t xml:space="preserve">, </w:t>
      </w:r>
      <w:proofErr w:type="spellStart"/>
      <w:r w:rsidRPr="003E5A86">
        <w:rPr>
          <w:i/>
          <w:iCs/>
        </w:rPr>
        <w:t>supra</w:t>
      </w:r>
      <w:proofErr w:type="spellEnd"/>
      <w:r w:rsidRPr="003E5A86">
        <w:t xml:space="preserve"> not 79, s. 677–79 (Yüksek Mahkeme’de sunulan </w:t>
      </w:r>
      <w:proofErr w:type="spellStart"/>
      <w:r w:rsidRPr="003E5A86">
        <w:t>amicus</w:t>
      </w:r>
      <w:proofErr w:type="spellEnd"/>
      <w:r w:rsidRPr="003E5A86">
        <w:t xml:space="preserve"> </w:t>
      </w:r>
      <w:proofErr w:type="spellStart"/>
      <w:r w:rsidRPr="003E5A86">
        <w:t>curiae</w:t>
      </w:r>
      <w:proofErr w:type="spellEnd"/>
      <w:r w:rsidRPr="003E5A86">
        <w:t xml:space="preserve"> dilekçelerinin 1965 ile 1999 yılları arasında %800 oranında arttığını belirten çalışma).</w:t>
      </w:r>
    </w:p>
  </w:footnote>
  <w:footnote w:id="93">
    <w:p w14:paraId="09974545" w14:textId="3226A06E" w:rsidR="003E5A86" w:rsidRPr="003E5A86" w:rsidRDefault="003E5A86" w:rsidP="003E5A86">
      <w:pPr>
        <w:pStyle w:val="Dipnot"/>
        <w:rPr>
          <w:lang w:val="en-US"/>
        </w:rPr>
      </w:pPr>
      <w:r>
        <w:rPr>
          <w:rStyle w:val="FootnoteReference"/>
        </w:rPr>
        <w:footnoteRef/>
      </w:r>
      <w:r>
        <w:t xml:space="preserve"> </w:t>
      </w:r>
      <w:r>
        <w:tab/>
      </w:r>
      <w:r w:rsidRPr="003E5A86">
        <w:t xml:space="preserve">93 </w:t>
      </w:r>
      <w:r w:rsidRPr="003E5A86">
        <w:rPr>
          <w:i/>
          <w:iCs/>
        </w:rPr>
        <w:t>Bkz.</w:t>
      </w:r>
      <w:r w:rsidRPr="003E5A86">
        <w:t xml:space="preserve"> Paul M. Smith, </w:t>
      </w:r>
      <w:proofErr w:type="spellStart"/>
      <w:r w:rsidRPr="003E5A86">
        <w:rPr>
          <w:i/>
          <w:iCs/>
        </w:rPr>
        <w:t>The</w:t>
      </w:r>
      <w:proofErr w:type="spellEnd"/>
      <w:r w:rsidRPr="003E5A86">
        <w:rPr>
          <w:i/>
          <w:iCs/>
        </w:rPr>
        <w:t xml:space="preserve"> </w:t>
      </w:r>
      <w:proofErr w:type="spellStart"/>
      <w:r w:rsidRPr="003E5A86">
        <w:rPr>
          <w:i/>
          <w:iCs/>
        </w:rPr>
        <w:t>Sometimes</w:t>
      </w:r>
      <w:proofErr w:type="spellEnd"/>
      <w:r w:rsidRPr="003E5A86">
        <w:rPr>
          <w:i/>
          <w:iCs/>
        </w:rPr>
        <w:t xml:space="preserve"> </w:t>
      </w:r>
      <w:proofErr w:type="spellStart"/>
      <w:r w:rsidRPr="003E5A86">
        <w:rPr>
          <w:i/>
          <w:iCs/>
        </w:rPr>
        <w:t>Troubled</w:t>
      </w:r>
      <w:proofErr w:type="spellEnd"/>
      <w:r w:rsidRPr="003E5A86">
        <w:rPr>
          <w:i/>
          <w:iCs/>
        </w:rPr>
        <w:t xml:space="preserve"> </w:t>
      </w:r>
      <w:proofErr w:type="spellStart"/>
      <w:r w:rsidRPr="003E5A86">
        <w:rPr>
          <w:i/>
          <w:iCs/>
        </w:rPr>
        <w:t>Relationship</w:t>
      </w:r>
      <w:proofErr w:type="spellEnd"/>
      <w:r w:rsidRPr="003E5A86">
        <w:rPr>
          <w:i/>
          <w:iCs/>
        </w:rPr>
        <w:t xml:space="preserve"> </w:t>
      </w:r>
      <w:proofErr w:type="spellStart"/>
      <w:r w:rsidRPr="003E5A86">
        <w:rPr>
          <w:i/>
          <w:iCs/>
        </w:rPr>
        <w:t>Between</w:t>
      </w:r>
      <w:proofErr w:type="spellEnd"/>
      <w:r w:rsidRPr="003E5A86">
        <w:rPr>
          <w:i/>
          <w:iCs/>
        </w:rPr>
        <w:t xml:space="preserve"> Court </w:t>
      </w:r>
      <w:proofErr w:type="spellStart"/>
      <w:r w:rsidRPr="003E5A86">
        <w:rPr>
          <w:i/>
          <w:iCs/>
        </w:rPr>
        <w:t>and</w:t>
      </w:r>
      <w:proofErr w:type="spellEnd"/>
      <w:r w:rsidRPr="003E5A86">
        <w:rPr>
          <w:i/>
          <w:iCs/>
        </w:rPr>
        <w:t xml:space="preserve"> </w:t>
      </w:r>
      <w:proofErr w:type="spellStart"/>
      <w:r w:rsidRPr="003E5A86">
        <w:rPr>
          <w:i/>
          <w:iCs/>
        </w:rPr>
        <w:t>Their</w:t>
      </w:r>
      <w:proofErr w:type="spellEnd"/>
      <w:r w:rsidRPr="003E5A86">
        <w:rPr>
          <w:i/>
          <w:iCs/>
        </w:rPr>
        <w:t xml:space="preserve"> “</w:t>
      </w:r>
      <w:proofErr w:type="spellStart"/>
      <w:r w:rsidRPr="003E5A86">
        <w:rPr>
          <w:i/>
          <w:iCs/>
        </w:rPr>
        <w:t>Friends</w:t>
      </w:r>
      <w:proofErr w:type="spellEnd"/>
      <w:r w:rsidRPr="003E5A86">
        <w:rPr>
          <w:i/>
          <w:iCs/>
        </w:rPr>
        <w:t>,”</w:t>
      </w:r>
      <w:r w:rsidRPr="003E5A86">
        <w:t xml:space="preserve"> 24 </w:t>
      </w:r>
      <w:proofErr w:type="spellStart"/>
      <w:r w:rsidRPr="003E5A86">
        <w:rPr>
          <w:i/>
          <w:iCs/>
        </w:rPr>
        <w:t>Litig</w:t>
      </w:r>
      <w:proofErr w:type="spellEnd"/>
      <w:r w:rsidRPr="003E5A86">
        <w:rPr>
          <w:i/>
          <w:iCs/>
        </w:rPr>
        <w:t>.</w:t>
      </w:r>
      <w:r w:rsidRPr="003E5A86">
        <w:t xml:space="preserve"> 24, 24–25 (1998) (</w:t>
      </w:r>
      <w:proofErr w:type="spellStart"/>
      <w:r w:rsidRPr="003E5A86">
        <w:t>amicus</w:t>
      </w:r>
      <w:proofErr w:type="spellEnd"/>
      <w:r w:rsidRPr="003E5A86">
        <w:t xml:space="preserve"> </w:t>
      </w:r>
      <w:proofErr w:type="spellStart"/>
      <w:r w:rsidRPr="003E5A86">
        <w:t>curiae</w:t>
      </w:r>
      <w:proofErr w:type="spellEnd"/>
      <w:r w:rsidRPr="003E5A86">
        <w:t xml:space="preserve"> dilekçelerinin artan yaygınlığını ve Yüksek Mahkeme’nin kötüye kullanımı önleme çabalarını tartışan çalışma).</w:t>
      </w:r>
    </w:p>
  </w:footnote>
  <w:footnote w:id="94">
    <w:p w14:paraId="29AAB8D5" w14:textId="568E9C11" w:rsidR="003E5A86" w:rsidRPr="003E5A86" w:rsidRDefault="003E5A86" w:rsidP="003E5A86">
      <w:pPr>
        <w:pStyle w:val="Dipnot"/>
        <w:rPr>
          <w:lang w:val="en-US"/>
        </w:rPr>
      </w:pPr>
      <w:r w:rsidRPr="003E5A86">
        <w:rPr>
          <w:rStyle w:val="FootnoteReference"/>
        </w:rPr>
        <w:footnoteRef/>
      </w:r>
      <w:r w:rsidRPr="003E5A86">
        <w:t xml:space="preserve"> </w:t>
      </w:r>
      <w:r w:rsidRPr="003E5A86">
        <w:tab/>
      </w:r>
      <w:r w:rsidRPr="003E5A86">
        <w:t xml:space="preserve">94 </w:t>
      </w:r>
      <w:r w:rsidRPr="003E5A86">
        <w:rPr>
          <w:i/>
          <w:iCs/>
        </w:rPr>
        <w:t xml:space="preserve">Bkz. </w:t>
      </w:r>
      <w:proofErr w:type="spellStart"/>
      <w:r w:rsidRPr="003E5A86">
        <w:rPr>
          <w:i/>
          <w:iCs/>
        </w:rPr>
        <w:t>örn</w:t>
      </w:r>
      <w:proofErr w:type="spellEnd"/>
      <w:r w:rsidRPr="003E5A86">
        <w:rPr>
          <w:i/>
          <w:iCs/>
        </w:rPr>
        <w:t>.</w:t>
      </w:r>
      <w:r w:rsidRPr="003E5A86">
        <w:t xml:space="preserve">, </w:t>
      </w:r>
      <w:proofErr w:type="spellStart"/>
      <w:r w:rsidRPr="003E5A86">
        <w:t>Seamon</w:t>
      </w:r>
      <w:proofErr w:type="spellEnd"/>
      <w:r w:rsidRPr="003E5A86">
        <w:t xml:space="preserve"> ve diğerleri, </w:t>
      </w:r>
      <w:proofErr w:type="spellStart"/>
      <w:r w:rsidRPr="003E5A86">
        <w:rPr>
          <w:i/>
          <w:iCs/>
        </w:rPr>
        <w:t>supra</w:t>
      </w:r>
      <w:proofErr w:type="spellEnd"/>
      <w:r w:rsidRPr="003E5A86">
        <w:t xml:space="preserve"> not 29, s. 380 n.3 (ABD Ticaret Odası ve diğer "muhafazakâr" grupların, "liberal" grupların daha aktif olduğu algısına karşılık olarak </w:t>
      </w:r>
      <w:proofErr w:type="spellStart"/>
      <w:r w:rsidRPr="003E5A86">
        <w:t>amicus</w:t>
      </w:r>
      <w:proofErr w:type="spellEnd"/>
      <w:r w:rsidRPr="003E5A86">
        <w:t xml:space="preserve"> </w:t>
      </w:r>
      <w:proofErr w:type="spellStart"/>
      <w:r w:rsidRPr="003E5A86">
        <w:t>curiae</w:t>
      </w:r>
      <w:proofErr w:type="spellEnd"/>
      <w:r w:rsidRPr="003E5A86">
        <w:t xml:space="preserve"> katılımlarını artırmaya yönelik son çabalarını ele alan çalışma).</w:t>
      </w:r>
    </w:p>
  </w:footnote>
  <w:footnote w:id="95">
    <w:p w14:paraId="189172FF" w14:textId="7E080DA3" w:rsidR="003E5A86" w:rsidRPr="003E5A86" w:rsidRDefault="003E5A86" w:rsidP="003E5A86">
      <w:pPr>
        <w:pStyle w:val="Dipnot"/>
        <w:rPr>
          <w:lang w:val="en-US"/>
        </w:rPr>
      </w:pPr>
      <w:r>
        <w:rPr>
          <w:rStyle w:val="FootnoteReference"/>
        </w:rPr>
        <w:footnoteRef/>
      </w:r>
      <w:r>
        <w:t xml:space="preserve"> </w:t>
      </w:r>
      <w:r>
        <w:tab/>
      </w:r>
      <w:r w:rsidRPr="003E5A86">
        <w:t xml:space="preserve">95 </w:t>
      </w:r>
      <w:proofErr w:type="spellStart"/>
      <w:r w:rsidRPr="003E5A86">
        <w:t>Amici’nin</w:t>
      </w:r>
      <w:proofErr w:type="spellEnd"/>
      <w:r w:rsidRPr="003E5A86">
        <w:t xml:space="preserve"> davalara katılmasının en yaygın nedenlerinin iyi bir özeti için </w:t>
      </w:r>
      <w:r w:rsidRPr="003E5A86">
        <w:rPr>
          <w:i/>
          <w:iCs/>
        </w:rPr>
        <w:t>bkz.</w:t>
      </w:r>
      <w:r w:rsidRPr="003E5A86">
        <w:t xml:space="preserve"> </w:t>
      </w:r>
      <w:proofErr w:type="spellStart"/>
      <w:r w:rsidRPr="003E5A86">
        <w:t>Simard</w:t>
      </w:r>
      <w:proofErr w:type="spellEnd"/>
      <w:r w:rsidRPr="003E5A86">
        <w:t xml:space="preserve">, </w:t>
      </w:r>
      <w:proofErr w:type="spellStart"/>
      <w:r w:rsidRPr="003E5A86">
        <w:rPr>
          <w:i/>
          <w:iCs/>
        </w:rPr>
        <w:t>supra</w:t>
      </w:r>
      <w:proofErr w:type="spellEnd"/>
      <w:r w:rsidRPr="003E5A86">
        <w:t xml:space="preserve"> not 79, s. 680–84; </w:t>
      </w:r>
      <w:r w:rsidRPr="003E5A86">
        <w:rPr>
          <w:i/>
          <w:iCs/>
        </w:rPr>
        <w:t>ayrıca bkz.</w:t>
      </w:r>
      <w:r w:rsidRPr="003E5A86">
        <w:t xml:space="preserve"> Reagan </w:t>
      </w:r>
      <w:proofErr w:type="spellStart"/>
      <w:r w:rsidRPr="003E5A86">
        <w:t>Wm</w:t>
      </w:r>
      <w:proofErr w:type="spellEnd"/>
      <w:r w:rsidRPr="003E5A86">
        <w:t xml:space="preserve">. Simpson &amp; Mary R. </w:t>
      </w:r>
      <w:proofErr w:type="spellStart"/>
      <w:r w:rsidRPr="003E5A86">
        <w:t>Vasaly</w:t>
      </w:r>
      <w:proofErr w:type="spellEnd"/>
      <w:r w:rsidRPr="003E5A86">
        <w:t xml:space="preserve">, </w:t>
      </w:r>
      <w:proofErr w:type="spellStart"/>
      <w:r w:rsidRPr="003E5A86">
        <w:rPr>
          <w:i/>
          <w:iCs/>
        </w:rPr>
        <w:t>The</w:t>
      </w:r>
      <w:proofErr w:type="spellEnd"/>
      <w:r w:rsidRPr="003E5A86">
        <w:rPr>
          <w:i/>
          <w:iCs/>
        </w:rPr>
        <w:t xml:space="preserve"> </w:t>
      </w:r>
      <w:proofErr w:type="spellStart"/>
      <w:r w:rsidRPr="003E5A86">
        <w:rPr>
          <w:i/>
          <w:iCs/>
        </w:rPr>
        <w:t>Amicus</w:t>
      </w:r>
      <w:proofErr w:type="spellEnd"/>
      <w:r w:rsidRPr="003E5A86">
        <w:rPr>
          <w:i/>
          <w:iCs/>
        </w:rPr>
        <w:t xml:space="preserve"> </w:t>
      </w:r>
      <w:proofErr w:type="spellStart"/>
      <w:r w:rsidRPr="003E5A86">
        <w:rPr>
          <w:i/>
          <w:iCs/>
        </w:rPr>
        <w:t>Brief</w:t>
      </w:r>
      <w:proofErr w:type="spellEnd"/>
      <w:r w:rsidRPr="003E5A86">
        <w:rPr>
          <w:i/>
          <w:iCs/>
        </w:rPr>
        <w:t xml:space="preserve">: How </w:t>
      </w:r>
      <w:proofErr w:type="spellStart"/>
      <w:r w:rsidRPr="003E5A86">
        <w:rPr>
          <w:i/>
          <w:iCs/>
        </w:rPr>
        <w:t>to</w:t>
      </w:r>
      <w:proofErr w:type="spellEnd"/>
      <w:r w:rsidRPr="003E5A86">
        <w:rPr>
          <w:i/>
          <w:iCs/>
        </w:rPr>
        <w:t xml:space="preserve"> Be a </w:t>
      </w:r>
      <w:proofErr w:type="spellStart"/>
      <w:r w:rsidRPr="003E5A86">
        <w:rPr>
          <w:i/>
          <w:iCs/>
        </w:rPr>
        <w:t>Good</w:t>
      </w:r>
      <w:proofErr w:type="spellEnd"/>
      <w:r w:rsidRPr="003E5A86">
        <w:rPr>
          <w:i/>
          <w:iCs/>
        </w:rPr>
        <w:t xml:space="preserve"> </w:t>
      </w:r>
      <w:proofErr w:type="spellStart"/>
      <w:r w:rsidRPr="003E5A86">
        <w:rPr>
          <w:i/>
          <w:iCs/>
        </w:rPr>
        <w:t>Friend</w:t>
      </w:r>
      <w:proofErr w:type="spellEnd"/>
      <w:r w:rsidRPr="003E5A86">
        <w:rPr>
          <w:i/>
          <w:iCs/>
        </w:rPr>
        <w:t xml:space="preserve"> of </w:t>
      </w:r>
      <w:proofErr w:type="spellStart"/>
      <w:r w:rsidRPr="003E5A86">
        <w:rPr>
          <w:i/>
          <w:iCs/>
        </w:rPr>
        <w:t>the</w:t>
      </w:r>
      <w:proofErr w:type="spellEnd"/>
      <w:r w:rsidRPr="003E5A86">
        <w:rPr>
          <w:i/>
          <w:iCs/>
        </w:rPr>
        <w:t xml:space="preserve"> Court</w:t>
      </w:r>
      <w:r w:rsidRPr="003E5A86">
        <w:t xml:space="preserve"> 24–25 (2. bas. 2004) (benzer nedenlerin listesini sunan çalışma).</w:t>
      </w:r>
    </w:p>
  </w:footnote>
  <w:footnote w:id="96">
    <w:p w14:paraId="22726BC9" w14:textId="323DDA44" w:rsidR="003E5A86" w:rsidRPr="003E5A86" w:rsidRDefault="003E5A86" w:rsidP="003E5A86">
      <w:pPr>
        <w:pStyle w:val="Dipnot"/>
        <w:rPr>
          <w:lang w:val="en-US"/>
        </w:rPr>
      </w:pPr>
      <w:r>
        <w:rPr>
          <w:rStyle w:val="FootnoteReference"/>
        </w:rPr>
        <w:footnoteRef/>
      </w:r>
      <w:r>
        <w:t xml:space="preserve"> </w:t>
      </w:r>
      <w:r>
        <w:rPr>
          <w:lang w:val="en-US"/>
        </w:rPr>
        <w:tab/>
      </w:r>
      <w:r w:rsidRPr="003E5A86">
        <w:t xml:space="preserve">96 </w:t>
      </w:r>
      <w:r w:rsidRPr="003E5A86">
        <w:rPr>
          <w:i/>
          <w:iCs/>
        </w:rPr>
        <w:t>Bkz.</w:t>
      </w:r>
      <w:r w:rsidRPr="003E5A86">
        <w:t xml:space="preserve"> </w:t>
      </w:r>
      <w:proofErr w:type="spellStart"/>
      <w:r w:rsidRPr="003E5A86">
        <w:t>Simard</w:t>
      </w:r>
      <w:proofErr w:type="spellEnd"/>
      <w:r w:rsidRPr="003E5A86">
        <w:t xml:space="preserve">, </w:t>
      </w:r>
      <w:proofErr w:type="spellStart"/>
      <w:r w:rsidRPr="003E5A86">
        <w:rPr>
          <w:i/>
          <w:iCs/>
        </w:rPr>
        <w:t>supra</w:t>
      </w:r>
      <w:proofErr w:type="spellEnd"/>
      <w:r w:rsidRPr="003E5A86">
        <w:t xml:space="preserve"> not 79, s. 680–84.</w:t>
      </w:r>
    </w:p>
  </w:footnote>
  <w:footnote w:id="97">
    <w:p w14:paraId="6745CB9D" w14:textId="138ECF18" w:rsidR="0048733D" w:rsidRPr="0048733D" w:rsidRDefault="0048733D" w:rsidP="0048733D">
      <w:pPr>
        <w:pStyle w:val="Dipnot"/>
        <w:rPr>
          <w:lang w:val="en-US"/>
        </w:rPr>
      </w:pPr>
      <w:r>
        <w:rPr>
          <w:rStyle w:val="FootnoteReference"/>
        </w:rPr>
        <w:footnoteRef/>
      </w:r>
      <w:r>
        <w:t xml:space="preserve"> </w:t>
      </w:r>
      <w:r>
        <w:tab/>
      </w:r>
      <w:r w:rsidRPr="0048733D">
        <w:t xml:space="preserve">97 </w:t>
      </w:r>
      <w:r w:rsidRPr="0048733D">
        <w:rPr>
          <w:i/>
          <w:iCs/>
        </w:rPr>
        <w:t>Bkz.</w:t>
      </w:r>
      <w:r w:rsidRPr="0048733D">
        <w:t xml:space="preserve"> </w:t>
      </w:r>
      <w:r w:rsidRPr="0048733D">
        <w:rPr>
          <w:i/>
          <w:iCs/>
        </w:rPr>
        <w:t>id.</w:t>
      </w:r>
    </w:p>
  </w:footnote>
  <w:footnote w:id="98">
    <w:p w14:paraId="6067B702" w14:textId="3851C36B" w:rsidR="0048733D" w:rsidRPr="0048733D" w:rsidRDefault="0048733D" w:rsidP="0048733D">
      <w:pPr>
        <w:pStyle w:val="Dipnot"/>
        <w:rPr>
          <w:lang w:val="en-US"/>
        </w:rPr>
      </w:pPr>
      <w:r>
        <w:rPr>
          <w:rStyle w:val="FootnoteReference"/>
        </w:rPr>
        <w:footnoteRef/>
      </w:r>
      <w:r>
        <w:t xml:space="preserve"> </w:t>
      </w:r>
      <w:r>
        <w:tab/>
      </w:r>
      <w:r w:rsidRPr="0048733D">
        <w:t xml:space="preserve">98 </w:t>
      </w:r>
      <w:r w:rsidRPr="0048733D">
        <w:rPr>
          <w:i/>
          <w:iCs/>
        </w:rPr>
        <w:t>Bkz.</w:t>
      </w:r>
      <w:r w:rsidRPr="0048733D">
        <w:t xml:space="preserve"> </w:t>
      </w:r>
      <w:proofErr w:type="spellStart"/>
      <w:r w:rsidRPr="0048733D">
        <w:rPr>
          <w:i/>
          <w:iCs/>
        </w:rPr>
        <w:t>infra</w:t>
      </w:r>
      <w:proofErr w:type="spellEnd"/>
      <w:r w:rsidRPr="0048733D">
        <w:t xml:space="preserve"> notlar 107–108 ve ilgili metin (böyle bir davayı ele alan bölüm).</w:t>
      </w:r>
    </w:p>
  </w:footnote>
  <w:footnote w:id="99">
    <w:p w14:paraId="037038D5" w14:textId="34564D47" w:rsidR="0048733D" w:rsidRPr="0048733D" w:rsidRDefault="0048733D" w:rsidP="0048733D">
      <w:pPr>
        <w:pStyle w:val="Dipnot"/>
        <w:rPr>
          <w:lang w:val="en-US"/>
        </w:rPr>
      </w:pPr>
      <w:r>
        <w:rPr>
          <w:rStyle w:val="FootnoteReference"/>
        </w:rPr>
        <w:footnoteRef/>
      </w:r>
      <w:r>
        <w:t xml:space="preserve"> </w:t>
      </w:r>
      <w:r>
        <w:tab/>
      </w:r>
      <w:r w:rsidRPr="0048733D">
        <w:t xml:space="preserve">99 </w:t>
      </w:r>
      <w:r w:rsidRPr="0048733D">
        <w:rPr>
          <w:i/>
          <w:iCs/>
        </w:rPr>
        <w:t>Bkz.</w:t>
      </w:r>
      <w:r w:rsidRPr="0048733D">
        <w:t xml:space="preserve"> Simpson &amp; </w:t>
      </w:r>
      <w:proofErr w:type="spellStart"/>
      <w:r w:rsidRPr="0048733D">
        <w:t>Vasaly</w:t>
      </w:r>
      <w:proofErr w:type="spellEnd"/>
      <w:r w:rsidRPr="0048733D">
        <w:t xml:space="preserve">, </w:t>
      </w:r>
      <w:proofErr w:type="spellStart"/>
      <w:r w:rsidRPr="0048733D">
        <w:rPr>
          <w:i/>
          <w:iCs/>
        </w:rPr>
        <w:t>supra</w:t>
      </w:r>
      <w:proofErr w:type="spellEnd"/>
      <w:r w:rsidRPr="0048733D">
        <w:t xml:space="preserve"> not 95, s. 21–22.</w:t>
      </w:r>
    </w:p>
  </w:footnote>
  <w:footnote w:id="100">
    <w:p w14:paraId="660AF1AB" w14:textId="287DE2FE" w:rsidR="0048733D" w:rsidRPr="0048733D" w:rsidRDefault="0048733D" w:rsidP="0048733D">
      <w:pPr>
        <w:pStyle w:val="Dipnot"/>
        <w:rPr>
          <w:lang w:val="en-US"/>
        </w:rPr>
      </w:pPr>
      <w:r>
        <w:rPr>
          <w:rStyle w:val="FootnoteReference"/>
        </w:rPr>
        <w:footnoteRef/>
      </w:r>
      <w:r>
        <w:t xml:space="preserve"> </w:t>
      </w:r>
      <w:r>
        <w:tab/>
      </w:r>
      <w:r w:rsidRPr="0048733D">
        <w:t xml:space="preserve">100 </w:t>
      </w:r>
      <w:r w:rsidRPr="0048733D">
        <w:rPr>
          <w:i/>
          <w:iCs/>
        </w:rPr>
        <w:t>Bkz.</w:t>
      </w:r>
      <w:r w:rsidRPr="0048733D">
        <w:t xml:space="preserve"> Robert S. Chang, </w:t>
      </w:r>
      <w:proofErr w:type="spellStart"/>
      <w:r w:rsidRPr="0048733D">
        <w:rPr>
          <w:i/>
          <w:iCs/>
        </w:rPr>
        <w:t>The</w:t>
      </w:r>
      <w:proofErr w:type="spellEnd"/>
      <w:r w:rsidRPr="0048733D">
        <w:rPr>
          <w:i/>
          <w:iCs/>
        </w:rPr>
        <w:t xml:space="preserve"> Fred T. </w:t>
      </w:r>
      <w:proofErr w:type="spellStart"/>
      <w:r w:rsidRPr="0048733D">
        <w:rPr>
          <w:i/>
          <w:iCs/>
        </w:rPr>
        <w:t>Korematsu</w:t>
      </w:r>
      <w:proofErr w:type="spellEnd"/>
      <w:r w:rsidRPr="0048733D">
        <w:rPr>
          <w:i/>
          <w:iCs/>
        </w:rPr>
        <w:t xml:space="preserve"> Center </w:t>
      </w:r>
      <w:proofErr w:type="spellStart"/>
      <w:r w:rsidRPr="0048733D">
        <w:rPr>
          <w:i/>
          <w:iCs/>
        </w:rPr>
        <w:t>for</w:t>
      </w:r>
      <w:proofErr w:type="spellEnd"/>
      <w:r w:rsidRPr="0048733D">
        <w:rPr>
          <w:i/>
          <w:iCs/>
        </w:rPr>
        <w:t xml:space="preserve"> </w:t>
      </w:r>
      <w:proofErr w:type="spellStart"/>
      <w:r w:rsidRPr="0048733D">
        <w:rPr>
          <w:i/>
          <w:iCs/>
        </w:rPr>
        <w:t>Law</w:t>
      </w:r>
      <w:proofErr w:type="spellEnd"/>
      <w:r w:rsidRPr="0048733D">
        <w:rPr>
          <w:i/>
          <w:iCs/>
        </w:rPr>
        <w:t xml:space="preserve"> </w:t>
      </w:r>
      <w:proofErr w:type="spellStart"/>
      <w:r w:rsidRPr="0048733D">
        <w:rPr>
          <w:i/>
          <w:iCs/>
        </w:rPr>
        <w:t>and</w:t>
      </w:r>
      <w:proofErr w:type="spellEnd"/>
      <w:r w:rsidRPr="0048733D">
        <w:rPr>
          <w:i/>
          <w:iCs/>
        </w:rPr>
        <w:t xml:space="preserve"> </w:t>
      </w:r>
      <w:proofErr w:type="spellStart"/>
      <w:r w:rsidRPr="0048733D">
        <w:rPr>
          <w:i/>
          <w:iCs/>
        </w:rPr>
        <w:t>Equality</w:t>
      </w:r>
      <w:proofErr w:type="spellEnd"/>
      <w:r w:rsidRPr="0048733D">
        <w:rPr>
          <w:i/>
          <w:iCs/>
        </w:rPr>
        <w:t xml:space="preserve"> </w:t>
      </w:r>
      <w:proofErr w:type="spellStart"/>
      <w:r w:rsidRPr="0048733D">
        <w:rPr>
          <w:i/>
          <w:iCs/>
        </w:rPr>
        <w:t>and</w:t>
      </w:r>
      <w:proofErr w:type="spellEnd"/>
      <w:r w:rsidRPr="0048733D">
        <w:rPr>
          <w:i/>
          <w:iCs/>
        </w:rPr>
        <w:t xml:space="preserve"> </w:t>
      </w:r>
      <w:proofErr w:type="spellStart"/>
      <w:r w:rsidRPr="0048733D">
        <w:rPr>
          <w:i/>
          <w:iCs/>
        </w:rPr>
        <w:t>Its</w:t>
      </w:r>
      <w:proofErr w:type="spellEnd"/>
      <w:r w:rsidRPr="0048733D">
        <w:rPr>
          <w:i/>
          <w:iCs/>
        </w:rPr>
        <w:t xml:space="preserve"> </w:t>
      </w:r>
      <w:proofErr w:type="spellStart"/>
      <w:r w:rsidRPr="0048733D">
        <w:rPr>
          <w:i/>
          <w:iCs/>
        </w:rPr>
        <w:t>Vision</w:t>
      </w:r>
      <w:proofErr w:type="spellEnd"/>
      <w:r w:rsidRPr="0048733D">
        <w:rPr>
          <w:i/>
          <w:iCs/>
        </w:rPr>
        <w:t xml:space="preserve"> </w:t>
      </w:r>
      <w:proofErr w:type="spellStart"/>
      <w:r w:rsidRPr="0048733D">
        <w:rPr>
          <w:i/>
          <w:iCs/>
        </w:rPr>
        <w:t>for</w:t>
      </w:r>
      <w:proofErr w:type="spellEnd"/>
      <w:r w:rsidRPr="0048733D">
        <w:rPr>
          <w:i/>
          <w:iCs/>
        </w:rPr>
        <w:t xml:space="preserve"> </w:t>
      </w:r>
      <w:proofErr w:type="spellStart"/>
      <w:r w:rsidRPr="0048733D">
        <w:rPr>
          <w:i/>
          <w:iCs/>
        </w:rPr>
        <w:t>Social</w:t>
      </w:r>
      <w:proofErr w:type="spellEnd"/>
      <w:r w:rsidRPr="0048733D">
        <w:rPr>
          <w:i/>
          <w:iCs/>
        </w:rPr>
        <w:t xml:space="preserve"> </w:t>
      </w:r>
      <w:proofErr w:type="spellStart"/>
      <w:r w:rsidRPr="0048733D">
        <w:rPr>
          <w:i/>
          <w:iCs/>
        </w:rPr>
        <w:t>Change</w:t>
      </w:r>
      <w:proofErr w:type="spellEnd"/>
      <w:r w:rsidRPr="0048733D">
        <w:rPr>
          <w:i/>
          <w:iCs/>
        </w:rPr>
        <w:t>,</w:t>
      </w:r>
      <w:r w:rsidRPr="0048733D">
        <w:t xml:space="preserve"> 7 </w:t>
      </w:r>
      <w:proofErr w:type="spellStart"/>
      <w:r w:rsidRPr="0048733D">
        <w:rPr>
          <w:i/>
          <w:iCs/>
        </w:rPr>
        <w:t>Stan</w:t>
      </w:r>
      <w:proofErr w:type="spellEnd"/>
      <w:r w:rsidRPr="0048733D">
        <w:rPr>
          <w:i/>
          <w:iCs/>
        </w:rPr>
        <w:t>. J. C.R. &amp; C.L.</w:t>
      </w:r>
      <w:r w:rsidRPr="0048733D">
        <w:t xml:space="preserve"> 197, 200–01 (2011) (</w:t>
      </w:r>
      <w:proofErr w:type="spellStart"/>
      <w:r w:rsidRPr="0048733D">
        <w:t>amicus</w:t>
      </w:r>
      <w:proofErr w:type="spellEnd"/>
      <w:r w:rsidRPr="0048733D">
        <w:t xml:space="preserve"> </w:t>
      </w:r>
      <w:proofErr w:type="spellStart"/>
      <w:r w:rsidRPr="0048733D">
        <w:t>curiae</w:t>
      </w:r>
      <w:proofErr w:type="spellEnd"/>
      <w:r w:rsidRPr="0048733D">
        <w:t xml:space="preserve"> kampanyalarının örgütlenme potansiyelini açıklayan çalışma).</w:t>
      </w:r>
    </w:p>
  </w:footnote>
  <w:footnote w:id="101">
    <w:p w14:paraId="5867B2B5" w14:textId="1B6C2FA7" w:rsidR="0048733D" w:rsidRPr="0048733D" w:rsidRDefault="0048733D" w:rsidP="0048733D">
      <w:pPr>
        <w:pStyle w:val="Dipnot"/>
        <w:rPr>
          <w:lang w:val="en-US"/>
        </w:rPr>
      </w:pPr>
      <w:r>
        <w:rPr>
          <w:rStyle w:val="FootnoteReference"/>
        </w:rPr>
        <w:footnoteRef/>
      </w:r>
      <w:r>
        <w:t xml:space="preserve"> </w:t>
      </w:r>
      <w:r>
        <w:tab/>
      </w:r>
      <w:r w:rsidRPr="0048733D">
        <w:t xml:space="preserve">101 </w:t>
      </w:r>
      <w:r w:rsidRPr="0048733D">
        <w:rPr>
          <w:i/>
          <w:iCs/>
        </w:rPr>
        <w:t xml:space="preserve">Bkz. </w:t>
      </w:r>
      <w:proofErr w:type="spellStart"/>
      <w:r w:rsidRPr="0048733D">
        <w:rPr>
          <w:i/>
          <w:iCs/>
        </w:rPr>
        <w:t>örn</w:t>
      </w:r>
      <w:proofErr w:type="spellEnd"/>
      <w:r w:rsidRPr="0048733D">
        <w:rPr>
          <w:i/>
          <w:iCs/>
        </w:rPr>
        <w:t>.</w:t>
      </w:r>
      <w:r w:rsidRPr="0048733D">
        <w:t xml:space="preserve">, </w:t>
      </w:r>
      <w:proofErr w:type="spellStart"/>
      <w:r w:rsidRPr="0048733D">
        <w:t>Kearney</w:t>
      </w:r>
      <w:proofErr w:type="spellEnd"/>
      <w:r w:rsidRPr="0048733D">
        <w:t xml:space="preserve"> &amp; Merrill, </w:t>
      </w:r>
      <w:proofErr w:type="spellStart"/>
      <w:r w:rsidRPr="0048733D">
        <w:rPr>
          <w:i/>
          <w:iCs/>
        </w:rPr>
        <w:t>supra</w:t>
      </w:r>
      <w:proofErr w:type="spellEnd"/>
      <w:r w:rsidRPr="0048733D">
        <w:t xml:space="preserve"> not 79, s. 749–50.</w:t>
      </w:r>
    </w:p>
  </w:footnote>
  <w:footnote w:id="102">
    <w:p w14:paraId="336EDD18" w14:textId="56C75CC8" w:rsidR="0048733D" w:rsidRPr="0048733D" w:rsidRDefault="0048733D" w:rsidP="0048733D">
      <w:pPr>
        <w:pStyle w:val="Dipnot"/>
        <w:rPr>
          <w:lang w:val="en-US"/>
        </w:rPr>
      </w:pPr>
      <w:r>
        <w:rPr>
          <w:rStyle w:val="FootnoteReference"/>
        </w:rPr>
        <w:footnoteRef/>
      </w:r>
      <w:r>
        <w:t xml:space="preserve"> </w:t>
      </w:r>
      <w:r w:rsidRPr="0048733D">
        <w:tab/>
      </w:r>
      <w:r w:rsidRPr="0048733D">
        <w:t xml:space="preserve">102 Yakın dönemde yapılan akademik çalışmalar, </w:t>
      </w:r>
      <w:proofErr w:type="spellStart"/>
      <w:r w:rsidRPr="0048733D">
        <w:t>amicus</w:t>
      </w:r>
      <w:proofErr w:type="spellEnd"/>
      <w:r w:rsidRPr="0048733D">
        <w:t xml:space="preserve"> </w:t>
      </w:r>
      <w:proofErr w:type="spellStart"/>
      <w:r w:rsidRPr="0048733D">
        <w:t>curiae</w:t>
      </w:r>
      <w:proofErr w:type="spellEnd"/>
      <w:r w:rsidRPr="0048733D">
        <w:t xml:space="preserve"> dilekçelerinde yer alan bilgilerin doğruluğu konusunda kaygı verici sorular ortaya koymuştur. </w:t>
      </w:r>
      <w:r w:rsidRPr="0048733D">
        <w:rPr>
          <w:i/>
          <w:iCs/>
        </w:rPr>
        <w:t>Bkz.</w:t>
      </w:r>
      <w:r w:rsidRPr="0048733D">
        <w:t xml:space="preserve"> Allison </w:t>
      </w:r>
      <w:proofErr w:type="spellStart"/>
      <w:r w:rsidRPr="0048733D">
        <w:t>Orr</w:t>
      </w:r>
      <w:proofErr w:type="spellEnd"/>
      <w:r w:rsidRPr="0048733D">
        <w:t xml:space="preserve"> Larsen, </w:t>
      </w:r>
      <w:proofErr w:type="spellStart"/>
      <w:r w:rsidRPr="0048733D">
        <w:rPr>
          <w:i/>
          <w:iCs/>
        </w:rPr>
        <w:t>The</w:t>
      </w:r>
      <w:proofErr w:type="spellEnd"/>
      <w:r w:rsidRPr="0048733D">
        <w:rPr>
          <w:i/>
          <w:iCs/>
        </w:rPr>
        <w:t xml:space="preserve"> </w:t>
      </w:r>
      <w:proofErr w:type="spellStart"/>
      <w:r w:rsidRPr="0048733D">
        <w:rPr>
          <w:i/>
          <w:iCs/>
        </w:rPr>
        <w:t>Trouble</w:t>
      </w:r>
      <w:proofErr w:type="spellEnd"/>
      <w:r w:rsidRPr="0048733D">
        <w:rPr>
          <w:i/>
          <w:iCs/>
        </w:rPr>
        <w:t xml:space="preserve"> </w:t>
      </w:r>
      <w:proofErr w:type="spellStart"/>
      <w:r w:rsidRPr="0048733D">
        <w:rPr>
          <w:i/>
          <w:iCs/>
        </w:rPr>
        <w:t>with</w:t>
      </w:r>
      <w:proofErr w:type="spellEnd"/>
      <w:r w:rsidRPr="0048733D">
        <w:rPr>
          <w:i/>
          <w:iCs/>
        </w:rPr>
        <w:t xml:space="preserve"> </w:t>
      </w:r>
      <w:proofErr w:type="spellStart"/>
      <w:r w:rsidRPr="0048733D">
        <w:rPr>
          <w:i/>
          <w:iCs/>
        </w:rPr>
        <w:t>Amicus</w:t>
      </w:r>
      <w:proofErr w:type="spellEnd"/>
      <w:r w:rsidRPr="0048733D">
        <w:rPr>
          <w:i/>
          <w:iCs/>
        </w:rPr>
        <w:t xml:space="preserve"> </w:t>
      </w:r>
      <w:proofErr w:type="spellStart"/>
      <w:r w:rsidRPr="0048733D">
        <w:rPr>
          <w:i/>
          <w:iCs/>
        </w:rPr>
        <w:t>Facts</w:t>
      </w:r>
      <w:proofErr w:type="spellEnd"/>
      <w:r w:rsidRPr="0048733D">
        <w:t xml:space="preserve">, 100 </w:t>
      </w:r>
      <w:proofErr w:type="spellStart"/>
      <w:r w:rsidRPr="0048733D">
        <w:rPr>
          <w:i/>
          <w:iCs/>
        </w:rPr>
        <w:t>Va</w:t>
      </w:r>
      <w:proofErr w:type="spellEnd"/>
      <w:r w:rsidRPr="0048733D">
        <w:rPr>
          <w:i/>
          <w:iCs/>
        </w:rPr>
        <w:t xml:space="preserve">. L. </w:t>
      </w:r>
      <w:proofErr w:type="spellStart"/>
      <w:r w:rsidRPr="0048733D">
        <w:rPr>
          <w:i/>
          <w:iCs/>
        </w:rPr>
        <w:t>Rev</w:t>
      </w:r>
      <w:proofErr w:type="spellEnd"/>
      <w:r w:rsidRPr="0048733D">
        <w:rPr>
          <w:i/>
          <w:iCs/>
        </w:rPr>
        <w:t>.</w:t>
      </w:r>
      <w:r w:rsidRPr="0048733D">
        <w:t xml:space="preserve"> 1757, 1758, 1761 (2014). Bu gelişmeler, anayasal karar alma süreçlerine ilişkin kurumların ve uygulamaların dürüst ve bağlamsal bir şekilde incelenmesi gerekliliğini daha da vurgulamakta ve anayasa teorisinin sağlam bir temel üzerine inşa edilmesini sağlama ihtiyacını ortaya koymaktadır.</w:t>
      </w:r>
    </w:p>
  </w:footnote>
  <w:footnote w:id="103">
    <w:p w14:paraId="7B3AC4E0" w14:textId="3A6D4ED9" w:rsidR="0048733D" w:rsidRPr="0048733D" w:rsidRDefault="0048733D" w:rsidP="0048733D">
      <w:pPr>
        <w:pStyle w:val="Dipnot"/>
        <w:rPr>
          <w:lang w:val="en-US"/>
        </w:rPr>
      </w:pPr>
      <w:r>
        <w:rPr>
          <w:rStyle w:val="FootnoteReference"/>
        </w:rPr>
        <w:footnoteRef/>
      </w:r>
      <w:r>
        <w:t xml:space="preserve"> </w:t>
      </w:r>
      <w:r>
        <w:tab/>
      </w:r>
      <w:r w:rsidRPr="0048733D">
        <w:t xml:space="preserve">103 </w:t>
      </w:r>
      <w:proofErr w:type="spellStart"/>
      <w:r w:rsidRPr="0048733D">
        <w:rPr>
          <w:i/>
          <w:iCs/>
        </w:rPr>
        <w:t>Gratz</w:t>
      </w:r>
      <w:proofErr w:type="spellEnd"/>
      <w:r w:rsidRPr="0048733D">
        <w:rPr>
          <w:i/>
          <w:iCs/>
        </w:rPr>
        <w:t xml:space="preserve"> v. </w:t>
      </w:r>
      <w:proofErr w:type="spellStart"/>
      <w:r w:rsidRPr="0048733D">
        <w:rPr>
          <w:i/>
          <w:iCs/>
        </w:rPr>
        <w:t>Bollinger</w:t>
      </w:r>
      <w:proofErr w:type="spellEnd"/>
      <w:r w:rsidRPr="0048733D">
        <w:t xml:space="preserve">, 539 U.S. 244 (2003); </w:t>
      </w:r>
      <w:proofErr w:type="spellStart"/>
      <w:r w:rsidRPr="0048733D">
        <w:rPr>
          <w:i/>
          <w:iCs/>
        </w:rPr>
        <w:t>Grutter</w:t>
      </w:r>
      <w:proofErr w:type="spellEnd"/>
      <w:r w:rsidRPr="0048733D">
        <w:rPr>
          <w:i/>
          <w:iCs/>
        </w:rPr>
        <w:t xml:space="preserve"> v. </w:t>
      </w:r>
      <w:proofErr w:type="spellStart"/>
      <w:r w:rsidRPr="0048733D">
        <w:rPr>
          <w:i/>
          <w:iCs/>
        </w:rPr>
        <w:t>Bollinger</w:t>
      </w:r>
      <w:proofErr w:type="spellEnd"/>
      <w:r w:rsidRPr="0048733D">
        <w:t>, 539 U.S. 306 (2003).</w:t>
      </w:r>
    </w:p>
  </w:footnote>
  <w:footnote w:id="104">
    <w:p w14:paraId="3DF52CDC" w14:textId="554EFB38" w:rsidR="0048733D" w:rsidRPr="0048733D" w:rsidRDefault="0048733D" w:rsidP="0048733D">
      <w:pPr>
        <w:pStyle w:val="Dipnot"/>
        <w:rPr>
          <w:lang w:val="en-US"/>
        </w:rPr>
      </w:pPr>
      <w:r w:rsidRPr="0048733D">
        <w:rPr>
          <w:rStyle w:val="FootnoteReference"/>
        </w:rPr>
        <w:footnoteRef/>
      </w:r>
      <w:r w:rsidRPr="0048733D">
        <w:t xml:space="preserve"> </w:t>
      </w:r>
      <w:r w:rsidRPr="0048733D">
        <w:tab/>
      </w:r>
      <w:r w:rsidRPr="0048733D">
        <w:t xml:space="preserve">104 </w:t>
      </w:r>
      <w:r w:rsidRPr="0048733D">
        <w:rPr>
          <w:i/>
          <w:iCs/>
        </w:rPr>
        <w:t xml:space="preserve">Bkz. </w:t>
      </w:r>
      <w:proofErr w:type="spellStart"/>
      <w:r w:rsidRPr="0048733D">
        <w:rPr>
          <w:i/>
          <w:iCs/>
        </w:rPr>
        <w:t>örn</w:t>
      </w:r>
      <w:proofErr w:type="spellEnd"/>
      <w:r w:rsidRPr="0048733D">
        <w:rPr>
          <w:i/>
          <w:iCs/>
        </w:rPr>
        <w:t>.</w:t>
      </w:r>
      <w:r w:rsidRPr="0048733D">
        <w:t xml:space="preserve">, </w:t>
      </w:r>
      <w:proofErr w:type="spellStart"/>
      <w:r w:rsidRPr="0048733D">
        <w:t>Lt</w:t>
      </w:r>
      <w:proofErr w:type="spellEnd"/>
      <w:r w:rsidRPr="0048733D">
        <w:t xml:space="preserve">. Gen. Julius W. </w:t>
      </w:r>
      <w:proofErr w:type="spellStart"/>
      <w:r w:rsidRPr="0048733D">
        <w:t>Becton</w:t>
      </w:r>
      <w:proofErr w:type="spellEnd"/>
      <w:r w:rsidRPr="0048733D">
        <w:t xml:space="preserve">, </w:t>
      </w:r>
      <w:proofErr w:type="spellStart"/>
      <w:r w:rsidRPr="0048733D">
        <w:t>Jr</w:t>
      </w:r>
      <w:proofErr w:type="spellEnd"/>
      <w:r w:rsidRPr="0048733D">
        <w:t xml:space="preserve">. ve diğerleri tarafından </w:t>
      </w:r>
      <w:proofErr w:type="spellStart"/>
      <w:r w:rsidRPr="0048733D">
        <w:rPr>
          <w:i/>
          <w:iCs/>
        </w:rPr>
        <w:t>Grutter</w:t>
      </w:r>
      <w:proofErr w:type="spellEnd"/>
      <w:r w:rsidRPr="0048733D">
        <w:t xml:space="preserve">, 539 U.S. 306 (No. 02-241) davasında davalıları desteklemek üzere sunulan </w:t>
      </w:r>
      <w:proofErr w:type="spellStart"/>
      <w:r w:rsidRPr="0048733D">
        <w:t>amicus</w:t>
      </w:r>
      <w:proofErr w:type="spellEnd"/>
      <w:r w:rsidRPr="0048733D">
        <w:t xml:space="preserve"> </w:t>
      </w:r>
      <w:proofErr w:type="spellStart"/>
      <w:r w:rsidRPr="0048733D">
        <w:t>curiae</w:t>
      </w:r>
      <w:proofErr w:type="spellEnd"/>
      <w:r w:rsidRPr="0048733D">
        <w:t xml:space="preserve"> birleşik dilekçesi, s. 5; 65 önde gelen Amerikan şirketi tarafından </w:t>
      </w:r>
      <w:proofErr w:type="spellStart"/>
      <w:r w:rsidRPr="0048733D">
        <w:rPr>
          <w:i/>
          <w:iCs/>
        </w:rPr>
        <w:t>Grutter</w:t>
      </w:r>
      <w:proofErr w:type="spellEnd"/>
      <w:r w:rsidRPr="0048733D">
        <w:t xml:space="preserve">, 539 U.S. 306 (No. 02-241) davasında davalıları desteklemek üzere sunulan </w:t>
      </w:r>
      <w:proofErr w:type="spellStart"/>
      <w:r w:rsidRPr="0048733D">
        <w:t>amicus</w:t>
      </w:r>
      <w:proofErr w:type="spellEnd"/>
      <w:r w:rsidRPr="0048733D">
        <w:t xml:space="preserve"> </w:t>
      </w:r>
      <w:proofErr w:type="spellStart"/>
      <w:r w:rsidRPr="0048733D">
        <w:t>curiae</w:t>
      </w:r>
      <w:proofErr w:type="spellEnd"/>
      <w:r w:rsidRPr="0048733D">
        <w:t xml:space="preserve"> dilekçesi, s. 1–4.</w:t>
      </w:r>
    </w:p>
  </w:footnote>
  <w:footnote w:id="105">
    <w:p w14:paraId="76D157D2" w14:textId="1B40FE6F" w:rsidR="0048733D" w:rsidRPr="0048733D" w:rsidRDefault="0048733D" w:rsidP="0048733D">
      <w:pPr>
        <w:pStyle w:val="Dipnot"/>
        <w:rPr>
          <w:lang w:val="en-US"/>
        </w:rPr>
      </w:pPr>
      <w:r>
        <w:rPr>
          <w:rStyle w:val="FootnoteReference"/>
        </w:rPr>
        <w:footnoteRef/>
      </w:r>
      <w:r>
        <w:t xml:space="preserve"> </w:t>
      </w:r>
      <w:r>
        <w:rPr>
          <w:lang w:val="en-US"/>
        </w:rPr>
        <w:tab/>
      </w:r>
      <w:r w:rsidRPr="0048733D">
        <w:t xml:space="preserve">105 </w:t>
      </w:r>
      <w:r w:rsidRPr="0048733D">
        <w:rPr>
          <w:i/>
          <w:iCs/>
        </w:rPr>
        <w:t>Lawrence v. Texas</w:t>
      </w:r>
      <w:r w:rsidRPr="0048733D">
        <w:t>, 539 U.S. 558, 567–68, 570, 574–75 (2003).</w:t>
      </w:r>
    </w:p>
  </w:footnote>
  <w:footnote w:id="106">
    <w:p w14:paraId="2420B3F7" w14:textId="15299947" w:rsidR="0048733D" w:rsidRPr="0048733D" w:rsidRDefault="0048733D" w:rsidP="0048733D">
      <w:pPr>
        <w:pStyle w:val="Dipnot"/>
        <w:rPr>
          <w:lang w:val="en-US"/>
        </w:rPr>
      </w:pPr>
      <w:r>
        <w:rPr>
          <w:rStyle w:val="FootnoteReference"/>
        </w:rPr>
        <w:footnoteRef/>
      </w:r>
      <w:r>
        <w:t xml:space="preserve"> </w:t>
      </w:r>
      <w:r>
        <w:tab/>
      </w:r>
      <w:r w:rsidRPr="0048733D">
        <w:t xml:space="preserve">106 </w:t>
      </w:r>
      <w:r w:rsidRPr="0048733D">
        <w:rPr>
          <w:i/>
          <w:iCs/>
        </w:rPr>
        <w:t>Bkz.</w:t>
      </w:r>
      <w:r w:rsidRPr="0048733D">
        <w:t xml:space="preserve"> George </w:t>
      </w:r>
      <w:proofErr w:type="spellStart"/>
      <w:r w:rsidRPr="0048733D">
        <w:t>Chauncey</w:t>
      </w:r>
      <w:proofErr w:type="spellEnd"/>
      <w:r w:rsidRPr="0048733D">
        <w:t xml:space="preserve"> ve diğer tarih profesörleri tarafından </w:t>
      </w:r>
      <w:r w:rsidRPr="0048733D">
        <w:rPr>
          <w:i/>
          <w:iCs/>
        </w:rPr>
        <w:t>Lawrence</w:t>
      </w:r>
      <w:r w:rsidRPr="0048733D">
        <w:t xml:space="preserve">, 539 U.S. 558 (No. 02-102) davasında davacıyı desteklemek üzere sunulan </w:t>
      </w:r>
      <w:proofErr w:type="spellStart"/>
      <w:r w:rsidRPr="0048733D">
        <w:t>amicus</w:t>
      </w:r>
      <w:proofErr w:type="spellEnd"/>
      <w:r w:rsidRPr="0048733D">
        <w:t xml:space="preserve"> </w:t>
      </w:r>
      <w:proofErr w:type="spellStart"/>
      <w:r w:rsidRPr="0048733D">
        <w:t>curiae</w:t>
      </w:r>
      <w:proofErr w:type="spellEnd"/>
      <w:r w:rsidRPr="0048733D">
        <w:t xml:space="preserve"> dilekçesi, s. 2–4, 6–7.</w:t>
      </w:r>
    </w:p>
  </w:footnote>
  <w:footnote w:id="107">
    <w:p w14:paraId="3360107B" w14:textId="45C41D55" w:rsidR="0048733D" w:rsidRPr="0048733D" w:rsidRDefault="0048733D" w:rsidP="0048733D">
      <w:pPr>
        <w:pStyle w:val="Dipnot"/>
        <w:rPr>
          <w:lang w:val="en-US"/>
        </w:rPr>
      </w:pPr>
      <w:r>
        <w:rPr>
          <w:rStyle w:val="FootnoteReference"/>
        </w:rPr>
        <w:footnoteRef/>
      </w:r>
      <w:r>
        <w:t xml:space="preserve"> </w:t>
      </w:r>
      <w:r>
        <w:tab/>
      </w:r>
      <w:r w:rsidRPr="0048733D">
        <w:t xml:space="preserve">107 </w:t>
      </w:r>
      <w:r w:rsidRPr="0048733D">
        <w:rPr>
          <w:i/>
          <w:iCs/>
        </w:rPr>
        <w:t xml:space="preserve">Boy </w:t>
      </w:r>
      <w:proofErr w:type="spellStart"/>
      <w:r w:rsidRPr="0048733D">
        <w:rPr>
          <w:i/>
          <w:iCs/>
        </w:rPr>
        <w:t>Scouts</w:t>
      </w:r>
      <w:proofErr w:type="spellEnd"/>
      <w:r w:rsidRPr="0048733D">
        <w:rPr>
          <w:i/>
          <w:iCs/>
        </w:rPr>
        <w:t xml:space="preserve"> of </w:t>
      </w:r>
      <w:proofErr w:type="spellStart"/>
      <w:r w:rsidRPr="0048733D">
        <w:rPr>
          <w:i/>
          <w:iCs/>
        </w:rPr>
        <w:t>America</w:t>
      </w:r>
      <w:proofErr w:type="spellEnd"/>
      <w:r w:rsidRPr="0048733D">
        <w:rPr>
          <w:i/>
          <w:iCs/>
        </w:rPr>
        <w:t xml:space="preserve"> v. </w:t>
      </w:r>
      <w:proofErr w:type="spellStart"/>
      <w:r w:rsidRPr="0048733D">
        <w:rPr>
          <w:i/>
          <w:iCs/>
        </w:rPr>
        <w:t>Dale</w:t>
      </w:r>
      <w:proofErr w:type="spellEnd"/>
      <w:r w:rsidRPr="0048733D">
        <w:t>, 530 U.S. 57 (2000).</w:t>
      </w:r>
    </w:p>
  </w:footnote>
  <w:footnote w:id="108">
    <w:p w14:paraId="0AF3CF6C" w14:textId="00F15D3C" w:rsidR="0097645D" w:rsidRPr="0097645D" w:rsidRDefault="0097645D" w:rsidP="0097645D">
      <w:pPr>
        <w:pStyle w:val="Dipnot"/>
        <w:rPr>
          <w:lang w:val="en-US"/>
        </w:rPr>
      </w:pPr>
      <w:r>
        <w:rPr>
          <w:rStyle w:val="FootnoteReference"/>
        </w:rPr>
        <w:footnoteRef/>
      </w:r>
      <w:r>
        <w:t xml:space="preserve"> </w:t>
      </w:r>
      <w:r>
        <w:tab/>
      </w:r>
      <w:r w:rsidRPr="0097645D">
        <w:t xml:space="preserve">108 </w:t>
      </w:r>
      <w:r w:rsidRPr="0097645D">
        <w:rPr>
          <w:i/>
          <w:iCs/>
        </w:rPr>
        <w:t>Bkz.</w:t>
      </w:r>
      <w:r w:rsidRPr="0097645D">
        <w:t xml:space="preserve"> </w:t>
      </w:r>
      <w:r w:rsidRPr="0097645D">
        <w:rPr>
          <w:i/>
          <w:iCs/>
        </w:rPr>
        <w:t>id.</w:t>
      </w:r>
      <w:r w:rsidRPr="0097645D">
        <w:t xml:space="preserve"> s. 59, 63, 73 (birden fazla görüş içeren çoğunluk görüşüyle yasayı dar gerekçelerle iptal eden, farklı gerekçelerle karara katılan iki ayrı görüş ve üç ayrı muhalif görüş içeren karar); Lambda Legal </w:t>
      </w:r>
      <w:proofErr w:type="spellStart"/>
      <w:r w:rsidRPr="0097645D">
        <w:t>Defense</w:t>
      </w:r>
      <w:proofErr w:type="spellEnd"/>
      <w:r w:rsidRPr="0097645D">
        <w:t xml:space="preserve"> </w:t>
      </w:r>
      <w:proofErr w:type="spellStart"/>
      <w:r w:rsidRPr="0097645D">
        <w:t>and</w:t>
      </w:r>
      <w:proofErr w:type="spellEnd"/>
      <w:r w:rsidRPr="0097645D">
        <w:t xml:space="preserve"> </w:t>
      </w:r>
      <w:proofErr w:type="spellStart"/>
      <w:r w:rsidRPr="0097645D">
        <w:t>Education</w:t>
      </w:r>
      <w:proofErr w:type="spellEnd"/>
      <w:r w:rsidRPr="0097645D">
        <w:t xml:space="preserve"> </w:t>
      </w:r>
      <w:proofErr w:type="spellStart"/>
      <w:r w:rsidRPr="0097645D">
        <w:t>Fund</w:t>
      </w:r>
      <w:proofErr w:type="spellEnd"/>
      <w:r w:rsidRPr="0097645D">
        <w:t xml:space="preserve"> ile </w:t>
      </w:r>
      <w:proofErr w:type="spellStart"/>
      <w:r w:rsidRPr="0097645D">
        <w:t>Gay</w:t>
      </w:r>
      <w:proofErr w:type="spellEnd"/>
      <w:r w:rsidRPr="0097645D">
        <w:t xml:space="preserve"> </w:t>
      </w:r>
      <w:proofErr w:type="spellStart"/>
      <w:r w:rsidRPr="0097645D">
        <w:t>and</w:t>
      </w:r>
      <w:proofErr w:type="spellEnd"/>
      <w:r w:rsidRPr="0097645D">
        <w:t xml:space="preserve"> </w:t>
      </w:r>
      <w:proofErr w:type="spellStart"/>
      <w:r w:rsidRPr="0097645D">
        <w:t>Lesbian</w:t>
      </w:r>
      <w:proofErr w:type="spellEnd"/>
      <w:r w:rsidRPr="0097645D">
        <w:t xml:space="preserve"> </w:t>
      </w:r>
      <w:proofErr w:type="spellStart"/>
      <w:r w:rsidRPr="0097645D">
        <w:t>Advocates</w:t>
      </w:r>
      <w:proofErr w:type="spellEnd"/>
      <w:r w:rsidRPr="0097645D">
        <w:t xml:space="preserve"> </w:t>
      </w:r>
      <w:proofErr w:type="spellStart"/>
      <w:r w:rsidRPr="0097645D">
        <w:t>and</w:t>
      </w:r>
      <w:proofErr w:type="spellEnd"/>
      <w:r w:rsidRPr="0097645D">
        <w:t xml:space="preserve"> </w:t>
      </w:r>
      <w:proofErr w:type="spellStart"/>
      <w:r w:rsidRPr="0097645D">
        <w:t>Defenders</w:t>
      </w:r>
      <w:proofErr w:type="spellEnd"/>
      <w:r w:rsidRPr="0097645D">
        <w:t xml:space="preserve"> tarafından </w:t>
      </w:r>
      <w:proofErr w:type="spellStart"/>
      <w:r w:rsidRPr="0097645D">
        <w:rPr>
          <w:i/>
          <w:iCs/>
        </w:rPr>
        <w:t>Troxel</w:t>
      </w:r>
      <w:proofErr w:type="spellEnd"/>
      <w:r w:rsidRPr="0097645D">
        <w:t xml:space="preserve">, 530 U.S. 57 (No. 99-138) davasında davalıyı desteklemek üzere sunulan </w:t>
      </w:r>
      <w:proofErr w:type="spellStart"/>
      <w:r w:rsidRPr="0097645D">
        <w:t>amicus</w:t>
      </w:r>
      <w:proofErr w:type="spellEnd"/>
      <w:r w:rsidRPr="0097645D">
        <w:t xml:space="preserve"> </w:t>
      </w:r>
      <w:proofErr w:type="spellStart"/>
      <w:r w:rsidRPr="0097645D">
        <w:t>curiae</w:t>
      </w:r>
      <w:proofErr w:type="spellEnd"/>
      <w:r w:rsidRPr="0097645D">
        <w:t xml:space="preserve"> dilekçesi, s. 3–5 (Mahkeme’yi aşırı dikkatli olmaya çağıran dilekçe).</w:t>
      </w:r>
    </w:p>
  </w:footnote>
  <w:footnote w:id="109">
    <w:p w14:paraId="5798975F" w14:textId="39D06952" w:rsidR="0097645D" w:rsidRPr="0097645D" w:rsidRDefault="0097645D" w:rsidP="0097645D">
      <w:pPr>
        <w:pStyle w:val="Dipnot"/>
        <w:rPr>
          <w:lang w:val="en-US"/>
        </w:rPr>
      </w:pPr>
      <w:r w:rsidRPr="0097645D">
        <w:rPr>
          <w:rStyle w:val="FootnoteReference"/>
        </w:rPr>
        <w:footnoteRef/>
      </w:r>
      <w:r w:rsidRPr="0097645D">
        <w:t xml:space="preserve"> </w:t>
      </w:r>
      <w:r w:rsidRPr="0097645D">
        <w:tab/>
      </w:r>
      <w:r w:rsidRPr="0097645D">
        <w:rPr>
          <w:lang w:val="en-US"/>
        </w:rPr>
        <w:t xml:space="preserve">109 Büyük </w:t>
      </w:r>
      <w:proofErr w:type="spellStart"/>
      <w:r w:rsidRPr="0097645D">
        <w:rPr>
          <w:lang w:val="en-US"/>
        </w:rPr>
        <w:t>ölçüde</w:t>
      </w:r>
      <w:proofErr w:type="spellEnd"/>
      <w:r w:rsidRPr="0097645D">
        <w:rPr>
          <w:lang w:val="en-US"/>
        </w:rPr>
        <w:t xml:space="preserve"> amicus curiae </w:t>
      </w:r>
      <w:proofErr w:type="spellStart"/>
      <w:r w:rsidRPr="0097645D">
        <w:rPr>
          <w:lang w:val="en-US"/>
        </w:rPr>
        <w:t>dilekçelerinden</w:t>
      </w:r>
      <w:proofErr w:type="spellEnd"/>
      <w:r w:rsidRPr="0097645D">
        <w:rPr>
          <w:lang w:val="en-US"/>
        </w:rPr>
        <w:t xml:space="preserve"> </w:t>
      </w:r>
      <w:proofErr w:type="spellStart"/>
      <w:r w:rsidRPr="0097645D">
        <w:rPr>
          <w:lang w:val="en-US"/>
        </w:rPr>
        <w:t>oluşturulan</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kaydın</w:t>
      </w:r>
      <w:proofErr w:type="spellEnd"/>
      <w:r w:rsidRPr="0097645D">
        <w:rPr>
          <w:lang w:val="en-US"/>
        </w:rPr>
        <w:t xml:space="preserve">" (record), </w:t>
      </w:r>
      <w:proofErr w:type="spellStart"/>
      <w:r w:rsidRPr="0097645D">
        <w:rPr>
          <w:lang w:val="en-US"/>
        </w:rPr>
        <w:t>yasama</w:t>
      </w:r>
      <w:proofErr w:type="spellEnd"/>
      <w:r w:rsidRPr="0097645D">
        <w:rPr>
          <w:lang w:val="en-US"/>
        </w:rPr>
        <w:t xml:space="preserve"> </w:t>
      </w:r>
      <w:proofErr w:type="spellStart"/>
      <w:r w:rsidRPr="0097645D">
        <w:rPr>
          <w:lang w:val="en-US"/>
        </w:rPr>
        <w:t>kayıtları</w:t>
      </w:r>
      <w:proofErr w:type="spellEnd"/>
      <w:r w:rsidRPr="0097645D">
        <w:rPr>
          <w:lang w:val="en-US"/>
        </w:rPr>
        <w:t xml:space="preserve"> </w:t>
      </w:r>
      <w:proofErr w:type="spellStart"/>
      <w:r w:rsidRPr="0097645D">
        <w:rPr>
          <w:lang w:val="en-US"/>
        </w:rPr>
        <w:t>kadar</w:t>
      </w:r>
      <w:proofErr w:type="spellEnd"/>
      <w:r w:rsidRPr="0097645D">
        <w:rPr>
          <w:lang w:val="en-US"/>
        </w:rPr>
        <w:t xml:space="preserve"> </w:t>
      </w:r>
      <w:proofErr w:type="spellStart"/>
      <w:r w:rsidRPr="0097645D">
        <w:rPr>
          <w:lang w:val="en-US"/>
        </w:rPr>
        <w:t>güvenilir</w:t>
      </w:r>
      <w:proofErr w:type="spellEnd"/>
      <w:r w:rsidRPr="0097645D">
        <w:rPr>
          <w:lang w:val="en-US"/>
        </w:rPr>
        <w:t xml:space="preserve"> </w:t>
      </w:r>
      <w:proofErr w:type="spellStart"/>
      <w:r w:rsidRPr="0097645D">
        <w:rPr>
          <w:lang w:val="en-US"/>
        </w:rPr>
        <w:t>olup</w:t>
      </w:r>
      <w:proofErr w:type="spellEnd"/>
      <w:r w:rsidRPr="0097645D">
        <w:rPr>
          <w:lang w:val="en-US"/>
        </w:rPr>
        <w:t xml:space="preserve"> </w:t>
      </w:r>
      <w:proofErr w:type="spellStart"/>
      <w:r w:rsidRPr="0097645D">
        <w:rPr>
          <w:lang w:val="en-US"/>
        </w:rPr>
        <w:t>olmadığı</w:t>
      </w:r>
      <w:proofErr w:type="spellEnd"/>
      <w:r w:rsidRPr="0097645D">
        <w:rPr>
          <w:lang w:val="en-US"/>
        </w:rPr>
        <w:t xml:space="preserve"> </w:t>
      </w:r>
      <w:proofErr w:type="spellStart"/>
      <w:r w:rsidRPr="0097645D">
        <w:rPr>
          <w:lang w:val="en-US"/>
        </w:rPr>
        <w:t>tartışmalı</w:t>
      </w:r>
      <w:proofErr w:type="spellEnd"/>
      <w:r w:rsidRPr="0097645D">
        <w:rPr>
          <w:lang w:val="en-US"/>
        </w:rPr>
        <w:t xml:space="preserve"> </w:t>
      </w:r>
      <w:proofErr w:type="spellStart"/>
      <w:r w:rsidRPr="0097645D">
        <w:rPr>
          <w:lang w:val="en-US"/>
        </w:rPr>
        <w:t>bir</w:t>
      </w:r>
      <w:proofErr w:type="spellEnd"/>
      <w:r w:rsidRPr="0097645D">
        <w:rPr>
          <w:lang w:val="en-US"/>
        </w:rPr>
        <w:t xml:space="preserve"> </w:t>
      </w:r>
      <w:proofErr w:type="spellStart"/>
      <w:r w:rsidRPr="0097645D">
        <w:rPr>
          <w:lang w:val="en-US"/>
        </w:rPr>
        <w:t>sorudur</w:t>
      </w:r>
      <w:proofErr w:type="spellEnd"/>
      <w:r w:rsidRPr="0097645D">
        <w:rPr>
          <w:lang w:val="en-US"/>
        </w:rPr>
        <w:t xml:space="preserve">, </w:t>
      </w:r>
      <w:proofErr w:type="spellStart"/>
      <w:r w:rsidRPr="0097645D">
        <w:rPr>
          <w:lang w:val="en-US"/>
        </w:rPr>
        <w:t>özellikle</w:t>
      </w:r>
      <w:proofErr w:type="spellEnd"/>
      <w:r w:rsidRPr="0097645D">
        <w:rPr>
          <w:lang w:val="en-US"/>
        </w:rPr>
        <w:t xml:space="preserve"> de Allison Orr </w:t>
      </w:r>
      <w:proofErr w:type="spellStart"/>
      <w:r w:rsidRPr="0097645D">
        <w:rPr>
          <w:lang w:val="en-US"/>
        </w:rPr>
        <w:t>Larsen’in</w:t>
      </w:r>
      <w:proofErr w:type="spellEnd"/>
      <w:r w:rsidRPr="0097645D">
        <w:rPr>
          <w:lang w:val="en-US"/>
        </w:rPr>
        <w:t xml:space="preserve"> </w:t>
      </w:r>
      <w:proofErr w:type="spellStart"/>
      <w:r w:rsidRPr="0097645D">
        <w:rPr>
          <w:lang w:val="en-US"/>
        </w:rPr>
        <w:t>ortaya</w:t>
      </w:r>
      <w:proofErr w:type="spellEnd"/>
      <w:r w:rsidRPr="0097645D">
        <w:rPr>
          <w:lang w:val="en-US"/>
        </w:rPr>
        <w:t xml:space="preserve"> </w:t>
      </w:r>
      <w:proofErr w:type="spellStart"/>
      <w:r w:rsidRPr="0097645D">
        <w:rPr>
          <w:lang w:val="en-US"/>
        </w:rPr>
        <w:t>koyduğu</w:t>
      </w:r>
      <w:proofErr w:type="spellEnd"/>
      <w:r w:rsidRPr="0097645D">
        <w:rPr>
          <w:lang w:val="en-US"/>
        </w:rPr>
        <w:t xml:space="preserve"> </w:t>
      </w:r>
      <w:proofErr w:type="spellStart"/>
      <w:r w:rsidRPr="0097645D">
        <w:rPr>
          <w:lang w:val="en-US"/>
        </w:rPr>
        <w:t>kanıtlar</w:t>
      </w:r>
      <w:proofErr w:type="spellEnd"/>
      <w:r w:rsidRPr="0097645D">
        <w:rPr>
          <w:lang w:val="en-US"/>
        </w:rPr>
        <w:t xml:space="preserve"> </w:t>
      </w:r>
      <w:proofErr w:type="spellStart"/>
      <w:r w:rsidRPr="0097645D">
        <w:rPr>
          <w:lang w:val="en-US"/>
        </w:rPr>
        <w:t>ışığında</w:t>
      </w:r>
      <w:proofErr w:type="spellEnd"/>
      <w:r w:rsidRPr="0097645D">
        <w:rPr>
          <w:lang w:val="en-US"/>
        </w:rPr>
        <w:t xml:space="preserve">. </w:t>
      </w:r>
      <w:proofErr w:type="spellStart"/>
      <w:r w:rsidRPr="0097645D">
        <w:rPr>
          <w:i/>
          <w:iCs/>
          <w:lang w:val="en-US"/>
        </w:rPr>
        <w:t>Bkz</w:t>
      </w:r>
      <w:proofErr w:type="spellEnd"/>
      <w:r w:rsidRPr="0097645D">
        <w:rPr>
          <w:i/>
          <w:iCs/>
          <w:lang w:val="en-US"/>
        </w:rPr>
        <w:t>.</w:t>
      </w:r>
      <w:r w:rsidRPr="0097645D">
        <w:rPr>
          <w:lang w:val="en-US"/>
        </w:rPr>
        <w:t xml:space="preserve"> Larsen, </w:t>
      </w:r>
      <w:r w:rsidRPr="0097645D">
        <w:rPr>
          <w:i/>
          <w:iCs/>
          <w:lang w:val="en-US"/>
        </w:rPr>
        <w:t>supra</w:t>
      </w:r>
      <w:r w:rsidRPr="0097645D">
        <w:rPr>
          <w:lang w:val="en-US"/>
        </w:rPr>
        <w:t xml:space="preserve"> not 102, s. 1759–61.</w:t>
      </w:r>
    </w:p>
  </w:footnote>
  <w:footnote w:id="110">
    <w:p w14:paraId="75C3AB9D" w14:textId="2FBF4022" w:rsidR="0097645D" w:rsidRPr="0097645D" w:rsidRDefault="0097645D" w:rsidP="0097645D">
      <w:pPr>
        <w:pStyle w:val="Dipnot"/>
        <w:rPr>
          <w:lang w:val="en-US"/>
        </w:rPr>
      </w:pPr>
      <w:r>
        <w:rPr>
          <w:rStyle w:val="FootnoteReference"/>
        </w:rPr>
        <w:footnoteRef/>
      </w:r>
      <w:r>
        <w:t xml:space="preserve"> </w:t>
      </w:r>
      <w:r>
        <w:tab/>
      </w:r>
      <w:r w:rsidRPr="0097645D">
        <w:t xml:space="preserve">110 </w:t>
      </w:r>
      <w:r w:rsidRPr="0097645D">
        <w:rPr>
          <w:i/>
          <w:iCs/>
        </w:rPr>
        <w:t>Bkz.</w:t>
      </w:r>
      <w:r w:rsidRPr="0097645D">
        <w:t xml:space="preserve"> </w:t>
      </w:r>
      <w:proofErr w:type="spellStart"/>
      <w:r w:rsidRPr="0097645D">
        <w:rPr>
          <w:i/>
          <w:iCs/>
        </w:rPr>
        <w:t>supra</w:t>
      </w:r>
      <w:proofErr w:type="spellEnd"/>
      <w:r w:rsidRPr="0097645D">
        <w:t xml:space="preserve"> notlar 1–2 ve ilgili metin.</w:t>
      </w:r>
    </w:p>
  </w:footnote>
  <w:footnote w:id="111">
    <w:p w14:paraId="1D12FABE" w14:textId="2B012503" w:rsidR="0097645D" w:rsidRPr="0097645D" w:rsidRDefault="0097645D" w:rsidP="0097645D">
      <w:pPr>
        <w:pStyle w:val="Dipnot"/>
        <w:rPr>
          <w:lang w:val="en-US"/>
        </w:rPr>
      </w:pPr>
      <w:r>
        <w:rPr>
          <w:rStyle w:val="FootnoteReference"/>
        </w:rPr>
        <w:footnoteRef/>
      </w:r>
      <w:r>
        <w:t xml:space="preserve"> </w:t>
      </w:r>
      <w:r>
        <w:tab/>
      </w:r>
      <w:r w:rsidRPr="0097645D">
        <w:t xml:space="preserve">111 </w:t>
      </w:r>
      <w:r w:rsidRPr="0097645D">
        <w:rPr>
          <w:i/>
          <w:iCs/>
        </w:rPr>
        <w:t>Bkz.</w:t>
      </w:r>
      <w:r w:rsidRPr="0097645D">
        <w:t xml:space="preserve"> </w:t>
      </w:r>
      <w:proofErr w:type="spellStart"/>
      <w:r w:rsidRPr="0097645D">
        <w:rPr>
          <w:i/>
          <w:iCs/>
        </w:rPr>
        <w:t>infra</w:t>
      </w:r>
      <w:proofErr w:type="spellEnd"/>
      <w:r w:rsidRPr="0097645D">
        <w:t xml:space="preserve"> Bölüm V.A.</w:t>
      </w:r>
    </w:p>
  </w:footnote>
  <w:footnote w:id="112">
    <w:p w14:paraId="13B6DD25" w14:textId="2A18FD09" w:rsidR="003A104F" w:rsidRPr="003A104F" w:rsidRDefault="003A104F" w:rsidP="003A104F">
      <w:pPr>
        <w:pStyle w:val="Dipnot"/>
        <w:rPr>
          <w:lang w:val="en-US"/>
        </w:rPr>
      </w:pPr>
      <w:r>
        <w:rPr>
          <w:rStyle w:val="FootnoteReference"/>
        </w:rPr>
        <w:footnoteRef/>
      </w:r>
      <w:r>
        <w:t xml:space="preserve"> </w:t>
      </w:r>
      <w:r>
        <w:tab/>
      </w:r>
      <w:r w:rsidRPr="003A104F">
        <w:t xml:space="preserve">112 Genel kamuoyunun Yüksek Mahkeme görüşlerini doğrudan, herhangi bir aracı olmaksızın tükettiği pek söylenemez. Ancak, bu aracılığın dinamikleri, partizan haber kanalları, gerçek zamanlı blog yayınları ve taraflar tarafından koordine edilen haber kampanyalarıyla şekillenen bir dünyada değişime uğramıştır. </w:t>
      </w:r>
      <w:r w:rsidRPr="003A104F">
        <w:rPr>
          <w:i/>
          <w:iCs/>
        </w:rPr>
        <w:t xml:space="preserve">King v. </w:t>
      </w:r>
      <w:proofErr w:type="spellStart"/>
      <w:r w:rsidRPr="003A104F">
        <w:rPr>
          <w:i/>
          <w:iCs/>
        </w:rPr>
        <w:t>Burwell</w:t>
      </w:r>
      <w:proofErr w:type="spellEnd"/>
      <w:r w:rsidRPr="003A104F">
        <w:t xml:space="preserve">, 135 S. </w:t>
      </w:r>
      <w:proofErr w:type="spellStart"/>
      <w:r w:rsidRPr="003A104F">
        <w:t>Ct</w:t>
      </w:r>
      <w:proofErr w:type="spellEnd"/>
      <w:r w:rsidRPr="003A104F">
        <w:t>. 2480, 2485 (2015) gibi yüksek profilli davalarda (büyük bir sağlık yasasını geçersiz kılabilecek bir yasaya ilişkin itirazı ele alan dava), sözlü argümanlara giden aylarda bu yöntemler dava sürecinin öncesine kadar genişletilmiş ve basın bültenleri, blog yazıları, köşe yazıları ve tweetler aracılığıyla dava, kamuoyuna sunulacak şekilde şekillendirilmiştir.</w:t>
      </w:r>
    </w:p>
  </w:footnote>
  <w:footnote w:id="113">
    <w:p w14:paraId="558A39E6" w14:textId="0B6F5BBB" w:rsidR="003A104F" w:rsidRPr="003A104F" w:rsidRDefault="003A104F" w:rsidP="003A104F">
      <w:pPr>
        <w:pStyle w:val="Dipnot"/>
        <w:rPr>
          <w:lang w:val="en-US"/>
        </w:rPr>
      </w:pPr>
      <w:r>
        <w:rPr>
          <w:rStyle w:val="FootnoteReference"/>
        </w:rPr>
        <w:footnoteRef/>
      </w:r>
      <w:r>
        <w:t xml:space="preserve"> </w:t>
      </w:r>
      <w:r>
        <w:tab/>
      </w:r>
      <w:r w:rsidRPr="003A104F">
        <w:t xml:space="preserve">113 Bu konuya ilişkin en kapsamlı literatür, sivil haklar hareketini ve özellikle Güney’de ayrımcı okullara ve tesislere karşı verilen mücadeleyi ele almaktadır. </w:t>
      </w:r>
      <w:r w:rsidRPr="003A104F">
        <w:rPr>
          <w:i/>
          <w:iCs/>
        </w:rPr>
        <w:t xml:space="preserve">Bkz. </w:t>
      </w:r>
      <w:proofErr w:type="spellStart"/>
      <w:r w:rsidRPr="003A104F">
        <w:rPr>
          <w:i/>
          <w:iCs/>
        </w:rPr>
        <w:t>örn</w:t>
      </w:r>
      <w:proofErr w:type="spellEnd"/>
      <w:r w:rsidRPr="003A104F">
        <w:rPr>
          <w:i/>
          <w:iCs/>
        </w:rPr>
        <w:t>.</w:t>
      </w:r>
      <w:r w:rsidRPr="003A104F">
        <w:t xml:space="preserve">, Mark V. </w:t>
      </w:r>
      <w:proofErr w:type="spellStart"/>
      <w:r w:rsidRPr="003A104F">
        <w:t>Tushnet</w:t>
      </w:r>
      <w:proofErr w:type="spellEnd"/>
      <w:r w:rsidRPr="003A104F">
        <w:t xml:space="preserve">, </w:t>
      </w:r>
      <w:proofErr w:type="spellStart"/>
      <w:r w:rsidRPr="003A104F">
        <w:rPr>
          <w:i/>
          <w:iCs/>
        </w:rPr>
        <w:t>The</w:t>
      </w:r>
      <w:proofErr w:type="spellEnd"/>
      <w:r w:rsidRPr="003A104F">
        <w:rPr>
          <w:i/>
          <w:iCs/>
        </w:rPr>
        <w:t xml:space="preserve"> </w:t>
      </w:r>
      <w:proofErr w:type="spellStart"/>
      <w:r w:rsidRPr="003A104F">
        <w:rPr>
          <w:i/>
          <w:iCs/>
        </w:rPr>
        <w:t>NAACP’s</w:t>
      </w:r>
      <w:proofErr w:type="spellEnd"/>
      <w:r w:rsidRPr="003A104F">
        <w:rPr>
          <w:i/>
          <w:iCs/>
        </w:rPr>
        <w:t xml:space="preserve"> Legal </w:t>
      </w:r>
      <w:proofErr w:type="spellStart"/>
      <w:r w:rsidRPr="003A104F">
        <w:rPr>
          <w:i/>
          <w:iCs/>
        </w:rPr>
        <w:t>Strategy</w:t>
      </w:r>
      <w:proofErr w:type="spellEnd"/>
      <w:r w:rsidRPr="003A104F">
        <w:rPr>
          <w:i/>
          <w:iCs/>
        </w:rPr>
        <w:t xml:space="preserve"> </w:t>
      </w:r>
      <w:proofErr w:type="spellStart"/>
      <w:r w:rsidRPr="003A104F">
        <w:rPr>
          <w:i/>
          <w:iCs/>
        </w:rPr>
        <w:t>Against</w:t>
      </w:r>
      <w:proofErr w:type="spellEnd"/>
      <w:r w:rsidRPr="003A104F">
        <w:rPr>
          <w:i/>
          <w:iCs/>
        </w:rPr>
        <w:t xml:space="preserve"> </w:t>
      </w:r>
      <w:proofErr w:type="spellStart"/>
      <w:r w:rsidRPr="003A104F">
        <w:rPr>
          <w:i/>
          <w:iCs/>
        </w:rPr>
        <w:t>Segregated</w:t>
      </w:r>
      <w:proofErr w:type="spellEnd"/>
      <w:r w:rsidRPr="003A104F">
        <w:rPr>
          <w:i/>
          <w:iCs/>
        </w:rPr>
        <w:t xml:space="preserve"> </w:t>
      </w:r>
      <w:proofErr w:type="spellStart"/>
      <w:r w:rsidRPr="003A104F">
        <w:rPr>
          <w:i/>
          <w:iCs/>
        </w:rPr>
        <w:t>Education</w:t>
      </w:r>
      <w:proofErr w:type="spellEnd"/>
      <w:r w:rsidRPr="003A104F">
        <w:t xml:space="preserve">, 1925–1950, s. 175–76, 183 (2. bas. 2004). Bu konulara ilişkin daha yakın tarihli ve detaylı bir değerlendirme için </w:t>
      </w:r>
      <w:r w:rsidRPr="003A104F">
        <w:rPr>
          <w:i/>
          <w:iCs/>
        </w:rPr>
        <w:t>bkz.</w:t>
      </w:r>
      <w:r w:rsidRPr="003A104F">
        <w:t xml:space="preserve"> </w:t>
      </w:r>
      <w:proofErr w:type="spellStart"/>
      <w:r w:rsidRPr="003A104F">
        <w:t>Lani</w:t>
      </w:r>
      <w:proofErr w:type="spellEnd"/>
      <w:r w:rsidRPr="003A104F">
        <w:t xml:space="preserve"> </w:t>
      </w:r>
      <w:proofErr w:type="spellStart"/>
      <w:r w:rsidRPr="003A104F">
        <w:t>Guinier</w:t>
      </w:r>
      <w:proofErr w:type="spellEnd"/>
      <w:r w:rsidRPr="003A104F">
        <w:t xml:space="preserve"> &amp; Gerald </w:t>
      </w:r>
      <w:proofErr w:type="spellStart"/>
      <w:r w:rsidRPr="003A104F">
        <w:t>Torres</w:t>
      </w:r>
      <w:proofErr w:type="spellEnd"/>
      <w:r w:rsidRPr="003A104F">
        <w:t xml:space="preserve">, </w:t>
      </w:r>
      <w:proofErr w:type="spellStart"/>
      <w:r w:rsidRPr="003A104F">
        <w:rPr>
          <w:i/>
          <w:iCs/>
        </w:rPr>
        <w:t>Changing</w:t>
      </w:r>
      <w:proofErr w:type="spellEnd"/>
      <w:r w:rsidRPr="003A104F">
        <w:rPr>
          <w:i/>
          <w:iCs/>
        </w:rPr>
        <w:t xml:space="preserve"> </w:t>
      </w:r>
      <w:proofErr w:type="spellStart"/>
      <w:r w:rsidRPr="003A104F">
        <w:rPr>
          <w:i/>
          <w:iCs/>
        </w:rPr>
        <w:t>the</w:t>
      </w:r>
      <w:proofErr w:type="spellEnd"/>
      <w:r w:rsidRPr="003A104F">
        <w:rPr>
          <w:i/>
          <w:iCs/>
        </w:rPr>
        <w:t xml:space="preserve"> </w:t>
      </w:r>
      <w:proofErr w:type="spellStart"/>
      <w:r w:rsidRPr="003A104F">
        <w:rPr>
          <w:i/>
          <w:iCs/>
        </w:rPr>
        <w:t>Wind</w:t>
      </w:r>
      <w:proofErr w:type="spellEnd"/>
      <w:r w:rsidRPr="003A104F">
        <w:rPr>
          <w:i/>
          <w:iCs/>
        </w:rPr>
        <w:t xml:space="preserve">: </w:t>
      </w:r>
      <w:proofErr w:type="spellStart"/>
      <w:r w:rsidRPr="003A104F">
        <w:rPr>
          <w:i/>
          <w:iCs/>
        </w:rPr>
        <w:t>Notes</w:t>
      </w:r>
      <w:proofErr w:type="spellEnd"/>
      <w:r w:rsidRPr="003A104F">
        <w:rPr>
          <w:i/>
          <w:iCs/>
        </w:rPr>
        <w:t xml:space="preserve"> </w:t>
      </w:r>
      <w:proofErr w:type="spellStart"/>
      <w:r w:rsidRPr="003A104F">
        <w:rPr>
          <w:i/>
          <w:iCs/>
        </w:rPr>
        <w:t>Toward</w:t>
      </w:r>
      <w:proofErr w:type="spellEnd"/>
      <w:r w:rsidRPr="003A104F">
        <w:rPr>
          <w:i/>
          <w:iCs/>
        </w:rPr>
        <w:t xml:space="preserve"> a </w:t>
      </w:r>
      <w:proofErr w:type="spellStart"/>
      <w:r w:rsidRPr="003A104F">
        <w:rPr>
          <w:i/>
          <w:iCs/>
        </w:rPr>
        <w:t>Demosprudence</w:t>
      </w:r>
      <w:proofErr w:type="spellEnd"/>
      <w:r w:rsidRPr="003A104F">
        <w:rPr>
          <w:i/>
          <w:iCs/>
        </w:rPr>
        <w:t xml:space="preserve"> of </w:t>
      </w:r>
      <w:proofErr w:type="spellStart"/>
      <w:r w:rsidRPr="003A104F">
        <w:rPr>
          <w:i/>
          <w:iCs/>
        </w:rPr>
        <w:t>Law</w:t>
      </w:r>
      <w:proofErr w:type="spellEnd"/>
      <w:r w:rsidRPr="003A104F">
        <w:rPr>
          <w:i/>
          <w:iCs/>
        </w:rPr>
        <w:t xml:space="preserve"> </w:t>
      </w:r>
      <w:proofErr w:type="spellStart"/>
      <w:r w:rsidRPr="003A104F">
        <w:rPr>
          <w:i/>
          <w:iCs/>
        </w:rPr>
        <w:t>and</w:t>
      </w:r>
      <w:proofErr w:type="spellEnd"/>
      <w:r w:rsidRPr="003A104F">
        <w:rPr>
          <w:i/>
          <w:iCs/>
        </w:rPr>
        <w:t xml:space="preserve"> </w:t>
      </w:r>
      <w:proofErr w:type="spellStart"/>
      <w:r w:rsidRPr="003A104F">
        <w:rPr>
          <w:i/>
          <w:iCs/>
        </w:rPr>
        <w:t>Social</w:t>
      </w:r>
      <w:proofErr w:type="spellEnd"/>
      <w:r w:rsidRPr="003A104F">
        <w:rPr>
          <w:i/>
          <w:iCs/>
        </w:rPr>
        <w:t xml:space="preserve"> </w:t>
      </w:r>
      <w:proofErr w:type="spellStart"/>
      <w:r w:rsidRPr="003A104F">
        <w:rPr>
          <w:i/>
          <w:iCs/>
        </w:rPr>
        <w:t>Movements</w:t>
      </w:r>
      <w:proofErr w:type="spellEnd"/>
      <w:r w:rsidRPr="003A104F">
        <w:t xml:space="preserve">, 123 </w:t>
      </w:r>
      <w:r w:rsidRPr="003A104F">
        <w:rPr>
          <w:i/>
          <w:iCs/>
        </w:rPr>
        <w:t>Yale L.J.</w:t>
      </w:r>
      <w:r w:rsidRPr="003A104F">
        <w:t xml:space="preserve"> 2740, 2742–45 (2014).</w:t>
      </w:r>
    </w:p>
  </w:footnote>
  <w:footnote w:id="114">
    <w:p w14:paraId="2E23CE19" w14:textId="6129ED57" w:rsidR="003A104F" w:rsidRPr="003A104F" w:rsidRDefault="003A104F" w:rsidP="003A104F">
      <w:pPr>
        <w:pStyle w:val="Dipnot"/>
      </w:pPr>
      <w:r>
        <w:rPr>
          <w:rStyle w:val="FootnoteReference"/>
        </w:rPr>
        <w:footnoteRef/>
      </w:r>
      <w:r>
        <w:t xml:space="preserve"> </w:t>
      </w:r>
      <w:r>
        <w:rPr>
          <w:lang w:val="en-US"/>
        </w:rPr>
        <w:tab/>
      </w:r>
      <w:r w:rsidRPr="003A104F">
        <w:t xml:space="preserve">114 </w:t>
      </w:r>
      <w:r w:rsidRPr="003A104F">
        <w:rPr>
          <w:i/>
          <w:iCs/>
        </w:rPr>
        <w:t xml:space="preserve">Bkz. </w:t>
      </w:r>
      <w:proofErr w:type="spellStart"/>
      <w:r w:rsidRPr="003A104F">
        <w:rPr>
          <w:i/>
          <w:iCs/>
        </w:rPr>
        <w:t>örn</w:t>
      </w:r>
      <w:proofErr w:type="spellEnd"/>
      <w:r w:rsidRPr="003A104F">
        <w:rPr>
          <w:i/>
          <w:iCs/>
        </w:rPr>
        <w:t>.</w:t>
      </w:r>
      <w:r w:rsidRPr="003A104F">
        <w:t xml:space="preserve">, </w:t>
      </w:r>
      <w:proofErr w:type="spellStart"/>
      <w:r w:rsidRPr="003A104F">
        <w:t>Tushnet</w:t>
      </w:r>
      <w:proofErr w:type="spellEnd"/>
      <w:r w:rsidRPr="003A104F">
        <w:t xml:space="preserve">, </w:t>
      </w:r>
      <w:proofErr w:type="spellStart"/>
      <w:r w:rsidRPr="003A104F">
        <w:rPr>
          <w:i/>
          <w:iCs/>
        </w:rPr>
        <w:t>supra</w:t>
      </w:r>
      <w:proofErr w:type="spellEnd"/>
      <w:r w:rsidRPr="003A104F">
        <w:t xml:space="preserve"> not 113, s. 175–76, 183.</w:t>
      </w:r>
    </w:p>
  </w:footnote>
  <w:footnote w:id="115">
    <w:p w14:paraId="57B6A9B2" w14:textId="45435463" w:rsidR="003A104F" w:rsidRPr="003A104F" w:rsidRDefault="003A104F" w:rsidP="003A104F">
      <w:pPr>
        <w:pStyle w:val="Dipnot"/>
        <w:rPr>
          <w:lang w:val="en-US"/>
        </w:rPr>
      </w:pPr>
      <w:r>
        <w:rPr>
          <w:rStyle w:val="FootnoteReference"/>
        </w:rPr>
        <w:footnoteRef/>
      </w:r>
      <w:r>
        <w:t xml:space="preserve"> </w:t>
      </w:r>
      <w:r>
        <w:tab/>
      </w:r>
      <w:r w:rsidRPr="003A104F">
        <w:t xml:space="preserve">115 </w:t>
      </w:r>
      <w:r w:rsidRPr="003A104F">
        <w:rPr>
          <w:i/>
          <w:iCs/>
        </w:rPr>
        <w:t>Bkz.</w:t>
      </w:r>
      <w:r w:rsidRPr="003A104F">
        <w:t xml:space="preserve"> </w:t>
      </w:r>
      <w:proofErr w:type="spellStart"/>
      <w:r w:rsidRPr="003A104F">
        <w:rPr>
          <w:i/>
          <w:iCs/>
        </w:rPr>
        <w:t>Grutter</w:t>
      </w:r>
      <w:proofErr w:type="spellEnd"/>
      <w:r w:rsidRPr="003A104F">
        <w:rPr>
          <w:i/>
          <w:iCs/>
        </w:rPr>
        <w:t xml:space="preserve"> v. </w:t>
      </w:r>
      <w:proofErr w:type="spellStart"/>
      <w:r w:rsidRPr="003A104F">
        <w:rPr>
          <w:i/>
          <w:iCs/>
        </w:rPr>
        <w:t>Bollinger</w:t>
      </w:r>
      <w:proofErr w:type="spellEnd"/>
      <w:r w:rsidRPr="003A104F">
        <w:t>, 539 U.S. 306, 346–49 (2003) (</w:t>
      </w:r>
      <w:proofErr w:type="spellStart"/>
      <w:r w:rsidRPr="003A104F">
        <w:t>Scalia</w:t>
      </w:r>
      <w:proofErr w:type="spellEnd"/>
      <w:r w:rsidRPr="003A104F">
        <w:t xml:space="preserve">, J., karşı oy); </w:t>
      </w:r>
      <w:r w:rsidRPr="003A104F">
        <w:rPr>
          <w:i/>
          <w:iCs/>
        </w:rPr>
        <w:t>id.</w:t>
      </w:r>
      <w:r w:rsidRPr="003A104F">
        <w:t xml:space="preserve"> s. 378–79 (</w:t>
      </w:r>
      <w:proofErr w:type="spellStart"/>
      <w:r w:rsidRPr="003A104F">
        <w:t>Rehnquist</w:t>
      </w:r>
      <w:proofErr w:type="spellEnd"/>
      <w:r w:rsidRPr="003A104F">
        <w:t xml:space="preserve">, C.J., karşı oy); </w:t>
      </w:r>
      <w:r w:rsidRPr="003A104F">
        <w:rPr>
          <w:i/>
          <w:iCs/>
        </w:rPr>
        <w:t>id.</w:t>
      </w:r>
      <w:r w:rsidRPr="003A104F">
        <w:t xml:space="preserve"> s. 387–88, 395 (Kennedy, J., karşı oy).</w:t>
      </w:r>
    </w:p>
  </w:footnote>
  <w:footnote w:id="116">
    <w:p w14:paraId="0632A281" w14:textId="183B2DE9" w:rsidR="003A104F" w:rsidRPr="003A104F" w:rsidRDefault="003A104F" w:rsidP="003A104F">
      <w:pPr>
        <w:pStyle w:val="Dipnot"/>
        <w:rPr>
          <w:lang w:val="en-US"/>
        </w:rPr>
      </w:pPr>
      <w:r>
        <w:rPr>
          <w:rStyle w:val="FootnoteReference"/>
        </w:rPr>
        <w:footnoteRef/>
      </w:r>
      <w:r>
        <w:rPr>
          <w:lang w:val="en-US"/>
        </w:rPr>
        <w:tab/>
      </w:r>
      <w:r w:rsidRPr="003A104F">
        <w:t xml:space="preserve">116 Yargıç </w:t>
      </w:r>
      <w:proofErr w:type="spellStart"/>
      <w:r w:rsidRPr="003A104F">
        <w:t>O’Connor’ın</w:t>
      </w:r>
      <w:proofErr w:type="spellEnd"/>
      <w:r w:rsidRPr="003A104F">
        <w:t xml:space="preserve"> argümanlarının olası yorumlarına ilişkin değerlendirmeler için </w:t>
      </w:r>
      <w:r w:rsidRPr="003A104F">
        <w:rPr>
          <w:i/>
          <w:iCs/>
        </w:rPr>
        <w:t>bkz.</w:t>
      </w:r>
      <w:r w:rsidRPr="003A104F">
        <w:t xml:space="preserve"> Joel K. Goldstein, </w:t>
      </w:r>
      <w:proofErr w:type="spellStart"/>
      <w:r w:rsidRPr="003A104F">
        <w:rPr>
          <w:i/>
          <w:iCs/>
        </w:rPr>
        <w:t>Justice</w:t>
      </w:r>
      <w:proofErr w:type="spellEnd"/>
      <w:r w:rsidRPr="003A104F">
        <w:rPr>
          <w:i/>
          <w:iCs/>
        </w:rPr>
        <w:t xml:space="preserve"> </w:t>
      </w:r>
      <w:proofErr w:type="spellStart"/>
      <w:r w:rsidRPr="003A104F">
        <w:rPr>
          <w:i/>
          <w:iCs/>
        </w:rPr>
        <w:t>O’Connor’s</w:t>
      </w:r>
      <w:proofErr w:type="spellEnd"/>
      <w:r w:rsidRPr="003A104F">
        <w:rPr>
          <w:i/>
          <w:iCs/>
        </w:rPr>
        <w:t xml:space="preserve"> </w:t>
      </w:r>
      <w:proofErr w:type="spellStart"/>
      <w:r w:rsidRPr="003A104F">
        <w:rPr>
          <w:i/>
          <w:iCs/>
        </w:rPr>
        <w:t>Twenty-Five</w:t>
      </w:r>
      <w:proofErr w:type="spellEnd"/>
      <w:r w:rsidRPr="003A104F">
        <w:rPr>
          <w:i/>
          <w:iCs/>
        </w:rPr>
        <w:t xml:space="preserve"> </w:t>
      </w:r>
      <w:proofErr w:type="spellStart"/>
      <w:r w:rsidRPr="003A104F">
        <w:rPr>
          <w:i/>
          <w:iCs/>
        </w:rPr>
        <w:t>Year</w:t>
      </w:r>
      <w:proofErr w:type="spellEnd"/>
      <w:r w:rsidRPr="003A104F">
        <w:rPr>
          <w:i/>
          <w:iCs/>
        </w:rPr>
        <w:t xml:space="preserve"> </w:t>
      </w:r>
      <w:proofErr w:type="spellStart"/>
      <w:r w:rsidRPr="003A104F">
        <w:rPr>
          <w:i/>
          <w:iCs/>
        </w:rPr>
        <w:t>Expectation</w:t>
      </w:r>
      <w:proofErr w:type="spellEnd"/>
      <w:r w:rsidRPr="003A104F">
        <w:rPr>
          <w:i/>
          <w:iCs/>
        </w:rPr>
        <w:t xml:space="preserve">: </w:t>
      </w:r>
      <w:proofErr w:type="spellStart"/>
      <w:r w:rsidRPr="003A104F">
        <w:rPr>
          <w:i/>
          <w:iCs/>
        </w:rPr>
        <w:t>The</w:t>
      </w:r>
      <w:proofErr w:type="spellEnd"/>
      <w:r w:rsidRPr="003A104F">
        <w:rPr>
          <w:i/>
          <w:iCs/>
        </w:rPr>
        <w:t xml:space="preserve"> </w:t>
      </w:r>
      <w:proofErr w:type="spellStart"/>
      <w:r w:rsidRPr="003A104F">
        <w:rPr>
          <w:i/>
          <w:iCs/>
        </w:rPr>
        <w:t>Legitimacy</w:t>
      </w:r>
      <w:proofErr w:type="spellEnd"/>
      <w:r w:rsidRPr="003A104F">
        <w:rPr>
          <w:i/>
          <w:iCs/>
        </w:rPr>
        <w:t xml:space="preserve"> of </w:t>
      </w:r>
      <w:proofErr w:type="spellStart"/>
      <w:r w:rsidRPr="003A104F">
        <w:rPr>
          <w:i/>
          <w:iCs/>
        </w:rPr>
        <w:t>Durational</w:t>
      </w:r>
      <w:proofErr w:type="spellEnd"/>
      <w:r w:rsidRPr="003A104F">
        <w:rPr>
          <w:i/>
          <w:iCs/>
        </w:rPr>
        <w:t xml:space="preserve"> </w:t>
      </w:r>
      <w:proofErr w:type="spellStart"/>
      <w:r w:rsidRPr="003A104F">
        <w:rPr>
          <w:i/>
          <w:iCs/>
        </w:rPr>
        <w:t>Limits</w:t>
      </w:r>
      <w:proofErr w:type="spellEnd"/>
      <w:r w:rsidRPr="003A104F">
        <w:rPr>
          <w:i/>
          <w:iCs/>
        </w:rPr>
        <w:t xml:space="preserve"> in </w:t>
      </w:r>
      <w:proofErr w:type="spellStart"/>
      <w:r w:rsidRPr="003A104F">
        <w:rPr>
          <w:i/>
          <w:iCs/>
        </w:rPr>
        <w:t>Grutter</w:t>
      </w:r>
      <w:proofErr w:type="spellEnd"/>
      <w:r w:rsidRPr="003A104F">
        <w:t xml:space="preserve">, 67 </w:t>
      </w:r>
      <w:r w:rsidRPr="003A104F">
        <w:rPr>
          <w:i/>
          <w:iCs/>
        </w:rPr>
        <w:t>Ohio St. L.J.</w:t>
      </w:r>
      <w:r w:rsidRPr="003A104F">
        <w:t xml:space="preserve"> 83, 85–86, 143 (2006).</w:t>
      </w:r>
    </w:p>
  </w:footnote>
  <w:footnote w:id="117">
    <w:p w14:paraId="4655FAC1" w14:textId="157342B4" w:rsidR="003A104F" w:rsidRPr="003A104F" w:rsidRDefault="003A104F" w:rsidP="003A104F">
      <w:pPr>
        <w:pStyle w:val="Dipnot"/>
        <w:rPr>
          <w:lang w:val="en-US"/>
        </w:rPr>
      </w:pPr>
      <w:r>
        <w:rPr>
          <w:rStyle w:val="FootnoteReference"/>
        </w:rPr>
        <w:footnoteRef/>
      </w:r>
      <w:r>
        <w:t xml:space="preserve"> </w:t>
      </w:r>
      <w:r>
        <w:tab/>
      </w:r>
      <w:r w:rsidRPr="003A104F">
        <w:t xml:space="preserve">117 </w:t>
      </w:r>
      <w:r w:rsidRPr="003A104F">
        <w:rPr>
          <w:i/>
          <w:iCs/>
        </w:rPr>
        <w:t>Karşılaştırınız</w:t>
      </w:r>
      <w:r w:rsidRPr="003A104F">
        <w:t xml:space="preserve"> </w:t>
      </w:r>
      <w:proofErr w:type="spellStart"/>
      <w:r w:rsidRPr="003A104F">
        <w:rPr>
          <w:i/>
          <w:iCs/>
        </w:rPr>
        <w:t>Grutter</w:t>
      </w:r>
      <w:proofErr w:type="spellEnd"/>
      <w:r w:rsidRPr="003A104F">
        <w:t xml:space="preserve">, 539 U.S. 343 (“Hukuk Fakültesi'nin, ‘ırk temelli olmayan bir kabul formülü bulmaktan daha çok isteyeceği bir şey olmadığı’ ve mümkün olan en kısa sürede ırk temelli kabul programını sonlandıracağı yönündeki beyanına itibar ediyoruz. . . . 25 yıl içinde, bugün onaylanan menfaati ilerletmek için ırk temelli tercihlere artık gerek kalmayacağını öngörüyoruz.” (atıflar çıkarılmıştır)), </w:t>
      </w:r>
      <w:r w:rsidRPr="003A104F">
        <w:rPr>
          <w:i/>
          <w:iCs/>
        </w:rPr>
        <w:t>ile id.</w:t>
      </w:r>
      <w:r w:rsidRPr="003A104F">
        <w:t xml:space="preserve"> s. 364, 376 &amp; n.13 (Thomas, J., kısmen mutabık ve kısmen karşı oy) (Mahkeme’nin görüşünü, pozitif ayrımcılığın “25 yıl içinde anayasaya aykırı olacağını” hükme bağlayan bir karar olarak tanımlayan görüş).</w:t>
      </w:r>
    </w:p>
  </w:footnote>
  <w:footnote w:id="118">
    <w:p w14:paraId="56A102FA" w14:textId="483472B9" w:rsidR="003A104F" w:rsidRPr="003A104F" w:rsidRDefault="003A104F" w:rsidP="003A104F">
      <w:pPr>
        <w:pStyle w:val="Dipnot"/>
        <w:rPr>
          <w:lang w:val="en-US"/>
        </w:rPr>
      </w:pPr>
      <w:r>
        <w:rPr>
          <w:rStyle w:val="FootnoteReference"/>
        </w:rPr>
        <w:footnoteRef/>
      </w:r>
      <w:r>
        <w:t xml:space="preserve"> </w:t>
      </w:r>
      <w:r>
        <w:tab/>
      </w:r>
      <w:r w:rsidRPr="003A104F">
        <w:t xml:space="preserve">118 </w:t>
      </w:r>
      <w:proofErr w:type="spellStart"/>
      <w:r w:rsidRPr="003A104F">
        <w:rPr>
          <w:i/>
          <w:iCs/>
        </w:rPr>
        <w:t>Kelo</w:t>
      </w:r>
      <w:proofErr w:type="spellEnd"/>
      <w:r w:rsidRPr="003A104F">
        <w:rPr>
          <w:i/>
          <w:iCs/>
        </w:rPr>
        <w:t xml:space="preserve"> v. City of New </w:t>
      </w:r>
      <w:proofErr w:type="spellStart"/>
      <w:r w:rsidRPr="003A104F">
        <w:rPr>
          <w:i/>
          <w:iCs/>
        </w:rPr>
        <w:t>London</w:t>
      </w:r>
      <w:proofErr w:type="spellEnd"/>
      <w:r w:rsidRPr="003A104F">
        <w:t>, 545 U.S. 469, 472, 489 (2005) (Mahkeme, “şehir tarafından [başvuranların] mülküne ilişkin önerilen tasarrufun, Kamulaştırma Maddesi (</w:t>
      </w:r>
      <w:proofErr w:type="spellStart"/>
      <w:r w:rsidRPr="003A104F">
        <w:t>Takings</w:t>
      </w:r>
      <w:proofErr w:type="spellEnd"/>
      <w:r w:rsidRPr="003A104F">
        <w:t xml:space="preserve"> </w:t>
      </w:r>
      <w:proofErr w:type="spellStart"/>
      <w:r w:rsidRPr="003A104F">
        <w:t>Clause</w:t>
      </w:r>
      <w:proofErr w:type="spellEnd"/>
      <w:r w:rsidRPr="003A104F">
        <w:t>) anlamında ‘kamusal kullanım’ niteliğini taşıdığına” hükmetmiştir).</w:t>
      </w:r>
    </w:p>
  </w:footnote>
  <w:footnote w:id="119">
    <w:p w14:paraId="438CBA9C" w14:textId="23888CA2" w:rsidR="003A104F" w:rsidRPr="003A104F" w:rsidRDefault="003A104F" w:rsidP="003A104F">
      <w:pPr>
        <w:pStyle w:val="Dipnot"/>
        <w:rPr>
          <w:lang w:val="en-US"/>
        </w:rPr>
      </w:pPr>
      <w:r>
        <w:rPr>
          <w:rStyle w:val="FootnoteReference"/>
        </w:rPr>
        <w:footnoteRef/>
      </w:r>
      <w:r>
        <w:t xml:space="preserve"> </w:t>
      </w:r>
      <w:r>
        <w:tab/>
      </w:r>
      <w:r w:rsidRPr="003A104F">
        <w:t xml:space="preserve">119 </w:t>
      </w:r>
      <w:proofErr w:type="spellStart"/>
      <w:r w:rsidRPr="003A104F">
        <w:rPr>
          <w:i/>
          <w:iCs/>
        </w:rPr>
        <w:t>Ledbetter</w:t>
      </w:r>
      <w:proofErr w:type="spellEnd"/>
      <w:r w:rsidRPr="003A104F">
        <w:rPr>
          <w:i/>
          <w:iCs/>
        </w:rPr>
        <w:t xml:space="preserve"> v. </w:t>
      </w:r>
      <w:proofErr w:type="spellStart"/>
      <w:r w:rsidRPr="003A104F">
        <w:rPr>
          <w:i/>
          <w:iCs/>
        </w:rPr>
        <w:t>Goodyear</w:t>
      </w:r>
      <w:proofErr w:type="spellEnd"/>
      <w:r w:rsidRPr="003A104F">
        <w:rPr>
          <w:i/>
          <w:iCs/>
        </w:rPr>
        <w:t xml:space="preserve"> Tire &amp; </w:t>
      </w:r>
      <w:proofErr w:type="spellStart"/>
      <w:r w:rsidRPr="003A104F">
        <w:rPr>
          <w:i/>
          <w:iCs/>
        </w:rPr>
        <w:t>Rubber</w:t>
      </w:r>
      <w:proofErr w:type="spellEnd"/>
      <w:r w:rsidRPr="003A104F">
        <w:rPr>
          <w:i/>
          <w:iCs/>
        </w:rPr>
        <w:t xml:space="preserve"> </w:t>
      </w:r>
      <w:proofErr w:type="spellStart"/>
      <w:r w:rsidRPr="003A104F">
        <w:rPr>
          <w:i/>
          <w:iCs/>
        </w:rPr>
        <w:t>Co</w:t>
      </w:r>
      <w:proofErr w:type="spellEnd"/>
      <w:r w:rsidRPr="003A104F">
        <w:rPr>
          <w:i/>
          <w:iCs/>
        </w:rPr>
        <w:t>.</w:t>
      </w:r>
      <w:r w:rsidRPr="003A104F">
        <w:t>, 550 U.S. 618, 621 (2007) (Mahkeme, geçmişteki ayrımcılığın etkilerinin yeni EEOC başvuru süreleri oluşturmadığına ve süresi geçtikten sonra yapılan başvuruların zamanaşımına uğramış olduğuna karar vermiştir).</w:t>
      </w:r>
    </w:p>
  </w:footnote>
  <w:footnote w:id="120">
    <w:p w14:paraId="1F5BA238" w14:textId="681CC46C" w:rsidR="003A104F" w:rsidRPr="003A104F" w:rsidRDefault="003A104F" w:rsidP="003A104F">
      <w:pPr>
        <w:pStyle w:val="Dipnot"/>
        <w:rPr>
          <w:lang w:val="en-US"/>
        </w:rPr>
      </w:pPr>
      <w:r>
        <w:rPr>
          <w:rStyle w:val="FootnoteReference"/>
        </w:rPr>
        <w:footnoteRef/>
      </w:r>
      <w:r>
        <w:t xml:space="preserve"> </w:t>
      </w:r>
      <w:r>
        <w:tab/>
      </w:r>
      <w:r w:rsidRPr="003A104F">
        <w:t xml:space="preserve">120 </w:t>
      </w:r>
      <w:r w:rsidRPr="003A104F">
        <w:rPr>
          <w:i/>
          <w:iCs/>
        </w:rPr>
        <w:t>Bkz.</w:t>
      </w:r>
      <w:r w:rsidRPr="003A104F">
        <w:t xml:space="preserve"> Lilly </w:t>
      </w:r>
      <w:proofErr w:type="spellStart"/>
      <w:r w:rsidRPr="003A104F">
        <w:t>Ledbetter</w:t>
      </w:r>
      <w:proofErr w:type="spellEnd"/>
      <w:r w:rsidRPr="003A104F">
        <w:t xml:space="preserve"> </w:t>
      </w:r>
      <w:proofErr w:type="spellStart"/>
      <w:r w:rsidRPr="003A104F">
        <w:t>Fair</w:t>
      </w:r>
      <w:proofErr w:type="spellEnd"/>
      <w:r w:rsidRPr="003A104F">
        <w:t xml:space="preserve"> Pay </w:t>
      </w:r>
      <w:proofErr w:type="spellStart"/>
      <w:r w:rsidRPr="003A104F">
        <w:t>Act</w:t>
      </w:r>
      <w:proofErr w:type="spellEnd"/>
      <w:r w:rsidRPr="003A104F">
        <w:t xml:space="preserve"> of 2009, </w:t>
      </w:r>
      <w:proofErr w:type="spellStart"/>
      <w:r w:rsidRPr="003A104F">
        <w:t>Pub</w:t>
      </w:r>
      <w:proofErr w:type="spellEnd"/>
      <w:r w:rsidRPr="003A104F">
        <w:t xml:space="preserve">. L. No. 111-2, 123 Stat. 5 (29 U.S.C. §§ 626, 633a, 794a, 42 U.S.C. §§ 2000e-5, e-16 (2014) şeklinde kodlanmıştır); </w:t>
      </w:r>
      <w:r w:rsidRPr="003A104F">
        <w:rPr>
          <w:i/>
          <w:iCs/>
        </w:rPr>
        <w:t>ayrıca bkz.</w:t>
      </w:r>
      <w:r w:rsidRPr="003A104F">
        <w:t xml:space="preserve"> </w:t>
      </w:r>
      <w:proofErr w:type="spellStart"/>
      <w:r w:rsidRPr="003A104F">
        <w:t>Ilya</w:t>
      </w:r>
      <w:proofErr w:type="spellEnd"/>
      <w:r w:rsidRPr="003A104F">
        <w:t xml:space="preserve"> </w:t>
      </w:r>
      <w:proofErr w:type="spellStart"/>
      <w:r w:rsidRPr="003A104F">
        <w:t>Somin</w:t>
      </w:r>
      <w:proofErr w:type="spellEnd"/>
      <w:r w:rsidRPr="003A104F">
        <w:t xml:space="preserve">, </w:t>
      </w:r>
      <w:proofErr w:type="spellStart"/>
      <w:r w:rsidRPr="003A104F">
        <w:rPr>
          <w:i/>
          <w:iCs/>
        </w:rPr>
        <w:t>The</w:t>
      </w:r>
      <w:proofErr w:type="spellEnd"/>
      <w:r w:rsidRPr="003A104F">
        <w:rPr>
          <w:i/>
          <w:iCs/>
        </w:rPr>
        <w:t xml:space="preserve"> </w:t>
      </w:r>
      <w:proofErr w:type="spellStart"/>
      <w:r w:rsidRPr="003A104F">
        <w:rPr>
          <w:i/>
          <w:iCs/>
        </w:rPr>
        <w:t>Limits</w:t>
      </w:r>
      <w:proofErr w:type="spellEnd"/>
      <w:r w:rsidRPr="003A104F">
        <w:rPr>
          <w:i/>
          <w:iCs/>
        </w:rPr>
        <w:t xml:space="preserve"> of </w:t>
      </w:r>
      <w:proofErr w:type="spellStart"/>
      <w:r w:rsidRPr="003A104F">
        <w:rPr>
          <w:i/>
          <w:iCs/>
        </w:rPr>
        <w:t>Backlash</w:t>
      </w:r>
      <w:proofErr w:type="spellEnd"/>
      <w:r w:rsidRPr="003A104F">
        <w:rPr>
          <w:i/>
          <w:iCs/>
        </w:rPr>
        <w:t xml:space="preserve">: </w:t>
      </w:r>
      <w:proofErr w:type="spellStart"/>
      <w:r w:rsidRPr="003A104F">
        <w:rPr>
          <w:i/>
          <w:iCs/>
        </w:rPr>
        <w:t>Assessing</w:t>
      </w:r>
      <w:proofErr w:type="spellEnd"/>
      <w:r w:rsidRPr="003A104F">
        <w:rPr>
          <w:i/>
          <w:iCs/>
        </w:rPr>
        <w:t xml:space="preserve"> </w:t>
      </w:r>
      <w:proofErr w:type="spellStart"/>
      <w:r w:rsidRPr="003A104F">
        <w:rPr>
          <w:i/>
          <w:iCs/>
        </w:rPr>
        <w:t>the</w:t>
      </w:r>
      <w:proofErr w:type="spellEnd"/>
      <w:r w:rsidRPr="003A104F">
        <w:rPr>
          <w:i/>
          <w:iCs/>
        </w:rPr>
        <w:t xml:space="preserve"> </w:t>
      </w:r>
      <w:proofErr w:type="spellStart"/>
      <w:r w:rsidRPr="003A104F">
        <w:rPr>
          <w:i/>
          <w:iCs/>
        </w:rPr>
        <w:t>Political</w:t>
      </w:r>
      <w:proofErr w:type="spellEnd"/>
      <w:r w:rsidRPr="003A104F">
        <w:rPr>
          <w:i/>
          <w:iCs/>
        </w:rPr>
        <w:t xml:space="preserve"> </w:t>
      </w:r>
      <w:proofErr w:type="spellStart"/>
      <w:r w:rsidRPr="003A104F">
        <w:rPr>
          <w:i/>
          <w:iCs/>
        </w:rPr>
        <w:t>Response</w:t>
      </w:r>
      <w:proofErr w:type="spellEnd"/>
      <w:r w:rsidRPr="003A104F">
        <w:rPr>
          <w:i/>
          <w:iCs/>
        </w:rPr>
        <w:t xml:space="preserve"> </w:t>
      </w:r>
      <w:proofErr w:type="spellStart"/>
      <w:r w:rsidRPr="003A104F">
        <w:rPr>
          <w:i/>
          <w:iCs/>
        </w:rPr>
        <w:t>to</w:t>
      </w:r>
      <w:proofErr w:type="spellEnd"/>
      <w:r w:rsidRPr="003A104F">
        <w:rPr>
          <w:i/>
          <w:iCs/>
        </w:rPr>
        <w:t xml:space="preserve"> </w:t>
      </w:r>
      <w:proofErr w:type="spellStart"/>
      <w:r w:rsidRPr="003A104F">
        <w:rPr>
          <w:i/>
          <w:iCs/>
        </w:rPr>
        <w:t>Kelo</w:t>
      </w:r>
      <w:proofErr w:type="spellEnd"/>
      <w:r w:rsidRPr="003A104F">
        <w:t xml:space="preserve">, 93 </w:t>
      </w:r>
      <w:proofErr w:type="spellStart"/>
      <w:r w:rsidRPr="003A104F">
        <w:rPr>
          <w:i/>
          <w:iCs/>
        </w:rPr>
        <w:t>Minn</w:t>
      </w:r>
      <w:proofErr w:type="spellEnd"/>
      <w:r w:rsidRPr="003A104F">
        <w:rPr>
          <w:i/>
          <w:iCs/>
        </w:rPr>
        <w:t xml:space="preserve">. L. </w:t>
      </w:r>
      <w:proofErr w:type="spellStart"/>
      <w:r w:rsidRPr="003A104F">
        <w:rPr>
          <w:i/>
          <w:iCs/>
        </w:rPr>
        <w:t>Rev</w:t>
      </w:r>
      <w:proofErr w:type="spellEnd"/>
      <w:r w:rsidRPr="003A104F">
        <w:rPr>
          <w:i/>
          <w:iCs/>
        </w:rPr>
        <w:t>.</w:t>
      </w:r>
      <w:r w:rsidRPr="003A104F">
        <w:t xml:space="preserve"> 2100, 2101–02 (2009) (</w:t>
      </w:r>
      <w:proofErr w:type="spellStart"/>
      <w:r w:rsidRPr="003A104F">
        <w:rPr>
          <w:i/>
          <w:iCs/>
        </w:rPr>
        <w:t>Kelo</w:t>
      </w:r>
      <w:proofErr w:type="spellEnd"/>
      <w:r w:rsidRPr="003A104F">
        <w:t xml:space="preserve"> kararına yönelik yasama tepkisini anlatan çalışma).</w:t>
      </w:r>
    </w:p>
  </w:footnote>
  <w:footnote w:id="121">
    <w:p w14:paraId="31CD1616" w14:textId="70EBCE19" w:rsidR="00DE65CF" w:rsidRPr="00DE65CF" w:rsidRDefault="00DE65CF" w:rsidP="00DE65CF">
      <w:pPr>
        <w:pStyle w:val="Dipnot"/>
        <w:rPr>
          <w:lang w:val="en-US"/>
        </w:rPr>
      </w:pPr>
      <w:r>
        <w:rPr>
          <w:rStyle w:val="FootnoteReference"/>
        </w:rPr>
        <w:footnoteRef/>
      </w:r>
      <w:r>
        <w:t xml:space="preserve"> </w:t>
      </w:r>
      <w:r>
        <w:tab/>
      </w:r>
      <w:r w:rsidRPr="00DE65CF">
        <w:t xml:space="preserve">121 </w:t>
      </w:r>
      <w:r w:rsidRPr="00DE65CF">
        <w:rPr>
          <w:i/>
          <w:iCs/>
        </w:rPr>
        <w:t>Bkz.</w:t>
      </w:r>
      <w:r w:rsidRPr="00DE65CF">
        <w:t xml:space="preserve"> </w:t>
      </w:r>
      <w:r w:rsidRPr="00DE65CF">
        <w:rPr>
          <w:i/>
          <w:iCs/>
        </w:rPr>
        <w:t>Lawrence v. Texas</w:t>
      </w:r>
      <w:r w:rsidRPr="00DE65CF">
        <w:t>, 539 U.S. 558, 562–63 (2003).</w:t>
      </w:r>
    </w:p>
  </w:footnote>
  <w:footnote w:id="122">
    <w:p w14:paraId="06B18F5F" w14:textId="48A485A3" w:rsidR="00DE65CF" w:rsidRPr="00DE65CF" w:rsidRDefault="00DE65CF" w:rsidP="00DE65CF">
      <w:pPr>
        <w:pStyle w:val="Dipnot"/>
        <w:rPr>
          <w:lang w:val="en-US"/>
        </w:rPr>
      </w:pPr>
      <w:r>
        <w:rPr>
          <w:rStyle w:val="FootnoteReference"/>
        </w:rPr>
        <w:footnoteRef/>
      </w:r>
      <w:r>
        <w:t xml:space="preserve"> </w:t>
      </w:r>
      <w:r>
        <w:tab/>
      </w:r>
      <w:r w:rsidRPr="00DE65CF">
        <w:t xml:space="preserve">122 </w:t>
      </w:r>
      <w:r w:rsidRPr="00DE65CF">
        <w:rPr>
          <w:i/>
          <w:iCs/>
        </w:rPr>
        <w:t>Bkz.</w:t>
      </w:r>
      <w:r w:rsidRPr="00DE65CF">
        <w:t xml:space="preserve"> Joseph </w:t>
      </w:r>
      <w:proofErr w:type="spellStart"/>
      <w:r w:rsidRPr="00DE65CF">
        <w:t>Landau</w:t>
      </w:r>
      <w:proofErr w:type="spellEnd"/>
      <w:r w:rsidRPr="00DE65CF">
        <w:t xml:space="preserve">, </w:t>
      </w:r>
      <w:proofErr w:type="spellStart"/>
      <w:r w:rsidRPr="00DE65CF">
        <w:rPr>
          <w:i/>
          <w:iCs/>
        </w:rPr>
        <w:t>Misjudged</w:t>
      </w:r>
      <w:proofErr w:type="spellEnd"/>
      <w:r w:rsidRPr="00DE65CF">
        <w:rPr>
          <w:i/>
          <w:iCs/>
        </w:rPr>
        <w:t xml:space="preserve">: </w:t>
      </w:r>
      <w:proofErr w:type="spellStart"/>
      <w:r w:rsidRPr="00DE65CF">
        <w:rPr>
          <w:i/>
          <w:iCs/>
        </w:rPr>
        <w:t>What</w:t>
      </w:r>
      <w:proofErr w:type="spellEnd"/>
      <w:r w:rsidRPr="00DE65CF">
        <w:t xml:space="preserve"> Lawrence </w:t>
      </w:r>
      <w:proofErr w:type="spellStart"/>
      <w:r w:rsidRPr="00DE65CF">
        <w:rPr>
          <w:i/>
          <w:iCs/>
        </w:rPr>
        <w:t>Hasn’t</w:t>
      </w:r>
      <w:proofErr w:type="spellEnd"/>
      <w:r w:rsidRPr="00DE65CF">
        <w:rPr>
          <w:i/>
          <w:iCs/>
        </w:rPr>
        <w:t xml:space="preserve"> </w:t>
      </w:r>
      <w:proofErr w:type="spellStart"/>
      <w:r w:rsidRPr="00DE65CF">
        <w:rPr>
          <w:i/>
          <w:iCs/>
        </w:rPr>
        <w:t>Wrought</w:t>
      </w:r>
      <w:proofErr w:type="spellEnd"/>
      <w:r w:rsidRPr="00DE65CF">
        <w:t xml:space="preserve">, </w:t>
      </w:r>
      <w:proofErr w:type="spellStart"/>
      <w:r w:rsidRPr="00DE65CF">
        <w:rPr>
          <w:i/>
          <w:iCs/>
        </w:rPr>
        <w:t>The</w:t>
      </w:r>
      <w:proofErr w:type="spellEnd"/>
      <w:r w:rsidRPr="00DE65CF">
        <w:rPr>
          <w:i/>
          <w:iCs/>
        </w:rPr>
        <w:t xml:space="preserve"> New </w:t>
      </w:r>
      <w:proofErr w:type="spellStart"/>
      <w:r w:rsidRPr="00DE65CF">
        <w:rPr>
          <w:i/>
          <w:iCs/>
        </w:rPr>
        <w:t>Republic</w:t>
      </w:r>
      <w:proofErr w:type="spellEnd"/>
      <w:r w:rsidRPr="00DE65CF">
        <w:t xml:space="preserve"> (16 Şubat 2004), </w:t>
      </w:r>
      <w:hyperlink r:id="rId3" w:tgtFrame="_new" w:history="1">
        <w:r w:rsidRPr="00DE65CF">
          <w:rPr>
            <w:rStyle w:val="Hyperlink"/>
          </w:rPr>
          <w:t>https://newrepublic.com/article/67372/misjudged</w:t>
        </w:r>
      </w:hyperlink>
      <w:r w:rsidRPr="00DE65CF">
        <w:t xml:space="preserve"> (</w:t>
      </w:r>
      <w:r w:rsidRPr="00DE65CF">
        <w:rPr>
          <w:i/>
          <w:iCs/>
        </w:rPr>
        <w:t>Lawrence</w:t>
      </w:r>
      <w:r w:rsidRPr="00DE65CF">
        <w:t xml:space="preserve"> kararını dar yorumlayan erken dönem davaları tartışan çalışma). </w:t>
      </w:r>
      <w:proofErr w:type="spellStart"/>
      <w:r w:rsidRPr="00DE65CF">
        <w:rPr>
          <w:i/>
          <w:iCs/>
        </w:rPr>
        <w:t>Karş</w:t>
      </w:r>
      <w:proofErr w:type="spellEnd"/>
      <w:r w:rsidRPr="00DE65CF">
        <w:rPr>
          <w:i/>
          <w:iCs/>
        </w:rPr>
        <w:t>.</w:t>
      </w:r>
      <w:r w:rsidRPr="00DE65CF">
        <w:t xml:space="preserve"> </w:t>
      </w:r>
      <w:proofErr w:type="spellStart"/>
      <w:r w:rsidRPr="00DE65CF">
        <w:rPr>
          <w:i/>
          <w:iCs/>
        </w:rPr>
        <w:t>supra</w:t>
      </w:r>
      <w:proofErr w:type="spellEnd"/>
      <w:r w:rsidRPr="00DE65CF">
        <w:t xml:space="preserve"> not 90 (</w:t>
      </w:r>
      <w:r w:rsidRPr="00DE65CF">
        <w:rPr>
          <w:i/>
          <w:iCs/>
        </w:rPr>
        <w:t>Lawrence</w:t>
      </w:r>
      <w:r w:rsidRPr="00DE65CF">
        <w:t xml:space="preserve"> görüşündeki çelişkili dilin olası bir açıklamasını tartışan bölüm).</w:t>
      </w:r>
    </w:p>
  </w:footnote>
  <w:footnote w:id="123">
    <w:p w14:paraId="5A5ECBA9" w14:textId="7C1558F2" w:rsidR="00DE65CF" w:rsidRPr="00DE65CF" w:rsidRDefault="00DE65CF" w:rsidP="00DE65CF">
      <w:pPr>
        <w:pStyle w:val="Dipnot"/>
        <w:rPr>
          <w:lang w:val="en-US"/>
        </w:rPr>
      </w:pPr>
      <w:r>
        <w:rPr>
          <w:rStyle w:val="FootnoteReference"/>
        </w:rPr>
        <w:footnoteRef/>
      </w:r>
      <w:r>
        <w:t xml:space="preserve"> </w:t>
      </w:r>
      <w:r>
        <w:tab/>
      </w:r>
      <w:r w:rsidRPr="00DE65CF">
        <w:t xml:space="preserve">123 </w:t>
      </w:r>
      <w:r w:rsidRPr="00DE65CF">
        <w:rPr>
          <w:i/>
          <w:iCs/>
        </w:rPr>
        <w:t>Bkz.</w:t>
      </w:r>
      <w:r w:rsidRPr="00DE65CF">
        <w:t xml:space="preserve"> Andrew </w:t>
      </w:r>
      <w:proofErr w:type="spellStart"/>
      <w:r w:rsidRPr="00DE65CF">
        <w:t>Siegel</w:t>
      </w:r>
      <w:proofErr w:type="spellEnd"/>
      <w:r w:rsidRPr="00DE65CF">
        <w:t xml:space="preserve">, </w:t>
      </w:r>
      <w:proofErr w:type="spellStart"/>
      <w:r w:rsidRPr="00DE65CF">
        <w:rPr>
          <w:i/>
          <w:iCs/>
        </w:rPr>
        <w:t>Justice</w:t>
      </w:r>
      <w:proofErr w:type="spellEnd"/>
      <w:r w:rsidRPr="00DE65CF">
        <w:rPr>
          <w:i/>
          <w:iCs/>
        </w:rPr>
        <w:t xml:space="preserve"> Stevens </w:t>
      </w:r>
      <w:proofErr w:type="spellStart"/>
      <w:r w:rsidRPr="00DE65CF">
        <w:rPr>
          <w:i/>
          <w:iCs/>
        </w:rPr>
        <w:t>and</w:t>
      </w:r>
      <w:proofErr w:type="spellEnd"/>
      <w:r w:rsidRPr="00DE65CF">
        <w:rPr>
          <w:i/>
          <w:iCs/>
        </w:rPr>
        <w:t xml:space="preserve"> </w:t>
      </w:r>
      <w:proofErr w:type="spellStart"/>
      <w:r w:rsidRPr="00DE65CF">
        <w:rPr>
          <w:i/>
          <w:iCs/>
        </w:rPr>
        <w:t>the</w:t>
      </w:r>
      <w:proofErr w:type="spellEnd"/>
      <w:r w:rsidRPr="00DE65CF">
        <w:rPr>
          <w:i/>
          <w:iCs/>
        </w:rPr>
        <w:t xml:space="preserve"> Seattle Schools Case: A Case </w:t>
      </w:r>
      <w:proofErr w:type="spellStart"/>
      <w:r w:rsidRPr="00DE65CF">
        <w:rPr>
          <w:i/>
          <w:iCs/>
        </w:rPr>
        <w:t>Study</w:t>
      </w:r>
      <w:proofErr w:type="spellEnd"/>
      <w:r w:rsidRPr="00DE65CF">
        <w:rPr>
          <w:i/>
          <w:iCs/>
        </w:rPr>
        <w:t xml:space="preserve"> on </w:t>
      </w:r>
      <w:proofErr w:type="spellStart"/>
      <w:r w:rsidRPr="00DE65CF">
        <w:rPr>
          <w:i/>
          <w:iCs/>
        </w:rPr>
        <w:t>the</w:t>
      </w:r>
      <w:proofErr w:type="spellEnd"/>
      <w:r w:rsidRPr="00DE65CF">
        <w:rPr>
          <w:i/>
          <w:iCs/>
        </w:rPr>
        <w:t xml:space="preserve"> Role of </w:t>
      </w:r>
      <w:proofErr w:type="spellStart"/>
      <w:r w:rsidRPr="00DE65CF">
        <w:rPr>
          <w:i/>
          <w:iCs/>
        </w:rPr>
        <w:t>Righteous</w:t>
      </w:r>
      <w:proofErr w:type="spellEnd"/>
      <w:r w:rsidRPr="00DE65CF">
        <w:rPr>
          <w:i/>
          <w:iCs/>
        </w:rPr>
        <w:t xml:space="preserve"> </w:t>
      </w:r>
      <w:proofErr w:type="spellStart"/>
      <w:r w:rsidRPr="00DE65CF">
        <w:rPr>
          <w:i/>
          <w:iCs/>
        </w:rPr>
        <w:t>Anger</w:t>
      </w:r>
      <w:proofErr w:type="spellEnd"/>
      <w:r w:rsidRPr="00DE65CF">
        <w:rPr>
          <w:i/>
          <w:iCs/>
        </w:rPr>
        <w:t xml:space="preserve"> in </w:t>
      </w:r>
      <w:proofErr w:type="spellStart"/>
      <w:r w:rsidRPr="00DE65CF">
        <w:rPr>
          <w:i/>
          <w:iCs/>
        </w:rPr>
        <w:t>Constitutional</w:t>
      </w:r>
      <w:proofErr w:type="spellEnd"/>
      <w:r w:rsidRPr="00DE65CF">
        <w:rPr>
          <w:i/>
          <w:iCs/>
        </w:rPr>
        <w:t xml:space="preserve"> </w:t>
      </w:r>
      <w:proofErr w:type="spellStart"/>
      <w:r w:rsidRPr="00DE65CF">
        <w:rPr>
          <w:i/>
          <w:iCs/>
        </w:rPr>
        <w:t>Discourse</w:t>
      </w:r>
      <w:proofErr w:type="spellEnd"/>
      <w:r w:rsidRPr="00DE65CF">
        <w:t xml:space="preserve">, 43 </w:t>
      </w:r>
      <w:r w:rsidRPr="00DE65CF">
        <w:rPr>
          <w:i/>
          <w:iCs/>
        </w:rPr>
        <w:t xml:space="preserve">U.C. Davis L. </w:t>
      </w:r>
      <w:proofErr w:type="spellStart"/>
      <w:r w:rsidRPr="00DE65CF">
        <w:rPr>
          <w:i/>
          <w:iCs/>
        </w:rPr>
        <w:t>Rev</w:t>
      </w:r>
      <w:proofErr w:type="spellEnd"/>
      <w:r w:rsidRPr="00DE65CF">
        <w:rPr>
          <w:i/>
          <w:iCs/>
        </w:rPr>
        <w:t>.</w:t>
      </w:r>
      <w:r w:rsidRPr="00DE65CF">
        <w:t xml:space="preserve"> 927, 933–37 (2010).</w:t>
      </w:r>
    </w:p>
  </w:footnote>
  <w:footnote w:id="124">
    <w:p w14:paraId="2B213DC2" w14:textId="54E0619C" w:rsidR="00DE65CF" w:rsidRPr="00DE65CF" w:rsidRDefault="00DE65CF" w:rsidP="00DE65CF">
      <w:pPr>
        <w:pStyle w:val="Dipnot"/>
        <w:rPr>
          <w:lang w:val="en-US"/>
        </w:rPr>
      </w:pPr>
      <w:r>
        <w:rPr>
          <w:rStyle w:val="FootnoteReference"/>
        </w:rPr>
        <w:footnoteRef/>
      </w:r>
      <w:r>
        <w:t xml:space="preserve"> </w:t>
      </w:r>
      <w:r>
        <w:tab/>
      </w:r>
      <w:r w:rsidRPr="00DE65CF">
        <w:t xml:space="preserve">124 </w:t>
      </w:r>
      <w:r w:rsidRPr="00DE65CF">
        <w:rPr>
          <w:i/>
          <w:iCs/>
        </w:rPr>
        <w:t xml:space="preserve">Bkz. </w:t>
      </w:r>
      <w:proofErr w:type="spellStart"/>
      <w:r w:rsidRPr="00DE65CF">
        <w:rPr>
          <w:i/>
          <w:iCs/>
        </w:rPr>
        <w:t>örn</w:t>
      </w:r>
      <w:proofErr w:type="spellEnd"/>
      <w:r w:rsidRPr="00DE65CF">
        <w:rPr>
          <w:i/>
          <w:iCs/>
        </w:rPr>
        <w:t>.</w:t>
      </w:r>
      <w:r w:rsidRPr="00DE65CF">
        <w:t xml:space="preserve">, Richard </w:t>
      </w:r>
      <w:proofErr w:type="spellStart"/>
      <w:r w:rsidRPr="00DE65CF">
        <w:t>Kluger</w:t>
      </w:r>
      <w:proofErr w:type="spellEnd"/>
      <w:r w:rsidRPr="00DE65CF">
        <w:t xml:space="preserve">, </w:t>
      </w:r>
      <w:r w:rsidRPr="00DE65CF">
        <w:rPr>
          <w:i/>
          <w:iCs/>
        </w:rPr>
        <w:t xml:space="preserve">Simple </w:t>
      </w:r>
      <w:proofErr w:type="spellStart"/>
      <w:r w:rsidRPr="00DE65CF">
        <w:rPr>
          <w:i/>
          <w:iCs/>
        </w:rPr>
        <w:t>Justice</w:t>
      </w:r>
      <w:proofErr w:type="spellEnd"/>
      <w:r w:rsidRPr="00DE65CF">
        <w:rPr>
          <w:i/>
          <w:iCs/>
        </w:rPr>
        <w:t xml:space="preserve">: </w:t>
      </w:r>
      <w:proofErr w:type="spellStart"/>
      <w:r w:rsidRPr="00DE65CF">
        <w:rPr>
          <w:i/>
          <w:iCs/>
        </w:rPr>
        <w:t>The</w:t>
      </w:r>
      <w:proofErr w:type="spellEnd"/>
      <w:r w:rsidRPr="00DE65CF">
        <w:rPr>
          <w:i/>
          <w:iCs/>
        </w:rPr>
        <w:t xml:space="preserve"> </w:t>
      </w:r>
      <w:proofErr w:type="spellStart"/>
      <w:r w:rsidRPr="00DE65CF">
        <w:rPr>
          <w:i/>
          <w:iCs/>
        </w:rPr>
        <w:t>History</w:t>
      </w:r>
      <w:proofErr w:type="spellEnd"/>
      <w:r w:rsidRPr="00DE65CF">
        <w:rPr>
          <w:i/>
          <w:iCs/>
        </w:rPr>
        <w:t xml:space="preserve"> of Brown v. Board of </w:t>
      </w:r>
      <w:proofErr w:type="spellStart"/>
      <w:r w:rsidRPr="00DE65CF">
        <w:rPr>
          <w:i/>
          <w:iCs/>
        </w:rPr>
        <w:t>Education</w:t>
      </w:r>
      <w:proofErr w:type="spellEnd"/>
      <w:r w:rsidRPr="00DE65CF">
        <w:rPr>
          <w:i/>
          <w:iCs/>
        </w:rPr>
        <w:t xml:space="preserve"> </w:t>
      </w:r>
      <w:proofErr w:type="spellStart"/>
      <w:r w:rsidRPr="00DE65CF">
        <w:rPr>
          <w:i/>
          <w:iCs/>
        </w:rPr>
        <w:t>and</w:t>
      </w:r>
      <w:proofErr w:type="spellEnd"/>
      <w:r w:rsidRPr="00DE65CF">
        <w:rPr>
          <w:i/>
          <w:iCs/>
        </w:rPr>
        <w:t xml:space="preserve"> Black </w:t>
      </w:r>
      <w:proofErr w:type="spellStart"/>
      <w:r w:rsidRPr="00DE65CF">
        <w:rPr>
          <w:i/>
          <w:iCs/>
        </w:rPr>
        <w:t>America’s</w:t>
      </w:r>
      <w:proofErr w:type="spellEnd"/>
      <w:r w:rsidRPr="00DE65CF">
        <w:rPr>
          <w:i/>
          <w:iCs/>
        </w:rPr>
        <w:t xml:space="preserve"> </w:t>
      </w:r>
      <w:proofErr w:type="spellStart"/>
      <w:r w:rsidRPr="00DE65CF">
        <w:rPr>
          <w:i/>
          <w:iCs/>
        </w:rPr>
        <w:t>Struggle</w:t>
      </w:r>
      <w:proofErr w:type="spellEnd"/>
      <w:r w:rsidRPr="00DE65CF">
        <w:rPr>
          <w:i/>
          <w:iCs/>
        </w:rPr>
        <w:t xml:space="preserve"> </w:t>
      </w:r>
      <w:proofErr w:type="spellStart"/>
      <w:r w:rsidRPr="00DE65CF">
        <w:rPr>
          <w:i/>
          <w:iCs/>
        </w:rPr>
        <w:t>for</w:t>
      </w:r>
      <w:proofErr w:type="spellEnd"/>
      <w:r w:rsidRPr="00DE65CF">
        <w:rPr>
          <w:i/>
          <w:iCs/>
        </w:rPr>
        <w:t xml:space="preserve"> </w:t>
      </w:r>
      <w:proofErr w:type="spellStart"/>
      <w:r w:rsidRPr="00DE65CF">
        <w:rPr>
          <w:i/>
          <w:iCs/>
        </w:rPr>
        <w:t>Equality</w:t>
      </w:r>
      <w:proofErr w:type="spellEnd"/>
      <w:r w:rsidRPr="00DE65CF">
        <w:t xml:space="preserve"> 700–09 (1976) (Baş Yargıç Warren’ın </w:t>
      </w:r>
      <w:r w:rsidRPr="00DE65CF">
        <w:rPr>
          <w:i/>
          <w:iCs/>
        </w:rPr>
        <w:t xml:space="preserve">Brown v. Board of </w:t>
      </w:r>
      <w:proofErr w:type="spellStart"/>
      <w:r w:rsidRPr="00DE65CF">
        <w:rPr>
          <w:i/>
          <w:iCs/>
        </w:rPr>
        <w:t>Education</w:t>
      </w:r>
      <w:proofErr w:type="spellEnd"/>
      <w:r w:rsidRPr="00DE65CF">
        <w:t xml:space="preserve"> kararında çoğunluk görüşünü nasıl şekillendirdiğini anlatan süreç analizi).</w:t>
      </w:r>
    </w:p>
  </w:footnote>
  <w:footnote w:id="125">
    <w:p w14:paraId="5C0FF55E" w14:textId="23D14793" w:rsidR="00DE65CF" w:rsidRPr="00DE65CF" w:rsidRDefault="00DE65CF" w:rsidP="00DE65CF">
      <w:pPr>
        <w:pStyle w:val="Dipnot"/>
        <w:rPr>
          <w:lang w:val="en-US"/>
        </w:rPr>
      </w:pPr>
      <w:r>
        <w:rPr>
          <w:rStyle w:val="FootnoteReference"/>
        </w:rPr>
        <w:footnoteRef/>
      </w:r>
      <w:r>
        <w:t xml:space="preserve"> </w:t>
      </w:r>
      <w:r>
        <w:tab/>
      </w:r>
      <w:r w:rsidRPr="00DE65CF">
        <w:t xml:space="preserve">125 </w:t>
      </w:r>
      <w:proofErr w:type="spellStart"/>
      <w:r w:rsidRPr="00DE65CF">
        <w:rPr>
          <w:i/>
          <w:iCs/>
        </w:rPr>
        <w:t>Marbury</w:t>
      </w:r>
      <w:proofErr w:type="spellEnd"/>
      <w:r w:rsidRPr="00DE65CF">
        <w:rPr>
          <w:i/>
          <w:iCs/>
        </w:rPr>
        <w:t xml:space="preserve"> v. Madison</w:t>
      </w:r>
      <w:r w:rsidRPr="00DE65CF">
        <w:t>, 5 U.S. 137 (1803).</w:t>
      </w:r>
    </w:p>
  </w:footnote>
  <w:footnote w:id="126">
    <w:p w14:paraId="0457F2D9" w14:textId="529FC536" w:rsidR="00DE65CF" w:rsidRPr="00DE65CF" w:rsidRDefault="00DE65CF" w:rsidP="00DE65CF">
      <w:pPr>
        <w:pStyle w:val="Dipnot"/>
        <w:rPr>
          <w:lang w:val="en-US"/>
        </w:rPr>
      </w:pPr>
      <w:r>
        <w:rPr>
          <w:rStyle w:val="FootnoteReference"/>
        </w:rPr>
        <w:footnoteRef/>
      </w:r>
      <w:r>
        <w:t xml:space="preserve"> </w:t>
      </w:r>
      <w:r>
        <w:tab/>
      </w:r>
      <w:r w:rsidRPr="00DE65CF">
        <w:t xml:space="preserve">126 </w:t>
      </w:r>
      <w:r w:rsidRPr="00DE65CF">
        <w:rPr>
          <w:i/>
          <w:iCs/>
        </w:rPr>
        <w:t xml:space="preserve">Brown v. Board of </w:t>
      </w:r>
      <w:proofErr w:type="spellStart"/>
      <w:r w:rsidRPr="00DE65CF">
        <w:rPr>
          <w:i/>
          <w:iCs/>
        </w:rPr>
        <w:t>Education</w:t>
      </w:r>
      <w:proofErr w:type="spellEnd"/>
      <w:r w:rsidRPr="00DE65CF">
        <w:t>, 347 U.S. 483, 495 (1954).</w:t>
      </w:r>
    </w:p>
  </w:footnote>
  <w:footnote w:id="127">
    <w:p w14:paraId="042D614D" w14:textId="1A959C8E" w:rsidR="00E32006" w:rsidRPr="00E32006" w:rsidRDefault="00E32006" w:rsidP="00E32006">
      <w:pPr>
        <w:pStyle w:val="Dipnot"/>
        <w:rPr>
          <w:lang w:val="en-US"/>
        </w:rPr>
      </w:pPr>
      <w:r>
        <w:rPr>
          <w:rStyle w:val="FootnoteReference"/>
        </w:rPr>
        <w:footnoteRef/>
      </w:r>
      <w:r>
        <w:t xml:space="preserve"> </w:t>
      </w:r>
      <w:r>
        <w:tab/>
      </w:r>
      <w:r w:rsidRPr="00E32006">
        <w:t xml:space="preserve">127 </w:t>
      </w:r>
      <w:proofErr w:type="spellStart"/>
      <w:r w:rsidRPr="00E32006">
        <w:rPr>
          <w:i/>
          <w:iCs/>
        </w:rPr>
        <w:t>Patient</w:t>
      </w:r>
      <w:proofErr w:type="spellEnd"/>
      <w:r w:rsidRPr="00E32006">
        <w:rPr>
          <w:i/>
          <w:iCs/>
        </w:rPr>
        <w:t xml:space="preserve"> </w:t>
      </w:r>
      <w:proofErr w:type="spellStart"/>
      <w:r w:rsidRPr="00E32006">
        <w:rPr>
          <w:i/>
          <w:iCs/>
        </w:rPr>
        <w:t>Protection</w:t>
      </w:r>
      <w:proofErr w:type="spellEnd"/>
      <w:r w:rsidRPr="00E32006">
        <w:rPr>
          <w:i/>
          <w:iCs/>
        </w:rPr>
        <w:t xml:space="preserve"> </w:t>
      </w:r>
      <w:proofErr w:type="spellStart"/>
      <w:r w:rsidRPr="00E32006">
        <w:rPr>
          <w:i/>
          <w:iCs/>
        </w:rPr>
        <w:t>and</w:t>
      </w:r>
      <w:proofErr w:type="spellEnd"/>
      <w:r w:rsidRPr="00E32006">
        <w:rPr>
          <w:i/>
          <w:iCs/>
        </w:rPr>
        <w:t xml:space="preserve"> </w:t>
      </w:r>
      <w:proofErr w:type="spellStart"/>
      <w:r w:rsidRPr="00E32006">
        <w:rPr>
          <w:i/>
          <w:iCs/>
        </w:rPr>
        <w:t>Affordable</w:t>
      </w:r>
      <w:proofErr w:type="spellEnd"/>
      <w:r w:rsidRPr="00E32006">
        <w:rPr>
          <w:i/>
          <w:iCs/>
        </w:rPr>
        <w:t xml:space="preserve"> </w:t>
      </w:r>
      <w:proofErr w:type="spellStart"/>
      <w:r w:rsidRPr="00E32006">
        <w:rPr>
          <w:i/>
          <w:iCs/>
        </w:rPr>
        <w:t>Care</w:t>
      </w:r>
      <w:proofErr w:type="spellEnd"/>
      <w:r w:rsidRPr="00E32006">
        <w:rPr>
          <w:i/>
          <w:iCs/>
        </w:rPr>
        <w:t xml:space="preserve"> </w:t>
      </w:r>
      <w:proofErr w:type="spellStart"/>
      <w:r w:rsidRPr="00E32006">
        <w:rPr>
          <w:i/>
          <w:iCs/>
        </w:rPr>
        <w:t>Act</w:t>
      </w:r>
      <w:proofErr w:type="spellEnd"/>
      <w:r w:rsidRPr="00E32006">
        <w:t xml:space="preserve">, </w:t>
      </w:r>
      <w:proofErr w:type="spellStart"/>
      <w:r w:rsidRPr="00E32006">
        <w:t>Pub</w:t>
      </w:r>
      <w:proofErr w:type="spellEnd"/>
      <w:r w:rsidRPr="00E32006">
        <w:t>. L. 111-148, 124 Stat. 119 (2010).</w:t>
      </w:r>
    </w:p>
  </w:footnote>
  <w:footnote w:id="128">
    <w:p w14:paraId="5F315036" w14:textId="231BDA9A" w:rsidR="00E32006" w:rsidRPr="00E32006" w:rsidRDefault="00E32006" w:rsidP="00E32006">
      <w:pPr>
        <w:pStyle w:val="Dipnot"/>
        <w:rPr>
          <w:lang w:val="en-US"/>
        </w:rPr>
      </w:pPr>
      <w:r>
        <w:rPr>
          <w:rStyle w:val="FootnoteReference"/>
        </w:rPr>
        <w:footnoteRef/>
      </w:r>
      <w:r>
        <w:t xml:space="preserve"> </w:t>
      </w:r>
      <w:r>
        <w:tab/>
      </w:r>
      <w:r w:rsidRPr="00E32006">
        <w:t xml:space="preserve">128 Hukuk akademisyenlerinin, mahkemelerin ilgili davalara duyduğu ilgiyi neden fark edemediğine dair akademik spekülasyonlar giderek artmaktadır. Bu konuya ilişkin yakın tarihli değerlendirmeler için </w:t>
      </w:r>
      <w:r w:rsidRPr="00E32006">
        <w:rPr>
          <w:i/>
          <w:iCs/>
        </w:rPr>
        <w:t>bkz.</w:t>
      </w:r>
      <w:r w:rsidRPr="00E32006">
        <w:t xml:space="preserve"> </w:t>
      </w:r>
      <w:proofErr w:type="spellStart"/>
      <w:r w:rsidRPr="00E32006">
        <w:t>Randy</w:t>
      </w:r>
      <w:proofErr w:type="spellEnd"/>
      <w:r w:rsidRPr="00E32006">
        <w:t xml:space="preserve"> E. Barnett, </w:t>
      </w:r>
      <w:r w:rsidRPr="00E32006">
        <w:rPr>
          <w:i/>
          <w:iCs/>
        </w:rPr>
        <w:t xml:space="preserve">No Small </w:t>
      </w:r>
      <w:proofErr w:type="spellStart"/>
      <w:r w:rsidRPr="00E32006">
        <w:rPr>
          <w:i/>
          <w:iCs/>
        </w:rPr>
        <w:t>Feat</w:t>
      </w:r>
      <w:proofErr w:type="spellEnd"/>
      <w:r w:rsidRPr="00E32006">
        <w:rPr>
          <w:i/>
          <w:iCs/>
        </w:rPr>
        <w:t xml:space="preserve">: </w:t>
      </w:r>
      <w:proofErr w:type="spellStart"/>
      <w:r w:rsidRPr="00E32006">
        <w:rPr>
          <w:i/>
          <w:iCs/>
        </w:rPr>
        <w:t>Who</w:t>
      </w:r>
      <w:proofErr w:type="spellEnd"/>
      <w:r w:rsidRPr="00E32006">
        <w:rPr>
          <w:i/>
          <w:iCs/>
        </w:rPr>
        <w:t xml:space="preserve"> </w:t>
      </w:r>
      <w:proofErr w:type="spellStart"/>
      <w:r w:rsidRPr="00E32006">
        <w:rPr>
          <w:i/>
          <w:iCs/>
        </w:rPr>
        <w:t>Won</w:t>
      </w:r>
      <w:proofErr w:type="spellEnd"/>
      <w:r w:rsidRPr="00E32006">
        <w:rPr>
          <w:i/>
          <w:iCs/>
        </w:rPr>
        <w:t xml:space="preserve"> </w:t>
      </w:r>
      <w:proofErr w:type="spellStart"/>
      <w:r w:rsidRPr="00E32006">
        <w:rPr>
          <w:i/>
          <w:iCs/>
        </w:rPr>
        <w:t>the</w:t>
      </w:r>
      <w:proofErr w:type="spellEnd"/>
      <w:r w:rsidRPr="00E32006">
        <w:rPr>
          <w:i/>
          <w:iCs/>
        </w:rPr>
        <w:t xml:space="preserve"> </w:t>
      </w:r>
      <w:proofErr w:type="spellStart"/>
      <w:r w:rsidRPr="00E32006">
        <w:rPr>
          <w:i/>
          <w:iCs/>
        </w:rPr>
        <w:t>Health</w:t>
      </w:r>
      <w:proofErr w:type="spellEnd"/>
      <w:r w:rsidRPr="00E32006">
        <w:rPr>
          <w:i/>
          <w:iCs/>
        </w:rPr>
        <w:t xml:space="preserve"> </w:t>
      </w:r>
      <w:proofErr w:type="spellStart"/>
      <w:r w:rsidRPr="00E32006">
        <w:rPr>
          <w:i/>
          <w:iCs/>
        </w:rPr>
        <w:t>Care</w:t>
      </w:r>
      <w:proofErr w:type="spellEnd"/>
      <w:r w:rsidRPr="00E32006">
        <w:rPr>
          <w:i/>
          <w:iCs/>
        </w:rPr>
        <w:t xml:space="preserve"> Case (</w:t>
      </w:r>
      <w:proofErr w:type="spellStart"/>
      <w:r w:rsidRPr="00E32006">
        <w:rPr>
          <w:i/>
          <w:iCs/>
        </w:rPr>
        <w:t>and</w:t>
      </w:r>
      <w:proofErr w:type="spellEnd"/>
      <w:r w:rsidRPr="00E32006">
        <w:rPr>
          <w:i/>
          <w:iCs/>
        </w:rPr>
        <w:t xml:space="preserve"> </w:t>
      </w:r>
      <w:proofErr w:type="spellStart"/>
      <w:r w:rsidRPr="00E32006">
        <w:rPr>
          <w:i/>
          <w:iCs/>
        </w:rPr>
        <w:t>Why</w:t>
      </w:r>
      <w:proofErr w:type="spellEnd"/>
      <w:r w:rsidRPr="00E32006">
        <w:rPr>
          <w:i/>
          <w:iCs/>
        </w:rPr>
        <w:t xml:space="preserve"> </w:t>
      </w:r>
      <w:proofErr w:type="spellStart"/>
      <w:r w:rsidRPr="00E32006">
        <w:rPr>
          <w:i/>
          <w:iCs/>
        </w:rPr>
        <w:t>Did</w:t>
      </w:r>
      <w:proofErr w:type="spellEnd"/>
      <w:r w:rsidRPr="00E32006">
        <w:rPr>
          <w:i/>
          <w:iCs/>
        </w:rPr>
        <w:t xml:space="preserve"> </w:t>
      </w:r>
      <w:proofErr w:type="spellStart"/>
      <w:r w:rsidRPr="00E32006">
        <w:rPr>
          <w:i/>
          <w:iCs/>
        </w:rPr>
        <w:t>So</w:t>
      </w:r>
      <w:proofErr w:type="spellEnd"/>
      <w:r w:rsidRPr="00E32006">
        <w:rPr>
          <w:i/>
          <w:iCs/>
        </w:rPr>
        <w:t xml:space="preserve"> </w:t>
      </w:r>
      <w:proofErr w:type="spellStart"/>
      <w:r w:rsidRPr="00E32006">
        <w:rPr>
          <w:i/>
          <w:iCs/>
        </w:rPr>
        <w:t>Many</w:t>
      </w:r>
      <w:proofErr w:type="spellEnd"/>
      <w:r w:rsidRPr="00E32006">
        <w:rPr>
          <w:i/>
          <w:iCs/>
        </w:rPr>
        <w:t xml:space="preserve"> </w:t>
      </w:r>
      <w:proofErr w:type="spellStart"/>
      <w:r w:rsidRPr="00E32006">
        <w:rPr>
          <w:i/>
          <w:iCs/>
        </w:rPr>
        <w:t>Law</w:t>
      </w:r>
      <w:proofErr w:type="spellEnd"/>
      <w:r w:rsidRPr="00E32006">
        <w:rPr>
          <w:i/>
          <w:iCs/>
        </w:rPr>
        <w:t xml:space="preserve"> </w:t>
      </w:r>
      <w:proofErr w:type="spellStart"/>
      <w:r w:rsidRPr="00E32006">
        <w:rPr>
          <w:i/>
          <w:iCs/>
        </w:rPr>
        <w:t>Professors</w:t>
      </w:r>
      <w:proofErr w:type="spellEnd"/>
      <w:r w:rsidRPr="00E32006">
        <w:rPr>
          <w:i/>
          <w:iCs/>
        </w:rPr>
        <w:t xml:space="preserve"> </w:t>
      </w:r>
      <w:proofErr w:type="spellStart"/>
      <w:r w:rsidRPr="00E32006">
        <w:rPr>
          <w:i/>
          <w:iCs/>
        </w:rPr>
        <w:t>Miss</w:t>
      </w:r>
      <w:proofErr w:type="spellEnd"/>
      <w:r w:rsidRPr="00E32006">
        <w:rPr>
          <w:i/>
          <w:iCs/>
        </w:rPr>
        <w:t xml:space="preserve"> </w:t>
      </w:r>
      <w:proofErr w:type="spellStart"/>
      <w:r w:rsidRPr="00E32006">
        <w:rPr>
          <w:i/>
          <w:iCs/>
        </w:rPr>
        <w:t>the</w:t>
      </w:r>
      <w:proofErr w:type="spellEnd"/>
      <w:r w:rsidRPr="00E32006">
        <w:rPr>
          <w:i/>
          <w:iCs/>
        </w:rPr>
        <w:t xml:space="preserve"> </w:t>
      </w:r>
      <w:proofErr w:type="spellStart"/>
      <w:r w:rsidRPr="00E32006">
        <w:rPr>
          <w:i/>
          <w:iCs/>
        </w:rPr>
        <w:t>Boat</w:t>
      </w:r>
      <w:proofErr w:type="spellEnd"/>
      <w:r w:rsidRPr="00E32006">
        <w:rPr>
          <w:i/>
          <w:iCs/>
        </w:rPr>
        <w:t>)?</w:t>
      </w:r>
      <w:r w:rsidRPr="00E32006">
        <w:t xml:space="preserve">, 65 </w:t>
      </w:r>
      <w:proofErr w:type="spellStart"/>
      <w:r w:rsidRPr="00E32006">
        <w:rPr>
          <w:i/>
          <w:iCs/>
        </w:rPr>
        <w:t>Fla</w:t>
      </w:r>
      <w:proofErr w:type="spellEnd"/>
      <w:r w:rsidRPr="00E32006">
        <w:rPr>
          <w:i/>
          <w:iCs/>
        </w:rPr>
        <w:t xml:space="preserve">. L. </w:t>
      </w:r>
      <w:proofErr w:type="spellStart"/>
      <w:r w:rsidRPr="00E32006">
        <w:rPr>
          <w:i/>
          <w:iCs/>
        </w:rPr>
        <w:t>Rev</w:t>
      </w:r>
      <w:proofErr w:type="spellEnd"/>
      <w:r w:rsidRPr="00E32006">
        <w:rPr>
          <w:i/>
          <w:iCs/>
        </w:rPr>
        <w:t>.</w:t>
      </w:r>
      <w:r w:rsidRPr="00E32006">
        <w:t xml:space="preserve"> 1331, 1333 (2013) (hukuk profesörlerinin değişen federalizm doktrinini anlayamadığını öne süren çalışma); </w:t>
      </w:r>
      <w:r w:rsidRPr="00E32006">
        <w:rPr>
          <w:i/>
          <w:iCs/>
        </w:rPr>
        <w:t>genel olarak bkz.</w:t>
      </w:r>
      <w:r w:rsidRPr="00E32006">
        <w:t xml:space="preserve"> David A. </w:t>
      </w:r>
      <w:proofErr w:type="spellStart"/>
      <w:r w:rsidRPr="00E32006">
        <w:t>Hyman</w:t>
      </w:r>
      <w:proofErr w:type="spellEnd"/>
      <w:r w:rsidRPr="00E32006">
        <w:t xml:space="preserve">, </w:t>
      </w:r>
      <w:proofErr w:type="spellStart"/>
      <w:r w:rsidRPr="00E32006">
        <w:rPr>
          <w:i/>
          <w:iCs/>
        </w:rPr>
        <w:t>Why</w:t>
      </w:r>
      <w:proofErr w:type="spellEnd"/>
      <w:r w:rsidRPr="00E32006">
        <w:rPr>
          <w:i/>
          <w:iCs/>
        </w:rPr>
        <w:t xml:space="preserve"> </w:t>
      </w:r>
      <w:proofErr w:type="spellStart"/>
      <w:r w:rsidRPr="00E32006">
        <w:rPr>
          <w:i/>
          <w:iCs/>
        </w:rPr>
        <w:t>Did</w:t>
      </w:r>
      <w:proofErr w:type="spellEnd"/>
      <w:r w:rsidRPr="00E32006">
        <w:rPr>
          <w:i/>
          <w:iCs/>
        </w:rPr>
        <w:t xml:space="preserve"> </w:t>
      </w:r>
      <w:proofErr w:type="spellStart"/>
      <w:r w:rsidRPr="00E32006">
        <w:rPr>
          <w:i/>
          <w:iCs/>
        </w:rPr>
        <w:t>Law</w:t>
      </w:r>
      <w:proofErr w:type="spellEnd"/>
      <w:r w:rsidRPr="00E32006">
        <w:rPr>
          <w:i/>
          <w:iCs/>
        </w:rPr>
        <w:t xml:space="preserve"> </w:t>
      </w:r>
      <w:proofErr w:type="spellStart"/>
      <w:r w:rsidRPr="00E32006">
        <w:rPr>
          <w:i/>
          <w:iCs/>
        </w:rPr>
        <w:t>Professors</w:t>
      </w:r>
      <w:proofErr w:type="spellEnd"/>
      <w:r w:rsidRPr="00E32006">
        <w:rPr>
          <w:i/>
          <w:iCs/>
        </w:rPr>
        <w:t xml:space="preserve"> </w:t>
      </w:r>
      <w:proofErr w:type="spellStart"/>
      <w:r w:rsidRPr="00E32006">
        <w:rPr>
          <w:i/>
          <w:iCs/>
        </w:rPr>
        <w:t>Misunderestimate</w:t>
      </w:r>
      <w:proofErr w:type="spellEnd"/>
      <w:r w:rsidRPr="00E32006">
        <w:rPr>
          <w:i/>
          <w:iCs/>
        </w:rPr>
        <w:t xml:space="preserve"> </w:t>
      </w:r>
      <w:proofErr w:type="spellStart"/>
      <w:r w:rsidRPr="00E32006">
        <w:rPr>
          <w:i/>
          <w:iCs/>
        </w:rPr>
        <w:t>the</w:t>
      </w:r>
      <w:proofErr w:type="spellEnd"/>
      <w:r w:rsidRPr="00E32006">
        <w:rPr>
          <w:i/>
          <w:iCs/>
        </w:rPr>
        <w:t xml:space="preserve"> </w:t>
      </w:r>
      <w:proofErr w:type="spellStart"/>
      <w:r w:rsidRPr="00E32006">
        <w:rPr>
          <w:i/>
          <w:iCs/>
        </w:rPr>
        <w:t>Lawsuits</w:t>
      </w:r>
      <w:proofErr w:type="spellEnd"/>
      <w:r w:rsidRPr="00E32006">
        <w:rPr>
          <w:i/>
          <w:iCs/>
        </w:rPr>
        <w:t xml:space="preserve"> </w:t>
      </w:r>
      <w:proofErr w:type="spellStart"/>
      <w:r w:rsidRPr="00E32006">
        <w:rPr>
          <w:i/>
          <w:iCs/>
        </w:rPr>
        <w:t>Against</w:t>
      </w:r>
      <w:proofErr w:type="spellEnd"/>
      <w:r w:rsidRPr="00E32006">
        <w:rPr>
          <w:i/>
          <w:iCs/>
        </w:rPr>
        <w:t xml:space="preserve"> PPACA?</w:t>
      </w:r>
      <w:r w:rsidRPr="00E32006">
        <w:t xml:space="preserve">, 2014 </w:t>
      </w:r>
      <w:r w:rsidRPr="00E32006">
        <w:rPr>
          <w:i/>
          <w:iCs/>
        </w:rPr>
        <w:t xml:space="preserve">U. </w:t>
      </w:r>
      <w:proofErr w:type="spellStart"/>
      <w:r w:rsidRPr="00E32006">
        <w:rPr>
          <w:i/>
          <w:iCs/>
        </w:rPr>
        <w:t>Ill</w:t>
      </w:r>
      <w:proofErr w:type="spellEnd"/>
      <w:r w:rsidRPr="00E32006">
        <w:rPr>
          <w:i/>
          <w:iCs/>
        </w:rPr>
        <w:t xml:space="preserve">. L. </w:t>
      </w:r>
      <w:proofErr w:type="spellStart"/>
      <w:r w:rsidRPr="00E32006">
        <w:rPr>
          <w:i/>
          <w:iCs/>
        </w:rPr>
        <w:t>Rev</w:t>
      </w:r>
      <w:proofErr w:type="spellEnd"/>
      <w:r w:rsidRPr="00E32006">
        <w:rPr>
          <w:i/>
          <w:iCs/>
        </w:rPr>
        <w:t>.</w:t>
      </w:r>
      <w:r w:rsidRPr="00E32006">
        <w:t xml:space="preserve"> 805 (hukuk akademisyenlerinin yargılama pratiği eksikliği, dar ideolojik yankı odalarında yaşama eğilimleri, büyük teoriler üzerinden düşünmeleri, küçük örneklem büyüklüğünün yol açtığı kötü şans ve bazı akademisyenlerin “öngörü” adı altında kararları etkilemeye yönelik kasıtlı çabaları gibi çeşitli faktörleri sorumlu tutan çalışma); J. Mark </w:t>
      </w:r>
      <w:proofErr w:type="spellStart"/>
      <w:r w:rsidRPr="00E32006">
        <w:t>Ramseyer</w:t>
      </w:r>
      <w:proofErr w:type="spellEnd"/>
      <w:r w:rsidRPr="00E32006">
        <w:t xml:space="preserve">, </w:t>
      </w:r>
      <w:proofErr w:type="spellStart"/>
      <w:r w:rsidRPr="00E32006">
        <w:rPr>
          <w:i/>
          <w:iCs/>
        </w:rPr>
        <w:t>Biases</w:t>
      </w:r>
      <w:proofErr w:type="spellEnd"/>
      <w:r w:rsidRPr="00E32006">
        <w:rPr>
          <w:i/>
          <w:iCs/>
        </w:rPr>
        <w:t xml:space="preserve"> </w:t>
      </w:r>
      <w:proofErr w:type="spellStart"/>
      <w:r w:rsidRPr="00E32006">
        <w:rPr>
          <w:i/>
          <w:iCs/>
        </w:rPr>
        <w:t>that</w:t>
      </w:r>
      <w:proofErr w:type="spellEnd"/>
      <w:r w:rsidRPr="00E32006">
        <w:rPr>
          <w:i/>
          <w:iCs/>
        </w:rPr>
        <w:t xml:space="preserve"> </w:t>
      </w:r>
      <w:proofErr w:type="spellStart"/>
      <w:r w:rsidRPr="00E32006">
        <w:rPr>
          <w:i/>
          <w:iCs/>
        </w:rPr>
        <w:t>Bind</w:t>
      </w:r>
      <w:proofErr w:type="spellEnd"/>
      <w:r w:rsidRPr="00E32006">
        <w:rPr>
          <w:i/>
          <w:iCs/>
        </w:rPr>
        <w:t xml:space="preserve">: </w:t>
      </w:r>
      <w:proofErr w:type="spellStart"/>
      <w:r w:rsidRPr="00E32006">
        <w:rPr>
          <w:i/>
          <w:iCs/>
        </w:rPr>
        <w:t>Professor</w:t>
      </w:r>
      <w:proofErr w:type="spellEnd"/>
      <w:r w:rsidRPr="00E32006">
        <w:rPr>
          <w:i/>
          <w:iCs/>
        </w:rPr>
        <w:t xml:space="preserve"> </w:t>
      </w:r>
      <w:proofErr w:type="spellStart"/>
      <w:r w:rsidRPr="00E32006">
        <w:rPr>
          <w:i/>
          <w:iCs/>
        </w:rPr>
        <w:t>Hyman</w:t>
      </w:r>
      <w:proofErr w:type="spellEnd"/>
      <w:r w:rsidRPr="00E32006">
        <w:rPr>
          <w:i/>
          <w:iCs/>
        </w:rPr>
        <w:t xml:space="preserve"> </w:t>
      </w:r>
      <w:proofErr w:type="spellStart"/>
      <w:r w:rsidRPr="00E32006">
        <w:rPr>
          <w:i/>
          <w:iCs/>
        </w:rPr>
        <w:t>and</w:t>
      </w:r>
      <w:proofErr w:type="spellEnd"/>
      <w:r w:rsidRPr="00E32006">
        <w:rPr>
          <w:i/>
          <w:iCs/>
        </w:rPr>
        <w:t xml:space="preserve"> </w:t>
      </w:r>
      <w:proofErr w:type="spellStart"/>
      <w:r w:rsidRPr="00E32006">
        <w:rPr>
          <w:i/>
          <w:iCs/>
        </w:rPr>
        <w:t>the</w:t>
      </w:r>
      <w:proofErr w:type="spellEnd"/>
      <w:r w:rsidRPr="00E32006">
        <w:rPr>
          <w:i/>
          <w:iCs/>
        </w:rPr>
        <w:t xml:space="preserve"> </w:t>
      </w:r>
      <w:proofErr w:type="spellStart"/>
      <w:r w:rsidRPr="00E32006">
        <w:rPr>
          <w:i/>
          <w:iCs/>
        </w:rPr>
        <w:t>University</w:t>
      </w:r>
      <w:proofErr w:type="spellEnd"/>
      <w:r w:rsidRPr="00E32006">
        <w:t xml:space="preserve">, 2014 </w:t>
      </w:r>
      <w:r w:rsidRPr="00E32006">
        <w:rPr>
          <w:i/>
          <w:iCs/>
        </w:rPr>
        <w:t xml:space="preserve">U. </w:t>
      </w:r>
      <w:proofErr w:type="spellStart"/>
      <w:r w:rsidRPr="00E32006">
        <w:rPr>
          <w:i/>
          <w:iCs/>
        </w:rPr>
        <w:t>Ill</w:t>
      </w:r>
      <w:proofErr w:type="spellEnd"/>
      <w:r w:rsidRPr="00E32006">
        <w:rPr>
          <w:i/>
          <w:iCs/>
        </w:rPr>
        <w:t xml:space="preserve">. L. </w:t>
      </w:r>
      <w:proofErr w:type="spellStart"/>
      <w:r w:rsidRPr="00E32006">
        <w:rPr>
          <w:i/>
          <w:iCs/>
        </w:rPr>
        <w:t>Rev</w:t>
      </w:r>
      <w:proofErr w:type="spellEnd"/>
      <w:r w:rsidRPr="00E32006">
        <w:rPr>
          <w:i/>
          <w:iCs/>
        </w:rPr>
        <w:t>.</w:t>
      </w:r>
      <w:r w:rsidRPr="00E32006">
        <w:t xml:space="preserve"> 1229 (ideolojik önyargıyı temel neden olarak gösteren çalışma).</w:t>
      </w:r>
    </w:p>
  </w:footnote>
  <w:footnote w:id="129">
    <w:p w14:paraId="6F9B473D" w14:textId="2EA14F4B" w:rsidR="00E32006" w:rsidRPr="00E32006" w:rsidRDefault="00E32006" w:rsidP="00E32006">
      <w:pPr>
        <w:pStyle w:val="Dipnot"/>
        <w:rPr>
          <w:lang w:val="en-US"/>
        </w:rPr>
      </w:pPr>
      <w:r>
        <w:rPr>
          <w:rStyle w:val="FootnoteReference"/>
        </w:rPr>
        <w:footnoteRef/>
      </w:r>
      <w:r>
        <w:t xml:space="preserve"> </w:t>
      </w:r>
      <w:r>
        <w:tab/>
      </w:r>
      <w:r w:rsidRPr="00E32006">
        <w:t xml:space="preserve">129 </w:t>
      </w:r>
      <w:r w:rsidRPr="00E32006">
        <w:rPr>
          <w:i/>
          <w:iCs/>
        </w:rPr>
        <w:t>Bkz.</w:t>
      </w:r>
      <w:r w:rsidRPr="00E32006">
        <w:t xml:space="preserve"> </w:t>
      </w:r>
      <w:proofErr w:type="spellStart"/>
      <w:r w:rsidRPr="00E32006">
        <w:t>Zachary</w:t>
      </w:r>
      <w:proofErr w:type="spellEnd"/>
      <w:r w:rsidRPr="00E32006">
        <w:t xml:space="preserve"> </w:t>
      </w:r>
      <w:proofErr w:type="spellStart"/>
      <w:r w:rsidRPr="00E32006">
        <w:t>Roth</w:t>
      </w:r>
      <w:proofErr w:type="spellEnd"/>
      <w:r w:rsidRPr="00E32006">
        <w:t xml:space="preserve">, </w:t>
      </w:r>
      <w:proofErr w:type="spellStart"/>
      <w:r w:rsidRPr="00E32006">
        <w:rPr>
          <w:i/>
          <w:iCs/>
        </w:rPr>
        <w:t>Debate</w:t>
      </w:r>
      <w:proofErr w:type="spellEnd"/>
      <w:r w:rsidRPr="00E32006">
        <w:rPr>
          <w:i/>
          <w:iCs/>
        </w:rPr>
        <w:t xml:space="preserve"> </w:t>
      </w:r>
      <w:proofErr w:type="spellStart"/>
      <w:r w:rsidRPr="00E32006">
        <w:rPr>
          <w:i/>
          <w:iCs/>
        </w:rPr>
        <w:t>Planners</w:t>
      </w:r>
      <w:proofErr w:type="spellEnd"/>
      <w:r w:rsidRPr="00E32006">
        <w:rPr>
          <w:i/>
          <w:iCs/>
        </w:rPr>
        <w:t xml:space="preserve"> </w:t>
      </w:r>
      <w:proofErr w:type="spellStart"/>
      <w:r w:rsidRPr="00E32006">
        <w:rPr>
          <w:i/>
          <w:iCs/>
        </w:rPr>
        <w:t>Can’t</w:t>
      </w:r>
      <w:proofErr w:type="spellEnd"/>
      <w:r w:rsidRPr="00E32006">
        <w:rPr>
          <w:i/>
          <w:iCs/>
        </w:rPr>
        <w:t xml:space="preserve"> </w:t>
      </w:r>
      <w:proofErr w:type="spellStart"/>
      <w:r w:rsidRPr="00E32006">
        <w:rPr>
          <w:i/>
          <w:iCs/>
        </w:rPr>
        <w:t>Find</w:t>
      </w:r>
      <w:proofErr w:type="spellEnd"/>
      <w:r w:rsidRPr="00E32006">
        <w:rPr>
          <w:i/>
          <w:iCs/>
        </w:rPr>
        <w:t xml:space="preserve"> </w:t>
      </w:r>
      <w:proofErr w:type="spellStart"/>
      <w:r w:rsidRPr="00E32006">
        <w:rPr>
          <w:i/>
          <w:iCs/>
        </w:rPr>
        <w:t>Anyone</w:t>
      </w:r>
      <w:proofErr w:type="spellEnd"/>
      <w:r w:rsidRPr="00E32006">
        <w:rPr>
          <w:i/>
          <w:iCs/>
        </w:rPr>
        <w:t xml:space="preserve"> </w:t>
      </w:r>
      <w:proofErr w:type="spellStart"/>
      <w:r w:rsidRPr="00E32006">
        <w:rPr>
          <w:i/>
          <w:iCs/>
        </w:rPr>
        <w:t>to</w:t>
      </w:r>
      <w:proofErr w:type="spellEnd"/>
      <w:r w:rsidRPr="00E32006">
        <w:rPr>
          <w:i/>
          <w:iCs/>
        </w:rPr>
        <w:t xml:space="preserve"> </w:t>
      </w:r>
      <w:proofErr w:type="spellStart"/>
      <w:r w:rsidRPr="00E32006">
        <w:rPr>
          <w:i/>
          <w:iCs/>
        </w:rPr>
        <w:t>Argue</w:t>
      </w:r>
      <w:proofErr w:type="spellEnd"/>
      <w:r w:rsidRPr="00E32006">
        <w:rPr>
          <w:i/>
          <w:iCs/>
        </w:rPr>
        <w:t xml:space="preserve"> </w:t>
      </w:r>
      <w:proofErr w:type="spellStart"/>
      <w:r w:rsidRPr="00E32006">
        <w:rPr>
          <w:i/>
          <w:iCs/>
        </w:rPr>
        <w:t>that</w:t>
      </w:r>
      <w:proofErr w:type="spellEnd"/>
      <w:r w:rsidRPr="00E32006">
        <w:rPr>
          <w:i/>
          <w:iCs/>
        </w:rPr>
        <w:t xml:space="preserve"> </w:t>
      </w:r>
      <w:proofErr w:type="spellStart"/>
      <w:r w:rsidRPr="00E32006">
        <w:rPr>
          <w:i/>
          <w:iCs/>
        </w:rPr>
        <w:t>Health</w:t>
      </w:r>
      <w:proofErr w:type="spellEnd"/>
      <w:r w:rsidRPr="00E32006">
        <w:rPr>
          <w:i/>
          <w:iCs/>
        </w:rPr>
        <w:t xml:space="preserve"> Reform Is </w:t>
      </w:r>
      <w:proofErr w:type="spellStart"/>
      <w:r w:rsidRPr="00E32006">
        <w:rPr>
          <w:i/>
          <w:iCs/>
        </w:rPr>
        <w:t>Unconstitutional</w:t>
      </w:r>
      <w:proofErr w:type="spellEnd"/>
      <w:r w:rsidRPr="00E32006">
        <w:t xml:space="preserve">, </w:t>
      </w:r>
      <w:proofErr w:type="spellStart"/>
      <w:r w:rsidRPr="00E32006">
        <w:rPr>
          <w:i/>
          <w:iCs/>
        </w:rPr>
        <w:t>Talking</w:t>
      </w:r>
      <w:proofErr w:type="spellEnd"/>
      <w:r w:rsidRPr="00E32006">
        <w:rPr>
          <w:i/>
          <w:iCs/>
        </w:rPr>
        <w:t xml:space="preserve"> </w:t>
      </w:r>
      <w:proofErr w:type="spellStart"/>
      <w:r w:rsidRPr="00E32006">
        <w:rPr>
          <w:i/>
          <w:iCs/>
        </w:rPr>
        <w:t>Points</w:t>
      </w:r>
      <w:proofErr w:type="spellEnd"/>
      <w:r w:rsidRPr="00E32006">
        <w:rPr>
          <w:i/>
          <w:iCs/>
        </w:rPr>
        <w:t xml:space="preserve"> Memo</w:t>
      </w:r>
      <w:r w:rsidRPr="00E32006">
        <w:t xml:space="preserve"> (31 Mart 2010, 2:09 PM), </w:t>
      </w:r>
      <w:hyperlink r:id="rId4" w:tgtFrame="_new" w:history="1">
        <w:r w:rsidRPr="00E32006">
          <w:rPr>
            <w:rStyle w:val="Hyperlink"/>
          </w:rPr>
          <w:t>http://tpmmuckraker.talkingpointsmemo.com/2010/03/debate_planners_cant_find_anyone_to_argue_that_hea.php</w:t>
        </w:r>
      </w:hyperlink>
      <w:r w:rsidRPr="00E32006">
        <w:t xml:space="preserve"> (Washington Üniversitesi'nde düzenlenen bir etkinlik hakkında haber); </w:t>
      </w:r>
      <w:r w:rsidRPr="00E32006">
        <w:rPr>
          <w:i/>
          <w:iCs/>
        </w:rPr>
        <w:t>ayrıca bkz.</w:t>
      </w:r>
      <w:r w:rsidRPr="00E32006">
        <w:t xml:space="preserve"> </w:t>
      </w:r>
      <w:proofErr w:type="spellStart"/>
      <w:r w:rsidRPr="00E32006">
        <w:t>Zaid</w:t>
      </w:r>
      <w:proofErr w:type="spellEnd"/>
      <w:r w:rsidRPr="00E32006">
        <w:t xml:space="preserve"> </w:t>
      </w:r>
      <w:proofErr w:type="spellStart"/>
      <w:r w:rsidRPr="00E32006">
        <w:t>Jilani</w:t>
      </w:r>
      <w:proofErr w:type="spellEnd"/>
      <w:r w:rsidRPr="00E32006">
        <w:t xml:space="preserve">, </w:t>
      </w:r>
      <w:proofErr w:type="spellStart"/>
      <w:r w:rsidRPr="00E32006">
        <w:rPr>
          <w:i/>
          <w:iCs/>
        </w:rPr>
        <w:t>College</w:t>
      </w:r>
      <w:proofErr w:type="spellEnd"/>
      <w:r w:rsidRPr="00E32006">
        <w:rPr>
          <w:i/>
          <w:iCs/>
        </w:rPr>
        <w:t xml:space="preserve"> </w:t>
      </w:r>
      <w:proofErr w:type="spellStart"/>
      <w:r w:rsidRPr="00E32006">
        <w:rPr>
          <w:i/>
          <w:iCs/>
        </w:rPr>
        <w:t>Debate</w:t>
      </w:r>
      <w:proofErr w:type="spellEnd"/>
      <w:r w:rsidRPr="00E32006">
        <w:rPr>
          <w:i/>
          <w:iCs/>
        </w:rPr>
        <w:t xml:space="preserve"> </w:t>
      </w:r>
      <w:proofErr w:type="spellStart"/>
      <w:r w:rsidRPr="00E32006">
        <w:rPr>
          <w:i/>
          <w:iCs/>
        </w:rPr>
        <w:t>Organizers</w:t>
      </w:r>
      <w:proofErr w:type="spellEnd"/>
      <w:r w:rsidRPr="00E32006">
        <w:rPr>
          <w:i/>
          <w:iCs/>
        </w:rPr>
        <w:t xml:space="preserve"> </w:t>
      </w:r>
      <w:proofErr w:type="spellStart"/>
      <w:r w:rsidRPr="00E32006">
        <w:rPr>
          <w:i/>
          <w:iCs/>
        </w:rPr>
        <w:t>Unable</w:t>
      </w:r>
      <w:proofErr w:type="spellEnd"/>
      <w:r w:rsidRPr="00E32006">
        <w:rPr>
          <w:i/>
          <w:iCs/>
        </w:rPr>
        <w:t xml:space="preserve"> </w:t>
      </w:r>
      <w:proofErr w:type="spellStart"/>
      <w:r w:rsidRPr="00E32006">
        <w:rPr>
          <w:i/>
          <w:iCs/>
        </w:rPr>
        <w:t>to</w:t>
      </w:r>
      <w:proofErr w:type="spellEnd"/>
      <w:r w:rsidRPr="00E32006">
        <w:rPr>
          <w:i/>
          <w:iCs/>
        </w:rPr>
        <w:t xml:space="preserve"> </w:t>
      </w:r>
      <w:proofErr w:type="spellStart"/>
      <w:r w:rsidRPr="00E32006">
        <w:rPr>
          <w:i/>
          <w:iCs/>
        </w:rPr>
        <w:t>Find</w:t>
      </w:r>
      <w:proofErr w:type="spellEnd"/>
      <w:r w:rsidRPr="00E32006">
        <w:rPr>
          <w:i/>
          <w:iCs/>
        </w:rPr>
        <w:t xml:space="preserve"> </w:t>
      </w:r>
      <w:proofErr w:type="spellStart"/>
      <w:r w:rsidRPr="00E32006">
        <w:rPr>
          <w:i/>
          <w:iCs/>
        </w:rPr>
        <w:t>Any</w:t>
      </w:r>
      <w:proofErr w:type="spellEnd"/>
      <w:r w:rsidRPr="00E32006">
        <w:rPr>
          <w:i/>
          <w:iCs/>
        </w:rPr>
        <w:t xml:space="preserve"> </w:t>
      </w:r>
      <w:proofErr w:type="spellStart"/>
      <w:r w:rsidRPr="00E32006">
        <w:rPr>
          <w:i/>
          <w:iCs/>
        </w:rPr>
        <w:t>Law</w:t>
      </w:r>
      <w:proofErr w:type="spellEnd"/>
      <w:r w:rsidRPr="00E32006">
        <w:rPr>
          <w:i/>
          <w:iCs/>
        </w:rPr>
        <w:t xml:space="preserve"> </w:t>
      </w:r>
      <w:proofErr w:type="spellStart"/>
      <w:r w:rsidRPr="00E32006">
        <w:rPr>
          <w:i/>
          <w:iCs/>
        </w:rPr>
        <w:t>Professors</w:t>
      </w:r>
      <w:proofErr w:type="spellEnd"/>
      <w:r w:rsidRPr="00E32006">
        <w:rPr>
          <w:i/>
          <w:iCs/>
        </w:rPr>
        <w:t xml:space="preserve"> </w:t>
      </w:r>
      <w:proofErr w:type="spellStart"/>
      <w:r w:rsidRPr="00E32006">
        <w:rPr>
          <w:i/>
          <w:iCs/>
        </w:rPr>
        <w:t>to</w:t>
      </w:r>
      <w:proofErr w:type="spellEnd"/>
      <w:r w:rsidRPr="00E32006">
        <w:rPr>
          <w:i/>
          <w:iCs/>
        </w:rPr>
        <w:t xml:space="preserve"> </w:t>
      </w:r>
      <w:proofErr w:type="spellStart"/>
      <w:r w:rsidRPr="00E32006">
        <w:rPr>
          <w:i/>
          <w:iCs/>
        </w:rPr>
        <w:t>Argue</w:t>
      </w:r>
      <w:proofErr w:type="spellEnd"/>
      <w:r w:rsidRPr="00E32006">
        <w:rPr>
          <w:i/>
          <w:iCs/>
        </w:rPr>
        <w:t xml:space="preserve"> </w:t>
      </w:r>
      <w:proofErr w:type="spellStart"/>
      <w:r w:rsidRPr="00E32006">
        <w:rPr>
          <w:i/>
          <w:iCs/>
        </w:rPr>
        <w:t>Health</w:t>
      </w:r>
      <w:proofErr w:type="spellEnd"/>
      <w:r w:rsidRPr="00E32006">
        <w:rPr>
          <w:i/>
          <w:iCs/>
        </w:rPr>
        <w:t xml:space="preserve"> Reform Is </w:t>
      </w:r>
      <w:proofErr w:type="spellStart"/>
      <w:r w:rsidRPr="00E32006">
        <w:rPr>
          <w:i/>
          <w:iCs/>
        </w:rPr>
        <w:t>Unconstitutional</w:t>
      </w:r>
      <w:proofErr w:type="spellEnd"/>
      <w:r w:rsidRPr="00E32006">
        <w:t xml:space="preserve">, </w:t>
      </w:r>
      <w:proofErr w:type="spellStart"/>
      <w:r w:rsidRPr="00E32006">
        <w:rPr>
          <w:i/>
          <w:iCs/>
        </w:rPr>
        <w:t>Think</w:t>
      </w:r>
      <w:proofErr w:type="spellEnd"/>
      <w:r w:rsidRPr="00E32006">
        <w:rPr>
          <w:i/>
          <w:iCs/>
        </w:rPr>
        <w:t xml:space="preserve"> </w:t>
      </w:r>
      <w:proofErr w:type="spellStart"/>
      <w:r w:rsidRPr="00E32006">
        <w:rPr>
          <w:i/>
          <w:iCs/>
        </w:rPr>
        <w:t>Progress</w:t>
      </w:r>
      <w:proofErr w:type="spellEnd"/>
      <w:r w:rsidRPr="00E32006">
        <w:t xml:space="preserve"> (31 Mart 2010, 12:16 PM), </w:t>
      </w:r>
      <w:hyperlink r:id="rId5" w:tgtFrame="_new" w:history="1">
        <w:r w:rsidRPr="00E32006">
          <w:rPr>
            <w:rStyle w:val="Hyperlink"/>
          </w:rPr>
          <w:t>http://thinkprogress.org/2010/03/31/college-debatehealth/</w:t>
        </w:r>
      </w:hyperlink>
      <w:r w:rsidRPr="00E32006">
        <w:t xml:space="preserve"> (aynı konuya ilişkin haber).</w:t>
      </w:r>
    </w:p>
  </w:footnote>
  <w:footnote w:id="130">
    <w:p w14:paraId="6F527B66" w14:textId="0F8D988C" w:rsidR="00E32006" w:rsidRPr="00E32006" w:rsidRDefault="00E32006" w:rsidP="00E32006">
      <w:pPr>
        <w:pStyle w:val="Dipnot"/>
        <w:rPr>
          <w:lang w:val="en-US"/>
        </w:rPr>
      </w:pPr>
      <w:r>
        <w:rPr>
          <w:rStyle w:val="FootnoteReference"/>
        </w:rPr>
        <w:footnoteRef/>
      </w:r>
      <w:r>
        <w:t xml:space="preserve"> </w:t>
      </w:r>
      <w:r>
        <w:tab/>
      </w:r>
      <w:r w:rsidRPr="00E32006">
        <w:t xml:space="preserve">130 </w:t>
      </w:r>
      <w:r w:rsidRPr="00E32006">
        <w:rPr>
          <w:i/>
          <w:iCs/>
        </w:rPr>
        <w:t>Bkz.</w:t>
      </w:r>
      <w:r w:rsidRPr="00E32006">
        <w:t xml:space="preserve"> </w:t>
      </w:r>
      <w:proofErr w:type="spellStart"/>
      <w:r w:rsidRPr="00E32006">
        <w:rPr>
          <w:i/>
          <w:iCs/>
        </w:rPr>
        <w:t>Nat’l</w:t>
      </w:r>
      <w:proofErr w:type="spellEnd"/>
      <w:r w:rsidRPr="00E32006">
        <w:rPr>
          <w:i/>
          <w:iCs/>
        </w:rPr>
        <w:t xml:space="preserve"> </w:t>
      </w:r>
      <w:proofErr w:type="spellStart"/>
      <w:r w:rsidRPr="00E32006">
        <w:rPr>
          <w:i/>
          <w:iCs/>
        </w:rPr>
        <w:t>Fed’n</w:t>
      </w:r>
      <w:proofErr w:type="spellEnd"/>
      <w:r w:rsidRPr="00E32006">
        <w:rPr>
          <w:i/>
          <w:iCs/>
        </w:rPr>
        <w:t xml:space="preserve"> of </w:t>
      </w:r>
      <w:proofErr w:type="spellStart"/>
      <w:r w:rsidRPr="00E32006">
        <w:rPr>
          <w:i/>
          <w:iCs/>
        </w:rPr>
        <w:t>Indep</w:t>
      </w:r>
      <w:proofErr w:type="spellEnd"/>
      <w:r w:rsidRPr="00E32006">
        <w:rPr>
          <w:i/>
          <w:iCs/>
        </w:rPr>
        <w:t xml:space="preserve">. </w:t>
      </w:r>
      <w:proofErr w:type="spellStart"/>
      <w:r w:rsidRPr="00E32006">
        <w:rPr>
          <w:i/>
          <w:iCs/>
        </w:rPr>
        <w:t>Bus</w:t>
      </w:r>
      <w:proofErr w:type="spellEnd"/>
      <w:r w:rsidRPr="00E32006">
        <w:rPr>
          <w:i/>
          <w:iCs/>
        </w:rPr>
        <w:t xml:space="preserve">. v. </w:t>
      </w:r>
      <w:proofErr w:type="spellStart"/>
      <w:r w:rsidRPr="00E32006">
        <w:rPr>
          <w:i/>
          <w:iCs/>
        </w:rPr>
        <w:t>Sebelius</w:t>
      </w:r>
      <w:proofErr w:type="spellEnd"/>
      <w:r w:rsidRPr="00E32006">
        <w:t xml:space="preserve">, 132 S. </w:t>
      </w:r>
      <w:proofErr w:type="spellStart"/>
      <w:r w:rsidRPr="00E32006">
        <w:t>Ct</w:t>
      </w:r>
      <w:proofErr w:type="spellEnd"/>
      <w:r w:rsidRPr="00E32006">
        <w:t xml:space="preserve"> 2566, 2586–87 (2012).</w:t>
      </w:r>
    </w:p>
  </w:footnote>
  <w:footnote w:id="131">
    <w:p w14:paraId="1620C500" w14:textId="21272D31" w:rsidR="00E32006" w:rsidRPr="00E32006" w:rsidRDefault="00E32006" w:rsidP="00E32006">
      <w:pPr>
        <w:pStyle w:val="Dipnot"/>
        <w:rPr>
          <w:lang w:val="en-US"/>
        </w:rPr>
      </w:pPr>
      <w:r>
        <w:rPr>
          <w:rStyle w:val="FootnoteReference"/>
        </w:rPr>
        <w:footnoteRef/>
      </w:r>
      <w:r>
        <w:t xml:space="preserve"> </w:t>
      </w:r>
      <w:r>
        <w:tab/>
      </w:r>
      <w:r w:rsidRPr="00E32006">
        <w:t xml:space="preserve">131 </w:t>
      </w:r>
      <w:r w:rsidRPr="00E32006">
        <w:rPr>
          <w:i/>
          <w:iCs/>
        </w:rPr>
        <w:t xml:space="preserve">Bkz. </w:t>
      </w:r>
      <w:proofErr w:type="spellStart"/>
      <w:r w:rsidRPr="00E32006">
        <w:rPr>
          <w:i/>
          <w:iCs/>
        </w:rPr>
        <w:t>örn</w:t>
      </w:r>
      <w:proofErr w:type="spellEnd"/>
      <w:r w:rsidRPr="00E32006">
        <w:rPr>
          <w:i/>
          <w:iCs/>
        </w:rPr>
        <w:t>.</w:t>
      </w:r>
      <w:r w:rsidRPr="00E32006">
        <w:t xml:space="preserve">, </w:t>
      </w:r>
      <w:proofErr w:type="spellStart"/>
      <w:r w:rsidRPr="00E32006">
        <w:t>Rachel</w:t>
      </w:r>
      <w:proofErr w:type="spellEnd"/>
      <w:r w:rsidRPr="00E32006">
        <w:t xml:space="preserve"> Weiner, </w:t>
      </w:r>
      <w:r w:rsidRPr="00E32006">
        <w:rPr>
          <w:i/>
          <w:iCs/>
        </w:rPr>
        <w:t xml:space="preserve">CBS News: John Roberts </w:t>
      </w:r>
      <w:proofErr w:type="spellStart"/>
      <w:r w:rsidRPr="00E32006">
        <w:rPr>
          <w:i/>
          <w:iCs/>
        </w:rPr>
        <w:t>Changed</w:t>
      </w:r>
      <w:proofErr w:type="spellEnd"/>
      <w:r w:rsidRPr="00E32006">
        <w:rPr>
          <w:i/>
          <w:iCs/>
        </w:rPr>
        <w:t xml:space="preserve"> His </w:t>
      </w:r>
      <w:proofErr w:type="spellStart"/>
      <w:r w:rsidRPr="00E32006">
        <w:rPr>
          <w:i/>
          <w:iCs/>
        </w:rPr>
        <w:t>Mind</w:t>
      </w:r>
      <w:proofErr w:type="spellEnd"/>
      <w:r w:rsidRPr="00E32006">
        <w:rPr>
          <w:i/>
          <w:iCs/>
        </w:rPr>
        <w:t xml:space="preserve"> on </w:t>
      </w:r>
      <w:proofErr w:type="spellStart"/>
      <w:r w:rsidRPr="00E32006">
        <w:rPr>
          <w:i/>
          <w:iCs/>
        </w:rPr>
        <w:t>Health-Care</w:t>
      </w:r>
      <w:proofErr w:type="spellEnd"/>
      <w:r w:rsidRPr="00E32006">
        <w:rPr>
          <w:i/>
          <w:iCs/>
        </w:rPr>
        <w:t xml:space="preserve"> </w:t>
      </w:r>
      <w:proofErr w:type="spellStart"/>
      <w:r w:rsidRPr="00E32006">
        <w:rPr>
          <w:i/>
          <w:iCs/>
        </w:rPr>
        <w:t>Mandate</w:t>
      </w:r>
      <w:proofErr w:type="spellEnd"/>
      <w:r w:rsidRPr="00E32006">
        <w:t xml:space="preserve">, </w:t>
      </w:r>
      <w:proofErr w:type="spellStart"/>
      <w:r w:rsidRPr="00E32006">
        <w:rPr>
          <w:i/>
          <w:iCs/>
        </w:rPr>
        <w:t>Wash</w:t>
      </w:r>
      <w:proofErr w:type="spellEnd"/>
      <w:r w:rsidRPr="00E32006">
        <w:rPr>
          <w:i/>
          <w:iCs/>
        </w:rPr>
        <w:t>. Post</w:t>
      </w:r>
      <w:r w:rsidRPr="00E32006">
        <w:t xml:space="preserve"> (2 Temmuz 2012), </w:t>
      </w:r>
      <w:hyperlink r:id="rId6" w:tgtFrame="_new" w:history="1">
        <w:r w:rsidRPr="00E32006">
          <w:rPr>
            <w:rStyle w:val="Hyperlink"/>
          </w:rPr>
          <w:t>https://www.washingtonpost.com/blogs/the-fix/post/cbs-news-john-roberts-changed-his-mind-on-health-care-mandate/2012/07/02/gJQA52JRIW_blog.html</w:t>
        </w:r>
      </w:hyperlink>
      <w:r w:rsidRPr="00E32006">
        <w:t>.</w:t>
      </w:r>
    </w:p>
  </w:footnote>
  <w:footnote w:id="132">
    <w:p w14:paraId="264342F0" w14:textId="4FB76452" w:rsidR="00E32006" w:rsidRPr="00E32006" w:rsidRDefault="00E32006" w:rsidP="00E32006">
      <w:pPr>
        <w:pStyle w:val="Dipnot"/>
        <w:rPr>
          <w:lang w:val="en-US"/>
        </w:rPr>
      </w:pPr>
      <w:r>
        <w:rPr>
          <w:rStyle w:val="FootnoteReference"/>
        </w:rPr>
        <w:footnoteRef/>
      </w:r>
      <w:r>
        <w:t xml:space="preserve"> </w:t>
      </w:r>
      <w:r>
        <w:tab/>
      </w:r>
      <w:r w:rsidRPr="00E32006">
        <w:t xml:space="preserve">132 </w:t>
      </w:r>
      <w:r w:rsidRPr="00E32006">
        <w:rPr>
          <w:i/>
          <w:iCs/>
        </w:rPr>
        <w:t>Bkz.</w:t>
      </w:r>
      <w:r w:rsidRPr="00E32006">
        <w:t xml:space="preserve"> </w:t>
      </w:r>
      <w:proofErr w:type="spellStart"/>
      <w:r w:rsidRPr="00E32006">
        <w:rPr>
          <w:i/>
          <w:iCs/>
        </w:rPr>
        <w:t>supra</w:t>
      </w:r>
      <w:proofErr w:type="spellEnd"/>
      <w:r w:rsidRPr="00E32006">
        <w:t xml:space="preserve"> not 128.</w:t>
      </w:r>
    </w:p>
  </w:footnote>
  <w:footnote w:id="133">
    <w:p w14:paraId="34FD8ED3" w14:textId="624B264D" w:rsidR="00E32006" w:rsidRPr="00E32006" w:rsidRDefault="00E32006" w:rsidP="00E32006">
      <w:pPr>
        <w:pStyle w:val="Dipnot"/>
        <w:rPr>
          <w:lang w:val="en-US"/>
        </w:rPr>
      </w:pPr>
      <w:r>
        <w:rPr>
          <w:rStyle w:val="FootnoteReference"/>
        </w:rPr>
        <w:footnoteRef/>
      </w:r>
      <w:r>
        <w:t xml:space="preserve"> </w:t>
      </w:r>
      <w:r>
        <w:tab/>
      </w:r>
      <w:r w:rsidRPr="00E32006">
        <w:t xml:space="preserve">133 Alt mahkemelere yargıç atanma ve onaylanma sürecinin evrimi hakkında daha fazla bilgi için </w:t>
      </w:r>
      <w:r w:rsidRPr="00E32006">
        <w:rPr>
          <w:i/>
          <w:iCs/>
        </w:rPr>
        <w:t>bkz.</w:t>
      </w:r>
      <w:r w:rsidRPr="00E32006">
        <w:t xml:space="preserve"> Lee </w:t>
      </w:r>
      <w:proofErr w:type="spellStart"/>
      <w:r w:rsidRPr="00E32006">
        <w:t>Epstein</w:t>
      </w:r>
      <w:proofErr w:type="spellEnd"/>
      <w:r w:rsidRPr="00E32006">
        <w:t xml:space="preserve"> &amp; Jeffrey A. </w:t>
      </w:r>
      <w:proofErr w:type="spellStart"/>
      <w:r w:rsidRPr="00E32006">
        <w:t>Segal</w:t>
      </w:r>
      <w:proofErr w:type="spellEnd"/>
      <w:r w:rsidRPr="00E32006">
        <w:t xml:space="preserve">, </w:t>
      </w:r>
      <w:proofErr w:type="spellStart"/>
      <w:r w:rsidRPr="00E32006">
        <w:rPr>
          <w:i/>
          <w:iCs/>
        </w:rPr>
        <w:t>Advice</w:t>
      </w:r>
      <w:proofErr w:type="spellEnd"/>
      <w:r w:rsidRPr="00E32006">
        <w:rPr>
          <w:i/>
          <w:iCs/>
        </w:rPr>
        <w:t xml:space="preserve"> </w:t>
      </w:r>
      <w:proofErr w:type="spellStart"/>
      <w:r w:rsidRPr="00E32006">
        <w:rPr>
          <w:i/>
          <w:iCs/>
        </w:rPr>
        <w:t>and</w:t>
      </w:r>
      <w:proofErr w:type="spellEnd"/>
      <w:r w:rsidRPr="00E32006">
        <w:rPr>
          <w:i/>
          <w:iCs/>
        </w:rPr>
        <w:t xml:space="preserve"> </w:t>
      </w:r>
      <w:proofErr w:type="spellStart"/>
      <w:r w:rsidRPr="00E32006">
        <w:rPr>
          <w:i/>
          <w:iCs/>
        </w:rPr>
        <w:t>Consent</w:t>
      </w:r>
      <w:proofErr w:type="spellEnd"/>
      <w:r w:rsidRPr="00E32006">
        <w:rPr>
          <w:i/>
          <w:iCs/>
        </w:rPr>
        <w:t xml:space="preserve">: </w:t>
      </w:r>
      <w:proofErr w:type="spellStart"/>
      <w:r w:rsidRPr="00E32006">
        <w:rPr>
          <w:i/>
          <w:iCs/>
        </w:rPr>
        <w:t>The</w:t>
      </w:r>
      <w:proofErr w:type="spellEnd"/>
      <w:r w:rsidRPr="00E32006">
        <w:rPr>
          <w:i/>
          <w:iCs/>
        </w:rPr>
        <w:t xml:space="preserve"> </w:t>
      </w:r>
      <w:proofErr w:type="spellStart"/>
      <w:r w:rsidRPr="00E32006">
        <w:rPr>
          <w:i/>
          <w:iCs/>
        </w:rPr>
        <w:t>Politics</w:t>
      </w:r>
      <w:proofErr w:type="spellEnd"/>
      <w:r w:rsidRPr="00E32006">
        <w:rPr>
          <w:i/>
          <w:iCs/>
        </w:rPr>
        <w:t xml:space="preserve"> of </w:t>
      </w:r>
      <w:proofErr w:type="spellStart"/>
      <w:r w:rsidRPr="00E32006">
        <w:rPr>
          <w:i/>
          <w:iCs/>
        </w:rPr>
        <w:t>Judicial</w:t>
      </w:r>
      <w:proofErr w:type="spellEnd"/>
      <w:r w:rsidRPr="00E32006">
        <w:rPr>
          <w:i/>
          <w:iCs/>
        </w:rPr>
        <w:t xml:space="preserve"> </w:t>
      </w:r>
      <w:proofErr w:type="spellStart"/>
      <w:r w:rsidRPr="00E32006">
        <w:rPr>
          <w:i/>
          <w:iCs/>
        </w:rPr>
        <w:t>Appointments</w:t>
      </w:r>
      <w:proofErr w:type="spellEnd"/>
      <w:r w:rsidRPr="00E32006">
        <w:t xml:space="preserve"> 3 (2005); Nancy </w:t>
      </w:r>
      <w:proofErr w:type="spellStart"/>
      <w:r w:rsidRPr="00E32006">
        <w:t>Scherer</w:t>
      </w:r>
      <w:proofErr w:type="spellEnd"/>
      <w:r w:rsidRPr="00E32006">
        <w:t xml:space="preserve">, </w:t>
      </w:r>
      <w:proofErr w:type="spellStart"/>
      <w:r w:rsidRPr="00E32006">
        <w:rPr>
          <w:i/>
          <w:iCs/>
        </w:rPr>
        <w:t>Scoring</w:t>
      </w:r>
      <w:proofErr w:type="spellEnd"/>
      <w:r w:rsidRPr="00E32006">
        <w:rPr>
          <w:i/>
          <w:iCs/>
        </w:rPr>
        <w:t xml:space="preserve"> </w:t>
      </w:r>
      <w:proofErr w:type="spellStart"/>
      <w:r w:rsidRPr="00E32006">
        <w:rPr>
          <w:i/>
          <w:iCs/>
        </w:rPr>
        <w:t>Points</w:t>
      </w:r>
      <w:proofErr w:type="spellEnd"/>
      <w:r w:rsidRPr="00E32006">
        <w:rPr>
          <w:i/>
          <w:iCs/>
        </w:rPr>
        <w:t xml:space="preserve">: </w:t>
      </w:r>
      <w:proofErr w:type="spellStart"/>
      <w:r w:rsidRPr="00E32006">
        <w:rPr>
          <w:i/>
          <w:iCs/>
        </w:rPr>
        <w:t>Politicians</w:t>
      </w:r>
      <w:proofErr w:type="spellEnd"/>
      <w:r w:rsidRPr="00E32006">
        <w:rPr>
          <w:i/>
          <w:iCs/>
        </w:rPr>
        <w:t xml:space="preserve">, </w:t>
      </w:r>
      <w:proofErr w:type="spellStart"/>
      <w:r w:rsidRPr="00E32006">
        <w:rPr>
          <w:i/>
          <w:iCs/>
        </w:rPr>
        <w:t>Activists</w:t>
      </w:r>
      <w:proofErr w:type="spellEnd"/>
      <w:r w:rsidRPr="00E32006">
        <w:rPr>
          <w:i/>
          <w:iCs/>
        </w:rPr>
        <w:t xml:space="preserve">, </w:t>
      </w:r>
      <w:proofErr w:type="spellStart"/>
      <w:r w:rsidRPr="00E32006">
        <w:rPr>
          <w:i/>
          <w:iCs/>
        </w:rPr>
        <w:t>and</w:t>
      </w:r>
      <w:proofErr w:type="spellEnd"/>
      <w:r w:rsidRPr="00E32006">
        <w:rPr>
          <w:i/>
          <w:iCs/>
        </w:rPr>
        <w:t xml:space="preserve"> </w:t>
      </w:r>
      <w:proofErr w:type="spellStart"/>
      <w:r w:rsidRPr="00E32006">
        <w:rPr>
          <w:i/>
          <w:iCs/>
        </w:rPr>
        <w:t>the</w:t>
      </w:r>
      <w:proofErr w:type="spellEnd"/>
      <w:r w:rsidRPr="00E32006">
        <w:rPr>
          <w:i/>
          <w:iCs/>
        </w:rPr>
        <w:t xml:space="preserve"> </w:t>
      </w:r>
      <w:proofErr w:type="spellStart"/>
      <w:r w:rsidRPr="00E32006">
        <w:rPr>
          <w:i/>
          <w:iCs/>
        </w:rPr>
        <w:t>Lower</w:t>
      </w:r>
      <w:proofErr w:type="spellEnd"/>
      <w:r w:rsidRPr="00E32006">
        <w:rPr>
          <w:i/>
          <w:iCs/>
        </w:rPr>
        <w:t xml:space="preserve"> Federal Court </w:t>
      </w:r>
      <w:proofErr w:type="spellStart"/>
      <w:r w:rsidRPr="00E32006">
        <w:rPr>
          <w:i/>
          <w:iCs/>
        </w:rPr>
        <w:t>Appointment</w:t>
      </w:r>
      <w:proofErr w:type="spellEnd"/>
      <w:r w:rsidRPr="00E32006">
        <w:rPr>
          <w:i/>
          <w:iCs/>
        </w:rPr>
        <w:t xml:space="preserve"> </w:t>
      </w:r>
      <w:proofErr w:type="spellStart"/>
      <w:r w:rsidRPr="00E32006">
        <w:rPr>
          <w:i/>
          <w:iCs/>
        </w:rPr>
        <w:t>Process</w:t>
      </w:r>
      <w:proofErr w:type="spellEnd"/>
      <w:r w:rsidRPr="00E32006">
        <w:t xml:space="preserve"> 17 (2005) (çıkar gruplarının ve siyasi aktivistlerin atamaları etkilemek için nasıl seferber olduğunu açıklayan çalışma); Michael A. </w:t>
      </w:r>
      <w:proofErr w:type="spellStart"/>
      <w:r w:rsidRPr="00E32006">
        <w:t>Shenkman</w:t>
      </w:r>
      <w:proofErr w:type="spellEnd"/>
      <w:r w:rsidRPr="00E32006">
        <w:t xml:space="preserve">, </w:t>
      </w:r>
      <w:proofErr w:type="spellStart"/>
      <w:r w:rsidRPr="00E32006">
        <w:rPr>
          <w:i/>
          <w:iCs/>
        </w:rPr>
        <w:t>Decoupling</w:t>
      </w:r>
      <w:proofErr w:type="spellEnd"/>
      <w:r w:rsidRPr="00E32006">
        <w:rPr>
          <w:i/>
          <w:iCs/>
        </w:rPr>
        <w:t xml:space="preserve"> </w:t>
      </w:r>
      <w:proofErr w:type="spellStart"/>
      <w:r w:rsidRPr="00E32006">
        <w:rPr>
          <w:i/>
          <w:iCs/>
        </w:rPr>
        <w:t>District</w:t>
      </w:r>
      <w:proofErr w:type="spellEnd"/>
      <w:r w:rsidRPr="00E32006">
        <w:rPr>
          <w:i/>
          <w:iCs/>
        </w:rPr>
        <w:t xml:space="preserve"> </w:t>
      </w:r>
      <w:proofErr w:type="spellStart"/>
      <w:r w:rsidRPr="00E32006">
        <w:rPr>
          <w:i/>
          <w:iCs/>
        </w:rPr>
        <w:t>from</w:t>
      </w:r>
      <w:proofErr w:type="spellEnd"/>
      <w:r w:rsidRPr="00E32006">
        <w:rPr>
          <w:i/>
          <w:iCs/>
        </w:rPr>
        <w:t xml:space="preserve"> </w:t>
      </w:r>
      <w:proofErr w:type="spellStart"/>
      <w:r w:rsidRPr="00E32006">
        <w:rPr>
          <w:i/>
          <w:iCs/>
        </w:rPr>
        <w:t>Circuit</w:t>
      </w:r>
      <w:proofErr w:type="spellEnd"/>
      <w:r w:rsidRPr="00E32006">
        <w:rPr>
          <w:i/>
          <w:iCs/>
        </w:rPr>
        <w:t xml:space="preserve"> </w:t>
      </w:r>
      <w:proofErr w:type="spellStart"/>
      <w:r w:rsidRPr="00E32006">
        <w:rPr>
          <w:i/>
          <w:iCs/>
        </w:rPr>
        <w:t>Judge</w:t>
      </w:r>
      <w:proofErr w:type="spellEnd"/>
      <w:r w:rsidRPr="00E32006">
        <w:rPr>
          <w:i/>
          <w:iCs/>
        </w:rPr>
        <w:t xml:space="preserve"> </w:t>
      </w:r>
      <w:proofErr w:type="spellStart"/>
      <w:r w:rsidRPr="00E32006">
        <w:rPr>
          <w:i/>
          <w:iCs/>
        </w:rPr>
        <w:t>Nominations</w:t>
      </w:r>
      <w:proofErr w:type="spellEnd"/>
      <w:r w:rsidRPr="00E32006">
        <w:rPr>
          <w:i/>
          <w:iCs/>
        </w:rPr>
        <w:t xml:space="preserve">: A </w:t>
      </w:r>
      <w:proofErr w:type="spellStart"/>
      <w:r w:rsidRPr="00E32006">
        <w:rPr>
          <w:i/>
          <w:iCs/>
        </w:rPr>
        <w:t>Proposal</w:t>
      </w:r>
      <w:proofErr w:type="spellEnd"/>
      <w:r w:rsidRPr="00E32006">
        <w:rPr>
          <w:i/>
          <w:iCs/>
        </w:rPr>
        <w:t xml:space="preserve"> </w:t>
      </w:r>
      <w:proofErr w:type="spellStart"/>
      <w:r w:rsidRPr="00E32006">
        <w:rPr>
          <w:i/>
          <w:iCs/>
        </w:rPr>
        <w:t>to</w:t>
      </w:r>
      <w:proofErr w:type="spellEnd"/>
      <w:r w:rsidRPr="00E32006">
        <w:rPr>
          <w:i/>
          <w:iCs/>
        </w:rPr>
        <w:t xml:space="preserve"> Put Trial </w:t>
      </w:r>
      <w:proofErr w:type="spellStart"/>
      <w:r w:rsidRPr="00E32006">
        <w:rPr>
          <w:i/>
          <w:iCs/>
        </w:rPr>
        <w:t>Bench</w:t>
      </w:r>
      <w:proofErr w:type="spellEnd"/>
      <w:r w:rsidRPr="00E32006">
        <w:rPr>
          <w:i/>
          <w:iCs/>
        </w:rPr>
        <w:t xml:space="preserve"> </w:t>
      </w:r>
      <w:proofErr w:type="spellStart"/>
      <w:r w:rsidRPr="00E32006">
        <w:rPr>
          <w:i/>
          <w:iCs/>
        </w:rPr>
        <w:t>Confirmations</w:t>
      </w:r>
      <w:proofErr w:type="spellEnd"/>
      <w:r w:rsidRPr="00E32006">
        <w:rPr>
          <w:i/>
          <w:iCs/>
        </w:rPr>
        <w:t xml:space="preserve"> on </w:t>
      </w:r>
      <w:proofErr w:type="spellStart"/>
      <w:r w:rsidRPr="00E32006">
        <w:rPr>
          <w:i/>
          <w:iCs/>
        </w:rPr>
        <w:t>Track</w:t>
      </w:r>
      <w:proofErr w:type="spellEnd"/>
      <w:r w:rsidRPr="00E32006">
        <w:t xml:space="preserve">, 65 </w:t>
      </w:r>
      <w:r w:rsidRPr="00E32006">
        <w:rPr>
          <w:i/>
          <w:iCs/>
        </w:rPr>
        <w:t xml:space="preserve">Ark. L. </w:t>
      </w:r>
      <w:proofErr w:type="spellStart"/>
      <w:r w:rsidRPr="00E32006">
        <w:rPr>
          <w:i/>
          <w:iCs/>
        </w:rPr>
        <w:t>Rev</w:t>
      </w:r>
      <w:proofErr w:type="spellEnd"/>
      <w:r w:rsidRPr="00E32006">
        <w:rPr>
          <w:i/>
          <w:iCs/>
        </w:rPr>
        <w:t>.</w:t>
      </w:r>
      <w:r w:rsidRPr="00E32006">
        <w:t xml:space="preserve"> 217, 249–79 (2012) (önceki uygulamaları tanımlayan ve bunların neden gerilediğini açıklayan çalışma).</w:t>
      </w:r>
    </w:p>
  </w:footnote>
  <w:footnote w:id="134">
    <w:p w14:paraId="1492D695" w14:textId="6610BDEB" w:rsidR="00E32006" w:rsidRPr="00E32006" w:rsidRDefault="00E32006" w:rsidP="00E32006">
      <w:pPr>
        <w:pStyle w:val="Dipnot"/>
        <w:rPr>
          <w:lang w:val="en-US"/>
        </w:rPr>
      </w:pPr>
      <w:r>
        <w:rPr>
          <w:rStyle w:val="FootnoteReference"/>
        </w:rPr>
        <w:footnoteRef/>
      </w:r>
      <w:r>
        <w:t xml:space="preserve"> </w:t>
      </w:r>
      <w:r>
        <w:tab/>
      </w:r>
      <w:r w:rsidRPr="00E32006">
        <w:t xml:space="preserve">134 </w:t>
      </w:r>
      <w:r w:rsidRPr="00E32006">
        <w:rPr>
          <w:i/>
          <w:iCs/>
        </w:rPr>
        <w:t>Bkz. genel olarak</w:t>
      </w:r>
      <w:r w:rsidRPr="00E32006">
        <w:t xml:space="preserve"> </w:t>
      </w:r>
      <w:proofErr w:type="spellStart"/>
      <w:r w:rsidRPr="00E32006">
        <w:t>Epstein</w:t>
      </w:r>
      <w:proofErr w:type="spellEnd"/>
      <w:r w:rsidRPr="00E32006">
        <w:t xml:space="preserve"> &amp; </w:t>
      </w:r>
      <w:proofErr w:type="spellStart"/>
      <w:r w:rsidRPr="00E32006">
        <w:t>Segal</w:t>
      </w:r>
      <w:proofErr w:type="spellEnd"/>
      <w:r w:rsidRPr="00E32006">
        <w:t xml:space="preserve">, </w:t>
      </w:r>
      <w:proofErr w:type="spellStart"/>
      <w:r w:rsidRPr="00E32006">
        <w:rPr>
          <w:i/>
          <w:iCs/>
        </w:rPr>
        <w:t>supra</w:t>
      </w:r>
      <w:proofErr w:type="spellEnd"/>
      <w:r w:rsidRPr="00E32006">
        <w:t xml:space="preserve"> not 133; </w:t>
      </w:r>
      <w:proofErr w:type="spellStart"/>
      <w:r w:rsidRPr="00E32006">
        <w:t>Scherer</w:t>
      </w:r>
      <w:proofErr w:type="spellEnd"/>
      <w:r w:rsidRPr="00E32006">
        <w:t xml:space="preserve">, </w:t>
      </w:r>
      <w:proofErr w:type="spellStart"/>
      <w:r w:rsidRPr="00E32006">
        <w:rPr>
          <w:i/>
          <w:iCs/>
        </w:rPr>
        <w:t>supra</w:t>
      </w:r>
      <w:proofErr w:type="spellEnd"/>
      <w:r w:rsidRPr="00E32006">
        <w:t xml:space="preserve"> not 133.</w:t>
      </w:r>
    </w:p>
  </w:footnote>
  <w:footnote w:id="135">
    <w:p w14:paraId="16EE96A3" w14:textId="13848496" w:rsidR="006A7E73" w:rsidRPr="006A7E73" w:rsidRDefault="006A7E73" w:rsidP="006A7E73">
      <w:pPr>
        <w:pStyle w:val="Dipnot"/>
        <w:rPr>
          <w:lang w:val="en-US"/>
        </w:rPr>
      </w:pPr>
      <w:r>
        <w:rPr>
          <w:rStyle w:val="FootnoteReference"/>
        </w:rPr>
        <w:footnoteRef/>
      </w:r>
      <w:r>
        <w:t xml:space="preserve"> </w:t>
      </w:r>
      <w:r>
        <w:tab/>
      </w:r>
      <w:r w:rsidRPr="006A7E73">
        <w:t xml:space="preserve">135 </w:t>
      </w:r>
      <w:r w:rsidRPr="006A7E73">
        <w:rPr>
          <w:i/>
          <w:iCs/>
        </w:rPr>
        <w:t xml:space="preserve">Bkz. </w:t>
      </w:r>
      <w:proofErr w:type="spellStart"/>
      <w:r w:rsidRPr="006A7E73">
        <w:rPr>
          <w:i/>
          <w:iCs/>
        </w:rPr>
        <w:t>örn</w:t>
      </w:r>
      <w:proofErr w:type="spellEnd"/>
      <w:r w:rsidRPr="006A7E73">
        <w:rPr>
          <w:i/>
          <w:iCs/>
        </w:rPr>
        <w:t>.</w:t>
      </w:r>
      <w:r w:rsidRPr="006A7E73">
        <w:t xml:space="preserve">, Erik </w:t>
      </w:r>
      <w:proofErr w:type="spellStart"/>
      <w:r w:rsidRPr="006A7E73">
        <w:t>Eckholm</w:t>
      </w:r>
      <w:proofErr w:type="spellEnd"/>
      <w:r w:rsidRPr="006A7E73">
        <w:t xml:space="preserve">, </w:t>
      </w:r>
      <w:proofErr w:type="spellStart"/>
      <w:r w:rsidRPr="006A7E73">
        <w:rPr>
          <w:i/>
          <w:iCs/>
        </w:rPr>
        <w:t>One</w:t>
      </w:r>
      <w:proofErr w:type="spellEnd"/>
      <w:r w:rsidRPr="006A7E73">
        <w:rPr>
          <w:i/>
          <w:iCs/>
        </w:rPr>
        <w:t xml:space="preserve"> Court, Three </w:t>
      </w:r>
      <w:proofErr w:type="spellStart"/>
      <w:r w:rsidRPr="006A7E73">
        <w:rPr>
          <w:i/>
          <w:iCs/>
        </w:rPr>
        <w:t>Judges</w:t>
      </w:r>
      <w:proofErr w:type="spellEnd"/>
      <w:r w:rsidRPr="006A7E73">
        <w:rPr>
          <w:i/>
          <w:iCs/>
        </w:rPr>
        <w:t xml:space="preserve"> </w:t>
      </w:r>
      <w:proofErr w:type="spellStart"/>
      <w:r w:rsidRPr="006A7E73">
        <w:rPr>
          <w:i/>
          <w:iCs/>
        </w:rPr>
        <w:t>and</w:t>
      </w:r>
      <w:proofErr w:type="spellEnd"/>
      <w:r w:rsidRPr="006A7E73">
        <w:rPr>
          <w:i/>
          <w:iCs/>
        </w:rPr>
        <w:t xml:space="preserve"> </w:t>
      </w:r>
      <w:proofErr w:type="spellStart"/>
      <w:r w:rsidRPr="006A7E73">
        <w:rPr>
          <w:i/>
          <w:iCs/>
        </w:rPr>
        <w:t>Four</w:t>
      </w:r>
      <w:proofErr w:type="spellEnd"/>
      <w:r w:rsidRPr="006A7E73">
        <w:rPr>
          <w:i/>
          <w:iCs/>
        </w:rPr>
        <w:t xml:space="preserve"> </w:t>
      </w:r>
      <w:proofErr w:type="spellStart"/>
      <w:r w:rsidRPr="006A7E73">
        <w:rPr>
          <w:i/>
          <w:iCs/>
        </w:rPr>
        <w:t>States</w:t>
      </w:r>
      <w:proofErr w:type="spellEnd"/>
      <w:r w:rsidRPr="006A7E73">
        <w:rPr>
          <w:i/>
          <w:iCs/>
        </w:rPr>
        <w:t xml:space="preserve"> </w:t>
      </w:r>
      <w:proofErr w:type="spellStart"/>
      <w:r w:rsidRPr="006A7E73">
        <w:rPr>
          <w:i/>
          <w:iCs/>
        </w:rPr>
        <w:t>with</w:t>
      </w:r>
      <w:proofErr w:type="spellEnd"/>
      <w:r w:rsidRPr="006A7E73">
        <w:rPr>
          <w:i/>
          <w:iCs/>
        </w:rPr>
        <w:t xml:space="preserve"> </w:t>
      </w:r>
      <w:proofErr w:type="spellStart"/>
      <w:r w:rsidRPr="006A7E73">
        <w:rPr>
          <w:i/>
          <w:iCs/>
        </w:rPr>
        <w:t>Gay</w:t>
      </w:r>
      <w:proofErr w:type="spellEnd"/>
      <w:r w:rsidRPr="006A7E73">
        <w:rPr>
          <w:i/>
          <w:iCs/>
        </w:rPr>
        <w:t xml:space="preserve"> </w:t>
      </w:r>
      <w:proofErr w:type="spellStart"/>
      <w:r w:rsidRPr="006A7E73">
        <w:rPr>
          <w:i/>
          <w:iCs/>
        </w:rPr>
        <w:t>Marriage</w:t>
      </w:r>
      <w:proofErr w:type="spellEnd"/>
      <w:r w:rsidRPr="006A7E73">
        <w:rPr>
          <w:i/>
          <w:iCs/>
        </w:rPr>
        <w:t xml:space="preserve"> </w:t>
      </w:r>
      <w:proofErr w:type="spellStart"/>
      <w:r w:rsidRPr="006A7E73">
        <w:rPr>
          <w:i/>
          <w:iCs/>
        </w:rPr>
        <w:t>Cases</w:t>
      </w:r>
      <w:proofErr w:type="spellEnd"/>
      <w:r w:rsidRPr="006A7E73">
        <w:t xml:space="preserve">, </w:t>
      </w:r>
      <w:r w:rsidRPr="006A7E73">
        <w:rPr>
          <w:i/>
          <w:iCs/>
        </w:rPr>
        <w:t>N.Y. Times</w:t>
      </w:r>
      <w:r w:rsidRPr="006A7E73">
        <w:t>, 7 Ağustos 2014, s. A15 (Altıncı Daire’de eyaletlerin eşcinsel evlilik yasaklarının anayasaya uygunluğuna ilişkin sözlü tartışmalar incelenirken her bir yargıcın hangi Başkan tarafından atandığına yapılan atıf).</w:t>
      </w:r>
    </w:p>
  </w:footnote>
  <w:footnote w:id="136">
    <w:p w14:paraId="4BEC049B" w14:textId="3F26316E" w:rsidR="006A7E73" w:rsidRPr="006A7E73" w:rsidRDefault="006A7E73" w:rsidP="006A7E73">
      <w:pPr>
        <w:pStyle w:val="Dipnot"/>
        <w:rPr>
          <w:lang w:val="en-US"/>
        </w:rPr>
      </w:pPr>
      <w:r>
        <w:rPr>
          <w:rStyle w:val="FootnoteReference"/>
        </w:rPr>
        <w:footnoteRef/>
      </w:r>
      <w:r>
        <w:t xml:space="preserve"> </w:t>
      </w:r>
      <w:r>
        <w:tab/>
      </w:r>
      <w:r w:rsidRPr="006A7E73">
        <w:t xml:space="preserve">136 </w:t>
      </w:r>
      <w:r w:rsidRPr="006A7E73">
        <w:rPr>
          <w:i/>
          <w:iCs/>
        </w:rPr>
        <w:t xml:space="preserve">Bkz. </w:t>
      </w:r>
      <w:proofErr w:type="spellStart"/>
      <w:r w:rsidRPr="006A7E73">
        <w:rPr>
          <w:i/>
          <w:iCs/>
        </w:rPr>
        <w:t>örn</w:t>
      </w:r>
      <w:proofErr w:type="spellEnd"/>
      <w:r w:rsidRPr="006A7E73">
        <w:rPr>
          <w:i/>
          <w:iCs/>
        </w:rPr>
        <w:t>.</w:t>
      </w:r>
      <w:r w:rsidRPr="006A7E73">
        <w:t xml:space="preserve">, Kenneth D. </w:t>
      </w:r>
      <w:proofErr w:type="spellStart"/>
      <w:r w:rsidRPr="006A7E73">
        <w:t>Chestek</w:t>
      </w:r>
      <w:proofErr w:type="spellEnd"/>
      <w:r w:rsidRPr="006A7E73">
        <w:t xml:space="preserve">, </w:t>
      </w:r>
      <w:proofErr w:type="spellStart"/>
      <w:r w:rsidRPr="006A7E73">
        <w:rPr>
          <w:i/>
          <w:iCs/>
        </w:rPr>
        <w:t>Competing</w:t>
      </w:r>
      <w:proofErr w:type="spellEnd"/>
      <w:r w:rsidRPr="006A7E73">
        <w:rPr>
          <w:i/>
          <w:iCs/>
        </w:rPr>
        <w:t xml:space="preserve"> </w:t>
      </w:r>
      <w:proofErr w:type="spellStart"/>
      <w:r w:rsidRPr="006A7E73">
        <w:rPr>
          <w:i/>
          <w:iCs/>
        </w:rPr>
        <w:t>Stories</w:t>
      </w:r>
      <w:proofErr w:type="spellEnd"/>
      <w:r w:rsidRPr="006A7E73">
        <w:rPr>
          <w:i/>
          <w:iCs/>
        </w:rPr>
        <w:t xml:space="preserve">: A Case </w:t>
      </w:r>
      <w:proofErr w:type="spellStart"/>
      <w:r w:rsidRPr="006A7E73">
        <w:rPr>
          <w:i/>
          <w:iCs/>
        </w:rPr>
        <w:t>Study</w:t>
      </w:r>
      <w:proofErr w:type="spellEnd"/>
      <w:r w:rsidRPr="006A7E73">
        <w:rPr>
          <w:i/>
          <w:iCs/>
        </w:rPr>
        <w:t xml:space="preserve"> of </w:t>
      </w:r>
      <w:proofErr w:type="spellStart"/>
      <w:r w:rsidRPr="006A7E73">
        <w:rPr>
          <w:i/>
          <w:iCs/>
        </w:rPr>
        <w:t>the</w:t>
      </w:r>
      <w:proofErr w:type="spellEnd"/>
      <w:r w:rsidRPr="006A7E73">
        <w:rPr>
          <w:i/>
          <w:iCs/>
        </w:rPr>
        <w:t xml:space="preserve"> Role of </w:t>
      </w:r>
      <w:proofErr w:type="spellStart"/>
      <w:r w:rsidRPr="006A7E73">
        <w:rPr>
          <w:i/>
          <w:iCs/>
        </w:rPr>
        <w:t>Narrative</w:t>
      </w:r>
      <w:proofErr w:type="spellEnd"/>
      <w:r w:rsidRPr="006A7E73">
        <w:rPr>
          <w:i/>
          <w:iCs/>
        </w:rPr>
        <w:t xml:space="preserve"> </w:t>
      </w:r>
      <w:proofErr w:type="spellStart"/>
      <w:r w:rsidRPr="006A7E73">
        <w:rPr>
          <w:i/>
          <w:iCs/>
        </w:rPr>
        <w:t>Reasoning</w:t>
      </w:r>
      <w:proofErr w:type="spellEnd"/>
      <w:r w:rsidRPr="006A7E73">
        <w:rPr>
          <w:i/>
          <w:iCs/>
        </w:rPr>
        <w:t xml:space="preserve"> in </w:t>
      </w:r>
      <w:proofErr w:type="spellStart"/>
      <w:r w:rsidRPr="006A7E73">
        <w:rPr>
          <w:i/>
          <w:iCs/>
        </w:rPr>
        <w:t>Judicial</w:t>
      </w:r>
      <w:proofErr w:type="spellEnd"/>
      <w:r w:rsidRPr="006A7E73">
        <w:rPr>
          <w:i/>
          <w:iCs/>
        </w:rPr>
        <w:t xml:space="preserve"> </w:t>
      </w:r>
      <w:proofErr w:type="spellStart"/>
      <w:r w:rsidRPr="006A7E73">
        <w:rPr>
          <w:i/>
          <w:iCs/>
        </w:rPr>
        <w:t>Decisions</w:t>
      </w:r>
      <w:proofErr w:type="spellEnd"/>
      <w:r w:rsidRPr="006A7E73">
        <w:t xml:space="preserve">, 9 </w:t>
      </w:r>
      <w:r w:rsidRPr="006A7E73">
        <w:rPr>
          <w:i/>
          <w:iCs/>
        </w:rPr>
        <w:t xml:space="preserve">Legal </w:t>
      </w:r>
      <w:proofErr w:type="spellStart"/>
      <w:r w:rsidRPr="006A7E73">
        <w:rPr>
          <w:i/>
          <w:iCs/>
        </w:rPr>
        <w:t>Comm</w:t>
      </w:r>
      <w:proofErr w:type="spellEnd"/>
      <w:r w:rsidRPr="006A7E73">
        <w:rPr>
          <w:i/>
          <w:iCs/>
        </w:rPr>
        <w:t xml:space="preserve">. &amp; </w:t>
      </w:r>
      <w:proofErr w:type="spellStart"/>
      <w:r w:rsidRPr="006A7E73">
        <w:rPr>
          <w:i/>
          <w:iCs/>
        </w:rPr>
        <w:t>Rhetoric</w:t>
      </w:r>
      <w:proofErr w:type="spellEnd"/>
      <w:r w:rsidRPr="006A7E73">
        <w:t xml:space="preserve"> 99, 122 n.114 (2012) (ana akım medya yorumcularının yargıçları atayan Başkanın partisini bir ideoloji ölçütü olarak kullanma eğilimini “çürütme” arzusunu dile getiren çalışma).</w:t>
      </w:r>
    </w:p>
  </w:footnote>
  <w:footnote w:id="137">
    <w:p w14:paraId="0AEC6907" w14:textId="31670182" w:rsidR="006A7E73" w:rsidRPr="006A7E73" w:rsidRDefault="006A7E73" w:rsidP="006A7E73">
      <w:pPr>
        <w:pStyle w:val="Dipnot"/>
        <w:rPr>
          <w:lang w:val="en-US"/>
        </w:rPr>
      </w:pPr>
      <w:r>
        <w:rPr>
          <w:rStyle w:val="FootnoteReference"/>
        </w:rPr>
        <w:footnoteRef/>
      </w:r>
      <w:r>
        <w:t xml:space="preserve"> </w:t>
      </w:r>
      <w:r>
        <w:rPr>
          <w:lang w:val="en-US"/>
        </w:rPr>
        <w:tab/>
      </w:r>
      <w:r w:rsidRPr="006A7E73">
        <w:t xml:space="preserve">137 </w:t>
      </w:r>
      <w:r w:rsidRPr="006A7E73">
        <w:rPr>
          <w:i/>
          <w:iCs/>
        </w:rPr>
        <w:t xml:space="preserve">Bkz. </w:t>
      </w:r>
      <w:proofErr w:type="spellStart"/>
      <w:r w:rsidRPr="006A7E73">
        <w:rPr>
          <w:i/>
          <w:iCs/>
        </w:rPr>
        <w:t>örn</w:t>
      </w:r>
      <w:proofErr w:type="spellEnd"/>
      <w:r w:rsidRPr="006A7E73">
        <w:rPr>
          <w:i/>
          <w:iCs/>
        </w:rPr>
        <w:t>.</w:t>
      </w:r>
      <w:r w:rsidRPr="006A7E73">
        <w:t xml:space="preserve">, Deborah </w:t>
      </w:r>
      <w:proofErr w:type="spellStart"/>
      <w:r w:rsidRPr="006A7E73">
        <w:t>Sontag</w:t>
      </w:r>
      <w:proofErr w:type="spellEnd"/>
      <w:r w:rsidRPr="006A7E73">
        <w:t xml:space="preserve">, </w:t>
      </w:r>
      <w:proofErr w:type="spellStart"/>
      <w:r w:rsidRPr="006A7E73">
        <w:rPr>
          <w:i/>
          <w:iCs/>
        </w:rPr>
        <w:t>The</w:t>
      </w:r>
      <w:proofErr w:type="spellEnd"/>
      <w:r w:rsidRPr="006A7E73">
        <w:rPr>
          <w:i/>
          <w:iCs/>
        </w:rPr>
        <w:t xml:space="preserve"> </w:t>
      </w:r>
      <w:proofErr w:type="spellStart"/>
      <w:r w:rsidRPr="006A7E73">
        <w:rPr>
          <w:i/>
          <w:iCs/>
        </w:rPr>
        <w:t>Power</w:t>
      </w:r>
      <w:proofErr w:type="spellEnd"/>
      <w:r w:rsidRPr="006A7E73">
        <w:rPr>
          <w:i/>
          <w:iCs/>
        </w:rPr>
        <w:t xml:space="preserve"> of </w:t>
      </w:r>
      <w:proofErr w:type="spellStart"/>
      <w:r w:rsidRPr="006A7E73">
        <w:rPr>
          <w:i/>
          <w:iCs/>
        </w:rPr>
        <w:t>the</w:t>
      </w:r>
      <w:proofErr w:type="spellEnd"/>
      <w:r w:rsidRPr="006A7E73">
        <w:rPr>
          <w:i/>
          <w:iCs/>
        </w:rPr>
        <w:t xml:space="preserve"> </w:t>
      </w:r>
      <w:proofErr w:type="spellStart"/>
      <w:r w:rsidRPr="006A7E73">
        <w:rPr>
          <w:i/>
          <w:iCs/>
        </w:rPr>
        <w:t>Fourth</w:t>
      </w:r>
      <w:proofErr w:type="spellEnd"/>
      <w:r w:rsidRPr="006A7E73">
        <w:t xml:space="preserve">, </w:t>
      </w:r>
      <w:r w:rsidRPr="006A7E73">
        <w:rPr>
          <w:i/>
          <w:iCs/>
        </w:rPr>
        <w:t>N.Y. Times</w:t>
      </w:r>
      <w:r w:rsidRPr="006A7E73">
        <w:t xml:space="preserve"> </w:t>
      </w:r>
      <w:proofErr w:type="spellStart"/>
      <w:r w:rsidRPr="006A7E73">
        <w:t>Mag</w:t>
      </w:r>
      <w:proofErr w:type="spellEnd"/>
      <w:r w:rsidRPr="006A7E73">
        <w:t xml:space="preserve">., 9 Mart 2003 (Dördüncü Daire’yi aşırı tepkisel olarak tanımlayan uzun ve tartışmalı kapak haberi); </w:t>
      </w:r>
      <w:proofErr w:type="spellStart"/>
      <w:r w:rsidRPr="006A7E73">
        <w:rPr>
          <w:i/>
          <w:iCs/>
        </w:rPr>
        <w:t>The</w:t>
      </w:r>
      <w:proofErr w:type="spellEnd"/>
      <w:r w:rsidRPr="006A7E73">
        <w:rPr>
          <w:i/>
          <w:iCs/>
        </w:rPr>
        <w:t xml:space="preserve"> Ninth </w:t>
      </w:r>
      <w:proofErr w:type="spellStart"/>
      <w:r w:rsidRPr="006A7E73">
        <w:rPr>
          <w:i/>
          <w:iCs/>
        </w:rPr>
        <w:t>Circuit</w:t>
      </w:r>
      <w:proofErr w:type="spellEnd"/>
      <w:r w:rsidRPr="006A7E73">
        <w:rPr>
          <w:i/>
          <w:iCs/>
        </w:rPr>
        <w:t xml:space="preserve"> Watch</w:t>
      </w:r>
      <w:r w:rsidRPr="006A7E73">
        <w:t xml:space="preserve">, </w:t>
      </w:r>
      <w:hyperlink r:id="rId7" w:tgtFrame="_new" w:history="1">
        <w:r w:rsidRPr="006A7E73">
          <w:rPr>
            <w:rStyle w:val="Hyperlink"/>
          </w:rPr>
          <w:t>http://www.the9thcircuitwatch.com/recent.htm</w:t>
        </w:r>
      </w:hyperlink>
      <w:r w:rsidRPr="006A7E73">
        <w:t xml:space="preserve"> (21 Ağustos 2014’te ziyaret edildi) (Dokuzuncu Daire’nin “anlaşılmaz” kararlarını rapor eden site). Son on yıldaki atamalar, </w:t>
      </w:r>
      <w:proofErr w:type="spellStart"/>
      <w:r w:rsidRPr="006A7E73">
        <w:t>Sontag’ın</w:t>
      </w:r>
      <w:proofErr w:type="spellEnd"/>
      <w:r w:rsidRPr="006A7E73">
        <w:t xml:space="preserve"> Dördüncü Daire’ye ilişkin tanımını geçersiz kılmıştır (eğer baştan doğruyduysa). Günümüzde haberler genellikle Beşinci Daire’yi ülkenin en tepkisel temyiz mahkemesi olarak kategorize etmektedir. </w:t>
      </w:r>
      <w:r w:rsidRPr="006A7E73">
        <w:rPr>
          <w:i/>
          <w:iCs/>
        </w:rPr>
        <w:t xml:space="preserve">Bkz. </w:t>
      </w:r>
      <w:proofErr w:type="spellStart"/>
      <w:r w:rsidRPr="006A7E73">
        <w:rPr>
          <w:i/>
          <w:iCs/>
        </w:rPr>
        <w:t>örn</w:t>
      </w:r>
      <w:proofErr w:type="spellEnd"/>
      <w:r w:rsidRPr="006A7E73">
        <w:rPr>
          <w:i/>
          <w:iCs/>
        </w:rPr>
        <w:t>.</w:t>
      </w:r>
      <w:r w:rsidRPr="006A7E73">
        <w:t xml:space="preserve">, Mark </w:t>
      </w:r>
      <w:proofErr w:type="spellStart"/>
      <w:r w:rsidRPr="006A7E73">
        <w:t>Curriden</w:t>
      </w:r>
      <w:proofErr w:type="spellEnd"/>
      <w:r w:rsidRPr="006A7E73">
        <w:t xml:space="preserve">, </w:t>
      </w:r>
      <w:proofErr w:type="spellStart"/>
      <w:r w:rsidRPr="006A7E73">
        <w:rPr>
          <w:i/>
          <w:iCs/>
        </w:rPr>
        <w:t>Meet</w:t>
      </w:r>
      <w:proofErr w:type="spellEnd"/>
      <w:r w:rsidRPr="006A7E73">
        <w:rPr>
          <w:i/>
          <w:iCs/>
        </w:rPr>
        <w:t xml:space="preserve"> </w:t>
      </w:r>
      <w:proofErr w:type="spellStart"/>
      <w:r w:rsidRPr="006A7E73">
        <w:rPr>
          <w:i/>
          <w:iCs/>
        </w:rPr>
        <w:t>the</w:t>
      </w:r>
      <w:proofErr w:type="spellEnd"/>
      <w:r w:rsidRPr="006A7E73">
        <w:rPr>
          <w:i/>
          <w:iCs/>
        </w:rPr>
        <w:t xml:space="preserve"> </w:t>
      </w:r>
      <w:proofErr w:type="spellStart"/>
      <w:r w:rsidRPr="006A7E73">
        <w:rPr>
          <w:i/>
          <w:iCs/>
        </w:rPr>
        <w:t>Chief</w:t>
      </w:r>
      <w:proofErr w:type="spellEnd"/>
      <w:r w:rsidRPr="006A7E73">
        <w:rPr>
          <w:i/>
          <w:iCs/>
        </w:rPr>
        <w:t xml:space="preserve"> </w:t>
      </w:r>
      <w:proofErr w:type="spellStart"/>
      <w:r w:rsidRPr="006A7E73">
        <w:rPr>
          <w:i/>
          <w:iCs/>
        </w:rPr>
        <w:t>Judge</w:t>
      </w:r>
      <w:proofErr w:type="spellEnd"/>
      <w:r w:rsidRPr="006A7E73">
        <w:rPr>
          <w:i/>
          <w:iCs/>
        </w:rPr>
        <w:t xml:space="preserve"> of </w:t>
      </w:r>
      <w:proofErr w:type="spellStart"/>
      <w:r w:rsidRPr="006A7E73">
        <w:rPr>
          <w:i/>
          <w:iCs/>
        </w:rPr>
        <w:t>the</w:t>
      </w:r>
      <w:proofErr w:type="spellEnd"/>
      <w:r w:rsidRPr="006A7E73">
        <w:rPr>
          <w:i/>
          <w:iCs/>
        </w:rPr>
        <w:t xml:space="preserve"> </w:t>
      </w:r>
      <w:proofErr w:type="spellStart"/>
      <w:r w:rsidRPr="006A7E73">
        <w:rPr>
          <w:i/>
          <w:iCs/>
        </w:rPr>
        <w:t>Nation’s</w:t>
      </w:r>
      <w:proofErr w:type="spellEnd"/>
      <w:r w:rsidRPr="006A7E73">
        <w:rPr>
          <w:i/>
          <w:iCs/>
        </w:rPr>
        <w:t xml:space="preserve"> </w:t>
      </w:r>
      <w:proofErr w:type="spellStart"/>
      <w:r w:rsidRPr="006A7E73">
        <w:rPr>
          <w:i/>
          <w:iCs/>
        </w:rPr>
        <w:t>Most</w:t>
      </w:r>
      <w:proofErr w:type="spellEnd"/>
      <w:r w:rsidRPr="006A7E73">
        <w:rPr>
          <w:i/>
          <w:iCs/>
        </w:rPr>
        <w:t xml:space="preserve"> </w:t>
      </w:r>
      <w:proofErr w:type="spellStart"/>
      <w:r w:rsidRPr="006A7E73">
        <w:rPr>
          <w:i/>
          <w:iCs/>
        </w:rPr>
        <w:t>Divisive</w:t>
      </w:r>
      <w:proofErr w:type="spellEnd"/>
      <w:r w:rsidRPr="006A7E73">
        <w:rPr>
          <w:i/>
          <w:iCs/>
        </w:rPr>
        <w:t xml:space="preserve">, </w:t>
      </w:r>
      <w:proofErr w:type="spellStart"/>
      <w:r w:rsidRPr="006A7E73">
        <w:rPr>
          <w:i/>
          <w:iCs/>
        </w:rPr>
        <w:t>Controversial</w:t>
      </w:r>
      <w:proofErr w:type="spellEnd"/>
      <w:r w:rsidRPr="006A7E73">
        <w:rPr>
          <w:i/>
          <w:iCs/>
        </w:rPr>
        <w:t xml:space="preserve"> </w:t>
      </w:r>
      <w:proofErr w:type="spellStart"/>
      <w:r w:rsidRPr="006A7E73">
        <w:rPr>
          <w:i/>
          <w:iCs/>
        </w:rPr>
        <w:t>and</w:t>
      </w:r>
      <w:proofErr w:type="spellEnd"/>
      <w:r w:rsidRPr="006A7E73">
        <w:rPr>
          <w:i/>
          <w:iCs/>
        </w:rPr>
        <w:t xml:space="preserve"> </w:t>
      </w:r>
      <w:proofErr w:type="spellStart"/>
      <w:r w:rsidRPr="006A7E73">
        <w:rPr>
          <w:i/>
          <w:iCs/>
        </w:rPr>
        <w:t>Conservative</w:t>
      </w:r>
      <w:proofErr w:type="spellEnd"/>
      <w:r w:rsidRPr="006A7E73">
        <w:rPr>
          <w:i/>
          <w:iCs/>
        </w:rPr>
        <w:t xml:space="preserve"> </w:t>
      </w:r>
      <w:proofErr w:type="spellStart"/>
      <w:r w:rsidRPr="006A7E73">
        <w:rPr>
          <w:i/>
          <w:iCs/>
        </w:rPr>
        <w:t>Appeals</w:t>
      </w:r>
      <w:proofErr w:type="spellEnd"/>
      <w:r w:rsidRPr="006A7E73">
        <w:rPr>
          <w:i/>
          <w:iCs/>
        </w:rPr>
        <w:t xml:space="preserve"> Court</w:t>
      </w:r>
      <w:r w:rsidRPr="006A7E73">
        <w:t xml:space="preserve">, </w:t>
      </w:r>
      <w:r w:rsidRPr="006A7E73">
        <w:rPr>
          <w:i/>
          <w:iCs/>
        </w:rPr>
        <w:t>ABA J.</w:t>
      </w:r>
      <w:r w:rsidRPr="006A7E73">
        <w:t xml:space="preserve"> (1 Şubat 2014), </w:t>
      </w:r>
      <w:hyperlink r:id="rId8" w:tgtFrame="_new" w:history="1">
        <w:r w:rsidRPr="006A7E73">
          <w:rPr>
            <w:rStyle w:val="Hyperlink"/>
          </w:rPr>
          <w:t>http://www.abajournal.com/magazine/article/meet_the_chief_judge_of_the_nations_most_divisive_controversial/</w:t>
        </w:r>
      </w:hyperlink>
      <w:r w:rsidRPr="006A7E73">
        <w:t>.</w:t>
      </w:r>
    </w:p>
  </w:footnote>
  <w:footnote w:id="138">
    <w:p w14:paraId="0C38BD6E" w14:textId="79B1053F" w:rsidR="006A7E73" w:rsidRPr="006A7E73" w:rsidRDefault="006A7E73" w:rsidP="006A7E73">
      <w:pPr>
        <w:pStyle w:val="Dipnot"/>
        <w:rPr>
          <w:lang w:val="en-US"/>
        </w:rPr>
      </w:pPr>
      <w:r>
        <w:rPr>
          <w:rStyle w:val="FootnoteReference"/>
        </w:rPr>
        <w:footnoteRef/>
      </w:r>
      <w:r>
        <w:t xml:space="preserve"> </w:t>
      </w:r>
      <w:r>
        <w:tab/>
      </w:r>
      <w:r w:rsidRPr="006A7E73">
        <w:t xml:space="preserve">138 </w:t>
      </w:r>
      <w:r w:rsidRPr="006A7E73">
        <w:rPr>
          <w:i/>
          <w:iCs/>
        </w:rPr>
        <w:t xml:space="preserve">Bkz. </w:t>
      </w:r>
      <w:proofErr w:type="spellStart"/>
      <w:r w:rsidRPr="006A7E73">
        <w:rPr>
          <w:i/>
          <w:iCs/>
        </w:rPr>
        <w:t>örn</w:t>
      </w:r>
      <w:proofErr w:type="spellEnd"/>
      <w:r w:rsidRPr="006A7E73">
        <w:rPr>
          <w:i/>
          <w:iCs/>
        </w:rPr>
        <w:t>.</w:t>
      </w:r>
      <w:r w:rsidRPr="006A7E73">
        <w:t xml:space="preserve">, Richard L. </w:t>
      </w:r>
      <w:proofErr w:type="spellStart"/>
      <w:r w:rsidRPr="006A7E73">
        <w:t>Revesz</w:t>
      </w:r>
      <w:proofErr w:type="spellEnd"/>
      <w:r w:rsidRPr="006A7E73">
        <w:t xml:space="preserve">, </w:t>
      </w:r>
      <w:proofErr w:type="spellStart"/>
      <w:r w:rsidRPr="006A7E73">
        <w:rPr>
          <w:i/>
          <w:iCs/>
        </w:rPr>
        <w:t>Environmental</w:t>
      </w:r>
      <w:proofErr w:type="spellEnd"/>
      <w:r w:rsidRPr="006A7E73">
        <w:rPr>
          <w:i/>
          <w:iCs/>
        </w:rPr>
        <w:t xml:space="preserve"> </w:t>
      </w:r>
      <w:proofErr w:type="spellStart"/>
      <w:r w:rsidRPr="006A7E73">
        <w:rPr>
          <w:i/>
          <w:iCs/>
        </w:rPr>
        <w:t>Regulation</w:t>
      </w:r>
      <w:proofErr w:type="spellEnd"/>
      <w:r w:rsidRPr="006A7E73">
        <w:rPr>
          <w:i/>
          <w:iCs/>
        </w:rPr>
        <w:t xml:space="preserve">, </w:t>
      </w:r>
      <w:proofErr w:type="spellStart"/>
      <w:r w:rsidRPr="006A7E73">
        <w:rPr>
          <w:i/>
          <w:iCs/>
        </w:rPr>
        <w:t>Ideology</w:t>
      </w:r>
      <w:proofErr w:type="spellEnd"/>
      <w:r w:rsidRPr="006A7E73">
        <w:rPr>
          <w:i/>
          <w:iCs/>
        </w:rPr>
        <w:t xml:space="preserve">, </w:t>
      </w:r>
      <w:proofErr w:type="spellStart"/>
      <w:r w:rsidRPr="006A7E73">
        <w:rPr>
          <w:i/>
          <w:iCs/>
        </w:rPr>
        <w:t>and</w:t>
      </w:r>
      <w:proofErr w:type="spellEnd"/>
      <w:r w:rsidRPr="006A7E73">
        <w:rPr>
          <w:i/>
          <w:iCs/>
        </w:rPr>
        <w:t xml:space="preserve"> </w:t>
      </w:r>
      <w:proofErr w:type="spellStart"/>
      <w:r w:rsidRPr="006A7E73">
        <w:rPr>
          <w:i/>
          <w:iCs/>
        </w:rPr>
        <w:t>the</w:t>
      </w:r>
      <w:proofErr w:type="spellEnd"/>
      <w:r w:rsidRPr="006A7E73">
        <w:rPr>
          <w:i/>
          <w:iCs/>
        </w:rPr>
        <w:t xml:space="preserve"> D.C. </w:t>
      </w:r>
      <w:proofErr w:type="spellStart"/>
      <w:r w:rsidRPr="006A7E73">
        <w:rPr>
          <w:i/>
          <w:iCs/>
        </w:rPr>
        <w:t>Circuit</w:t>
      </w:r>
      <w:proofErr w:type="spellEnd"/>
      <w:r w:rsidRPr="006A7E73">
        <w:t xml:space="preserve">, 83 </w:t>
      </w:r>
      <w:proofErr w:type="spellStart"/>
      <w:r w:rsidRPr="006A7E73">
        <w:rPr>
          <w:i/>
          <w:iCs/>
        </w:rPr>
        <w:t>Va</w:t>
      </w:r>
      <w:proofErr w:type="spellEnd"/>
      <w:r w:rsidRPr="006A7E73">
        <w:rPr>
          <w:i/>
          <w:iCs/>
        </w:rPr>
        <w:t xml:space="preserve">. L. </w:t>
      </w:r>
      <w:proofErr w:type="spellStart"/>
      <w:r w:rsidRPr="006A7E73">
        <w:rPr>
          <w:i/>
          <w:iCs/>
        </w:rPr>
        <w:t>Rev</w:t>
      </w:r>
      <w:proofErr w:type="spellEnd"/>
      <w:r w:rsidRPr="006A7E73">
        <w:rPr>
          <w:i/>
          <w:iCs/>
        </w:rPr>
        <w:t>.</w:t>
      </w:r>
      <w:r w:rsidRPr="006A7E73">
        <w:t xml:space="preserve"> 1717 (1997) (partizan etkileri belirleyen, bunların hangi konularda daha belirgin olduğunu inceleyen ve bir heyetin bileşiminin partizanlık düzeyini nasıl etkilediğini açıklayan çalışma).</w:t>
      </w:r>
    </w:p>
  </w:footnote>
  <w:footnote w:id="139">
    <w:p w14:paraId="36A70D91" w14:textId="3ACE6ED9" w:rsidR="006A7E73" w:rsidRPr="006A7E73" w:rsidRDefault="006A7E73" w:rsidP="006A7E73">
      <w:pPr>
        <w:pStyle w:val="Dipnot"/>
        <w:rPr>
          <w:lang w:val="en-US"/>
        </w:rPr>
      </w:pPr>
      <w:r>
        <w:rPr>
          <w:rStyle w:val="FootnoteReference"/>
        </w:rPr>
        <w:footnoteRef/>
      </w:r>
      <w:r>
        <w:t xml:space="preserve"> </w:t>
      </w:r>
      <w:r>
        <w:tab/>
      </w:r>
      <w:r w:rsidR="00364184" w:rsidRPr="00364184">
        <w:t xml:space="preserve">139 </w:t>
      </w:r>
      <w:r w:rsidR="00364184" w:rsidRPr="00364184">
        <w:rPr>
          <w:i/>
          <w:iCs/>
        </w:rPr>
        <w:t>Bkz. genel olarak</w:t>
      </w:r>
      <w:r w:rsidR="00364184" w:rsidRPr="00364184">
        <w:t xml:space="preserve"> Kevin M. Scott, </w:t>
      </w:r>
      <w:proofErr w:type="spellStart"/>
      <w:r w:rsidR="00364184" w:rsidRPr="00364184">
        <w:rPr>
          <w:i/>
          <w:iCs/>
        </w:rPr>
        <w:t>Supreme</w:t>
      </w:r>
      <w:proofErr w:type="spellEnd"/>
      <w:r w:rsidR="00364184" w:rsidRPr="00364184">
        <w:rPr>
          <w:i/>
          <w:iCs/>
        </w:rPr>
        <w:t xml:space="preserve"> Court </w:t>
      </w:r>
      <w:proofErr w:type="spellStart"/>
      <w:r w:rsidR="00364184" w:rsidRPr="00364184">
        <w:rPr>
          <w:i/>
          <w:iCs/>
        </w:rPr>
        <w:t>Reversals</w:t>
      </w:r>
      <w:proofErr w:type="spellEnd"/>
      <w:r w:rsidR="00364184" w:rsidRPr="00364184">
        <w:rPr>
          <w:i/>
          <w:iCs/>
        </w:rPr>
        <w:t xml:space="preserve"> of </w:t>
      </w:r>
      <w:proofErr w:type="spellStart"/>
      <w:r w:rsidR="00364184" w:rsidRPr="00364184">
        <w:rPr>
          <w:i/>
          <w:iCs/>
        </w:rPr>
        <w:t>the</w:t>
      </w:r>
      <w:proofErr w:type="spellEnd"/>
      <w:r w:rsidR="00364184" w:rsidRPr="00364184">
        <w:rPr>
          <w:i/>
          <w:iCs/>
        </w:rPr>
        <w:t xml:space="preserve"> Ninth </w:t>
      </w:r>
      <w:proofErr w:type="spellStart"/>
      <w:r w:rsidR="00364184" w:rsidRPr="00364184">
        <w:rPr>
          <w:i/>
          <w:iCs/>
        </w:rPr>
        <w:t>Circuit</w:t>
      </w:r>
      <w:proofErr w:type="spellEnd"/>
      <w:r w:rsidR="00364184" w:rsidRPr="00364184">
        <w:t xml:space="preserve">, 48 </w:t>
      </w:r>
      <w:r w:rsidR="00364184" w:rsidRPr="00364184">
        <w:rPr>
          <w:i/>
          <w:iCs/>
        </w:rPr>
        <w:t xml:space="preserve">Ariz. L. </w:t>
      </w:r>
      <w:proofErr w:type="spellStart"/>
      <w:r w:rsidR="00364184" w:rsidRPr="00364184">
        <w:rPr>
          <w:i/>
          <w:iCs/>
        </w:rPr>
        <w:t>Rev</w:t>
      </w:r>
      <w:proofErr w:type="spellEnd"/>
      <w:r w:rsidR="00364184" w:rsidRPr="00364184">
        <w:rPr>
          <w:i/>
          <w:iCs/>
        </w:rPr>
        <w:t>.</w:t>
      </w:r>
      <w:r w:rsidR="00364184" w:rsidRPr="00364184">
        <w:t xml:space="preserve"> 341 (2006) (Dokuzuncu Daire’nin görece yüksek bozma oranının olası kaynaklarını tartışan çalışma); </w:t>
      </w:r>
      <w:proofErr w:type="spellStart"/>
      <w:r w:rsidR="00364184" w:rsidRPr="00364184">
        <w:rPr>
          <w:i/>
          <w:iCs/>
        </w:rPr>
        <w:t>karş</w:t>
      </w:r>
      <w:proofErr w:type="spellEnd"/>
      <w:r w:rsidR="00364184" w:rsidRPr="00364184">
        <w:rPr>
          <w:i/>
          <w:iCs/>
        </w:rPr>
        <w:t>.</w:t>
      </w:r>
      <w:r w:rsidR="00364184" w:rsidRPr="00364184">
        <w:t xml:space="preserve"> Dan </w:t>
      </w:r>
      <w:proofErr w:type="spellStart"/>
      <w:r w:rsidR="00364184" w:rsidRPr="00364184">
        <w:t>Horn</w:t>
      </w:r>
      <w:proofErr w:type="spellEnd"/>
      <w:r w:rsidR="00364184" w:rsidRPr="00364184">
        <w:t xml:space="preserve">, </w:t>
      </w:r>
      <w:r w:rsidR="00364184" w:rsidRPr="00364184">
        <w:rPr>
          <w:i/>
          <w:iCs/>
        </w:rPr>
        <w:t xml:space="preserve">6th </w:t>
      </w:r>
      <w:proofErr w:type="spellStart"/>
      <w:r w:rsidR="00364184" w:rsidRPr="00364184">
        <w:rPr>
          <w:i/>
          <w:iCs/>
        </w:rPr>
        <w:t>Circuit</w:t>
      </w:r>
      <w:proofErr w:type="spellEnd"/>
      <w:r w:rsidR="00364184" w:rsidRPr="00364184">
        <w:rPr>
          <w:i/>
          <w:iCs/>
        </w:rPr>
        <w:t xml:space="preserve"> on </w:t>
      </w:r>
      <w:proofErr w:type="spellStart"/>
      <w:r w:rsidR="00364184" w:rsidRPr="00364184">
        <w:rPr>
          <w:i/>
          <w:iCs/>
        </w:rPr>
        <w:t>Losing</w:t>
      </w:r>
      <w:proofErr w:type="spellEnd"/>
      <w:r w:rsidR="00364184" w:rsidRPr="00364184">
        <w:rPr>
          <w:i/>
          <w:iCs/>
        </w:rPr>
        <w:t xml:space="preserve"> </w:t>
      </w:r>
      <w:proofErr w:type="spellStart"/>
      <w:r w:rsidR="00364184" w:rsidRPr="00364184">
        <w:rPr>
          <w:i/>
          <w:iCs/>
        </w:rPr>
        <w:t>Streak</w:t>
      </w:r>
      <w:proofErr w:type="spellEnd"/>
      <w:r w:rsidR="00364184" w:rsidRPr="00364184">
        <w:rPr>
          <w:i/>
          <w:iCs/>
        </w:rPr>
        <w:t xml:space="preserve"> in </w:t>
      </w:r>
      <w:proofErr w:type="spellStart"/>
      <w:r w:rsidR="00364184" w:rsidRPr="00364184">
        <w:rPr>
          <w:i/>
          <w:iCs/>
        </w:rPr>
        <w:t>Supreme</w:t>
      </w:r>
      <w:proofErr w:type="spellEnd"/>
      <w:r w:rsidR="00364184" w:rsidRPr="00364184">
        <w:rPr>
          <w:i/>
          <w:iCs/>
        </w:rPr>
        <w:t xml:space="preserve"> Court </w:t>
      </w:r>
      <w:proofErr w:type="spellStart"/>
      <w:r w:rsidR="00364184" w:rsidRPr="00364184">
        <w:rPr>
          <w:i/>
          <w:iCs/>
        </w:rPr>
        <w:t>Cases</w:t>
      </w:r>
      <w:proofErr w:type="spellEnd"/>
      <w:r w:rsidR="00364184" w:rsidRPr="00364184">
        <w:t xml:space="preserve">, </w:t>
      </w:r>
      <w:r w:rsidR="00364184" w:rsidRPr="00364184">
        <w:rPr>
          <w:i/>
          <w:iCs/>
        </w:rPr>
        <w:t xml:space="preserve">USA </w:t>
      </w:r>
      <w:proofErr w:type="spellStart"/>
      <w:r w:rsidR="00364184" w:rsidRPr="00364184">
        <w:rPr>
          <w:i/>
          <w:iCs/>
        </w:rPr>
        <w:t>Today</w:t>
      </w:r>
      <w:proofErr w:type="spellEnd"/>
      <w:r w:rsidR="00364184" w:rsidRPr="00364184">
        <w:t xml:space="preserve"> (20 Şubat 2011, 1:34 AM), </w:t>
      </w:r>
      <w:hyperlink r:id="rId9" w:tgtFrame="_new" w:history="1">
        <w:r w:rsidR="00364184" w:rsidRPr="00364184">
          <w:rPr>
            <w:rStyle w:val="Hyperlink"/>
          </w:rPr>
          <w:t>http://usatoday30.usatoday.com/news/nation/2011-02-20-circuit-courtN.htm</w:t>
        </w:r>
      </w:hyperlink>
      <w:r w:rsidR="00364184" w:rsidRPr="00364184">
        <w:t>.</w:t>
      </w:r>
    </w:p>
  </w:footnote>
  <w:footnote w:id="140">
    <w:p w14:paraId="3B11C996" w14:textId="6CD739CF" w:rsidR="006A7E73" w:rsidRPr="006A7E73" w:rsidRDefault="006A7E73" w:rsidP="006A7E73">
      <w:pPr>
        <w:pStyle w:val="Dipnot"/>
        <w:rPr>
          <w:lang w:val="en-US"/>
        </w:rPr>
      </w:pPr>
      <w:r>
        <w:rPr>
          <w:rStyle w:val="FootnoteReference"/>
        </w:rPr>
        <w:footnoteRef/>
      </w:r>
      <w:r>
        <w:t xml:space="preserve"> </w:t>
      </w:r>
      <w:r>
        <w:rPr>
          <w:lang w:val="en-US"/>
        </w:rPr>
        <w:tab/>
      </w:r>
      <w:r w:rsidR="00364184" w:rsidRPr="00364184">
        <w:t xml:space="preserve">140 </w:t>
      </w:r>
      <w:r w:rsidR="00364184" w:rsidRPr="00364184">
        <w:rPr>
          <w:i/>
          <w:iCs/>
        </w:rPr>
        <w:t xml:space="preserve">Bkz. </w:t>
      </w:r>
      <w:proofErr w:type="spellStart"/>
      <w:r w:rsidR="00364184" w:rsidRPr="00364184">
        <w:rPr>
          <w:i/>
          <w:iCs/>
        </w:rPr>
        <w:t>örn</w:t>
      </w:r>
      <w:proofErr w:type="spellEnd"/>
      <w:r w:rsidR="00364184" w:rsidRPr="00364184">
        <w:rPr>
          <w:i/>
          <w:iCs/>
        </w:rPr>
        <w:t>.</w:t>
      </w:r>
      <w:r w:rsidR="00364184" w:rsidRPr="00364184">
        <w:t xml:space="preserve">, Kevin </w:t>
      </w:r>
      <w:proofErr w:type="spellStart"/>
      <w:r w:rsidR="00364184" w:rsidRPr="00364184">
        <w:t>Sack</w:t>
      </w:r>
      <w:proofErr w:type="spellEnd"/>
      <w:r w:rsidR="00364184" w:rsidRPr="00364184">
        <w:t xml:space="preserve">, </w:t>
      </w:r>
      <w:proofErr w:type="spellStart"/>
      <w:r w:rsidR="00364184" w:rsidRPr="00364184">
        <w:rPr>
          <w:i/>
          <w:iCs/>
        </w:rPr>
        <w:t>Lawyer</w:t>
      </w:r>
      <w:proofErr w:type="spellEnd"/>
      <w:r w:rsidR="00364184" w:rsidRPr="00364184">
        <w:rPr>
          <w:i/>
          <w:iCs/>
        </w:rPr>
        <w:t xml:space="preserve"> </w:t>
      </w:r>
      <w:proofErr w:type="spellStart"/>
      <w:r w:rsidR="00364184" w:rsidRPr="00364184">
        <w:rPr>
          <w:i/>
          <w:iCs/>
        </w:rPr>
        <w:t>Opposing</w:t>
      </w:r>
      <w:proofErr w:type="spellEnd"/>
      <w:r w:rsidR="00364184" w:rsidRPr="00364184">
        <w:rPr>
          <w:i/>
          <w:iCs/>
        </w:rPr>
        <w:t xml:space="preserve"> </w:t>
      </w:r>
      <w:proofErr w:type="spellStart"/>
      <w:r w:rsidR="00364184" w:rsidRPr="00364184">
        <w:rPr>
          <w:i/>
          <w:iCs/>
        </w:rPr>
        <w:t>Health</w:t>
      </w:r>
      <w:proofErr w:type="spellEnd"/>
      <w:r w:rsidR="00364184" w:rsidRPr="00364184">
        <w:rPr>
          <w:i/>
          <w:iCs/>
        </w:rPr>
        <w:t xml:space="preserve"> </w:t>
      </w:r>
      <w:proofErr w:type="spellStart"/>
      <w:r w:rsidR="00364184" w:rsidRPr="00364184">
        <w:rPr>
          <w:i/>
          <w:iCs/>
        </w:rPr>
        <w:t>Care</w:t>
      </w:r>
      <w:proofErr w:type="spellEnd"/>
      <w:r w:rsidR="00364184" w:rsidRPr="00364184">
        <w:rPr>
          <w:i/>
          <w:iCs/>
        </w:rPr>
        <w:t xml:space="preserve"> </w:t>
      </w:r>
      <w:proofErr w:type="spellStart"/>
      <w:r w:rsidR="00364184" w:rsidRPr="00364184">
        <w:rPr>
          <w:i/>
          <w:iCs/>
        </w:rPr>
        <w:t>Law</w:t>
      </w:r>
      <w:proofErr w:type="spellEnd"/>
      <w:r w:rsidR="00364184" w:rsidRPr="00364184">
        <w:rPr>
          <w:i/>
          <w:iCs/>
        </w:rPr>
        <w:t xml:space="preserve"> is </w:t>
      </w:r>
      <w:proofErr w:type="spellStart"/>
      <w:r w:rsidR="00364184" w:rsidRPr="00364184">
        <w:rPr>
          <w:i/>
          <w:iCs/>
        </w:rPr>
        <w:t>Familiar</w:t>
      </w:r>
      <w:proofErr w:type="spellEnd"/>
      <w:r w:rsidR="00364184" w:rsidRPr="00364184">
        <w:rPr>
          <w:i/>
          <w:iCs/>
        </w:rPr>
        <w:t xml:space="preserve"> </w:t>
      </w:r>
      <w:proofErr w:type="spellStart"/>
      <w:r w:rsidR="00364184" w:rsidRPr="00364184">
        <w:rPr>
          <w:i/>
          <w:iCs/>
        </w:rPr>
        <w:t>Face</w:t>
      </w:r>
      <w:proofErr w:type="spellEnd"/>
      <w:r w:rsidR="00364184" w:rsidRPr="00364184">
        <w:rPr>
          <w:i/>
          <w:iCs/>
        </w:rPr>
        <w:t xml:space="preserve"> </w:t>
      </w:r>
      <w:proofErr w:type="spellStart"/>
      <w:r w:rsidR="00364184" w:rsidRPr="00364184">
        <w:rPr>
          <w:i/>
          <w:iCs/>
        </w:rPr>
        <w:t>to</w:t>
      </w:r>
      <w:proofErr w:type="spellEnd"/>
      <w:r w:rsidR="00364184" w:rsidRPr="00364184">
        <w:rPr>
          <w:i/>
          <w:iCs/>
        </w:rPr>
        <w:t xml:space="preserve"> </w:t>
      </w:r>
      <w:proofErr w:type="spellStart"/>
      <w:r w:rsidR="00364184" w:rsidRPr="00364184">
        <w:rPr>
          <w:i/>
          <w:iCs/>
        </w:rPr>
        <w:t>Justices</w:t>
      </w:r>
      <w:proofErr w:type="spellEnd"/>
      <w:r w:rsidR="00364184" w:rsidRPr="00364184">
        <w:t xml:space="preserve">, </w:t>
      </w:r>
      <w:r w:rsidR="00364184" w:rsidRPr="00364184">
        <w:rPr>
          <w:i/>
          <w:iCs/>
        </w:rPr>
        <w:t>N.Y. Times</w:t>
      </w:r>
      <w:r w:rsidR="00364184" w:rsidRPr="00364184">
        <w:t xml:space="preserve">, 27 Ekim 2011, s. A1 (sağlık yasasına karşı dava açan avukat Paul </w:t>
      </w:r>
      <w:proofErr w:type="spellStart"/>
      <w:r w:rsidR="00364184" w:rsidRPr="00364184">
        <w:t>Clement’in</w:t>
      </w:r>
      <w:proofErr w:type="spellEnd"/>
      <w:r w:rsidR="00364184" w:rsidRPr="00364184">
        <w:t>, Başkan George W. Bush döneminde Başsavcı olarak görev yaptığını ve dava geçmişinin “Cumhuriyetçi Parti platformunu” yansıttığını açıklayan haber).</w:t>
      </w:r>
    </w:p>
  </w:footnote>
  <w:footnote w:id="141">
    <w:p w14:paraId="1A315ACC" w14:textId="39F2E040" w:rsidR="00364184" w:rsidRPr="00364184" w:rsidRDefault="00364184" w:rsidP="00364184">
      <w:pPr>
        <w:pStyle w:val="Dipnot"/>
        <w:rPr>
          <w:lang w:val="en-US"/>
        </w:rPr>
      </w:pPr>
      <w:r>
        <w:rPr>
          <w:rStyle w:val="FootnoteReference"/>
        </w:rPr>
        <w:footnoteRef/>
      </w:r>
      <w:r>
        <w:t xml:space="preserve"> </w:t>
      </w:r>
      <w:r>
        <w:tab/>
      </w:r>
      <w:r w:rsidRPr="00364184">
        <w:t xml:space="preserve">141 </w:t>
      </w:r>
      <w:r w:rsidRPr="00364184">
        <w:rPr>
          <w:i/>
          <w:iCs/>
        </w:rPr>
        <w:t xml:space="preserve">Bkz. </w:t>
      </w:r>
      <w:proofErr w:type="spellStart"/>
      <w:r w:rsidRPr="00364184">
        <w:rPr>
          <w:i/>
          <w:iCs/>
        </w:rPr>
        <w:t>örn</w:t>
      </w:r>
      <w:proofErr w:type="spellEnd"/>
      <w:r w:rsidRPr="00364184">
        <w:rPr>
          <w:i/>
          <w:iCs/>
        </w:rPr>
        <w:t>.</w:t>
      </w:r>
      <w:r w:rsidRPr="00364184">
        <w:t xml:space="preserve">, </w:t>
      </w:r>
      <w:r w:rsidRPr="00364184">
        <w:rPr>
          <w:i/>
          <w:iCs/>
        </w:rPr>
        <w:t>Seven-</w:t>
      </w:r>
      <w:proofErr w:type="spellStart"/>
      <w:r w:rsidRPr="00364184">
        <w:rPr>
          <w:i/>
          <w:iCs/>
        </w:rPr>
        <w:t>Sky</w:t>
      </w:r>
      <w:proofErr w:type="spellEnd"/>
      <w:r w:rsidRPr="00364184">
        <w:rPr>
          <w:i/>
          <w:iCs/>
        </w:rPr>
        <w:t xml:space="preserve"> v. </w:t>
      </w:r>
      <w:proofErr w:type="spellStart"/>
      <w:r w:rsidRPr="00364184">
        <w:rPr>
          <w:i/>
          <w:iCs/>
        </w:rPr>
        <w:t>Holder</w:t>
      </w:r>
      <w:proofErr w:type="spellEnd"/>
      <w:r w:rsidRPr="00364184">
        <w:t xml:space="preserve">, 661 F.3d 1 (D.C. </w:t>
      </w:r>
      <w:proofErr w:type="spellStart"/>
      <w:r w:rsidRPr="00364184">
        <w:t>Cir</w:t>
      </w:r>
      <w:proofErr w:type="spellEnd"/>
      <w:r w:rsidRPr="00364184">
        <w:t xml:space="preserve">. 2011) (Yargıç </w:t>
      </w:r>
      <w:proofErr w:type="spellStart"/>
      <w:r w:rsidRPr="00364184">
        <w:t>Silberman</w:t>
      </w:r>
      <w:proofErr w:type="spellEnd"/>
      <w:r w:rsidRPr="00364184">
        <w:t xml:space="preserve">, Bireysel Sağlık Sigortası </w:t>
      </w:r>
      <w:proofErr w:type="spellStart"/>
      <w:r w:rsidRPr="00364184">
        <w:t>Zorunluluğu’nun</w:t>
      </w:r>
      <w:proofErr w:type="spellEnd"/>
      <w:r w:rsidRPr="00364184">
        <w:t xml:space="preserve"> Anayasa’ya uygun olduğu yönünde oy kullanmıştır); </w:t>
      </w:r>
      <w:r w:rsidRPr="00364184">
        <w:rPr>
          <w:i/>
          <w:iCs/>
        </w:rPr>
        <w:t xml:space="preserve">Thomas </w:t>
      </w:r>
      <w:proofErr w:type="spellStart"/>
      <w:r w:rsidRPr="00364184">
        <w:rPr>
          <w:i/>
          <w:iCs/>
        </w:rPr>
        <w:t>More</w:t>
      </w:r>
      <w:proofErr w:type="spellEnd"/>
      <w:r w:rsidRPr="00364184">
        <w:rPr>
          <w:i/>
          <w:iCs/>
        </w:rPr>
        <w:t xml:space="preserve"> </w:t>
      </w:r>
      <w:proofErr w:type="spellStart"/>
      <w:r w:rsidRPr="00364184">
        <w:rPr>
          <w:i/>
          <w:iCs/>
        </w:rPr>
        <w:t>Law</w:t>
      </w:r>
      <w:proofErr w:type="spellEnd"/>
      <w:r w:rsidRPr="00364184">
        <w:rPr>
          <w:i/>
          <w:iCs/>
        </w:rPr>
        <w:t xml:space="preserve"> </w:t>
      </w:r>
      <w:proofErr w:type="spellStart"/>
      <w:r w:rsidRPr="00364184">
        <w:rPr>
          <w:i/>
          <w:iCs/>
        </w:rPr>
        <w:t>Ctr</w:t>
      </w:r>
      <w:proofErr w:type="spellEnd"/>
      <w:r w:rsidRPr="00364184">
        <w:rPr>
          <w:i/>
          <w:iCs/>
        </w:rPr>
        <w:t>. v. Obama</w:t>
      </w:r>
      <w:r w:rsidRPr="00364184">
        <w:t xml:space="preserve">, 651 F.3d 529, 558 (6th </w:t>
      </w:r>
      <w:proofErr w:type="spellStart"/>
      <w:r w:rsidRPr="00364184">
        <w:t>Cir</w:t>
      </w:r>
      <w:proofErr w:type="spellEnd"/>
      <w:r w:rsidRPr="00364184">
        <w:t xml:space="preserve">. 2011) (Yargıç </w:t>
      </w:r>
      <w:proofErr w:type="spellStart"/>
      <w:r w:rsidRPr="00364184">
        <w:t>Sutton</w:t>
      </w:r>
      <w:proofErr w:type="spellEnd"/>
      <w:r w:rsidRPr="00364184">
        <w:t>, aynı yönde oy kullanarak çoğunluk görüşüne katılmıştır).</w:t>
      </w:r>
    </w:p>
  </w:footnote>
  <w:footnote w:id="142">
    <w:p w14:paraId="71119C27" w14:textId="6F8F4C74" w:rsidR="00364184" w:rsidRPr="00364184" w:rsidRDefault="00364184" w:rsidP="00364184">
      <w:pPr>
        <w:pStyle w:val="Dipnot"/>
        <w:rPr>
          <w:lang w:val="en-US"/>
        </w:rPr>
      </w:pPr>
      <w:r>
        <w:rPr>
          <w:rStyle w:val="FootnoteReference"/>
        </w:rPr>
        <w:footnoteRef/>
      </w:r>
      <w:r>
        <w:t xml:space="preserve"> </w:t>
      </w:r>
      <w:r>
        <w:tab/>
      </w:r>
      <w:r w:rsidRPr="00364184">
        <w:rPr>
          <w:lang w:val="en-US"/>
        </w:rPr>
        <w:t xml:space="preserve">142 </w:t>
      </w:r>
      <w:proofErr w:type="spellStart"/>
      <w:r w:rsidRPr="00364184">
        <w:rPr>
          <w:i/>
          <w:iCs/>
          <w:lang w:val="en-US"/>
        </w:rPr>
        <w:t>Bkz</w:t>
      </w:r>
      <w:proofErr w:type="spellEnd"/>
      <w:r w:rsidRPr="00364184">
        <w:rPr>
          <w:i/>
          <w:iCs/>
          <w:lang w:val="en-US"/>
        </w:rPr>
        <w:t xml:space="preserve">. </w:t>
      </w:r>
      <w:proofErr w:type="spellStart"/>
      <w:r w:rsidRPr="00364184">
        <w:rPr>
          <w:i/>
          <w:iCs/>
          <w:lang w:val="en-US"/>
        </w:rPr>
        <w:t>örn</w:t>
      </w:r>
      <w:proofErr w:type="spellEnd"/>
      <w:r w:rsidRPr="00364184">
        <w:rPr>
          <w:i/>
          <w:iCs/>
          <w:lang w:val="en-US"/>
        </w:rPr>
        <w:t>.</w:t>
      </w:r>
      <w:r w:rsidRPr="00364184">
        <w:rPr>
          <w:lang w:val="en-US"/>
        </w:rPr>
        <w:t xml:space="preserve">, Josh Blackman, </w:t>
      </w:r>
      <w:r w:rsidRPr="00364184">
        <w:rPr>
          <w:i/>
          <w:iCs/>
          <w:lang w:val="en-US"/>
        </w:rPr>
        <w:t>Unprecedented: The Constitutional Challenge to Obamacare</w:t>
      </w:r>
      <w:r w:rsidRPr="00364184">
        <w:rPr>
          <w:lang w:val="en-US"/>
        </w:rPr>
        <w:t xml:space="preserve"> 220–27 (2013); Jack M. Balkin, </w:t>
      </w:r>
      <w:r w:rsidRPr="00364184">
        <w:rPr>
          <w:i/>
          <w:iCs/>
          <w:lang w:val="en-US"/>
        </w:rPr>
        <w:t>From Off the Wall to On the Wall: How the Mandate Challenge Went Mainstream</w:t>
      </w:r>
      <w:r w:rsidRPr="00364184">
        <w:rPr>
          <w:lang w:val="en-US"/>
        </w:rPr>
        <w:t xml:space="preserve">, </w:t>
      </w:r>
      <w:r w:rsidRPr="00364184">
        <w:rPr>
          <w:i/>
          <w:iCs/>
          <w:lang w:val="en-US"/>
        </w:rPr>
        <w:t>The Atlantic</w:t>
      </w:r>
      <w:r w:rsidRPr="00364184">
        <w:rPr>
          <w:lang w:val="en-US"/>
        </w:rPr>
        <w:t xml:space="preserve"> (4 Haziran 2012), </w:t>
      </w:r>
      <w:hyperlink r:id="rId10" w:history="1">
        <w:r w:rsidRPr="00364184">
          <w:rPr>
            <w:rStyle w:val="Hyperlink"/>
            <w:lang w:val="en-US"/>
          </w:rPr>
          <w:t>http://www.theatlantic.com/national/archive/2012/06/from-off-the-wall-to-on-the-wall-how-the-mandate-challenge-went-mainstream/258040/</w:t>
        </w:r>
      </w:hyperlink>
      <w:r w:rsidRPr="00364184">
        <w:rPr>
          <w:lang w:val="en-US"/>
        </w:rPr>
        <w:t xml:space="preserve">. </w:t>
      </w:r>
      <w:proofErr w:type="spellStart"/>
      <w:r w:rsidRPr="00364184">
        <w:rPr>
          <w:i/>
          <w:iCs/>
          <w:lang w:val="en-US"/>
        </w:rPr>
        <w:t>Karş</w:t>
      </w:r>
      <w:proofErr w:type="spellEnd"/>
      <w:r w:rsidRPr="00364184">
        <w:rPr>
          <w:i/>
          <w:iCs/>
          <w:lang w:val="en-US"/>
        </w:rPr>
        <w:t>.</w:t>
      </w:r>
      <w:r w:rsidRPr="00364184">
        <w:rPr>
          <w:lang w:val="en-US"/>
        </w:rPr>
        <w:t xml:space="preserve"> Randy E. Barnett </w:t>
      </w:r>
      <w:proofErr w:type="spellStart"/>
      <w:r w:rsidRPr="00364184">
        <w:rPr>
          <w:lang w:val="en-US"/>
        </w:rPr>
        <w:t>ve</w:t>
      </w:r>
      <w:proofErr w:type="spellEnd"/>
      <w:r w:rsidRPr="00364184">
        <w:rPr>
          <w:lang w:val="en-US"/>
        </w:rPr>
        <w:t xml:space="preserve"> </w:t>
      </w:r>
      <w:proofErr w:type="spellStart"/>
      <w:r w:rsidRPr="00364184">
        <w:rPr>
          <w:lang w:val="en-US"/>
        </w:rPr>
        <w:t>diğerleri</w:t>
      </w:r>
      <w:proofErr w:type="spellEnd"/>
      <w:r w:rsidRPr="00364184">
        <w:rPr>
          <w:lang w:val="en-US"/>
        </w:rPr>
        <w:t xml:space="preserve">, </w:t>
      </w:r>
      <w:r w:rsidRPr="00364184">
        <w:rPr>
          <w:i/>
          <w:iCs/>
          <w:lang w:val="en-US"/>
        </w:rPr>
        <w:t>A Conspiracy Against Obamacare: The Volokh Conspiracy and the Health Care Case</w:t>
      </w:r>
      <w:r w:rsidRPr="00364184">
        <w:rPr>
          <w:lang w:val="en-US"/>
        </w:rPr>
        <w:t xml:space="preserve"> (2013) (</w:t>
      </w:r>
      <w:proofErr w:type="spellStart"/>
      <w:r w:rsidRPr="00364184">
        <w:rPr>
          <w:lang w:val="en-US"/>
        </w:rPr>
        <w:t>yasanın</w:t>
      </w:r>
      <w:proofErr w:type="spellEnd"/>
      <w:r w:rsidRPr="00364184">
        <w:rPr>
          <w:lang w:val="en-US"/>
        </w:rPr>
        <w:t xml:space="preserve"> </w:t>
      </w:r>
      <w:proofErr w:type="spellStart"/>
      <w:r w:rsidRPr="00364184">
        <w:rPr>
          <w:lang w:val="en-US"/>
        </w:rPr>
        <w:t>karşıtları</w:t>
      </w:r>
      <w:proofErr w:type="spellEnd"/>
      <w:r w:rsidRPr="00364184">
        <w:rPr>
          <w:lang w:val="en-US"/>
        </w:rPr>
        <w:t xml:space="preserve"> </w:t>
      </w:r>
      <w:proofErr w:type="spellStart"/>
      <w:r w:rsidRPr="00364184">
        <w:rPr>
          <w:lang w:val="en-US"/>
        </w:rPr>
        <w:t>tarafından</w:t>
      </w:r>
      <w:proofErr w:type="spellEnd"/>
      <w:r w:rsidRPr="00364184">
        <w:rPr>
          <w:lang w:val="en-US"/>
        </w:rPr>
        <w:t xml:space="preserve"> </w:t>
      </w:r>
      <w:proofErr w:type="spellStart"/>
      <w:r w:rsidRPr="00364184">
        <w:rPr>
          <w:lang w:val="en-US"/>
        </w:rPr>
        <w:t>öne</w:t>
      </w:r>
      <w:proofErr w:type="spellEnd"/>
      <w:r w:rsidRPr="00364184">
        <w:rPr>
          <w:lang w:val="en-US"/>
        </w:rPr>
        <w:t xml:space="preserve"> </w:t>
      </w:r>
      <w:proofErr w:type="spellStart"/>
      <w:r w:rsidRPr="00364184">
        <w:rPr>
          <w:lang w:val="en-US"/>
        </w:rPr>
        <w:t>sürülen</w:t>
      </w:r>
      <w:proofErr w:type="spellEnd"/>
      <w:r w:rsidRPr="00364184">
        <w:rPr>
          <w:lang w:val="en-US"/>
        </w:rPr>
        <w:t xml:space="preserve"> </w:t>
      </w:r>
      <w:proofErr w:type="spellStart"/>
      <w:r w:rsidRPr="00364184">
        <w:rPr>
          <w:lang w:val="en-US"/>
        </w:rPr>
        <w:t>iddiaları</w:t>
      </w:r>
      <w:proofErr w:type="spellEnd"/>
      <w:r w:rsidRPr="00364184">
        <w:rPr>
          <w:lang w:val="en-US"/>
        </w:rPr>
        <w:t xml:space="preserve"> </w:t>
      </w:r>
      <w:proofErr w:type="spellStart"/>
      <w:r w:rsidRPr="00364184">
        <w:rPr>
          <w:lang w:val="en-US"/>
        </w:rPr>
        <w:t>geliştiren</w:t>
      </w:r>
      <w:proofErr w:type="spellEnd"/>
      <w:r w:rsidRPr="00364184">
        <w:rPr>
          <w:lang w:val="en-US"/>
        </w:rPr>
        <w:t xml:space="preserve"> </w:t>
      </w:r>
      <w:proofErr w:type="spellStart"/>
      <w:r w:rsidRPr="00364184">
        <w:rPr>
          <w:lang w:val="en-US"/>
        </w:rPr>
        <w:t>ve</w:t>
      </w:r>
      <w:proofErr w:type="spellEnd"/>
      <w:r w:rsidRPr="00364184">
        <w:rPr>
          <w:lang w:val="en-US"/>
        </w:rPr>
        <w:t xml:space="preserve"> </w:t>
      </w:r>
      <w:proofErr w:type="spellStart"/>
      <w:r w:rsidRPr="00364184">
        <w:rPr>
          <w:lang w:val="en-US"/>
        </w:rPr>
        <w:t>popülerleştiren</w:t>
      </w:r>
      <w:proofErr w:type="spellEnd"/>
      <w:r w:rsidRPr="00364184">
        <w:rPr>
          <w:lang w:val="en-US"/>
        </w:rPr>
        <w:t xml:space="preserve"> blog </w:t>
      </w:r>
      <w:proofErr w:type="spellStart"/>
      <w:r w:rsidRPr="00364184">
        <w:rPr>
          <w:lang w:val="en-US"/>
        </w:rPr>
        <w:t>yazılarının</w:t>
      </w:r>
      <w:proofErr w:type="spellEnd"/>
      <w:r w:rsidRPr="00364184">
        <w:rPr>
          <w:lang w:val="en-US"/>
        </w:rPr>
        <w:t xml:space="preserve"> </w:t>
      </w:r>
      <w:proofErr w:type="spellStart"/>
      <w:r w:rsidRPr="00364184">
        <w:rPr>
          <w:lang w:val="en-US"/>
        </w:rPr>
        <w:t>derlemesi</w:t>
      </w:r>
      <w:proofErr w:type="spellEnd"/>
      <w:r w:rsidRPr="00364184">
        <w:rPr>
          <w:lang w:val="en-US"/>
        </w:rPr>
        <w:t>).</w:t>
      </w:r>
      <w:r w:rsidRPr="00364184">
        <w:rPr>
          <w:lang w:val="en-US"/>
        </w:rPr>
        <w:t xml:space="preserve"> </w:t>
      </w:r>
      <w:r w:rsidRPr="00364184">
        <w:rPr>
          <w:lang w:val="en-US"/>
        </w:rPr>
        <w:t xml:space="preserve">Sağlık </w:t>
      </w:r>
      <w:proofErr w:type="spellStart"/>
      <w:r w:rsidRPr="00364184">
        <w:rPr>
          <w:lang w:val="en-US"/>
        </w:rPr>
        <w:t>yasasını</w:t>
      </w:r>
      <w:proofErr w:type="spellEnd"/>
      <w:r w:rsidRPr="00364184">
        <w:rPr>
          <w:lang w:val="en-US"/>
        </w:rPr>
        <w:t xml:space="preserve"> </w:t>
      </w:r>
      <w:proofErr w:type="spellStart"/>
      <w:r w:rsidRPr="00364184">
        <w:rPr>
          <w:lang w:val="en-US"/>
        </w:rPr>
        <w:t>hukuki</w:t>
      </w:r>
      <w:proofErr w:type="spellEnd"/>
      <w:r w:rsidRPr="00364184">
        <w:rPr>
          <w:lang w:val="en-US"/>
        </w:rPr>
        <w:t xml:space="preserve"> </w:t>
      </w:r>
      <w:proofErr w:type="spellStart"/>
      <w:r w:rsidRPr="00364184">
        <w:rPr>
          <w:lang w:val="en-US"/>
        </w:rPr>
        <w:t>yollarla</w:t>
      </w:r>
      <w:proofErr w:type="spellEnd"/>
      <w:r w:rsidRPr="00364184">
        <w:rPr>
          <w:lang w:val="en-US"/>
        </w:rPr>
        <w:t xml:space="preserve"> </w:t>
      </w:r>
      <w:proofErr w:type="spellStart"/>
      <w:r w:rsidRPr="00364184">
        <w:rPr>
          <w:lang w:val="en-US"/>
        </w:rPr>
        <w:t>zayıflatma</w:t>
      </w:r>
      <w:proofErr w:type="spellEnd"/>
      <w:r w:rsidRPr="00364184">
        <w:rPr>
          <w:lang w:val="en-US"/>
        </w:rPr>
        <w:t xml:space="preserve"> </w:t>
      </w:r>
      <w:proofErr w:type="spellStart"/>
      <w:r w:rsidRPr="00364184">
        <w:rPr>
          <w:lang w:val="en-US"/>
        </w:rPr>
        <w:t>veya</w:t>
      </w:r>
      <w:proofErr w:type="spellEnd"/>
      <w:r w:rsidRPr="00364184">
        <w:rPr>
          <w:lang w:val="en-US"/>
        </w:rPr>
        <w:t xml:space="preserve"> </w:t>
      </w:r>
      <w:proofErr w:type="spellStart"/>
      <w:r w:rsidRPr="00364184">
        <w:rPr>
          <w:lang w:val="en-US"/>
        </w:rPr>
        <w:t>yürürlükten</w:t>
      </w:r>
      <w:proofErr w:type="spellEnd"/>
      <w:r w:rsidRPr="00364184">
        <w:rPr>
          <w:lang w:val="en-US"/>
        </w:rPr>
        <w:t xml:space="preserve"> </w:t>
      </w:r>
      <w:proofErr w:type="spellStart"/>
      <w:r w:rsidRPr="00364184">
        <w:rPr>
          <w:lang w:val="en-US"/>
        </w:rPr>
        <w:t>kaldırma</w:t>
      </w:r>
      <w:proofErr w:type="spellEnd"/>
      <w:r w:rsidRPr="00364184">
        <w:rPr>
          <w:lang w:val="en-US"/>
        </w:rPr>
        <w:t xml:space="preserve"> </w:t>
      </w:r>
      <w:proofErr w:type="spellStart"/>
      <w:r w:rsidRPr="00364184">
        <w:rPr>
          <w:lang w:val="en-US"/>
        </w:rPr>
        <w:t>çabalarının</w:t>
      </w:r>
      <w:proofErr w:type="spellEnd"/>
      <w:r w:rsidRPr="00364184">
        <w:rPr>
          <w:lang w:val="en-US"/>
        </w:rPr>
        <w:t xml:space="preserve"> NFIB </w:t>
      </w:r>
      <w:proofErr w:type="spellStart"/>
      <w:r w:rsidRPr="00364184">
        <w:rPr>
          <w:lang w:val="en-US"/>
        </w:rPr>
        <w:t>kararından</w:t>
      </w:r>
      <w:proofErr w:type="spellEnd"/>
      <w:r w:rsidRPr="00364184">
        <w:rPr>
          <w:lang w:val="en-US"/>
        </w:rPr>
        <w:t xml:space="preserve"> </w:t>
      </w:r>
      <w:proofErr w:type="spellStart"/>
      <w:r w:rsidRPr="00364184">
        <w:rPr>
          <w:lang w:val="en-US"/>
        </w:rPr>
        <w:t>sonra</w:t>
      </w:r>
      <w:proofErr w:type="spellEnd"/>
      <w:r w:rsidRPr="00364184">
        <w:rPr>
          <w:lang w:val="en-US"/>
        </w:rPr>
        <w:t xml:space="preserve"> da </w:t>
      </w:r>
      <w:proofErr w:type="spellStart"/>
      <w:r w:rsidRPr="00364184">
        <w:rPr>
          <w:lang w:val="en-US"/>
        </w:rPr>
        <w:t>devam</w:t>
      </w:r>
      <w:proofErr w:type="spellEnd"/>
      <w:r w:rsidRPr="00364184">
        <w:rPr>
          <w:lang w:val="en-US"/>
        </w:rPr>
        <w:t xml:space="preserve"> </w:t>
      </w:r>
      <w:proofErr w:type="spellStart"/>
      <w:r w:rsidRPr="00364184">
        <w:rPr>
          <w:lang w:val="en-US"/>
        </w:rPr>
        <w:t>ettiği</w:t>
      </w:r>
      <w:proofErr w:type="spellEnd"/>
      <w:r w:rsidRPr="00364184">
        <w:rPr>
          <w:lang w:val="en-US"/>
        </w:rPr>
        <w:t xml:space="preserve"> </w:t>
      </w:r>
      <w:proofErr w:type="spellStart"/>
      <w:r w:rsidRPr="00364184">
        <w:rPr>
          <w:lang w:val="en-US"/>
        </w:rPr>
        <w:t>belirtilmelidir</w:t>
      </w:r>
      <w:proofErr w:type="spellEnd"/>
      <w:r w:rsidRPr="00364184">
        <w:rPr>
          <w:lang w:val="en-US"/>
        </w:rPr>
        <w:t xml:space="preserve">. </w:t>
      </w:r>
      <w:proofErr w:type="spellStart"/>
      <w:r w:rsidRPr="00364184">
        <w:rPr>
          <w:i/>
          <w:iCs/>
          <w:lang w:val="en-US"/>
        </w:rPr>
        <w:t>Bkz</w:t>
      </w:r>
      <w:proofErr w:type="spellEnd"/>
      <w:r w:rsidRPr="00364184">
        <w:rPr>
          <w:i/>
          <w:iCs/>
          <w:lang w:val="en-US"/>
        </w:rPr>
        <w:t>.</w:t>
      </w:r>
      <w:r w:rsidRPr="00364184">
        <w:rPr>
          <w:lang w:val="en-US"/>
        </w:rPr>
        <w:t xml:space="preserve"> </w:t>
      </w:r>
      <w:r w:rsidRPr="00364184">
        <w:rPr>
          <w:i/>
          <w:iCs/>
          <w:lang w:val="en-US"/>
        </w:rPr>
        <w:t>King v. Burwell</w:t>
      </w:r>
      <w:r w:rsidRPr="00364184">
        <w:rPr>
          <w:lang w:val="en-US"/>
        </w:rPr>
        <w:t>, 135 S. Ct. 2480, 2485 (2015) (</w:t>
      </w:r>
      <w:proofErr w:type="spellStart"/>
      <w:r w:rsidRPr="00364184">
        <w:rPr>
          <w:lang w:val="en-US"/>
        </w:rPr>
        <w:t>yasanın</w:t>
      </w:r>
      <w:proofErr w:type="spellEnd"/>
      <w:r w:rsidRPr="00364184">
        <w:rPr>
          <w:lang w:val="en-US"/>
        </w:rPr>
        <w:t xml:space="preserve"> </w:t>
      </w:r>
      <w:proofErr w:type="spellStart"/>
      <w:r w:rsidRPr="00364184">
        <w:rPr>
          <w:lang w:val="en-US"/>
        </w:rPr>
        <w:t>temel</w:t>
      </w:r>
      <w:proofErr w:type="spellEnd"/>
      <w:r w:rsidRPr="00364184">
        <w:rPr>
          <w:lang w:val="en-US"/>
        </w:rPr>
        <w:t xml:space="preserve"> </w:t>
      </w:r>
      <w:proofErr w:type="spellStart"/>
      <w:r w:rsidRPr="00364184">
        <w:rPr>
          <w:lang w:val="en-US"/>
        </w:rPr>
        <w:t>bir</w:t>
      </w:r>
      <w:proofErr w:type="spellEnd"/>
      <w:r w:rsidRPr="00364184">
        <w:rPr>
          <w:lang w:val="en-US"/>
        </w:rPr>
        <w:t xml:space="preserve"> </w:t>
      </w:r>
      <w:proofErr w:type="spellStart"/>
      <w:r w:rsidRPr="00364184">
        <w:rPr>
          <w:lang w:val="en-US"/>
        </w:rPr>
        <w:t>hükmüne</w:t>
      </w:r>
      <w:proofErr w:type="spellEnd"/>
      <w:r w:rsidRPr="00364184">
        <w:rPr>
          <w:lang w:val="en-US"/>
        </w:rPr>
        <w:t xml:space="preserve"> </w:t>
      </w:r>
      <w:proofErr w:type="spellStart"/>
      <w:r w:rsidRPr="00364184">
        <w:rPr>
          <w:lang w:val="en-US"/>
        </w:rPr>
        <w:t>yönelik</w:t>
      </w:r>
      <w:proofErr w:type="spellEnd"/>
      <w:r w:rsidRPr="00364184">
        <w:rPr>
          <w:lang w:val="en-US"/>
        </w:rPr>
        <w:t xml:space="preserve"> </w:t>
      </w:r>
      <w:proofErr w:type="spellStart"/>
      <w:r w:rsidRPr="00364184">
        <w:rPr>
          <w:lang w:val="en-US"/>
        </w:rPr>
        <w:t>yasal</w:t>
      </w:r>
      <w:proofErr w:type="spellEnd"/>
      <w:r w:rsidRPr="00364184">
        <w:rPr>
          <w:lang w:val="en-US"/>
        </w:rPr>
        <w:t xml:space="preserve"> </w:t>
      </w:r>
      <w:proofErr w:type="spellStart"/>
      <w:r w:rsidRPr="00364184">
        <w:rPr>
          <w:lang w:val="en-US"/>
        </w:rPr>
        <w:t>itirazı</w:t>
      </w:r>
      <w:proofErr w:type="spellEnd"/>
      <w:r w:rsidRPr="00364184">
        <w:rPr>
          <w:lang w:val="en-US"/>
        </w:rPr>
        <w:t xml:space="preserve"> </w:t>
      </w:r>
      <w:proofErr w:type="spellStart"/>
      <w:r w:rsidRPr="00364184">
        <w:rPr>
          <w:lang w:val="en-US"/>
        </w:rPr>
        <w:t>reddeden</w:t>
      </w:r>
      <w:proofErr w:type="spellEnd"/>
      <w:r w:rsidRPr="00364184">
        <w:rPr>
          <w:lang w:val="en-US"/>
        </w:rPr>
        <w:t xml:space="preserve"> </w:t>
      </w:r>
      <w:proofErr w:type="spellStart"/>
      <w:r w:rsidRPr="00364184">
        <w:rPr>
          <w:lang w:val="en-US"/>
        </w:rPr>
        <w:t>karar</w:t>
      </w:r>
      <w:proofErr w:type="spellEnd"/>
      <w:r w:rsidRPr="00364184">
        <w:rPr>
          <w:lang w:val="en-US"/>
        </w:rPr>
        <w:t xml:space="preserve">); </w:t>
      </w:r>
      <w:r w:rsidRPr="00364184">
        <w:rPr>
          <w:i/>
          <w:iCs/>
          <w:lang w:val="en-US"/>
        </w:rPr>
        <w:t>Burwell v. Hobby Lobby Stores, Inc.</w:t>
      </w:r>
      <w:r w:rsidRPr="00364184">
        <w:rPr>
          <w:lang w:val="en-US"/>
        </w:rPr>
        <w:t>, 134 S. Ct. 2751, 2759 (2014) (</w:t>
      </w:r>
      <w:proofErr w:type="spellStart"/>
      <w:r w:rsidRPr="00364184">
        <w:rPr>
          <w:lang w:val="en-US"/>
        </w:rPr>
        <w:t>bazı</w:t>
      </w:r>
      <w:proofErr w:type="spellEnd"/>
      <w:r w:rsidRPr="00364184">
        <w:rPr>
          <w:lang w:val="en-US"/>
        </w:rPr>
        <w:t xml:space="preserve"> </w:t>
      </w:r>
      <w:proofErr w:type="spellStart"/>
      <w:r w:rsidRPr="00364184">
        <w:rPr>
          <w:lang w:val="en-US"/>
        </w:rPr>
        <w:t>şirketlerin</w:t>
      </w:r>
      <w:proofErr w:type="spellEnd"/>
      <w:r w:rsidRPr="00364184">
        <w:rPr>
          <w:lang w:val="en-US"/>
        </w:rPr>
        <w:t xml:space="preserve">, </w:t>
      </w:r>
      <w:proofErr w:type="spellStart"/>
      <w:r w:rsidRPr="00364184">
        <w:rPr>
          <w:lang w:val="en-US"/>
        </w:rPr>
        <w:t>yasanın</w:t>
      </w:r>
      <w:proofErr w:type="spellEnd"/>
      <w:r w:rsidRPr="00364184">
        <w:rPr>
          <w:lang w:val="en-US"/>
        </w:rPr>
        <w:t xml:space="preserve"> </w:t>
      </w:r>
      <w:proofErr w:type="spellStart"/>
      <w:r w:rsidRPr="00364184">
        <w:rPr>
          <w:lang w:val="en-US"/>
        </w:rPr>
        <w:t>belirli</w:t>
      </w:r>
      <w:proofErr w:type="spellEnd"/>
      <w:r w:rsidRPr="00364184">
        <w:rPr>
          <w:lang w:val="en-US"/>
        </w:rPr>
        <w:t xml:space="preserve"> </w:t>
      </w:r>
      <w:proofErr w:type="spellStart"/>
      <w:r w:rsidRPr="00364184">
        <w:rPr>
          <w:lang w:val="en-US"/>
        </w:rPr>
        <w:t>hükümlerinden</w:t>
      </w:r>
      <w:proofErr w:type="spellEnd"/>
      <w:r w:rsidRPr="00364184">
        <w:rPr>
          <w:lang w:val="en-US"/>
        </w:rPr>
        <w:t xml:space="preserve"> </w:t>
      </w:r>
      <w:proofErr w:type="spellStart"/>
      <w:r w:rsidRPr="00364184">
        <w:rPr>
          <w:lang w:val="en-US"/>
        </w:rPr>
        <w:t>dini</w:t>
      </w:r>
      <w:proofErr w:type="spellEnd"/>
      <w:r w:rsidRPr="00364184">
        <w:rPr>
          <w:lang w:val="en-US"/>
        </w:rPr>
        <w:t xml:space="preserve"> </w:t>
      </w:r>
      <w:proofErr w:type="spellStart"/>
      <w:r w:rsidRPr="00364184">
        <w:rPr>
          <w:lang w:val="en-US"/>
        </w:rPr>
        <w:t>muafiyet</w:t>
      </w:r>
      <w:proofErr w:type="spellEnd"/>
      <w:r w:rsidRPr="00364184">
        <w:rPr>
          <w:lang w:val="en-US"/>
        </w:rPr>
        <w:t xml:space="preserve"> </w:t>
      </w:r>
      <w:proofErr w:type="spellStart"/>
      <w:r w:rsidRPr="00364184">
        <w:rPr>
          <w:lang w:val="en-US"/>
        </w:rPr>
        <w:t>talep</w:t>
      </w:r>
      <w:proofErr w:type="spellEnd"/>
      <w:r w:rsidRPr="00364184">
        <w:rPr>
          <w:lang w:val="en-US"/>
        </w:rPr>
        <w:t xml:space="preserve"> </w:t>
      </w:r>
      <w:proofErr w:type="spellStart"/>
      <w:r w:rsidRPr="00364184">
        <w:rPr>
          <w:lang w:val="en-US"/>
        </w:rPr>
        <w:t>edebileceğine</w:t>
      </w:r>
      <w:proofErr w:type="spellEnd"/>
      <w:r w:rsidRPr="00364184">
        <w:rPr>
          <w:lang w:val="en-US"/>
        </w:rPr>
        <w:t xml:space="preserve"> </w:t>
      </w:r>
      <w:proofErr w:type="spellStart"/>
      <w:r w:rsidRPr="00364184">
        <w:rPr>
          <w:lang w:val="en-US"/>
        </w:rPr>
        <w:t>hükmeden</w:t>
      </w:r>
      <w:proofErr w:type="spellEnd"/>
      <w:r w:rsidRPr="00364184">
        <w:rPr>
          <w:lang w:val="en-US"/>
        </w:rPr>
        <w:t xml:space="preserve"> </w:t>
      </w:r>
      <w:proofErr w:type="spellStart"/>
      <w:r w:rsidRPr="00364184">
        <w:rPr>
          <w:lang w:val="en-US"/>
        </w:rPr>
        <w:t>karar</w:t>
      </w:r>
      <w:proofErr w:type="spellEnd"/>
      <w:r w:rsidRPr="00364184">
        <w:rPr>
          <w:lang w:val="en-US"/>
        </w:rPr>
        <w:t>).</w:t>
      </w:r>
    </w:p>
    <w:p w14:paraId="34122AE0" w14:textId="4BA073A9" w:rsidR="00364184" w:rsidRPr="00364184" w:rsidRDefault="00364184" w:rsidP="00364184">
      <w:pPr>
        <w:pStyle w:val="Dipnot"/>
        <w:rPr>
          <w:lang w:val="en-US"/>
        </w:rPr>
      </w:pPr>
    </w:p>
  </w:footnote>
  <w:footnote w:id="143">
    <w:p w14:paraId="418FCFCB" w14:textId="75791653" w:rsidR="00364184" w:rsidRPr="00364184" w:rsidRDefault="00364184" w:rsidP="00364184">
      <w:pPr>
        <w:pStyle w:val="Dipnot"/>
        <w:rPr>
          <w:lang w:val="en-US"/>
        </w:rPr>
      </w:pPr>
      <w:r>
        <w:rPr>
          <w:rStyle w:val="FootnoteReference"/>
        </w:rPr>
        <w:footnoteRef/>
      </w:r>
      <w:r>
        <w:t xml:space="preserve"> </w:t>
      </w:r>
      <w:r>
        <w:tab/>
      </w:r>
      <w:r w:rsidRPr="00364184">
        <w:t xml:space="preserve">143 </w:t>
      </w:r>
      <w:r w:rsidRPr="00364184">
        <w:rPr>
          <w:i/>
          <w:iCs/>
        </w:rPr>
        <w:t>Bkz.</w:t>
      </w:r>
      <w:r w:rsidRPr="00364184">
        <w:t xml:space="preserve"> Rick </w:t>
      </w:r>
      <w:proofErr w:type="spellStart"/>
      <w:r w:rsidRPr="00364184">
        <w:t>Hills</w:t>
      </w:r>
      <w:proofErr w:type="spellEnd"/>
      <w:r w:rsidRPr="00364184">
        <w:t xml:space="preserve">, </w:t>
      </w:r>
      <w:r w:rsidRPr="00364184">
        <w:rPr>
          <w:i/>
          <w:iCs/>
        </w:rPr>
        <w:t xml:space="preserve">Healthcare </w:t>
      </w:r>
      <w:proofErr w:type="spellStart"/>
      <w:r w:rsidRPr="00364184">
        <w:rPr>
          <w:i/>
          <w:iCs/>
        </w:rPr>
        <w:t>and</w:t>
      </w:r>
      <w:proofErr w:type="spellEnd"/>
      <w:r w:rsidRPr="00364184">
        <w:rPr>
          <w:i/>
          <w:iCs/>
        </w:rPr>
        <w:t xml:space="preserve"> </w:t>
      </w:r>
      <w:proofErr w:type="spellStart"/>
      <w:r w:rsidRPr="00364184">
        <w:rPr>
          <w:i/>
          <w:iCs/>
        </w:rPr>
        <w:t>Federalism</w:t>
      </w:r>
      <w:proofErr w:type="spellEnd"/>
      <w:r w:rsidRPr="00364184">
        <w:rPr>
          <w:i/>
          <w:iCs/>
        </w:rPr>
        <w:t xml:space="preserve">: </w:t>
      </w:r>
      <w:proofErr w:type="spellStart"/>
      <w:r w:rsidRPr="00364184">
        <w:rPr>
          <w:i/>
          <w:iCs/>
        </w:rPr>
        <w:t>Should</w:t>
      </w:r>
      <w:proofErr w:type="spellEnd"/>
      <w:r w:rsidRPr="00364184">
        <w:rPr>
          <w:i/>
          <w:iCs/>
        </w:rPr>
        <w:t xml:space="preserve"> </w:t>
      </w:r>
      <w:proofErr w:type="spellStart"/>
      <w:r w:rsidRPr="00364184">
        <w:rPr>
          <w:i/>
          <w:iCs/>
        </w:rPr>
        <w:t>Courts</w:t>
      </w:r>
      <w:proofErr w:type="spellEnd"/>
      <w:r w:rsidRPr="00364184">
        <w:rPr>
          <w:i/>
          <w:iCs/>
        </w:rPr>
        <w:t xml:space="preserve"> </w:t>
      </w:r>
      <w:proofErr w:type="spellStart"/>
      <w:r w:rsidRPr="00364184">
        <w:rPr>
          <w:i/>
          <w:iCs/>
        </w:rPr>
        <w:t>Strictly</w:t>
      </w:r>
      <w:proofErr w:type="spellEnd"/>
      <w:r w:rsidRPr="00364184">
        <w:rPr>
          <w:i/>
          <w:iCs/>
        </w:rPr>
        <w:t xml:space="preserve"> </w:t>
      </w:r>
      <w:proofErr w:type="spellStart"/>
      <w:r w:rsidRPr="00364184">
        <w:rPr>
          <w:i/>
          <w:iCs/>
        </w:rPr>
        <w:t>Scrutinize</w:t>
      </w:r>
      <w:proofErr w:type="spellEnd"/>
      <w:r w:rsidRPr="00364184">
        <w:rPr>
          <w:i/>
          <w:iCs/>
        </w:rPr>
        <w:t xml:space="preserve"> Federal </w:t>
      </w:r>
      <w:proofErr w:type="spellStart"/>
      <w:r w:rsidRPr="00364184">
        <w:rPr>
          <w:i/>
          <w:iCs/>
        </w:rPr>
        <w:t>Regulation</w:t>
      </w:r>
      <w:proofErr w:type="spellEnd"/>
      <w:r w:rsidRPr="00364184">
        <w:rPr>
          <w:i/>
          <w:iCs/>
        </w:rPr>
        <w:t xml:space="preserve"> of </w:t>
      </w:r>
      <w:proofErr w:type="spellStart"/>
      <w:r w:rsidRPr="00364184">
        <w:rPr>
          <w:i/>
          <w:iCs/>
        </w:rPr>
        <w:t>Medical</w:t>
      </w:r>
      <w:proofErr w:type="spellEnd"/>
      <w:r w:rsidRPr="00364184">
        <w:rPr>
          <w:i/>
          <w:iCs/>
        </w:rPr>
        <w:t xml:space="preserve"> Services?</w:t>
      </w:r>
      <w:r w:rsidRPr="00364184">
        <w:t xml:space="preserve">, </w:t>
      </w:r>
      <w:proofErr w:type="spellStart"/>
      <w:r w:rsidRPr="00364184">
        <w:rPr>
          <w:i/>
          <w:iCs/>
        </w:rPr>
        <w:t>PrawfsBlawg</w:t>
      </w:r>
      <w:proofErr w:type="spellEnd"/>
      <w:r w:rsidRPr="00364184">
        <w:t xml:space="preserve"> (14 Ağustos 2011, 11:39 AM), </w:t>
      </w:r>
      <w:hyperlink r:id="rId11" w:tgtFrame="_new" w:history="1">
        <w:r w:rsidRPr="00364184">
          <w:rPr>
            <w:rStyle w:val="Hyperlink"/>
          </w:rPr>
          <w:t>http://prawfsblawg.blogs.com/prawfsblawg/2011/08/healthcare-and-federalism-should-courts-strictly-scrutinize-federal-regulation-of-medical-services-.html</w:t>
        </w:r>
      </w:hyperlink>
      <w:r w:rsidRPr="00364184">
        <w:t>.</w:t>
      </w:r>
    </w:p>
  </w:footnote>
  <w:footnote w:id="144">
    <w:p w14:paraId="7DCF6346" w14:textId="70232F82" w:rsidR="00364184" w:rsidRPr="00364184" w:rsidRDefault="00364184" w:rsidP="00364184">
      <w:pPr>
        <w:pStyle w:val="Dipnot"/>
        <w:rPr>
          <w:lang w:val="en-US"/>
        </w:rPr>
      </w:pPr>
      <w:r>
        <w:rPr>
          <w:rStyle w:val="FootnoteReference"/>
        </w:rPr>
        <w:footnoteRef/>
      </w:r>
      <w:r>
        <w:t xml:space="preserve"> </w:t>
      </w:r>
      <w:r>
        <w:tab/>
      </w:r>
      <w:r w:rsidRPr="00364184">
        <w:t xml:space="preserve">144 </w:t>
      </w:r>
      <w:r w:rsidRPr="00364184">
        <w:rPr>
          <w:i/>
          <w:iCs/>
        </w:rPr>
        <w:t>Bkz. genel olarak</w:t>
      </w:r>
      <w:r w:rsidRPr="00364184">
        <w:t xml:space="preserve"> </w:t>
      </w:r>
      <w:proofErr w:type="spellStart"/>
      <w:r w:rsidRPr="00364184">
        <w:t>Blackman</w:t>
      </w:r>
      <w:proofErr w:type="spellEnd"/>
      <w:r w:rsidRPr="00364184">
        <w:t xml:space="preserve">, </w:t>
      </w:r>
      <w:proofErr w:type="spellStart"/>
      <w:r w:rsidRPr="00364184">
        <w:rPr>
          <w:i/>
          <w:iCs/>
        </w:rPr>
        <w:t>supra</w:t>
      </w:r>
      <w:proofErr w:type="spellEnd"/>
      <w:r w:rsidRPr="00364184">
        <w:t xml:space="preserve"> not 142.</w:t>
      </w:r>
    </w:p>
  </w:footnote>
  <w:footnote w:id="145">
    <w:p w14:paraId="5B8BECCB" w14:textId="4381744E" w:rsidR="00226805" w:rsidRPr="00226805" w:rsidRDefault="00226805" w:rsidP="00226805">
      <w:pPr>
        <w:pStyle w:val="Dipnot"/>
        <w:rPr>
          <w:lang w:val="en-US"/>
        </w:rPr>
      </w:pPr>
      <w:r>
        <w:rPr>
          <w:rStyle w:val="FootnoteReference"/>
        </w:rPr>
        <w:footnoteRef/>
      </w:r>
      <w:r>
        <w:t xml:space="preserve"> </w:t>
      </w:r>
      <w:r>
        <w:tab/>
      </w:r>
      <w:r w:rsidRPr="00226805">
        <w:t xml:space="preserve">145 Sert eleştirilerin tipik bir örneği için </w:t>
      </w:r>
      <w:r w:rsidRPr="00226805">
        <w:rPr>
          <w:i/>
          <w:iCs/>
        </w:rPr>
        <w:t>bkz.</w:t>
      </w:r>
      <w:r w:rsidRPr="00226805">
        <w:t xml:space="preserve"> </w:t>
      </w:r>
      <w:proofErr w:type="spellStart"/>
      <w:r w:rsidRPr="00226805">
        <w:t>Sheryl</w:t>
      </w:r>
      <w:proofErr w:type="spellEnd"/>
      <w:r w:rsidRPr="00226805">
        <w:t xml:space="preserve"> </w:t>
      </w:r>
      <w:proofErr w:type="spellStart"/>
      <w:r w:rsidRPr="00226805">
        <w:t>Gay</w:t>
      </w:r>
      <w:proofErr w:type="spellEnd"/>
      <w:r w:rsidRPr="00226805">
        <w:t xml:space="preserve"> </w:t>
      </w:r>
      <w:proofErr w:type="spellStart"/>
      <w:r w:rsidRPr="00226805">
        <w:t>Stolberg</w:t>
      </w:r>
      <w:proofErr w:type="spellEnd"/>
      <w:r w:rsidRPr="00226805">
        <w:t xml:space="preserve"> &amp; Charlie </w:t>
      </w:r>
      <w:proofErr w:type="spellStart"/>
      <w:r w:rsidRPr="00226805">
        <w:t>Savage</w:t>
      </w:r>
      <w:proofErr w:type="spellEnd"/>
      <w:r w:rsidRPr="00226805">
        <w:t xml:space="preserve">, </w:t>
      </w:r>
      <w:proofErr w:type="spellStart"/>
      <w:r w:rsidRPr="00226805">
        <w:rPr>
          <w:i/>
          <w:iCs/>
        </w:rPr>
        <w:t>Vindication</w:t>
      </w:r>
      <w:proofErr w:type="spellEnd"/>
      <w:r w:rsidRPr="00226805">
        <w:rPr>
          <w:i/>
          <w:iCs/>
        </w:rPr>
        <w:t xml:space="preserve"> </w:t>
      </w:r>
      <w:proofErr w:type="spellStart"/>
      <w:r w:rsidRPr="00226805">
        <w:rPr>
          <w:i/>
          <w:iCs/>
        </w:rPr>
        <w:t>for</w:t>
      </w:r>
      <w:proofErr w:type="spellEnd"/>
      <w:r w:rsidRPr="00226805">
        <w:rPr>
          <w:i/>
          <w:iCs/>
        </w:rPr>
        <w:t xml:space="preserve"> Challenger of Healthcare </w:t>
      </w:r>
      <w:proofErr w:type="spellStart"/>
      <w:r w:rsidRPr="00226805">
        <w:rPr>
          <w:i/>
          <w:iCs/>
        </w:rPr>
        <w:t>Law</w:t>
      </w:r>
      <w:proofErr w:type="spellEnd"/>
      <w:r w:rsidRPr="00226805">
        <w:t xml:space="preserve">, </w:t>
      </w:r>
      <w:r w:rsidRPr="00226805">
        <w:rPr>
          <w:i/>
          <w:iCs/>
        </w:rPr>
        <w:t>N.Y. Times</w:t>
      </w:r>
      <w:r w:rsidRPr="00226805">
        <w:t xml:space="preserve"> (26 Mart 2012), </w:t>
      </w:r>
      <w:hyperlink r:id="rId12" w:tgtFrame="_new" w:history="1">
        <w:r w:rsidRPr="00226805">
          <w:rPr>
            <w:rStyle w:val="Hyperlink"/>
          </w:rPr>
          <w:t>http://www.nytimes.com/2012/03/27/us/randy-barnetts-pet-cause-end-of-health-law-hits-supreme-court.html</w:t>
        </w:r>
      </w:hyperlink>
      <w:r w:rsidRPr="00226805">
        <w:t xml:space="preserve"> (önde gelen bir akademisyenin, </w:t>
      </w:r>
      <w:proofErr w:type="spellStart"/>
      <w:r w:rsidRPr="00226805">
        <w:t>Randy</w:t>
      </w:r>
      <w:proofErr w:type="spellEnd"/>
      <w:r w:rsidRPr="00226805">
        <w:t xml:space="preserve"> Barnett’in “tamamen uydurma bir argümanla inanılmaz bir ilgi çektiğini” ve “[m]</w:t>
      </w:r>
      <w:proofErr w:type="spellStart"/>
      <w:r w:rsidRPr="00226805">
        <w:t>evcut</w:t>
      </w:r>
      <w:proofErr w:type="spellEnd"/>
      <w:r w:rsidRPr="00226805">
        <w:t xml:space="preserve"> içtihat çerçevesinde bunun son derece kolay bir dava olduğunu; açıkça anayasaya uygun olduğunu” söylediğini aktaran haber).</w:t>
      </w:r>
    </w:p>
  </w:footnote>
  <w:footnote w:id="146">
    <w:p w14:paraId="2264BF66" w14:textId="2644DB45" w:rsidR="00226805" w:rsidRPr="00226805" w:rsidRDefault="00226805" w:rsidP="00226805">
      <w:pPr>
        <w:pStyle w:val="Dipnot"/>
        <w:rPr>
          <w:lang w:val="en-US"/>
        </w:rPr>
      </w:pPr>
      <w:r>
        <w:rPr>
          <w:rStyle w:val="FootnoteReference"/>
        </w:rPr>
        <w:footnoteRef/>
      </w:r>
      <w:r>
        <w:t xml:space="preserve"> </w:t>
      </w:r>
      <w:r>
        <w:tab/>
      </w:r>
      <w:r w:rsidRPr="00226805">
        <w:t xml:space="preserve">146 </w:t>
      </w:r>
      <w:r w:rsidRPr="00226805">
        <w:rPr>
          <w:i/>
          <w:iCs/>
        </w:rPr>
        <w:t>Bkz. genel olarak</w:t>
      </w:r>
      <w:r w:rsidRPr="00226805">
        <w:t xml:space="preserve"> </w:t>
      </w:r>
      <w:proofErr w:type="spellStart"/>
      <w:r w:rsidRPr="00226805">
        <w:rPr>
          <w:i/>
          <w:iCs/>
        </w:rPr>
        <w:t>supra</w:t>
      </w:r>
      <w:proofErr w:type="spellEnd"/>
      <w:r w:rsidRPr="00226805">
        <w:t xml:space="preserve"> Bölüm I.</w:t>
      </w:r>
    </w:p>
  </w:footnote>
  <w:footnote w:id="147">
    <w:p w14:paraId="467B5A2F" w14:textId="4D058607" w:rsidR="00226805" w:rsidRPr="00226805" w:rsidRDefault="00226805" w:rsidP="00226805">
      <w:pPr>
        <w:pStyle w:val="Dipnot"/>
        <w:rPr>
          <w:lang w:val="en-US"/>
        </w:rPr>
      </w:pPr>
      <w:r>
        <w:rPr>
          <w:rStyle w:val="FootnoteReference"/>
        </w:rPr>
        <w:footnoteRef/>
      </w:r>
      <w:r>
        <w:t xml:space="preserve"> </w:t>
      </w:r>
      <w:r>
        <w:tab/>
      </w:r>
      <w:r w:rsidRPr="00226805">
        <w:t xml:space="preserve">147 </w:t>
      </w:r>
      <w:r w:rsidRPr="00226805">
        <w:rPr>
          <w:i/>
          <w:iCs/>
        </w:rPr>
        <w:t>Bkz. genel olarak</w:t>
      </w:r>
      <w:r w:rsidRPr="00226805">
        <w:t xml:space="preserve"> </w:t>
      </w:r>
      <w:proofErr w:type="spellStart"/>
      <w:r w:rsidRPr="00226805">
        <w:rPr>
          <w:i/>
          <w:iCs/>
        </w:rPr>
        <w:t>supra</w:t>
      </w:r>
      <w:proofErr w:type="spellEnd"/>
      <w:r w:rsidRPr="00226805">
        <w:t xml:space="preserve"> Bölüm II.</w:t>
      </w:r>
    </w:p>
  </w:footnote>
  <w:footnote w:id="148">
    <w:p w14:paraId="7D2446D6" w14:textId="3382E0B8" w:rsidR="00EC4E0F" w:rsidRPr="00EC4E0F" w:rsidRDefault="00EC4E0F" w:rsidP="00EC4E0F">
      <w:pPr>
        <w:pStyle w:val="Dipnot"/>
        <w:rPr>
          <w:lang w:val="en-US"/>
        </w:rPr>
      </w:pPr>
      <w:r>
        <w:rPr>
          <w:rStyle w:val="FootnoteReference"/>
        </w:rPr>
        <w:footnoteRef/>
      </w:r>
      <w:r>
        <w:t xml:space="preserve"> </w:t>
      </w:r>
      <w:r>
        <w:tab/>
      </w:r>
      <w:r w:rsidRPr="00EC4E0F">
        <w:rPr>
          <w:lang w:val="en-US"/>
        </w:rPr>
        <w:t xml:space="preserve">148 Bu </w:t>
      </w:r>
      <w:proofErr w:type="spellStart"/>
      <w:r w:rsidRPr="00EC4E0F">
        <w:rPr>
          <w:lang w:val="en-US"/>
        </w:rPr>
        <w:t>makale</w:t>
      </w:r>
      <w:proofErr w:type="spellEnd"/>
      <w:r w:rsidRPr="00EC4E0F">
        <w:rPr>
          <w:lang w:val="en-US"/>
        </w:rPr>
        <w:t>, "</w:t>
      </w:r>
      <w:proofErr w:type="spellStart"/>
      <w:r w:rsidRPr="00EC4E0F">
        <w:rPr>
          <w:lang w:val="en-US"/>
        </w:rPr>
        <w:t>kültür</w:t>
      </w:r>
      <w:proofErr w:type="spellEnd"/>
      <w:r w:rsidRPr="00EC4E0F">
        <w:rPr>
          <w:lang w:val="en-US"/>
        </w:rPr>
        <w:t xml:space="preserve">" </w:t>
      </w:r>
      <w:proofErr w:type="spellStart"/>
      <w:r w:rsidRPr="00EC4E0F">
        <w:rPr>
          <w:lang w:val="en-US"/>
        </w:rPr>
        <w:t>kavramının</w:t>
      </w:r>
      <w:proofErr w:type="spellEnd"/>
      <w:r w:rsidRPr="00EC4E0F">
        <w:rPr>
          <w:lang w:val="en-US"/>
        </w:rPr>
        <w:t xml:space="preserve"> </w:t>
      </w:r>
      <w:proofErr w:type="spellStart"/>
      <w:r w:rsidRPr="00EC4E0F">
        <w:rPr>
          <w:lang w:val="en-US"/>
        </w:rPr>
        <w:t>ortaya</w:t>
      </w:r>
      <w:proofErr w:type="spellEnd"/>
      <w:r w:rsidRPr="00EC4E0F">
        <w:rPr>
          <w:lang w:val="en-US"/>
        </w:rPr>
        <w:t xml:space="preserve"> </w:t>
      </w:r>
      <w:proofErr w:type="spellStart"/>
      <w:r w:rsidRPr="00EC4E0F">
        <w:rPr>
          <w:lang w:val="en-US"/>
        </w:rPr>
        <w:t>çıkardığı</w:t>
      </w:r>
      <w:proofErr w:type="spellEnd"/>
      <w:r w:rsidRPr="00EC4E0F">
        <w:rPr>
          <w:lang w:val="en-US"/>
        </w:rPr>
        <w:t xml:space="preserve"> </w:t>
      </w:r>
      <w:proofErr w:type="spellStart"/>
      <w:r w:rsidRPr="00EC4E0F">
        <w:rPr>
          <w:lang w:val="en-US"/>
        </w:rPr>
        <w:t>bazı</w:t>
      </w:r>
      <w:proofErr w:type="spellEnd"/>
      <w:r w:rsidRPr="00EC4E0F">
        <w:rPr>
          <w:lang w:val="en-US"/>
        </w:rPr>
        <w:t xml:space="preserve"> </w:t>
      </w:r>
      <w:proofErr w:type="spellStart"/>
      <w:r w:rsidRPr="00EC4E0F">
        <w:rPr>
          <w:lang w:val="en-US"/>
        </w:rPr>
        <w:t>zorlayıcı</w:t>
      </w:r>
      <w:proofErr w:type="spellEnd"/>
      <w:r w:rsidRPr="00EC4E0F">
        <w:rPr>
          <w:lang w:val="en-US"/>
        </w:rPr>
        <w:t xml:space="preserve"> </w:t>
      </w:r>
      <w:proofErr w:type="spellStart"/>
      <w:r w:rsidRPr="00EC4E0F">
        <w:rPr>
          <w:lang w:val="en-US"/>
        </w:rPr>
        <w:t>yorumsal</w:t>
      </w:r>
      <w:proofErr w:type="spellEnd"/>
      <w:r w:rsidRPr="00EC4E0F">
        <w:rPr>
          <w:lang w:val="en-US"/>
        </w:rPr>
        <w:t xml:space="preserve"> </w:t>
      </w:r>
      <w:proofErr w:type="spellStart"/>
      <w:r w:rsidRPr="00EC4E0F">
        <w:rPr>
          <w:lang w:val="en-US"/>
        </w:rPr>
        <w:t>soruları</w:t>
      </w:r>
      <w:proofErr w:type="spellEnd"/>
      <w:r w:rsidRPr="00EC4E0F">
        <w:rPr>
          <w:lang w:val="en-US"/>
        </w:rPr>
        <w:t xml:space="preserve"> </w:t>
      </w:r>
      <w:proofErr w:type="spellStart"/>
      <w:r w:rsidRPr="00EC4E0F">
        <w:rPr>
          <w:lang w:val="en-US"/>
        </w:rPr>
        <w:t>bilinçli</w:t>
      </w:r>
      <w:proofErr w:type="spellEnd"/>
      <w:r w:rsidRPr="00EC4E0F">
        <w:rPr>
          <w:lang w:val="en-US"/>
        </w:rPr>
        <w:t xml:space="preserve"> </w:t>
      </w:r>
      <w:proofErr w:type="spellStart"/>
      <w:r w:rsidRPr="00EC4E0F">
        <w:rPr>
          <w:lang w:val="en-US"/>
        </w:rPr>
        <w:t>olarak</w:t>
      </w:r>
      <w:proofErr w:type="spellEnd"/>
      <w:r w:rsidRPr="00EC4E0F">
        <w:rPr>
          <w:lang w:val="en-US"/>
        </w:rPr>
        <w:t xml:space="preserve"> </w:t>
      </w:r>
      <w:proofErr w:type="spellStart"/>
      <w:r w:rsidRPr="00EC4E0F">
        <w:rPr>
          <w:lang w:val="en-US"/>
        </w:rPr>
        <w:t>dışarıda</w:t>
      </w:r>
      <w:proofErr w:type="spellEnd"/>
      <w:r w:rsidRPr="00EC4E0F">
        <w:rPr>
          <w:lang w:val="en-US"/>
        </w:rPr>
        <w:t xml:space="preserve"> </w:t>
      </w:r>
      <w:proofErr w:type="spellStart"/>
      <w:r w:rsidRPr="00EC4E0F">
        <w:rPr>
          <w:lang w:val="en-US"/>
        </w:rPr>
        <w:t>bırakmaktadır</w:t>
      </w:r>
      <w:proofErr w:type="spellEnd"/>
      <w:r w:rsidRPr="00EC4E0F">
        <w:rPr>
          <w:lang w:val="en-US"/>
        </w:rPr>
        <w:t xml:space="preserve">. Bu </w:t>
      </w:r>
      <w:proofErr w:type="spellStart"/>
      <w:r w:rsidRPr="00EC4E0F">
        <w:rPr>
          <w:lang w:val="en-US"/>
        </w:rPr>
        <w:t>sorular</w:t>
      </w:r>
      <w:proofErr w:type="spellEnd"/>
      <w:r w:rsidRPr="00EC4E0F">
        <w:rPr>
          <w:lang w:val="en-US"/>
        </w:rPr>
        <w:t xml:space="preserve"> </w:t>
      </w:r>
      <w:proofErr w:type="spellStart"/>
      <w:r w:rsidRPr="00EC4E0F">
        <w:rPr>
          <w:lang w:val="en-US"/>
        </w:rPr>
        <w:t>şunları</w:t>
      </w:r>
      <w:proofErr w:type="spellEnd"/>
      <w:r w:rsidRPr="00EC4E0F">
        <w:rPr>
          <w:lang w:val="en-US"/>
        </w:rPr>
        <w:t xml:space="preserve"> </w:t>
      </w:r>
      <w:proofErr w:type="spellStart"/>
      <w:r w:rsidRPr="00EC4E0F">
        <w:rPr>
          <w:lang w:val="en-US"/>
        </w:rPr>
        <w:t>içermektedir</w:t>
      </w:r>
      <w:proofErr w:type="spellEnd"/>
      <w:r w:rsidRPr="00EC4E0F">
        <w:rPr>
          <w:lang w:val="en-US"/>
        </w:rPr>
        <w:t>:</w:t>
      </w:r>
      <w:r w:rsidRPr="00EC4E0F">
        <w:rPr>
          <w:lang w:val="en-US"/>
        </w:rPr>
        <w:t xml:space="preserve"> </w:t>
      </w:r>
      <w:r w:rsidRPr="00EC4E0F">
        <w:rPr>
          <w:lang w:val="en-US"/>
        </w:rPr>
        <w:t xml:space="preserve">(1) </w:t>
      </w:r>
      <w:proofErr w:type="spellStart"/>
      <w:r w:rsidRPr="00EC4E0F">
        <w:rPr>
          <w:lang w:val="en-US"/>
        </w:rPr>
        <w:t>Kültürel</w:t>
      </w:r>
      <w:proofErr w:type="spellEnd"/>
      <w:r w:rsidRPr="00EC4E0F">
        <w:rPr>
          <w:lang w:val="en-US"/>
        </w:rPr>
        <w:t xml:space="preserve"> </w:t>
      </w:r>
      <w:proofErr w:type="spellStart"/>
      <w:r w:rsidRPr="00EC4E0F">
        <w:rPr>
          <w:lang w:val="en-US"/>
        </w:rPr>
        <w:t>uyum</w:t>
      </w:r>
      <w:proofErr w:type="spellEnd"/>
      <w:r w:rsidRPr="00EC4E0F">
        <w:rPr>
          <w:lang w:val="en-US"/>
        </w:rPr>
        <w:t xml:space="preserve"> </w:t>
      </w:r>
      <w:proofErr w:type="spellStart"/>
      <w:r w:rsidRPr="00EC4E0F">
        <w:rPr>
          <w:lang w:val="en-US"/>
        </w:rPr>
        <w:t>süreci</w:t>
      </w:r>
      <w:proofErr w:type="spellEnd"/>
      <w:r w:rsidRPr="00EC4E0F">
        <w:rPr>
          <w:lang w:val="en-US"/>
        </w:rPr>
        <w:t xml:space="preserve"> ne </w:t>
      </w:r>
      <w:proofErr w:type="spellStart"/>
      <w:r w:rsidRPr="00EC4E0F">
        <w:rPr>
          <w:lang w:val="en-US"/>
        </w:rPr>
        <w:t>ölçüde</w:t>
      </w:r>
      <w:proofErr w:type="spellEnd"/>
      <w:r w:rsidRPr="00EC4E0F">
        <w:rPr>
          <w:lang w:val="en-US"/>
        </w:rPr>
        <w:t xml:space="preserve"> </w:t>
      </w:r>
      <w:proofErr w:type="spellStart"/>
      <w:r w:rsidRPr="00EC4E0F">
        <w:rPr>
          <w:lang w:val="en-US"/>
        </w:rPr>
        <w:t>bilinçli</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süreçtir</w:t>
      </w:r>
      <w:proofErr w:type="spellEnd"/>
      <w:r w:rsidRPr="00EC4E0F">
        <w:rPr>
          <w:lang w:val="en-US"/>
        </w:rPr>
        <w:t>?</w:t>
      </w:r>
      <w:r w:rsidRPr="00EC4E0F">
        <w:rPr>
          <w:lang w:val="en-US"/>
        </w:rPr>
        <w:br/>
        <w:t xml:space="preserve">(2) </w:t>
      </w:r>
      <w:proofErr w:type="spellStart"/>
      <w:r w:rsidRPr="00EC4E0F">
        <w:rPr>
          <w:lang w:val="en-US"/>
        </w:rPr>
        <w:t>Kültür</w:t>
      </w:r>
      <w:proofErr w:type="spellEnd"/>
      <w:r w:rsidRPr="00EC4E0F">
        <w:rPr>
          <w:lang w:val="en-US"/>
        </w:rPr>
        <w:t xml:space="preserve">, </w:t>
      </w:r>
      <w:proofErr w:type="spellStart"/>
      <w:r w:rsidRPr="00EC4E0F">
        <w:rPr>
          <w:lang w:val="en-US"/>
        </w:rPr>
        <w:t>ağırlıklı</w:t>
      </w:r>
      <w:proofErr w:type="spellEnd"/>
      <w:r w:rsidRPr="00EC4E0F">
        <w:rPr>
          <w:lang w:val="en-US"/>
        </w:rPr>
        <w:t xml:space="preserve"> </w:t>
      </w:r>
      <w:proofErr w:type="spellStart"/>
      <w:r w:rsidRPr="00EC4E0F">
        <w:rPr>
          <w:lang w:val="en-US"/>
        </w:rPr>
        <w:t>olarak</w:t>
      </w:r>
      <w:proofErr w:type="spellEnd"/>
      <w:r w:rsidRPr="00EC4E0F">
        <w:rPr>
          <w:lang w:val="en-US"/>
        </w:rPr>
        <w:t xml:space="preserve"> </w:t>
      </w:r>
      <w:proofErr w:type="spellStart"/>
      <w:r w:rsidRPr="00EC4E0F">
        <w:rPr>
          <w:lang w:val="en-US"/>
        </w:rPr>
        <w:t>elit</w:t>
      </w:r>
      <w:proofErr w:type="spellEnd"/>
      <w:r w:rsidRPr="00EC4E0F">
        <w:rPr>
          <w:lang w:val="en-US"/>
        </w:rPr>
        <w:t xml:space="preserve"> </w:t>
      </w:r>
      <w:proofErr w:type="spellStart"/>
      <w:r w:rsidRPr="00EC4E0F">
        <w:rPr>
          <w:lang w:val="en-US"/>
        </w:rPr>
        <w:t>değerlerini</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tercihlerini</w:t>
      </w:r>
      <w:proofErr w:type="spellEnd"/>
      <w:r w:rsidRPr="00EC4E0F">
        <w:rPr>
          <w:lang w:val="en-US"/>
        </w:rPr>
        <w:t xml:space="preserve"> mi </w:t>
      </w:r>
      <w:proofErr w:type="spellStart"/>
      <w:r w:rsidRPr="00EC4E0F">
        <w:rPr>
          <w:lang w:val="en-US"/>
        </w:rPr>
        <w:t>yansıtır</w:t>
      </w:r>
      <w:proofErr w:type="spellEnd"/>
      <w:r w:rsidRPr="00EC4E0F">
        <w:rPr>
          <w:lang w:val="en-US"/>
        </w:rPr>
        <w:t xml:space="preserve">, </w:t>
      </w:r>
      <w:proofErr w:type="spellStart"/>
      <w:r w:rsidRPr="00EC4E0F">
        <w:rPr>
          <w:lang w:val="en-US"/>
        </w:rPr>
        <w:t>yoksa</w:t>
      </w:r>
      <w:proofErr w:type="spellEnd"/>
      <w:r w:rsidRPr="00EC4E0F">
        <w:rPr>
          <w:lang w:val="en-US"/>
        </w:rPr>
        <w:t xml:space="preserve"> </w:t>
      </w:r>
      <w:proofErr w:type="spellStart"/>
      <w:r w:rsidRPr="00EC4E0F">
        <w:rPr>
          <w:lang w:val="en-US"/>
        </w:rPr>
        <w:t>daha</w:t>
      </w:r>
      <w:proofErr w:type="spellEnd"/>
      <w:r w:rsidRPr="00EC4E0F">
        <w:rPr>
          <w:lang w:val="en-US"/>
        </w:rPr>
        <w:t xml:space="preserve"> </w:t>
      </w:r>
      <w:proofErr w:type="spellStart"/>
      <w:r w:rsidRPr="00EC4E0F">
        <w:rPr>
          <w:lang w:val="en-US"/>
        </w:rPr>
        <w:t>geniş</w:t>
      </w:r>
      <w:proofErr w:type="spellEnd"/>
      <w:r w:rsidRPr="00EC4E0F">
        <w:rPr>
          <w:lang w:val="en-US"/>
        </w:rPr>
        <w:t xml:space="preserve"> </w:t>
      </w:r>
      <w:proofErr w:type="spellStart"/>
      <w:r w:rsidRPr="00EC4E0F">
        <w:rPr>
          <w:lang w:val="en-US"/>
        </w:rPr>
        <w:t>toplumun</w:t>
      </w:r>
      <w:proofErr w:type="spellEnd"/>
      <w:r w:rsidRPr="00EC4E0F">
        <w:rPr>
          <w:lang w:val="en-US"/>
        </w:rPr>
        <w:t xml:space="preserve"> </w:t>
      </w:r>
      <w:proofErr w:type="spellStart"/>
      <w:r w:rsidRPr="00EC4E0F">
        <w:rPr>
          <w:lang w:val="en-US"/>
        </w:rPr>
        <w:t>çıkarlarını</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tercihlerini</w:t>
      </w:r>
      <w:proofErr w:type="spellEnd"/>
      <w:r w:rsidRPr="00EC4E0F">
        <w:rPr>
          <w:lang w:val="en-US"/>
        </w:rPr>
        <w:t xml:space="preserve"> </w:t>
      </w:r>
      <w:proofErr w:type="spellStart"/>
      <w:r w:rsidRPr="00EC4E0F">
        <w:rPr>
          <w:lang w:val="en-US"/>
        </w:rPr>
        <w:t>anlamlı</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şekilde</w:t>
      </w:r>
      <w:proofErr w:type="spellEnd"/>
      <w:r w:rsidRPr="00EC4E0F">
        <w:rPr>
          <w:lang w:val="en-US"/>
        </w:rPr>
        <w:t xml:space="preserve"> </w:t>
      </w:r>
      <w:proofErr w:type="spellStart"/>
      <w:r w:rsidRPr="00EC4E0F">
        <w:rPr>
          <w:lang w:val="en-US"/>
        </w:rPr>
        <w:t>dikkate</w:t>
      </w:r>
      <w:proofErr w:type="spellEnd"/>
      <w:r w:rsidRPr="00EC4E0F">
        <w:rPr>
          <w:lang w:val="en-US"/>
        </w:rPr>
        <w:t xml:space="preserve"> </w:t>
      </w:r>
      <w:proofErr w:type="spellStart"/>
      <w:r w:rsidRPr="00EC4E0F">
        <w:rPr>
          <w:lang w:val="en-US"/>
        </w:rPr>
        <w:t>alır</w:t>
      </w:r>
      <w:proofErr w:type="spellEnd"/>
      <w:r w:rsidRPr="00EC4E0F">
        <w:rPr>
          <w:lang w:val="en-US"/>
        </w:rPr>
        <w:t xml:space="preserve"> </w:t>
      </w:r>
      <w:proofErr w:type="spellStart"/>
      <w:r w:rsidRPr="00EC4E0F">
        <w:rPr>
          <w:lang w:val="en-US"/>
        </w:rPr>
        <w:t>mı</w:t>
      </w:r>
      <w:proofErr w:type="spellEnd"/>
      <w:r w:rsidRPr="00EC4E0F">
        <w:rPr>
          <w:lang w:val="en-US"/>
        </w:rPr>
        <w:t>?</w:t>
      </w:r>
      <w:r w:rsidRPr="00EC4E0F">
        <w:rPr>
          <w:lang w:val="en-US"/>
        </w:rPr>
        <w:t xml:space="preserve"> </w:t>
      </w:r>
      <w:r w:rsidRPr="00EC4E0F">
        <w:rPr>
          <w:lang w:val="en-US"/>
        </w:rPr>
        <w:t xml:space="preserve">(3) </w:t>
      </w:r>
      <w:proofErr w:type="spellStart"/>
      <w:r w:rsidRPr="00EC4E0F">
        <w:rPr>
          <w:lang w:val="en-US"/>
        </w:rPr>
        <w:t>Kültürel</w:t>
      </w:r>
      <w:proofErr w:type="spellEnd"/>
      <w:r w:rsidRPr="00EC4E0F">
        <w:rPr>
          <w:lang w:val="en-US"/>
        </w:rPr>
        <w:t xml:space="preserve"> </w:t>
      </w:r>
      <w:proofErr w:type="spellStart"/>
      <w:r w:rsidRPr="00EC4E0F">
        <w:rPr>
          <w:lang w:val="en-US"/>
        </w:rPr>
        <w:t>biçimler</w:t>
      </w:r>
      <w:proofErr w:type="spellEnd"/>
      <w:r w:rsidRPr="00EC4E0F">
        <w:rPr>
          <w:lang w:val="en-US"/>
        </w:rPr>
        <w:t xml:space="preserve">, </w:t>
      </w:r>
      <w:proofErr w:type="spellStart"/>
      <w:r w:rsidRPr="00EC4E0F">
        <w:rPr>
          <w:lang w:val="en-US"/>
        </w:rPr>
        <w:t>esasen</w:t>
      </w:r>
      <w:proofErr w:type="spellEnd"/>
      <w:r w:rsidRPr="00EC4E0F">
        <w:rPr>
          <w:lang w:val="en-US"/>
        </w:rPr>
        <w:t xml:space="preserve"> </w:t>
      </w:r>
      <w:proofErr w:type="spellStart"/>
      <w:r w:rsidRPr="00EC4E0F">
        <w:rPr>
          <w:lang w:val="en-US"/>
        </w:rPr>
        <w:t>altta</w:t>
      </w:r>
      <w:proofErr w:type="spellEnd"/>
      <w:r w:rsidRPr="00EC4E0F">
        <w:rPr>
          <w:lang w:val="en-US"/>
        </w:rPr>
        <w:t xml:space="preserve"> </w:t>
      </w:r>
      <w:proofErr w:type="spellStart"/>
      <w:r w:rsidRPr="00EC4E0F">
        <w:rPr>
          <w:lang w:val="en-US"/>
        </w:rPr>
        <w:t>yatan</w:t>
      </w:r>
      <w:proofErr w:type="spellEnd"/>
      <w:r w:rsidRPr="00EC4E0F">
        <w:rPr>
          <w:lang w:val="en-US"/>
        </w:rPr>
        <w:t xml:space="preserve"> </w:t>
      </w:r>
      <w:proofErr w:type="spellStart"/>
      <w:r w:rsidRPr="00EC4E0F">
        <w:rPr>
          <w:lang w:val="en-US"/>
        </w:rPr>
        <w:t>ekonomik</w:t>
      </w:r>
      <w:proofErr w:type="spellEnd"/>
      <w:r w:rsidRPr="00EC4E0F">
        <w:rPr>
          <w:lang w:val="en-US"/>
        </w:rPr>
        <w:t xml:space="preserve"> </w:t>
      </w:r>
      <w:proofErr w:type="spellStart"/>
      <w:r w:rsidRPr="00EC4E0F">
        <w:rPr>
          <w:lang w:val="en-US"/>
        </w:rPr>
        <w:t>yapıları</w:t>
      </w:r>
      <w:proofErr w:type="spellEnd"/>
      <w:r w:rsidRPr="00EC4E0F">
        <w:rPr>
          <w:lang w:val="en-US"/>
        </w:rPr>
        <w:t xml:space="preserve"> </w:t>
      </w:r>
      <w:proofErr w:type="spellStart"/>
      <w:r w:rsidRPr="00EC4E0F">
        <w:rPr>
          <w:lang w:val="en-US"/>
        </w:rPr>
        <w:t>mı</w:t>
      </w:r>
      <w:proofErr w:type="spellEnd"/>
      <w:r w:rsidRPr="00EC4E0F">
        <w:rPr>
          <w:lang w:val="en-US"/>
        </w:rPr>
        <w:t xml:space="preserve"> </w:t>
      </w:r>
      <w:proofErr w:type="spellStart"/>
      <w:r w:rsidRPr="00EC4E0F">
        <w:rPr>
          <w:lang w:val="en-US"/>
        </w:rPr>
        <w:t>yansıtır</w:t>
      </w:r>
      <w:proofErr w:type="spellEnd"/>
      <w:r w:rsidRPr="00EC4E0F">
        <w:rPr>
          <w:lang w:val="en-US"/>
        </w:rPr>
        <w:t xml:space="preserve">, </w:t>
      </w:r>
      <w:proofErr w:type="spellStart"/>
      <w:r w:rsidRPr="00EC4E0F">
        <w:rPr>
          <w:lang w:val="en-US"/>
        </w:rPr>
        <w:t>yoksa</w:t>
      </w:r>
      <w:proofErr w:type="spellEnd"/>
      <w:r w:rsidRPr="00EC4E0F">
        <w:rPr>
          <w:lang w:val="en-US"/>
        </w:rPr>
        <w:t xml:space="preserve"> </w:t>
      </w:r>
      <w:proofErr w:type="spellStart"/>
      <w:r w:rsidRPr="00EC4E0F">
        <w:rPr>
          <w:lang w:val="en-US"/>
        </w:rPr>
        <w:t>onlardan</w:t>
      </w:r>
      <w:proofErr w:type="spellEnd"/>
      <w:r w:rsidRPr="00EC4E0F">
        <w:rPr>
          <w:lang w:val="en-US"/>
        </w:rPr>
        <w:t xml:space="preserve"> </w:t>
      </w:r>
      <w:proofErr w:type="spellStart"/>
      <w:r w:rsidRPr="00EC4E0F">
        <w:rPr>
          <w:lang w:val="en-US"/>
        </w:rPr>
        <w:t>bağımsız</w:t>
      </w:r>
      <w:proofErr w:type="spellEnd"/>
      <w:r w:rsidRPr="00EC4E0F">
        <w:rPr>
          <w:lang w:val="en-US"/>
        </w:rPr>
        <w:t xml:space="preserve"> </w:t>
      </w:r>
      <w:proofErr w:type="spellStart"/>
      <w:r w:rsidRPr="00EC4E0F">
        <w:rPr>
          <w:lang w:val="en-US"/>
        </w:rPr>
        <w:t>olarak</w:t>
      </w:r>
      <w:proofErr w:type="spellEnd"/>
      <w:r w:rsidRPr="00EC4E0F">
        <w:rPr>
          <w:lang w:val="en-US"/>
        </w:rPr>
        <w:t xml:space="preserve"> </w:t>
      </w:r>
      <w:proofErr w:type="spellStart"/>
      <w:r w:rsidRPr="00EC4E0F">
        <w:rPr>
          <w:lang w:val="en-US"/>
        </w:rPr>
        <w:t>anlamlı</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varlığa</w:t>
      </w:r>
      <w:proofErr w:type="spellEnd"/>
      <w:r w:rsidRPr="00EC4E0F">
        <w:rPr>
          <w:lang w:val="en-US"/>
        </w:rPr>
        <w:t xml:space="preserve"> </w:t>
      </w:r>
      <w:proofErr w:type="spellStart"/>
      <w:r w:rsidRPr="00EC4E0F">
        <w:rPr>
          <w:lang w:val="en-US"/>
        </w:rPr>
        <w:t>sahip</w:t>
      </w:r>
      <w:proofErr w:type="spellEnd"/>
      <w:r w:rsidRPr="00EC4E0F">
        <w:rPr>
          <w:lang w:val="en-US"/>
        </w:rPr>
        <w:t xml:space="preserve"> </w:t>
      </w:r>
      <w:proofErr w:type="spellStart"/>
      <w:r w:rsidRPr="00EC4E0F">
        <w:rPr>
          <w:lang w:val="en-US"/>
        </w:rPr>
        <w:t>midir</w:t>
      </w:r>
      <w:proofErr w:type="spellEnd"/>
      <w:r w:rsidRPr="00EC4E0F">
        <w:rPr>
          <w:lang w:val="en-US"/>
        </w:rPr>
        <w:t>?</w:t>
      </w:r>
      <w:r w:rsidRPr="00EC4E0F">
        <w:rPr>
          <w:lang w:val="en-US"/>
        </w:rPr>
        <w:t xml:space="preserve"> </w:t>
      </w:r>
      <w:r w:rsidRPr="00EC4E0F">
        <w:rPr>
          <w:lang w:val="en-US"/>
        </w:rPr>
        <w:t xml:space="preserve">Bu </w:t>
      </w:r>
      <w:proofErr w:type="spellStart"/>
      <w:r w:rsidRPr="00EC4E0F">
        <w:rPr>
          <w:lang w:val="en-US"/>
        </w:rPr>
        <w:t>sorulara</w:t>
      </w:r>
      <w:proofErr w:type="spellEnd"/>
      <w:r w:rsidRPr="00EC4E0F">
        <w:rPr>
          <w:lang w:val="en-US"/>
        </w:rPr>
        <w:t xml:space="preserve"> hem </w:t>
      </w:r>
      <w:proofErr w:type="spellStart"/>
      <w:r w:rsidRPr="00EC4E0F">
        <w:rPr>
          <w:lang w:val="en-US"/>
        </w:rPr>
        <w:t>makro</w:t>
      </w:r>
      <w:proofErr w:type="spellEnd"/>
      <w:r w:rsidRPr="00EC4E0F">
        <w:rPr>
          <w:lang w:val="en-US"/>
        </w:rPr>
        <w:t xml:space="preserve"> hem de </w:t>
      </w:r>
      <w:proofErr w:type="spellStart"/>
      <w:r w:rsidRPr="00EC4E0F">
        <w:rPr>
          <w:lang w:val="en-US"/>
        </w:rPr>
        <w:t>mikro</w:t>
      </w:r>
      <w:proofErr w:type="spellEnd"/>
      <w:r w:rsidRPr="00EC4E0F">
        <w:rPr>
          <w:lang w:val="en-US"/>
        </w:rPr>
        <w:t xml:space="preserve"> </w:t>
      </w:r>
      <w:proofErr w:type="spellStart"/>
      <w:r w:rsidRPr="00EC4E0F">
        <w:rPr>
          <w:lang w:val="en-US"/>
        </w:rPr>
        <w:t>düzeyde</w:t>
      </w:r>
      <w:proofErr w:type="spellEnd"/>
      <w:r w:rsidRPr="00EC4E0F">
        <w:rPr>
          <w:lang w:val="en-US"/>
        </w:rPr>
        <w:t xml:space="preserve"> </w:t>
      </w:r>
      <w:proofErr w:type="spellStart"/>
      <w:r w:rsidRPr="00EC4E0F">
        <w:rPr>
          <w:lang w:val="en-US"/>
        </w:rPr>
        <w:t>verilecek</w:t>
      </w:r>
      <w:proofErr w:type="spellEnd"/>
      <w:r w:rsidRPr="00EC4E0F">
        <w:rPr>
          <w:lang w:val="en-US"/>
        </w:rPr>
        <w:t xml:space="preserve"> </w:t>
      </w:r>
      <w:proofErr w:type="spellStart"/>
      <w:r w:rsidRPr="00EC4E0F">
        <w:rPr>
          <w:lang w:val="en-US"/>
        </w:rPr>
        <w:t>yanıtlar</w:t>
      </w:r>
      <w:proofErr w:type="spellEnd"/>
      <w:r w:rsidRPr="00EC4E0F">
        <w:rPr>
          <w:lang w:val="en-US"/>
        </w:rPr>
        <w:t xml:space="preserve">, </w:t>
      </w:r>
      <w:proofErr w:type="spellStart"/>
      <w:r w:rsidRPr="00EC4E0F">
        <w:rPr>
          <w:lang w:val="en-US"/>
        </w:rPr>
        <w:t>aşağıda</w:t>
      </w:r>
      <w:proofErr w:type="spellEnd"/>
      <w:r w:rsidRPr="00EC4E0F">
        <w:rPr>
          <w:lang w:val="en-US"/>
        </w:rPr>
        <w:t xml:space="preserve"> </w:t>
      </w:r>
      <w:proofErr w:type="spellStart"/>
      <w:r w:rsidRPr="00EC4E0F">
        <w:rPr>
          <w:lang w:val="en-US"/>
        </w:rPr>
        <w:t>Bölüm</w:t>
      </w:r>
      <w:proofErr w:type="spellEnd"/>
      <w:r w:rsidRPr="00EC4E0F">
        <w:rPr>
          <w:lang w:val="en-US"/>
        </w:rPr>
        <w:t xml:space="preserve"> IV </w:t>
      </w:r>
      <w:proofErr w:type="spellStart"/>
      <w:r w:rsidRPr="00EC4E0F">
        <w:rPr>
          <w:lang w:val="en-US"/>
        </w:rPr>
        <w:t>ve</w:t>
      </w:r>
      <w:proofErr w:type="spellEnd"/>
      <w:r w:rsidRPr="00EC4E0F">
        <w:rPr>
          <w:lang w:val="en-US"/>
        </w:rPr>
        <w:t xml:space="preserve"> </w:t>
      </w:r>
      <w:proofErr w:type="spellStart"/>
      <w:r w:rsidRPr="00EC4E0F">
        <w:rPr>
          <w:lang w:val="en-US"/>
        </w:rPr>
        <w:t>V’te</w:t>
      </w:r>
      <w:proofErr w:type="spellEnd"/>
      <w:r w:rsidRPr="00EC4E0F">
        <w:rPr>
          <w:lang w:val="en-US"/>
        </w:rPr>
        <w:t xml:space="preserve"> </w:t>
      </w:r>
      <w:proofErr w:type="spellStart"/>
      <w:r w:rsidRPr="00EC4E0F">
        <w:rPr>
          <w:lang w:val="en-US"/>
        </w:rPr>
        <w:t>ele</w:t>
      </w:r>
      <w:proofErr w:type="spellEnd"/>
      <w:r w:rsidRPr="00EC4E0F">
        <w:rPr>
          <w:lang w:val="en-US"/>
        </w:rPr>
        <w:t xml:space="preserve"> </w:t>
      </w:r>
      <w:proofErr w:type="spellStart"/>
      <w:r w:rsidRPr="00EC4E0F">
        <w:rPr>
          <w:lang w:val="en-US"/>
        </w:rPr>
        <w:t>alınan</w:t>
      </w:r>
      <w:proofErr w:type="spellEnd"/>
      <w:r w:rsidRPr="00EC4E0F">
        <w:rPr>
          <w:lang w:val="en-US"/>
        </w:rPr>
        <w:t xml:space="preserve"> </w:t>
      </w:r>
      <w:proofErr w:type="spellStart"/>
      <w:r w:rsidRPr="00EC4E0F">
        <w:rPr>
          <w:lang w:val="en-US"/>
        </w:rPr>
        <w:t>birçok</w:t>
      </w:r>
      <w:proofErr w:type="spellEnd"/>
      <w:r w:rsidRPr="00EC4E0F">
        <w:rPr>
          <w:lang w:val="en-US"/>
        </w:rPr>
        <w:t xml:space="preserve"> </w:t>
      </w:r>
      <w:proofErr w:type="spellStart"/>
      <w:r w:rsidRPr="00EC4E0F">
        <w:rPr>
          <w:lang w:val="en-US"/>
        </w:rPr>
        <w:t>proje</w:t>
      </w:r>
      <w:proofErr w:type="spellEnd"/>
      <w:r w:rsidRPr="00EC4E0F">
        <w:rPr>
          <w:lang w:val="en-US"/>
        </w:rPr>
        <w:t xml:space="preserve"> </w:t>
      </w:r>
      <w:proofErr w:type="spellStart"/>
      <w:r w:rsidRPr="00EC4E0F">
        <w:rPr>
          <w:lang w:val="en-US"/>
        </w:rPr>
        <w:t>açısından</w:t>
      </w:r>
      <w:proofErr w:type="spellEnd"/>
      <w:r w:rsidRPr="00EC4E0F">
        <w:rPr>
          <w:lang w:val="en-US"/>
        </w:rPr>
        <w:t xml:space="preserve"> </w:t>
      </w:r>
      <w:proofErr w:type="spellStart"/>
      <w:r w:rsidRPr="00EC4E0F">
        <w:rPr>
          <w:lang w:val="en-US"/>
        </w:rPr>
        <w:t>kritik</w:t>
      </w:r>
      <w:proofErr w:type="spellEnd"/>
      <w:r w:rsidRPr="00EC4E0F">
        <w:rPr>
          <w:lang w:val="en-US"/>
        </w:rPr>
        <w:t xml:space="preserve"> </w:t>
      </w:r>
      <w:proofErr w:type="spellStart"/>
      <w:r w:rsidRPr="00EC4E0F">
        <w:rPr>
          <w:lang w:val="en-US"/>
        </w:rPr>
        <w:t>öneme</w:t>
      </w:r>
      <w:proofErr w:type="spellEnd"/>
      <w:r w:rsidRPr="00EC4E0F">
        <w:rPr>
          <w:lang w:val="en-US"/>
        </w:rPr>
        <w:t xml:space="preserve"> </w:t>
      </w:r>
      <w:proofErr w:type="spellStart"/>
      <w:r w:rsidRPr="00EC4E0F">
        <w:rPr>
          <w:lang w:val="en-US"/>
        </w:rPr>
        <w:t>sahiptir</w:t>
      </w:r>
      <w:proofErr w:type="spellEnd"/>
      <w:r w:rsidRPr="00EC4E0F">
        <w:rPr>
          <w:lang w:val="en-US"/>
        </w:rPr>
        <w:t xml:space="preserve">; </w:t>
      </w:r>
      <w:proofErr w:type="spellStart"/>
      <w:r w:rsidRPr="00EC4E0F">
        <w:rPr>
          <w:lang w:val="en-US"/>
        </w:rPr>
        <w:t>ancak</w:t>
      </w:r>
      <w:proofErr w:type="spellEnd"/>
      <w:r w:rsidRPr="00EC4E0F">
        <w:rPr>
          <w:lang w:val="en-US"/>
        </w:rPr>
        <w:t xml:space="preserve">, </w:t>
      </w:r>
      <w:proofErr w:type="spellStart"/>
      <w:r w:rsidRPr="00EC4E0F">
        <w:rPr>
          <w:lang w:val="en-US"/>
        </w:rPr>
        <w:t>bu</w:t>
      </w:r>
      <w:proofErr w:type="spellEnd"/>
      <w:r w:rsidRPr="00EC4E0F">
        <w:rPr>
          <w:lang w:val="en-US"/>
        </w:rPr>
        <w:t xml:space="preserve"> </w:t>
      </w:r>
      <w:proofErr w:type="spellStart"/>
      <w:r w:rsidRPr="00EC4E0F">
        <w:rPr>
          <w:lang w:val="en-US"/>
        </w:rPr>
        <w:t>makalenin</w:t>
      </w:r>
      <w:proofErr w:type="spellEnd"/>
      <w:r w:rsidRPr="00EC4E0F">
        <w:rPr>
          <w:lang w:val="en-US"/>
        </w:rPr>
        <w:t xml:space="preserve"> </w:t>
      </w:r>
      <w:proofErr w:type="spellStart"/>
      <w:r w:rsidRPr="00EC4E0F">
        <w:rPr>
          <w:lang w:val="en-US"/>
        </w:rPr>
        <w:t>eleştirileri</w:t>
      </w:r>
      <w:proofErr w:type="spellEnd"/>
      <w:r w:rsidRPr="00EC4E0F">
        <w:rPr>
          <w:lang w:val="en-US"/>
        </w:rPr>
        <w:t xml:space="preserve"> </w:t>
      </w:r>
      <w:proofErr w:type="spellStart"/>
      <w:r w:rsidRPr="00EC4E0F">
        <w:rPr>
          <w:lang w:val="en-US"/>
        </w:rPr>
        <w:t>açısından</w:t>
      </w:r>
      <w:proofErr w:type="spellEnd"/>
      <w:r w:rsidRPr="00EC4E0F">
        <w:rPr>
          <w:lang w:val="en-US"/>
        </w:rPr>
        <w:t xml:space="preserve"> </w:t>
      </w:r>
      <w:proofErr w:type="spellStart"/>
      <w:r w:rsidRPr="00EC4E0F">
        <w:rPr>
          <w:lang w:val="en-US"/>
        </w:rPr>
        <w:t>ikincil</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konumdadır</w:t>
      </w:r>
      <w:proofErr w:type="spellEnd"/>
      <w:r w:rsidRPr="00EC4E0F">
        <w:rPr>
          <w:lang w:val="en-US"/>
        </w:rPr>
        <w:t>.</w:t>
      </w:r>
    </w:p>
    <w:p w14:paraId="40764845" w14:textId="73BE8290" w:rsidR="00EC4E0F" w:rsidRPr="00EC4E0F" w:rsidRDefault="00EC4E0F" w:rsidP="00EC4E0F">
      <w:pPr>
        <w:pStyle w:val="Dipnot"/>
        <w:rPr>
          <w:lang w:val="en-US"/>
        </w:rPr>
      </w:pPr>
    </w:p>
  </w:footnote>
  <w:footnote w:id="149">
    <w:p w14:paraId="7A7F9440" w14:textId="21D58211" w:rsidR="00EC4E0F" w:rsidRPr="00EC4E0F" w:rsidRDefault="00EC4E0F" w:rsidP="00BF5F43">
      <w:pPr>
        <w:pStyle w:val="Dipnot"/>
        <w:rPr>
          <w:lang w:val="en-US"/>
        </w:rPr>
      </w:pPr>
      <w:r>
        <w:rPr>
          <w:rStyle w:val="FootnoteReference"/>
        </w:rPr>
        <w:footnoteRef/>
      </w:r>
      <w:r>
        <w:t xml:space="preserve"> </w:t>
      </w:r>
      <w:r>
        <w:tab/>
      </w:r>
      <w:r w:rsidRPr="00EC4E0F">
        <w:rPr>
          <w:lang w:val="en-US"/>
        </w:rPr>
        <w:t xml:space="preserve">149 </w:t>
      </w:r>
      <w:proofErr w:type="spellStart"/>
      <w:r w:rsidRPr="00EC4E0F">
        <w:rPr>
          <w:lang w:val="en-US"/>
        </w:rPr>
        <w:t>Örneğin</w:t>
      </w:r>
      <w:proofErr w:type="spellEnd"/>
      <w:r w:rsidRPr="00EC4E0F">
        <w:rPr>
          <w:lang w:val="en-US"/>
        </w:rPr>
        <w:t xml:space="preserve">, </w:t>
      </w:r>
      <w:proofErr w:type="spellStart"/>
      <w:r w:rsidRPr="00EC4E0F">
        <w:rPr>
          <w:lang w:val="en-US"/>
        </w:rPr>
        <w:t>günümüz</w:t>
      </w:r>
      <w:proofErr w:type="spellEnd"/>
      <w:r w:rsidRPr="00EC4E0F">
        <w:rPr>
          <w:lang w:val="en-US"/>
        </w:rPr>
        <w:t xml:space="preserve"> </w:t>
      </w:r>
      <w:proofErr w:type="spellStart"/>
      <w:r w:rsidRPr="00EC4E0F">
        <w:rPr>
          <w:lang w:val="en-US"/>
        </w:rPr>
        <w:t>yargı</w:t>
      </w:r>
      <w:proofErr w:type="spellEnd"/>
      <w:r w:rsidRPr="00EC4E0F">
        <w:rPr>
          <w:lang w:val="en-US"/>
        </w:rPr>
        <w:t xml:space="preserve"> </w:t>
      </w:r>
      <w:proofErr w:type="spellStart"/>
      <w:r w:rsidRPr="00EC4E0F">
        <w:rPr>
          <w:lang w:val="en-US"/>
        </w:rPr>
        <w:t>kültürünün</w:t>
      </w:r>
      <w:proofErr w:type="spellEnd"/>
      <w:r w:rsidRPr="00EC4E0F">
        <w:rPr>
          <w:lang w:val="en-US"/>
        </w:rPr>
        <w:t xml:space="preserve"> </w:t>
      </w:r>
      <w:proofErr w:type="spellStart"/>
      <w:r w:rsidRPr="00EC4E0F">
        <w:rPr>
          <w:lang w:val="en-US"/>
        </w:rPr>
        <w:t>birçok</w:t>
      </w:r>
      <w:proofErr w:type="spellEnd"/>
      <w:r w:rsidRPr="00EC4E0F">
        <w:rPr>
          <w:lang w:val="en-US"/>
        </w:rPr>
        <w:t xml:space="preserve"> </w:t>
      </w:r>
      <w:proofErr w:type="spellStart"/>
      <w:r w:rsidRPr="00EC4E0F">
        <w:rPr>
          <w:lang w:val="en-US"/>
        </w:rPr>
        <w:t>özelliğini</w:t>
      </w:r>
      <w:proofErr w:type="spellEnd"/>
      <w:r w:rsidRPr="00EC4E0F">
        <w:rPr>
          <w:lang w:val="en-US"/>
        </w:rPr>
        <w:t>—</w:t>
      </w:r>
      <w:proofErr w:type="spellStart"/>
      <w:r w:rsidRPr="00EC4E0F">
        <w:rPr>
          <w:lang w:val="en-US"/>
        </w:rPr>
        <w:t>yargıcın</w:t>
      </w:r>
      <w:proofErr w:type="spellEnd"/>
      <w:r w:rsidRPr="00EC4E0F">
        <w:rPr>
          <w:lang w:val="en-US"/>
        </w:rPr>
        <w:t xml:space="preserve"> </w:t>
      </w:r>
      <w:proofErr w:type="spellStart"/>
      <w:r w:rsidRPr="00EC4E0F">
        <w:rPr>
          <w:lang w:val="en-US"/>
        </w:rPr>
        <w:t>nispeten</w:t>
      </w:r>
      <w:proofErr w:type="spellEnd"/>
      <w:r w:rsidRPr="00EC4E0F">
        <w:rPr>
          <w:lang w:val="en-US"/>
        </w:rPr>
        <w:t xml:space="preserve"> </w:t>
      </w:r>
      <w:proofErr w:type="spellStart"/>
      <w:r w:rsidRPr="00EC4E0F">
        <w:rPr>
          <w:lang w:val="en-US"/>
        </w:rPr>
        <w:t>müdahaleci</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iyileştirici</w:t>
      </w:r>
      <w:proofErr w:type="spellEnd"/>
      <w:r w:rsidRPr="00EC4E0F">
        <w:rPr>
          <w:lang w:val="en-US"/>
        </w:rPr>
        <w:t xml:space="preserve"> </w:t>
      </w:r>
      <w:proofErr w:type="spellStart"/>
      <w:r w:rsidRPr="00EC4E0F">
        <w:rPr>
          <w:lang w:val="en-US"/>
        </w:rPr>
        <w:t>rol</w:t>
      </w:r>
      <w:proofErr w:type="spellEnd"/>
      <w:r w:rsidRPr="00EC4E0F">
        <w:rPr>
          <w:lang w:val="en-US"/>
        </w:rPr>
        <w:t xml:space="preserve"> </w:t>
      </w:r>
      <w:proofErr w:type="spellStart"/>
      <w:r w:rsidRPr="00EC4E0F">
        <w:rPr>
          <w:lang w:val="en-US"/>
        </w:rPr>
        <w:t>üstlenmesi</w:t>
      </w:r>
      <w:proofErr w:type="spellEnd"/>
      <w:r w:rsidRPr="00EC4E0F">
        <w:rPr>
          <w:lang w:val="en-US"/>
        </w:rPr>
        <w:t xml:space="preserve"> </w:t>
      </w:r>
      <w:proofErr w:type="spellStart"/>
      <w:r w:rsidRPr="00EC4E0F">
        <w:rPr>
          <w:lang w:val="en-US"/>
        </w:rPr>
        <w:t>ve</w:t>
      </w:r>
      <w:proofErr w:type="spellEnd"/>
      <w:r w:rsidRPr="00EC4E0F">
        <w:rPr>
          <w:lang w:val="en-US"/>
        </w:rPr>
        <w:t xml:space="preserve"> </w:t>
      </w:r>
      <w:proofErr w:type="spellStart"/>
      <w:r w:rsidRPr="00EC4E0F">
        <w:rPr>
          <w:lang w:val="en-US"/>
        </w:rPr>
        <w:t>etki</w:t>
      </w:r>
      <w:proofErr w:type="spellEnd"/>
      <w:r w:rsidRPr="00EC4E0F">
        <w:rPr>
          <w:lang w:val="en-US"/>
        </w:rPr>
        <w:t xml:space="preserve"> </w:t>
      </w:r>
      <w:proofErr w:type="spellStart"/>
      <w:r w:rsidRPr="00EC4E0F">
        <w:rPr>
          <w:lang w:val="en-US"/>
        </w:rPr>
        <w:t>davalarına</w:t>
      </w:r>
      <w:proofErr w:type="spellEnd"/>
      <w:r w:rsidRPr="00EC4E0F">
        <w:rPr>
          <w:lang w:val="en-US"/>
        </w:rPr>
        <w:t xml:space="preserve"> (impact litigation) </w:t>
      </w:r>
      <w:proofErr w:type="spellStart"/>
      <w:r w:rsidRPr="00EC4E0F">
        <w:rPr>
          <w:lang w:val="en-US"/>
        </w:rPr>
        <w:t>yönelik</w:t>
      </w:r>
      <w:proofErr w:type="spellEnd"/>
      <w:r w:rsidRPr="00EC4E0F">
        <w:rPr>
          <w:lang w:val="en-US"/>
        </w:rPr>
        <w:t xml:space="preserve"> </w:t>
      </w:r>
      <w:proofErr w:type="spellStart"/>
      <w:r w:rsidRPr="00EC4E0F">
        <w:rPr>
          <w:lang w:val="en-US"/>
        </w:rPr>
        <w:t>stratejilerin</w:t>
      </w:r>
      <w:proofErr w:type="spellEnd"/>
      <w:r w:rsidRPr="00EC4E0F">
        <w:rPr>
          <w:lang w:val="en-US"/>
        </w:rPr>
        <w:t xml:space="preserve"> </w:t>
      </w:r>
      <w:proofErr w:type="spellStart"/>
      <w:r w:rsidRPr="00EC4E0F">
        <w:rPr>
          <w:lang w:val="en-US"/>
        </w:rPr>
        <w:t>meşruiyeti</w:t>
      </w:r>
      <w:proofErr w:type="spellEnd"/>
      <w:r w:rsidRPr="00EC4E0F">
        <w:rPr>
          <w:lang w:val="en-US"/>
        </w:rPr>
        <w:t xml:space="preserve"> </w:t>
      </w:r>
      <w:proofErr w:type="spellStart"/>
      <w:r w:rsidRPr="00EC4E0F">
        <w:rPr>
          <w:lang w:val="en-US"/>
        </w:rPr>
        <w:t>gibi</w:t>
      </w:r>
      <w:proofErr w:type="spellEnd"/>
      <w:r w:rsidRPr="00EC4E0F">
        <w:rPr>
          <w:lang w:val="en-US"/>
        </w:rPr>
        <w:t xml:space="preserve">—20. </w:t>
      </w:r>
      <w:proofErr w:type="spellStart"/>
      <w:r w:rsidRPr="00EC4E0F">
        <w:rPr>
          <w:lang w:val="en-US"/>
        </w:rPr>
        <w:t>yüzyılın</w:t>
      </w:r>
      <w:proofErr w:type="spellEnd"/>
      <w:r w:rsidRPr="00EC4E0F">
        <w:rPr>
          <w:lang w:val="en-US"/>
        </w:rPr>
        <w:t xml:space="preserve"> </w:t>
      </w:r>
      <w:proofErr w:type="spellStart"/>
      <w:r w:rsidRPr="00EC4E0F">
        <w:rPr>
          <w:lang w:val="en-US"/>
        </w:rPr>
        <w:t>ortalarındaki</w:t>
      </w:r>
      <w:proofErr w:type="spellEnd"/>
      <w:r w:rsidRPr="00EC4E0F">
        <w:rPr>
          <w:lang w:val="en-US"/>
        </w:rPr>
        <w:t xml:space="preserve"> </w:t>
      </w:r>
      <w:proofErr w:type="spellStart"/>
      <w:r w:rsidRPr="00EC4E0F">
        <w:rPr>
          <w:lang w:val="en-US"/>
        </w:rPr>
        <w:t>sivil</w:t>
      </w:r>
      <w:proofErr w:type="spellEnd"/>
      <w:r w:rsidRPr="00EC4E0F">
        <w:rPr>
          <w:lang w:val="en-US"/>
        </w:rPr>
        <w:t xml:space="preserve"> </w:t>
      </w:r>
      <w:proofErr w:type="spellStart"/>
      <w:r w:rsidRPr="00EC4E0F">
        <w:rPr>
          <w:lang w:val="en-US"/>
        </w:rPr>
        <w:t>haklar</w:t>
      </w:r>
      <w:proofErr w:type="spellEnd"/>
      <w:r w:rsidRPr="00EC4E0F">
        <w:rPr>
          <w:lang w:val="en-US"/>
        </w:rPr>
        <w:t xml:space="preserve"> </w:t>
      </w:r>
      <w:proofErr w:type="spellStart"/>
      <w:r w:rsidRPr="00EC4E0F">
        <w:rPr>
          <w:lang w:val="en-US"/>
        </w:rPr>
        <w:t>davalarının</w:t>
      </w:r>
      <w:proofErr w:type="spellEnd"/>
      <w:r w:rsidRPr="00EC4E0F">
        <w:rPr>
          <w:lang w:val="en-US"/>
        </w:rPr>
        <w:t xml:space="preserve"> </w:t>
      </w:r>
      <w:proofErr w:type="spellStart"/>
      <w:r w:rsidRPr="00EC4E0F">
        <w:rPr>
          <w:lang w:val="en-US"/>
        </w:rPr>
        <w:t>bir</w:t>
      </w:r>
      <w:proofErr w:type="spellEnd"/>
      <w:r w:rsidRPr="00EC4E0F">
        <w:rPr>
          <w:lang w:val="en-US"/>
        </w:rPr>
        <w:t xml:space="preserve"> </w:t>
      </w:r>
      <w:proofErr w:type="spellStart"/>
      <w:r w:rsidRPr="00EC4E0F">
        <w:rPr>
          <w:lang w:val="en-US"/>
        </w:rPr>
        <w:t>ürünü</w:t>
      </w:r>
      <w:proofErr w:type="spellEnd"/>
      <w:r w:rsidRPr="00EC4E0F">
        <w:rPr>
          <w:lang w:val="en-US"/>
        </w:rPr>
        <w:t xml:space="preserve"> </w:t>
      </w:r>
      <w:proofErr w:type="spellStart"/>
      <w:r w:rsidRPr="00EC4E0F">
        <w:rPr>
          <w:lang w:val="en-US"/>
        </w:rPr>
        <w:t>olarak</w:t>
      </w:r>
      <w:proofErr w:type="spellEnd"/>
      <w:r w:rsidRPr="00EC4E0F">
        <w:rPr>
          <w:lang w:val="en-US"/>
        </w:rPr>
        <w:t xml:space="preserve"> </w:t>
      </w:r>
      <w:proofErr w:type="spellStart"/>
      <w:r w:rsidRPr="00EC4E0F">
        <w:rPr>
          <w:lang w:val="en-US"/>
        </w:rPr>
        <w:t>görmekteyiz</w:t>
      </w:r>
      <w:proofErr w:type="spellEnd"/>
      <w:r w:rsidRPr="00EC4E0F">
        <w:rPr>
          <w:lang w:val="en-US"/>
        </w:rPr>
        <w:t>.</w:t>
      </w:r>
      <w:r w:rsidRPr="00EC4E0F">
        <w:rPr>
          <w:lang w:val="en-US"/>
        </w:rPr>
        <w:t xml:space="preserve"> </w:t>
      </w:r>
      <w:r w:rsidRPr="00EC4E0F">
        <w:rPr>
          <w:lang w:val="en-US"/>
        </w:rPr>
        <w:t xml:space="preserve">Benzer </w:t>
      </w:r>
      <w:proofErr w:type="spellStart"/>
      <w:r w:rsidRPr="00EC4E0F">
        <w:rPr>
          <w:lang w:val="en-US"/>
        </w:rPr>
        <w:t>şekilde</w:t>
      </w:r>
      <w:proofErr w:type="spellEnd"/>
      <w:r w:rsidRPr="00EC4E0F">
        <w:rPr>
          <w:lang w:val="en-US"/>
        </w:rPr>
        <w:t xml:space="preserve">, New Deal </w:t>
      </w:r>
      <w:proofErr w:type="spellStart"/>
      <w:r w:rsidRPr="00EC4E0F">
        <w:rPr>
          <w:lang w:val="en-US"/>
        </w:rPr>
        <w:t>döneminin</w:t>
      </w:r>
      <w:proofErr w:type="spellEnd"/>
      <w:r w:rsidRPr="00EC4E0F">
        <w:rPr>
          <w:lang w:val="en-US"/>
        </w:rPr>
        <w:t xml:space="preserve"> </w:t>
      </w:r>
      <w:proofErr w:type="spellStart"/>
      <w:r w:rsidRPr="00EC4E0F">
        <w:rPr>
          <w:lang w:val="en-US"/>
        </w:rPr>
        <w:t>deneyimleri</w:t>
      </w:r>
      <w:proofErr w:type="spellEnd"/>
      <w:r w:rsidRPr="00EC4E0F">
        <w:rPr>
          <w:lang w:val="en-US"/>
        </w:rPr>
        <w:t xml:space="preserve">, hem </w:t>
      </w:r>
      <w:proofErr w:type="spellStart"/>
      <w:r w:rsidRPr="00EC4E0F">
        <w:rPr>
          <w:lang w:val="en-US"/>
        </w:rPr>
        <w:t>mahkemelerin</w:t>
      </w:r>
      <w:proofErr w:type="spellEnd"/>
      <w:r w:rsidRPr="00EC4E0F">
        <w:rPr>
          <w:lang w:val="en-US"/>
        </w:rPr>
        <w:t xml:space="preserve"> </w:t>
      </w:r>
      <w:proofErr w:type="spellStart"/>
      <w:r w:rsidRPr="00EC4E0F">
        <w:rPr>
          <w:lang w:val="en-US"/>
        </w:rPr>
        <w:t>biçimsel</w:t>
      </w:r>
      <w:proofErr w:type="spellEnd"/>
      <w:r w:rsidRPr="00EC4E0F">
        <w:rPr>
          <w:lang w:val="en-US"/>
        </w:rPr>
        <w:t xml:space="preserve"> </w:t>
      </w:r>
      <w:proofErr w:type="spellStart"/>
      <w:r w:rsidRPr="00EC4E0F">
        <w:rPr>
          <w:lang w:val="en-US"/>
        </w:rPr>
        <w:t>bağımsızlığının</w:t>
      </w:r>
      <w:proofErr w:type="spellEnd"/>
      <w:r w:rsidRPr="00EC4E0F">
        <w:rPr>
          <w:lang w:val="en-US"/>
        </w:rPr>
        <w:t xml:space="preserve"> </w:t>
      </w:r>
      <w:proofErr w:type="spellStart"/>
      <w:r w:rsidRPr="00EC4E0F">
        <w:rPr>
          <w:lang w:val="en-US"/>
        </w:rPr>
        <w:t>korunmasının</w:t>
      </w:r>
      <w:proofErr w:type="spellEnd"/>
      <w:r w:rsidRPr="00EC4E0F">
        <w:rPr>
          <w:lang w:val="en-US"/>
        </w:rPr>
        <w:t xml:space="preserve"> </w:t>
      </w:r>
      <w:proofErr w:type="spellStart"/>
      <w:r w:rsidRPr="00EC4E0F">
        <w:rPr>
          <w:lang w:val="en-US"/>
        </w:rPr>
        <w:t>gerekliliğini</w:t>
      </w:r>
      <w:proofErr w:type="spellEnd"/>
      <w:r w:rsidRPr="00EC4E0F">
        <w:rPr>
          <w:lang w:val="en-US"/>
        </w:rPr>
        <w:t xml:space="preserve"> hem de modern </w:t>
      </w:r>
      <w:proofErr w:type="spellStart"/>
      <w:r w:rsidRPr="00EC4E0F">
        <w:rPr>
          <w:lang w:val="en-US"/>
        </w:rPr>
        <w:t>toplumun</w:t>
      </w:r>
      <w:proofErr w:type="spellEnd"/>
      <w:r w:rsidRPr="00EC4E0F">
        <w:rPr>
          <w:lang w:val="en-US"/>
        </w:rPr>
        <w:t xml:space="preserve"> </w:t>
      </w:r>
      <w:proofErr w:type="spellStart"/>
      <w:r w:rsidRPr="00EC4E0F">
        <w:rPr>
          <w:lang w:val="en-US"/>
        </w:rPr>
        <w:t>ihtiyaçlarına</w:t>
      </w:r>
      <w:proofErr w:type="spellEnd"/>
      <w:r w:rsidRPr="00EC4E0F">
        <w:rPr>
          <w:lang w:val="en-US"/>
        </w:rPr>
        <w:t xml:space="preserve"> </w:t>
      </w:r>
      <w:proofErr w:type="spellStart"/>
      <w:r w:rsidRPr="00EC4E0F">
        <w:rPr>
          <w:lang w:val="en-US"/>
        </w:rPr>
        <w:t>hizmet</w:t>
      </w:r>
      <w:proofErr w:type="spellEnd"/>
      <w:r w:rsidRPr="00EC4E0F">
        <w:rPr>
          <w:lang w:val="en-US"/>
        </w:rPr>
        <w:t xml:space="preserve"> </w:t>
      </w:r>
      <w:proofErr w:type="spellStart"/>
      <w:r w:rsidRPr="00EC4E0F">
        <w:rPr>
          <w:lang w:val="en-US"/>
        </w:rPr>
        <w:t>edebilecek</w:t>
      </w:r>
      <w:proofErr w:type="spellEnd"/>
      <w:r w:rsidRPr="00EC4E0F">
        <w:rPr>
          <w:lang w:val="en-US"/>
        </w:rPr>
        <w:t xml:space="preserve"> </w:t>
      </w:r>
      <w:proofErr w:type="spellStart"/>
      <w:r w:rsidRPr="00EC4E0F">
        <w:rPr>
          <w:lang w:val="en-US"/>
        </w:rPr>
        <w:t>doktrinel</w:t>
      </w:r>
      <w:proofErr w:type="spellEnd"/>
      <w:r w:rsidRPr="00EC4E0F">
        <w:rPr>
          <w:lang w:val="en-US"/>
        </w:rPr>
        <w:t xml:space="preserve"> </w:t>
      </w:r>
      <w:proofErr w:type="spellStart"/>
      <w:r w:rsidRPr="00EC4E0F">
        <w:rPr>
          <w:lang w:val="en-US"/>
        </w:rPr>
        <w:t>yapıların</w:t>
      </w:r>
      <w:proofErr w:type="spellEnd"/>
      <w:r w:rsidRPr="00EC4E0F">
        <w:rPr>
          <w:lang w:val="en-US"/>
        </w:rPr>
        <w:t xml:space="preserve"> </w:t>
      </w:r>
      <w:proofErr w:type="spellStart"/>
      <w:r w:rsidRPr="00EC4E0F">
        <w:rPr>
          <w:lang w:val="en-US"/>
        </w:rPr>
        <w:t>geliştirilmesinin</w:t>
      </w:r>
      <w:proofErr w:type="spellEnd"/>
      <w:r w:rsidRPr="00EC4E0F">
        <w:rPr>
          <w:lang w:val="en-US"/>
        </w:rPr>
        <w:t xml:space="preserve"> </w:t>
      </w:r>
      <w:proofErr w:type="spellStart"/>
      <w:r w:rsidRPr="00EC4E0F">
        <w:rPr>
          <w:lang w:val="en-US"/>
        </w:rPr>
        <w:t>önemini</w:t>
      </w:r>
      <w:proofErr w:type="spellEnd"/>
      <w:r w:rsidRPr="00EC4E0F">
        <w:rPr>
          <w:lang w:val="en-US"/>
        </w:rPr>
        <w:t xml:space="preserve"> </w:t>
      </w:r>
      <w:proofErr w:type="spellStart"/>
      <w:r w:rsidRPr="00EC4E0F">
        <w:rPr>
          <w:lang w:val="en-US"/>
        </w:rPr>
        <w:t>açıklamak</w:t>
      </w:r>
      <w:proofErr w:type="spellEnd"/>
      <w:r w:rsidRPr="00EC4E0F">
        <w:rPr>
          <w:lang w:val="en-US"/>
        </w:rPr>
        <w:t xml:space="preserve"> </w:t>
      </w:r>
      <w:proofErr w:type="spellStart"/>
      <w:r w:rsidRPr="00EC4E0F">
        <w:rPr>
          <w:lang w:val="en-US"/>
        </w:rPr>
        <w:t>için</w:t>
      </w:r>
      <w:proofErr w:type="spellEnd"/>
      <w:r w:rsidRPr="00EC4E0F">
        <w:rPr>
          <w:lang w:val="en-US"/>
        </w:rPr>
        <w:t xml:space="preserve"> </w:t>
      </w:r>
      <w:proofErr w:type="spellStart"/>
      <w:r w:rsidRPr="00EC4E0F">
        <w:rPr>
          <w:lang w:val="en-US"/>
        </w:rPr>
        <w:t>sıkça</w:t>
      </w:r>
      <w:proofErr w:type="spellEnd"/>
      <w:r w:rsidRPr="00EC4E0F">
        <w:rPr>
          <w:lang w:val="en-US"/>
        </w:rPr>
        <w:t xml:space="preserve"> </w:t>
      </w:r>
      <w:proofErr w:type="spellStart"/>
      <w:r w:rsidRPr="00EC4E0F">
        <w:rPr>
          <w:lang w:val="en-US"/>
        </w:rPr>
        <w:t>referans</w:t>
      </w:r>
      <w:proofErr w:type="spellEnd"/>
      <w:r w:rsidRPr="00EC4E0F">
        <w:rPr>
          <w:lang w:val="en-US"/>
        </w:rPr>
        <w:t xml:space="preserve"> </w:t>
      </w:r>
      <w:proofErr w:type="spellStart"/>
      <w:r w:rsidRPr="00EC4E0F">
        <w:rPr>
          <w:lang w:val="en-US"/>
        </w:rPr>
        <w:t>gösterilmektedir</w:t>
      </w:r>
      <w:proofErr w:type="spellEnd"/>
      <w:r w:rsidRPr="00EC4E0F">
        <w:rPr>
          <w:lang w:val="en-US"/>
        </w:rPr>
        <w:t>.</w:t>
      </w:r>
    </w:p>
  </w:footnote>
  <w:footnote w:id="150">
    <w:p w14:paraId="7A319AD9" w14:textId="698A05ED" w:rsidR="00BF5F43" w:rsidRPr="00BF5F43" w:rsidRDefault="00BF5F43" w:rsidP="00BF5F43">
      <w:pPr>
        <w:pStyle w:val="Dipnot"/>
        <w:rPr>
          <w:lang w:val="en-US"/>
        </w:rPr>
      </w:pPr>
      <w:r>
        <w:rPr>
          <w:rStyle w:val="FootnoteReference"/>
        </w:rPr>
        <w:footnoteRef/>
      </w:r>
      <w:r>
        <w:t xml:space="preserve"> </w:t>
      </w:r>
      <w:r>
        <w:tab/>
      </w:r>
      <w:r w:rsidRPr="00BF5F43">
        <w:rPr>
          <w:lang w:val="en-US"/>
        </w:rPr>
        <w:t xml:space="preserve">150 </w:t>
      </w:r>
      <w:proofErr w:type="spellStart"/>
      <w:r w:rsidRPr="00BF5F43">
        <w:rPr>
          <w:lang w:val="en-US"/>
        </w:rPr>
        <w:t>Örneğin</w:t>
      </w:r>
      <w:proofErr w:type="spellEnd"/>
      <w:r w:rsidRPr="00BF5F43">
        <w:rPr>
          <w:lang w:val="en-US"/>
        </w:rPr>
        <w:t xml:space="preserve">, </w:t>
      </w:r>
      <w:proofErr w:type="spellStart"/>
      <w:r w:rsidRPr="00BF5F43">
        <w:rPr>
          <w:lang w:val="en-US"/>
        </w:rPr>
        <w:t>siyasi</w:t>
      </w:r>
      <w:proofErr w:type="spellEnd"/>
      <w:r w:rsidRPr="00BF5F43">
        <w:rPr>
          <w:lang w:val="en-US"/>
        </w:rPr>
        <w:t xml:space="preserve"> </w:t>
      </w:r>
      <w:proofErr w:type="spellStart"/>
      <w:r w:rsidRPr="00BF5F43">
        <w:rPr>
          <w:lang w:val="en-US"/>
        </w:rPr>
        <w:t>saikli</w:t>
      </w:r>
      <w:proofErr w:type="spellEnd"/>
      <w:r w:rsidRPr="00BF5F43">
        <w:rPr>
          <w:lang w:val="en-US"/>
        </w:rPr>
        <w:t xml:space="preserve"> </w:t>
      </w:r>
      <w:proofErr w:type="spellStart"/>
      <w:r w:rsidRPr="00BF5F43">
        <w:rPr>
          <w:lang w:val="en-US"/>
        </w:rPr>
        <w:t>yargıç</w:t>
      </w:r>
      <w:proofErr w:type="spellEnd"/>
      <w:r w:rsidRPr="00BF5F43">
        <w:rPr>
          <w:lang w:val="en-US"/>
        </w:rPr>
        <w:t xml:space="preserve"> </w:t>
      </w:r>
      <w:proofErr w:type="spellStart"/>
      <w:r w:rsidRPr="00BF5F43">
        <w:rPr>
          <w:lang w:val="en-US"/>
        </w:rPr>
        <w:t>azillerine</w:t>
      </w:r>
      <w:proofErr w:type="spellEnd"/>
      <w:r w:rsidRPr="00BF5F43">
        <w:rPr>
          <w:lang w:val="en-US"/>
        </w:rPr>
        <w:t xml:space="preserve"> </w:t>
      </w:r>
      <w:proofErr w:type="spellStart"/>
      <w:r w:rsidRPr="00BF5F43">
        <w:rPr>
          <w:lang w:val="en-US"/>
        </w:rPr>
        <w:t>karşı</w:t>
      </w:r>
      <w:proofErr w:type="spellEnd"/>
      <w:r w:rsidRPr="00BF5F43">
        <w:rPr>
          <w:lang w:val="en-US"/>
        </w:rPr>
        <w:t xml:space="preserve"> </w:t>
      </w:r>
      <w:proofErr w:type="spellStart"/>
      <w:r w:rsidRPr="00BF5F43">
        <w:rPr>
          <w:lang w:val="en-US"/>
        </w:rPr>
        <w:t>duyduğumuz</w:t>
      </w:r>
      <w:proofErr w:type="spellEnd"/>
      <w:r w:rsidRPr="00BF5F43">
        <w:rPr>
          <w:lang w:val="en-US"/>
        </w:rPr>
        <w:t xml:space="preserve"> </w:t>
      </w:r>
      <w:proofErr w:type="spellStart"/>
      <w:r w:rsidRPr="00BF5F43">
        <w:rPr>
          <w:lang w:val="en-US"/>
        </w:rPr>
        <w:t>isteksizlik</w:t>
      </w:r>
      <w:proofErr w:type="spellEnd"/>
      <w:r w:rsidRPr="00BF5F43">
        <w:rPr>
          <w:lang w:val="en-US"/>
        </w:rPr>
        <w:t xml:space="preserve">, Jefferson </w:t>
      </w:r>
      <w:proofErr w:type="spellStart"/>
      <w:r w:rsidRPr="00BF5F43">
        <w:rPr>
          <w:lang w:val="en-US"/>
        </w:rPr>
        <w:t>döneminde</w:t>
      </w:r>
      <w:proofErr w:type="spellEnd"/>
      <w:r w:rsidRPr="00BF5F43">
        <w:rPr>
          <w:lang w:val="en-US"/>
        </w:rPr>
        <w:t xml:space="preserve"> </w:t>
      </w:r>
      <w:proofErr w:type="spellStart"/>
      <w:r w:rsidRPr="00BF5F43">
        <w:rPr>
          <w:lang w:val="en-US"/>
        </w:rPr>
        <w:t>edinilmiş</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ders</w:t>
      </w:r>
      <w:proofErr w:type="spellEnd"/>
      <w:r w:rsidRPr="00BF5F43">
        <w:rPr>
          <w:lang w:val="en-US"/>
        </w:rPr>
        <w:t xml:space="preserve"> </w:t>
      </w:r>
      <w:proofErr w:type="spellStart"/>
      <w:r w:rsidRPr="00BF5F43">
        <w:rPr>
          <w:lang w:val="en-US"/>
        </w:rPr>
        <w:t>olarak</w:t>
      </w:r>
      <w:proofErr w:type="spellEnd"/>
      <w:r w:rsidRPr="00BF5F43">
        <w:rPr>
          <w:lang w:val="en-US"/>
        </w:rPr>
        <w:t xml:space="preserve"> </w:t>
      </w:r>
      <w:proofErr w:type="spellStart"/>
      <w:r w:rsidRPr="00BF5F43">
        <w:rPr>
          <w:lang w:val="en-US"/>
        </w:rPr>
        <w:t>görülmektedir</w:t>
      </w:r>
      <w:proofErr w:type="spellEnd"/>
      <w:r w:rsidRPr="00BF5F43">
        <w:rPr>
          <w:lang w:val="en-US"/>
        </w:rPr>
        <w:t xml:space="preserve">. Benzer </w:t>
      </w:r>
      <w:proofErr w:type="spellStart"/>
      <w:r w:rsidRPr="00BF5F43">
        <w:rPr>
          <w:lang w:val="en-US"/>
        </w:rPr>
        <w:t>şekilde</w:t>
      </w:r>
      <w:proofErr w:type="spellEnd"/>
      <w:r w:rsidRPr="00BF5F43">
        <w:rPr>
          <w:lang w:val="en-US"/>
        </w:rPr>
        <w:t xml:space="preserve">, </w:t>
      </w:r>
      <w:proofErr w:type="spellStart"/>
      <w:r w:rsidRPr="00BF5F43">
        <w:rPr>
          <w:lang w:val="en-US"/>
        </w:rPr>
        <w:t>Mahkeme’nin</w:t>
      </w:r>
      <w:proofErr w:type="spellEnd"/>
      <w:r w:rsidRPr="00BF5F43">
        <w:rPr>
          <w:lang w:val="en-US"/>
        </w:rPr>
        <w:t xml:space="preserve"> </w:t>
      </w:r>
      <w:proofErr w:type="spellStart"/>
      <w:r w:rsidRPr="00BF5F43">
        <w:rPr>
          <w:lang w:val="en-US"/>
        </w:rPr>
        <w:t>büyüklüğünde</w:t>
      </w:r>
      <w:proofErr w:type="spellEnd"/>
      <w:r w:rsidRPr="00BF5F43">
        <w:rPr>
          <w:lang w:val="en-US"/>
        </w:rPr>
        <w:t xml:space="preserve"> </w:t>
      </w:r>
      <w:proofErr w:type="spellStart"/>
      <w:r w:rsidRPr="00BF5F43">
        <w:rPr>
          <w:lang w:val="en-US"/>
        </w:rPr>
        <w:t>değişiklik</w:t>
      </w:r>
      <w:proofErr w:type="spellEnd"/>
      <w:r w:rsidRPr="00BF5F43">
        <w:rPr>
          <w:lang w:val="en-US"/>
        </w:rPr>
        <w:t xml:space="preserve"> </w:t>
      </w:r>
      <w:proofErr w:type="spellStart"/>
      <w:r w:rsidRPr="00BF5F43">
        <w:rPr>
          <w:lang w:val="en-US"/>
        </w:rPr>
        <w:t>yapılmasına</w:t>
      </w:r>
      <w:proofErr w:type="spellEnd"/>
      <w:r w:rsidRPr="00BF5F43">
        <w:rPr>
          <w:lang w:val="en-US"/>
        </w:rPr>
        <w:t xml:space="preserve"> </w:t>
      </w:r>
      <w:proofErr w:type="spellStart"/>
      <w:r w:rsidRPr="00BF5F43">
        <w:rPr>
          <w:lang w:val="en-US"/>
        </w:rPr>
        <w:t>karşı</w:t>
      </w:r>
      <w:proofErr w:type="spellEnd"/>
      <w:r w:rsidRPr="00BF5F43">
        <w:rPr>
          <w:lang w:val="en-US"/>
        </w:rPr>
        <w:t xml:space="preserve"> </w:t>
      </w:r>
      <w:proofErr w:type="spellStart"/>
      <w:r w:rsidRPr="00BF5F43">
        <w:rPr>
          <w:lang w:val="en-US"/>
        </w:rPr>
        <w:t>direnç</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zamanlar</w:t>
      </w:r>
      <w:proofErr w:type="spellEnd"/>
      <w:r w:rsidRPr="00BF5F43">
        <w:rPr>
          <w:lang w:val="en-US"/>
        </w:rPr>
        <w:t xml:space="preserve"> </w:t>
      </w:r>
      <w:proofErr w:type="spellStart"/>
      <w:r w:rsidRPr="00BF5F43">
        <w:rPr>
          <w:lang w:val="en-US"/>
        </w:rPr>
        <w:t>yaygın</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siyasi</w:t>
      </w:r>
      <w:proofErr w:type="spellEnd"/>
      <w:r w:rsidRPr="00BF5F43">
        <w:rPr>
          <w:lang w:val="en-US"/>
        </w:rPr>
        <w:t xml:space="preserve"> </w:t>
      </w:r>
      <w:proofErr w:type="spellStart"/>
      <w:r w:rsidRPr="00BF5F43">
        <w:rPr>
          <w:lang w:val="en-US"/>
        </w:rPr>
        <w:t>taktik</w:t>
      </w:r>
      <w:proofErr w:type="spellEnd"/>
      <w:r w:rsidRPr="00BF5F43">
        <w:rPr>
          <w:lang w:val="en-US"/>
        </w:rPr>
        <w:t xml:space="preserve"> </w:t>
      </w:r>
      <w:proofErr w:type="spellStart"/>
      <w:r w:rsidRPr="00BF5F43">
        <w:rPr>
          <w:lang w:val="en-US"/>
        </w:rPr>
        <w:t>olan</w:t>
      </w:r>
      <w:proofErr w:type="spellEnd"/>
      <w:r w:rsidRPr="00BF5F43">
        <w:rPr>
          <w:lang w:val="en-US"/>
        </w:rPr>
        <w:t xml:space="preserve"> </w:t>
      </w:r>
      <w:proofErr w:type="spellStart"/>
      <w:r w:rsidRPr="00BF5F43">
        <w:rPr>
          <w:lang w:val="en-US"/>
        </w:rPr>
        <w:t>bu</w:t>
      </w:r>
      <w:proofErr w:type="spellEnd"/>
      <w:r w:rsidRPr="00BF5F43">
        <w:rPr>
          <w:lang w:val="en-US"/>
        </w:rPr>
        <w:t xml:space="preserve"> </w:t>
      </w:r>
      <w:proofErr w:type="spellStart"/>
      <w:r w:rsidRPr="00BF5F43">
        <w:rPr>
          <w:lang w:val="en-US"/>
        </w:rPr>
        <w:t>uygulama</w:t>
      </w:r>
      <w:proofErr w:type="spellEnd"/>
      <w:r w:rsidRPr="00BF5F43">
        <w:rPr>
          <w:lang w:val="en-US"/>
        </w:rPr>
        <w:t xml:space="preserve">), New Deal </w:t>
      </w:r>
      <w:proofErr w:type="spellStart"/>
      <w:r w:rsidRPr="00BF5F43">
        <w:rPr>
          <w:lang w:val="en-US"/>
        </w:rPr>
        <w:t>dönemindeki</w:t>
      </w:r>
      <w:proofErr w:type="spellEnd"/>
      <w:r w:rsidRPr="00BF5F43">
        <w:rPr>
          <w:lang w:val="en-US"/>
        </w:rPr>
        <w:t xml:space="preserve"> “</w:t>
      </w:r>
      <w:proofErr w:type="spellStart"/>
      <w:r w:rsidRPr="00BF5F43">
        <w:rPr>
          <w:lang w:val="en-US"/>
        </w:rPr>
        <w:t>Mahkeme</w:t>
      </w:r>
      <w:proofErr w:type="spellEnd"/>
      <w:r w:rsidRPr="00BF5F43">
        <w:rPr>
          <w:lang w:val="en-US"/>
        </w:rPr>
        <w:t xml:space="preserve"> </w:t>
      </w:r>
      <w:proofErr w:type="spellStart"/>
      <w:r w:rsidRPr="00BF5F43">
        <w:rPr>
          <w:lang w:val="en-US"/>
        </w:rPr>
        <w:t>Paketleme</w:t>
      </w:r>
      <w:proofErr w:type="spellEnd"/>
      <w:r w:rsidRPr="00BF5F43">
        <w:rPr>
          <w:lang w:val="en-US"/>
        </w:rPr>
        <w:t xml:space="preserve">” (Court Packing) </w:t>
      </w:r>
      <w:proofErr w:type="spellStart"/>
      <w:r w:rsidRPr="00BF5F43">
        <w:rPr>
          <w:lang w:val="en-US"/>
        </w:rPr>
        <w:t>krizi</w:t>
      </w:r>
      <w:proofErr w:type="spellEnd"/>
      <w:r w:rsidRPr="00BF5F43">
        <w:rPr>
          <w:lang w:val="en-US"/>
        </w:rPr>
        <w:t xml:space="preserve"> </w:t>
      </w:r>
      <w:proofErr w:type="spellStart"/>
      <w:r w:rsidRPr="00BF5F43">
        <w:rPr>
          <w:lang w:val="en-US"/>
        </w:rPr>
        <w:t>sırasında</w:t>
      </w:r>
      <w:proofErr w:type="spellEnd"/>
      <w:r w:rsidRPr="00BF5F43">
        <w:rPr>
          <w:lang w:val="en-US"/>
        </w:rPr>
        <w:t xml:space="preserve"> </w:t>
      </w:r>
      <w:proofErr w:type="spellStart"/>
      <w:r w:rsidRPr="00BF5F43">
        <w:rPr>
          <w:lang w:val="en-US"/>
        </w:rPr>
        <w:t>öğrenilmiş</w:t>
      </w:r>
      <w:proofErr w:type="spellEnd"/>
      <w:r w:rsidRPr="00BF5F43">
        <w:rPr>
          <w:lang w:val="en-US"/>
        </w:rPr>
        <w:t xml:space="preserve"> </w:t>
      </w:r>
      <w:proofErr w:type="spellStart"/>
      <w:r w:rsidRPr="00BF5F43">
        <w:rPr>
          <w:lang w:val="en-US"/>
        </w:rPr>
        <w:t>bir</w:t>
      </w:r>
      <w:proofErr w:type="spellEnd"/>
      <w:r w:rsidRPr="00BF5F43">
        <w:rPr>
          <w:lang w:val="en-US"/>
        </w:rPr>
        <w:t xml:space="preserve"> </w:t>
      </w:r>
      <w:proofErr w:type="spellStart"/>
      <w:r w:rsidRPr="00BF5F43">
        <w:rPr>
          <w:lang w:val="en-US"/>
        </w:rPr>
        <w:t>ders</w:t>
      </w:r>
      <w:proofErr w:type="spellEnd"/>
      <w:r w:rsidRPr="00BF5F43">
        <w:rPr>
          <w:lang w:val="en-US"/>
        </w:rPr>
        <w:t xml:space="preserve"> </w:t>
      </w:r>
      <w:proofErr w:type="spellStart"/>
      <w:r w:rsidRPr="00BF5F43">
        <w:rPr>
          <w:lang w:val="en-US"/>
        </w:rPr>
        <w:t>olarak</w:t>
      </w:r>
      <w:proofErr w:type="spellEnd"/>
      <w:r w:rsidRPr="00BF5F43">
        <w:rPr>
          <w:lang w:val="en-US"/>
        </w:rPr>
        <w:t xml:space="preserve"> </w:t>
      </w:r>
      <w:proofErr w:type="spellStart"/>
      <w:r w:rsidRPr="00BF5F43">
        <w:rPr>
          <w:lang w:val="en-US"/>
        </w:rPr>
        <w:t>kabul</w:t>
      </w:r>
      <w:proofErr w:type="spellEnd"/>
      <w:r w:rsidRPr="00BF5F43">
        <w:rPr>
          <w:lang w:val="en-US"/>
        </w:rPr>
        <w:t xml:space="preserve"> </w:t>
      </w:r>
      <w:proofErr w:type="spellStart"/>
      <w:r w:rsidRPr="00BF5F43">
        <w:rPr>
          <w:lang w:val="en-US"/>
        </w:rPr>
        <w:t>edilmektedir</w:t>
      </w:r>
      <w:proofErr w:type="spellEnd"/>
      <w:r w:rsidRPr="00BF5F43">
        <w:rPr>
          <w:lang w:val="en-US"/>
        </w:rPr>
        <w:t>.</w:t>
      </w:r>
      <w:r w:rsidRPr="00BF5F43">
        <w:rPr>
          <w:lang w:val="en-US"/>
        </w:rPr>
        <w:t xml:space="preserve"> </w:t>
      </w:r>
      <w:r w:rsidRPr="00BF5F43">
        <w:rPr>
          <w:lang w:val="en-US"/>
        </w:rPr>
        <w:t xml:space="preserve">İlk </w:t>
      </w:r>
      <w:proofErr w:type="spellStart"/>
      <w:r w:rsidRPr="00BF5F43">
        <w:rPr>
          <w:lang w:val="en-US"/>
        </w:rPr>
        <w:t>konu</w:t>
      </w:r>
      <w:proofErr w:type="spellEnd"/>
      <w:r w:rsidRPr="00BF5F43">
        <w:rPr>
          <w:lang w:val="en-US"/>
        </w:rPr>
        <w:t xml:space="preserve"> </w:t>
      </w:r>
      <w:proofErr w:type="spellStart"/>
      <w:r w:rsidRPr="00BF5F43">
        <w:rPr>
          <w:lang w:val="en-US"/>
        </w:rPr>
        <w:t>hakkında</w:t>
      </w:r>
      <w:proofErr w:type="spellEnd"/>
      <w:r w:rsidRPr="00BF5F43">
        <w:rPr>
          <w:lang w:val="en-US"/>
        </w:rPr>
        <w:t xml:space="preserve"> </w:t>
      </w:r>
      <w:proofErr w:type="spellStart"/>
      <w:r w:rsidRPr="00BF5F43">
        <w:rPr>
          <w:i/>
          <w:iCs/>
          <w:lang w:val="en-US"/>
        </w:rPr>
        <w:t>bkz</w:t>
      </w:r>
      <w:proofErr w:type="spellEnd"/>
      <w:r w:rsidRPr="00BF5F43">
        <w:rPr>
          <w:i/>
          <w:iCs/>
          <w:lang w:val="en-US"/>
        </w:rPr>
        <w:t>.</w:t>
      </w:r>
      <w:r w:rsidRPr="00BF5F43">
        <w:rPr>
          <w:lang w:val="en-US"/>
        </w:rPr>
        <w:t xml:space="preserve"> Ellis, </w:t>
      </w:r>
      <w:r w:rsidRPr="00BF5F43">
        <w:rPr>
          <w:i/>
          <w:iCs/>
          <w:lang w:val="en-US"/>
        </w:rPr>
        <w:t>supra</w:t>
      </w:r>
      <w:r w:rsidRPr="00BF5F43">
        <w:rPr>
          <w:lang w:val="en-US"/>
        </w:rPr>
        <w:t xml:space="preserve"> not 67, s. 67–109; </w:t>
      </w:r>
      <w:proofErr w:type="spellStart"/>
      <w:r w:rsidRPr="00BF5F43">
        <w:rPr>
          <w:lang w:val="en-US"/>
        </w:rPr>
        <w:t>ikinci</w:t>
      </w:r>
      <w:proofErr w:type="spellEnd"/>
      <w:r w:rsidRPr="00BF5F43">
        <w:rPr>
          <w:lang w:val="en-US"/>
        </w:rPr>
        <w:t xml:space="preserve"> </w:t>
      </w:r>
      <w:proofErr w:type="spellStart"/>
      <w:r w:rsidRPr="00BF5F43">
        <w:rPr>
          <w:lang w:val="en-US"/>
        </w:rPr>
        <w:t>konu</w:t>
      </w:r>
      <w:proofErr w:type="spellEnd"/>
      <w:r w:rsidRPr="00BF5F43">
        <w:rPr>
          <w:lang w:val="en-US"/>
        </w:rPr>
        <w:t xml:space="preserve"> </w:t>
      </w:r>
      <w:proofErr w:type="spellStart"/>
      <w:r w:rsidRPr="00BF5F43">
        <w:rPr>
          <w:lang w:val="en-US"/>
        </w:rPr>
        <w:t>hakkında</w:t>
      </w:r>
      <w:proofErr w:type="spellEnd"/>
      <w:r w:rsidRPr="00BF5F43">
        <w:rPr>
          <w:lang w:val="en-US"/>
        </w:rPr>
        <w:t xml:space="preserve"> </w:t>
      </w:r>
      <w:proofErr w:type="spellStart"/>
      <w:r w:rsidRPr="00BF5F43">
        <w:rPr>
          <w:i/>
          <w:iCs/>
          <w:lang w:val="en-US"/>
        </w:rPr>
        <w:t>bkz</w:t>
      </w:r>
      <w:proofErr w:type="spellEnd"/>
      <w:r w:rsidRPr="00BF5F43">
        <w:rPr>
          <w:i/>
          <w:iCs/>
          <w:lang w:val="en-US"/>
        </w:rPr>
        <w:t>.</w:t>
      </w:r>
      <w:r w:rsidRPr="00BF5F43">
        <w:rPr>
          <w:lang w:val="en-US"/>
        </w:rPr>
        <w:t xml:space="preserve"> Jeff </w:t>
      </w:r>
      <w:proofErr w:type="spellStart"/>
      <w:r w:rsidRPr="00BF5F43">
        <w:rPr>
          <w:lang w:val="en-US"/>
        </w:rPr>
        <w:t>Sheshol</w:t>
      </w:r>
      <w:proofErr w:type="spellEnd"/>
      <w:r w:rsidRPr="00BF5F43">
        <w:rPr>
          <w:lang w:val="en-US"/>
        </w:rPr>
        <w:t xml:space="preserve">, </w:t>
      </w:r>
      <w:r w:rsidRPr="00BF5F43">
        <w:rPr>
          <w:i/>
          <w:iCs/>
          <w:lang w:val="en-US"/>
        </w:rPr>
        <w:t>Supreme Power: Franklin Roosevelt vs. The Supreme Court</w:t>
      </w:r>
      <w:r w:rsidRPr="00BF5F43">
        <w:rPr>
          <w:lang w:val="en-US"/>
        </w:rPr>
        <w:t xml:space="preserve"> 59 (2010).</w:t>
      </w:r>
      <w:r>
        <w:rPr>
          <w:lang w:val="en-US"/>
        </w:rPr>
        <w:t xml:space="preserve"> </w:t>
      </w:r>
    </w:p>
  </w:footnote>
  <w:footnote w:id="151">
    <w:p w14:paraId="5C307676" w14:textId="33CC9B2F" w:rsidR="00BF5F43" w:rsidRPr="00BF5F43" w:rsidRDefault="00BF5F43" w:rsidP="00BF5F43">
      <w:pPr>
        <w:pStyle w:val="Dipnot"/>
        <w:rPr>
          <w:lang w:val="en-US"/>
        </w:rPr>
      </w:pPr>
      <w:r>
        <w:rPr>
          <w:rStyle w:val="FootnoteReference"/>
        </w:rPr>
        <w:footnoteRef/>
      </w:r>
      <w:r>
        <w:t xml:space="preserve"> </w:t>
      </w:r>
      <w:r>
        <w:tab/>
      </w:r>
      <w:r w:rsidRPr="00BF5F43">
        <w:rPr>
          <w:lang w:val="en-US"/>
        </w:rPr>
        <w:t xml:space="preserve">151 </w:t>
      </w:r>
      <w:proofErr w:type="spellStart"/>
      <w:r w:rsidRPr="00BF5F43">
        <w:rPr>
          <w:i/>
          <w:iCs/>
          <w:lang w:val="en-US"/>
        </w:rPr>
        <w:t>Bkz</w:t>
      </w:r>
      <w:proofErr w:type="spellEnd"/>
      <w:r w:rsidRPr="00BF5F43">
        <w:rPr>
          <w:i/>
          <w:iCs/>
          <w:lang w:val="en-US"/>
        </w:rPr>
        <w:t xml:space="preserve">. </w:t>
      </w:r>
      <w:proofErr w:type="spellStart"/>
      <w:r w:rsidRPr="00BF5F43">
        <w:rPr>
          <w:i/>
          <w:iCs/>
          <w:lang w:val="en-US"/>
        </w:rPr>
        <w:t>örn</w:t>
      </w:r>
      <w:proofErr w:type="spellEnd"/>
      <w:r w:rsidRPr="00BF5F43">
        <w:rPr>
          <w:i/>
          <w:iCs/>
          <w:lang w:val="en-US"/>
        </w:rPr>
        <w:t>.</w:t>
      </w:r>
      <w:r w:rsidRPr="00BF5F43">
        <w:rPr>
          <w:lang w:val="en-US"/>
        </w:rPr>
        <w:t xml:space="preserve">, Epstein &amp; Segal, </w:t>
      </w:r>
      <w:r w:rsidRPr="00BF5F43">
        <w:rPr>
          <w:i/>
          <w:iCs/>
          <w:lang w:val="en-US"/>
        </w:rPr>
        <w:t>supra</w:t>
      </w:r>
      <w:r w:rsidRPr="00BF5F43">
        <w:rPr>
          <w:lang w:val="en-US"/>
        </w:rPr>
        <w:t xml:space="preserve"> not 133, s. 17 (Yüksek </w:t>
      </w:r>
      <w:proofErr w:type="spellStart"/>
      <w:r w:rsidRPr="00BF5F43">
        <w:rPr>
          <w:lang w:val="en-US"/>
        </w:rPr>
        <w:t>Mahkeme</w:t>
      </w:r>
      <w:proofErr w:type="spellEnd"/>
      <w:r w:rsidRPr="00BF5F43">
        <w:rPr>
          <w:lang w:val="en-US"/>
        </w:rPr>
        <w:t xml:space="preserve"> </w:t>
      </w:r>
      <w:proofErr w:type="spellStart"/>
      <w:r w:rsidRPr="00BF5F43">
        <w:rPr>
          <w:lang w:val="en-US"/>
        </w:rPr>
        <w:t>atamaları</w:t>
      </w:r>
      <w:proofErr w:type="spellEnd"/>
      <w:r w:rsidRPr="00BF5F43">
        <w:rPr>
          <w:lang w:val="en-US"/>
        </w:rPr>
        <w:t xml:space="preserve"> </w:t>
      </w:r>
      <w:proofErr w:type="spellStart"/>
      <w:r w:rsidRPr="00BF5F43">
        <w:rPr>
          <w:lang w:val="en-US"/>
        </w:rPr>
        <w:t>için</w:t>
      </w:r>
      <w:proofErr w:type="spellEnd"/>
      <w:r w:rsidRPr="00BF5F43">
        <w:rPr>
          <w:lang w:val="en-US"/>
        </w:rPr>
        <w:t xml:space="preserve"> </w:t>
      </w:r>
      <w:proofErr w:type="spellStart"/>
      <w:r w:rsidRPr="00BF5F43">
        <w:rPr>
          <w:lang w:val="en-US"/>
        </w:rPr>
        <w:t>önceden</w:t>
      </w:r>
      <w:proofErr w:type="spellEnd"/>
      <w:r w:rsidRPr="00BF5F43">
        <w:rPr>
          <w:lang w:val="en-US"/>
        </w:rPr>
        <w:t xml:space="preserve"> </w:t>
      </w:r>
      <w:proofErr w:type="spellStart"/>
      <w:r w:rsidRPr="00BF5F43">
        <w:rPr>
          <w:lang w:val="en-US"/>
        </w:rPr>
        <w:t>yargıçlık</w:t>
      </w:r>
      <w:proofErr w:type="spellEnd"/>
      <w:r w:rsidRPr="00BF5F43">
        <w:rPr>
          <w:lang w:val="en-US"/>
        </w:rPr>
        <w:t xml:space="preserve"> </w:t>
      </w:r>
      <w:proofErr w:type="spellStart"/>
      <w:r w:rsidRPr="00BF5F43">
        <w:rPr>
          <w:lang w:val="en-US"/>
        </w:rPr>
        <w:t>yapmış</w:t>
      </w:r>
      <w:proofErr w:type="spellEnd"/>
      <w:r w:rsidRPr="00BF5F43">
        <w:rPr>
          <w:lang w:val="en-US"/>
        </w:rPr>
        <w:t xml:space="preserve"> </w:t>
      </w:r>
      <w:proofErr w:type="spellStart"/>
      <w:r w:rsidRPr="00BF5F43">
        <w:rPr>
          <w:lang w:val="en-US"/>
        </w:rPr>
        <w:t>olma</w:t>
      </w:r>
      <w:proofErr w:type="spellEnd"/>
      <w:r w:rsidRPr="00BF5F43">
        <w:rPr>
          <w:lang w:val="en-US"/>
        </w:rPr>
        <w:t xml:space="preserve"> </w:t>
      </w:r>
      <w:proofErr w:type="spellStart"/>
      <w:r w:rsidRPr="00BF5F43">
        <w:rPr>
          <w:lang w:val="en-US"/>
        </w:rPr>
        <w:t>zorunluluğu</w:t>
      </w:r>
      <w:proofErr w:type="spellEnd"/>
      <w:r w:rsidRPr="00BF5F43">
        <w:rPr>
          <w:lang w:val="en-US"/>
        </w:rPr>
        <w:t xml:space="preserve"> </w:t>
      </w:r>
      <w:proofErr w:type="spellStart"/>
      <w:r w:rsidRPr="00BF5F43">
        <w:rPr>
          <w:lang w:val="en-US"/>
        </w:rPr>
        <w:t>getirme</w:t>
      </w:r>
      <w:proofErr w:type="spellEnd"/>
      <w:r w:rsidRPr="00BF5F43">
        <w:rPr>
          <w:lang w:val="en-US"/>
        </w:rPr>
        <w:t xml:space="preserve"> </w:t>
      </w:r>
      <w:proofErr w:type="spellStart"/>
      <w:r w:rsidRPr="00BF5F43">
        <w:rPr>
          <w:lang w:val="en-US"/>
        </w:rPr>
        <w:t>çabalarını</w:t>
      </w:r>
      <w:proofErr w:type="spellEnd"/>
      <w:r w:rsidRPr="00BF5F43">
        <w:rPr>
          <w:lang w:val="en-US"/>
        </w:rPr>
        <w:t xml:space="preserve"> </w:t>
      </w:r>
      <w:proofErr w:type="spellStart"/>
      <w:r w:rsidRPr="00BF5F43">
        <w:rPr>
          <w:lang w:val="en-US"/>
        </w:rPr>
        <w:t>tartışan</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bunun</w:t>
      </w:r>
      <w:proofErr w:type="spellEnd"/>
      <w:r w:rsidRPr="00BF5F43">
        <w:rPr>
          <w:lang w:val="en-US"/>
        </w:rPr>
        <w:t xml:space="preserve"> </w:t>
      </w:r>
      <w:proofErr w:type="spellStart"/>
      <w:r w:rsidRPr="00BF5F43">
        <w:rPr>
          <w:lang w:val="en-US"/>
        </w:rPr>
        <w:t>öngörülen</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öngörülmeyen</w:t>
      </w:r>
      <w:proofErr w:type="spellEnd"/>
      <w:r w:rsidRPr="00BF5F43">
        <w:rPr>
          <w:lang w:val="en-US"/>
        </w:rPr>
        <w:t xml:space="preserve"> </w:t>
      </w:r>
      <w:proofErr w:type="spellStart"/>
      <w:r w:rsidRPr="00BF5F43">
        <w:rPr>
          <w:lang w:val="en-US"/>
        </w:rPr>
        <w:t>sonuçlarını</w:t>
      </w:r>
      <w:proofErr w:type="spellEnd"/>
      <w:r w:rsidRPr="00BF5F43">
        <w:rPr>
          <w:lang w:val="en-US"/>
        </w:rPr>
        <w:t xml:space="preserve"> </w:t>
      </w:r>
      <w:proofErr w:type="spellStart"/>
      <w:r w:rsidRPr="00BF5F43">
        <w:rPr>
          <w:lang w:val="en-US"/>
        </w:rPr>
        <w:t>değerlendiren</w:t>
      </w:r>
      <w:proofErr w:type="spellEnd"/>
      <w:r w:rsidRPr="00BF5F43">
        <w:rPr>
          <w:lang w:val="en-US"/>
        </w:rPr>
        <w:t xml:space="preserve"> </w:t>
      </w:r>
      <w:proofErr w:type="spellStart"/>
      <w:r w:rsidRPr="00BF5F43">
        <w:rPr>
          <w:lang w:val="en-US"/>
        </w:rPr>
        <w:t>çalışma</w:t>
      </w:r>
      <w:proofErr w:type="spellEnd"/>
      <w:r w:rsidRPr="00BF5F43">
        <w:rPr>
          <w:lang w:val="en-US"/>
        </w:rPr>
        <w:t>).</w:t>
      </w:r>
      <w:r>
        <w:rPr>
          <w:lang w:val="en-US"/>
        </w:rPr>
        <w:t xml:space="preserve"> </w:t>
      </w:r>
    </w:p>
  </w:footnote>
  <w:footnote w:id="152">
    <w:p w14:paraId="22FF4688" w14:textId="186F5BB0" w:rsidR="00BF5F43" w:rsidRPr="00BF5F43" w:rsidRDefault="00BF5F43" w:rsidP="00BF5F43">
      <w:pPr>
        <w:pStyle w:val="Dipnot"/>
        <w:rPr>
          <w:lang w:val="en-US"/>
        </w:rPr>
      </w:pPr>
      <w:r>
        <w:rPr>
          <w:rStyle w:val="FootnoteReference"/>
        </w:rPr>
        <w:footnoteRef/>
      </w:r>
      <w:r>
        <w:t xml:space="preserve">  </w:t>
      </w:r>
      <w:r>
        <w:tab/>
      </w:r>
      <w:r w:rsidRPr="00BF5F43">
        <w:rPr>
          <w:lang w:val="en-US"/>
        </w:rPr>
        <w:t xml:space="preserve">152 </w:t>
      </w:r>
      <w:proofErr w:type="spellStart"/>
      <w:r w:rsidRPr="00BF5F43">
        <w:rPr>
          <w:i/>
          <w:iCs/>
          <w:lang w:val="en-US"/>
        </w:rPr>
        <w:t>Bkz</w:t>
      </w:r>
      <w:proofErr w:type="spellEnd"/>
      <w:r w:rsidRPr="00BF5F43">
        <w:rPr>
          <w:i/>
          <w:iCs/>
          <w:lang w:val="en-US"/>
        </w:rPr>
        <w:t>.</w:t>
      </w:r>
      <w:r w:rsidRPr="00BF5F43">
        <w:rPr>
          <w:lang w:val="en-US"/>
        </w:rPr>
        <w:t xml:space="preserve"> Smith, </w:t>
      </w:r>
      <w:r w:rsidRPr="00BF5F43">
        <w:rPr>
          <w:i/>
          <w:iCs/>
          <w:lang w:val="en-US"/>
        </w:rPr>
        <w:t>supra</w:t>
      </w:r>
      <w:r w:rsidRPr="00BF5F43">
        <w:rPr>
          <w:lang w:val="en-US"/>
        </w:rPr>
        <w:t xml:space="preserve"> not 93, s. 24 (Yüksek </w:t>
      </w:r>
      <w:proofErr w:type="spellStart"/>
      <w:r w:rsidRPr="00BF5F43">
        <w:rPr>
          <w:lang w:val="en-US"/>
        </w:rPr>
        <w:t>Mahkeme’de</w:t>
      </w:r>
      <w:proofErr w:type="spellEnd"/>
      <w:r w:rsidRPr="00BF5F43">
        <w:rPr>
          <w:lang w:val="en-US"/>
        </w:rPr>
        <w:t xml:space="preserve"> amicus curiae </w:t>
      </w:r>
      <w:proofErr w:type="spellStart"/>
      <w:r w:rsidRPr="00BF5F43">
        <w:rPr>
          <w:lang w:val="en-US"/>
        </w:rPr>
        <w:t>dilekçelerine</w:t>
      </w:r>
      <w:proofErr w:type="spellEnd"/>
      <w:r w:rsidRPr="00BF5F43">
        <w:rPr>
          <w:lang w:val="en-US"/>
        </w:rPr>
        <w:t xml:space="preserve"> </w:t>
      </w:r>
      <w:proofErr w:type="spellStart"/>
      <w:r w:rsidRPr="00BF5F43">
        <w:rPr>
          <w:lang w:val="en-US"/>
        </w:rPr>
        <w:t>bazı</w:t>
      </w:r>
      <w:proofErr w:type="spellEnd"/>
      <w:r w:rsidRPr="00BF5F43">
        <w:rPr>
          <w:lang w:val="en-US"/>
        </w:rPr>
        <w:t xml:space="preserve"> </w:t>
      </w:r>
      <w:proofErr w:type="spellStart"/>
      <w:r w:rsidRPr="00BF5F43">
        <w:rPr>
          <w:lang w:val="en-US"/>
        </w:rPr>
        <w:t>sınırlamalar</w:t>
      </w:r>
      <w:proofErr w:type="spellEnd"/>
      <w:r w:rsidRPr="00BF5F43">
        <w:rPr>
          <w:lang w:val="en-US"/>
        </w:rPr>
        <w:t xml:space="preserve"> </w:t>
      </w:r>
      <w:proofErr w:type="spellStart"/>
      <w:r w:rsidRPr="00BF5F43">
        <w:rPr>
          <w:lang w:val="en-US"/>
        </w:rPr>
        <w:t>getiren</w:t>
      </w:r>
      <w:proofErr w:type="spellEnd"/>
      <w:r w:rsidRPr="00BF5F43">
        <w:rPr>
          <w:lang w:val="en-US"/>
        </w:rPr>
        <w:t xml:space="preserve"> </w:t>
      </w:r>
      <w:proofErr w:type="spellStart"/>
      <w:r w:rsidRPr="00BF5F43">
        <w:rPr>
          <w:lang w:val="en-US"/>
        </w:rPr>
        <w:t>ve</w:t>
      </w:r>
      <w:proofErr w:type="spellEnd"/>
      <w:r w:rsidRPr="00BF5F43">
        <w:rPr>
          <w:lang w:val="en-US"/>
        </w:rPr>
        <w:t xml:space="preserve"> </w:t>
      </w:r>
      <w:proofErr w:type="spellStart"/>
      <w:r w:rsidRPr="00BF5F43">
        <w:rPr>
          <w:lang w:val="en-US"/>
        </w:rPr>
        <w:t>Yedinci</w:t>
      </w:r>
      <w:proofErr w:type="spellEnd"/>
      <w:r w:rsidRPr="00BF5F43">
        <w:rPr>
          <w:lang w:val="en-US"/>
        </w:rPr>
        <w:t xml:space="preserve"> </w:t>
      </w:r>
      <w:proofErr w:type="spellStart"/>
      <w:r w:rsidRPr="00BF5F43">
        <w:rPr>
          <w:lang w:val="en-US"/>
        </w:rPr>
        <w:t>Daire’de</w:t>
      </w:r>
      <w:proofErr w:type="spellEnd"/>
      <w:r w:rsidRPr="00BF5F43">
        <w:rPr>
          <w:lang w:val="en-US"/>
        </w:rPr>
        <w:t xml:space="preserve"> </w:t>
      </w:r>
      <w:proofErr w:type="spellStart"/>
      <w:r w:rsidRPr="00BF5F43">
        <w:rPr>
          <w:lang w:val="en-US"/>
        </w:rPr>
        <w:t>daha</w:t>
      </w:r>
      <w:proofErr w:type="spellEnd"/>
      <w:r w:rsidRPr="00BF5F43">
        <w:rPr>
          <w:lang w:val="en-US"/>
        </w:rPr>
        <w:t xml:space="preserve"> </w:t>
      </w:r>
      <w:proofErr w:type="spellStart"/>
      <w:r w:rsidRPr="00BF5F43">
        <w:rPr>
          <w:lang w:val="en-US"/>
        </w:rPr>
        <w:t>kapsamlı</w:t>
      </w:r>
      <w:proofErr w:type="spellEnd"/>
      <w:r w:rsidRPr="00BF5F43">
        <w:rPr>
          <w:lang w:val="en-US"/>
        </w:rPr>
        <w:t xml:space="preserve"> </w:t>
      </w:r>
      <w:proofErr w:type="spellStart"/>
      <w:r w:rsidRPr="00BF5F43">
        <w:rPr>
          <w:lang w:val="en-US"/>
        </w:rPr>
        <w:t>kısıtlamalar</w:t>
      </w:r>
      <w:proofErr w:type="spellEnd"/>
      <w:r w:rsidRPr="00BF5F43">
        <w:rPr>
          <w:lang w:val="en-US"/>
        </w:rPr>
        <w:t xml:space="preserve"> </w:t>
      </w:r>
      <w:proofErr w:type="spellStart"/>
      <w:r w:rsidRPr="00BF5F43">
        <w:rPr>
          <w:lang w:val="en-US"/>
        </w:rPr>
        <w:t>uygulayan</w:t>
      </w:r>
      <w:proofErr w:type="spellEnd"/>
      <w:r w:rsidRPr="00BF5F43">
        <w:rPr>
          <w:lang w:val="en-US"/>
        </w:rPr>
        <w:t xml:space="preserve"> </w:t>
      </w:r>
      <w:proofErr w:type="spellStart"/>
      <w:r w:rsidRPr="00BF5F43">
        <w:rPr>
          <w:lang w:val="en-US"/>
        </w:rPr>
        <w:t>reformları</w:t>
      </w:r>
      <w:proofErr w:type="spellEnd"/>
      <w:r w:rsidRPr="00BF5F43">
        <w:rPr>
          <w:lang w:val="en-US"/>
        </w:rPr>
        <w:t xml:space="preserve"> </w:t>
      </w:r>
      <w:proofErr w:type="spellStart"/>
      <w:r w:rsidRPr="00BF5F43">
        <w:rPr>
          <w:lang w:val="en-US"/>
        </w:rPr>
        <w:t>tartışan</w:t>
      </w:r>
      <w:proofErr w:type="spellEnd"/>
      <w:r w:rsidRPr="00BF5F43">
        <w:rPr>
          <w:lang w:val="en-US"/>
        </w:rPr>
        <w:t xml:space="preserve"> </w:t>
      </w:r>
      <w:proofErr w:type="spellStart"/>
      <w:r w:rsidRPr="00BF5F43">
        <w:rPr>
          <w:lang w:val="en-US"/>
        </w:rPr>
        <w:t>çalışma</w:t>
      </w:r>
      <w:proofErr w:type="spellEnd"/>
      <w:r w:rsidRPr="00BF5F43">
        <w:rPr>
          <w:lang w:val="en-US"/>
        </w:rPr>
        <w:t>).</w:t>
      </w:r>
    </w:p>
  </w:footnote>
  <w:footnote w:id="153">
    <w:p w14:paraId="15BCE692" w14:textId="6DFCF4FA" w:rsidR="00BF5F43" w:rsidRPr="00BF5F43" w:rsidRDefault="00BF5F43" w:rsidP="00BF5F43">
      <w:pPr>
        <w:pStyle w:val="Dipnot"/>
        <w:rPr>
          <w:lang w:val="en-US"/>
        </w:rPr>
      </w:pPr>
      <w:r>
        <w:rPr>
          <w:rStyle w:val="FootnoteReference"/>
        </w:rPr>
        <w:footnoteRef/>
      </w:r>
      <w:r>
        <w:t xml:space="preserve"> </w:t>
      </w:r>
      <w:r>
        <w:tab/>
      </w:r>
      <w:proofErr w:type="spellStart"/>
      <w:r w:rsidRPr="00BF5F43">
        <w:t>See</w:t>
      </w:r>
      <w:proofErr w:type="spellEnd"/>
      <w:r w:rsidRPr="00BF5F43">
        <w:t xml:space="preserve"> </w:t>
      </w:r>
      <w:proofErr w:type="spellStart"/>
      <w:r w:rsidRPr="00BF5F43">
        <w:t>supra</w:t>
      </w:r>
      <w:proofErr w:type="spellEnd"/>
      <w:r w:rsidRPr="00BF5F43">
        <w:t xml:space="preserve"> </w:t>
      </w:r>
      <w:proofErr w:type="spellStart"/>
      <w:r w:rsidRPr="00BF5F43">
        <w:t>notes</w:t>
      </w:r>
      <w:proofErr w:type="spellEnd"/>
      <w:r w:rsidRPr="00BF5F43">
        <w:t xml:space="preserve"> 52-53 </w:t>
      </w:r>
      <w:proofErr w:type="spellStart"/>
      <w:r w:rsidRPr="00BF5F43">
        <w:t>and</w:t>
      </w:r>
      <w:proofErr w:type="spellEnd"/>
      <w:r w:rsidRPr="00BF5F43">
        <w:t xml:space="preserve"> </w:t>
      </w:r>
      <w:proofErr w:type="spellStart"/>
      <w:r w:rsidRPr="00BF5F43">
        <w:t>accompanying</w:t>
      </w:r>
      <w:proofErr w:type="spellEnd"/>
      <w:r w:rsidRPr="00BF5F43">
        <w:t xml:space="preserve"> </w:t>
      </w:r>
      <w:proofErr w:type="spellStart"/>
      <w:r w:rsidRPr="00BF5F43">
        <w:t>text</w:t>
      </w:r>
      <w:proofErr w:type="spellEnd"/>
      <w:r w:rsidRPr="00BF5F43">
        <w:t xml:space="preserve"> (</w:t>
      </w:r>
      <w:proofErr w:type="spellStart"/>
      <w:r w:rsidRPr="00BF5F43">
        <w:t>discussing</w:t>
      </w:r>
      <w:proofErr w:type="spellEnd"/>
      <w:r w:rsidRPr="00BF5F43">
        <w:t xml:space="preserve"> </w:t>
      </w:r>
      <w:proofErr w:type="spellStart"/>
      <w:r w:rsidRPr="00BF5F43">
        <w:t>the</w:t>
      </w:r>
      <w:proofErr w:type="spellEnd"/>
      <w:r w:rsidRPr="00BF5F43">
        <w:t xml:space="preserve"> </w:t>
      </w:r>
      <w:proofErr w:type="spellStart"/>
      <w:r w:rsidRPr="00BF5F43">
        <w:t>effort</w:t>
      </w:r>
      <w:proofErr w:type="spellEnd"/>
      <w:r w:rsidRPr="00BF5F43">
        <w:t xml:space="preserve"> </w:t>
      </w:r>
      <w:proofErr w:type="spellStart"/>
      <w:r w:rsidRPr="00BF5F43">
        <w:t>to</w:t>
      </w:r>
      <w:proofErr w:type="spellEnd"/>
      <w:r w:rsidRPr="00BF5F43">
        <w:t xml:space="preserve"> reform </w:t>
      </w:r>
      <w:proofErr w:type="spellStart"/>
      <w:r w:rsidRPr="00BF5F43">
        <w:t>constitu</w:t>
      </w:r>
      <w:proofErr w:type="spellEnd"/>
      <w:r w:rsidRPr="00BF5F43">
        <w:t xml:space="preserve"> </w:t>
      </w:r>
      <w:proofErr w:type="spellStart"/>
      <w:r w:rsidRPr="00BF5F43">
        <w:t>tional</w:t>
      </w:r>
      <w:proofErr w:type="spellEnd"/>
      <w:r w:rsidRPr="00BF5F43">
        <w:t xml:space="preserve"> </w:t>
      </w:r>
      <w:proofErr w:type="spellStart"/>
      <w:r w:rsidRPr="00BF5F43">
        <w:t>decisionmaking</w:t>
      </w:r>
      <w:proofErr w:type="spellEnd"/>
      <w:r w:rsidRPr="00BF5F43">
        <w:t xml:space="preserve"> </w:t>
      </w:r>
      <w:proofErr w:type="spellStart"/>
      <w:r w:rsidRPr="00BF5F43">
        <w:t>to</w:t>
      </w:r>
      <w:proofErr w:type="spellEnd"/>
      <w:r w:rsidRPr="00BF5F43">
        <w:t xml:space="preserve"> </w:t>
      </w:r>
      <w:proofErr w:type="spellStart"/>
      <w:r w:rsidRPr="00BF5F43">
        <w:t>privilege</w:t>
      </w:r>
      <w:proofErr w:type="spellEnd"/>
      <w:r w:rsidRPr="00BF5F43">
        <w:t xml:space="preserve"> </w:t>
      </w:r>
      <w:proofErr w:type="spellStart"/>
      <w:r w:rsidRPr="00BF5F43">
        <w:t>originalist</w:t>
      </w:r>
      <w:proofErr w:type="spellEnd"/>
      <w:r w:rsidRPr="00BF5F43">
        <w:t xml:space="preserve"> </w:t>
      </w:r>
      <w:proofErr w:type="spellStart"/>
      <w:r w:rsidRPr="00BF5F43">
        <w:t>arguments</w:t>
      </w:r>
      <w:proofErr w:type="spellEnd"/>
      <w:r w:rsidRPr="00BF5F43">
        <w:t>).</w:t>
      </w:r>
    </w:p>
  </w:footnote>
  <w:footnote w:id="154">
    <w:p w14:paraId="3BD18518" w14:textId="29577015" w:rsidR="00AF6E83" w:rsidRPr="00AF6E83" w:rsidRDefault="00AF6E83" w:rsidP="00AF6E83">
      <w:pPr>
        <w:pStyle w:val="Dipnot"/>
        <w:rPr>
          <w:lang w:val="en-US"/>
        </w:rPr>
      </w:pPr>
      <w:r>
        <w:rPr>
          <w:rStyle w:val="FootnoteReference"/>
        </w:rPr>
        <w:footnoteRef/>
      </w:r>
      <w:r>
        <w:t xml:space="preserve"> </w:t>
      </w:r>
      <w:r>
        <w:tab/>
      </w:r>
      <w:r w:rsidRPr="00AF6E83">
        <w:t xml:space="preserve">154 Kültürel tarihin temaları ve çeşitli nesneleri hakkında bir giriş için </w:t>
      </w:r>
      <w:r w:rsidRPr="00AF6E83">
        <w:rPr>
          <w:i/>
          <w:iCs/>
        </w:rPr>
        <w:t>bkz.</w:t>
      </w:r>
      <w:r w:rsidRPr="00AF6E83">
        <w:t xml:space="preserve"> Peter Burke, </w:t>
      </w:r>
      <w:proofErr w:type="spellStart"/>
      <w:r w:rsidRPr="00AF6E83">
        <w:rPr>
          <w:i/>
          <w:iCs/>
        </w:rPr>
        <w:t>What</w:t>
      </w:r>
      <w:proofErr w:type="spellEnd"/>
      <w:r w:rsidRPr="00AF6E83">
        <w:rPr>
          <w:i/>
          <w:iCs/>
        </w:rPr>
        <w:t xml:space="preserve"> Is </w:t>
      </w:r>
      <w:proofErr w:type="spellStart"/>
      <w:r w:rsidRPr="00AF6E83">
        <w:rPr>
          <w:i/>
          <w:iCs/>
        </w:rPr>
        <w:t>Cultural</w:t>
      </w:r>
      <w:proofErr w:type="spellEnd"/>
      <w:r w:rsidRPr="00AF6E83">
        <w:rPr>
          <w:i/>
          <w:iCs/>
        </w:rPr>
        <w:t xml:space="preserve"> </w:t>
      </w:r>
      <w:proofErr w:type="spellStart"/>
      <w:r w:rsidRPr="00AF6E83">
        <w:rPr>
          <w:i/>
          <w:iCs/>
        </w:rPr>
        <w:t>History</w:t>
      </w:r>
      <w:proofErr w:type="spellEnd"/>
      <w:r w:rsidRPr="00AF6E83">
        <w:t xml:space="preserve"> (2. bas. 2008).</w:t>
      </w:r>
    </w:p>
  </w:footnote>
  <w:footnote w:id="155">
    <w:p w14:paraId="44A94472" w14:textId="01F9D2B8" w:rsidR="00AF6E83" w:rsidRPr="00AF6E83" w:rsidRDefault="00AF6E83" w:rsidP="00AF6E83">
      <w:pPr>
        <w:pStyle w:val="Dipnot"/>
        <w:rPr>
          <w:lang w:val="en-US"/>
        </w:rPr>
      </w:pPr>
      <w:r>
        <w:rPr>
          <w:rStyle w:val="FootnoteReference"/>
        </w:rPr>
        <w:footnoteRef/>
      </w:r>
      <w:r>
        <w:t xml:space="preserve"> </w:t>
      </w:r>
      <w:r>
        <w:rPr>
          <w:lang w:val="en-US"/>
        </w:rPr>
        <w:tab/>
      </w:r>
      <w:r w:rsidRPr="00AF6E83">
        <w:t xml:space="preserve">155 Kültürel tarihin, geniş bir yelpazedeki kültürel biçimlerle başa çıkmada eşit derecede yetkin bir metodoloji olduğunu açıklayan çalışma için </w:t>
      </w:r>
      <w:r w:rsidRPr="00AF6E83">
        <w:rPr>
          <w:i/>
          <w:iCs/>
        </w:rPr>
        <w:t>bkz.</w:t>
      </w:r>
      <w:r w:rsidRPr="00AF6E83">
        <w:t xml:space="preserve"> Alessandro </w:t>
      </w:r>
      <w:proofErr w:type="spellStart"/>
      <w:r w:rsidRPr="00AF6E83">
        <w:t>Arcangeli</w:t>
      </w:r>
      <w:proofErr w:type="spellEnd"/>
      <w:r w:rsidRPr="00AF6E83">
        <w:t xml:space="preserve">, </w:t>
      </w:r>
      <w:proofErr w:type="spellStart"/>
      <w:r w:rsidRPr="00AF6E83">
        <w:rPr>
          <w:i/>
          <w:iCs/>
        </w:rPr>
        <w:t>Cultural</w:t>
      </w:r>
      <w:proofErr w:type="spellEnd"/>
      <w:r w:rsidRPr="00AF6E83">
        <w:rPr>
          <w:i/>
          <w:iCs/>
        </w:rPr>
        <w:t xml:space="preserve"> </w:t>
      </w:r>
      <w:proofErr w:type="spellStart"/>
      <w:r w:rsidRPr="00AF6E83">
        <w:rPr>
          <w:i/>
          <w:iCs/>
        </w:rPr>
        <w:t>History</w:t>
      </w:r>
      <w:proofErr w:type="spellEnd"/>
      <w:r w:rsidRPr="00AF6E83">
        <w:rPr>
          <w:i/>
          <w:iCs/>
        </w:rPr>
        <w:t xml:space="preserve">: A Concise </w:t>
      </w:r>
      <w:proofErr w:type="spellStart"/>
      <w:r w:rsidRPr="00AF6E83">
        <w:rPr>
          <w:i/>
          <w:iCs/>
        </w:rPr>
        <w:t>Introduction</w:t>
      </w:r>
      <w:proofErr w:type="spellEnd"/>
      <w:r w:rsidRPr="00AF6E83">
        <w:t xml:space="preserve"> (2012).</w:t>
      </w:r>
    </w:p>
  </w:footnote>
  <w:footnote w:id="156">
    <w:p w14:paraId="13C0F925" w14:textId="08B86596" w:rsidR="00A21E04" w:rsidRPr="00A21E04" w:rsidRDefault="00A21E04" w:rsidP="00A21E04">
      <w:pPr>
        <w:pStyle w:val="Dipnot"/>
        <w:rPr>
          <w:lang w:val="en-US"/>
        </w:rPr>
      </w:pPr>
      <w:r>
        <w:rPr>
          <w:rStyle w:val="FootnoteReference"/>
        </w:rPr>
        <w:footnoteRef/>
      </w:r>
      <w:r>
        <w:t xml:space="preserve"> </w:t>
      </w:r>
      <w:r>
        <w:tab/>
      </w:r>
      <w:r w:rsidRPr="00A21E04">
        <w:t>156</w:t>
      </w:r>
      <w:r>
        <w:t xml:space="preserve"> </w:t>
      </w:r>
      <w:r w:rsidRPr="00A21E04">
        <w:t xml:space="preserve">21 Ağustos 2014 tarihinde </w:t>
      </w:r>
      <w:proofErr w:type="spellStart"/>
      <w:r w:rsidRPr="00A21E04">
        <w:t>Westlaw</w:t>
      </w:r>
      <w:proofErr w:type="spellEnd"/>
      <w:r w:rsidRPr="00A21E04">
        <w:t xml:space="preserve"> “JLR” veri tabanında yapılan bir arama, “anayasal kültür” (</w:t>
      </w:r>
      <w:proofErr w:type="spellStart"/>
      <w:r w:rsidRPr="00A21E04">
        <w:t>constitutional</w:t>
      </w:r>
      <w:proofErr w:type="spellEnd"/>
      <w:r w:rsidRPr="00A21E04">
        <w:t xml:space="preserve"> </w:t>
      </w:r>
      <w:proofErr w:type="spellStart"/>
      <w:r w:rsidRPr="00A21E04">
        <w:t>culture</w:t>
      </w:r>
      <w:proofErr w:type="spellEnd"/>
      <w:r w:rsidRPr="00A21E04">
        <w:t>) terimini tam olarak kullanan 1.661 makale bulunduğunu ortaya koymaktadır.</w:t>
      </w:r>
    </w:p>
  </w:footnote>
  <w:footnote w:id="157">
    <w:p w14:paraId="48CCAFEC" w14:textId="6F85CF5E" w:rsidR="00A21E04" w:rsidRPr="00A21E04" w:rsidRDefault="00A21E04" w:rsidP="00A21E04">
      <w:pPr>
        <w:pStyle w:val="Dipnot"/>
      </w:pPr>
      <w:r>
        <w:rPr>
          <w:rStyle w:val="FootnoteReference"/>
        </w:rPr>
        <w:footnoteRef/>
      </w:r>
      <w:r>
        <w:t xml:space="preserve"> </w:t>
      </w:r>
      <w:r>
        <w:tab/>
      </w:r>
      <w:r w:rsidRPr="00A21E04">
        <w:t>157</w:t>
      </w:r>
      <w:r>
        <w:t xml:space="preserve"> </w:t>
      </w:r>
      <w:r w:rsidRPr="00A21E04">
        <w:t xml:space="preserve">Bkz., ör., Post, </w:t>
      </w:r>
      <w:proofErr w:type="spellStart"/>
      <w:r w:rsidRPr="00A21E04">
        <w:rPr>
          <w:i/>
          <w:iCs/>
        </w:rPr>
        <w:t>supra</w:t>
      </w:r>
      <w:proofErr w:type="spellEnd"/>
      <w:r w:rsidRPr="00A21E04">
        <w:t xml:space="preserve"> dipnot 2; </w:t>
      </w:r>
      <w:proofErr w:type="spellStart"/>
      <w:r w:rsidRPr="00A21E04">
        <w:t>Siegel</w:t>
      </w:r>
      <w:proofErr w:type="spellEnd"/>
      <w:r w:rsidRPr="00A21E04">
        <w:t xml:space="preserve">, </w:t>
      </w:r>
      <w:proofErr w:type="spellStart"/>
      <w:r w:rsidRPr="00A21E04">
        <w:rPr>
          <w:i/>
          <w:iCs/>
        </w:rPr>
        <w:t>supra</w:t>
      </w:r>
      <w:proofErr w:type="spellEnd"/>
      <w:r w:rsidRPr="00A21E04">
        <w:t xml:space="preserve"> dipnot 2.</w:t>
      </w:r>
    </w:p>
  </w:footnote>
  <w:footnote w:id="158">
    <w:p w14:paraId="384FD544" w14:textId="04ED86C0" w:rsidR="00A21E04" w:rsidRPr="00A21E04" w:rsidRDefault="00A21E04" w:rsidP="00A21E04">
      <w:pPr>
        <w:pStyle w:val="Dipnot"/>
        <w:rPr>
          <w:lang w:val="en-US"/>
        </w:rPr>
      </w:pPr>
      <w:r>
        <w:rPr>
          <w:rStyle w:val="FootnoteReference"/>
        </w:rPr>
        <w:footnoteRef/>
      </w:r>
      <w:r>
        <w:t xml:space="preserve"> </w:t>
      </w:r>
      <w:r>
        <w:tab/>
      </w:r>
      <w:r w:rsidRPr="00A21E04">
        <w:t>158</w:t>
      </w:r>
      <w:r>
        <w:t xml:space="preserve"> </w:t>
      </w:r>
      <w:r w:rsidRPr="00A21E04">
        <w:t xml:space="preserve">Bkz., ör., John </w:t>
      </w:r>
      <w:proofErr w:type="spellStart"/>
      <w:r w:rsidRPr="00A21E04">
        <w:t>Ferejohn</w:t>
      </w:r>
      <w:proofErr w:type="spellEnd"/>
      <w:r w:rsidRPr="00A21E04">
        <w:t xml:space="preserve"> ve diğerleri, </w:t>
      </w:r>
      <w:proofErr w:type="spellStart"/>
      <w:r w:rsidRPr="00A21E04">
        <w:rPr>
          <w:i/>
          <w:iCs/>
        </w:rPr>
        <w:t>Constitutional</w:t>
      </w:r>
      <w:proofErr w:type="spellEnd"/>
      <w:r w:rsidRPr="00A21E04">
        <w:rPr>
          <w:i/>
          <w:iCs/>
        </w:rPr>
        <w:t xml:space="preserve"> </w:t>
      </w:r>
      <w:proofErr w:type="spellStart"/>
      <w:r w:rsidRPr="00A21E04">
        <w:rPr>
          <w:i/>
          <w:iCs/>
        </w:rPr>
        <w:t>Culture</w:t>
      </w:r>
      <w:proofErr w:type="spellEnd"/>
      <w:r w:rsidRPr="00A21E04">
        <w:rPr>
          <w:i/>
          <w:iCs/>
        </w:rPr>
        <w:t xml:space="preserve"> </w:t>
      </w:r>
      <w:proofErr w:type="spellStart"/>
      <w:r w:rsidRPr="00A21E04">
        <w:rPr>
          <w:i/>
          <w:iCs/>
        </w:rPr>
        <w:t>and</w:t>
      </w:r>
      <w:proofErr w:type="spellEnd"/>
      <w:r w:rsidRPr="00A21E04">
        <w:rPr>
          <w:i/>
          <w:iCs/>
        </w:rPr>
        <w:t xml:space="preserve"> </w:t>
      </w:r>
      <w:proofErr w:type="spellStart"/>
      <w:r w:rsidRPr="00A21E04">
        <w:rPr>
          <w:i/>
          <w:iCs/>
        </w:rPr>
        <w:t>Democratic</w:t>
      </w:r>
      <w:proofErr w:type="spellEnd"/>
      <w:r w:rsidRPr="00A21E04">
        <w:rPr>
          <w:i/>
          <w:iCs/>
        </w:rPr>
        <w:t xml:space="preserve"> </w:t>
      </w:r>
      <w:proofErr w:type="spellStart"/>
      <w:r w:rsidRPr="00A21E04">
        <w:rPr>
          <w:i/>
          <w:iCs/>
        </w:rPr>
        <w:t>Rule</w:t>
      </w:r>
      <w:proofErr w:type="spellEnd"/>
      <w:r w:rsidRPr="00A21E04">
        <w:t xml:space="preserve"> (2001); John </w:t>
      </w:r>
      <w:proofErr w:type="spellStart"/>
      <w:r w:rsidRPr="00A21E04">
        <w:t>Liolos</w:t>
      </w:r>
      <w:proofErr w:type="spellEnd"/>
      <w:r w:rsidRPr="00A21E04">
        <w:t xml:space="preserve">, </w:t>
      </w:r>
      <w:proofErr w:type="spellStart"/>
      <w:r w:rsidRPr="00A21E04">
        <w:rPr>
          <w:i/>
          <w:iCs/>
        </w:rPr>
        <w:t>Erecting</w:t>
      </w:r>
      <w:proofErr w:type="spellEnd"/>
      <w:r w:rsidRPr="00A21E04">
        <w:rPr>
          <w:i/>
          <w:iCs/>
        </w:rPr>
        <w:t xml:space="preserve"> New </w:t>
      </w:r>
      <w:proofErr w:type="spellStart"/>
      <w:r w:rsidRPr="00A21E04">
        <w:rPr>
          <w:i/>
          <w:iCs/>
        </w:rPr>
        <w:t>Constitutional</w:t>
      </w:r>
      <w:proofErr w:type="spellEnd"/>
      <w:r w:rsidRPr="00A21E04">
        <w:rPr>
          <w:i/>
          <w:iCs/>
        </w:rPr>
        <w:t xml:space="preserve"> </w:t>
      </w:r>
      <w:proofErr w:type="spellStart"/>
      <w:r w:rsidRPr="00A21E04">
        <w:rPr>
          <w:i/>
          <w:iCs/>
        </w:rPr>
        <w:t>Cultures</w:t>
      </w:r>
      <w:proofErr w:type="spellEnd"/>
      <w:r w:rsidRPr="00A21E04">
        <w:rPr>
          <w:i/>
          <w:iCs/>
        </w:rPr>
        <w:t xml:space="preserve">: </w:t>
      </w:r>
      <w:proofErr w:type="spellStart"/>
      <w:r w:rsidRPr="00A21E04">
        <w:rPr>
          <w:i/>
          <w:iCs/>
        </w:rPr>
        <w:t>The</w:t>
      </w:r>
      <w:proofErr w:type="spellEnd"/>
      <w:r w:rsidRPr="00A21E04">
        <w:rPr>
          <w:i/>
          <w:iCs/>
        </w:rPr>
        <w:t xml:space="preserve"> </w:t>
      </w:r>
      <w:proofErr w:type="spellStart"/>
      <w:r w:rsidRPr="00A21E04">
        <w:rPr>
          <w:i/>
          <w:iCs/>
        </w:rPr>
        <w:t>Problems</w:t>
      </w:r>
      <w:proofErr w:type="spellEnd"/>
      <w:r w:rsidRPr="00A21E04">
        <w:rPr>
          <w:i/>
          <w:iCs/>
        </w:rPr>
        <w:t xml:space="preserve"> </w:t>
      </w:r>
      <w:proofErr w:type="spellStart"/>
      <w:r w:rsidRPr="00A21E04">
        <w:rPr>
          <w:i/>
          <w:iCs/>
        </w:rPr>
        <w:t>and</w:t>
      </w:r>
      <w:proofErr w:type="spellEnd"/>
      <w:r w:rsidRPr="00A21E04">
        <w:rPr>
          <w:i/>
          <w:iCs/>
        </w:rPr>
        <w:t xml:space="preserve"> </w:t>
      </w:r>
      <w:proofErr w:type="spellStart"/>
      <w:r w:rsidRPr="00A21E04">
        <w:rPr>
          <w:i/>
          <w:iCs/>
        </w:rPr>
        <w:t>Promise</w:t>
      </w:r>
      <w:proofErr w:type="spellEnd"/>
      <w:r w:rsidRPr="00A21E04">
        <w:rPr>
          <w:i/>
          <w:iCs/>
        </w:rPr>
        <w:t xml:space="preserve"> of </w:t>
      </w:r>
      <w:proofErr w:type="spellStart"/>
      <w:r w:rsidRPr="00A21E04">
        <w:rPr>
          <w:i/>
          <w:iCs/>
        </w:rPr>
        <w:t>Constitutionalism</w:t>
      </w:r>
      <w:proofErr w:type="spellEnd"/>
      <w:r w:rsidRPr="00A21E04">
        <w:rPr>
          <w:i/>
          <w:iCs/>
        </w:rPr>
        <w:t xml:space="preserve"> Post-</w:t>
      </w:r>
      <w:proofErr w:type="spellStart"/>
      <w:r w:rsidRPr="00A21E04">
        <w:rPr>
          <w:i/>
          <w:iCs/>
        </w:rPr>
        <w:t>Arab</w:t>
      </w:r>
      <w:proofErr w:type="spellEnd"/>
      <w:r w:rsidRPr="00A21E04">
        <w:rPr>
          <w:i/>
          <w:iCs/>
        </w:rPr>
        <w:t xml:space="preserve"> Spring</w:t>
      </w:r>
      <w:r w:rsidRPr="00A21E04">
        <w:t xml:space="preserve">, 36 </w:t>
      </w:r>
      <w:r w:rsidRPr="00A21E04">
        <w:rPr>
          <w:i/>
          <w:iCs/>
        </w:rPr>
        <w:t xml:space="preserve">B.C. </w:t>
      </w:r>
      <w:proofErr w:type="spellStart"/>
      <w:r w:rsidRPr="00A21E04">
        <w:rPr>
          <w:i/>
          <w:iCs/>
        </w:rPr>
        <w:t>Int’l</w:t>
      </w:r>
      <w:proofErr w:type="spellEnd"/>
      <w:r w:rsidRPr="00A21E04">
        <w:rPr>
          <w:i/>
          <w:iCs/>
        </w:rPr>
        <w:t xml:space="preserve"> &amp; </w:t>
      </w:r>
      <w:proofErr w:type="spellStart"/>
      <w:r w:rsidRPr="00A21E04">
        <w:rPr>
          <w:i/>
          <w:iCs/>
        </w:rPr>
        <w:t>Comp</w:t>
      </w:r>
      <w:proofErr w:type="spellEnd"/>
      <w:r w:rsidRPr="00A21E04">
        <w:rPr>
          <w:i/>
          <w:iCs/>
        </w:rPr>
        <w:t xml:space="preserve">. L. </w:t>
      </w:r>
      <w:proofErr w:type="spellStart"/>
      <w:r w:rsidRPr="00A21E04">
        <w:rPr>
          <w:i/>
          <w:iCs/>
        </w:rPr>
        <w:t>Rev</w:t>
      </w:r>
      <w:proofErr w:type="spellEnd"/>
      <w:r w:rsidRPr="00A21E04">
        <w:rPr>
          <w:i/>
          <w:iCs/>
        </w:rPr>
        <w:t>.</w:t>
      </w:r>
      <w:r w:rsidRPr="00A21E04">
        <w:t xml:space="preserve"> 219 (2013); </w:t>
      </w:r>
      <w:proofErr w:type="spellStart"/>
      <w:r w:rsidRPr="00A21E04">
        <w:rPr>
          <w:i/>
          <w:iCs/>
        </w:rPr>
        <w:t>cf</w:t>
      </w:r>
      <w:proofErr w:type="spellEnd"/>
      <w:r w:rsidRPr="00A21E04">
        <w:rPr>
          <w:i/>
          <w:iCs/>
        </w:rPr>
        <w:t>.</w:t>
      </w:r>
      <w:r w:rsidRPr="00A21E04">
        <w:t xml:space="preserve"> Robert F. </w:t>
      </w:r>
      <w:proofErr w:type="spellStart"/>
      <w:r w:rsidRPr="00A21E04">
        <w:t>Nagel</w:t>
      </w:r>
      <w:proofErr w:type="spellEnd"/>
      <w:r w:rsidRPr="00A21E04">
        <w:t xml:space="preserve">, </w:t>
      </w:r>
      <w:proofErr w:type="spellStart"/>
      <w:r w:rsidRPr="00A21E04">
        <w:rPr>
          <w:i/>
          <w:iCs/>
        </w:rPr>
        <w:t>Constitutional</w:t>
      </w:r>
      <w:proofErr w:type="spellEnd"/>
      <w:r w:rsidRPr="00A21E04">
        <w:rPr>
          <w:i/>
          <w:iCs/>
        </w:rPr>
        <w:t xml:space="preserve"> </w:t>
      </w:r>
      <w:proofErr w:type="spellStart"/>
      <w:r w:rsidRPr="00A21E04">
        <w:rPr>
          <w:i/>
          <w:iCs/>
        </w:rPr>
        <w:t>Cultures</w:t>
      </w:r>
      <w:proofErr w:type="spellEnd"/>
      <w:r w:rsidRPr="00A21E04">
        <w:rPr>
          <w:i/>
          <w:iCs/>
        </w:rPr>
        <w:t xml:space="preserve">: </w:t>
      </w:r>
      <w:proofErr w:type="spellStart"/>
      <w:r w:rsidRPr="00A21E04">
        <w:rPr>
          <w:i/>
          <w:iCs/>
        </w:rPr>
        <w:t>The</w:t>
      </w:r>
      <w:proofErr w:type="spellEnd"/>
      <w:r w:rsidRPr="00A21E04">
        <w:rPr>
          <w:i/>
          <w:iCs/>
        </w:rPr>
        <w:t xml:space="preserve"> </w:t>
      </w:r>
      <w:proofErr w:type="spellStart"/>
      <w:r w:rsidRPr="00A21E04">
        <w:rPr>
          <w:i/>
          <w:iCs/>
        </w:rPr>
        <w:t>Mentality</w:t>
      </w:r>
      <w:proofErr w:type="spellEnd"/>
      <w:r w:rsidRPr="00A21E04">
        <w:rPr>
          <w:i/>
          <w:iCs/>
        </w:rPr>
        <w:t xml:space="preserve"> </w:t>
      </w:r>
      <w:proofErr w:type="spellStart"/>
      <w:r w:rsidRPr="00A21E04">
        <w:rPr>
          <w:i/>
          <w:iCs/>
        </w:rPr>
        <w:t>and</w:t>
      </w:r>
      <w:proofErr w:type="spellEnd"/>
      <w:r w:rsidRPr="00A21E04">
        <w:rPr>
          <w:i/>
          <w:iCs/>
        </w:rPr>
        <w:t xml:space="preserve"> </w:t>
      </w:r>
      <w:proofErr w:type="spellStart"/>
      <w:r w:rsidRPr="00A21E04">
        <w:rPr>
          <w:i/>
          <w:iCs/>
        </w:rPr>
        <w:t>Consequences</w:t>
      </w:r>
      <w:proofErr w:type="spellEnd"/>
      <w:r w:rsidRPr="00A21E04">
        <w:rPr>
          <w:i/>
          <w:iCs/>
        </w:rPr>
        <w:t xml:space="preserve"> of </w:t>
      </w:r>
      <w:proofErr w:type="spellStart"/>
      <w:r w:rsidRPr="00A21E04">
        <w:rPr>
          <w:i/>
          <w:iCs/>
        </w:rPr>
        <w:t>Judicial</w:t>
      </w:r>
      <w:proofErr w:type="spellEnd"/>
      <w:r w:rsidRPr="00A21E04">
        <w:rPr>
          <w:i/>
          <w:iCs/>
        </w:rPr>
        <w:t xml:space="preserve"> </w:t>
      </w:r>
      <w:proofErr w:type="spellStart"/>
      <w:r w:rsidRPr="00A21E04">
        <w:rPr>
          <w:i/>
          <w:iCs/>
        </w:rPr>
        <w:t>Review</w:t>
      </w:r>
      <w:proofErr w:type="spellEnd"/>
      <w:r w:rsidRPr="00A21E04">
        <w:t xml:space="preserve"> (1989) (yargının güçlü bir şekilde kendini ortaya koymasına duyarlı ve buna alışkın bir kültürde yaşamanın sonuçlarını son derece eleştirel bir bakış açısıyla ele almaktadır).</w:t>
      </w:r>
    </w:p>
  </w:footnote>
  <w:footnote w:id="159">
    <w:p w14:paraId="59FDE599" w14:textId="5C92C7B0" w:rsidR="00A21E04" w:rsidRPr="00A21E04" w:rsidRDefault="00A21E04" w:rsidP="00A21E04">
      <w:pPr>
        <w:pStyle w:val="Dipnot"/>
        <w:rPr>
          <w:lang w:val="en-US"/>
        </w:rPr>
      </w:pPr>
      <w:r>
        <w:rPr>
          <w:rStyle w:val="FootnoteReference"/>
        </w:rPr>
        <w:footnoteRef/>
      </w:r>
      <w:r>
        <w:t xml:space="preserve"> </w:t>
      </w:r>
      <w:r>
        <w:tab/>
      </w:r>
      <w:r w:rsidRPr="00A21E04">
        <w:t>159</w:t>
      </w:r>
      <w:r>
        <w:t xml:space="preserve"> </w:t>
      </w:r>
      <w:r w:rsidRPr="00A21E04">
        <w:t xml:space="preserve">Bkz., ör., James E. </w:t>
      </w:r>
      <w:proofErr w:type="spellStart"/>
      <w:r w:rsidRPr="00A21E04">
        <w:t>Fleming</w:t>
      </w:r>
      <w:proofErr w:type="spellEnd"/>
      <w:r w:rsidRPr="00A21E04">
        <w:t xml:space="preserve"> &amp; Linda C. </w:t>
      </w:r>
      <w:proofErr w:type="spellStart"/>
      <w:r w:rsidRPr="00A21E04">
        <w:t>McClain</w:t>
      </w:r>
      <w:proofErr w:type="spellEnd"/>
      <w:r w:rsidRPr="00A21E04">
        <w:t xml:space="preserve">, </w:t>
      </w:r>
      <w:proofErr w:type="spellStart"/>
      <w:r w:rsidRPr="00A21E04">
        <w:rPr>
          <w:i/>
          <w:iCs/>
        </w:rPr>
        <w:t>Ordered</w:t>
      </w:r>
      <w:proofErr w:type="spellEnd"/>
      <w:r w:rsidRPr="00A21E04">
        <w:rPr>
          <w:i/>
          <w:iCs/>
        </w:rPr>
        <w:t xml:space="preserve"> </w:t>
      </w:r>
      <w:proofErr w:type="spellStart"/>
      <w:r w:rsidRPr="00A21E04">
        <w:rPr>
          <w:i/>
          <w:iCs/>
        </w:rPr>
        <w:t>Gun</w:t>
      </w:r>
      <w:proofErr w:type="spellEnd"/>
      <w:r w:rsidRPr="00A21E04">
        <w:rPr>
          <w:i/>
          <w:iCs/>
        </w:rPr>
        <w:t xml:space="preserve"> </w:t>
      </w:r>
      <w:proofErr w:type="spellStart"/>
      <w:r w:rsidRPr="00A21E04">
        <w:rPr>
          <w:i/>
          <w:iCs/>
        </w:rPr>
        <w:t>Liberty</w:t>
      </w:r>
      <w:proofErr w:type="spellEnd"/>
      <w:r w:rsidRPr="00A21E04">
        <w:rPr>
          <w:i/>
          <w:iCs/>
        </w:rPr>
        <w:t xml:space="preserve">: </w:t>
      </w:r>
      <w:proofErr w:type="spellStart"/>
      <w:r w:rsidRPr="00A21E04">
        <w:rPr>
          <w:i/>
          <w:iCs/>
        </w:rPr>
        <w:t>Rights</w:t>
      </w:r>
      <w:proofErr w:type="spellEnd"/>
      <w:r w:rsidRPr="00A21E04">
        <w:rPr>
          <w:i/>
          <w:iCs/>
        </w:rPr>
        <w:t xml:space="preserve"> </w:t>
      </w:r>
      <w:proofErr w:type="spellStart"/>
      <w:r w:rsidRPr="00A21E04">
        <w:rPr>
          <w:i/>
          <w:iCs/>
        </w:rPr>
        <w:t>with</w:t>
      </w:r>
      <w:proofErr w:type="spellEnd"/>
      <w:r w:rsidRPr="00A21E04">
        <w:rPr>
          <w:i/>
          <w:iCs/>
        </w:rPr>
        <w:t xml:space="preserve"> </w:t>
      </w:r>
      <w:proofErr w:type="spellStart"/>
      <w:r w:rsidRPr="00A21E04">
        <w:rPr>
          <w:i/>
          <w:iCs/>
        </w:rPr>
        <w:t>Responsibilities</w:t>
      </w:r>
      <w:proofErr w:type="spellEnd"/>
      <w:r w:rsidRPr="00A21E04">
        <w:rPr>
          <w:i/>
          <w:iCs/>
        </w:rPr>
        <w:t xml:space="preserve"> </w:t>
      </w:r>
      <w:proofErr w:type="spellStart"/>
      <w:r w:rsidRPr="00A21E04">
        <w:rPr>
          <w:i/>
          <w:iCs/>
        </w:rPr>
        <w:t>and</w:t>
      </w:r>
      <w:proofErr w:type="spellEnd"/>
      <w:r w:rsidRPr="00A21E04">
        <w:rPr>
          <w:i/>
          <w:iCs/>
        </w:rPr>
        <w:t xml:space="preserve"> </w:t>
      </w:r>
      <w:proofErr w:type="spellStart"/>
      <w:r w:rsidRPr="00A21E04">
        <w:rPr>
          <w:i/>
          <w:iCs/>
        </w:rPr>
        <w:t>Regulation</w:t>
      </w:r>
      <w:proofErr w:type="spellEnd"/>
      <w:r w:rsidRPr="00A21E04">
        <w:t xml:space="preserve">, 94 </w:t>
      </w:r>
      <w:r w:rsidRPr="00A21E04">
        <w:rPr>
          <w:i/>
          <w:iCs/>
        </w:rPr>
        <w:t xml:space="preserve">B.U. L. </w:t>
      </w:r>
      <w:proofErr w:type="spellStart"/>
      <w:r w:rsidRPr="00A21E04">
        <w:rPr>
          <w:i/>
          <w:iCs/>
        </w:rPr>
        <w:t>Rev</w:t>
      </w:r>
      <w:proofErr w:type="spellEnd"/>
      <w:r w:rsidRPr="00A21E04">
        <w:rPr>
          <w:i/>
          <w:iCs/>
        </w:rPr>
        <w:t>.</w:t>
      </w:r>
      <w:r w:rsidRPr="00A21E04">
        <w:t xml:space="preserve"> 849, 891 (2014) (“Anayasal kültürümüzde bireyin silah taşıma ve bulundurma hakkından daha kutsal olan çok az hak vardır.”); Joseph </w:t>
      </w:r>
      <w:proofErr w:type="spellStart"/>
      <w:r w:rsidRPr="00A21E04">
        <w:t>Landau</w:t>
      </w:r>
      <w:proofErr w:type="spellEnd"/>
      <w:r w:rsidRPr="00A21E04">
        <w:t xml:space="preserve">, </w:t>
      </w:r>
      <w:proofErr w:type="spellStart"/>
      <w:r w:rsidRPr="00A21E04">
        <w:rPr>
          <w:i/>
          <w:iCs/>
        </w:rPr>
        <w:t>Presidential</w:t>
      </w:r>
      <w:proofErr w:type="spellEnd"/>
      <w:r w:rsidRPr="00A21E04">
        <w:rPr>
          <w:i/>
          <w:iCs/>
        </w:rPr>
        <w:t xml:space="preserve"> </w:t>
      </w:r>
      <w:proofErr w:type="spellStart"/>
      <w:r w:rsidRPr="00A21E04">
        <w:rPr>
          <w:i/>
          <w:iCs/>
        </w:rPr>
        <w:t>Constitutionalism</w:t>
      </w:r>
      <w:proofErr w:type="spellEnd"/>
      <w:r w:rsidRPr="00A21E04">
        <w:rPr>
          <w:i/>
          <w:iCs/>
        </w:rPr>
        <w:t xml:space="preserve"> </w:t>
      </w:r>
      <w:proofErr w:type="spellStart"/>
      <w:r w:rsidRPr="00A21E04">
        <w:rPr>
          <w:i/>
          <w:iCs/>
        </w:rPr>
        <w:t>and</w:t>
      </w:r>
      <w:proofErr w:type="spellEnd"/>
      <w:r w:rsidRPr="00A21E04">
        <w:rPr>
          <w:i/>
          <w:iCs/>
        </w:rPr>
        <w:t xml:space="preserve"> </w:t>
      </w:r>
      <w:proofErr w:type="spellStart"/>
      <w:r w:rsidRPr="00A21E04">
        <w:rPr>
          <w:i/>
          <w:iCs/>
        </w:rPr>
        <w:t>Civil</w:t>
      </w:r>
      <w:proofErr w:type="spellEnd"/>
      <w:r w:rsidRPr="00A21E04">
        <w:rPr>
          <w:i/>
          <w:iCs/>
        </w:rPr>
        <w:t xml:space="preserve"> </w:t>
      </w:r>
      <w:proofErr w:type="spellStart"/>
      <w:r w:rsidRPr="00A21E04">
        <w:rPr>
          <w:i/>
          <w:iCs/>
        </w:rPr>
        <w:t>Rights</w:t>
      </w:r>
      <w:proofErr w:type="spellEnd"/>
      <w:r w:rsidRPr="00A21E04">
        <w:t xml:space="preserve">, 55 </w:t>
      </w:r>
      <w:proofErr w:type="spellStart"/>
      <w:r w:rsidRPr="00A21E04">
        <w:rPr>
          <w:i/>
          <w:iCs/>
        </w:rPr>
        <w:t>Wm</w:t>
      </w:r>
      <w:proofErr w:type="spellEnd"/>
      <w:r w:rsidRPr="00A21E04">
        <w:rPr>
          <w:i/>
          <w:iCs/>
        </w:rPr>
        <w:t xml:space="preserve">. &amp; Mary L. </w:t>
      </w:r>
      <w:proofErr w:type="spellStart"/>
      <w:r w:rsidRPr="00A21E04">
        <w:rPr>
          <w:i/>
          <w:iCs/>
        </w:rPr>
        <w:t>Rev</w:t>
      </w:r>
      <w:proofErr w:type="spellEnd"/>
      <w:r w:rsidRPr="00A21E04">
        <w:rPr>
          <w:i/>
          <w:iCs/>
        </w:rPr>
        <w:t>.</w:t>
      </w:r>
      <w:r w:rsidRPr="00A21E04">
        <w:t xml:space="preserve"> 1719, 1736 (2014) (anayasal kültür terimini değişen “özgürlük ve eşitlik </w:t>
      </w:r>
      <w:proofErr w:type="spellStart"/>
      <w:r w:rsidRPr="00A21E04">
        <w:t>normları”na</w:t>
      </w:r>
      <w:proofErr w:type="spellEnd"/>
      <w:r w:rsidRPr="00A21E04">
        <w:t xml:space="preserve"> atıfta bulunarak kullanmaktadır).</w:t>
      </w:r>
    </w:p>
  </w:footnote>
  <w:footnote w:id="160">
    <w:p w14:paraId="1B18FCDA" w14:textId="5B5CA26A" w:rsidR="00FB23A3" w:rsidRPr="00FB23A3" w:rsidRDefault="00FB23A3" w:rsidP="00FB23A3">
      <w:pPr>
        <w:pStyle w:val="Dipnot"/>
        <w:rPr>
          <w:lang w:val="en-US"/>
        </w:rPr>
      </w:pPr>
      <w:r>
        <w:rPr>
          <w:rStyle w:val="FootnoteReference"/>
        </w:rPr>
        <w:footnoteRef/>
      </w:r>
      <w:r>
        <w:t xml:space="preserve"> </w:t>
      </w:r>
      <w:r>
        <w:tab/>
      </w:r>
      <w:r w:rsidRPr="00FB23A3">
        <w:t>160</w:t>
      </w:r>
      <w:r>
        <w:t xml:space="preserve"> </w:t>
      </w:r>
      <w:r w:rsidRPr="00FB23A3">
        <w:t xml:space="preserve">“Kültür” üzerine kuram geliştiren birçok tarihçi ve sosyal bilimciyi belirtme cazibesine direniyorum, zira “kültür” etrafındaki karmaşık teorik ve eleştirel tartışmalarda gereksiz yere taraf olmak istemiyorum. </w:t>
      </w:r>
      <w:r w:rsidRPr="00FB23A3">
        <w:rPr>
          <w:i/>
          <w:iCs/>
        </w:rPr>
        <w:t xml:space="preserve">Cf. </w:t>
      </w:r>
      <w:proofErr w:type="spellStart"/>
      <w:r w:rsidRPr="00FB23A3">
        <w:rPr>
          <w:i/>
          <w:iCs/>
        </w:rPr>
        <w:t>supra</w:t>
      </w:r>
      <w:proofErr w:type="spellEnd"/>
      <w:r w:rsidRPr="00FB23A3">
        <w:t xml:space="preserve"> dipnot 148 (bu türden çeşitli meseleleri belirleyerek ayırmaktadır).</w:t>
      </w:r>
    </w:p>
  </w:footnote>
  <w:footnote w:id="161">
    <w:p w14:paraId="0160C539" w14:textId="0DCFFF80" w:rsidR="00FB23A3" w:rsidRPr="00FB23A3" w:rsidRDefault="00FB23A3" w:rsidP="00FB23A3">
      <w:pPr>
        <w:pStyle w:val="Dipnot"/>
        <w:rPr>
          <w:lang w:val="en-US"/>
        </w:rPr>
      </w:pPr>
      <w:r>
        <w:rPr>
          <w:rStyle w:val="FootnoteReference"/>
        </w:rPr>
        <w:footnoteRef/>
      </w:r>
      <w:r>
        <w:t xml:space="preserve"> </w:t>
      </w:r>
      <w:r>
        <w:tab/>
      </w:r>
      <w:r w:rsidRPr="00FB23A3">
        <w:t>161</w:t>
      </w:r>
      <w:r>
        <w:t xml:space="preserve"> </w:t>
      </w:r>
      <w:r w:rsidRPr="00FB23A3">
        <w:t xml:space="preserve">Bu tür bazı meseleler için bkz. </w:t>
      </w:r>
      <w:proofErr w:type="spellStart"/>
      <w:r w:rsidRPr="00FB23A3">
        <w:rPr>
          <w:i/>
          <w:iCs/>
        </w:rPr>
        <w:t>supra</w:t>
      </w:r>
      <w:proofErr w:type="spellEnd"/>
      <w:r w:rsidRPr="00FB23A3">
        <w:t xml:space="preserve"> dipnot 148.</w:t>
      </w:r>
    </w:p>
  </w:footnote>
  <w:footnote w:id="162">
    <w:p w14:paraId="200C3B8C" w14:textId="5C1D8D12" w:rsidR="00FB23A3" w:rsidRPr="00FB23A3" w:rsidRDefault="00FB23A3" w:rsidP="00FB23A3">
      <w:pPr>
        <w:pStyle w:val="Dipnot"/>
      </w:pPr>
      <w:r>
        <w:rPr>
          <w:rStyle w:val="FootnoteReference"/>
        </w:rPr>
        <w:footnoteRef/>
      </w:r>
      <w:r>
        <w:t xml:space="preserve"> </w:t>
      </w:r>
      <w:r>
        <w:tab/>
      </w:r>
      <w:r w:rsidRPr="00FB23A3">
        <w:t>162</w:t>
      </w:r>
      <w:r>
        <w:t xml:space="preserve"> </w:t>
      </w:r>
      <w:r w:rsidRPr="00FB23A3">
        <w:t xml:space="preserve">Bkz. </w:t>
      </w:r>
      <w:proofErr w:type="spellStart"/>
      <w:r w:rsidRPr="00FB23A3">
        <w:rPr>
          <w:i/>
          <w:iCs/>
        </w:rPr>
        <w:t>supra</w:t>
      </w:r>
      <w:proofErr w:type="spellEnd"/>
      <w:r w:rsidRPr="00FB23A3">
        <w:t xml:space="preserve"> Bölüm III.A.</w:t>
      </w:r>
    </w:p>
  </w:footnote>
  <w:footnote w:id="163">
    <w:p w14:paraId="72DBB079" w14:textId="21B3A3A9" w:rsidR="00FB23A3" w:rsidRPr="00FB23A3" w:rsidRDefault="00FB23A3" w:rsidP="00FB23A3">
      <w:pPr>
        <w:pStyle w:val="Dipnot"/>
        <w:rPr>
          <w:lang w:val="en-US"/>
        </w:rPr>
      </w:pPr>
      <w:r>
        <w:rPr>
          <w:rStyle w:val="FootnoteReference"/>
        </w:rPr>
        <w:footnoteRef/>
      </w:r>
      <w:r>
        <w:t xml:space="preserve"> </w:t>
      </w:r>
      <w:r>
        <w:tab/>
      </w:r>
      <w:r w:rsidRPr="00FB23A3">
        <w:t>163</w:t>
      </w:r>
      <w:r>
        <w:t xml:space="preserve"> </w:t>
      </w:r>
      <w:r w:rsidRPr="00FB23A3">
        <w:t>Bu kabaca oluşturulmuş kavramsal harita, anayasal kültür başlığı altında kuramsallaştırılabilecek uygulamaların, normların, düzenlemelerin ve düşünsel yapıların genişliğini göstermekle birlikte, bu geniş konunun ayrıştırılıp analiz edilmesini kolaylaştırabilecek bazı geçici analitik kategoriler sunmayı amaçlamaktadır. Ancak, anayasal kültürümüzün tüm unsurlarını içeren eksiksiz bir katalog sunma ya da bu unsurların yerleştirilebileceği kesin bir tasnif oluşturma iddiasında değildir.</w:t>
      </w:r>
    </w:p>
  </w:footnote>
  <w:footnote w:id="164">
    <w:p w14:paraId="02399FAE" w14:textId="1D9D4C60" w:rsidR="009D3734" w:rsidRPr="009D3734" w:rsidRDefault="009D3734" w:rsidP="009D3734">
      <w:pPr>
        <w:pStyle w:val="Dipnot"/>
      </w:pPr>
      <w:r>
        <w:rPr>
          <w:rStyle w:val="FootnoteReference"/>
        </w:rPr>
        <w:footnoteRef/>
      </w:r>
      <w:r>
        <w:t xml:space="preserve"> </w:t>
      </w:r>
      <w:r>
        <w:tab/>
      </w:r>
      <w:r w:rsidRPr="009D3734">
        <w:t>164</w:t>
      </w:r>
      <w:r>
        <w:t xml:space="preserve"> </w:t>
      </w:r>
      <w:r w:rsidRPr="009D3734">
        <w:t xml:space="preserve">Bu dinamikler, </w:t>
      </w:r>
      <w:r w:rsidRPr="009D3734">
        <w:rPr>
          <w:i/>
          <w:iCs/>
        </w:rPr>
        <w:t xml:space="preserve">United </w:t>
      </w:r>
      <w:proofErr w:type="spellStart"/>
      <w:r w:rsidRPr="009D3734">
        <w:rPr>
          <w:i/>
          <w:iCs/>
        </w:rPr>
        <w:t>States</w:t>
      </w:r>
      <w:proofErr w:type="spellEnd"/>
      <w:r w:rsidRPr="009D3734">
        <w:rPr>
          <w:i/>
          <w:iCs/>
        </w:rPr>
        <w:t xml:space="preserve"> v. Windsor</w:t>
      </w:r>
      <w:r w:rsidRPr="009D3734">
        <w:t xml:space="preserve">, 133 S. </w:t>
      </w:r>
      <w:proofErr w:type="spellStart"/>
      <w:r w:rsidRPr="009D3734">
        <w:t>Ct</w:t>
      </w:r>
      <w:proofErr w:type="spellEnd"/>
      <w:r w:rsidRPr="009D3734">
        <w:t xml:space="preserve">. 2675 (2013) ve </w:t>
      </w:r>
      <w:proofErr w:type="spellStart"/>
      <w:r w:rsidRPr="009D3734">
        <w:rPr>
          <w:i/>
          <w:iCs/>
        </w:rPr>
        <w:t>Obergefell</w:t>
      </w:r>
      <w:proofErr w:type="spellEnd"/>
      <w:r w:rsidRPr="009D3734">
        <w:rPr>
          <w:i/>
          <w:iCs/>
        </w:rPr>
        <w:t xml:space="preserve"> v. </w:t>
      </w:r>
      <w:proofErr w:type="spellStart"/>
      <w:r w:rsidRPr="009D3734">
        <w:rPr>
          <w:i/>
          <w:iCs/>
        </w:rPr>
        <w:t>Hodges</w:t>
      </w:r>
      <w:proofErr w:type="spellEnd"/>
      <w:r w:rsidRPr="009D3734">
        <w:t xml:space="preserve">, 135 S. </w:t>
      </w:r>
      <w:proofErr w:type="spellStart"/>
      <w:r w:rsidRPr="009D3734">
        <w:t>Ct</w:t>
      </w:r>
      <w:proofErr w:type="spellEnd"/>
      <w:r w:rsidRPr="009D3734">
        <w:t xml:space="preserve">. 2584 (2015) kararları arasındaki iki yıl içinde büyük ilgi görmüştür. Bu dönemde, tam kapsamlı bir kamu aktörleri yelpazesi (hukukçular, eyalet mahkemeleri, federal mahkemeler, çıkar grupları ve vatandaşlar dâhil) </w:t>
      </w:r>
      <w:r w:rsidRPr="009D3734">
        <w:rPr>
          <w:i/>
          <w:iCs/>
        </w:rPr>
        <w:t>Windsor</w:t>
      </w:r>
      <w:r w:rsidRPr="009D3734">
        <w:t xml:space="preserve"> kararının eşcinsel evlilik hakları açısından anlamı konusunda çok yönlü bir diyalog ve mücadele sürecine katılmıştır.</w:t>
      </w:r>
    </w:p>
  </w:footnote>
  <w:footnote w:id="165">
    <w:p w14:paraId="37CE8AE0" w14:textId="34A347C8" w:rsidR="009D3734" w:rsidRPr="009D3734" w:rsidRDefault="009D3734" w:rsidP="009D3734">
      <w:pPr>
        <w:pStyle w:val="Dipnot"/>
        <w:rPr>
          <w:lang w:val="en-US"/>
        </w:rPr>
      </w:pPr>
      <w:r>
        <w:rPr>
          <w:rStyle w:val="FootnoteReference"/>
        </w:rPr>
        <w:footnoteRef/>
      </w:r>
      <w:r>
        <w:t xml:space="preserve"> </w:t>
      </w:r>
      <w:r>
        <w:rPr>
          <w:lang w:val="en-US"/>
        </w:rPr>
        <w:tab/>
      </w:r>
      <w:r w:rsidRPr="009D3734">
        <w:t>165</w:t>
      </w:r>
      <w:r>
        <w:t xml:space="preserve"> </w:t>
      </w:r>
      <w:r w:rsidRPr="009D3734">
        <w:t xml:space="preserve">Bu konular hakkında bkz. </w:t>
      </w:r>
      <w:proofErr w:type="spellStart"/>
      <w:r w:rsidRPr="009D3734">
        <w:rPr>
          <w:i/>
          <w:iCs/>
        </w:rPr>
        <w:t>infra</w:t>
      </w:r>
      <w:proofErr w:type="spellEnd"/>
      <w:r w:rsidRPr="009D3734">
        <w:t xml:space="preserve"> Bölüm IV.B; </w:t>
      </w:r>
      <w:r w:rsidRPr="009D3734">
        <w:rPr>
          <w:i/>
          <w:iCs/>
        </w:rPr>
        <w:t>ayrıca bkz.</w:t>
      </w:r>
      <w:r w:rsidRPr="009D3734">
        <w:t xml:space="preserve"> </w:t>
      </w:r>
      <w:proofErr w:type="spellStart"/>
      <w:r w:rsidRPr="009D3734">
        <w:t>Levinson</w:t>
      </w:r>
      <w:proofErr w:type="spellEnd"/>
      <w:r w:rsidRPr="009D3734">
        <w:t xml:space="preserve">, </w:t>
      </w:r>
      <w:proofErr w:type="spellStart"/>
      <w:r w:rsidRPr="009D3734">
        <w:rPr>
          <w:i/>
          <w:iCs/>
        </w:rPr>
        <w:t>supra</w:t>
      </w:r>
      <w:proofErr w:type="spellEnd"/>
      <w:r w:rsidRPr="009D3734">
        <w:t xml:space="preserve"> dipnot 2, s. 129 (bu tür ortamların önemini vurgulamaktadır).</w:t>
      </w:r>
    </w:p>
  </w:footnote>
  <w:footnote w:id="166">
    <w:p w14:paraId="7407ACBB" w14:textId="76A9E65A" w:rsidR="009D3734" w:rsidRPr="009D3734" w:rsidRDefault="009D3734" w:rsidP="009D3734">
      <w:pPr>
        <w:pStyle w:val="Dipnot"/>
        <w:rPr>
          <w:lang w:val="en-US"/>
        </w:rPr>
      </w:pPr>
      <w:r>
        <w:rPr>
          <w:rStyle w:val="FootnoteReference"/>
        </w:rPr>
        <w:footnoteRef/>
      </w:r>
      <w:r>
        <w:t xml:space="preserve"> </w:t>
      </w:r>
      <w:r>
        <w:tab/>
      </w:r>
      <w:r w:rsidRPr="009D3734">
        <w:t>166</w:t>
      </w:r>
      <w:r>
        <w:t xml:space="preserve"> </w:t>
      </w:r>
      <w:r w:rsidRPr="009D3734">
        <w:t xml:space="preserve">Bkz. </w:t>
      </w:r>
      <w:proofErr w:type="spellStart"/>
      <w:r w:rsidRPr="009D3734">
        <w:rPr>
          <w:i/>
          <w:iCs/>
        </w:rPr>
        <w:t>supra</w:t>
      </w:r>
      <w:proofErr w:type="spellEnd"/>
      <w:r w:rsidRPr="009D3734">
        <w:t xml:space="preserve"> Bölümler I–II (anayasa teorisi ile uygulaması arasındaki gerilimi ele almaktadır).</w:t>
      </w:r>
    </w:p>
  </w:footnote>
  <w:footnote w:id="167">
    <w:p w14:paraId="111F765F" w14:textId="6B36912A" w:rsidR="00217CE6" w:rsidRPr="00217CE6" w:rsidRDefault="00217CE6" w:rsidP="00217CE6">
      <w:pPr>
        <w:pStyle w:val="Dipnot"/>
        <w:rPr>
          <w:lang w:val="en-US"/>
        </w:rPr>
      </w:pPr>
      <w:r>
        <w:rPr>
          <w:rStyle w:val="FootnoteReference"/>
        </w:rPr>
        <w:footnoteRef/>
      </w:r>
      <w:r>
        <w:t xml:space="preserve"> </w:t>
      </w:r>
      <w:r>
        <w:rPr>
          <w:lang w:val="en-US"/>
        </w:rPr>
        <w:tab/>
      </w:r>
      <w:r w:rsidRPr="00217CE6">
        <w:t>167</w:t>
      </w:r>
      <w:r>
        <w:t xml:space="preserve"> </w:t>
      </w:r>
      <w:r w:rsidRPr="00217CE6">
        <w:t xml:space="preserve">Bkz. </w:t>
      </w:r>
      <w:proofErr w:type="spellStart"/>
      <w:r w:rsidRPr="00217CE6">
        <w:rPr>
          <w:i/>
          <w:iCs/>
        </w:rPr>
        <w:t>supra</w:t>
      </w:r>
      <w:proofErr w:type="spellEnd"/>
      <w:r w:rsidRPr="00217CE6">
        <w:t xml:space="preserve"> Bölüm III (anayasa teorisinin geliştirilmesinde anayasal kültürün rolünün artırılması gerektiğini savunmaktadır).</w:t>
      </w:r>
    </w:p>
  </w:footnote>
  <w:footnote w:id="168">
    <w:p w14:paraId="317DF56C" w14:textId="77D17883" w:rsidR="00217CE6" w:rsidRPr="00217CE6" w:rsidRDefault="00217CE6" w:rsidP="00217CE6">
      <w:pPr>
        <w:pStyle w:val="Dipnot"/>
        <w:rPr>
          <w:lang w:val="en-US"/>
        </w:rPr>
      </w:pPr>
      <w:r>
        <w:rPr>
          <w:rStyle w:val="FootnoteReference"/>
        </w:rPr>
        <w:footnoteRef/>
      </w:r>
      <w:r>
        <w:t xml:space="preserve"> </w:t>
      </w:r>
      <w:r>
        <w:rPr>
          <w:lang w:val="en-US"/>
        </w:rPr>
        <w:tab/>
      </w:r>
      <w:r w:rsidRPr="00217CE6">
        <w:t>168</w:t>
      </w:r>
      <w:r>
        <w:t xml:space="preserve"> </w:t>
      </w:r>
      <w:r w:rsidRPr="00217CE6">
        <w:rPr>
          <w:i/>
          <w:iCs/>
        </w:rPr>
        <w:t>Lawrence v. Texas</w:t>
      </w:r>
      <w:r w:rsidRPr="00217CE6">
        <w:t xml:space="preserve">, 539 U.S. 558 (2003). </w:t>
      </w:r>
      <w:r w:rsidRPr="00217CE6">
        <w:rPr>
          <w:i/>
          <w:iCs/>
        </w:rPr>
        <w:t>Cf.</w:t>
      </w:r>
      <w:r w:rsidRPr="00217CE6">
        <w:t xml:space="preserve"> </w:t>
      </w:r>
      <w:proofErr w:type="spellStart"/>
      <w:r w:rsidRPr="00217CE6">
        <w:t>Dale</w:t>
      </w:r>
      <w:proofErr w:type="spellEnd"/>
      <w:r w:rsidRPr="00217CE6">
        <w:t xml:space="preserve"> </w:t>
      </w:r>
      <w:proofErr w:type="spellStart"/>
      <w:r w:rsidRPr="00217CE6">
        <w:t>Carpenter</w:t>
      </w:r>
      <w:proofErr w:type="spellEnd"/>
      <w:r w:rsidRPr="00217CE6">
        <w:t xml:space="preserve">, </w:t>
      </w:r>
      <w:proofErr w:type="spellStart"/>
      <w:r w:rsidRPr="00217CE6">
        <w:rPr>
          <w:i/>
          <w:iCs/>
        </w:rPr>
        <w:t>Flagrant</w:t>
      </w:r>
      <w:proofErr w:type="spellEnd"/>
      <w:r w:rsidRPr="00217CE6">
        <w:rPr>
          <w:i/>
          <w:iCs/>
        </w:rPr>
        <w:t xml:space="preserve"> </w:t>
      </w:r>
      <w:proofErr w:type="spellStart"/>
      <w:r w:rsidRPr="00217CE6">
        <w:rPr>
          <w:i/>
          <w:iCs/>
        </w:rPr>
        <w:t>Conduct</w:t>
      </w:r>
      <w:proofErr w:type="spellEnd"/>
      <w:r w:rsidRPr="00217CE6">
        <w:rPr>
          <w:i/>
          <w:iCs/>
        </w:rPr>
        <w:t xml:space="preserve">: </w:t>
      </w:r>
      <w:proofErr w:type="spellStart"/>
      <w:r w:rsidRPr="00217CE6">
        <w:rPr>
          <w:i/>
          <w:iCs/>
        </w:rPr>
        <w:t>The</w:t>
      </w:r>
      <w:proofErr w:type="spellEnd"/>
      <w:r w:rsidRPr="00217CE6">
        <w:rPr>
          <w:i/>
          <w:iCs/>
        </w:rPr>
        <w:t xml:space="preserve"> </w:t>
      </w:r>
      <w:proofErr w:type="spellStart"/>
      <w:r w:rsidRPr="00217CE6">
        <w:rPr>
          <w:i/>
          <w:iCs/>
        </w:rPr>
        <w:t>Story</w:t>
      </w:r>
      <w:proofErr w:type="spellEnd"/>
      <w:r w:rsidRPr="00217CE6">
        <w:rPr>
          <w:i/>
          <w:iCs/>
        </w:rPr>
        <w:t xml:space="preserve"> of Lawrence v. Texas</w:t>
      </w:r>
      <w:r w:rsidRPr="00217CE6">
        <w:t xml:space="preserve"> (2012) (bu davanın ayrıntılı bir anlatımını sunarak anayasal kültürün dava sürecini nasıl etkilediğine dair bazı içgörüler sunmaktadır, ancak yalnızca dolaylı olarak ele almaktadır).</w:t>
      </w:r>
    </w:p>
  </w:footnote>
  <w:footnote w:id="169">
    <w:p w14:paraId="7A243585" w14:textId="53989E82" w:rsidR="00217CE6" w:rsidRPr="00217CE6" w:rsidRDefault="00217CE6" w:rsidP="00217CE6">
      <w:pPr>
        <w:pStyle w:val="Dipnot"/>
        <w:rPr>
          <w:lang w:val="en-US"/>
        </w:rPr>
      </w:pPr>
      <w:r>
        <w:rPr>
          <w:rStyle w:val="FootnoteReference"/>
        </w:rPr>
        <w:footnoteRef/>
      </w:r>
      <w:r>
        <w:t xml:space="preserve"> </w:t>
      </w:r>
      <w:r>
        <w:tab/>
      </w:r>
      <w:r w:rsidRPr="00217CE6">
        <w:t>169</w:t>
      </w:r>
      <w:r>
        <w:t xml:space="preserve"> </w:t>
      </w:r>
      <w:proofErr w:type="spellStart"/>
      <w:r w:rsidRPr="00217CE6">
        <w:rPr>
          <w:i/>
          <w:iCs/>
        </w:rPr>
        <w:t>Kelo</w:t>
      </w:r>
      <w:proofErr w:type="spellEnd"/>
      <w:r w:rsidRPr="00217CE6">
        <w:rPr>
          <w:i/>
          <w:iCs/>
        </w:rPr>
        <w:t xml:space="preserve"> v. City of New </w:t>
      </w:r>
      <w:proofErr w:type="spellStart"/>
      <w:r w:rsidRPr="00217CE6">
        <w:rPr>
          <w:i/>
          <w:iCs/>
        </w:rPr>
        <w:t>London</w:t>
      </w:r>
      <w:proofErr w:type="spellEnd"/>
      <w:r w:rsidRPr="00217CE6">
        <w:t>, 545 U.S. 469 (2005).</w:t>
      </w:r>
    </w:p>
  </w:footnote>
  <w:footnote w:id="170">
    <w:p w14:paraId="666A4CC0" w14:textId="5FFE7605" w:rsidR="00217CE6" w:rsidRPr="00217CE6" w:rsidRDefault="00217CE6" w:rsidP="00217CE6">
      <w:pPr>
        <w:pStyle w:val="Dipnot"/>
        <w:rPr>
          <w:lang w:val="en-US"/>
        </w:rPr>
      </w:pPr>
      <w:r>
        <w:rPr>
          <w:rStyle w:val="FootnoteReference"/>
        </w:rPr>
        <w:footnoteRef/>
      </w:r>
      <w:r>
        <w:t xml:space="preserve"> </w:t>
      </w:r>
      <w:r>
        <w:tab/>
      </w:r>
      <w:r w:rsidRPr="00217CE6">
        <w:t>170</w:t>
      </w:r>
      <w:r>
        <w:t xml:space="preserve"> </w:t>
      </w:r>
      <w:proofErr w:type="spellStart"/>
      <w:r w:rsidRPr="00217CE6">
        <w:rPr>
          <w:i/>
          <w:iCs/>
        </w:rPr>
        <w:t>Nat’l</w:t>
      </w:r>
      <w:proofErr w:type="spellEnd"/>
      <w:r w:rsidRPr="00217CE6">
        <w:rPr>
          <w:i/>
          <w:iCs/>
        </w:rPr>
        <w:t xml:space="preserve"> </w:t>
      </w:r>
      <w:proofErr w:type="spellStart"/>
      <w:r w:rsidRPr="00217CE6">
        <w:rPr>
          <w:i/>
          <w:iCs/>
        </w:rPr>
        <w:t>Fed’n</w:t>
      </w:r>
      <w:proofErr w:type="spellEnd"/>
      <w:r w:rsidRPr="00217CE6">
        <w:rPr>
          <w:i/>
          <w:iCs/>
        </w:rPr>
        <w:t xml:space="preserve"> of </w:t>
      </w:r>
      <w:proofErr w:type="spellStart"/>
      <w:r w:rsidRPr="00217CE6">
        <w:rPr>
          <w:i/>
          <w:iCs/>
        </w:rPr>
        <w:t>Indep</w:t>
      </w:r>
      <w:proofErr w:type="spellEnd"/>
      <w:r w:rsidRPr="00217CE6">
        <w:rPr>
          <w:i/>
          <w:iCs/>
        </w:rPr>
        <w:t xml:space="preserve">. </w:t>
      </w:r>
      <w:proofErr w:type="spellStart"/>
      <w:r w:rsidRPr="00217CE6">
        <w:rPr>
          <w:i/>
          <w:iCs/>
        </w:rPr>
        <w:t>Bus</w:t>
      </w:r>
      <w:proofErr w:type="spellEnd"/>
      <w:r w:rsidRPr="00217CE6">
        <w:rPr>
          <w:i/>
          <w:iCs/>
        </w:rPr>
        <w:t xml:space="preserve">. v. </w:t>
      </w:r>
      <w:proofErr w:type="spellStart"/>
      <w:r w:rsidRPr="00217CE6">
        <w:rPr>
          <w:i/>
          <w:iCs/>
        </w:rPr>
        <w:t>Sebelius</w:t>
      </w:r>
      <w:proofErr w:type="spellEnd"/>
      <w:r w:rsidRPr="00217CE6">
        <w:t xml:space="preserve">, 132 S. </w:t>
      </w:r>
      <w:proofErr w:type="spellStart"/>
      <w:r w:rsidRPr="00217CE6">
        <w:t>Ct</w:t>
      </w:r>
      <w:proofErr w:type="spellEnd"/>
      <w:r w:rsidRPr="00217CE6">
        <w:t xml:space="preserve">. 2566 (2012). </w:t>
      </w:r>
      <w:r w:rsidRPr="00217CE6">
        <w:rPr>
          <w:i/>
          <w:iCs/>
        </w:rPr>
        <w:t>Cf.</w:t>
      </w:r>
      <w:r w:rsidRPr="00217CE6">
        <w:t xml:space="preserve"> </w:t>
      </w:r>
      <w:proofErr w:type="spellStart"/>
      <w:r w:rsidRPr="00217CE6">
        <w:t>Blackman</w:t>
      </w:r>
      <w:proofErr w:type="spellEnd"/>
      <w:r w:rsidRPr="00217CE6">
        <w:t xml:space="preserve">, </w:t>
      </w:r>
      <w:proofErr w:type="spellStart"/>
      <w:r w:rsidRPr="00217CE6">
        <w:rPr>
          <w:i/>
          <w:iCs/>
        </w:rPr>
        <w:t>supra</w:t>
      </w:r>
      <w:proofErr w:type="spellEnd"/>
      <w:r w:rsidRPr="00217CE6">
        <w:t xml:space="preserve"> dipnot 142 (bu davaya dair anayasal kültürün bazı kritik yönlerine duyarlı, kışkırtıcı bir anlatım sunmaktadır).</w:t>
      </w:r>
    </w:p>
  </w:footnote>
  <w:footnote w:id="171">
    <w:p w14:paraId="3B4DDDE0" w14:textId="08E4E9E6" w:rsidR="00217CE6" w:rsidRPr="00217CE6" w:rsidRDefault="00217CE6" w:rsidP="00217CE6">
      <w:pPr>
        <w:pStyle w:val="Dipnot"/>
        <w:rPr>
          <w:lang w:val="en-US"/>
        </w:rPr>
      </w:pPr>
      <w:r>
        <w:rPr>
          <w:rStyle w:val="FootnoteReference"/>
        </w:rPr>
        <w:footnoteRef/>
      </w:r>
      <w:r>
        <w:t xml:space="preserve"> </w:t>
      </w:r>
      <w:r>
        <w:rPr>
          <w:lang w:val="en-US"/>
        </w:rPr>
        <w:tab/>
      </w:r>
      <w:r w:rsidRPr="00217CE6">
        <w:t>171</w:t>
      </w:r>
      <w:r>
        <w:t xml:space="preserve"> </w:t>
      </w:r>
      <w:r w:rsidRPr="00217CE6">
        <w:rPr>
          <w:i/>
          <w:iCs/>
        </w:rPr>
        <w:t>Cf.</w:t>
      </w:r>
      <w:r w:rsidRPr="00217CE6">
        <w:t xml:space="preserve"> Andrew M. </w:t>
      </w:r>
      <w:proofErr w:type="spellStart"/>
      <w:r w:rsidRPr="00217CE6">
        <w:t>Siegel</w:t>
      </w:r>
      <w:proofErr w:type="spellEnd"/>
      <w:r w:rsidRPr="00217CE6">
        <w:t xml:space="preserve">, </w:t>
      </w:r>
      <w:proofErr w:type="spellStart"/>
      <w:r w:rsidRPr="00217CE6">
        <w:rPr>
          <w:i/>
          <w:iCs/>
        </w:rPr>
        <w:t>The</w:t>
      </w:r>
      <w:proofErr w:type="spellEnd"/>
      <w:r w:rsidRPr="00217CE6">
        <w:rPr>
          <w:i/>
          <w:iCs/>
        </w:rPr>
        <w:t xml:space="preserve"> Court </w:t>
      </w:r>
      <w:proofErr w:type="spellStart"/>
      <w:r w:rsidRPr="00217CE6">
        <w:rPr>
          <w:i/>
          <w:iCs/>
        </w:rPr>
        <w:t>Against</w:t>
      </w:r>
      <w:proofErr w:type="spellEnd"/>
      <w:r w:rsidRPr="00217CE6">
        <w:rPr>
          <w:i/>
          <w:iCs/>
        </w:rPr>
        <w:t xml:space="preserve"> </w:t>
      </w:r>
      <w:proofErr w:type="spellStart"/>
      <w:r w:rsidRPr="00217CE6">
        <w:rPr>
          <w:i/>
          <w:iCs/>
        </w:rPr>
        <w:t>the</w:t>
      </w:r>
      <w:proofErr w:type="spellEnd"/>
      <w:r w:rsidRPr="00217CE6">
        <w:rPr>
          <w:i/>
          <w:iCs/>
        </w:rPr>
        <w:t xml:space="preserve"> </w:t>
      </w:r>
      <w:proofErr w:type="spellStart"/>
      <w:r w:rsidRPr="00217CE6">
        <w:rPr>
          <w:i/>
          <w:iCs/>
        </w:rPr>
        <w:t>Courts</w:t>
      </w:r>
      <w:proofErr w:type="spellEnd"/>
      <w:r w:rsidRPr="00217CE6">
        <w:rPr>
          <w:i/>
          <w:iCs/>
        </w:rPr>
        <w:t xml:space="preserve">: </w:t>
      </w:r>
      <w:proofErr w:type="spellStart"/>
      <w:r w:rsidRPr="00217CE6">
        <w:rPr>
          <w:i/>
          <w:iCs/>
        </w:rPr>
        <w:t>Hostility</w:t>
      </w:r>
      <w:proofErr w:type="spellEnd"/>
      <w:r w:rsidRPr="00217CE6">
        <w:rPr>
          <w:i/>
          <w:iCs/>
        </w:rPr>
        <w:t xml:space="preserve"> </w:t>
      </w:r>
      <w:proofErr w:type="spellStart"/>
      <w:r w:rsidRPr="00217CE6">
        <w:rPr>
          <w:i/>
          <w:iCs/>
        </w:rPr>
        <w:t>to</w:t>
      </w:r>
      <w:proofErr w:type="spellEnd"/>
      <w:r w:rsidRPr="00217CE6">
        <w:rPr>
          <w:i/>
          <w:iCs/>
        </w:rPr>
        <w:t xml:space="preserve"> </w:t>
      </w:r>
      <w:proofErr w:type="spellStart"/>
      <w:r w:rsidRPr="00217CE6">
        <w:rPr>
          <w:i/>
          <w:iCs/>
        </w:rPr>
        <w:t>Litigation</w:t>
      </w:r>
      <w:proofErr w:type="spellEnd"/>
      <w:r w:rsidRPr="00217CE6">
        <w:rPr>
          <w:i/>
          <w:iCs/>
        </w:rPr>
        <w:t xml:space="preserve"> as an </w:t>
      </w:r>
      <w:proofErr w:type="spellStart"/>
      <w:r w:rsidRPr="00217CE6">
        <w:rPr>
          <w:i/>
          <w:iCs/>
        </w:rPr>
        <w:t>Organizing</w:t>
      </w:r>
      <w:proofErr w:type="spellEnd"/>
      <w:r w:rsidRPr="00217CE6">
        <w:rPr>
          <w:i/>
          <w:iCs/>
        </w:rPr>
        <w:t xml:space="preserve"> </w:t>
      </w:r>
      <w:proofErr w:type="spellStart"/>
      <w:r w:rsidRPr="00217CE6">
        <w:rPr>
          <w:i/>
          <w:iCs/>
        </w:rPr>
        <w:t>Theme</w:t>
      </w:r>
      <w:proofErr w:type="spellEnd"/>
      <w:r w:rsidRPr="00217CE6">
        <w:rPr>
          <w:i/>
          <w:iCs/>
        </w:rPr>
        <w:t xml:space="preserve"> in </w:t>
      </w:r>
      <w:proofErr w:type="spellStart"/>
      <w:r w:rsidRPr="00217CE6">
        <w:rPr>
          <w:i/>
          <w:iCs/>
        </w:rPr>
        <w:t>the</w:t>
      </w:r>
      <w:proofErr w:type="spellEnd"/>
      <w:r w:rsidRPr="00217CE6">
        <w:rPr>
          <w:i/>
          <w:iCs/>
        </w:rPr>
        <w:t xml:space="preserve"> </w:t>
      </w:r>
      <w:proofErr w:type="spellStart"/>
      <w:r w:rsidRPr="00217CE6">
        <w:rPr>
          <w:i/>
          <w:iCs/>
        </w:rPr>
        <w:t>Rehnquist</w:t>
      </w:r>
      <w:proofErr w:type="spellEnd"/>
      <w:r w:rsidRPr="00217CE6">
        <w:rPr>
          <w:i/>
          <w:iCs/>
        </w:rPr>
        <w:t xml:space="preserve"> </w:t>
      </w:r>
      <w:proofErr w:type="spellStart"/>
      <w:r w:rsidRPr="00217CE6">
        <w:rPr>
          <w:i/>
          <w:iCs/>
        </w:rPr>
        <w:t>Court’s</w:t>
      </w:r>
      <w:proofErr w:type="spellEnd"/>
      <w:r w:rsidRPr="00217CE6">
        <w:rPr>
          <w:i/>
          <w:iCs/>
        </w:rPr>
        <w:t xml:space="preserve"> </w:t>
      </w:r>
      <w:proofErr w:type="spellStart"/>
      <w:r w:rsidRPr="00217CE6">
        <w:rPr>
          <w:i/>
          <w:iCs/>
        </w:rPr>
        <w:t>Jurisprudence</w:t>
      </w:r>
      <w:proofErr w:type="spellEnd"/>
      <w:r w:rsidRPr="00217CE6">
        <w:t xml:space="preserve">, 84 </w:t>
      </w:r>
      <w:proofErr w:type="spellStart"/>
      <w:r w:rsidRPr="00217CE6">
        <w:rPr>
          <w:i/>
          <w:iCs/>
        </w:rPr>
        <w:t>Tex</w:t>
      </w:r>
      <w:proofErr w:type="spellEnd"/>
      <w:r w:rsidRPr="00217CE6">
        <w:rPr>
          <w:i/>
          <w:iCs/>
        </w:rPr>
        <w:t xml:space="preserve">. L. </w:t>
      </w:r>
      <w:proofErr w:type="spellStart"/>
      <w:r w:rsidRPr="00217CE6">
        <w:rPr>
          <w:i/>
          <w:iCs/>
        </w:rPr>
        <w:t>Rev</w:t>
      </w:r>
      <w:proofErr w:type="spellEnd"/>
      <w:r w:rsidRPr="00217CE6">
        <w:rPr>
          <w:i/>
          <w:iCs/>
        </w:rPr>
        <w:t>.</w:t>
      </w:r>
      <w:r w:rsidRPr="00217CE6">
        <w:t xml:space="preserve"> 1097, 1107 (2006) (bu temayı doktrinsel olarak ele almakta ve onu kültürel bir olgu olarak açıklamakta, ancak onu şekillendiren ve yönlendiren kültürel faktörleri yalnızca yüzeysel olarak irdelemektedir).</w:t>
      </w:r>
    </w:p>
  </w:footnote>
  <w:footnote w:id="172">
    <w:p w14:paraId="3F285DF9" w14:textId="69B03251" w:rsidR="006532A6" w:rsidRPr="006532A6" w:rsidRDefault="006532A6" w:rsidP="006532A6">
      <w:pPr>
        <w:pStyle w:val="Dipnot"/>
        <w:rPr>
          <w:lang w:val="en-US"/>
        </w:rPr>
      </w:pPr>
      <w:r>
        <w:rPr>
          <w:rStyle w:val="FootnoteReference"/>
        </w:rPr>
        <w:footnoteRef/>
      </w:r>
      <w:r>
        <w:t xml:space="preserve"> </w:t>
      </w:r>
      <w:r>
        <w:rPr>
          <w:lang w:val="en-US"/>
        </w:rPr>
        <w:t xml:space="preserve"> </w:t>
      </w:r>
      <w:r>
        <w:rPr>
          <w:lang w:val="en-US"/>
        </w:rPr>
        <w:tab/>
      </w:r>
      <w:r w:rsidRPr="006532A6">
        <w:t>172</w:t>
      </w:r>
      <w:r>
        <w:t xml:space="preserve"> </w:t>
      </w:r>
      <w:r w:rsidRPr="006532A6">
        <w:rPr>
          <w:i/>
          <w:iCs/>
        </w:rPr>
        <w:t xml:space="preserve">Bkz., </w:t>
      </w:r>
      <w:proofErr w:type="spellStart"/>
      <w:r w:rsidRPr="006532A6">
        <w:rPr>
          <w:i/>
          <w:iCs/>
        </w:rPr>
        <w:t>örn</w:t>
      </w:r>
      <w:proofErr w:type="spellEnd"/>
      <w:r w:rsidRPr="006532A6">
        <w:rPr>
          <w:i/>
          <w:iCs/>
        </w:rPr>
        <w:t>.</w:t>
      </w:r>
      <w:r w:rsidRPr="006532A6">
        <w:t xml:space="preserve">, Barry Friedman, </w:t>
      </w:r>
      <w:proofErr w:type="spellStart"/>
      <w:r w:rsidRPr="006532A6">
        <w:rPr>
          <w:i/>
          <w:iCs/>
        </w:rPr>
        <w:t>The</w:t>
      </w:r>
      <w:proofErr w:type="spellEnd"/>
      <w:r w:rsidRPr="006532A6">
        <w:rPr>
          <w:i/>
          <w:iCs/>
        </w:rPr>
        <w:t xml:space="preserve"> </w:t>
      </w:r>
      <w:proofErr w:type="spellStart"/>
      <w:r w:rsidRPr="006532A6">
        <w:rPr>
          <w:i/>
          <w:iCs/>
        </w:rPr>
        <w:t>Importance</w:t>
      </w:r>
      <w:proofErr w:type="spellEnd"/>
      <w:r w:rsidRPr="006532A6">
        <w:rPr>
          <w:i/>
          <w:iCs/>
        </w:rPr>
        <w:t xml:space="preserve"> of </w:t>
      </w:r>
      <w:proofErr w:type="spellStart"/>
      <w:r w:rsidRPr="006532A6">
        <w:rPr>
          <w:i/>
          <w:iCs/>
        </w:rPr>
        <w:t>Being</w:t>
      </w:r>
      <w:proofErr w:type="spellEnd"/>
      <w:r w:rsidRPr="006532A6">
        <w:rPr>
          <w:i/>
          <w:iCs/>
        </w:rPr>
        <w:t xml:space="preserve"> </w:t>
      </w:r>
      <w:proofErr w:type="spellStart"/>
      <w:r w:rsidRPr="006532A6">
        <w:rPr>
          <w:i/>
          <w:iCs/>
        </w:rPr>
        <w:t>Positive</w:t>
      </w:r>
      <w:proofErr w:type="spellEnd"/>
      <w:r w:rsidRPr="006532A6">
        <w:rPr>
          <w:i/>
          <w:iCs/>
        </w:rPr>
        <w:t xml:space="preserve">: </w:t>
      </w:r>
      <w:proofErr w:type="spellStart"/>
      <w:r w:rsidRPr="006532A6">
        <w:rPr>
          <w:i/>
          <w:iCs/>
        </w:rPr>
        <w:t>The</w:t>
      </w:r>
      <w:proofErr w:type="spellEnd"/>
      <w:r w:rsidRPr="006532A6">
        <w:rPr>
          <w:i/>
          <w:iCs/>
        </w:rPr>
        <w:t xml:space="preserve"> Nature </w:t>
      </w:r>
      <w:proofErr w:type="spellStart"/>
      <w:r w:rsidRPr="006532A6">
        <w:rPr>
          <w:i/>
          <w:iCs/>
        </w:rPr>
        <w:t>and</w:t>
      </w:r>
      <w:proofErr w:type="spellEnd"/>
      <w:r w:rsidRPr="006532A6">
        <w:rPr>
          <w:i/>
          <w:iCs/>
        </w:rPr>
        <w:t xml:space="preserve"> </w:t>
      </w:r>
      <w:proofErr w:type="spellStart"/>
      <w:r w:rsidRPr="006532A6">
        <w:rPr>
          <w:i/>
          <w:iCs/>
        </w:rPr>
        <w:t>Function</w:t>
      </w:r>
      <w:proofErr w:type="spellEnd"/>
      <w:r w:rsidRPr="006532A6">
        <w:rPr>
          <w:i/>
          <w:iCs/>
        </w:rPr>
        <w:t xml:space="preserve"> of </w:t>
      </w:r>
      <w:proofErr w:type="spellStart"/>
      <w:r w:rsidRPr="006532A6">
        <w:rPr>
          <w:i/>
          <w:iCs/>
        </w:rPr>
        <w:t>Judicial</w:t>
      </w:r>
      <w:proofErr w:type="spellEnd"/>
      <w:r w:rsidRPr="006532A6">
        <w:rPr>
          <w:i/>
          <w:iCs/>
        </w:rPr>
        <w:t xml:space="preserve"> </w:t>
      </w:r>
      <w:proofErr w:type="spellStart"/>
      <w:r w:rsidRPr="006532A6">
        <w:rPr>
          <w:i/>
          <w:iCs/>
        </w:rPr>
        <w:t>Review</w:t>
      </w:r>
      <w:proofErr w:type="spellEnd"/>
      <w:r w:rsidRPr="006532A6">
        <w:t xml:space="preserve">, 72 </w:t>
      </w:r>
      <w:r w:rsidRPr="006532A6">
        <w:rPr>
          <w:i/>
          <w:iCs/>
        </w:rPr>
        <w:t xml:space="preserve">U. Cin. L. </w:t>
      </w:r>
      <w:proofErr w:type="spellStart"/>
      <w:r w:rsidRPr="006532A6">
        <w:rPr>
          <w:i/>
          <w:iCs/>
        </w:rPr>
        <w:t>Rev</w:t>
      </w:r>
      <w:proofErr w:type="spellEnd"/>
      <w:r w:rsidRPr="006532A6">
        <w:rPr>
          <w:i/>
          <w:iCs/>
        </w:rPr>
        <w:t>.</w:t>
      </w:r>
      <w:r w:rsidRPr="006532A6">
        <w:t xml:space="preserve"> 1257 (2004).</w:t>
      </w:r>
    </w:p>
  </w:footnote>
  <w:footnote w:id="173">
    <w:p w14:paraId="601FD8BC" w14:textId="41B40B07" w:rsidR="006532A6" w:rsidRPr="006532A6" w:rsidRDefault="006532A6" w:rsidP="006532A6">
      <w:pPr>
        <w:pStyle w:val="Dipnot"/>
        <w:rPr>
          <w:lang w:val="en-US"/>
        </w:rPr>
      </w:pPr>
      <w:r>
        <w:rPr>
          <w:rStyle w:val="FootnoteReference"/>
        </w:rPr>
        <w:footnoteRef/>
      </w:r>
      <w:r>
        <w:t xml:space="preserve"> </w:t>
      </w:r>
      <w:r>
        <w:rPr>
          <w:lang w:val="en-US"/>
        </w:rPr>
        <w:tab/>
      </w:r>
      <w:r w:rsidRPr="006532A6">
        <w:t>173</w:t>
      </w:r>
      <w:r>
        <w:t xml:space="preserve"> </w:t>
      </w:r>
      <w:r w:rsidRPr="006532A6">
        <w:rPr>
          <w:i/>
          <w:iCs/>
        </w:rPr>
        <w:t xml:space="preserve">Bkz., </w:t>
      </w:r>
      <w:proofErr w:type="spellStart"/>
      <w:r w:rsidRPr="006532A6">
        <w:rPr>
          <w:i/>
          <w:iCs/>
        </w:rPr>
        <w:t>örn</w:t>
      </w:r>
      <w:proofErr w:type="spellEnd"/>
      <w:r w:rsidRPr="006532A6">
        <w:rPr>
          <w:i/>
          <w:iCs/>
        </w:rPr>
        <w:t>.</w:t>
      </w:r>
      <w:r w:rsidRPr="006532A6">
        <w:t xml:space="preserve">, </w:t>
      </w:r>
      <w:proofErr w:type="spellStart"/>
      <w:r w:rsidRPr="006532A6">
        <w:t>Fallon</w:t>
      </w:r>
      <w:proofErr w:type="spellEnd"/>
      <w:r w:rsidRPr="006532A6">
        <w:t xml:space="preserve">, </w:t>
      </w:r>
      <w:proofErr w:type="spellStart"/>
      <w:r w:rsidRPr="006532A6">
        <w:rPr>
          <w:i/>
          <w:iCs/>
        </w:rPr>
        <w:t>supra</w:t>
      </w:r>
      <w:proofErr w:type="spellEnd"/>
      <w:r w:rsidRPr="006532A6">
        <w:t xml:space="preserve"> dipnot 2; </w:t>
      </w:r>
      <w:proofErr w:type="spellStart"/>
      <w:r w:rsidRPr="006532A6">
        <w:t>Fallon</w:t>
      </w:r>
      <w:proofErr w:type="spellEnd"/>
      <w:r w:rsidRPr="006532A6">
        <w:t xml:space="preserve">, </w:t>
      </w:r>
      <w:proofErr w:type="spellStart"/>
      <w:r w:rsidRPr="006532A6">
        <w:rPr>
          <w:i/>
          <w:iCs/>
        </w:rPr>
        <w:t>supra</w:t>
      </w:r>
      <w:proofErr w:type="spellEnd"/>
      <w:r w:rsidRPr="006532A6">
        <w:t xml:space="preserve"> dipnot 23 (anayasal doktrinlerin şekillendirilmesinin, Yüksek Mahkeme’nin Anayasa’nın özgün anlamına tek başına bağlı kalmaksızın pratik yargılarda bulunmasını gerektirdiğini savunmaktadır).</w:t>
      </w:r>
    </w:p>
  </w:footnote>
  <w:footnote w:id="174">
    <w:p w14:paraId="18743ABA" w14:textId="52891A46" w:rsidR="006532A6" w:rsidRPr="006532A6" w:rsidRDefault="006532A6" w:rsidP="006532A6">
      <w:pPr>
        <w:pStyle w:val="Dipnot"/>
        <w:rPr>
          <w:lang w:val="en-US"/>
        </w:rPr>
      </w:pPr>
      <w:r>
        <w:rPr>
          <w:rStyle w:val="FootnoteReference"/>
        </w:rPr>
        <w:footnoteRef/>
      </w:r>
      <w:r>
        <w:t xml:space="preserve"> </w:t>
      </w:r>
      <w:r>
        <w:tab/>
      </w:r>
      <w:r w:rsidRPr="006532A6">
        <w:t>174</w:t>
      </w:r>
      <w:r>
        <w:t xml:space="preserve"> </w:t>
      </w:r>
      <w:r w:rsidRPr="006532A6">
        <w:rPr>
          <w:i/>
          <w:iCs/>
        </w:rPr>
        <w:t xml:space="preserve">Bkz., </w:t>
      </w:r>
      <w:proofErr w:type="spellStart"/>
      <w:r w:rsidRPr="006532A6">
        <w:rPr>
          <w:i/>
          <w:iCs/>
        </w:rPr>
        <w:t>örn</w:t>
      </w:r>
      <w:proofErr w:type="spellEnd"/>
      <w:r w:rsidRPr="006532A6">
        <w:rPr>
          <w:i/>
          <w:iCs/>
        </w:rPr>
        <w:t>.</w:t>
      </w:r>
      <w:r w:rsidRPr="006532A6">
        <w:t xml:space="preserve">, </w:t>
      </w:r>
      <w:proofErr w:type="spellStart"/>
      <w:r w:rsidRPr="006532A6">
        <w:t>Terri</w:t>
      </w:r>
      <w:proofErr w:type="spellEnd"/>
      <w:r w:rsidRPr="006532A6">
        <w:t xml:space="preserve"> </w:t>
      </w:r>
      <w:proofErr w:type="spellStart"/>
      <w:r w:rsidRPr="006532A6">
        <w:t>Jennings</w:t>
      </w:r>
      <w:proofErr w:type="spellEnd"/>
      <w:r w:rsidRPr="006532A6">
        <w:t xml:space="preserve"> </w:t>
      </w:r>
      <w:proofErr w:type="spellStart"/>
      <w:r w:rsidRPr="006532A6">
        <w:t>Peretti</w:t>
      </w:r>
      <w:proofErr w:type="spellEnd"/>
      <w:r w:rsidRPr="006532A6">
        <w:t xml:space="preserve">, </w:t>
      </w:r>
      <w:proofErr w:type="spellStart"/>
      <w:r w:rsidRPr="006532A6">
        <w:rPr>
          <w:i/>
          <w:iCs/>
        </w:rPr>
        <w:t>In</w:t>
      </w:r>
      <w:proofErr w:type="spellEnd"/>
      <w:r w:rsidRPr="006532A6">
        <w:rPr>
          <w:i/>
          <w:iCs/>
        </w:rPr>
        <w:t xml:space="preserve"> </w:t>
      </w:r>
      <w:proofErr w:type="spellStart"/>
      <w:r w:rsidRPr="006532A6">
        <w:rPr>
          <w:i/>
          <w:iCs/>
        </w:rPr>
        <w:t>Defense</w:t>
      </w:r>
      <w:proofErr w:type="spellEnd"/>
      <w:r w:rsidRPr="006532A6">
        <w:rPr>
          <w:i/>
          <w:iCs/>
        </w:rPr>
        <w:t xml:space="preserve"> of a </w:t>
      </w:r>
      <w:proofErr w:type="spellStart"/>
      <w:r w:rsidRPr="006532A6">
        <w:rPr>
          <w:i/>
          <w:iCs/>
        </w:rPr>
        <w:t>Political</w:t>
      </w:r>
      <w:proofErr w:type="spellEnd"/>
      <w:r w:rsidRPr="006532A6">
        <w:rPr>
          <w:i/>
          <w:iCs/>
        </w:rPr>
        <w:t xml:space="preserve"> Court</w:t>
      </w:r>
      <w:r w:rsidRPr="006532A6">
        <w:t xml:space="preserve"> (1999).</w:t>
      </w:r>
    </w:p>
  </w:footnote>
  <w:footnote w:id="175">
    <w:p w14:paraId="506243C9" w14:textId="0B16B9A3" w:rsidR="006532A6" w:rsidRPr="006532A6" w:rsidRDefault="006532A6" w:rsidP="00EA39BB">
      <w:pPr>
        <w:pStyle w:val="Dipnot"/>
      </w:pPr>
      <w:r>
        <w:rPr>
          <w:rStyle w:val="FootnoteReference"/>
        </w:rPr>
        <w:footnoteRef/>
      </w:r>
      <w:r>
        <w:t xml:space="preserve"> </w:t>
      </w:r>
      <w:r>
        <w:tab/>
      </w:r>
      <w:r w:rsidRPr="006532A6">
        <w:t>175</w:t>
      </w:r>
      <w:r>
        <w:t xml:space="preserve"> </w:t>
      </w:r>
      <w:proofErr w:type="spellStart"/>
      <w:r w:rsidRPr="006532A6">
        <w:t>Blackman</w:t>
      </w:r>
      <w:proofErr w:type="spellEnd"/>
      <w:r w:rsidRPr="006532A6">
        <w:t xml:space="preserve">, </w:t>
      </w:r>
      <w:proofErr w:type="spellStart"/>
      <w:r w:rsidRPr="006532A6">
        <w:rPr>
          <w:i/>
          <w:iCs/>
        </w:rPr>
        <w:t>supra</w:t>
      </w:r>
      <w:proofErr w:type="spellEnd"/>
      <w:r w:rsidRPr="006532A6">
        <w:t xml:space="preserve"> dipnot 142.</w:t>
      </w:r>
    </w:p>
  </w:footnote>
  <w:footnote w:id="176">
    <w:p w14:paraId="7C5CACFB" w14:textId="6DA26C04" w:rsidR="00EA39BB" w:rsidRPr="00EA39BB" w:rsidRDefault="00EA39BB" w:rsidP="00EA39BB">
      <w:pPr>
        <w:pStyle w:val="Dipnot"/>
        <w:rPr>
          <w:lang w:val="en-US"/>
        </w:rPr>
      </w:pPr>
      <w:r>
        <w:rPr>
          <w:rStyle w:val="FootnoteReference"/>
        </w:rPr>
        <w:footnoteRef/>
      </w:r>
      <w:r>
        <w:t xml:space="preserve"> </w:t>
      </w:r>
      <w:r>
        <w:tab/>
      </w:r>
      <w:r w:rsidRPr="00EA39BB">
        <w:t>176</w:t>
      </w:r>
      <w:r>
        <w:t xml:space="preserve"> </w:t>
      </w:r>
      <w:r w:rsidRPr="00EA39BB">
        <w:rPr>
          <w:i/>
          <w:iCs/>
        </w:rPr>
        <w:t xml:space="preserve">Bkz., </w:t>
      </w:r>
      <w:proofErr w:type="spellStart"/>
      <w:r w:rsidRPr="00EA39BB">
        <w:rPr>
          <w:i/>
          <w:iCs/>
        </w:rPr>
        <w:t>örn</w:t>
      </w:r>
      <w:proofErr w:type="spellEnd"/>
      <w:r w:rsidRPr="00EA39BB">
        <w:rPr>
          <w:i/>
          <w:iCs/>
        </w:rPr>
        <w:t>.</w:t>
      </w:r>
      <w:r w:rsidRPr="00EA39BB">
        <w:t xml:space="preserve">, </w:t>
      </w:r>
      <w:proofErr w:type="spellStart"/>
      <w:r w:rsidRPr="00EA39BB">
        <w:t>Kearney</w:t>
      </w:r>
      <w:proofErr w:type="spellEnd"/>
      <w:r w:rsidRPr="00EA39BB">
        <w:t xml:space="preserve"> &amp; Merrill, </w:t>
      </w:r>
      <w:proofErr w:type="spellStart"/>
      <w:r w:rsidRPr="00EA39BB">
        <w:rPr>
          <w:i/>
          <w:iCs/>
        </w:rPr>
        <w:t>supra</w:t>
      </w:r>
      <w:proofErr w:type="spellEnd"/>
      <w:r w:rsidRPr="00EA39BB">
        <w:t xml:space="preserve"> dipnot 79, s. 747 (üçüncü taraf </w:t>
      </w:r>
      <w:proofErr w:type="spellStart"/>
      <w:r w:rsidRPr="00EA39BB">
        <w:rPr>
          <w:i/>
          <w:iCs/>
        </w:rPr>
        <w:t>amicus</w:t>
      </w:r>
      <w:proofErr w:type="spellEnd"/>
      <w:r w:rsidRPr="00EA39BB">
        <w:rPr>
          <w:i/>
          <w:iCs/>
        </w:rPr>
        <w:t xml:space="preserve"> </w:t>
      </w:r>
      <w:proofErr w:type="spellStart"/>
      <w:r w:rsidRPr="00EA39BB">
        <w:rPr>
          <w:i/>
          <w:iCs/>
        </w:rPr>
        <w:t>curiae</w:t>
      </w:r>
      <w:proofErr w:type="spellEnd"/>
      <w:r w:rsidRPr="00EA39BB">
        <w:t xml:space="preserve"> başvurularının değişen rolünü ve farklı perspektiflerini ele almaktadır).</w:t>
      </w:r>
    </w:p>
  </w:footnote>
  <w:footnote w:id="177">
    <w:p w14:paraId="7ACBE5F0" w14:textId="5863A30E" w:rsidR="00EA39BB" w:rsidRPr="00EA39BB" w:rsidRDefault="00EA39BB" w:rsidP="00EA39BB">
      <w:pPr>
        <w:pStyle w:val="Dipnot"/>
        <w:rPr>
          <w:lang w:val="en-US"/>
        </w:rPr>
      </w:pPr>
      <w:r>
        <w:rPr>
          <w:rStyle w:val="FootnoteReference"/>
        </w:rPr>
        <w:footnoteRef/>
      </w:r>
      <w:r>
        <w:t xml:space="preserve"> </w:t>
      </w:r>
      <w:r>
        <w:tab/>
      </w:r>
      <w:r w:rsidRPr="00EA39BB">
        <w:t>177</w:t>
      </w:r>
      <w:r>
        <w:t xml:space="preserve"> </w:t>
      </w:r>
      <w:r w:rsidRPr="00EA39BB">
        <w:rPr>
          <w:i/>
          <w:iCs/>
        </w:rPr>
        <w:t xml:space="preserve">Bkz., </w:t>
      </w:r>
      <w:proofErr w:type="spellStart"/>
      <w:r w:rsidRPr="00EA39BB">
        <w:rPr>
          <w:i/>
          <w:iCs/>
        </w:rPr>
        <w:t>örn</w:t>
      </w:r>
      <w:proofErr w:type="spellEnd"/>
      <w:r w:rsidRPr="00EA39BB">
        <w:rPr>
          <w:i/>
          <w:iCs/>
        </w:rPr>
        <w:t>.</w:t>
      </w:r>
      <w:r w:rsidRPr="00EA39BB">
        <w:t xml:space="preserve">, </w:t>
      </w:r>
      <w:proofErr w:type="spellStart"/>
      <w:r w:rsidRPr="00EA39BB">
        <w:t>Peppers</w:t>
      </w:r>
      <w:proofErr w:type="spellEnd"/>
      <w:r w:rsidRPr="00EA39BB">
        <w:t xml:space="preserve">, </w:t>
      </w:r>
      <w:proofErr w:type="spellStart"/>
      <w:r w:rsidRPr="00EA39BB">
        <w:rPr>
          <w:i/>
          <w:iCs/>
        </w:rPr>
        <w:t>supra</w:t>
      </w:r>
      <w:proofErr w:type="spellEnd"/>
      <w:r w:rsidRPr="00EA39BB">
        <w:t xml:space="preserve"> dipnot 78 (Yüksek Mahkeme hukuk kâtiplerinin kullanımını ve bunların Yüksek Mahkeme kararları üzerindeki olası etkilerini incelemektedir).</w:t>
      </w:r>
    </w:p>
  </w:footnote>
  <w:footnote w:id="178">
    <w:p w14:paraId="794492A3" w14:textId="0E96D4FD" w:rsidR="00EA39BB" w:rsidRPr="00EA39BB" w:rsidRDefault="00EA39BB" w:rsidP="00EA39BB">
      <w:pPr>
        <w:pStyle w:val="Dipnot"/>
        <w:rPr>
          <w:lang w:val="en-US"/>
        </w:rPr>
      </w:pPr>
      <w:r>
        <w:rPr>
          <w:rStyle w:val="FootnoteReference"/>
        </w:rPr>
        <w:footnoteRef/>
      </w:r>
      <w:r>
        <w:t xml:space="preserve"> </w:t>
      </w:r>
      <w:r>
        <w:rPr>
          <w:lang w:val="en-US"/>
        </w:rPr>
        <w:tab/>
      </w:r>
      <w:r w:rsidRPr="00EA39BB">
        <w:t>178</w:t>
      </w:r>
      <w:r>
        <w:t xml:space="preserve"> </w:t>
      </w:r>
      <w:r w:rsidRPr="00EA39BB">
        <w:rPr>
          <w:i/>
          <w:iCs/>
        </w:rPr>
        <w:t xml:space="preserve">Bkz., </w:t>
      </w:r>
      <w:proofErr w:type="spellStart"/>
      <w:r w:rsidRPr="00EA39BB">
        <w:rPr>
          <w:i/>
          <w:iCs/>
        </w:rPr>
        <w:t>örn</w:t>
      </w:r>
      <w:proofErr w:type="spellEnd"/>
      <w:r w:rsidRPr="00EA39BB">
        <w:rPr>
          <w:i/>
          <w:iCs/>
        </w:rPr>
        <w:t>.</w:t>
      </w:r>
      <w:r w:rsidRPr="00EA39BB">
        <w:t xml:space="preserve">, Richard J. Lazarus, </w:t>
      </w:r>
      <w:proofErr w:type="spellStart"/>
      <w:r w:rsidRPr="00EA39BB">
        <w:rPr>
          <w:i/>
          <w:iCs/>
        </w:rPr>
        <w:t>Advocacy</w:t>
      </w:r>
      <w:proofErr w:type="spellEnd"/>
      <w:r w:rsidRPr="00EA39BB">
        <w:rPr>
          <w:i/>
          <w:iCs/>
        </w:rPr>
        <w:t xml:space="preserve"> </w:t>
      </w:r>
      <w:proofErr w:type="spellStart"/>
      <w:r w:rsidRPr="00EA39BB">
        <w:rPr>
          <w:i/>
          <w:iCs/>
        </w:rPr>
        <w:t>Matters</w:t>
      </w:r>
      <w:proofErr w:type="spellEnd"/>
      <w:r w:rsidRPr="00EA39BB">
        <w:rPr>
          <w:i/>
          <w:iCs/>
        </w:rPr>
        <w:t xml:space="preserve"> </w:t>
      </w:r>
      <w:proofErr w:type="spellStart"/>
      <w:r w:rsidRPr="00EA39BB">
        <w:rPr>
          <w:i/>
          <w:iCs/>
        </w:rPr>
        <w:t>Before</w:t>
      </w:r>
      <w:proofErr w:type="spellEnd"/>
      <w:r w:rsidRPr="00EA39BB">
        <w:rPr>
          <w:i/>
          <w:iCs/>
        </w:rPr>
        <w:t xml:space="preserve"> </w:t>
      </w:r>
      <w:proofErr w:type="spellStart"/>
      <w:r w:rsidRPr="00EA39BB">
        <w:rPr>
          <w:i/>
          <w:iCs/>
        </w:rPr>
        <w:t>and</w:t>
      </w:r>
      <w:proofErr w:type="spellEnd"/>
      <w:r w:rsidRPr="00EA39BB">
        <w:rPr>
          <w:i/>
          <w:iCs/>
        </w:rPr>
        <w:t xml:space="preserve"> </w:t>
      </w:r>
      <w:proofErr w:type="spellStart"/>
      <w:r w:rsidRPr="00EA39BB">
        <w:rPr>
          <w:i/>
          <w:iCs/>
        </w:rPr>
        <w:t>Within</w:t>
      </w:r>
      <w:proofErr w:type="spellEnd"/>
      <w:r w:rsidRPr="00EA39BB">
        <w:rPr>
          <w:i/>
          <w:iCs/>
        </w:rPr>
        <w:t xml:space="preserve"> </w:t>
      </w:r>
      <w:proofErr w:type="spellStart"/>
      <w:r w:rsidRPr="00EA39BB">
        <w:rPr>
          <w:i/>
          <w:iCs/>
        </w:rPr>
        <w:t>the</w:t>
      </w:r>
      <w:proofErr w:type="spellEnd"/>
      <w:r w:rsidRPr="00EA39BB">
        <w:rPr>
          <w:i/>
          <w:iCs/>
        </w:rPr>
        <w:t xml:space="preserve"> </w:t>
      </w:r>
      <w:proofErr w:type="spellStart"/>
      <w:r w:rsidRPr="00EA39BB">
        <w:rPr>
          <w:i/>
          <w:iCs/>
        </w:rPr>
        <w:t>Supreme</w:t>
      </w:r>
      <w:proofErr w:type="spellEnd"/>
      <w:r w:rsidRPr="00EA39BB">
        <w:rPr>
          <w:i/>
          <w:iCs/>
        </w:rPr>
        <w:t xml:space="preserve"> Court: </w:t>
      </w:r>
      <w:proofErr w:type="spellStart"/>
      <w:r w:rsidRPr="00EA39BB">
        <w:rPr>
          <w:i/>
          <w:iCs/>
        </w:rPr>
        <w:t>Transforming</w:t>
      </w:r>
      <w:proofErr w:type="spellEnd"/>
      <w:r w:rsidRPr="00EA39BB">
        <w:rPr>
          <w:i/>
          <w:iCs/>
        </w:rPr>
        <w:t xml:space="preserve"> </w:t>
      </w:r>
      <w:proofErr w:type="spellStart"/>
      <w:r w:rsidRPr="00EA39BB">
        <w:rPr>
          <w:i/>
          <w:iCs/>
        </w:rPr>
        <w:t>the</w:t>
      </w:r>
      <w:proofErr w:type="spellEnd"/>
      <w:r w:rsidRPr="00EA39BB">
        <w:rPr>
          <w:i/>
          <w:iCs/>
        </w:rPr>
        <w:t xml:space="preserve"> Court </w:t>
      </w:r>
      <w:proofErr w:type="spellStart"/>
      <w:r w:rsidRPr="00EA39BB">
        <w:rPr>
          <w:i/>
          <w:iCs/>
        </w:rPr>
        <w:t>by</w:t>
      </w:r>
      <w:proofErr w:type="spellEnd"/>
      <w:r w:rsidRPr="00EA39BB">
        <w:rPr>
          <w:i/>
          <w:iCs/>
        </w:rPr>
        <w:t xml:space="preserve"> </w:t>
      </w:r>
      <w:proofErr w:type="spellStart"/>
      <w:r w:rsidRPr="00EA39BB">
        <w:rPr>
          <w:i/>
          <w:iCs/>
        </w:rPr>
        <w:t>Transforming</w:t>
      </w:r>
      <w:proofErr w:type="spellEnd"/>
      <w:r w:rsidRPr="00EA39BB">
        <w:rPr>
          <w:i/>
          <w:iCs/>
        </w:rPr>
        <w:t xml:space="preserve"> </w:t>
      </w:r>
      <w:proofErr w:type="spellStart"/>
      <w:r w:rsidRPr="00EA39BB">
        <w:rPr>
          <w:i/>
          <w:iCs/>
        </w:rPr>
        <w:t>the</w:t>
      </w:r>
      <w:proofErr w:type="spellEnd"/>
      <w:r w:rsidRPr="00EA39BB">
        <w:rPr>
          <w:i/>
          <w:iCs/>
        </w:rPr>
        <w:t xml:space="preserve"> Bar</w:t>
      </w:r>
      <w:r w:rsidRPr="00EA39BB">
        <w:t xml:space="preserve">, 96 </w:t>
      </w:r>
      <w:proofErr w:type="spellStart"/>
      <w:r w:rsidRPr="00EA39BB">
        <w:rPr>
          <w:i/>
          <w:iCs/>
        </w:rPr>
        <w:t>Geo</w:t>
      </w:r>
      <w:proofErr w:type="spellEnd"/>
      <w:r w:rsidRPr="00EA39BB">
        <w:rPr>
          <w:i/>
          <w:iCs/>
        </w:rPr>
        <w:t>. L.J.</w:t>
      </w:r>
      <w:r w:rsidRPr="00EA39BB">
        <w:t xml:space="preserve"> 1487 (2008) (bugünkü Yüksek Mahkeme avukatları alanının geçmişe kıyasla daha az önemli olmasına rağmen, Yüksek Mahkeme dava avukatlarının sayısında ve etkisinde önemli bir artış olduğunu savunmaktadır).</w:t>
      </w:r>
    </w:p>
  </w:footnote>
  <w:footnote w:id="179">
    <w:p w14:paraId="6A8D6AE2" w14:textId="7BC96C5F" w:rsidR="00EA39BB" w:rsidRPr="00EA39BB" w:rsidRDefault="00EA39BB" w:rsidP="00EA39BB">
      <w:pPr>
        <w:pStyle w:val="Dipnot"/>
        <w:rPr>
          <w:lang w:val="en-US"/>
        </w:rPr>
      </w:pPr>
      <w:r>
        <w:rPr>
          <w:rStyle w:val="FootnoteReference"/>
        </w:rPr>
        <w:footnoteRef/>
      </w:r>
      <w:r>
        <w:t xml:space="preserve"> </w:t>
      </w:r>
      <w:r>
        <w:rPr>
          <w:lang w:val="en-US"/>
        </w:rPr>
        <w:tab/>
      </w:r>
      <w:r w:rsidRPr="00EA39BB">
        <w:t>179</w:t>
      </w:r>
      <w:r>
        <w:t xml:space="preserve"> </w:t>
      </w:r>
      <w:r w:rsidRPr="00EA39BB">
        <w:rPr>
          <w:i/>
          <w:iCs/>
        </w:rPr>
        <w:t xml:space="preserve">Bkz., </w:t>
      </w:r>
      <w:proofErr w:type="spellStart"/>
      <w:r w:rsidRPr="00EA39BB">
        <w:rPr>
          <w:i/>
          <w:iCs/>
        </w:rPr>
        <w:t>örn</w:t>
      </w:r>
      <w:proofErr w:type="spellEnd"/>
      <w:r w:rsidRPr="00EA39BB">
        <w:rPr>
          <w:i/>
          <w:iCs/>
        </w:rPr>
        <w:t>.</w:t>
      </w:r>
      <w:r w:rsidRPr="00EA39BB">
        <w:t xml:space="preserve">, </w:t>
      </w:r>
      <w:proofErr w:type="spellStart"/>
      <w:r w:rsidRPr="00EA39BB">
        <w:t>Derrick</w:t>
      </w:r>
      <w:proofErr w:type="spellEnd"/>
      <w:r w:rsidRPr="00EA39BB">
        <w:t xml:space="preserve"> Bell, </w:t>
      </w:r>
      <w:proofErr w:type="spellStart"/>
      <w:r w:rsidRPr="00EA39BB">
        <w:rPr>
          <w:i/>
          <w:iCs/>
        </w:rPr>
        <w:t>Essay</w:t>
      </w:r>
      <w:proofErr w:type="spellEnd"/>
      <w:r w:rsidRPr="00EA39BB">
        <w:rPr>
          <w:i/>
          <w:iCs/>
        </w:rPr>
        <w:t>—</w:t>
      </w:r>
      <w:proofErr w:type="spellStart"/>
      <w:r w:rsidRPr="00EA39BB">
        <w:rPr>
          <w:i/>
          <w:iCs/>
        </w:rPr>
        <w:t>Constitutional</w:t>
      </w:r>
      <w:proofErr w:type="spellEnd"/>
      <w:r w:rsidRPr="00EA39BB">
        <w:rPr>
          <w:i/>
          <w:iCs/>
        </w:rPr>
        <w:t xml:space="preserve"> </w:t>
      </w:r>
      <w:proofErr w:type="spellStart"/>
      <w:r w:rsidRPr="00EA39BB">
        <w:rPr>
          <w:i/>
          <w:iCs/>
        </w:rPr>
        <w:t>Conflicts</w:t>
      </w:r>
      <w:proofErr w:type="spellEnd"/>
      <w:r w:rsidRPr="00EA39BB">
        <w:rPr>
          <w:i/>
          <w:iCs/>
        </w:rPr>
        <w:t xml:space="preserve">: </w:t>
      </w:r>
      <w:proofErr w:type="spellStart"/>
      <w:r w:rsidRPr="00EA39BB">
        <w:rPr>
          <w:i/>
          <w:iCs/>
        </w:rPr>
        <w:t>The</w:t>
      </w:r>
      <w:proofErr w:type="spellEnd"/>
      <w:r w:rsidRPr="00EA39BB">
        <w:rPr>
          <w:i/>
          <w:iCs/>
        </w:rPr>
        <w:t xml:space="preserve"> </w:t>
      </w:r>
      <w:proofErr w:type="spellStart"/>
      <w:r w:rsidRPr="00EA39BB">
        <w:rPr>
          <w:i/>
          <w:iCs/>
        </w:rPr>
        <w:t>Perils</w:t>
      </w:r>
      <w:proofErr w:type="spellEnd"/>
      <w:r w:rsidRPr="00EA39BB">
        <w:rPr>
          <w:i/>
          <w:iCs/>
        </w:rPr>
        <w:t xml:space="preserve"> </w:t>
      </w:r>
      <w:proofErr w:type="spellStart"/>
      <w:r w:rsidRPr="00EA39BB">
        <w:rPr>
          <w:i/>
          <w:iCs/>
        </w:rPr>
        <w:t>and</w:t>
      </w:r>
      <w:proofErr w:type="spellEnd"/>
      <w:r w:rsidRPr="00EA39BB">
        <w:rPr>
          <w:i/>
          <w:iCs/>
        </w:rPr>
        <w:t xml:space="preserve"> </w:t>
      </w:r>
      <w:proofErr w:type="spellStart"/>
      <w:r w:rsidRPr="00EA39BB">
        <w:rPr>
          <w:i/>
          <w:iCs/>
        </w:rPr>
        <w:t>Rewards</w:t>
      </w:r>
      <w:proofErr w:type="spellEnd"/>
      <w:r w:rsidRPr="00EA39BB">
        <w:rPr>
          <w:i/>
          <w:iCs/>
        </w:rPr>
        <w:t xml:space="preserve"> of </w:t>
      </w:r>
      <w:proofErr w:type="spellStart"/>
      <w:r w:rsidRPr="00EA39BB">
        <w:rPr>
          <w:i/>
          <w:iCs/>
        </w:rPr>
        <w:t>Pioneering</w:t>
      </w:r>
      <w:proofErr w:type="spellEnd"/>
      <w:r w:rsidRPr="00EA39BB">
        <w:rPr>
          <w:i/>
          <w:iCs/>
        </w:rPr>
        <w:t xml:space="preserve"> in </w:t>
      </w:r>
      <w:proofErr w:type="spellStart"/>
      <w:r w:rsidRPr="00EA39BB">
        <w:rPr>
          <w:i/>
          <w:iCs/>
        </w:rPr>
        <w:t>the</w:t>
      </w:r>
      <w:proofErr w:type="spellEnd"/>
      <w:r w:rsidRPr="00EA39BB">
        <w:rPr>
          <w:i/>
          <w:iCs/>
        </w:rPr>
        <w:t xml:space="preserve"> </w:t>
      </w:r>
      <w:proofErr w:type="spellStart"/>
      <w:r w:rsidRPr="00EA39BB">
        <w:rPr>
          <w:i/>
          <w:iCs/>
        </w:rPr>
        <w:t>Law</w:t>
      </w:r>
      <w:proofErr w:type="spellEnd"/>
      <w:r w:rsidRPr="00EA39BB">
        <w:rPr>
          <w:i/>
          <w:iCs/>
        </w:rPr>
        <w:t xml:space="preserve"> School </w:t>
      </w:r>
      <w:proofErr w:type="spellStart"/>
      <w:r w:rsidRPr="00EA39BB">
        <w:rPr>
          <w:i/>
          <w:iCs/>
        </w:rPr>
        <w:t>Classroom</w:t>
      </w:r>
      <w:proofErr w:type="spellEnd"/>
      <w:r w:rsidRPr="00EA39BB">
        <w:t xml:space="preserve">, 21 </w:t>
      </w:r>
      <w:r w:rsidRPr="00EA39BB">
        <w:rPr>
          <w:i/>
          <w:iCs/>
        </w:rPr>
        <w:t xml:space="preserve">Seattle U. L. </w:t>
      </w:r>
      <w:proofErr w:type="spellStart"/>
      <w:r w:rsidRPr="00EA39BB">
        <w:rPr>
          <w:i/>
          <w:iCs/>
        </w:rPr>
        <w:t>Rev</w:t>
      </w:r>
      <w:proofErr w:type="spellEnd"/>
      <w:r w:rsidRPr="00EA39BB">
        <w:rPr>
          <w:i/>
          <w:iCs/>
        </w:rPr>
        <w:t>.</w:t>
      </w:r>
      <w:r w:rsidRPr="00EA39BB">
        <w:t xml:space="preserve"> 1039, 1043 (1998) (“Her öğrencinin ulaşmasını umduğum temel ve en önemli anlayış, Anayasa’nın Kurucu Babalar tarafından bırakılmış ve cam fanusta muhafaza edilmesi gereken saygıdeğer bir miras olmaktan ziyade, toplumumuzun şekillendirilmesi üzerine süregelen bir mücadelenin merkezi olduğudur; burada farklı gelecek vizyonları, gerçeğe ve geleceğe dönüşmek için rekabet etmektedir.”).</w:t>
      </w:r>
    </w:p>
  </w:footnote>
  <w:footnote w:id="180">
    <w:p w14:paraId="5F017C36" w14:textId="14ABFEEE" w:rsidR="00EA39BB" w:rsidRPr="00EA39BB" w:rsidRDefault="00EA39BB" w:rsidP="00EA39BB">
      <w:pPr>
        <w:pStyle w:val="Dipnot"/>
        <w:rPr>
          <w:lang w:val="en-US"/>
        </w:rPr>
      </w:pPr>
      <w:r>
        <w:rPr>
          <w:rStyle w:val="FootnoteReference"/>
        </w:rPr>
        <w:footnoteRef/>
      </w:r>
      <w:r>
        <w:t xml:space="preserve"> </w:t>
      </w:r>
      <w:r>
        <w:rPr>
          <w:lang w:val="en-US"/>
        </w:rPr>
        <w:tab/>
      </w:r>
      <w:r w:rsidRPr="00EA39BB">
        <w:t>180</w:t>
      </w:r>
      <w:r>
        <w:t xml:space="preserve"> </w:t>
      </w:r>
      <w:r w:rsidRPr="00EA39BB">
        <w:rPr>
          <w:i/>
          <w:iCs/>
        </w:rPr>
        <w:t>Bkz.</w:t>
      </w:r>
      <w:r w:rsidRPr="00EA39BB">
        <w:t xml:space="preserve"> </w:t>
      </w:r>
      <w:proofErr w:type="spellStart"/>
      <w:r w:rsidRPr="00EA39BB">
        <w:t>Horwitz</w:t>
      </w:r>
      <w:proofErr w:type="spellEnd"/>
      <w:r w:rsidRPr="00EA39BB">
        <w:t xml:space="preserve">, </w:t>
      </w:r>
      <w:proofErr w:type="spellStart"/>
      <w:r w:rsidRPr="00EA39BB">
        <w:rPr>
          <w:i/>
          <w:iCs/>
        </w:rPr>
        <w:t>supra</w:t>
      </w:r>
      <w:proofErr w:type="spellEnd"/>
      <w:r w:rsidRPr="00EA39BB">
        <w:t xml:space="preserve"> dipnot 8, s. 157 (“Son dönemde anayasa hukuku alanında yapılan birçok çalışma, toplumsal ve hukuki değişim arasındaki ilişkiyi ve toplumsal hareketler ile mahkemeler arasındaki etkileşimi incelemiştir.”).</w:t>
      </w:r>
    </w:p>
  </w:footnote>
  <w:footnote w:id="181">
    <w:p w14:paraId="4043C5C7" w14:textId="5073E01C" w:rsidR="00EA39BB" w:rsidRPr="00EA39BB" w:rsidRDefault="00EA39BB" w:rsidP="00EA39BB">
      <w:pPr>
        <w:pStyle w:val="Dipnot"/>
        <w:rPr>
          <w:lang w:val="en-US"/>
        </w:rPr>
      </w:pPr>
      <w:r>
        <w:rPr>
          <w:rStyle w:val="FootnoteReference"/>
        </w:rPr>
        <w:footnoteRef/>
      </w:r>
      <w:r>
        <w:t xml:space="preserve"> </w:t>
      </w:r>
      <w:r>
        <w:rPr>
          <w:lang w:val="en-US"/>
        </w:rPr>
        <w:tab/>
      </w:r>
      <w:r w:rsidRPr="00EA39BB">
        <w:t>181</w:t>
      </w:r>
      <w:r>
        <w:t xml:space="preserve"> </w:t>
      </w:r>
      <w:r w:rsidRPr="00EA39BB">
        <w:rPr>
          <w:i/>
          <w:iCs/>
        </w:rPr>
        <w:t xml:space="preserve">Bkz., </w:t>
      </w:r>
      <w:proofErr w:type="spellStart"/>
      <w:r w:rsidRPr="00EA39BB">
        <w:rPr>
          <w:i/>
          <w:iCs/>
        </w:rPr>
        <w:t>örn</w:t>
      </w:r>
      <w:proofErr w:type="spellEnd"/>
      <w:r w:rsidRPr="00EA39BB">
        <w:rPr>
          <w:i/>
          <w:iCs/>
        </w:rPr>
        <w:t>.</w:t>
      </w:r>
      <w:r w:rsidRPr="00EA39BB">
        <w:t xml:space="preserve">, Jack M. </w:t>
      </w:r>
      <w:proofErr w:type="spellStart"/>
      <w:r w:rsidRPr="00EA39BB">
        <w:t>Balkin</w:t>
      </w:r>
      <w:proofErr w:type="spellEnd"/>
      <w:r w:rsidRPr="00EA39BB">
        <w:t xml:space="preserve"> &amp; Reva B. </w:t>
      </w:r>
      <w:proofErr w:type="spellStart"/>
      <w:r w:rsidRPr="00EA39BB">
        <w:t>Siegel</w:t>
      </w:r>
      <w:proofErr w:type="spellEnd"/>
      <w:r w:rsidRPr="00EA39BB">
        <w:t xml:space="preserve">, </w:t>
      </w:r>
      <w:proofErr w:type="spellStart"/>
      <w:r w:rsidRPr="00EA39BB">
        <w:rPr>
          <w:i/>
          <w:iCs/>
        </w:rPr>
        <w:t>Principles</w:t>
      </w:r>
      <w:proofErr w:type="spellEnd"/>
      <w:r w:rsidRPr="00EA39BB">
        <w:rPr>
          <w:i/>
          <w:iCs/>
        </w:rPr>
        <w:t xml:space="preserve">, </w:t>
      </w:r>
      <w:proofErr w:type="spellStart"/>
      <w:r w:rsidRPr="00EA39BB">
        <w:rPr>
          <w:i/>
          <w:iCs/>
        </w:rPr>
        <w:t>Practices</w:t>
      </w:r>
      <w:proofErr w:type="spellEnd"/>
      <w:r w:rsidRPr="00EA39BB">
        <w:rPr>
          <w:i/>
          <w:iCs/>
        </w:rPr>
        <w:t xml:space="preserve">, </w:t>
      </w:r>
      <w:proofErr w:type="spellStart"/>
      <w:r w:rsidRPr="00EA39BB">
        <w:rPr>
          <w:i/>
          <w:iCs/>
        </w:rPr>
        <w:t>and</w:t>
      </w:r>
      <w:proofErr w:type="spellEnd"/>
      <w:r w:rsidRPr="00EA39BB">
        <w:rPr>
          <w:i/>
          <w:iCs/>
        </w:rPr>
        <w:t xml:space="preserve"> </w:t>
      </w:r>
      <w:proofErr w:type="spellStart"/>
      <w:r w:rsidRPr="00EA39BB">
        <w:rPr>
          <w:i/>
          <w:iCs/>
        </w:rPr>
        <w:t>Social</w:t>
      </w:r>
      <w:proofErr w:type="spellEnd"/>
      <w:r w:rsidRPr="00EA39BB">
        <w:rPr>
          <w:i/>
          <w:iCs/>
        </w:rPr>
        <w:t xml:space="preserve"> </w:t>
      </w:r>
      <w:proofErr w:type="spellStart"/>
      <w:r w:rsidRPr="00EA39BB">
        <w:rPr>
          <w:i/>
          <w:iCs/>
        </w:rPr>
        <w:t>Movements</w:t>
      </w:r>
      <w:proofErr w:type="spellEnd"/>
      <w:r w:rsidRPr="00EA39BB">
        <w:t xml:space="preserve">, 154 </w:t>
      </w:r>
      <w:r w:rsidRPr="00EA39BB">
        <w:rPr>
          <w:i/>
          <w:iCs/>
        </w:rPr>
        <w:t xml:space="preserve">U. </w:t>
      </w:r>
      <w:proofErr w:type="spellStart"/>
      <w:r w:rsidRPr="00EA39BB">
        <w:rPr>
          <w:i/>
          <w:iCs/>
        </w:rPr>
        <w:t>Pa</w:t>
      </w:r>
      <w:proofErr w:type="spellEnd"/>
      <w:r w:rsidRPr="00EA39BB">
        <w:rPr>
          <w:i/>
          <w:iCs/>
        </w:rPr>
        <w:t xml:space="preserve">. L. </w:t>
      </w:r>
      <w:proofErr w:type="spellStart"/>
      <w:r w:rsidRPr="00EA39BB">
        <w:rPr>
          <w:i/>
          <w:iCs/>
        </w:rPr>
        <w:t>Rev</w:t>
      </w:r>
      <w:proofErr w:type="spellEnd"/>
      <w:r w:rsidRPr="00EA39BB">
        <w:rPr>
          <w:i/>
          <w:iCs/>
        </w:rPr>
        <w:t>.</w:t>
      </w:r>
      <w:r w:rsidRPr="00EA39BB">
        <w:t xml:space="preserve"> 927 (2006) (yerleşik anayasal ilke ve uygulamaların birbirlerinin otoritesini nasıl sorgulayabildiğini incelemektedir); </w:t>
      </w:r>
      <w:proofErr w:type="spellStart"/>
      <w:r w:rsidRPr="00EA39BB">
        <w:t>Tomiko</w:t>
      </w:r>
      <w:proofErr w:type="spellEnd"/>
      <w:r w:rsidRPr="00EA39BB">
        <w:t xml:space="preserve"> Brown-</w:t>
      </w:r>
      <w:proofErr w:type="spellStart"/>
      <w:r w:rsidRPr="00EA39BB">
        <w:t>Nagin</w:t>
      </w:r>
      <w:proofErr w:type="spellEnd"/>
      <w:r w:rsidRPr="00EA39BB">
        <w:t xml:space="preserve">, </w:t>
      </w:r>
      <w:proofErr w:type="spellStart"/>
      <w:r w:rsidRPr="00EA39BB">
        <w:rPr>
          <w:i/>
          <w:iCs/>
        </w:rPr>
        <w:t>Elites</w:t>
      </w:r>
      <w:proofErr w:type="spellEnd"/>
      <w:r w:rsidRPr="00EA39BB">
        <w:rPr>
          <w:i/>
          <w:iCs/>
        </w:rPr>
        <w:t xml:space="preserve">, </w:t>
      </w:r>
      <w:proofErr w:type="spellStart"/>
      <w:r w:rsidRPr="00EA39BB">
        <w:rPr>
          <w:i/>
          <w:iCs/>
        </w:rPr>
        <w:t>Social</w:t>
      </w:r>
      <w:proofErr w:type="spellEnd"/>
      <w:r w:rsidRPr="00EA39BB">
        <w:rPr>
          <w:i/>
          <w:iCs/>
        </w:rPr>
        <w:t xml:space="preserve"> </w:t>
      </w:r>
      <w:proofErr w:type="spellStart"/>
      <w:r w:rsidRPr="00EA39BB">
        <w:rPr>
          <w:i/>
          <w:iCs/>
        </w:rPr>
        <w:t>Movements</w:t>
      </w:r>
      <w:proofErr w:type="spellEnd"/>
      <w:r w:rsidRPr="00EA39BB">
        <w:rPr>
          <w:i/>
          <w:iCs/>
        </w:rPr>
        <w:t xml:space="preserve">, </w:t>
      </w:r>
      <w:proofErr w:type="spellStart"/>
      <w:r w:rsidRPr="00EA39BB">
        <w:rPr>
          <w:i/>
          <w:iCs/>
        </w:rPr>
        <w:t>and</w:t>
      </w:r>
      <w:proofErr w:type="spellEnd"/>
      <w:r w:rsidRPr="00EA39BB">
        <w:rPr>
          <w:i/>
          <w:iCs/>
        </w:rPr>
        <w:t xml:space="preserve"> </w:t>
      </w:r>
      <w:proofErr w:type="spellStart"/>
      <w:r w:rsidRPr="00EA39BB">
        <w:rPr>
          <w:i/>
          <w:iCs/>
        </w:rPr>
        <w:t>the</w:t>
      </w:r>
      <w:proofErr w:type="spellEnd"/>
      <w:r w:rsidRPr="00EA39BB">
        <w:rPr>
          <w:i/>
          <w:iCs/>
        </w:rPr>
        <w:t xml:space="preserve"> </w:t>
      </w:r>
      <w:proofErr w:type="spellStart"/>
      <w:r w:rsidRPr="00EA39BB">
        <w:rPr>
          <w:i/>
          <w:iCs/>
        </w:rPr>
        <w:t>Law</w:t>
      </w:r>
      <w:proofErr w:type="spellEnd"/>
      <w:r w:rsidRPr="00EA39BB">
        <w:rPr>
          <w:i/>
          <w:iCs/>
        </w:rPr>
        <w:t xml:space="preserve">: </w:t>
      </w:r>
      <w:proofErr w:type="spellStart"/>
      <w:r w:rsidRPr="00EA39BB">
        <w:rPr>
          <w:i/>
          <w:iCs/>
        </w:rPr>
        <w:t>The</w:t>
      </w:r>
      <w:proofErr w:type="spellEnd"/>
      <w:r w:rsidRPr="00EA39BB">
        <w:rPr>
          <w:i/>
          <w:iCs/>
        </w:rPr>
        <w:t xml:space="preserve"> Case of </w:t>
      </w:r>
      <w:proofErr w:type="spellStart"/>
      <w:r w:rsidRPr="00EA39BB">
        <w:rPr>
          <w:i/>
          <w:iCs/>
        </w:rPr>
        <w:t>Affirmative</w:t>
      </w:r>
      <w:proofErr w:type="spellEnd"/>
      <w:r w:rsidRPr="00EA39BB">
        <w:rPr>
          <w:i/>
          <w:iCs/>
        </w:rPr>
        <w:t xml:space="preserve"> Action</w:t>
      </w:r>
      <w:r w:rsidRPr="00EA39BB">
        <w:t xml:space="preserve">, 105 </w:t>
      </w:r>
      <w:proofErr w:type="spellStart"/>
      <w:r w:rsidRPr="00EA39BB">
        <w:rPr>
          <w:i/>
          <w:iCs/>
        </w:rPr>
        <w:t>Colum</w:t>
      </w:r>
      <w:proofErr w:type="spellEnd"/>
      <w:r w:rsidRPr="00EA39BB">
        <w:rPr>
          <w:i/>
          <w:iCs/>
        </w:rPr>
        <w:t xml:space="preserve">. L. </w:t>
      </w:r>
      <w:proofErr w:type="spellStart"/>
      <w:r w:rsidRPr="00EA39BB">
        <w:rPr>
          <w:i/>
          <w:iCs/>
        </w:rPr>
        <w:t>Rev</w:t>
      </w:r>
      <w:proofErr w:type="spellEnd"/>
      <w:r w:rsidRPr="00EA39BB">
        <w:rPr>
          <w:i/>
          <w:iCs/>
        </w:rPr>
        <w:t>.</w:t>
      </w:r>
      <w:r w:rsidRPr="00EA39BB">
        <w:t xml:space="preserve"> 1436 (2005); William N. </w:t>
      </w:r>
      <w:proofErr w:type="spellStart"/>
      <w:r w:rsidRPr="00EA39BB">
        <w:t>Eskridge</w:t>
      </w:r>
      <w:proofErr w:type="spellEnd"/>
      <w:r w:rsidRPr="00EA39BB">
        <w:t xml:space="preserve">, </w:t>
      </w:r>
      <w:proofErr w:type="spellStart"/>
      <w:r w:rsidRPr="00EA39BB">
        <w:t>Jr</w:t>
      </w:r>
      <w:proofErr w:type="spellEnd"/>
      <w:r w:rsidRPr="00EA39BB">
        <w:t xml:space="preserve">., </w:t>
      </w:r>
      <w:proofErr w:type="spellStart"/>
      <w:r w:rsidRPr="00EA39BB">
        <w:rPr>
          <w:i/>
          <w:iCs/>
        </w:rPr>
        <w:t>Some</w:t>
      </w:r>
      <w:proofErr w:type="spellEnd"/>
      <w:r w:rsidRPr="00EA39BB">
        <w:rPr>
          <w:i/>
          <w:iCs/>
        </w:rPr>
        <w:t xml:space="preserve"> </w:t>
      </w:r>
      <w:proofErr w:type="spellStart"/>
      <w:r w:rsidRPr="00EA39BB">
        <w:rPr>
          <w:i/>
          <w:iCs/>
        </w:rPr>
        <w:t>Effects</w:t>
      </w:r>
      <w:proofErr w:type="spellEnd"/>
      <w:r w:rsidRPr="00EA39BB">
        <w:rPr>
          <w:i/>
          <w:iCs/>
        </w:rPr>
        <w:t xml:space="preserve"> of Identity </w:t>
      </w:r>
      <w:proofErr w:type="spellStart"/>
      <w:r w:rsidRPr="00EA39BB">
        <w:rPr>
          <w:i/>
          <w:iCs/>
        </w:rPr>
        <w:t>Based</w:t>
      </w:r>
      <w:proofErr w:type="spellEnd"/>
      <w:r w:rsidRPr="00EA39BB">
        <w:rPr>
          <w:i/>
          <w:iCs/>
        </w:rPr>
        <w:t xml:space="preserve"> </w:t>
      </w:r>
      <w:proofErr w:type="spellStart"/>
      <w:r w:rsidRPr="00EA39BB">
        <w:rPr>
          <w:i/>
          <w:iCs/>
        </w:rPr>
        <w:t>Social</w:t>
      </w:r>
      <w:proofErr w:type="spellEnd"/>
      <w:r w:rsidRPr="00EA39BB">
        <w:rPr>
          <w:i/>
          <w:iCs/>
        </w:rPr>
        <w:t xml:space="preserve"> </w:t>
      </w:r>
      <w:proofErr w:type="spellStart"/>
      <w:r w:rsidRPr="00EA39BB">
        <w:rPr>
          <w:i/>
          <w:iCs/>
        </w:rPr>
        <w:t>Movements</w:t>
      </w:r>
      <w:proofErr w:type="spellEnd"/>
      <w:r w:rsidRPr="00EA39BB">
        <w:rPr>
          <w:i/>
          <w:iCs/>
        </w:rPr>
        <w:t xml:space="preserve"> on </w:t>
      </w:r>
      <w:proofErr w:type="spellStart"/>
      <w:r w:rsidRPr="00EA39BB">
        <w:rPr>
          <w:i/>
          <w:iCs/>
        </w:rPr>
        <w:t>Constitutional</w:t>
      </w:r>
      <w:proofErr w:type="spellEnd"/>
      <w:r w:rsidRPr="00EA39BB">
        <w:rPr>
          <w:i/>
          <w:iCs/>
        </w:rPr>
        <w:t xml:space="preserve"> </w:t>
      </w:r>
      <w:proofErr w:type="spellStart"/>
      <w:r w:rsidRPr="00EA39BB">
        <w:rPr>
          <w:i/>
          <w:iCs/>
        </w:rPr>
        <w:t>Law</w:t>
      </w:r>
      <w:proofErr w:type="spellEnd"/>
      <w:r w:rsidRPr="00EA39BB">
        <w:rPr>
          <w:i/>
          <w:iCs/>
        </w:rPr>
        <w:t xml:space="preserve"> in </w:t>
      </w:r>
      <w:proofErr w:type="spellStart"/>
      <w:r w:rsidRPr="00EA39BB">
        <w:rPr>
          <w:i/>
          <w:iCs/>
        </w:rPr>
        <w:t>the</w:t>
      </w:r>
      <w:proofErr w:type="spellEnd"/>
      <w:r w:rsidRPr="00EA39BB">
        <w:rPr>
          <w:i/>
          <w:iCs/>
        </w:rPr>
        <w:t xml:space="preserve"> </w:t>
      </w:r>
      <w:proofErr w:type="spellStart"/>
      <w:r w:rsidRPr="00EA39BB">
        <w:rPr>
          <w:i/>
          <w:iCs/>
        </w:rPr>
        <w:t>Twentieth</w:t>
      </w:r>
      <w:proofErr w:type="spellEnd"/>
      <w:r w:rsidRPr="00EA39BB">
        <w:rPr>
          <w:i/>
          <w:iCs/>
        </w:rPr>
        <w:t xml:space="preserve"> Century</w:t>
      </w:r>
      <w:r w:rsidRPr="00EA39BB">
        <w:t xml:space="preserve">, 100 </w:t>
      </w:r>
      <w:proofErr w:type="spellStart"/>
      <w:r w:rsidRPr="00EA39BB">
        <w:rPr>
          <w:i/>
          <w:iCs/>
        </w:rPr>
        <w:t>Mich</w:t>
      </w:r>
      <w:proofErr w:type="spellEnd"/>
      <w:r w:rsidRPr="00EA39BB">
        <w:rPr>
          <w:i/>
          <w:iCs/>
        </w:rPr>
        <w:t xml:space="preserve">. L. </w:t>
      </w:r>
      <w:proofErr w:type="spellStart"/>
      <w:r w:rsidRPr="00EA39BB">
        <w:rPr>
          <w:i/>
          <w:iCs/>
        </w:rPr>
        <w:t>Rev</w:t>
      </w:r>
      <w:proofErr w:type="spellEnd"/>
      <w:r w:rsidRPr="00EA39BB">
        <w:rPr>
          <w:i/>
          <w:iCs/>
        </w:rPr>
        <w:t>.</w:t>
      </w:r>
      <w:r w:rsidRPr="00EA39BB">
        <w:t xml:space="preserve"> 2062 (2002) (bireysel haklar alanındaki yirminci yüzyıl hukuk içtihadındaki değişimlerin büyük ölçüde yaygın toplumsal hareketlerin bir sonucu olduğunu savunmaktadır); </w:t>
      </w:r>
      <w:proofErr w:type="spellStart"/>
      <w:r w:rsidRPr="00EA39BB">
        <w:t>Guinier</w:t>
      </w:r>
      <w:proofErr w:type="spellEnd"/>
      <w:r w:rsidRPr="00EA39BB">
        <w:t xml:space="preserve"> &amp; </w:t>
      </w:r>
      <w:proofErr w:type="spellStart"/>
      <w:r w:rsidRPr="00EA39BB">
        <w:t>Torres</w:t>
      </w:r>
      <w:proofErr w:type="spellEnd"/>
      <w:r w:rsidRPr="00EA39BB">
        <w:t xml:space="preserve">, </w:t>
      </w:r>
      <w:proofErr w:type="spellStart"/>
      <w:r w:rsidRPr="00EA39BB">
        <w:rPr>
          <w:i/>
          <w:iCs/>
        </w:rPr>
        <w:t>supra</w:t>
      </w:r>
      <w:proofErr w:type="spellEnd"/>
      <w:r w:rsidRPr="00EA39BB">
        <w:t xml:space="preserve"> dipnot 113 (sivil haklar dönemi toplumsal hareketlerinin hukukun kaynakları olduğunu ileri sürmektedir); </w:t>
      </w:r>
      <w:proofErr w:type="spellStart"/>
      <w:r w:rsidRPr="00EA39BB">
        <w:t>Horwitz</w:t>
      </w:r>
      <w:proofErr w:type="spellEnd"/>
      <w:r w:rsidRPr="00EA39BB">
        <w:t xml:space="preserve">, </w:t>
      </w:r>
      <w:proofErr w:type="spellStart"/>
      <w:r w:rsidRPr="00EA39BB">
        <w:rPr>
          <w:i/>
          <w:iCs/>
        </w:rPr>
        <w:t>supra</w:t>
      </w:r>
      <w:proofErr w:type="spellEnd"/>
      <w:r w:rsidRPr="00EA39BB">
        <w:t xml:space="preserve"> dipnot 8; </w:t>
      </w:r>
      <w:proofErr w:type="spellStart"/>
      <w:r w:rsidRPr="00EA39BB">
        <w:t>Klarman</w:t>
      </w:r>
      <w:proofErr w:type="spellEnd"/>
      <w:r w:rsidRPr="00EA39BB">
        <w:t xml:space="preserve">, </w:t>
      </w:r>
      <w:proofErr w:type="spellStart"/>
      <w:r w:rsidRPr="00EA39BB">
        <w:rPr>
          <w:i/>
          <w:iCs/>
        </w:rPr>
        <w:t>supra</w:t>
      </w:r>
      <w:proofErr w:type="spellEnd"/>
      <w:r w:rsidRPr="00EA39BB">
        <w:t xml:space="preserve"> dipnot 8 (ırksal ve evlilik eşitliğine ilişkin dönüm noktası niteliğindeki davaları mümkün kılan etkenlerin toplumsal ve kültürel dinamikler olduğunu savunmaktadır); Post, </w:t>
      </w:r>
      <w:proofErr w:type="spellStart"/>
      <w:r w:rsidRPr="00EA39BB">
        <w:rPr>
          <w:i/>
          <w:iCs/>
        </w:rPr>
        <w:t>supra</w:t>
      </w:r>
      <w:proofErr w:type="spellEnd"/>
      <w:r w:rsidRPr="00EA39BB">
        <w:t xml:space="preserve"> dipnot 2 (Yüksek Mahkeme’nin 2002 yılında liberal politik tutumlara gösterdiği saygıya dikkat çekmektedir).</w:t>
      </w:r>
    </w:p>
  </w:footnote>
  <w:footnote w:id="182">
    <w:p w14:paraId="5066A01E" w14:textId="58D02901" w:rsidR="00EA39BB" w:rsidRPr="00EA39BB" w:rsidRDefault="00EA39BB" w:rsidP="00EA39BB">
      <w:pPr>
        <w:pStyle w:val="Dipnot"/>
        <w:rPr>
          <w:lang w:val="en-US"/>
        </w:rPr>
      </w:pPr>
      <w:r>
        <w:rPr>
          <w:rStyle w:val="FootnoteReference"/>
        </w:rPr>
        <w:footnoteRef/>
      </w:r>
      <w:r>
        <w:t xml:space="preserve"> </w:t>
      </w:r>
      <w:r>
        <w:rPr>
          <w:lang w:val="en-US"/>
        </w:rPr>
        <w:tab/>
      </w:r>
      <w:r w:rsidRPr="00EA39BB">
        <w:t>182</w:t>
      </w:r>
      <w:r>
        <w:t xml:space="preserve"> </w:t>
      </w:r>
      <w:r w:rsidRPr="00EA39BB">
        <w:t>Bu gözlem birçok kişi için neredeyse açık veya hatta totolojik görünebilir. Ancak bu makale, anayasal pratiği görece katı ve soyut bir çerçevede ele alan modern anayasa teorisinin temel bir yönüyle bu gözlemin hâlâ bir gerilim içinde olduğunu öne sürmektedir.</w:t>
      </w:r>
    </w:p>
  </w:footnote>
  <w:footnote w:id="183">
    <w:p w14:paraId="343B415E" w14:textId="108E3DEF" w:rsidR="00EA39BB" w:rsidRPr="00EA39BB" w:rsidRDefault="00EA39BB" w:rsidP="00EA39BB">
      <w:pPr>
        <w:pStyle w:val="Dipnot"/>
        <w:rPr>
          <w:lang w:val="en-US"/>
        </w:rPr>
      </w:pPr>
      <w:r>
        <w:rPr>
          <w:rStyle w:val="FootnoteReference"/>
        </w:rPr>
        <w:footnoteRef/>
      </w:r>
      <w:r>
        <w:t xml:space="preserve"> </w:t>
      </w:r>
      <w:r>
        <w:rPr>
          <w:lang w:val="en-US"/>
        </w:rPr>
        <w:tab/>
      </w:r>
      <w:r w:rsidRPr="00EA39BB">
        <w:t>183</w:t>
      </w:r>
      <w:r>
        <w:t xml:space="preserve"> </w:t>
      </w:r>
      <w:r w:rsidRPr="00EA39BB">
        <w:rPr>
          <w:i/>
          <w:iCs/>
        </w:rPr>
        <w:t xml:space="preserve">Bkz., </w:t>
      </w:r>
      <w:proofErr w:type="spellStart"/>
      <w:r w:rsidRPr="00EA39BB">
        <w:rPr>
          <w:i/>
          <w:iCs/>
        </w:rPr>
        <w:t>örn</w:t>
      </w:r>
      <w:proofErr w:type="spellEnd"/>
      <w:r w:rsidRPr="00EA39BB">
        <w:rPr>
          <w:i/>
          <w:iCs/>
        </w:rPr>
        <w:t>.</w:t>
      </w:r>
      <w:r w:rsidRPr="00EA39BB">
        <w:t>, Brown-</w:t>
      </w:r>
      <w:proofErr w:type="spellStart"/>
      <w:r w:rsidRPr="00EA39BB">
        <w:t>Nagin</w:t>
      </w:r>
      <w:proofErr w:type="spellEnd"/>
      <w:r w:rsidRPr="00EA39BB">
        <w:t xml:space="preserve">, </w:t>
      </w:r>
      <w:proofErr w:type="spellStart"/>
      <w:r w:rsidRPr="00EA39BB">
        <w:rPr>
          <w:i/>
          <w:iCs/>
        </w:rPr>
        <w:t>supra</w:t>
      </w:r>
      <w:proofErr w:type="spellEnd"/>
      <w:r w:rsidRPr="00EA39BB">
        <w:t xml:space="preserve"> dipnot 181; </w:t>
      </w:r>
      <w:proofErr w:type="spellStart"/>
      <w:r w:rsidRPr="00EA39BB">
        <w:t>Klarman</w:t>
      </w:r>
      <w:proofErr w:type="spellEnd"/>
      <w:r w:rsidRPr="00EA39BB">
        <w:t xml:space="preserve">, </w:t>
      </w:r>
      <w:proofErr w:type="spellStart"/>
      <w:r w:rsidRPr="00EA39BB">
        <w:rPr>
          <w:i/>
          <w:iCs/>
        </w:rPr>
        <w:t>supra</w:t>
      </w:r>
      <w:proofErr w:type="spellEnd"/>
      <w:r w:rsidRPr="00EA39BB">
        <w:t xml:space="preserve"> dipnot 8; Post, </w:t>
      </w:r>
      <w:proofErr w:type="spellStart"/>
      <w:r w:rsidRPr="00EA39BB">
        <w:rPr>
          <w:i/>
          <w:iCs/>
        </w:rPr>
        <w:t>supra</w:t>
      </w:r>
      <w:proofErr w:type="spellEnd"/>
      <w:r w:rsidRPr="00EA39BB">
        <w:t xml:space="preserve"> dipnot 2.</w:t>
      </w:r>
    </w:p>
  </w:footnote>
  <w:footnote w:id="184">
    <w:p w14:paraId="316EE95D" w14:textId="5DA5576A" w:rsidR="00EA39BB" w:rsidRPr="00EA39BB" w:rsidRDefault="00EA39BB" w:rsidP="00EA39BB">
      <w:pPr>
        <w:pStyle w:val="Dipnot"/>
        <w:rPr>
          <w:lang w:val="en-US"/>
        </w:rPr>
      </w:pPr>
      <w:r>
        <w:rPr>
          <w:rStyle w:val="FootnoteReference"/>
        </w:rPr>
        <w:footnoteRef/>
      </w:r>
      <w:r>
        <w:t xml:space="preserve"> </w:t>
      </w:r>
      <w:r>
        <w:rPr>
          <w:lang w:val="en-US"/>
        </w:rPr>
        <w:tab/>
      </w:r>
      <w:r w:rsidRPr="00EA39BB">
        <w:t>184</w:t>
      </w:r>
      <w:r>
        <w:t xml:space="preserve"> </w:t>
      </w:r>
      <w:r w:rsidRPr="00EA39BB">
        <w:rPr>
          <w:i/>
          <w:iCs/>
        </w:rPr>
        <w:t xml:space="preserve">Bkz., </w:t>
      </w:r>
      <w:proofErr w:type="spellStart"/>
      <w:r w:rsidRPr="00EA39BB">
        <w:rPr>
          <w:i/>
          <w:iCs/>
        </w:rPr>
        <w:t>örn</w:t>
      </w:r>
      <w:proofErr w:type="spellEnd"/>
      <w:r w:rsidRPr="00EA39BB">
        <w:rPr>
          <w:i/>
          <w:iCs/>
        </w:rPr>
        <w:t>.</w:t>
      </w:r>
      <w:r w:rsidRPr="00EA39BB">
        <w:t>, Brown-</w:t>
      </w:r>
      <w:proofErr w:type="spellStart"/>
      <w:r w:rsidRPr="00EA39BB">
        <w:t>Nagin</w:t>
      </w:r>
      <w:proofErr w:type="spellEnd"/>
      <w:r w:rsidRPr="00EA39BB">
        <w:t xml:space="preserve">, </w:t>
      </w:r>
      <w:proofErr w:type="spellStart"/>
      <w:r w:rsidRPr="00EA39BB">
        <w:rPr>
          <w:i/>
          <w:iCs/>
        </w:rPr>
        <w:t>supra</w:t>
      </w:r>
      <w:proofErr w:type="spellEnd"/>
      <w:r w:rsidRPr="00EA39BB">
        <w:t xml:space="preserve"> dipnot 181, s. 1471 (üniversiteye kabulde pozitif ayrımcılık konusunu tartışmak için </w:t>
      </w:r>
      <w:proofErr w:type="spellStart"/>
      <w:r w:rsidRPr="00EA39BB">
        <w:t>Derrick</w:t>
      </w:r>
      <w:proofErr w:type="spellEnd"/>
      <w:r w:rsidRPr="00EA39BB">
        <w:t xml:space="preserve"> Bell’in çalışmalarından yararlanmaktadır); </w:t>
      </w:r>
      <w:proofErr w:type="spellStart"/>
      <w:r w:rsidRPr="00EA39BB">
        <w:t>Guinier</w:t>
      </w:r>
      <w:proofErr w:type="spellEnd"/>
      <w:r w:rsidRPr="00EA39BB">
        <w:t xml:space="preserve"> &amp; </w:t>
      </w:r>
      <w:proofErr w:type="spellStart"/>
      <w:r w:rsidRPr="00EA39BB">
        <w:t>Torres</w:t>
      </w:r>
      <w:proofErr w:type="spellEnd"/>
      <w:r w:rsidRPr="00EA39BB">
        <w:t xml:space="preserve">, </w:t>
      </w:r>
      <w:proofErr w:type="spellStart"/>
      <w:r w:rsidRPr="00EA39BB">
        <w:rPr>
          <w:i/>
          <w:iCs/>
        </w:rPr>
        <w:t>supra</w:t>
      </w:r>
      <w:proofErr w:type="spellEnd"/>
      <w:r w:rsidRPr="00EA39BB">
        <w:t xml:space="preserve"> dipnot 113, s. 2748 (</w:t>
      </w:r>
      <w:proofErr w:type="spellStart"/>
      <w:r w:rsidRPr="00EA39BB">
        <w:t>Derrick</w:t>
      </w:r>
      <w:proofErr w:type="spellEnd"/>
      <w:r w:rsidRPr="00EA39BB">
        <w:t xml:space="preserve"> Bell’in kültürün pozitif ayrımcılık içtihadını etkilediği yönündeki görüşüne atıfta bulunmaktadır).</w:t>
      </w:r>
    </w:p>
  </w:footnote>
  <w:footnote w:id="185">
    <w:p w14:paraId="38AAACC5" w14:textId="6C1E4E50" w:rsidR="00EA39BB" w:rsidRPr="00EA39BB" w:rsidRDefault="00EA39BB" w:rsidP="00EA39BB">
      <w:pPr>
        <w:pStyle w:val="Dipnot"/>
        <w:rPr>
          <w:lang w:val="en-US"/>
        </w:rPr>
      </w:pPr>
      <w:r>
        <w:rPr>
          <w:rStyle w:val="FootnoteReference"/>
        </w:rPr>
        <w:footnoteRef/>
      </w:r>
      <w:r>
        <w:tab/>
      </w:r>
      <w:r w:rsidRPr="00EA39BB">
        <w:t>185</w:t>
      </w:r>
      <w:r>
        <w:t xml:space="preserve"> </w:t>
      </w:r>
      <w:r w:rsidRPr="00EA39BB">
        <w:rPr>
          <w:i/>
          <w:iCs/>
        </w:rPr>
        <w:t xml:space="preserve">Bkz., </w:t>
      </w:r>
      <w:proofErr w:type="spellStart"/>
      <w:r w:rsidRPr="00EA39BB">
        <w:rPr>
          <w:i/>
          <w:iCs/>
        </w:rPr>
        <w:t>örn</w:t>
      </w:r>
      <w:proofErr w:type="spellEnd"/>
      <w:r w:rsidRPr="00EA39BB">
        <w:rPr>
          <w:i/>
          <w:iCs/>
        </w:rPr>
        <w:t>.</w:t>
      </w:r>
      <w:r w:rsidRPr="00EA39BB">
        <w:t xml:space="preserve">, Friedman, </w:t>
      </w:r>
      <w:proofErr w:type="spellStart"/>
      <w:r w:rsidRPr="00EA39BB">
        <w:rPr>
          <w:i/>
          <w:iCs/>
        </w:rPr>
        <w:t>supra</w:t>
      </w:r>
      <w:proofErr w:type="spellEnd"/>
      <w:r w:rsidRPr="00EA39BB">
        <w:t xml:space="preserve"> dipnot 172 (hukuk, Amerikan kültürü ve siyaset arasındaki yakın ilişkiyi tartışmaktadır).</w:t>
      </w:r>
      <w:r>
        <w:t xml:space="preserve"> </w:t>
      </w:r>
    </w:p>
  </w:footnote>
  <w:footnote w:id="186">
    <w:p w14:paraId="785CC095" w14:textId="2866C51E" w:rsidR="00CD7604" w:rsidRPr="00CD7604" w:rsidRDefault="00CD7604" w:rsidP="00CD7604">
      <w:pPr>
        <w:pStyle w:val="Dipnot"/>
        <w:rPr>
          <w:lang w:val="en-US"/>
        </w:rPr>
      </w:pPr>
      <w:r>
        <w:rPr>
          <w:rStyle w:val="FootnoteReference"/>
        </w:rPr>
        <w:footnoteRef/>
      </w:r>
      <w:r>
        <w:t xml:space="preserve"> </w:t>
      </w:r>
      <w:r>
        <w:rPr>
          <w:lang w:val="en-US"/>
        </w:rPr>
        <w:tab/>
      </w:r>
      <w:r w:rsidRPr="00CD7604">
        <w:t>186</w:t>
      </w:r>
      <w:r>
        <w:t xml:space="preserve"> </w:t>
      </w:r>
      <w:r w:rsidRPr="00CD7604">
        <w:rPr>
          <w:i/>
          <w:iCs/>
        </w:rPr>
        <w:t xml:space="preserve">Bkz., </w:t>
      </w:r>
      <w:proofErr w:type="spellStart"/>
      <w:r w:rsidRPr="00CD7604">
        <w:rPr>
          <w:i/>
          <w:iCs/>
        </w:rPr>
        <w:t>örn</w:t>
      </w:r>
      <w:proofErr w:type="spellEnd"/>
      <w:r w:rsidRPr="00CD7604">
        <w:rPr>
          <w:i/>
          <w:iCs/>
        </w:rPr>
        <w:t>.</w:t>
      </w:r>
      <w:r w:rsidRPr="00CD7604">
        <w:t xml:space="preserve">, </w:t>
      </w:r>
      <w:proofErr w:type="spellStart"/>
      <w:r w:rsidRPr="00CD7604">
        <w:t>Klarman</w:t>
      </w:r>
      <w:proofErr w:type="spellEnd"/>
      <w:r w:rsidRPr="00CD7604">
        <w:t xml:space="preserve">, </w:t>
      </w:r>
      <w:proofErr w:type="spellStart"/>
      <w:r w:rsidRPr="00CD7604">
        <w:rPr>
          <w:i/>
          <w:iCs/>
        </w:rPr>
        <w:t>supra</w:t>
      </w:r>
      <w:proofErr w:type="spellEnd"/>
      <w:r w:rsidRPr="00CD7604">
        <w:t xml:space="preserve"> dipnot 8.</w:t>
      </w:r>
    </w:p>
  </w:footnote>
  <w:footnote w:id="187">
    <w:p w14:paraId="67E53F6D" w14:textId="171F66DB" w:rsidR="00CD7604" w:rsidRPr="00CD7604" w:rsidRDefault="00CD7604" w:rsidP="00CD7604">
      <w:pPr>
        <w:pStyle w:val="Dipnot"/>
        <w:rPr>
          <w:lang w:val="en-US"/>
        </w:rPr>
      </w:pPr>
      <w:r>
        <w:rPr>
          <w:rStyle w:val="FootnoteReference"/>
        </w:rPr>
        <w:footnoteRef/>
      </w:r>
      <w:r>
        <w:t xml:space="preserve"> </w:t>
      </w:r>
      <w:r>
        <w:rPr>
          <w:lang w:val="en-US"/>
        </w:rPr>
        <w:tab/>
      </w:r>
      <w:r w:rsidRPr="00CD7604">
        <w:t>187</w:t>
      </w:r>
      <w:r>
        <w:t xml:space="preserve"> </w:t>
      </w:r>
      <w:r w:rsidRPr="00CD7604">
        <w:rPr>
          <w:i/>
          <w:iCs/>
        </w:rPr>
        <w:t xml:space="preserve">Bkz., </w:t>
      </w:r>
      <w:proofErr w:type="spellStart"/>
      <w:r w:rsidRPr="00CD7604">
        <w:rPr>
          <w:i/>
          <w:iCs/>
        </w:rPr>
        <w:t>örn</w:t>
      </w:r>
      <w:proofErr w:type="spellEnd"/>
      <w:r w:rsidRPr="00CD7604">
        <w:rPr>
          <w:i/>
          <w:iCs/>
        </w:rPr>
        <w:t>.</w:t>
      </w:r>
      <w:r w:rsidRPr="00CD7604">
        <w:t xml:space="preserve">, </w:t>
      </w:r>
      <w:proofErr w:type="spellStart"/>
      <w:r w:rsidRPr="00CD7604">
        <w:t>Horwitz</w:t>
      </w:r>
      <w:proofErr w:type="spellEnd"/>
      <w:r w:rsidRPr="00CD7604">
        <w:t xml:space="preserve">, </w:t>
      </w:r>
      <w:proofErr w:type="spellStart"/>
      <w:r w:rsidRPr="00CD7604">
        <w:rPr>
          <w:i/>
          <w:iCs/>
        </w:rPr>
        <w:t>supra</w:t>
      </w:r>
      <w:proofErr w:type="spellEnd"/>
      <w:r w:rsidRPr="00CD7604">
        <w:t xml:space="preserve"> dipnot 8 (</w:t>
      </w:r>
      <w:proofErr w:type="spellStart"/>
      <w:r w:rsidRPr="00CD7604">
        <w:t>Burwell</w:t>
      </w:r>
      <w:proofErr w:type="spellEnd"/>
      <w:r w:rsidRPr="00CD7604">
        <w:t xml:space="preserve"> v. </w:t>
      </w:r>
      <w:proofErr w:type="spellStart"/>
      <w:r w:rsidRPr="00CD7604">
        <w:t>Hobby</w:t>
      </w:r>
      <w:proofErr w:type="spellEnd"/>
      <w:r w:rsidRPr="00CD7604">
        <w:t xml:space="preserve"> </w:t>
      </w:r>
      <w:proofErr w:type="spellStart"/>
      <w:r w:rsidRPr="00CD7604">
        <w:t>Lobby</w:t>
      </w:r>
      <w:proofErr w:type="spellEnd"/>
      <w:r w:rsidRPr="00CD7604">
        <w:t xml:space="preserve"> </w:t>
      </w:r>
      <w:proofErr w:type="spellStart"/>
      <w:r w:rsidRPr="00CD7604">
        <w:t>Stores</w:t>
      </w:r>
      <w:proofErr w:type="spellEnd"/>
      <w:r w:rsidRPr="00CD7604">
        <w:t xml:space="preserve">, </w:t>
      </w:r>
      <w:proofErr w:type="spellStart"/>
      <w:r w:rsidRPr="00CD7604">
        <w:t>Inc</w:t>
      </w:r>
      <w:proofErr w:type="spellEnd"/>
      <w:r w:rsidRPr="00CD7604">
        <w:t>. davasında yasaların yorumlanmasını etkileyen toplumsal ve siyasi faktörler arasındaki güçlü ilişkiye dair yorum yapmaktadır).</w:t>
      </w:r>
    </w:p>
  </w:footnote>
  <w:footnote w:id="188">
    <w:p w14:paraId="2C05950C" w14:textId="74D2A3EB" w:rsidR="00CD7604" w:rsidRPr="00CD7604" w:rsidRDefault="00CD7604" w:rsidP="00CD7604">
      <w:pPr>
        <w:pStyle w:val="Dipnot"/>
        <w:rPr>
          <w:lang w:val="en-US"/>
        </w:rPr>
      </w:pPr>
      <w:r>
        <w:rPr>
          <w:rStyle w:val="FootnoteReference"/>
        </w:rPr>
        <w:footnoteRef/>
      </w:r>
      <w:r>
        <w:t xml:space="preserve"> </w:t>
      </w:r>
      <w:r>
        <w:rPr>
          <w:lang w:val="en-US"/>
        </w:rPr>
        <w:tab/>
      </w:r>
      <w:r w:rsidRPr="00CD7604">
        <w:t>188</w:t>
      </w:r>
      <w:r>
        <w:t xml:space="preserve"> </w:t>
      </w:r>
      <w:r w:rsidRPr="00CD7604">
        <w:rPr>
          <w:i/>
          <w:iCs/>
        </w:rPr>
        <w:t xml:space="preserve">Bkz., </w:t>
      </w:r>
      <w:proofErr w:type="spellStart"/>
      <w:r w:rsidRPr="00CD7604">
        <w:rPr>
          <w:i/>
          <w:iCs/>
        </w:rPr>
        <w:t>örn</w:t>
      </w:r>
      <w:proofErr w:type="spellEnd"/>
      <w:r w:rsidRPr="00CD7604">
        <w:rPr>
          <w:i/>
          <w:iCs/>
        </w:rPr>
        <w:t>.</w:t>
      </w:r>
      <w:r w:rsidRPr="00CD7604">
        <w:t xml:space="preserve">, BLACKMAN, </w:t>
      </w:r>
      <w:proofErr w:type="spellStart"/>
      <w:r w:rsidRPr="00CD7604">
        <w:rPr>
          <w:i/>
          <w:iCs/>
        </w:rPr>
        <w:t>supra</w:t>
      </w:r>
      <w:proofErr w:type="spellEnd"/>
      <w:r w:rsidRPr="00CD7604">
        <w:t xml:space="preserve"> dipnot 142.</w:t>
      </w:r>
    </w:p>
  </w:footnote>
  <w:footnote w:id="189">
    <w:p w14:paraId="6A149851" w14:textId="3C82E79E" w:rsidR="00CD7604" w:rsidRPr="00CD7604" w:rsidRDefault="00CD7604" w:rsidP="00CD7604">
      <w:pPr>
        <w:pStyle w:val="Dipnot"/>
        <w:rPr>
          <w:lang w:val="en-US"/>
        </w:rPr>
      </w:pPr>
      <w:r>
        <w:rPr>
          <w:rStyle w:val="FootnoteReference"/>
        </w:rPr>
        <w:footnoteRef/>
      </w:r>
      <w:r>
        <w:t xml:space="preserve"> </w:t>
      </w:r>
      <w:r>
        <w:tab/>
      </w:r>
      <w:r w:rsidRPr="00CD7604">
        <w:t>189</w:t>
      </w:r>
      <w:r>
        <w:t xml:space="preserve"> </w:t>
      </w:r>
      <w:r w:rsidRPr="00CD7604">
        <w:rPr>
          <w:i/>
          <w:iCs/>
        </w:rPr>
        <w:t xml:space="preserve">Bkz., </w:t>
      </w:r>
      <w:proofErr w:type="spellStart"/>
      <w:r w:rsidRPr="00CD7604">
        <w:rPr>
          <w:i/>
          <w:iCs/>
        </w:rPr>
        <w:t>örn</w:t>
      </w:r>
      <w:proofErr w:type="spellEnd"/>
      <w:r w:rsidRPr="00CD7604">
        <w:rPr>
          <w:i/>
          <w:iCs/>
        </w:rPr>
        <w:t>.</w:t>
      </w:r>
      <w:r w:rsidRPr="00CD7604">
        <w:t xml:space="preserve">, </w:t>
      </w:r>
      <w:proofErr w:type="spellStart"/>
      <w:r w:rsidRPr="00CD7604">
        <w:t>Greene</w:t>
      </w:r>
      <w:proofErr w:type="spellEnd"/>
      <w:r w:rsidRPr="00CD7604">
        <w:t xml:space="preserve">, </w:t>
      </w:r>
      <w:proofErr w:type="spellStart"/>
      <w:r w:rsidRPr="00CD7604">
        <w:rPr>
          <w:i/>
          <w:iCs/>
        </w:rPr>
        <w:t>supra</w:t>
      </w:r>
      <w:proofErr w:type="spellEnd"/>
      <w:r w:rsidRPr="00CD7604">
        <w:t xml:space="preserve"> dipnot 53.</w:t>
      </w:r>
    </w:p>
  </w:footnote>
  <w:footnote w:id="190">
    <w:p w14:paraId="28205233" w14:textId="423684F5" w:rsidR="00CD7604" w:rsidRPr="00CD7604" w:rsidRDefault="00CD7604" w:rsidP="00CD7604">
      <w:pPr>
        <w:pStyle w:val="Dipnot"/>
        <w:rPr>
          <w:lang w:val="en-US"/>
        </w:rPr>
      </w:pPr>
      <w:r>
        <w:rPr>
          <w:rStyle w:val="FootnoteReference"/>
        </w:rPr>
        <w:footnoteRef/>
      </w:r>
      <w:r>
        <w:t xml:space="preserve"> </w:t>
      </w:r>
      <w:r>
        <w:rPr>
          <w:lang w:val="en-US"/>
        </w:rPr>
        <w:tab/>
      </w:r>
      <w:r w:rsidRPr="00CD7604">
        <w:t>190</w:t>
      </w:r>
      <w:r>
        <w:t xml:space="preserve"> </w:t>
      </w:r>
      <w:r w:rsidRPr="00CD7604">
        <w:rPr>
          <w:i/>
          <w:iCs/>
        </w:rPr>
        <w:t xml:space="preserve">Bkz., </w:t>
      </w:r>
      <w:proofErr w:type="spellStart"/>
      <w:r w:rsidRPr="00CD7604">
        <w:rPr>
          <w:i/>
          <w:iCs/>
        </w:rPr>
        <w:t>örn</w:t>
      </w:r>
      <w:proofErr w:type="spellEnd"/>
      <w:r w:rsidRPr="00CD7604">
        <w:rPr>
          <w:i/>
          <w:iCs/>
        </w:rPr>
        <w:t>.</w:t>
      </w:r>
      <w:r w:rsidRPr="00CD7604">
        <w:t xml:space="preserve">, PEPPERS, </w:t>
      </w:r>
      <w:proofErr w:type="spellStart"/>
      <w:r w:rsidRPr="00CD7604">
        <w:rPr>
          <w:i/>
          <w:iCs/>
        </w:rPr>
        <w:t>supra</w:t>
      </w:r>
      <w:proofErr w:type="spellEnd"/>
      <w:r w:rsidRPr="00CD7604">
        <w:t xml:space="preserve"> dipnot 78 (hukuk kâtiplerine yönelik artan ilgiyi tartışmaktadır); </w:t>
      </w:r>
      <w:proofErr w:type="spellStart"/>
      <w:r w:rsidRPr="00CD7604">
        <w:t>Kearney</w:t>
      </w:r>
      <w:proofErr w:type="spellEnd"/>
      <w:r w:rsidRPr="00CD7604">
        <w:t xml:space="preserve"> &amp; Merrill, </w:t>
      </w:r>
      <w:proofErr w:type="spellStart"/>
      <w:r w:rsidRPr="00CD7604">
        <w:rPr>
          <w:i/>
          <w:iCs/>
        </w:rPr>
        <w:t>supra</w:t>
      </w:r>
      <w:proofErr w:type="spellEnd"/>
      <w:r w:rsidRPr="00CD7604">
        <w:t xml:space="preserve"> dipnot 79 (</w:t>
      </w:r>
      <w:proofErr w:type="spellStart"/>
      <w:r w:rsidRPr="00CD7604">
        <w:t>amicus</w:t>
      </w:r>
      <w:proofErr w:type="spellEnd"/>
      <w:r w:rsidRPr="00CD7604">
        <w:t xml:space="preserve"> </w:t>
      </w:r>
      <w:proofErr w:type="spellStart"/>
      <w:r w:rsidRPr="00CD7604">
        <w:t>curiae</w:t>
      </w:r>
      <w:proofErr w:type="spellEnd"/>
      <w:r w:rsidRPr="00CD7604">
        <w:t xml:space="preserve"> görüşlerinin artan rolünü değerlendirmektedir); Lazarus, </w:t>
      </w:r>
      <w:proofErr w:type="spellStart"/>
      <w:r w:rsidRPr="00CD7604">
        <w:rPr>
          <w:i/>
          <w:iCs/>
        </w:rPr>
        <w:t>supra</w:t>
      </w:r>
      <w:proofErr w:type="spellEnd"/>
      <w:r w:rsidRPr="00CD7604">
        <w:t xml:space="preserve"> dipnot 178 (Yüksek Mahkeme barosunun yeniden ortaya çıkışını ele almaktadır).</w:t>
      </w:r>
    </w:p>
  </w:footnote>
  <w:footnote w:id="191">
    <w:p w14:paraId="6F34E850" w14:textId="30D15689" w:rsidR="00CD7604" w:rsidRPr="00CD7604" w:rsidRDefault="00CD7604" w:rsidP="00CD7604">
      <w:pPr>
        <w:pStyle w:val="Dipnot"/>
        <w:rPr>
          <w:lang w:val="en-US"/>
        </w:rPr>
      </w:pPr>
      <w:r>
        <w:rPr>
          <w:rStyle w:val="FootnoteReference"/>
        </w:rPr>
        <w:footnoteRef/>
      </w:r>
      <w:r>
        <w:t xml:space="preserve"> </w:t>
      </w:r>
      <w:r>
        <w:rPr>
          <w:lang w:val="en-US"/>
        </w:rPr>
        <w:tab/>
      </w:r>
      <w:r w:rsidRPr="00CD7604">
        <w:t>191</w:t>
      </w:r>
      <w:r>
        <w:t xml:space="preserve"> </w:t>
      </w:r>
      <w:r w:rsidRPr="00CD7604">
        <w:rPr>
          <w:i/>
          <w:iCs/>
        </w:rPr>
        <w:t xml:space="preserve">Bkz., </w:t>
      </w:r>
      <w:proofErr w:type="spellStart"/>
      <w:r w:rsidRPr="00CD7604">
        <w:rPr>
          <w:i/>
          <w:iCs/>
        </w:rPr>
        <w:t>örn</w:t>
      </w:r>
      <w:proofErr w:type="spellEnd"/>
      <w:r w:rsidRPr="00CD7604">
        <w:rPr>
          <w:i/>
          <w:iCs/>
        </w:rPr>
        <w:t>.</w:t>
      </w:r>
      <w:r w:rsidRPr="00CD7604">
        <w:t xml:space="preserve">, </w:t>
      </w:r>
      <w:proofErr w:type="spellStart"/>
      <w:r w:rsidRPr="00CD7604">
        <w:t>Jamal</w:t>
      </w:r>
      <w:proofErr w:type="spellEnd"/>
      <w:r w:rsidRPr="00CD7604">
        <w:t xml:space="preserve"> </w:t>
      </w:r>
      <w:proofErr w:type="spellStart"/>
      <w:r w:rsidRPr="00CD7604">
        <w:t>Greene</w:t>
      </w:r>
      <w:proofErr w:type="spellEnd"/>
      <w:r w:rsidRPr="00CD7604">
        <w:t xml:space="preserve">, </w:t>
      </w:r>
      <w:proofErr w:type="spellStart"/>
      <w:r w:rsidRPr="00CD7604">
        <w:rPr>
          <w:i/>
          <w:iCs/>
        </w:rPr>
        <w:t>Heller</w:t>
      </w:r>
      <w:proofErr w:type="spellEnd"/>
      <w:r w:rsidRPr="00CD7604">
        <w:rPr>
          <w:i/>
          <w:iCs/>
        </w:rPr>
        <w:t xml:space="preserve"> High </w:t>
      </w:r>
      <w:proofErr w:type="spellStart"/>
      <w:r w:rsidRPr="00CD7604">
        <w:rPr>
          <w:i/>
          <w:iCs/>
        </w:rPr>
        <w:t>Water</w:t>
      </w:r>
      <w:proofErr w:type="spellEnd"/>
      <w:r w:rsidRPr="00CD7604">
        <w:rPr>
          <w:i/>
          <w:iCs/>
        </w:rPr>
        <w:t xml:space="preserve">? </w:t>
      </w:r>
      <w:proofErr w:type="spellStart"/>
      <w:r w:rsidRPr="00CD7604">
        <w:rPr>
          <w:i/>
          <w:iCs/>
        </w:rPr>
        <w:t>The</w:t>
      </w:r>
      <w:proofErr w:type="spellEnd"/>
      <w:r w:rsidRPr="00CD7604">
        <w:rPr>
          <w:i/>
          <w:iCs/>
        </w:rPr>
        <w:t xml:space="preserve"> </w:t>
      </w:r>
      <w:proofErr w:type="spellStart"/>
      <w:r w:rsidRPr="00CD7604">
        <w:rPr>
          <w:i/>
          <w:iCs/>
        </w:rPr>
        <w:t>Future</w:t>
      </w:r>
      <w:proofErr w:type="spellEnd"/>
      <w:r w:rsidRPr="00CD7604">
        <w:rPr>
          <w:i/>
          <w:iCs/>
        </w:rPr>
        <w:t xml:space="preserve"> of </w:t>
      </w:r>
      <w:proofErr w:type="spellStart"/>
      <w:r w:rsidRPr="00CD7604">
        <w:rPr>
          <w:i/>
          <w:iCs/>
        </w:rPr>
        <w:t>Originalism</w:t>
      </w:r>
      <w:proofErr w:type="spellEnd"/>
      <w:r w:rsidRPr="00CD7604">
        <w:t xml:space="preserve">, 3 </w:t>
      </w:r>
      <w:proofErr w:type="spellStart"/>
      <w:r w:rsidRPr="00CD7604">
        <w:rPr>
          <w:i/>
          <w:iCs/>
        </w:rPr>
        <w:t>Harv</w:t>
      </w:r>
      <w:proofErr w:type="spellEnd"/>
      <w:r w:rsidRPr="00CD7604">
        <w:rPr>
          <w:i/>
          <w:iCs/>
        </w:rPr>
        <w:t xml:space="preserve">. L &amp; </w:t>
      </w:r>
      <w:proofErr w:type="spellStart"/>
      <w:r w:rsidRPr="00CD7604">
        <w:rPr>
          <w:i/>
          <w:iCs/>
        </w:rPr>
        <w:t>Pol’y</w:t>
      </w:r>
      <w:proofErr w:type="spellEnd"/>
      <w:r w:rsidRPr="00CD7604">
        <w:rPr>
          <w:i/>
          <w:iCs/>
        </w:rPr>
        <w:t xml:space="preserve"> </w:t>
      </w:r>
      <w:proofErr w:type="spellStart"/>
      <w:r w:rsidRPr="00CD7604">
        <w:rPr>
          <w:i/>
          <w:iCs/>
        </w:rPr>
        <w:t>Rev</w:t>
      </w:r>
      <w:proofErr w:type="spellEnd"/>
      <w:r w:rsidRPr="00CD7604">
        <w:rPr>
          <w:i/>
          <w:iCs/>
        </w:rPr>
        <w:t>.</w:t>
      </w:r>
      <w:r w:rsidRPr="00CD7604">
        <w:t xml:space="preserve"> 325, 325 n.3 (2009) (son tartışmalarda tüm tarafların </w:t>
      </w:r>
      <w:proofErr w:type="spellStart"/>
      <w:r w:rsidRPr="00CD7604">
        <w:t>özgüncülük</w:t>
      </w:r>
      <w:proofErr w:type="spellEnd"/>
      <w:r w:rsidRPr="00CD7604">
        <w:t xml:space="preserve"> (</w:t>
      </w:r>
      <w:proofErr w:type="spellStart"/>
      <w:r w:rsidRPr="00CD7604">
        <w:t>originalism</w:t>
      </w:r>
      <w:proofErr w:type="spellEnd"/>
      <w:r w:rsidRPr="00CD7604">
        <w:t>) argümanlarına aşina olduğunu savunan kaynakları toplamaktadır).</w:t>
      </w:r>
    </w:p>
  </w:footnote>
  <w:footnote w:id="192">
    <w:p w14:paraId="101F1BA0" w14:textId="47493A6B" w:rsidR="00CD7604" w:rsidRPr="00CD7604" w:rsidRDefault="00CD7604" w:rsidP="00CD7604">
      <w:pPr>
        <w:pStyle w:val="Dipnot"/>
        <w:rPr>
          <w:lang w:val="en-US"/>
        </w:rPr>
      </w:pPr>
      <w:r>
        <w:rPr>
          <w:rStyle w:val="FootnoteReference"/>
        </w:rPr>
        <w:footnoteRef/>
      </w:r>
      <w:r>
        <w:t xml:space="preserve"> </w:t>
      </w:r>
      <w:r>
        <w:rPr>
          <w:lang w:val="en-US"/>
        </w:rPr>
        <w:tab/>
      </w:r>
      <w:r w:rsidRPr="00CD7604">
        <w:t>192</w:t>
      </w:r>
      <w:r>
        <w:t xml:space="preserve"> </w:t>
      </w:r>
      <w:proofErr w:type="spellStart"/>
      <w:r w:rsidRPr="00CD7604">
        <w:t>Özgüncülük</w:t>
      </w:r>
      <w:proofErr w:type="spellEnd"/>
      <w:r w:rsidRPr="00CD7604">
        <w:t xml:space="preserve"> eleştirmenlerinin bu tür çalışmaları için bkz., </w:t>
      </w:r>
      <w:proofErr w:type="spellStart"/>
      <w:r w:rsidRPr="00CD7604">
        <w:t>örn</w:t>
      </w:r>
      <w:proofErr w:type="spellEnd"/>
      <w:r w:rsidRPr="00CD7604">
        <w:t xml:space="preserve">., POWELL, </w:t>
      </w:r>
      <w:proofErr w:type="spellStart"/>
      <w:r w:rsidRPr="00CD7604">
        <w:rPr>
          <w:i/>
          <w:iCs/>
        </w:rPr>
        <w:t>supra</w:t>
      </w:r>
      <w:proofErr w:type="spellEnd"/>
      <w:r w:rsidRPr="00CD7604">
        <w:t xml:space="preserve"> dipnot 2, s. 6-7; </w:t>
      </w:r>
      <w:proofErr w:type="spellStart"/>
      <w:r w:rsidRPr="00CD7604">
        <w:t>Greene</w:t>
      </w:r>
      <w:proofErr w:type="spellEnd"/>
      <w:r w:rsidRPr="00CD7604">
        <w:t xml:space="preserve">, </w:t>
      </w:r>
      <w:proofErr w:type="spellStart"/>
      <w:r w:rsidRPr="00CD7604">
        <w:rPr>
          <w:i/>
          <w:iCs/>
        </w:rPr>
        <w:t>supra</w:t>
      </w:r>
      <w:proofErr w:type="spellEnd"/>
      <w:r w:rsidRPr="00CD7604">
        <w:t xml:space="preserve"> dipnot 58, s. 661. </w:t>
      </w:r>
      <w:proofErr w:type="spellStart"/>
      <w:r w:rsidRPr="00CD7604">
        <w:t>Özgüncülüğe</w:t>
      </w:r>
      <w:proofErr w:type="spellEnd"/>
      <w:r w:rsidRPr="00CD7604">
        <w:t xml:space="preserve"> daha yakın akademisyenlerin bu tür çalışmaları için bkz., </w:t>
      </w:r>
      <w:proofErr w:type="spellStart"/>
      <w:r w:rsidRPr="00CD7604">
        <w:t>örn</w:t>
      </w:r>
      <w:proofErr w:type="spellEnd"/>
      <w:r w:rsidRPr="00CD7604">
        <w:t xml:space="preserve">., </w:t>
      </w:r>
      <w:proofErr w:type="spellStart"/>
      <w:r w:rsidRPr="00CD7604">
        <w:t>Caleb</w:t>
      </w:r>
      <w:proofErr w:type="spellEnd"/>
      <w:r w:rsidRPr="00CD7604">
        <w:t xml:space="preserve"> Nelson, </w:t>
      </w:r>
      <w:proofErr w:type="spellStart"/>
      <w:r w:rsidRPr="00CD7604">
        <w:rPr>
          <w:i/>
          <w:iCs/>
        </w:rPr>
        <w:t>Originalism</w:t>
      </w:r>
      <w:proofErr w:type="spellEnd"/>
      <w:r w:rsidRPr="00CD7604">
        <w:rPr>
          <w:i/>
          <w:iCs/>
        </w:rPr>
        <w:t xml:space="preserve"> </w:t>
      </w:r>
      <w:proofErr w:type="spellStart"/>
      <w:r w:rsidRPr="00CD7604">
        <w:rPr>
          <w:i/>
          <w:iCs/>
        </w:rPr>
        <w:t>and</w:t>
      </w:r>
      <w:proofErr w:type="spellEnd"/>
      <w:r w:rsidRPr="00CD7604">
        <w:rPr>
          <w:i/>
          <w:iCs/>
        </w:rPr>
        <w:t xml:space="preserve"> </w:t>
      </w:r>
      <w:proofErr w:type="spellStart"/>
      <w:r w:rsidRPr="00CD7604">
        <w:rPr>
          <w:i/>
          <w:iCs/>
        </w:rPr>
        <w:t>Interpretive</w:t>
      </w:r>
      <w:proofErr w:type="spellEnd"/>
      <w:r w:rsidRPr="00CD7604">
        <w:rPr>
          <w:i/>
          <w:iCs/>
        </w:rPr>
        <w:t xml:space="preserve"> </w:t>
      </w:r>
      <w:proofErr w:type="spellStart"/>
      <w:r w:rsidRPr="00CD7604">
        <w:rPr>
          <w:i/>
          <w:iCs/>
        </w:rPr>
        <w:t>Conventions</w:t>
      </w:r>
      <w:proofErr w:type="spellEnd"/>
      <w:r w:rsidRPr="00CD7604">
        <w:t xml:space="preserve">, 70 </w:t>
      </w:r>
      <w:r w:rsidRPr="00CD7604">
        <w:rPr>
          <w:i/>
          <w:iCs/>
        </w:rPr>
        <w:t xml:space="preserve">U. </w:t>
      </w:r>
      <w:proofErr w:type="spellStart"/>
      <w:r w:rsidRPr="00CD7604">
        <w:rPr>
          <w:i/>
          <w:iCs/>
        </w:rPr>
        <w:t>Chi</w:t>
      </w:r>
      <w:proofErr w:type="spellEnd"/>
      <w:r w:rsidRPr="00CD7604">
        <w:rPr>
          <w:i/>
          <w:iCs/>
        </w:rPr>
        <w:t xml:space="preserve">. L. </w:t>
      </w:r>
      <w:proofErr w:type="spellStart"/>
      <w:r w:rsidRPr="00CD7604">
        <w:rPr>
          <w:i/>
          <w:iCs/>
        </w:rPr>
        <w:t>Rev</w:t>
      </w:r>
      <w:proofErr w:type="spellEnd"/>
      <w:r w:rsidRPr="00CD7604">
        <w:rPr>
          <w:i/>
          <w:iCs/>
        </w:rPr>
        <w:t>.</w:t>
      </w:r>
      <w:r w:rsidRPr="00CD7604">
        <w:t xml:space="preserve"> 519, 521-23 (2003); Young, </w:t>
      </w:r>
      <w:proofErr w:type="spellStart"/>
      <w:r w:rsidRPr="00CD7604">
        <w:rPr>
          <w:i/>
          <w:iCs/>
        </w:rPr>
        <w:t>supra</w:t>
      </w:r>
      <w:proofErr w:type="spellEnd"/>
      <w:r w:rsidRPr="00CD7604">
        <w:t xml:space="preserve"> dipnot 10, s. 410.</w:t>
      </w:r>
    </w:p>
  </w:footnote>
  <w:footnote w:id="193">
    <w:p w14:paraId="42FB21D5" w14:textId="0A72A425" w:rsidR="005D7E78" w:rsidRPr="005D7E78" w:rsidRDefault="005D7E78" w:rsidP="005D7E78">
      <w:pPr>
        <w:pStyle w:val="Dipnot"/>
        <w:rPr>
          <w:lang w:val="en-US"/>
        </w:rPr>
      </w:pPr>
      <w:r>
        <w:rPr>
          <w:rStyle w:val="FootnoteReference"/>
        </w:rPr>
        <w:footnoteRef/>
      </w:r>
      <w:r>
        <w:t xml:space="preserve"> </w:t>
      </w:r>
      <w:r>
        <w:tab/>
      </w:r>
      <w:r w:rsidRPr="005D7E78">
        <w:t>193</w:t>
      </w:r>
      <w:r>
        <w:t xml:space="preserve"> </w:t>
      </w:r>
      <w:r w:rsidRPr="005D7E78">
        <w:t xml:space="preserve">Bu gruba, üretken ve özgün projeleri genellikle –ancak her zaman değil– kendi çalışmalarının etkisini gösteren </w:t>
      </w:r>
      <w:proofErr w:type="spellStart"/>
      <w:r w:rsidRPr="005D7E78">
        <w:t>Akhil</w:t>
      </w:r>
      <w:proofErr w:type="spellEnd"/>
      <w:r w:rsidRPr="005D7E78">
        <w:t xml:space="preserve"> </w:t>
      </w:r>
      <w:proofErr w:type="spellStart"/>
      <w:r w:rsidRPr="005D7E78">
        <w:t>Reed</w:t>
      </w:r>
      <w:proofErr w:type="spellEnd"/>
      <w:r w:rsidRPr="005D7E78">
        <w:t xml:space="preserve"> </w:t>
      </w:r>
      <w:proofErr w:type="spellStart"/>
      <w:r w:rsidRPr="005D7E78">
        <w:t>Amar</w:t>
      </w:r>
      <w:proofErr w:type="spellEnd"/>
      <w:r w:rsidRPr="005D7E78">
        <w:t xml:space="preserve"> da dâhil edilebilir. </w:t>
      </w:r>
      <w:r w:rsidRPr="005D7E78">
        <w:rPr>
          <w:i/>
          <w:iCs/>
        </w:rPr>
        <w:t xml:space="preserve">Bkz., </w:t>
      </w:r>
      <w:proofErr w:type="spellStart"/>
      <w:r w:rsidRPr="005D7E78">
        <w:rPr>
          <w:i/>
          <w:iCs/>
        </w:rPr>
        <w:t>örn</w:t>
      </w:r>
      <w:proofErr w:type="spellEnd"/>
      <w:r w:rsidRPr="005D7E78">
        <w:rPr>
          <w:i/>
          <w:iCs/>
        </w:rPr>
        <w:t>.</w:t>
      </w:r>
      <w:r w:rsidRPr="005D7E78">
        <w:t xml:space="preserve">, </w:t>
      </w:r>
      <w:proofErr w:type="spellStart"/>
      <w:r w:rsidRPr="005D7E78">
        <w:t>Amar</w:t>
      </w:r>
      <w:proofErr w:type="spellEnd"/>
      <w:r w:rsidRPr="005D7E78">
        <w:t xml:space="preserve">, </w:t>
      </w:r>
      <w:proofErr w:type="spellStart"/>
      <w:r w:rsidRPr="005D7E78">
        <w:rPr>
          <w:i/>
          <w:iCs/>
        </w:rPr>
        <w:t>supra</w:t>
      </w:r>
      <w:proofErr w:type="spellEnd"/>
      <w:r w:rsidRPr="005D7E78">
        <w:t xml:space="preserve"> dipnot 10, s. 27-28 (anayasal karar alma süreçlerine dair kültür, kişilik ve olumsallığa dayalı tercihlerin rolünü vurgulayan bir anlatı sunmaktadır).</w:t>
      </w:r>
    </w:p>
  </w:footnote>
  <w:footnote w:id="194">
    <w:p w14:paraId="3F614CDA" w14:textId="07E08EF7" w:rsidR="005D7E78" w:rsidRPr="005D7E78" w:rsidRDefault="005D7E78" w:rsidP="005D7E78">
      <w:pPr>
        <w:pStyle w:val="Dipnot"/>
        <w:rPr>
          <w:lang w:val="en-US"/>
        </w:rPr>
      </w:pPr>
      <w:r>
        <w:rPr>
          <w:rStyle w:val="FootnoteReference"/>
        </w:rPr>
        <w:footnoteRef/>
      </w:r>
      <w:r>
        <w:t xml:space="preserve"> </w:t>
      </w:r>
      <w:r>
        <w:rPr>
          <w:lang w:val="en-US"/>
        </w:rPr>
        <w:tab/>
      </w:r>
      <w:r w:rsidRPr="005D7E78">
        <w:t>194</w:t>
      </w:r>
      <w:r>
        <w:t xml:space="preserve"> </w:t>
      </w:r>
      <w:r w:rsidRPr="005D7E78">
        <w:t xml:space="preserve">Önde gelen çalışmalarının bazıları için bkz. </w:t>
      </w:r>
      <w:proofErr w:type="spellStart"/>
      <w:r w:rsidRPr="005D7E78">
        <w:rPr>
          <w:i/>
          <w:iCs/>
        </w:rPr>
        <w:t>supra</w:t>
      </w:r>
      <w:proofErr w:type="spellEnd"/>
      <w:r w:rsidRPr="005D7E78">
        <w:t xml:space="preserve"> dipnot 2.</w:t>
      </w:r>
    </w:p>
  </w:footnote>
  <w:footnote w:id="195">
    <w:p w14:paraId="12B055CD" w14:textId="0C80E9BD" w:rsidR="005D7E78" w:rsidRPr="005D7E78" w:rsidRDefault="005D7E78" w:rsidP="005D7E78">
      <w:pPr>
        <w:pStyle w:val="Dipnot"/>
        <w:rPr>
          <w:lang w:val="en-US"/>
        </w:rPr>
      </w:pPr>
      <w:r>
        <w:rPr>
          <w:rStyle w:val="FootnoteReference"/>
        </w:rPr>
        <w:footnoteRef/>
      </w:r>
      <w:r>
        <w:t xml:space="preserve"> </w:t>
      </w:r>
      <w:r>
        <w:rPr>
          <w:lang w:val="en-US"/>
        </w:rPr>
        <w:tab/>
      </w:r>
      <w:r w:rsidRPr="005D7E78">
        <w:t>195</w:t>
      </w:r>
      <w:r>
        <w:t xml:space="preserve"> </w:t>
      </w:r>
      <w:r w:rsidRPr="005D7E78">
        <w:rPr>
          <w:i/>
          <w:iCs/>
        </w:rPr>
        <w:t xml:space="preserve">Bkz., </w:t>
      </w:r>
      <w:proofErr w:type="spellStart"/>
      <w:r w:rsidRPr="005D7E78">
        <w:rPr>
          <w:i/>
          <w:iCs/>
        </w:rPr>
        <w:t>örn</w:t>
      </w:r>
      <w:proofErr w:type="spellEnd"/>
      <w:r w:rsidRPr="005D7E78">
        <w:rPr>
          <w:i/>
          <w:iCs/>
        </w:rPr>
        <w:t>.</w:t>
      </w:r>
      <w:r w:rsidRPr="005D7E78">
        <w:t xml:space="preserve">, </w:t>
      </w:r>
      <w:proofErr w:type="spellStart"/>
      <w:r w:rsidRPr="005D7E78">
        <w:t>Balkin</w:t>
      </w:r>
      <w:proofErr w:type="spellEnd"/>
      <w:r w:rsidRPr="005D7E78">
        <w:t xml:space="preserve"> &amp; </w:t>
      </w:r>
      <w:proofErr w:type="spellStart"/>
      <w:r w:rsidRPr="005D7E78">
        <w:t>Siegel</w:t>
      </w:r>
      <w:proofErr w:type="spellEnd"/>
      <w:r w:rsidRPr="005D7E78">
        <w:t xml:space="preserve">, </w:t>
      </w:r>
      <w:proofErr w:type="spellStart"/>
      <w:r w:rsidRPr="005D7E78">
        <w:rPr>
          <w:i/>
          <w:iCs/>
        </w:rPr>
        <w:t>supra</w:t>
      </w:r>
      <w:proofErr w:type="spellEnd"/>
      <w:r w:rsidRPr="005D7E78">
        <w:t xml:space="preserve"> dipnot 181, s. 929 (siyasi mücadelenin anayasal ilkelerin anlaşılmasını değiştirebileceğini savunmaktadır); Post, </w:t>
      </w:r>
      <w:proofErr w:type="spellStart"/>
      <w:r w:rsidRPr="005D7E78">
        <w:rPr>
          <w:i/>
          <w:iCs/>
        </w:rPr>
        <w:t>supra</w:t>
      </w:r>
      <w:proofErr w:type="spellEnd"/>
      <w:r w:rsidRPr="005D7E78">
        <w:t xml:space="preserve"> dipnot 2, s. 8 (anayasa hukukunun yalnızca yargıçlar tarafından şekillendirilmediğini, aynı zamanda yargı dışı aktörlerin inanç ve değerlerinden de etkilendiğini ileri sürmektedir); </w:t>
      </w:r>
      <w:proofErr w:type="spellStart"/>
      <w:r w:rsidRPr="005D7E78">
        <w:t>Siegel</w:t>
      </w:r>
      <w:proofErr w:type="spellEnd"/>
      <w:r w:rsidRPr="005D7E78">
        <w:t xml:space="preserve">, </w:t>
      </w:r>
      <w:proofErr w:type="spellStart"/>
      <w:r w:rsidRPr="005D7E78">
        <w:rPr>
          <w:i/>
          <w:iCs/>
        </w:rPr>
        <w:t>supra</w:t>
      </w:r>
      <w:proofErr w:type="spellEnd"/>
      <w:r w:rsidRPr="005D7E78">
        <w:t xml:space="preserve"> dipnot 2, s. 1324 (anayasal değişimi teşvik eden vatandaşlar ile kamu görevlileri arasındaki etkileşimleri ele almaktadır); Post &amp; </w:t>
      </w:r>
      <w:proofErr w:type="spellStart"/>
      <w:r w:rsidRPr="005D7E78">
        <w:t>Siegel</w:t>
      </w:r>
      <w:proofErr w:type="spellEnd"/>
      <w:r w:rsidRPr="005D7E78">
        <w:t xml:space="preserve">, </w:t>
      </w:r>
      <w:proofErr w:type="spellStart"/>
      <w:r w:rsidRPr="005D7E78">
        <w:rPr>
          <w:i/>
          <w:iCs/>
        </w:rPr>
        <w:t>supra</w:t>
      </w:r>
      <w:proofErr w:type="spellEnd"/>
      <w:r w:rsidRPr="005D7E78">
        <w:t xml:space="preserve"> dipnot 53, s. 549-50 (anayasa hukukunu şekillendiren tarihsel süreçleri incelemektedir).</w:t>
      </w:r>
    </w:p>
  </w:footnote>
  <w:footnote w:id="196">
    <w:p w14:paraId="489E0250" w14:textId="24AD6727" w:rsidR="005D7E78" w:rsidRPr="005D7E78" w:rsidRDefault="005D7E78" w:rsidP="005D7E78">
      <w:pPr>
        <w:pStyle w:val="Dipnot"/>
        <w:rPr>
          <w:lang w:val="en-US"/>
        </w:rPr>
      </w:pPr>
      <w:r>
        <w:rPr>
          <w:rStyle w:val="FootnoteReference"/>
        </w:rPr>
        <w:footnoteRef/>
      </w:r>
      <w:r>
        <w:t xml:space="preserve"> </w:t>
      </w:r>
      <w:r>
        <w:rPr>
          <w:lang w:val="en-US"/>
        </w:rPr>
        <w:tab/>
      </w:r>
      <w:r w:rsidRPr="005D7E78">
        <w:t>196</w:t>
      </w:r>
      <w:r>
        <w:t xml:space="preserve"> </w:t>
      </w:r>
      <w:r w:rsidRPr="005D7E78">
        <w:rPr>
          <w:i/>
          <w:iCs/>
        </w:rPr>
        <w:t xml:space="preserve">Bkz., </w:t>
      </w:r>
      <w:proofErr w:type="spellStart"/>
      <w:r w:rsidRPr="005D7E78">
        <w:rPr>
          <w:i/>
          <w:iCs/>
        </w:rPr>
        <w:t>örn</w:t>
      </w:r>
      <w:proofErr w:type="spellEnd"/>
      <w:r w:rsidRPr="005D7E78">
        <w:rPr>
          <w:i/>
          <w:iCs/>
        </w:rPr>
        <w:t>.</w:t>
      </w:r>
      <w:r w:rsidRPr="005D7E78">
        <w:t xml:space="preserve">, BALKIN, </w:t>
      </w:r>
      <w:proofErr w:type="spellStart"/>
      <w:r w:rsidRPr="005D7E78">
        <w:rPr>
          <w:i/>
          <w:iCs/>
        </w:rPr>
        <w:t>supra</w:t>
      </w:r>
      <w:proofErr w:type="spellEnd"/>
      <w:r w:rsidRPr="005D7E78">
        <w:t xml:space="preserve"> dipnot 2, s. 4-5 (Amerikan ulusunun tarihinin, sürekli olarak daha fazla eşitlik ve adaletin sağlanmasına dayalı bir anlatıdan ziyade, bir tür "kurtuluş" anlatısıyla daha doğru bir şekilde açıklanabileceğini savunmaktadır); Post, </w:t>
      </w:r>
      <w:proofErr w:type="spellStart"/>
      <w:r w:rsidRPr="005D7E78">
        <w:rPr>
          <w:i/>
          <w:iCs/>
        </w:rPr>
        <w:t>supra</w:t>
      </w:r>
      <w:proofErr w:type="spellEnd"/>
      <w:r w:rsidRPr="005D7E78">
        <w:t xml:space="preserve"> dipnot 2, s. 81-83 (mahkemelerin değişen kültürel eşitlik anlayışlarını dikkate almak zorunda olduğunu açıklamaktadır); </w:t>
      </w:r>
      <w:proofErr w:type="spellStart"/>
      <w:r w:rsidRPr="005D7E78">
        <w:t>Siegel</w:t>
      </w:r>
      <w:proofErr w:type="spellEnd"/>
      <w:r w:rsidRPr="005D7E78">
        <w:t xml:space="preserve">, </w:t>
      </w:r>
      <w:proofErr w:type="spellStart"/>
      <w:r w:rsidRPr="005D7E78">
        <w:rPr>
          <w:i/>
          <w:iCs/>
        </w:rPr>
        <w:t>supra</w:t>
      </w:r>
      <w:proofErr w:type="spellEnd"/>
      <w:r w:rsidRPr="005D7E78">
        <w:t xml:space="preserve"> dipnot 2, s. 1327 (harekete geçen vatandaşlar ve toplumsal hareketlerin anayasa hukuku üzerindeki etkisini analiz etmektedir).</w:t>
      </w:r>
    </w:p>
  </w:footnote>
  <w:footnote w:id="197">
    <w:p w14:paraId="72CD146D" w14:textId="213D1753" w:rsidR="005D7E78" w:rsidRPr="005D7E78" w:rsidRDefault="005D7E78" w:rsidP="005D7E78">
      <w:pPr>
        <w:pStyle w:val="Dipnot"/>
        <w:rPr>
          <w:lang w:val="en-US"/>
        </w:rPr>
      </w:pPr>
      <w:r>
        <w:rPr>
          <w:rStyle w:val="FootnoteReference"/>
        </w:rPr>
        <w:footnoteRef/>
      </w:r>
      <w:r>
        <w:t xml:space="preserve"> </w:t>
      </w:r>
      <w:r>
        <w:rPr>
          <w:lang w:val="en-US"/>
        </w:rPr>
        <w:tab/>
      </w:r>
      <w:r w:rsidRPr="005D7E78">
        <w:t>197</w:t>
      </w:r>
      <w:r>
        <w:t xml:space="preserve"> </w:t>
      </w:r>
      <w:r w:rsidRPr="005D7E78">
        <w:rPr>
          <w:i/>
          <w:iCs/>
        </w:rPr>
        <w:t xml:space="preserve">Bkz., </w:t>
      </w:r>
      <w:proofErr w:type="spellStart"/>
      <w:r w:rsidRPr="005D7E78">
        <w:rPr>
          <w:i/>
          <w:iCs/>
        </w:rPr>
        <w:t>örn</w:t>
      </w:r>
      <w:proofErr w:type="spellEnd"/>
      <w:r w:rsidRPr="005D7E78">
        <w:rPr>
          <w:i/>
          <w:iCs/>
        </w:rPr>
        <w:t>.</w:t>
      </w:r>
      <w:r w:rsidRPr="005D7E78">
        <w:t xml:space="preserve">, </w:t>
      </w:r>
      <w:proofErr w:type="spellStart"/>
      <w:r w:rsidRPr="005D7E78">
        <w:t>Sanford</w:t>
      </w:r>
      <w:proofErr w:type="spellEnd"/>
      <w:r w:rsidRPr="005D7E78">
        <w:t xml:space="preserve"> </w:t>
      </w:r>
      <w:proofErr w:type="spellStart"/>
      <w:r w:rsidRPr="005D7E78">
        <w:t>Levinson</w:t>
      </w:r>
      <w:proofErr w:type="spellEnd"/>
      <w:r w:rsidRPr="005D7E78">
        <w:t xml:space="preserve">, </w:t>
      </w:r>
      <w:proofErr w:type="spellStart"/>
      <w:r w:rsidRPr="005D7E78">
        <w:rPr>
          <w:i/>
          <w:iCs/>
        </w:rPr>
        <w:t>Our</w:t>
      </w:r>
      <w:proofErr w:type="spellEnd"/>
      <w:r w:rsidRPr="005D7E78">
        <w:rPr>
          <w:i/>
          <w:iCs/>
        </w:rPr>
        <w:t xml:space="preserve"> </w:t>
      </w:r>
      <w:proofErr w:type="spellStart"/>
      <w:r w:rsidRPr="005D7E78">
        <w:rPr>
          <w:i/>
          <w:iCs/>
        </w:rPr>
        <w:t>Undemocratic</w:t>
      </w:r>
      <w:proofErr w:type="spellEnd"/>
      <w:r w:rsidRPr="005D7E78">
        <w:rPr>
          <w:i/>
          <w:iCs/>
        </w:rPr>
        <w:t xml:space="preserve"> </w:t>
      </w:r>
      <w:proofErr w:type="spellStart"/>
      <w:r w:rsidRPr="005D7E78">
        <w:rPr>
          <w:i/>
          <w:iCs/>
        </w:rPr>
        <w:t>Constitution</w:t>
      </w:r>
      <w:proofErr w:type="spellEnd"/>
      <w:r w:rsidRPr="005D7E78">
        <w:rPr>
          <w:i/>
          <w:iCs/>
        </w:rPr>
        <w:t xml:space="preserve">: </w:t>
      </w:r>
      <w:proofErr w:type="spellStart"/>
      <w:r w:rsidRPr="005D7E78">
        <w:rPr>
          <w:i/>
          <w:iCs/>
        </w:rPr>
        <w:t>Where</w:t>
      </w:r>
      <w:proofErr w:type="spellEnd"/>
      <w:r w:rsidRPr="005D7E78">
        <w:rPr>
          <w:i/>
          <w:iCs/>
        </w:rPr>
        <w:t xml:space="preserve"> </w:t>
      </w:r>
      <w:proofErr w:type="spellStart"/>
      <w:r w:rsidRPr="005D7E78">
        <w:rPr>
          <w:i/>
          <w:iCs/>
        </w:rPr>
        <w:t>the</w:t>
      </w:r>
      <w:proofErr w:type="spellEnd"/>
      <w:r w:rsidRPr="005D7E78">
        <w:rPr>
          <w:i/>
          <w:iCs/>
        </w:rPr>
        <w:t xml:space="preserve"> </w:t>
      </w:r>
      <w:proofErr w:type="spellStart"/>
      <w:r w:rsidRPr="005D7E78">
        <w:rPr>
          <w:i/>
          <w:iCs/>
        </w:rPr>
        <w:t>Constitution</w:t>
      </w:r>
      <w:proofErr w:type="spellEnd"/>
      <w:r w:rsidRPr="005D7E78">
        <w:rPr>
          <w:i/>
          <w:iCs/>
        </w:rPr>
        <w:t xml:space="preserve"> Goes </w:t>
      </w:r>
      <w:proofErr w:type="spellStart"/>
      <w:r w:rsidRPr="005D7E78">
        <w:rPr>
          <w:i/>
          <w:iCs/>
        </w:rPr>
        <w:t>Wrong</w:t>
      </w:r>
      <w:proofErr w:type="spellEnd"/>
      <w:r w:rsidRPr="005D7E78">
        <w:rPr>
          <w:i/>
          <w:iCs/>
        </w:rPr>
        <w:t xml:space="preserve"> (</w:t>
      </w:r>
      <w:proofErr w:type="spellStart"/>
      <w:r w:rsidRPr="005D7E78">
        <w:rPr>
          <w:i/>
          <w:iCs/>
        </w:rPr>
        <w:t>and</w:t>
      </w:r>
      <w:proofErr w:type="spellEnd"/>
      <w:r w:rsidRPr="005D7E78">
        <w:rPr>
          <w:i/>
          <w:iCs/>
        </w:rPr>
        <w:t xml:space="preserve"> How </w:t>
      </w:r>
      <w:proofErr w:type="spellStart"/>
      <w:r w:rsidRPr="005D7E78">
        <w:rPr>
          <w:i/>
          <w:iCs/>
        </w:rPr>
        <w:t>We</w:t>
      </w:r>
      <w:proofErr w:type="spellEnd"/>
      <w:r w:rsidRPr="005D7E78">
        <w:rPr>
          <w:i/>
          <w:iCs/>
        </w:rPr>
        <w:t xml:space="preserve"> </w:t>
      </w:r>
      <w:proofErr w:type="spellStart"/>
      <w:r w:rsidRPr="005D7E78">
        <w:rPr>
          <w:i/>
          <w:iCs/>
        </w:rPr>
        <w:t>the</w:t>
      </w:r>
      <w:proofErr w:type="spellEnd"/>
      <w:r w:rsidRPr="005D7E78">
        <w:rPr>
          <w:i/>
          <w:iCs/>
        </w:rPr>
        <w:t xml:space="preserve"> People Can </w:t>
      </w:r>
      <w:proofErr w:type="spellStart"/>
      <w:r w:rsidRPr="005D7E78">
        <w:rPr>
          <w:i/>
          <w:iCs/>
        </w:rPr>
        <w:t>Correct</w:t>
      </w:r>
      <w:proofErr w:type="spellEnd"/>
      <w:r w:rsidRPr="005D7E78">
        <w:rPr>
          <w:i/>
          <w:iCs/>
        </w:rPr>
        <w:t xml:space="preserve"> </w:t>
      </w:r>
      <w:proofErr w:type="spellStart"/>
      <w:r w:rsidRPr="005D7E78">
        <w:rPr>
          <w:i/>
          <w:iCs/>
        </w:rPr>
        <w:t>It</w:t>
      </w:r>
      <w:proofErr w:type="spellEnd"/>
      <w:r w:rsidRPr="005D7E78">
        <w:rPr>
          <w:i/>
          <w:iCs/>
        </w:rPr>
        <w:t>)</w:t>
      </w:r>
      <w:r w:rsidRPr="005D7E78">
        <w:t xml:space="preserve"> 6 (2006) (“Günümüzün Anayasası’nı haklı çıkaran, yirmi birinci yüzyıl normlarımızı uygulayan bir demokratik anayasa teorisi inşa etmenin giderek zorlaştığına inanıyorum.”).</w:t>
      </w:r>
    </w:p>
  </w:footnote>
  <w:footnote w:id="198">
    <w:p w14:paraId="11675B77" w14:textId="222E2B57" w:rsidR="005D7E78" w:rsidRPr="005D7E78" w:rsidRDefault="005D7E78" w:rsidP="005D7E78">
      <w:pPr>
        <w:pStyle w:val="Dipnot"/>
        <w:rPr>
          <w:lang w:val="en-US"/>
        </w:rPr>
      </w:pPr>
      <w:r>
        <w:rPr>
          <w:rStyle w:val="FootnoteReference"/>
        </w:rPr>
        <w:footnoteRef/>
      </w:r>
      <w:r>
        <w:t xml:space="preserve"> </w:t>
      </w:r>
      <w:r>
        <w:rPr>
          <w:lang w:val="en-US"/>
        </w:rPr>
        <w:tab/>
      </w:r>
      <w:r w:rsidRPr="005D7E78">
        <w:t>198</w:t>
      </w:r>
      <w:r>
        <w:t xml:space="preserve"> </w:t>
      </w:r>
      <w:r w:rsidRPr="005D7E78">
        <w:t xml:space="preserve">Bu çalışmaların kolektif projelerini, bu makalenin ortaya koyduğu yaklaşımla tutarlı bir şekilde ele alan </w:t>
      </w:r>
      <w:proofErr w:type="spellStart"/>
      <w:r w:rsidRPr="005D7E78">
        <w:t>içgörülü</w:t>
      </w:r>
      <w:proofErr w:type="spellEnd"/>
      <w:r w:rsidRPr="005D7E78">
        <w:t xml:space="preserve"> bir tartışma için bkz. Douglas </w:t>
      </w:r>
      <w:proofErr w:type="spellStart"/>
      <w:r w:rsidRPr="005D7E78">
        <w:t>NeJaime</w:t>
      </w:r>
      <w:proofErr w:type="spellEnd"/>
      <w:r w:rsidRPr="005D7E78">
        <w:t xml:space="preserve">, </w:t>
      </w:r>
      <w:proofErr w:type="spellStart"/>
      <w:r w:rsidRPr="005D7E78">
        <w:rPr>
          <w:i/>
          <w:iCs/>
        </w:rPr>
        <w:t>Constitutional</w:t>
      </w:r>
      <w:proofErr w:type="spellEnd"/>
      <w:r w:rsidRPr="005D7E78">
        <w:rPr>
          <w:i/>
          <w:iCs/>
        </w:rPr>
        <w:t xml:space="preserve"> </w:t>
      </w:r>
      <w:proofErr w:type="spellStart"/>
      <w:r w:rsidRPr="005D7E78">
        <w:rPr>
          <w:i/>
          <w:iCs/>
        </w:rPr>
        <w:t>Change</w:t>
      </w:r>
      <w:proofErr w:type="spellEnd"/>
      <w:r w:rsidRPr="005D7E78">
        <w:rPr>
          <w:i/>
          <w:iCs/>
        </w:rPr>
        <w:t xml:space="preserve">, </w:t>
      </w:r>
      <w:proofErr w:type="spellStart"/>
      <w:r w:rsidRPr="005D7E78">
        <w:rPr>
          <w:i/>
          <w:iCs/>
        </w:rPr>
        <w:t>Courts</w:t>
      </w:r>
      <w:proofErr w:type="spellEnd"/>
      <w:r w:rsidRPr="005D7E78">
        <w:rPr>
          <w:i/>
          <w:iCs/>
        </w:rPr>
        <w:t xml:space="preserve">, </w:t>
      </w:r>
      <w:proofErr w:type="spellStart"/>
      <w:r w:rsidRPr="005D7E78">
        <w:rPr>
          <w:i/>
          <w:iCs/>
        </w:rPr>
        <w:t>and</w:t>
      </w:r>
      <w:proofErr w:type="spellEnd"/>
      <w:r w:rsidRPr="005D7E78">
        <w:rPr>
          <w:i/>
          <w:iCs/>
        </w:rPr>
        <w:t xml:space="preserve"> </w:t>
      </w:r>
      <w:proofErr w:type="spellStart"/>
      <w:r w:rsidRPr="005D7E78">
        <w:rPr>
          <w:i/>
          <w:iCs/>
        </w:rPr>
        <w:t>Social</w:t>
      </w:r>
      <w:proofErr w:type="spellEnd"/>
      <w:r w:rsidRPr="005D7E78">
        <w:rPr>
          <w:i/>
          <w:iCs/>
        </w:rPr>
        <w:t xml:space="preserve"> </w:t>
      </w:r>
      <w:proofErr w:type="spellStart"/>
      <w:r w:rsidRPr="005D7E78">
        <w:rPr>
          <w:i/>
          <w:iCs/>
        </w:rPr>
        <w:t>Movements</w:t>
      </w:r>
      <w:proofErr w:type="spellEnd"/>
      <w:r w:rsidRPr="005D7E78">
        <w:t xml:space="preserve">, 111 </w:t>
      </w:r>
      <w:proofErr w:type="spellStart"/>
      <w:r w:rsidRPr="005D7E78">
        <w:rPr>
          <w:i/>
          <w:iCs/>
        </w:rPr>
        <w:t>Mich</w:t>
      </w:r>
      <w:proofErr w:type="spellEnd"/>
      <w:r w:rsidRPr="005D7E78">
        <w:rPr>
          <w:i/>
          <w:iCs/>
        </w:rPr>
        <w:t xml:space="preserve">. L. </w:t>
      </w:r>
      <w:proofErr w:type="spellStart"/>
      <w:r w:rsidRPr="005D7E78">
        <w:rPr>
          <w:i/>
          <w:iCs/>
        </w:rPr>
        <w:t>Rev</w:t>
      </w:r>
      <w:proofErr w:type="spellEnd"/>
      <w:r w:rsidRPr="005D7E78">
        <w:rPr>
          <w:i/>
          <w:iCs/>
        </w:rPr>
        <w:t>.</w:t>
      </w:r>
      <w:r w:rsidRPr="005D7E78">
        <w:t xml:space="preserve"> 877, 877 (2013) (JACK M. BALKIN, </w:t>
      </w:r>
      <w:proofErr w:type="spellStart"/>
      <w:r w:rsidRPr="005D7E78">
        <w:rPr>
          <w:i/>
          <w:iCs/>
        </w:rPr>
        <w:t>Constitutional</w:t>
      </w:r>
      <w:proofErr w:type="spellEnd"/>
      <w:r w:rsidRPr="005D7E78">
        <w:rPr>
          <w:i/>
          <w:iCs/>
        </w:rPr>
        <w:t xml:space="preserve"> </w:t>
      </w:r>
      <w:proofErr w:type="spellStart"/>
      <w:r w:rsidRPr="005D7E78">
        <w:rPr>
          <w:i/>
          <w:iCs/>
        </w:rPr>
        <w:t>Redemption</w:t>
      </w:r>
      <w:proofErr w:type="spellEnd"/>
      <w:r w:rsidRPr="005D7E78">
        <w:rPr>
          <w:i/>
          <w:iCs/>
        </w:rPr>
        <w:t xml:space="preserve">: </w:t>
      </w:r>
      <w:proofErr w:type="spellStart"/>
      <w:r w:rsidRPr="005D7E78">
        <w:rPr>
          <w:i/>
          <w:iCs/>
        </w:rPr>
        <w:t>Political</w:t>
      </w:r>
      <w:proofErr w:type="spellEnd"/>
      <w:r w:rsidRPr="005D7E78">
        <w:rPr>
          <w:i/>
          <w:iCs/>
        </w:rPr>
        <w:t xml:space="preserve"> </w:t>
      </w:r>
      <w:proofErr w:type="spellStart"/>
      <w:r w:rsidRPr="005D7E78">
        <w:rPr>
          <w:i/>
          <w:iCs/>
        </w:rPr>
        <w:t>Faith</w:t>
      </w:r>
      <w:proofErr w:type="spellEnd"/>
      <w:r w:rsidRPr="005D7E78">
        <w:rPr>
          <w:i/>
          <w:iCs/>
        </w:rPr>
        <w:t xml:space="preserve"> in an </w:t>
      </w:r>
      <w:proofErr w:type="spellStart"/>
      <w:r w:rsidRPr="005D7E78">
        <w:rPr>
          <w:i/>
          <w:iCs/>
        </w:rPr>
        <w:t>Unjust</w:t>
      </w:r>
      <w:proofErr w:type="spellEnd"/>
      <w:r w:rsidRPr="005D7E78">
        <w:rPr>
          <w:i/>
          <w:iCs/>
        </w:rPr>
        <w:t xml:space="preserve"> World</w:t>
      </w:r>
      <w:r w:rsidRPr="005D7E78">
        <w:t xml:space="preserve"> (2011) adlı eserini inceleyerek, </w:t>
      </w:r>
      <w:proofErr w:type="spellStart"/>
      <w:r w:rsidRPr="005D7E78">
        <w:t>Balkin’in</w:t>
      </w:r>
      <w:proofErr w:type="spellEnd"/>
      <w:r w:rsidRPr="005D7E78">
        <w:t xml:space="preserve"> toplumsal hareketler ve mahkemelerin anayasa hukukunu şekillendirmedeki rolüne dair akademik çalışmalarını tartışmaktadır).</w:t>
      </w:r>
    </w:p>
  </w:footnote>
  <w:footnote w:id="199">
    <w:p w14:paraId="3BB0074F" w14:textId="7D96966B" w:rsidR="00937211" w:rsidRPr="00937211" w:rsidRDefault="00937211" w:rsidP="00937211">
      <w:pPr>
        <w:pStyle w:val="Dipnot"/>
        <w:rPr>
          <w:lang w:val="en-US"/>
        </w:rPr>
      </w:pPr>
      <w:r>
        <w:rPr>
          <w:rStyle w:val="FootnoteReference"/>
        </w:rPr>
        <w:footnoteRef/>
      </w:r>
      <w:r>
        <w:t xml:space="preserve"> </w:t>
      </w:r>
      <w:r>
        <w:rPr>
          <w:lang w:val="en-US"/>
        </w:rPr>
        <w:tab/>
      </w:r>
      <w:r w:rsidRPr="00937211">
        <w:t>199</w:t>
      </w:r>
      <w:r>
        <w:t xml:space="preserve"> </w:t>
      </w:r>
      <w:r w:rsidRPr="00937211">
        <w:rPr>
          <w:i/>
          <w:iCs/>
        </w:rPr>
        <w:t xml:space="preserve">Bkz., </w:t>
      </w:r>
      <w:proofErr w:type="spellStart"/>
      <w:r w:rsidRPr="00937211">
        <w:rPr>
          <w:i/>
          <w:iCs/>
        </w:rPr>
        <w:t>örn</w:t>
      </w:r>
      <w:proofErr w:type="spellEnd"/>
      <w:r w:rsidRPr="00937211">
        <w:rPr>
          <w:i/>
          <w:iCs/>
        </w:rPr>
        <w:t>.</w:t>
      </w:r>
      <w:r w:rsidRPr="00937211">
        <w:t xml:space="preserve">, POWELL, </w:t>
      </w:r>
      <w:proofErr w:type="spellStart"/>
      <w:r w:rsidRPr="00937211">
        <w:rPr>
          <w:i/>
          <w:iCs/>
        </w:rPr>
        <w:t>supra</w:t>
      </w:r>
      <w:proofErr w:type="spellEnd"/>
      <w:r w:rsidRPr="00937211">
        <w:t xml:space="preserve"> dipnot 2, s. 2-3 (insanların Anayasa’yı düşündüklerinde, belgenin kendisinden çok mahkemelerin siyasi pratiğini akıllarına getirdiklerini belirtmektedir); Post, </w:t>
      </w:r>
      <w:proofErr w:type="spellStart"/>
      <w:r w:rsidRPr="00937211">
        <w:rPr>
          <w:i/>
          <w:iCs/>
        </w:rPr>
        <w:t>supra</w:t>
      </w:r>
      <w:proofErr w:type="spellEnd"/>
      <w:r w:rsidRPr="00937211">
        <w:t xml:space="preserve"> dipnot 2, s. 8 (Anayasa’nın yargı dışı aktörlerin inançlarından bağımsız olup olmadığına dair farklı yönleri incelemektedir); </w:t>
      </w:r>
      <w:proofErr w:type="spellStart"/>
      <w:r w:rsidRPr="00937211">
        <w:t>Siegel</w:t>
      </w:r>
      <w:proofErr w:type="spellEnd"/>
      <w:r w:rsidRPr="00937211">
        <w:t xml:space="preserve">, </w:t>
      </w:r>
      <w:proofErr w:type="spellStart"/>
      <w:r w:rsidRPr="00937211">
        <w:rPr>
          <w:i/>
          <w:iCs/>
        </w:rPr>
        <w:t>supra</w:t>
      </w:r>
      <w:proofErr w:type="spellEnd"/>
      <w:r w:rsidRPr="00937211">
        <w:t xml:space="preserve"> dipnot 2, s. 1324-25 (yasama süreci ile anayasal yorum arasındaki ayrımı reddederek, anayasal değişimin vatandaşlar ile kamu görevlileri arasındaki etkileşimler tarafından nasıl şekillendirildiğine odaklanmaktadır).</w:t>
      </w:r>
    </w:p>
  </w:footnote>
  <w:footnote w:id="200">
    <w:p w14:paraId="473E855E" w14:textId="380B2ED3" w:rsidR="00937211" w:rsidRPr="00937211" w:rsidRDefault="00937211" w:rsidP="00937211">
      <w:pPr>
        <w:pStyle w:val="Dipnot"/>
        <w:rPr>
          <w:lang w:val="en-US"/>
        </w:rPr>
      </w:pPr>
      <w:r>
        <w:rPr>
          <w:rStyle w:val="FootnoteReference"/>
        </w:rPr>
        <w:footnoteRef/>
      </w:r>
      <w:r>
        <w:t xml:space="preserve"> </w:t>
      </w:r>
      <w:r>
        <w:rPr>
          <w:lang w:val="en-US"/>
        </w:rPr>
        <w:tab/>
      </w:r>
      <w:r w:rsidRPr="00937211">
        <w:t>200</w:t>
      </w:r>
      <w:r>
        <w:t xml:space="preserve"> </w:t>
      </w:r>
      <w:r w:rsidRPr="00937211">
        <w:rPr>
          <w:i/>
          <w:iCs/>
        </w:rPr>
        <w:t xml:space="preserve">Bkz. </w:t>
      </w:r>
      <w:proofErr w:type="spellStart"/>
      <w:r w:rsidRPr="00937211">
        <w:rPr>
          <w:i/>
          <w:iCs/>
        </w:rPr>
        <w:t>supra</w:t>
      </w:r>
      <w:proofErr w:type="spellEnd"/>
      <w:r w:rsidRPr="00937211">
        <w:t xml:space="preserve"> dipnot 157-159 ile ilgili metin.</w:t>
      </w:r>
    </w:p>
  </w:footnote>
  <w:footnote w:id="201">
    <w:p w14:paraId="77A921CC" w14:textId="08A00252" w:rsidR="00937211" w:rsidRPr="00937211" w:rsidRDefault="00937211" w:rsidP="00937211">
      <w:pPr>
        <w:pStyle w:val="Dipnot"/>
        <w:rPr>
          <w:lang w:val="en-US"/>
        </w:rPr>
      </w:pPr>
      <w:r>
        <w:rPr>
          <w:rStyle w:val="FootnoteReference"/>
        </w:rPr>
        <w:footnoteRef/>
      </w:r>
      <w:r>
        <w:t xml:space="preserve"> </w:t>
      </w:r>
      <w:r>
        <w:rPr>
          <w:lang w:val="en-US"/>
        </w:rPr>
        <w:tab/>
      </w:r>
      <w:r w:rsidRPr="00937211">
        <w:t>201</w:t>
      </w:r>
      <w:r>
        <w:t xml:space="preserve"> </w:t>
      </w:r>
      <w:r w:rsidRPr="00937211">
        <w:rPr>
          <w:i/>
          <w:iCs/>
        </w:rPr>
        <w:t xml:space="preserve">Bkz. </w:t>
      </w:r>
      <w:proofErr w:type="spellStart"/>
      <w:r w:rsidRPr="00937211">
        <w:rPr>
          <w:i/>
          <w:iCs/>
        </w:rPr>
        <w:t>infra</w:t>
      </w:r>
      <w:proofErr w:type="spellEnd"/>
      <w:r w:rsidRPr="00937211">
        <w:t xml:space="preserve"> Bölüm V.B.</w:t>
      </w:r>
    </w:p>
  </w:footnote>
  <w:footnote w:id="202">
    <w:p w14:paraId="15AE1145" w14:textId="51D93166" w:rsidR="00937211" w:rsidRPr="00937211" w:rsidRDefault="00937211" w:rsidP="00937211">
      <w:pPr>
        <w:pStyle w:val="Dipnot"/>
      </w:pPr>
      <w:r>
        <w:rPr>
          <w:rStyle w:val="FootnoteReference"/>
        </w:rPr>
        <w:footnoteRef/>
      </w:r>
      <w:r>
        <w:t xml:space="preserve"> </w:t>
      </w:r>
      <w:r>
        <w:rPr>
          <w:lang w:val="en-US"/>
        </w:rPr>
        <w:tab/>
      </w:r>
      <w:r w:rsidRPr="00937211">
        <w:t>202</w:t>
      </w:r>
      <w:r>
        <w:t xml:space="preserve"> </w:t>
      </w:r>
      <w:r w:rsidRPr="00937211">
        <w:rPr>
          <w:i/>
          <w:iCs/>
        </w:rPr>
        <w:t xml:space="preserve">Bkz., </w:t>
      </w:r>
      <w:proofErr w:type="spellStart"/>
      <w:r w:rsidRPr="00937211">
        <w:rPr>
          <w:i/>
          <w:iCs/>
        </w:rPr>
        <w:t>örn</w:t>
      </w:r>
      <w:proofErr w:type="spellEnd"/>
      <w:r w:rsidRPr="00937211">
        <w:rPr>
          <w:i/>
          <w:iCs/>
        </w:rPr>
        <w:t>.</w:t>
      </w:r>
      <w:r w:rsidRPr="00937211">
        <w:t xml:space="preserve">, </w:t>
      </w:r>
      <w:proofErr w:type="spellStart"/>
      <w:r w:rsidRPr="00937211">
        <w:t>Balkin</w:t>
      </w:r>
      <w:proofErr w:type="spellEnd"/>
      <w:r w:rsidRPr="00937211">
        <w:t xml:space="preserve"> &amp; </w:t>
      </w:r>
      <w:proofErr w:type="spellStart"/>
      <w:r w:rsidRPr="00937211">
        <w:t>Siegel</w:t>
      </w:r>
      <w:proofErr w:type="spellEnd"/>
      <w:r w:rsidRPr="00937211">
        <w:t xml:space="preserve">, </w:t>
      </w:r>
      <w:proofErr w:type="spellStart"/>
      <w:r w:rsidRPr="00937211">
        <w:rPr>
          <w:i/>
          <w:iCs/>
        </w:rPr>
        <w:t>supra</w:t>
      </w:r>
      <w:proofErr w:type="spellEnd"/>
      <w:r w:rsidRPr="00937211">
        <w:t xml:space="preserve"> dipnot 181, s. 928-29 (siyasi mücadelenin insanların anayasal ilkeleri algılama biçimini nasıl etkilediğini ve daha önce kabul gören ilkelerin yeni durumlara uygulandığında nasıl tartışmalı hale geldiğini ele almaktadır); </w:t>
      </w:r>
      <w:proofErr w:type="spellStart"/>
      <w:r w:rsidRPr="00937211">
        <w:t>Eskridge</w:t>
      </w:r>
      <w:proofErr w:type="spellEnd"/>
      <w:r w:rsidRPr="00937211">
        <w:t xml:space="preserve">, </w:t>
      </w:r>
      <w:proofErr w:type="spellStart"/>
      <w:r w:rsidRPr="00937211">
        <w:rPr>
          <w:i/>
          <w:iCs/>
        </w:rPr>
        <w:t>supra</w:t>
      </w:r>
      <w:proofErr w:type="spellEnd"/>
      <w:r w:rsidRPr="00937211">
        <w:t xml:space="preserve"> dipnot 181, s. 2064 (bireysel hakların anayasal korunmasındaki yirminci yüzyıl değişimlerinin toplumsal hareketlerin bir sonucu olduğunu savunmaktadır); Post, </w:t>
      </w:r>
      <w:proofErr w:type="spellStart"/>
      <w:r w:rsidRPr="00937211">
        <w:rPr>
          <w:i/>
          <w:iCs/>
        </w:rPr>
        <w:t>supra</w:t>
      </w:r>
      <w:proofErr w:type="spellEnd"/>
      <w:r w:rsidRPr="00937211">
        <w:t xml:space="preserve"> dipnot 2, s. 8 (anayasa hukuku ile kültür arasındaki ilişkiyi incelemektedir); </w:t>
      </w:r>
      <w:proofErr w:type="spellStart"/>
      <w:r w:rsidRPr="00937211">
        <w:t>Siegel</w:t>
      </w:r>
      <w:proofErr w:type="spellEnd"/>
      <w:r w:rsidRPr="00937211">
        <w:t xml:space="preserve">, </w:t>
      </w:r>
      <w:proofErr w:type="spellStart"/>
      <w:r w:rsidRPr="00937211">
        <w:rPr>
          <w:i/>
          <w:iCs/>
        </w:rPr>
        <w:t>supra</w:t>
      </w:r>
      <w:proofErr w:type="spellEnd"/>
      <w:r w:rsidRPr="00937211">
        <w:t xml:space="preserve"> dipnot 2, s. 1324 (anayasal değişimi gerçekleştiren vatandaşlar ve kamu görevlileri arasındaki etkileşimi incelemektedir).</w:t>
      </w:r>
    </w:p>
  </w:footnote>
  <w:footnote w:id="203">
    <w:p w14:paraId="5FEF38B0" w14:textId="2A4CE609" w:rsidR="00937211" w:rsidRPr="00937211" w:rsidRDefault="00937211" w:rsidP="00937211">
      <w:pPr>
        <w:pStyle w:val="Dipnot"/>
        <w:rPr>
          <w:lang w:val="en-US"/>
        </w:rPr>
      </w:pPr>
      <w:r>
        <w:rPr>
          <w:rStyle w:val="FootnoteReference"/>
        </w:rPr>
        <w:footnoteRef/>
      </w:r>
      <w:r>
        <w:t xml:space="preserve"> </w:t>
      </w:r>
      <w:r>
        <w:rPr>
          <w:lang w:val="en-US"/>
        </w:rPr>
        <w:tab/>
      </w:r>
      <w:r w:rsidRPr="00937211">
        <w:t>203</w:t>
      </w:r>
      <w:r>
        <w:t xml:space="preserve"> </w:t>
      </w:r>
      <w:r w:rsidRPr="00937211">
        <w:rPr>
          <w:i/>
          <w:iCs/>
        </w:rPr>
        <w:t xml:space="preserve">Bkz. </w:t>
      </w:r>
      <w:proofErr w:type="spellStart"/>
      <w:r w:rsidRPr="00937211">
        <w:rPr>
          <w:i/>
          <w:iCs/>
        </w:rPr>
        <w:t>infra</w:t>
      </w:r>
      <w:proofErr w:type="spellEnd"/>
      <w:r w:rsidRPr="00937211">
        <w:t xml:space="preserve"> Bölüm V.A-B.</w:t>
      </w:r>
    </w:p>
  </w:footnote>
  <w:footnote w:id="204">
    <w:p w14:paraId="4E254F33" w14:textId="760071D7" w:rsidR="00937211" w:rsidRPr="00937211" w:rsidRDefault="00937211" w:rsidP="00937211">
      <w:pPr>
        <w:pStyle w:val="Dipnot"/>
        <w:rPr>
          <w:lang w:val="en-US"/>
        </w:rPr>
      </w:pPr>
      <w:r>
        <w:rPr>
          <w:rStyle w:val="FootnoteReference"/>
        </w:rPr>
        <w:footnoteRef/>
      </w:r>
      <w:r>
        <w:t xml:space="preserve"> </w:t>
      </w:r>
      <w:r>
        <w:rPr>
          <w:lang w:val="en-US"/>
        </w:rPr>
        <w:tab/>
      </w:r>
      <w:r w:rsidRPr="00937211">
        <w:t>204</w:t>
      </w:r>
      <w:r>
        <w:t xml:space="preserve"> </w:t>
      </w:r>
      <w:r w:rsidRPr="00937211">
        <w:t xml:space="preserve">Klasik bir örnek için bkz. POWELL, </w:t>
      </w:r>
      <w:proofErr w:type="spellStart"/>
      <w:r w:rsidRPr="00937211">
        <w:rPr>
          <w:i/>
          <w:iCs/>
        </w:rPr>
        <w:t>supra</w:t>
      </w:r>
      <w:proofErr w:type="spellEnd"/>
      <w:r w:rsidRPr="00937211">
        <w:t xml:space="preserve"> dipnot 2, s. 7 (anayasa hukukunun, tarihsel bir perspektiften bakıldığında en iyi şekilde anlaşılan “tutarlı bir gelenek” olduğunu savunmaktadır).</w:t>
      </w:r>
    </w:p>
  </w:footnote>
  <w:footnote w:id="205">
    <w:p w14:paraId="69F3F2E6" w14:textId="6434B8A1" w:rsidR="00937211" w:rsidRPr="00937211" w:rsidRDefault="00937211" w:rsidP="00937211">
      <w:pPr>
        <w:pStyle w:val="Dipnot"/>
        <w:rPr>
          <w:lang w:val="en-US"/>
        </w:rPr>
      </w:pPr>
      <w:r>
        <w:rPr>
          <w:rStyle w:val="FootnoteReference"/>
        </w:rPr>
        <w:footnoteRef/>
      </w:r>
      <w:r>
        <w:t xml:space="preserve"> </w:t>
      </w:r>
      <w:r>
        <w:rPr>
          <w:lang w:val="en-US"/>
        </w:rPr>
        <w:t xml:space="preserve"> </w:t>
      </w:r>
      <w:r>
        <w:rPr>
          <w:lang w:val="en-US"/>
        </w:rPr>
        <w:tab/>
      </w:r>
      <w:r w:rsidRPr="00937211">
        <w:t>205</w:t>
      </w:r>
      <w:r>
        <w:t xml:space="preserve"> </w:t>
      </w:r>
      <w:r w:rsidRPr="00937211">
        <w:t xml:space="preserve">Bu kusurların tartışılması için bkz. </w:t>
      </w:r>
      <w:proofErr w:type="spellStart"/>
      <w:r w:rsidRPr="00937211">
        <w:rPr>
          <w:i/>
          <w:iCs/>
        </w:rPr>
        <w:t>supra</w:t>
      </w:r>
      <w:proofErr w:type="spellEnd"/>
      <w:r w:rsidRPr="00937211">
        <w:t xml:space="preserve"> Bölüm I.</w:t>
      </w:r>
    </w:p>
  </w:footnote>
  <w:footnote w:id="206">
    <w:p w14:paraId="476A1E8D" w14:textId="0262F81F" w:rsidR="006C59AC" w:rsidRPr="006C59AC" w:rsidRDefault="006C59AC" w:rsidP="006C59AC">
      <w:pPr>
        <w:pStyle w:val="Dipnot"/>
        <w:rPr>
          <w:lang w:val="en-US"/>
        </w:rPr>
      </w:pPr>
      <w:r>
        <w:rPr>
          <w:rStyle w:val="FootnoteReference"/>
        </w:rPr>
        <w:footnoteRef/>
      </w:r>
      <w:r>
        <w:t xml:space="preserve"> </w:t>
      </w:r>
      <w:r>
        <w:rPr>
          <w:lang w:val="en-US"/>
        </w:rPr>
        <w:tab/>
      </w:r>
      <w:r w:rsidRPr="006C59AC">
        <w:t>206</w:t>
      </w:r>
      <w:r>
        <w:t xml:space="preserve"> </w:t>
      </w:r>
      <w:r w:rsidRPr="006C59AC">
        <w:t xml:space="preserve">Bu bölümdeki argümanlar, anayasa hukukunun sürekli bir mücadele sürecinden doğduğunu ve anayasal anlam üzerinde hiçbir organın nihai kontrol sahibi olmadığını ciddiye alan öncü çalışmalarıyla Sandy </w:t>
      </w:r>
      <w:proofErr w:type="spellStart"/>
      <w:r w:rsidRPr="006C59AC">
        <w:t>Levinson’a</w:t>
      </w:r>
      <w:proofErr w:type="spellEnd"/>
      <w:r w:rsidRPr="006C59AC">
        <w:t xml:space="preserve"> büyük ölçüde dayanmaktadır. </w:t>
      </w:r>
      <w:r w:rsidRPr="006C59AC">
        <w:rPr>
          <w:i/>
          <w:iCs/>
        </w:rPr>
        <w:t xml:space="preserve">Bkz., </w:t>
      </w:r>
      <w:proofErr w:type="spellStart"/>
      <w:r w:rsidRPr="006C59AC">
        <w:rPr>
          <w:i/>
          <w:iCs/>
        </w:rPr>
        <w:t>örn</w:t>
      </w:r>
      <w:proofErr w:type="spellEnd"/>
      <w:r w:rsidRPr="006C59AC">
        <w:rPr>
          <w:i/>
          <w:iCs/>
        </w:rPr>
        <w:t>.,</w:t>
      </w:r>
      <w:r w:rsidRPr="006C59AC">
        <w:t xml:space="preserve"> LEVINSON, </w:t>
      </w:r>
      <w:proofErr w:type="spellStart"/>
      <w:r w:rsidRPr="006C59AC">
        <w:rPr>
          <w:i/>
          <w:iCs/>
        </w:rPr>
        <w:t>supra</w:t>
      </w:r>
      <w:proofErr w:type="spellEnd"/>
      <w:r w:rsidRPr="006C59AC">
        <w:t xml:space="preserve"> dipnot 2, s. 29.</w:t>
      </w:r>
    </w:p>
  </w:footnote>
  <w:footnote w:id="207">
    <w:p w14:paraId="4960B08D" w14:textId="19ED7AE1" w:rsidR="006C59AC" w:rsidRPr="006C59AC" w:rsidRDefault="006C59AC" w:rsidP="006C59AC">
      <w:pPr>
        <w:pStyle w:val="Dipnot"/>
        <w:rPr>
          <w:lang w:val="en-US"/>
        </w:rPr>
      </w:pPr>
      <w:r>
        <w:rPr>
          <w:rStyle w:val="FootnoteReference"/>
        </w:rPr>
        <w:footnoteRef/>
      </w:r>
      <w:r>
        <w:t xml:space="preserve"> </w:t>
      </w:r>
      <w:r>
        <w:rPr>
          <w:lang w:val="en-US"/>
        </w:rPr>
        <w:tab/>
      </w:r>
      <w:r w:rsidRPr="006C59AC">
        <w:t>207</w:t>
      </w:r>
      <w:r>
        <w:t xml:space="preserve"> </w:t>
      </w:r>
      <w:r w:rsidRPr="006C59AC">
        <w:rPr>
          <w:i/>
          <w:iCs/>
        </w:rPr>
        <w:t xml:space="preserve">Bkz., </w:t>
      </w:r>
      <w:proofErr w:type="spellStart"/>
      <w:r w:rsidRPr="006C59AC">
        <w:rPr>
          <w:i/>
          <w:iCs/>
        </w:rPr>
        <w:t>örn</w:t>
      </w:r>
      <w:proofErr w:type="spellEnd"/>
      <w:r w:rsidRPr="006C59AC">
        <w:rPr>
          <w:i/>
          <w:iCs/>
        </w:rPr>
        <w:t>.,</w:t>
      </w:r>
      <w:r w:rsidRPr="006C59AC">
        <w:t xml:space="preserve"> Post, </w:t>
      </w:r>
      <w:proofErr w:type="spellStart"/>
      <w:r w:rsidRPr="006C59AC">
        <w:rPr>
          <w:i/>
          <w:iCs/>
        </w:rPr>
        <w:t>supra</w:t>
      </w:r>
      <w:proofErr w:type="spellEnd"/>
      <w:r w:rsidRPr="006C59AC">
        <w:t xml:space="preserve"> dipnot 2, s. 8 (anayasa hukuku ve anayasal kültür için farklı tanımlar sunmaktadır).</w:t>
      </w:r>
    </w:p>
  </w:footnote>
  <w:footnote w:id="208">
    <w:p w14:paraId="0A3AAEB2" w14:textId="04556422" w:rsidR="006C59AC" w:rsidRPr="006C59AC" w:rsidRDefault="006C59AC" w:rsidP="006C59AC">
      <w:pPr>
        <w:pStyle w:val="Dipnot"/>
        <w:rPr>
          <w:lang w:val="en-US"/>
        </w:rPr>
      </w:pPr>
      <w:r>
        <w:rPr>
          <w:rStyle w:val="FootnoteReference"/>
        </w:rPr>
        <w:footnoteRef/>
      </w:r>
      <w:r>
        <w:t xml:space="preserve"> </w:t>
      </w:r>
      <w:r>
        <w:rPr>
          <w:lang w:val="en-US"/>
        </w:rPr>
        <w:tab/>
      </w:r>
      <w:r w:rsidRPr="006C59AC">
        <w:t>208</w:t>
      </w:r>
      <w:r>
        <w:t xml:space="preserve"> </w:t>
      </w:r>
      <w:r w:rsidRPr="006C59AC">
        <w:rPr>
          <w:i/>
          <w:iCs/>
        </w:rPr>
        <w:t xml:space="preserve">Bkz. </w:t>
      </w:r>
      <w:proofErr w:type="spellStart"/>
      <w:r w:rsidRPr="006C59AC">
        <w:rPr>
          <w:i/>
          <w:iCs/>
        </w:rPr>
        <w:t>supra</w:t>
      </w:r>
      <w:proofErr w:type="spellEnd"/>
      <w:r w:rsidRPr="006C59AC">
        <w:t xml:space="preserve"> dipnot 157 ve ilgili metin.</w:t>
      </w:r>
    </w:p>
  </w:footnote>
  <w:footnote w:id="209">
    <w:p w14:paraId="329E4682" w14:textId="6B59BB8D" w:rsidR="00C36DC7" w:rsidRPr="00C36DC7" w:rsidRDefault="00C36DC7" w:rsidP="00C36DC7">
      <w:pPr>
        <w:pStyle w:val="Dipnot"/>
        <w:rPr>
          <w:lang w:val="en-US"/>
        </w:rPr>
      </w:pPr>
      <w:r>
        <w:rPr>
          <w:rStyle w:val="FootnoteReference"/>
        </w:rPr>
        <w:footnoteRef/>
      </w:r>
      <w:r>
        <w:t xml:space="preserve"> </w:t>
      </w:r>
      <w:r>
        <w:rPr>
          <w:lang w:val="en-US"/>
        </w:rPr>
        <w:tab/>
      </w:r>
      <w:r w:rsidRPr="00C36DC7">
        <w:rPr>
          <w:lang w:val="en-US"/>
        </w:rPr>
        <w:t>209</w:t>
      </w:r>
      <w:r>
        <w:rPr>
          <w:lang w:val="en-US"/>
        </w:rPr>
        <w:t xml:space="preserve"> </w:t>
      </w:r>
      <w:proofErr w:type="spellStart"/>
      <w:r w:rsidRPr="00C36DC7">
        <w:rPr>
          <w:i/>
          <w:iCs/>
          <w:lang w:val="en-US"/>
        </w:rPr>
        <w:t>Bkz</w:t>
      </w:r>
      <w:proofErr w:type="spellEnd"/>
      <w:r w:rsidRPr="00C36DC7">
        <w:rPr>
          <w:i/>
          <w:iCs/>
          <w:lang w:val="en-US"/>
        </w:rPr>
        <w:t>., örn.</w:t>
      </w:r>
      <w:r w:rsidRPr="00C36DC7">
        <w:rPr>
          <w:lang w:val="en-US"/>
        </w:rPr>
        <w:t xml:space="preserve">, William N. Eskridge, Jr., </w:t>
      </w:r>
      <w:r w:rsidRPr="00C36DC7">
        <w:rPr>
          <w:i/>
          <w:iCs/>
          <w:lang w:val="en-US"/>
        </w:rPr>
        <w:t>Willard Hurst, Master of the Legal Process</w:t>
      </w:r>
      <w:r w:rsidRPr="00C36DC7">
        <w:rPr>
          <w:lang w:val="en-US"/>
        </w:rPr>
        <w:t xml:space="preserve">, 1997 </w:t>
      </w:r>
      <w:r w:rsidRPr="00C36DC7">
        <w:rPr>
          <w:i/>
          <w:iCs/>
          <w:lang w:val="en-US"/>
        </w:rPr>
        <w:t>Wisc. L. Rev.</w:t>
      </w:r>
      <w:r w:rsidRPr="00C36DC7">
        <w:rPr>
          <w:lang w:val="en-US"/>
        </w:rPr>
        <w:t xml:space="preserve"> 1181, 1183, 1186-87 (Willard </w:t>
      </w:r>
      <w:proofErr w:type="spellStart"/>
      <w:r w:rsidRPr="00C36DC7">
        <w:rPr>
          <w:lang w:val="en-US"/>
        </w:rPr>
        <w:t>Hurst’ün</w:t>
      </w:r>
      <w:proofErr w:type="spellEnd"/>
      <w:r w:rsidRPr="00C36DC7">
        <w:rPr>
          <w:lang w:val="en-US"/>
        </w:rPr>
        <w:t xml:space="preserve"> </w:t>
      </w:r>
      <w:proofErr w:type="spellStart"/>
      <w:r w:rsidRPr="00C36DC7">
        <w:rPr>
          <w:lang w:val="en-US"/>
        </w:rPr>
        <w:t>ünlü</w:t>
      </w:r>
      <w:proofErr w:type="spellEnd"/>
      <w:r w:rsidRPr="00C36DC7">
        <w:rPr>
          <w:lang w:val="en-US"/>
        </w:rPr>
        <w:t xml:space="preserve"> </w:t>
      </w:r>
      <w:proofErr w:type="spellStart"/>
      <w:r w:rsidRPr="00C36DC7">
        <w:rPr>
          <w:lang w:val="en-US"/>
        </w:rPr>
        <w:t>erken</w:t>
      </w:r>
      <w:proofErr w:type="spellEnd"/>
      <w:r w:rsidRPr="00C36DC7">
        <w:rPr>
          <w:lang w:val="en-US"/>
        </w:rPr>
        <w:t xml:space="preserve"> </w:t>
      </w:r>
      <w:proofErr w:type="spellStart"/>
      <w:r w:rsidRPr="00C36DC7">
        <w:rPr>
          <w:lang w:val="en-US"/>
        </w:rPr>
        <w:t>dönem</w:t>
      </w:r>
      <w:proofErr w:type="spellEnd"/>
      <w:r w:rsidRPr="00C36DC7">
        <w:rPr>
          <w:lang w:val="en-US"/>
        </w:rPr>
        <w:t xml:space="preserve"> </w:t>
      </w:r>
      <w:proofErr w:type="spellStart"/>
      <w:r w:rsidRPr="00C36DC7">
        <w:rPr>
          <w:lang w:val="en-US"/>
        </w:rPr>
        <w:t>hukuk</w:t>
      </w:r>
      <w:proofErr w:type="spellEnd"/>
      <w:r w:rsidRPr="00C36DC7">
        <w:rPr>
          <w:lang w:val="en-US"/>
        </w:rPr>
        <w:t xml:space="preserve"> </w:t>
      </w:r>
      <w:proofErr w:type="spellStart"/>
      <w:r w:rsidRPr="00C36DC7">
        <w:rPr>
          <w:lang w:val="en-US"/>
        </w:rPr>
        <w:t>tarihi</w:t>
      </w:r>
      <w:proofErr w:type="spellEnd"/>
      <w:r w:rsidRPr="00C36DC7">
        <w:rPr>
          <w:lang w:val="en-US"/>
        </w:rPr>
        <w:t xml:space="preserve"> </w:t>
      </w:r>
      <w:proofErr w:type="spellStart"/>
      <w:r w:rsidRPr="00C36DC7">
        <w:rPr>
          <w:lang w:val="en-US"/>
        </w:rPr>
        <w:t>çalışmalarına</w:t>
      </w:r>
      <w:proofErr w:type="spellEnd"/>
      <w:r w:rsidRPr="00C36DC7">
        <w:rPr>
          <w:lang w:val="en-US"/>
        </w:rPr>
        <w:t xml:space="preserve"> “</w:t>
      </w:r>
      <w:proofErr w:type="spellStart"/>
      <w:r w:rsidRPr="00C36DC7">
        <w:rPr>
          <w:lang w:val="en-US"/>
        </w:rPr>
        <w:t>Toplum</w:t>
      </w:r>
      <w:proofErr w:type="spellEnd"/>
      <w:r w:rsidRPr="00C36DC7">
        <w:rPr>
          <w:lang w:val="en-US"/>
        </w:rPr>
        <w:t xml:space="preserve"> </w:t>
      </w:r>
      <w:proofErr w:type="spellStart"/>
      <w:r w:rsidRPr="00C36DC7">
        <w:rPr>
          <w:lang w:val="en-US"/>
        </w:rPr>
        <w:t>İçindeki</w:t>
      </w:r>
      <w:proofErr w:type="spellEnd"/>
      <w:r w:rsidRPr="00C36DC7">
        <w:rPr>
          <w:lang w:val="en-US"/>
        </w:rPr>
        <w:t xml:space="preserve"> </w:t>
      </w:r>
      <w:proofErr w:type="spellStart"/>
      <w:r w:rsidRPr="00C36DC7">
        <w:rPr>
          <w:lang w:val="en-US"/>
        </w:rPr>
        <w:t>Hukuk</w:t>
      </w:r>
      <w:proofErr w:type="spellEnd"/>
      <w:r w:rsidRPr="00C36DC7">
        <w:rPr>
          <w:lang w:val="en-US"/>
        </w:rPr>
        <w:t>” (</w:t>
      </w:r>
      <w:r w:rsidRPr="00C36DC7">
        <w:rPr>
          <w:i/>
          <w:iCs/>
          <w:lang w:val="en-US"/>
        </w:rPr>
        <w:t>Law in Society</w:t>
      </w:r>
      <w:r w:rsidRPr="00C36DC7">
        <w:rPr>
          <w:lang w:val="en-US"/>
        </w:rPr>
        <w:t xml:space="preserve">) </w:t>
      </w:r>
      <w:proofErr w:type="spellStart"/>
      <w:r w:rsidRPr="00C36DC7">
        <w:rPr>
          <w:lang w:val="en-US"/>
        </w:rPr>
        <w:t>adını</w:t>
      </w:r>
      <w:proofErr w:type="spellEnd"/>
      <w:r w:rsidRPr="00C36DC7">
        <w:rPr>
          <w:lang w:val="en-US"/>
        </w:rPr>
        <w:t xml:space="preserve"> </w:t>
      </w:r>
      <w:proofErr w:type="spellStart"/>
      <w:r w:rsidRPr="00C36DC7">
        <w:rPr>
          <w:lang w:val="en-US"/>
        </w:rPr>
        <w:t>verdiğini</w:t>
      </w:r>
      <w:proofErr w:type="spellEnd"/>
      <w:r w:rsidRPr="00C36DC7">
        <w:rPr>
          <w:lang w:val="en-US"/>
        </w:rPr>
        <w:t xml:space="preserve"> </w:t>
      </w:r>
      <w:proofErr w:type="spellStart"/>
      <w:r w:rsidRPr="00C36DC7">
        <w:rPr>
          <w:lang w:val="en-US"/>
        </w:rPr>
        <w:t>belirterek</w:t>
      </w:r>
      <w:proofErr w:type="spellEnd"/>
      <w:r w:rsidRPr="00C36DC7">
        <w:rPr>
          <w:lang w:val="en-US"/>
        </w:rPr>
        <w:t xml:space="preserve">, </w:t>
      </w:r>
      <w:proofErr w:type="spellStart"/>
      <w:r w:rsidRPr="00C36DC7">
        <w:rPr>
          <w:lang w:val="en-US"/>
        </w:rPr>
        <w:t>bu</w:t>
      </w:r>
      <w:proofErr w:type="spellEnd"/>
      <w:r w:rsidRPr="00C36DC7">
        <w:rPr>
          <w:lang w:val="en-US"/>
        </w:rPr>
        <w:t xml:space="preserve"> </w:t>
      </w:r>
      <w:proofErr w:type="spellStart"/>
      <w:r w:rsidRPr="00C36DC7">
        <w:rPr>
          <w:lang w:val="en-US"/>
        </w:rPr>
        <w:t>ayrımın</w:t>
      </w:r>
      <w:proofErr w:type="spellEnd"/>
      <w:r w:rsidRPr="00C36DC7">
        <w:rPr>
          <w:lang w:val="en-US"/>
        </w:rPr>
        <w:t xml:space="preserve"> Hurst </w:t>
      </w:r>
      <w:proofErr w:type="spellStart"/>
      <w:r w:rsidRPr="00C36DC7">
        <w:rPr>
          <w:lang w:val="en-US"/>
        </w:rPr>
        <w:t>için</w:t>
      </w:r>
      <w:proofErr w:type="spellEnd"/>
      <w:r w:rsidRPr="00C36DC7">
        <w:rPr>
          <w:lang w:val="en-US"/>
        </w:rPr>
        <w:t xml:space="preserve"> </w:t>
      </w:r>
      <w:proofErr w:type="spellStart"/>
      <w:r w:rsidRPr="00C36DC7">
        <w:rPr>
          <w:lang w:val="en-US"/>
        </w:rPr>
        <w:t>ve</w:t>
      </w:r>
      <w:proofErr w:type="spellEnd"/>
      <w:r w:rsidRPr="00C36DC7">
        <w:rPr>
          <w:lang w:val="en-US"/>
        </w:rPr>
        <w:t xml:space="preserve"> </w:t>
      </w:r>
      <w:proofErr w:type="spellStart"/>
      <w:r w:rsidRPr="00C36DC7">
        <w:rPr>
          <w:lang w:val="en-US"/>
        </w:rPr>
        <w:t>onun</w:t>
      </w:r>
      <w:proofErr w:type="spellEnd"/>
      <w:r w:rsidRPr="00C36DC7">
        <w:rPr>
          <w:lang w:val="en-US"/>
        </w:rPr>
        <w:t xml:space="preserve"> </w:t>
      </w:r>
      <w:proofErr w:type="spellStart"/>
      <w:r w:rsidRPr="00C36DC7">
        <w:rPr>
          <w:lang w:val="en-US"/>
        </w:rPr>
        <w:t>entelektüel</w:t>
      </w:r>
      <w:proofErr w:type="spellEnd"/>
      <w:r w:rsidRPr="00C36DC7">
        <w:rPr>
          <w:lang w:val="en-US"/>
        </w:rPr>
        <w:t xml:space="preserve"> </w:t>
      </w:r>
      <w:proofErr w:type="spellStart"/>
      <w:r w:rsidRPr="00C36DC7">
        <w:rPr>
          <w:lang w:val="en-US"/>
        </w:rPr>
        <w:t>mirasını</w:t>
      </w:r>
      <w:proofErr w:type="spellEnd"/>
      <w:r w:rsidRPr="00C36DC7">
        <w:rPr>
          <w:lang w:val="en-US"/>
        </w:rPr>
        <w:t xml:space="preserve"> </w:t>
      </w:r>
      <w:proofErr w:type="spellStart"/>
      <w:r w:rsidRPr="00C36DC7">
        <w:rPr>
          <w:lang w:val="en-US"/>
        </w:rPr>
        <w:t>sürdürenler</w:t>
      </w:r>
      <w:proofErr w:type="spellEnd"/>
      <w:r w:rsidRPr="00C36DC7">
        <w:rPr>
          <w:lang w:val="en-US"/>
        </w:rPr>
        <w:t xml:space="preserve"> </w:t>
      </w:r>
      <w:proofErr w:type="spellStart"/>
      <w:r w:rsidRPr="00C36DC7">
        <w:rPr>
          <w:lang w:val="en-US"/>
        </w:rPr>
        <w:t>için</w:t>
      </w:r>
      <w:proofErr w:type="spellEnd"/>
      <w:r w:rsidRPr="00C36DC7">
        <w:rPr>
          <w:lang w:val="en-US"/>
        </w:rPr>
        <w:t xml:space="preserve"> ne </w:t>
      </w:r>
      <w:proofErr w:type="spellStart"/>
      <w:r w:rsidRPr="00C36DC7">
        <w:rPr>
          <w:lang w:val="en-US"/>
        </w:rPr>
        <w:t>anlama</w:t>
      </w:r>
      <w:proofErr w:type="spellEnd"/>
      <w:r w:rsidRPr="00C36DC7">
        <w:rPr>
          <w:lang w:val="en-US"/>
        </w:rPr>
        <w:t xml:space="preserve"> </w:t>
      </w:r>
      <w:proofErr w:type="spellStart"/>
      <w:r w:rsidRPr="00C36DC7">
        <w:rPr>
          <w:lang w:val="en-US"/>
        </w:rPr>
        <w:t>geldiğini</w:t>
      </w:r>
      <w:proofErr w:type="spellEnd"/>
      <w:r w:rsidRPr="00C36DC7">
        <w:rPr>
          <w:lang w:val="en-US"/>
        </w:rPr>
        <w:t xml:space="preserve"> </w:t>
      </w:r>
      <w:proofErr w:type="spellStart"/>
      <w:r w:rsidRPr="00C36DC7">
        <w:rPr>
          <w:lang w:val="en-US"/>
        </w:rPr>
        <w:t>tartışmaktadır</w:t>
      </w:r>
      <w:proofErr w:type="spellEnd"/>
      <w:r w:rsidRPr="00C36DC7">
        <w:rPr>
          <w:lang w:val="en-US"/>
        </w:rPr>
        <w:t>).</w:t>
      </w:r>
    </w:p>
    <w:p w14:paraId="1C2E6D00" w14:textId="7D03B13B" w:rsidR="00C36DC7" w:rsidRPr="00C36DC7" w:rsidRDefault="00C36DC7" w:rsidP="00C36DC7">
      <w:pPr>
        <w:pStyle w:val="Dipnot"/>
        <w:rPr>
          <w:lang w:val="en-US"/>
        </w:rPr>
      </w:pPr>
    </w:p>
  </w:footnote>
  <w:footnote w:id="210">
    <w:p w14:paraId="5387A941" w14:textId="6FAD0DBD" w:rsidR="00C36DC7" w:rsidRPr="00C36DC7" w:rsidRDefault="00C36DC7" w:rsidP="00C36DC7">
      <w:pPr>
        <w:pStyle w:val="Dipnot"/>
        <w:rPr>
          <w:lang w:val="en-US"/>
        </w:rPr>
      </w:pPr>
      <w:r>
        <w:rPr>
          <w:rStyle w:val="FootnoteReference"/>
        </w:rPr>
        <w:footnoteRef/>
      </w:r>
      <w:r>
        <w:t xml:space="preserve"> </w:t>
      </w:r>
      <w:r>
        <w:rPr>
          <w:lang w:val="en-US"/>
        </w:rPr>
        <w:tab/>
      </w:r>
      <w:r w:rsidRPr="00C36DC7">
        <w:t>210</w:t>
      </w:r>
      <w:r>
        <w:t xml:space="preserve"> </w:t>
      </w:r>
      <w:r w:rsidRPr="00C36DC7">
        <w:rPr>
          <w:i/>
          <w:iCs/>
        </w:rPr>
        <w:t xml:space="preserve">Bkz., </w:t>
      </w:r>
      <w:proofErr w:type="spellStart"/>
      <w:r w:rsidRPr="00C36DC7">
        <w:rPr>
          <w:i/>
          <w:iCs/>
        </w:rPr>
        <w:t>örn</w:t>
      </w:r>
      <w:proofErr w:type="spellEnd"/>
      <w:r w:rsidRPr="00C36DC7">
        <w:rPr>
          <w:i/>
          <w:iCs/>
        </w:rPr>
        <w:t>.</w:t>
      </w:r>
      <w:r w:rsidRPr="00C36DC7">
        <w:t xml:space="preserve">, LEVINSON, </w:t>
      </w:r>
      <w:proofErr w:type="spellStart"/>
      <w:r w:rsidRPr="00C36DC7">
        <w:rPr>
          <w:i/>
          <w:iCs/>
        </w:rPr>
        <w:t>supra</w:t>
      </w:r>
      <w:proofErr w:type="spellEnd"/>
      <w:r w:rsidRPr="00C36DC7">
        <w:t xml:space="preserve"> dipnot 2, s. 191 (Anayasa’yı, “hayal edilebilecek her önemli siyasi meseleyle başa çıkmaya imkân tanıyan, benzersiz bir Amerikan siyasi retoriği oluşturmaya yardımcı olmuş bir dil sistemi” olarak tanımlamaktadır); Lawrence Gene </w:t>
      </w:r>
      <w:proofErr w:type="spellStart"/>
      <w:r w:rsidRPr="00C36DC7">
        <w:t>Sager</w:t>
      </w:r>
      <w:proofErr w:type="spellEnd"/>
      <w:r w:rsidRPr="00C36DC7">
        <w:t xml:space="preserve">, </w:t>
      </w:r>
      <w:proofErr w:type="spellStart"/>
      <w:r w:rsidRPr="00C36DC7">
        <w:rPr>
          <w:i/>
          <w:iCs/>
        </w:rPr>
        <w:t>Fair</w:t>
      </w:r>
      <w:proofErr w:type="spellEnd"/>
      <w:r w:rsidRPr="00C36DC7">
        <w:rPr>
          <w:i/>
          <w:iCs/>
        </w:rPr>
        <w:t xml:space="preserve"> </w:t>
      </w:r>
      <w:proofErr w:type="spellStart"/>
      <w:r w:rsidRPr="00C36DC7">
        <w:rPr>
          <w:i/>
          <w:iCs/>
        </w:rPr>
        <w:t>Measure</w:t>
      </w:r>
      <w:proofErr w:type="spellEnd"/>
      <w:r w:rsidRPr="00C36DC7">
        <w:rPr>
          <w:i/>
          <w:iCs/>
        </w:rPr>
        <w:t xml:space="preserve">: </w:t>
      </w:r>
      <w:proofErr w:type="spellStart"/>
      <w:r w:rsidRPr="00C36DC7">
        <w:rPr>
          <w:i/>
          <w:iCs/>
        </w:rPr>
        <w:t>The</w:t>
      </w:r>
      <w:proofErr w:type="spellEnd"/>
      <w:r w:rsidRPr="00C36DC7">
        <w:rPr>
          <w:i/>
          <w:iCs/>
        </w:rPr>
        <w:t xml:space="preserve"> Legal </w:t>
      </w:r>
      <w:proofErr w:type="spellStart"/>
      <w:r w:rsidRPr="00C36DC7">
        <w:rPr>
          <w:i/>
          <w:iCs/>
        </w:rPr>
        <w:t>Status</w:t>
      </w:r>
      <w:proofErr w:type="spellEnd"/>
      <w:r w:rsidRPr="00C36DC7">
        <w:rPr>
          <w:i/>
          <w:iCs/>
        </w:rPr>
        <w:t xml:space="preserve"> of </w:t>
      </w:r>
      <w:proofErr w:type="spellStart"/>
      <w:r w:rsidRPr="00C36DC7">
        <w:rPr>
          <w:i/>
          <w:iCs/>
        </w:rPr>
        <w:t>Underenforced</w:t>
      </w:r>
      <w:proofErr w:type="spellEnd"/>
      <w:r w:rsidRPr="00C36DC7">
        <w:rPr>
          <w:i/>
          <w:iCs/>
        </w:rPr>
        <w:t xml:space="preserve"> </w:t>
      </w:r>
      <w:proofErr w:type="spellStart"/>
      <w:r w:rsidRPr="00C36DC7">
        <w:rPr>
          <w:i/>
          <w:iCs/>
        </w:rPr>
        <w:t>Constitutional</w:t>
      </w:r>
      <w:proofErr w:type="spellEnd"/>
      <w:r w:rsidRPr="00C36DC7">
        <w:rPr>
          <w:i/>
          <w:iCs/>
        </w:rPr>
        <w:t xml:space="preserve"> </w:t>
      </w:r>
      <w:proofErr w:type="spellStart"/>
      <w:r w:rsidRPr="00C36DC7">
        <w:rPr>
          <w:i/>
          <w:iCs/>
        </w:rPr>
        <w:t>Norms</w:t>
      </w:r>
      <w:proofErr w:type="spellEnd"/>
      <w:r w:rsidRPr="00C36DC7">
        <w:t xml:space="preserve">, 91 </w:t>
      </w:r>
      <w:proofErr w:type="spellStart"/>
      <w:r w:rsidRPr="00C36DC7">
        <w:rPr>
          <w:i/>
          <w:iCs/>
        </w:rPr>
        <w:t>Harv</w:t>
      </w:r>
      <w:proofErr w:type="spellEnd"/>
      <w:r w:rsidRPr="00C36DC7">
        <w:rPr>
          <w:i/>
          <w:iCs/>
        </w:rPr>
        <w:t xml:space="preserve">. L. </w:t>
      </w:r>
      <w:proofErr w:type="spellStart"/>
      <w:r w:rsidRPr="00C36DC7">
        <w:rPr>
          <w:i/>
          <w:iCs/>
        </w:rPr>
        <w:t>Rev</w:t>
      </w:r>
      <w:proofErr w:type="spellEnd"/>
      <w:r w:rsidRPr="00C36DC7">
        <w:rPr>
          <w:i/>
          <w:iCs/>
        </w:rPr>
        <w:t>.</w:t>
      </w:r>
      <w:r w:rsidRPr="00C36DC7">
        <w:t xml:space="preserve"> 1212, 1227 (1978) (devlet yetkililerinin, mahkemelerin kurumsal yetkinlik ve uygunluk eksikliği nedeniyle anayasal normları uygulayamayacağı sınır alanlarında, anayasal normlara ilişkin kendi anlayışlarına göre anayasa dışı davranışlardan kaçınmaya çalıştığını savunmaktadır).</w:t>
      </w:r>
    </w:p>
  </w:footnote>
  <w:footnote w:id="211">
    <w:p w14:paraId="3C2EB923" w14:textId="77A34B37" w:rsidR="00C36DC7" w:rsidRPr="00C36DC7" w:rsidRDefault="00C36DC7" w:rsidP="00C36DC7">
      <w:pPr>
        <w:pStyle w:val="Dipnot"/>
        <w:rPr>
          <w:lang w:val="en-US"/>
        </w:rPr>
      </w:pPr>
      <w:r>
        <w:rPr>
          <w:rStyle w:val="FootnoteReference"/>
        </w:rPr>
        <w:footnoteRef/>
      </w:r>
      <w:r>
        <w:t xml:space="preserve"> </w:t>
      </w:r>
      <w:r>
        <w:rPr>
          <w:lang w:val="en-US"/>
        </w:rPr>
        <w:tab/>
      </w:r>
      <w:r w:rsidRPr="00C36DC7">
        <w:t>211</w:t>
      </w:r>
      <w:r>
        <w:t xml:space="preserve"> </w:t>
      </w:r>
      <w:r w:rsidRPr="00C36DC7">
        <w:rPr>
          <w:i/>
          <w:iCs/>
        </w:rPr>
        <w:t xml:space="preserve">Bkz., </w:t>
      </w:r>
      <w:proofErr w:type="spellStart"/>
      <w:r w:rsidRPr="00C36DC7">
        <w:rPr>
          <w:i/>
          <w:iCs/>
        </w:rPr>
        <w:t>örn</w:t>
      </w:r>
      <w:proofErr w:type="spellEnd"/>
      <w:r w:rsidRPr="00C36DC7">
        <w:rPr>
          <w:i/>
          <w:iCs/>
        </w:rPr>
        <w:t>.</w:t>
      </w:r>
      <w:r w:rsidRPr="00C36DC7">
        <w:t xml:space="preserve">, </w:t>
      </w:r>
      <w:proofErr w:type="spellStart"/>
      <w:r w:rsidRPr="00C36DC7">
        <w:t>Amar</w:t>
      </w:r>
      <w:proofErr w:type="spellEnd"/>
      <w:r w:rsidRPr="00C36DC7">
        <w:t xml:space="preserve">, </w:t>
      </w:r>
      <w:proofErr w:type="spellStart"/>
      <w:r w:rsidRPr="00C36DC7">
        <w:rPr>
          <w:i/>
          <w:iCs/>
        </w:rPr>
        <w:t>supra</w:t>
      </w:r>
      <w:proofErr w:type="spellEnd"/>
      <w:r w:rsidRPr="00C36DC7">
        <w:t xml:space="preserve"> dipnot 10, s. 56 (“[Birkaç önemli konuda], Anayasa, dürüstçe okunduğunda, Mahkeme’nin on yıllarca, hatta daha uzun süre boyunca göz ardı ettiği ve günümüz Mahkemesi’nin hâlâ bazen yerine getiremediği çekici bir rejim sunmaktadır.”); David A. Strauss, </w:t>
      </w:r>
      <w:proofErr w:type="spellStart"/>
      <w:r w:rsidRPr="00C36DC7">
        <w:rPr>
          <w:i/>
          <w:iCs/>
        </w:rPr>
        <w:t>Common</w:t>
      </w:r>
      <w:proofErr w:type="spellEnd"/>
      <w:r w:rsidRPr="00C36DC7">
        <w:rPr>
          <w:i/>
          <w:iCs/>
        </w:rPr>
        <w:t xml:space="preserve"> </w:t>
      </w:r>
      <w:proofErr w:type="spellStart"/>
      <w:r w:rsidRPr="00C36DC7">
        <w:rPr>
          <w:i/>
          <w:iCs/>
        </w:rPr>
        <w:t>Law</w:t>
      </w:r>
      <w:proofErr w:type="spellEnd"/>
      <w:r w:rsidRPr="00C36DC7">
        <w:rPr>
          <w:i/>
          <w:iCs/>
        </w:rPr>
        <w:t xml:space="preserve"> </w:t>
      </w:r>
      <w:proofErr w:type="spellStart"/>
      <w:r w:rsidRPr="00C36DC7">
        <w:rPr>
          <w:i/>
          <w:iCs/>
        </w:rPr>
        <w:t>Constitutional</w:t>
      </w:r>
      <w:proofErr w:type="spellEnd"/>
      <w:r w:rsidRPr="00C36DC7">
        <w:rPr>
          <w:i/>
          <w:iCs/>
        </w:rPr>
        <w:t xml:space="preserve"> </w:t>
      </w:r>
      <w:proofErr w:type="spellStart"/>
      <w:r w:rsidRPr="00C36DC7">
        <w:rPr>
          <w:i/>
          <w:iCs/>
        </w:rPr>
        <w:t>Interpretation</w:t>
      </w:r>
      <w:proofErr w:type="spellEnd"/>
      <w:r w:rsidRPr="00C36DC7">
        <w:t xml:space="preserve">, 63 </w:t>
      </w:r>
      <w:r w:rsidRPr="00C36DC7">
        <w:rPr>
          <w:i/>
          <w:iCs/>
        </w:rPr>
        <w:t xml:space="preserve">U. </w:t>
      </w:r>
      <w:proofErr w:type="spellStart"/>
      <w:r w:rsidRPr="00C36DC7">
        <w:rPr>
          <w:i/>
          <w:iCs/>
        </w:rPr>
        <w:t>Chi</w:t>
      </w:r>
      <w:proofErr w:type="spellEnd"/>
      <w:r w:rsidRPr="00C36DC7">
        <w:rPr>
          <w:i/>
          <w:iCs/>
        </w:rPr>
        <w:t xml:space="preserve">. L. </w:t>
      </w:r>
      <w:proofErr w:type="spellStart"/>
      <w:r w:rsidRPr="00C36DC7">
        <w:rPr>
          <w:i/>
          <w:iCs/>
        </w:rPr>
        <w:t>Rev</w:t>
      </w:r>
      <w:proofErr w:type="spellEnd"/>
      <w:r w:rsidRPr="00C36DC7">
        <w:rPr>
          <w:i/>
          <w:iCs/>
        </w:rPr>
        <w:t>.</w:t>
      </w:r>
      <w:r w:rsidRPr="00C36DC7">
        <w:t xml:space="preserve"> 877, 929 (1996) (son dönemde ortaya çıkan anayasal ortak hukuk ilkelerinin çoğunun, Anayasa metniyle güçlü bir bağa sahip olmadığını savunmaktadır).</w:t>
      </w:r>
    </w:p>
  </w:footnote>
  <w:footnote w:id="212">
    <w:p w14:paraId="48AF6261" w14:textId="47A2A0F8" w:rsidR="00C36DC7" w:rsidRPr="00C36DC7" w:rsidRDefault="00C36DC7" w:rsidP="00C36DC7">
      <w:pPr>
        <w:pStyle w:val="Dipnot"/>
        <w:rPr>
          <w:lang w:val="en-US"/>
        </w:rPr>
      </w:pPr>
      <w:r>
        <w:rPr>
          <w:rStyle w:val="FootnoteReference"/>
        </w:rPr>
        <w:footnoteRef/>
      </w:r>
      <w:r>
        <w:t xml:space="preserve"> </w:t>
      </w:r>
      <w:r>
        <w:rPr>
          <w:lang w:val="en-US"/>
        </w:rPr>
        <w:tab/>
      </w:r>
      <w:r w:rsidRPr="00C36DC7">
        <w:t>212</w:t>
      </w:r>
      <w:r>
        <w:t xml:space="preserve"> </w:t>
      </w:r>
      <w:r w:rsidRPr="00C36DC7">
        <w:rPr>
          <w:i/>
          <w:iCs/>
        </w:rPr>
        <w:t xml:space="preserve">Bkz., </w:t>
      </w:r>
      <w:proofErr w:type="spellStart"/>
      <w:r w:rsidRPr="00C36DC7">
        <w:rPr>
          <w:i/>
          <w:iCs/>
        </w:rPr>
        <w:t>örn</w:t>
      </w:r>
      <w:proofErr w:type="spellEnd"/>
      <w:r w:rsidRPr="00C36DC7">
        <w:rPr>
          <w:i/>
          <w:iCs/>
        </w:rPr>
        <w:t>.</w:t>
      </w:r>
      <w:r w:rsidRPr="00C36DC7">
        <w:t xml:space="preserve">, G. Edward White, </w:t>
      </w:r>
      <w:proofErr w:type="spellStart"/>
      <w:r w:rsidRPr="00C36DC7">
        <w:rPr>
          <w:i/>
          <w:iCs/>
        </w:rPr>
        <w:t>Historicizing</w:t>
      </w:r>
      <w:proofErr w:type="spellEnd"/>
      <w:r w:rsidRPr="00C36DC7">
        <w:rPr>
          <w:i/>
          <w:iCs/>
        </w:rPr>
        <w:t xml:space="preserve"> </w:t>
      </w:r>
      <w:proofErr w:type="spellStart"/>
      <w:r w:rsidRPr="00C36DC7">
        <w:rPr>
          <w:i/>
          <w:iCs/>
        </w:rPr>
        <w:t>Judicial</w:t>
      </w:r>
      <w:proofErr w:type="spellEnd"/>
      <w:r w:rsidRPr="00C36DC7">
        <w:rPr>
          <w:i/>
          <w:iCs/>
        </w:rPr>
        <w:t xml:space="preserve"> </w:t>
      </w:r>
      <w:proofErr w:type="spellStart"/>
      <w:r w:rsidRPr="00C36DC7">
        <w:rPr>
          <w:i/>
          <w:iCs/>
        </w:rPr>
        <w:t>Scrutiny</w:t>
      </w:r>
      <w:proofErr w:type="spellEnd"/>
      <w:r w:rsidRPr="00C36DC7">
        <w:t xml:space="preserve">, 57 </w:t>
      </w:r>
      <w:r w:rsidRPr="00C36DC7">
        <w:rPr>
          <w:i/>
          <w:iCs/>
        </w:rPr>
        <w:t xml:space="preserve">S.C. L. </w:t>
      </w:r>
      <w:proofErr w:type="spellStart"/>
      <w:r w:rsidRPr="00C36DC7">
        <w:rPr>
          <w:i/>
          <w:iCs/>
        </w:rPr>
        <w:t>Rev</w:t>
      </w:r>
      <w:proofErr w:type="spellEnd"/>
      <w:r w:rsidRPr="00C36DC7">
        <w:rPr>
          <w:i/>
          <w:iCs/>
        </w:rPr>
        <w:t>.</w:t>
      </w:r>
      <w:r w:rsidRPr="00C36DC7">
        <w:t xml:space="preserve"> 1 (2005) (modern denetim standartlarının ortaya çıkışını ele almakta ve bu yaklaşımı önceki paradigmalarla karşılaştırmaktadır).</w:t>
      </w:r>
    </w:p>
  </w:footnote>
  <w:footnote w:id="213">
    <w:p w14:paraId="0C551C1B" w14:textId="7D3581DA" w:rsidR="00C36DC7" w:rsidRPr="00C36DC7" w:rsidRDefault="00C36DC7" w:rsidP="00C36DC7">
      <w:pPr>
        <w:pStyle w:val="Dipnot"/>
        <w:rPr>
          <w:lang w:val="en-US"/>
        </w:rPr>
      </w:pPr>
      <w:r>
        <w:rPr>
          <w:rStyle w:val="FootnoteReference"/>
        </w:rPr>
        <w:footnoteRef/>
      </w:r>
      <w:r>
        <w:t xml:space="preserve"> </w:t>
      </w:r>
      <w:r>
        <w:rPr>
          <w:lang w:val="en-US"/>
        </w:rPr>
        <w:tab/>
      </w:r>
      <w:r w:rsidRPr="00C36DC7">
        <w:t>213</w:t>
      </w:r>
      <w:r>
        <w:t xml:space="preserve"> </w:t>
      </w:r>
      <w:r w:rsidRPr="00C36DC7">
        <w:t xml:space="preserve">Young, </w:t>
      </w:r>
      <w:proofErr w:type="spellStart"/>
      <w:r w:rsidRPr="00C36DC7">
        <w:rPr>
          <w:i/>
          <w:iCs/>
        </w:rPr>
        <w:t>supra</w:t>
      </w:r>
      <w:proofErr w:type="spellEnd"/>
      <w:r w:rsidRPr="00C36DC7">
        <w:t xml:space="preserve"> dipnot 10, s. 415.</w:t>
      </w:r>
    </w:p>
  </w:footnote>
  <w:footnote w:id="214">
    <w:p w14:paraId="23ACBB86" w14:textId="34336653" w:rsidR="00C36DC7" w:rsidRPr="00C36DC7" w:rsidRDefault="00C36DC7" w:rsidP="00C36DC7">
      <w:pPr>
        <w:pStyle w:val="Dipnot"/>
        <w:rPr>
          <w:lang w:val="en-US"/>
        </w:rPr>
      </w:pPr>
      <w:r>
        <w:rPr>
          <w:rStyle w:val="FootnoteReference"/>
        </w:rPr>
        <w:footnoteRef/>
      </w:r>
      <w:r>
        <w:t xml:space="preserve"> </w:t>
      </w:r>
      <w:r>
        <w:rPr>
          <w:lang w:val="en-US"/>
        </w:rPr>
        <w:tab/>
      </w:r>
      <w:r w:rsidRPr="00C36DC7">
        <w:rPr>
          <w:lang w:val="en-US"/>
        </w:rPr>
        <w:t>214</w:t>
      </w:r>
      <w:r>
        <w:rPr>
          <w:lang w:val="en-US"/>
        </w:rPr>
        <w:t xml:space="preserve"> </w:t>
      </w:r>
      <w:r w:rsidRPr="00C36DC7">
        <w:rPr>
          <w:lang w:val="en-US"/>
        </w:rPr>
        <w:t xml:space="preserve">Thomas P. Crocker, </w:t>
      </w:r>
      <w:r w:rsidRPr="00C36DC7">
        <w:rPr>
          <w:i/>
          <w:iCs/>
          <w:lang w:val="en-US"/>
        </w:rPr>
        <w:t>Overcoming Necessity: Emergency, Constraint, and the Meaning of American Constitutionalism</w:t>
      </w:r>
      <w:r w:rsidRPr="00C36DC7">
        <w:rPr>
          <w:lang w:val="en-US"/>
        </w:rPr>
        <w:t xml:space="preserve"> (</w:t>
      </w:r>
      <w:proofErr w:type="spellStart"/>
      <w:r w:rsidRPr="00C36DC7">
        <w:rPr>
          <w:lang w:val="en-US"/>
        </w:rPr>
        <w:t>yayına</w:t>
      </w:r>
      <w:proofErr w:type="spellEnd"/>
      <w:r w:rsidRPr="00C36DC7">
        <w:rPr>
          <w:lang w:val="en-US"/>
        </w:rPr>
        <w:t xml:space="preserve"> </w:t>
      </w:r>
      <w:proofErr w:type="spellStart"/>
      <w:r w:rsidRPr="00C36DC7">
        <w:rPr>
          <w:lang w:val="en-US"/>
        </w:rPr>
        <w:t>hazırlanıyor</w:t>
      </w:r>
      <w:proofErr w:type="spellEnd"/>
      <w:r w:rsidRPr="00C36DC7">
        <w:rPr>
          <w:lang w:val="en-US"/>
        </w:rPr>
        <w:t>, 2016).</w:t>
      </w:r>
    </w:p>
  </w:footnote>
  <w:footnote w:id="215">
    <w:p w14:paraId="2A14FB49" w14:textId="1B660751" w:rsidR="00C36DC7" w:rsidRPr="00C36DC7" w:rsidRDefault="00C36DC7" w:rsidP="00C36DC7">
      <w:pPr>
        <w:pStyle w:val="Dipnot"/>
        <w:rPr>
          <w:lang w:val="en-US"/>
        </w:rPr>
      </w:pPr>
      <w:r>
        <w:rPr>
          <w:rStyle w:val="FootnoteReference"/>
        </w:rPr>
        <w:footnoteRef/>
      </w:r>
      <w:r>
        <w:t xml:space="preserve"> </w:t>
      </w:r>
      <w:r>
        <w:rPr>
          <w:lang w:val="en-US"/>
        </w:rPr>
        <w:tab/>
      </w:r>
      <w:r w:rsidRPr="00C36DC7">
        <w:t>215</w:t>
      </w:r>
      <w:r>
        <w:t xml:space="preserve"> </w:t>
      </w:r>
      <w:r w:rsidRPr="00C36DC7">
        <w:rPr>
          <w:i/>
          <w:iCs/>
        </w:rPr>
        <w:t xml:space="preserve">Bkz., </w:t>
      </w:r>
      <w:proofErr w:type="spellStart"/>
      <w:r w:rsidRPr="00C36DC7">
        <w:rPr>
          <w:i/>
          <w:iCs/>
        </w:rPr>
        <w:t>örn</w:t>
      </w:r>
      <w:proofErr w:type="spellEnd"/>
      <w:r w:rsidRPr="00C36DC7">
        <w:rPr>
          <w:i/>
          <w:iCs/>
        </w:rPr>
        <w:t>.</w:t>
      </w:r>
      <w:r w:rsidRPr="00C36DC7">
        <w:t xml:space="preserve">, Nelson, </w:t>
      </w:r>
      <w:proofErr w:type="spellStart"/>
      <w:r w:rsidRPr="00C36DC7">
        <w:rPr>
          <w:i/>
          <w:iCs/>
        </w:rPr>
        <w:t>supra</w:t>
      </w:r>
      <w:proofErr w:type="spellEnd"/>
      <w:r w:rsidRPr="00C36DC7">
        <w:t xml:space="preserve"> dipnot 192, s. 522 (“[Anayasa’nın] erken dönem yorumcuları—sadece mahkemeler değil, aynı zamanda yasama organları, yürütme yetkilileri, eyalet onay konvansiyonları ve geniş halk kitlesi—hem kabul edilen yorum yaklaşımlarının kapsamını daraltmaya hem de belirli hükümlere ilişkin belirli soruları karara bağlamaya yardımcı olmuştur.”); </w:t>
      </w:r>
      <w:proofErr w:type="spellStart"/>
      <w:r w:rsidRPr="00C36DC7">
        <w:t>Caleb</w:t>
      </w:r>
      <w:proofErr w:type="spellEnd"/>
      <w:r w:rsidRPr="00C36DC7">
        <w:t xml:space="preserve"> Nelson, </w:t>
      </w:r>
      <w:proofErr w:type="spellStart"/>
      <w:r w:rsidRPr="00C36DC7">
        <w:rPr>
          <w:i/>
          <w:iCs/>
        </w:rPr>
        <w:t>The</w:t>
      </w:r>
      <w:proofErr w:type="spellEnd"/>
      <w:r w:rsidRPr="00C36DC7">
        <w:rPr>
          <w:i/>
          <w:iCs/>
        </w:rPr>
        <w:t xml:space="preserve"> </w:t>
      </w:r>
      <w:proofErr w:type="spellStart"/>
      <w:r w:rsidRPr="00C36DC7">
        <w:rPr>
          <w:i/>
          <w:iCs/>
        </w:rPr>
        <w:t>Persistence</w:t>
      </w:r>
      <w:proofErr w:type="spellEnd"/>
      <w:r w:rsidRPr="00C36DC7">
        <w:rPr>
          <w:i/>
          <w:iCs/>
        </w:rPr>
        <w:t xml:space="preserve"> of General </w:t>
      </w:r>
      <w:proofErr w:type="spellStart"/>
      <w:r w:rsidRPr="00C36DC7">
        <w:rPr>
          <w:i/>
          <w:iCs/>
        </w:rPr>
        <w:t>Law</w:t>
      </w:r>
      <w:proofErr w:type="spellEnd"/>
      <w:r w:rsidRPr="00C36DC7">
        <w:t xml:space="preserve">, 106 </w:t>
      </w:r>
      <w:proofErr w:type="spellStart"/>
      <w:r w:rsidRPr="00C36DC7">
        <w:rPr>
          <w:i/>
          <w:iCs/>
        </w:rPr>
        <w:t>Colum</w:t>
      </w:r>
      <w:proofErr w:type="spellEnd"/>
      <w:r w:rsidRPr="00C36DC7">
        <w:rPr>
          <w:i/>
          <w:iCs/>
        </w:rPr>
        <w:t xml:space="preserve">. L. </w:t>
      </w:r>
      <w:proofErr w:type="spellStart"/>
      <w:r w:rsidRPr="00C36DC7">
        <w:rPr>
          <w:i/>
          <w:iCs/>
        </w:rPr>
        <w:t>Rev</w:t>
      </w:r>
      <w:proofErr w:type="spellEnd"/>
      <w:r w:rsidRPr="00C36DC7">
        <w:rPr>
          <w:i/>
          <w:iCs/>
        </w:rPr>
        <w:t>.</w:t>
      </w:r>
      <w:r w:rsidRPr="00C36DC7">
        <w:t xml:space="preserve"> 503, 568 (2006) (“[F]</w:t>
      </w:r>
      <w:proofErr w:type="spellStart"/>
      <w:r w:rsidRPr="00C36DC7">
        <w:t>ederal</w:t>
      </w:r>
      <w:proofErr w:type="spellEnd"/>
      <w:r w:rsidRPr="00C36DC7">
        <w:t xml:space="preserve"> ortak hukuk kurallarını belirleyen mahkemeler, genellikle varsayıldığı kadar geniş bir takdir yetkisi kullanmazlar; genel hukuk, uyguladıkları karar kurallarının içeriğini önemli ölçüde sınırlandırır ve çoğu zaman tamamen tanımlar.”); </w:t>
      </w:r>
      <w:proofErr w:type="spellStart"/>
      <w:r w:rsidRPr="00C36DC7">
        <w:t>Caleb</w:t>
      </w:r>
      <w:proofErr w:type="spellEnd"/>
      <w:r w:rsidRPr="00C36DC7">
        <w:t xml:space="preserve"> Nelson, </w:t>
      </w:r>
      <w:proofErr w:type="spellStart"/>
      <w:r w:rsidRPr="00C36DC7">
        <w:rPr>
          <w:i/>
          <w:iCs/>
        </w:rPr>
        <w:t>State</w:t>
      </w:r>
      <w:proofErr w:type="spellEnd"/>
      <w:r w:rsidRPr="00C36DC7">
        <w:rPr>
          <w:i/>
          <w:iCs/>
        </w:rPr>
        <w:t xml:space="preserve"> </w:t>
      </w:r>
      <w:proofErr w:type="spellStart"/>
      <w:r w:rsidRPr="00C36DC7">
        <w:rPr>
          <w:i/>
          <w:iCs/>
        </w:rPr>
        <w:t>and</w:t>
      </w:r>
      <w:proofErr w:type="spellEnd"/>
      <w:r w:rsidRPr="00C36DC7">
        <w:rPr>
          <w:i/>
          <w:iCs/>
        </w:rPr>
        <w:t xml:space="preserve"> Federal </w:t>
      </w:r>
      <w:proofErr w:type="spellStart"/>
      <w:r w:rsidRPr="00C36DC7">
        <w:rPr>
          <w:i/>
          <w:iCs/>
        </w:rPr>
        <w:t>Models</w:t>
      </w:r>
      <w:proofErr w:type="spellEnd"/>
      <w:r w:rsidRPr="00C36DC7">
        <w:rPr>
          <w:i/>
          <w:iCs/>
        </w:rPr>
        <w:t xml:space="preserve"> of </w:t>
      </w:r>
      <w:proofErr w:type="spellStart"/>
      <w:r w:rsidRPr="00C36DC7">
        <w:rPr>
          <w:i/>
          <w:iCs/>
        </w:rPr>
        <w:t>the</w:t>
      </w:r>
      <w:proofErr w:type="spellEnd"/>
      <w:r w:rsidRPr="00C36DC7">
        <w:rPr>
          <w:i/>
          <w:iCs/>
        </w:rPr>
        <w:t xml:space="preserve"> </w:t>
      </w:r>
      <w:proofErr w:type="spellStart"/>
      <w:r w:rsidRPr="00C36DC7">
        <w:rPr>
          <w:i/>
          <w:iCs/>
        </w:rPr>
        <w:t>Interaction</w:t>
      </w:r>
      <w:proofErr w:type="spellEnd"/>
      <w:r w:rsidRPr="00C36DC7">
        <w:rPr>
          <w:i/>
          <w:iCs/>
        </w:rPr>
        <w:t xml:space="preserve"> </w:t>
      </w:r>
      <w:proofErr w:type="spellStart"/>
      <w:r w:rsidRPr="00C36DC7">
        <w:rPr>
          <w:i/>
          <w:iCs/>
        </w:rPr>
        <w:t>Between</w:t>
      </w:r>
      <w:proofErr w:type="spellEnd"/>
      <w:r w:rsidRPr="00C36DC7">
        <w:rPr>
          <w:i/>
          <w:iCs/>
        </w:rPr>
        <w:t xml:space="preserve"> </w:t>
      </w:r>
      <w:proofErr w:type="spellStart"/>
      <w:r w:rsidRPr="00C36DC7">
        <w:rPr>
          <w:i/>
          <w:iCs/>
        </w:rPr>
        <w:t>Statutes</w:t>
      </w:r>
      <w:proofErr w:type="spellEnd"/>
      <w:r w:rsidRPr="00C36DC7">
        <w:rPr>
          <w:i/>
          <w:iCs/>
        </w:rPr>
        <w:t xml:space="preserve"> </w:t>
      </w:r>
      <w:proofErr w:type="spellStart"/>
      <w:r w:rsidRPr="00C36DC7">
        <w:rPr>
          <w:i/>
          <w:iCs/>
        </w:rPr>
        <w:t>and</w:t>
      </w:r>
      <w:proofErr w:type="spellEnd"/>
      <w:r w:rsidRPr="00C36DC7">
        <w:rPr>
          <w:i/>
          <w:iCs/>
        </w:rPr>
        <w:t xml:space="preserve"> </w:t>
      </w:r>
      <w:proofErr w:type="spellStart"/>
      <w:r w:rsidRPr="00C36DC7">
        <w:rPr>
          <w:i/>
          <w:iCs/>
        </w:rPr>
        <w:t>Unwritten</w:t>
      </w:r>
      <w:proofErr w:type="spellEnd"/>
      <w:r w:rsidRPr="00C36DC7">
        <w:rPr>
          <w:i/>
          <w:iCs/>
        </w:rPr>
        <w:t xml:space="preserve"> </w:t>
      </w:r>
      <w:proofErr w:type="spellStart"/>
      <w:r w:rsidRPr="00C36DC7">
        <w:rPr>
          <w:i/>
          <w:iCs/>
        </w:rPr>
        <w:t>Law</w:t>
      </w:r>
      <w:proofErr w:type="spellEnd"/>
      <w:r w:rsidRPr="00C36DC7">
        <w:t xml:space="preserve">, 80 </w:t>
      </w:r>
      <w:r w:rsidRPr="00C36DC7">
        <w:rPr>
          <w:i/>
          <w:iCs/>
        </w:rPr>
        <w:t xml:space="preserve">U. </w:t>
      </w:r>
      <w:proofErr w:type="spellStart"/>
      <w:r w:rsidRPr="00C36DC7">
        <w:rPr>
          <w:i/>
          <w:iCs/>
        </w:rPr>
        <w:t>Chi</w:t>
      </w:r>
      <w:proofErr w:type="spellEnd"/>
      <w:r w:rsidRPr="00C36DC7">
        <w:rPr>
          <w:i/>
          <w:iCs/>
        </w:rPr>
        <w:t xml:space="preserve">. L. </w:t>
      </w:r>
      <w:proofErr w:type="spellStart"/>
      <w:r w:rsidRPr="00C36DC7">
        <w:rPr>
          <w:i/>
          <w:iCs/>
        </w:rPr>
        <w:t>Rev</w:t>
      </w:r>
      <w:proofErr w:type="spellEnd"/>
      <w:r w:rsidRPr="00C36DC7">
        <w:rPr>
          <w:i/>
          <w:iCs/>
        </w:rPr>
        <w:t>.</w:t>
      </w:r>
      <w:r w:rsidRPr="00C36DC7">
        <w:t xml:space="preserve"> 657, 662 (2013) (“[M]</w:t>
      </w:r>
      <w:proofErr w:type="spellStart"/>
      <w:r w:rsidRPr="00C36DC7">
        <w:t>ahkemeler</w:t>
      </w:r>
      <w:proofErr w:type="spellEnd"/>
      <w:r w:rsidRPr="00C36DC7">
        <w:t xml:space="preserve"> bazen, Kongre’nin yasayı yaygın olarak kabul edilen yazılı olmayan hukuk ilkelerini dikkate alarak çıkardığı ve dolayısıyla yasanın bu ilkeleri örtük olarak benimsediği sonucuna varmaktadır.”).</w:t>
      </w:r>
    </w:p>
  </w:footnote>
  <w:footnote w:id="216">
    <w:p w14:paraId="65B3A07B" w14:textId="2809D1FB" w:rsidR="00793CAD" w:rsidRPr="00793CAD" w:rsidRDefault="00793CAD" w:rsidP="00793CAD">
      <w:pPr>
        <w:pStyle w:val="Dipnot"/>
        <w:rPr>
          <w:lang w:val="en-US"/>
        </w:rPr>
      </w:pPr>
      <w:r>
        <w:rPr>
          <w:rStyle w:val="FootnoteReference"/>
        </w:rPr>
        <w:footnoteRef/>
      </w:r>
      <w:r>
        <w:t xml:space="preserve"> </w:t>
      </w:r>
      <w:r>
        <w:tab/>
      </w:r>
      <w:r w:rsidRPr="00793CAD">
        <w:t>216</w:t>
      </w:r>
      <w:r>
        <w:t xml:space="preserve"> </w:t>
      </w:r>
      <w:r w:rsidRPr="00793CAD">
        <w:t xml:space="preserve">Young, </w:t>
      </w:r>
      <w:proofErr w:type="spellStart"/>
      <w:r w:rsidRPr="00793CAD">
        <w:rPr>
          <w:i/>
          <w:iCs/>
        </w:rPr>
        <w:t>supra</w:t>
      </w:r>
      <w:proofErr w:type="spellEnd"/>
      <w:r w:rsidRPr="00793CAD">
        <w:t xml:space="preserve"> dipnot 10, s. 455.</w:t>
      </w:r>
    </w:p>
  </w:footnote>
  <w:footnote w:id="217">
    <w:p w14:paraId="6D8203AA" w14:textId="61A0AFDE" w:rsidR="00793CAD" w:rsidRPr="00793CAD" w:rsidRDefault="00793CAD" w:rsidP="00793CAD">
      <w:pPr>
        <w:pStyle w:val="Dipnot"/>
        <w:rPr>
          <w:lang w:val="en-US"/>
        </w:rPr>
      </w:pPr>
      <w:r>
        <w:rPr>
          <w:rStyle w:val="FootnoteReference"/>
        </w:rPr>
        <w:footnoteRef/>
      </w:r>
      <w:r>
        <w:t xml:space="preserve"> </w:t>
      </w:r>
      <w:r>
        <w:rPr>
          <w:lang w:val="en-US"/>
        </w:rPr>
        <w:tab/>
      </w:r>
      <w:r w:rsidRPr="00793CAD">
        <w:t>217</w:t>
      </w:r>
      <w:r>
        <w:t xml:space="preserve"> </w:t>
      </w:r>
      <w:r w:rsidRPr="00793CAD">
        <w:t xml:space="preserve">Profesör </w:t>
      </w:r>
      <w:proofErr w:type="spellStart"/>
      <w:r w:rsidRPr="00793CAD">
        <w:t>Young’un</w:t>
      </w:r>
      <w:proofErr w:type="spellEnd"/>
      <w:r w:rsidRPr="00793CAD">
        <w:t xml:space="preserve"> bu soruya verdiği yanıt, hükümet kurumlarımızdaki ve temel yönetim normları ile bireysel haklara ilişkin anlayışımızdaki değişimlerin büyük ölçüde yasama ve düzenleyici gelişmeler yoluyla gerçekleştiği veya pekiştirildiği gerçeğine odaklanmaktadır. Bu gelişmelerin “kanonik olmayan” Anayasa’nın bir parçası olduğunu savunmaktadır. </w:t>
      </w:r>
      <w:r w:rsidRPr="00793CAD">
        <w:rPr>
          <w:i/>
          <w:iCs/>
        </w:rPr>
        <w:t>Bkz. id.</w:t>
      </w:r>
      <w:r w:rsidRPr="00793CAD">
        <w:t xml:space="preserve">, s. 454-57 (Amerikan anayasal gelişimini açıklamak için Kurucu </w:t>
      </w:r>
      <w:proofErr w:type="spellStart"/>
      <w:r w:rsidRPr="00793CAD">
        <w:t>Babalar’ın</w:t>
      </w:r>
      <w:proofErr w:type="spellEnd"/>
      <w:r w:rsidRPr="00793CAD">
        <w:t xml:space="preserve"> “yer bıraktığı” siyasi kurumların rolünü kabul eden işlevsel bir yaklaşım önermektedir). Bu gözlem şüphesiz doğrudur ve anayasa hukuku ile anayasal kültürün nasıl evrildiğini anlamak açısından son derece faydalıdır. Ancak eksiktir; çünkü “kanonik” Anayasa’ya ilişkin anlayışımızdaki değişimlerle somutlaşan anayasal gelişmeleri açıklamak için bir mekanizma sunmamaktadır ve dolaylı olarak bu tür değişimleri eleştirmektedir.</w:t>
      </w:r>
    </w:p>
  </w:footnote>
  <w:footnote w:id="218">
    <w:p w14:paraId="662D19DC" w14:textId="574DD814" w:rsidR="00793CAD" w:rsidRPr="00793CAD" w:rsidRDefault="00793CAD" w:rsidP="00793CAD">
      <w:pPr>
        <w:pStyle w:val="Dipnot"/>
        <w:rPr>
          <w:lang w:val="en-US"/>
        </w:rPr>
      </w:pPr>
      <w:r>
        <w:rPr>
          <w:rStyle w:val="FootnoteReference"/>
        </w:rPr>
        <w:footnoteRef/>
      </w:r>
      <w:r>
        <w:t xml:space="preserve"> </w:t>
      </w:r>
      <w:r>
        <w:rPr>
          <w:lang w:val="en-US"/>
        </w:rPr>
        <w:tab/>
      </w:r>
      <w:r w:rsidRPr="00793CAD">
        <w:t>218</w:t>
      </w:r>
      <w:r>
        <w:t xml:space="preserve"> </w:t>
      </w:r>
      <w:r w:rsidRPr="00793CAD">
        <w:t xml:space="preserve">Bu metafor ve onun yarattığı rahatsızlıkların kapsamlı bir incelemesi için bkz. Scott </w:t>
      </w:r>
      <w:proofErr w:type="spellStart"/>
      <w:r w:rsidRPr="00793CAD">
        <w:t>Dodson</w:t>
      </w:r>
      <w:proofErr w:type="spellEnd"/>
      <w:r w:rsidRPr="00793CAD">
        <w:t xml:space="preserve">, </w:t>
      </w:r>
      <w:r w:rsidRPr="00793CAD">
        <w:rPr>
          <w:i/>
          <w:iCs/>
        </w:rPr>
        <w:t xml:space="preserve">A </w:t>
      </w:r>
      <w:proofErr w:type="spellStart"/>
      <w:r w:rsidRPr="00793CAD">
        <w:rPr>
          <w:i/>
          <w:iCs/>
        </w:rPr>
        <w:t>Darwinist</w:t>
      </w:r>
      <w:proofErr w:type="spellEnd"/>
      <w:r w:rsidRPr="00793CAD">
        <w:rPr>
          <w:i/>
          <w:iCs/>
        </w:rPr>
        <w:t xml:space="preserve"> </w:t>
      </w:r>
      <w:proofErr w:type="spellStart"/>
      <w:r w:rsidRPr="00793CAD">
        <w:rPr>
          <w:i/>
          <w:iCs/>
        </w:rPr>
        <w:t>View</w:t>
      </w:r>
      <w:proofErr w:type="spellEnd"/>
      <w:r w:rsidRPr="00793CAD">
        <w:rPr>
          <w:i/>
          <w:iCs/>
        </w:rPr>
        <w:t xml:space="preserve"> of </w:t>
      </w:r>
      <w:proofErr w:type="spellStart"/>
      <w:r w:rsidRPr="00793CAD">
        <w:rPr>
          <w:i/>
          <w:iCs/>
        </w:rPr>
        <w:t>the</w:t>
      </w:r>
      <w:proofErr w:type="spellEnd"/>
      <w:r w:rsidRPr="00793CAD">
        <w:rPr>
          <w:i/>
          <w:iCs/>
        </w:rPr>
        <w:t xml:space="preserve"> </w:t>
      </w:r>
      <w:proofErr w:type="spellStart"/>
      <w:r w:rsidRPr="00793CAD">
        <w:rPr>
          <w:i/>
          <w:iCs/>
        </w:rPr>
        <w:t>Living</w:t>
      </w:r>
      <w:proofErr w:type="spellEnd"/>
      <w:r w:rsidRPr="00793CAD">
        <w:rPr>
          <w:i/>
          <w:iCs/>
        </w:rPr>
        <w:t xml:space="preserve"> </w:t>
      </w:r>
      <w:proofErr w:type="spellStart"/>
      <w:r w:rsidRPr="00793CAD">
        <w:rPr>
          <w:i/>
          <w:iCs/>
        </w:rPr>
        <w:t>Constitution</w:t>
      </w:r>
      <w:proofErr w:type="spellEnd"/>
      <w:r w:rsidRPr="00793CAD">
        <w:t xml:space="preserve">, 61 </w:t>
      </w:r>
      <w:proofErr w:type="spellStart"/>
      <w:r w:rsidRPr="00793CAD">
        <w:rPr>
          <w:i/>
          <w:iCs/>
        </w:rPr>
        <w:t>Vand</w:t>
      </w:r>
      <w:proofErr w:type="spellEnd"/>
      <w:r w:rsidRPr="00793CAD">
        <w:rPr>
          <w:i/>
          <w:iCs/>
        </w:rPr>
        <w:t xml:space="preserve">. L. </w:t>
      </w:r>
      <w:proofErr w:type="spellStart"/>
      <w:r w:rsidRPr="00793CAD">
        <w:rPr>
          <w:i/>
          <w:iCs/>
        </w:rPr>
        <w:t>Rev</w:t>
      </w:r>
      <w:proofErr w:type="spellEnd"/>
      <w:r w:rsidRPr="00793CAD">
        <w:rPr>
          <w:i/>
          <w:iCs/>
        </w:rPr>
        <w:t>.</w:t>
      </w:r>
      <w:r w:rsidRPr="00793CAD">
        <w:t xml:space="preserve"> 1319, 1324 (2008) (“Yaşayan Anayasa doğdu, gelişimi boyunca beslendi ve toplumla birlikte büyümeye devam ediyor.” (iç alıntı işaretleri çıkarılmıştır)).</w:t>
      </w:r>
    </w:p>
  </w:footnote>
  <w:footnote w:id="219">
    <w:p w14:paraId="600EDA07" w14:textId="0E485740" w:rsidR="00793CAD" w:rsidRPr="00793CAD" w:rsidRDefault="00793CAD" w:rsidP="00793CAD">
      <w:pPr>
        <w:pStyle w:val="Dipnot"/>
        <w:rPr>
          <w:lang w:val="en-US"/>
        </w:rPr>
      </w:pPr>
      <w:r>
        <w:rPr>
          <w:rStyle w:val="FootnoteReference"/>
        </w:rPr>
        <w:footnoteRef/>
      </w:r>
      <w:r>
        <w:t xml:space="preserve"> </w:t>
      </w:r>
      <w:r>
        <w:rPr>
          <w:lang w:val="en-US"/>
        </w:rPr>
        <w:tab/>
      </w:r>
      <w:r w:rsidRPr="00793CAD">
        <w:t>219</w:t>
      </w:r>
      <w:r>
        <w:t xml:space="preserve"> </w:t>
      </w:r>
      <w:r w:rsidRPr="00793CAD">
        <w:rPr>
          <w:i/>
          <w:iCs/>
        </w:rPr>
        <w:t xml:space="preserve">Bkz., </w:t>
      </w:r>
      <w:proofErr w:type="spellStart"/>
      <w:r w:rsidRPr="00793CAD">
        <w:rPr>
          <w:i/>
          <w:iCs/>
        </w:rPr>
        <w:t>örn</w:t>
      </w:r>
      <w:proofErr w:type="spellEnd"/>
      <w:r w:rsidRPr="00793CAD">
        <w:rPr>
          <w:i/>
          <w:iCs/>
        </w:rPr>
        <w:t>.</w:t>
      </w:r>
      <w:r w:rsidRPr="00793CAD">
        <w:t xml:space="preserve">, </w:t>
      </w:r>
      <w:proofErr w:type="spellStart"/>
      <w:r w:rsidRPr="00793CAD">
        <w:t>Brian</w:t>
      </w:r>
      <w:proofErr w:type="spellEnd"/>
      <w:r w:rsidRPr="00793CAD">
        <w:t xml:space="preserve"> Z. </w:t>
      </w:r>
      <w:proofErr w:type="spellStart"/>
      <w:r w:rsidRPr="00793CAD">
        <w:t>Tamanaha</w:t>
      </w:r>
      <w:proofErr w:type="spellEnd"/>
      <w:r w:rsidRPr="00793CAD">
        <w:t xml:space="preserve">, </w:t>
      </w:r>
      <w:proofErr w:type="spellStart"/>
      <w:r w:rsidRPr="00793CAD">
        <w:rPr>
          <w:i/>
          <w:iCs/>
        </w:rPr>
        <w:t>The</w:t>
      </w:r>
      <w:proofErr w:type="spellEnd"/>
      <w:r w:rsidRPr="00793CAD">
        <w:rPr>
          <w:i/>
          <w:iCs/>
        </w:rPr>
        <w:t xml:space="preserve"> </w:t>
      </w:r>
      <w:proofErr w:type="spellStart"/>
      <w:r w:rsidRPr="00793CAD">
        <w:rPr>
          <w:i/>
          <w:iCs/>
        </w:rPr>
        <w:t>Distorting</w:t>
      </w:r>
      <w:proofErr w:type="spellEnd"/>
      <w:r w:rsidRPr="00793CAD">
        <w:rPr>
          <w:i/>
          <w:iCs/>
        </w:rPr>
        <w:t xml:space="preserve"> </w:t>
      </w:r>
      <w:proofErr w:type="spellStart"/>
      <w:r w:rsidRPr="00793CAD">
        <w:rPr>
          <w:i/>
          <w:iCs/>
        </w:rPr>
        <w:t>Slant</w:t>
      </w:r>
      <w:proofErr w:type="spellEnd"/>
      <w:r w:rsidRPr="00793CAD">
        <w:rPr>
          <w:i/>
          <w:iCs/>
        </w:rPr>
        <w:t xml:space="preserve"> in </w:t>
      </w:r>
      <w:proofErr w:type="spellStart"/>
      <w:r w:rsidRPr="00793CAD">
        <w:rPr>
          <w:i/>
          <w:iCs/>
        </w:rPr>
        <w:t>Quantitative</w:t>
      </w:r>
      <w:proofErr w:type="spellEnd"/>
      <w:r w:rsidRPr="00793CAD">
        <w:rPr>
          <w:i/>
          <w:iCs/>
        </w:rPr>
        <w:t xml:space="preserve"> </w:t>
      </w:r>
      <w:proofErr w:type="spellStart"/>
      <w:r w:rsidRPr="00793CAD">
        <w:rPr>
          <w:i/>
          <w:iCs/>
        </w:rPr>
        <w:t>Studies</w:t>
      </w:r>
      <w:proofErr w:type="spellEnd"/>
      <w:r w:rsidRPr="00793CAD">
        <w:rPr>
          <w:i/>
          <w:iCs/>
        </w:rPr>
        <w:t xml:space="preserve"> of </w:t>
      </w:r>
      <w:proofErr w:type="spellStart"/>
      <w:r w:rsidRPr="00793CAD">
        <w:rPr>
          <w:i/>
          <w:iCs/>
        </w:rPr>
        <w:t>Judging</w:t>
      </w:r>
      <w:proofErr w:type="spellEnd"/>
      <w:r w:rsidRPr="00793CAD">
        <w:t xml:space="preserve">, 50 </w:t>
      </w:r>
      <w:r w:rsidRPr="00793CAD">
        <w:rPr>
          <w:i/>
          <w:iCs/>
        </w:rPr>
        <w:t xml:space="preserve">B.C. L. </w:t>
      </w:r>
      <w:proofErr w:type="spellStart"/>
      <w:r w:rsidRPr="00793CAD">
        <w:rPr>
          <w:i/>
          <w:iCs/>
        </w:rPr>
        <w:t>Rev</w:t>
      </w:r>
      <w:proofErr w:type="spellEnd"/>
      <w:r w:rsidRPr="00793CAD">
        <w:rPr>
          <w:i/>
          <w:iCs/>
        </w:rPr>
        <w:t>.</w:t>
      </w:r>
      <w:r w:rsidRPr="00793CAD">
        <w:t xml:space="preserve"> 685, 702-05 (2009) (yargıçların belirli politika tercihleri olan öznel modern bireyler olmalarına rağmen, hukuku nesnel veya durağan bir şekilde sadakatle uygulamaya çabalayabilecekleri bazı nedenleri ayrıntılı bir şekilde analiz etmektedir).</w:t>
      </w:r>
    </w:p>
  </w:footnote>
  <w:footnote w:id="220">
    <w:p w14:paraId="5DEE7ED1" w14:textId="279011DA" w:rsidR="000F0D4A" w:rsidRPr="000F0D4A" w:rsidRDefault="000F0D4A" w:rsidP="000F0D4A">
      <w:pPr>
        <w:pStyle w:val="Dipnot"/>
        <w:rPr>
          <w:lang w:val="en-US"/>
        </w:rPr>
      </w:pPr>
      <w:r>
        <w:rPr>
          <w:rStyle w:val="FootnoteReference"/>
        </w:rPr>
        <w:footnoteRef/>
      </w:r>
      <w:r>
        <w:t xml:space="preserve"> </w:t>
      </w:r>
      <w:r>
        <w:rPr>
          <w:lang w:val="en-US"/>
        </w:rPr>
        <w:tab/>
      </w:r>
      <w:r w:rsidRPr="000F0D4A">
        <w:t>220</w:t>
      </w:r>
      <w:r>
        <w:t xml:space="preserve"> </w:t>
      </w:r>
      <w:r w:rsidRPr="000F0D4A">
        <w:t xml:space="preserve">Bu konuyla ilgili kurumsal yetkinlik meselelerini ele alan birçok makaleden biri için bkz. William A. Fletcher, </w:t>
      </w:r>
      <w:proofErr w:type="spellStart"/>
      <w:r w:rsidRPr="000F0D4A">
        <w:rPr>
          <w:i/>
          <w:iCs/>
        </w:rPr>
        <w:t>The</w:t>
      </w:r>
      <w:proofErr w:type="spellEnd"/>
      <w:r w:rsidRPr="000F0D4A">
        <w:rPr>
          <w:i/>
          <w:iCs/>
        </w:rPr>
        <w:t xml:space="preserve"> </w:t>
      </w:r>
      <w:proofErr w:type="spellStart"/>
      <w:r w:rsidRPr="000F0D4A">
        <w:rPr>
          <w:i/>
          <w:iCs/>
        </w:rPr>
        <w:t>Discretionary</w:t>
      </w:r>
      <w:proofErr w:type="spellEnd"/>
      <w:r w:rsidRPr="000F0D4A">
        <w:rPr>
          <w:i/>
          <w:iCs/>
        </w:rPr>
        <w:t xml:space="preserve"> </w:t>
      </w:r>
      <w:proofErr w:type="spellStart"/>
      <w:r w:rsidRPr="000F0D4A">
        <w:rPr>
          <w:i/>
          <w:iCs/>
        </w:rPr>
        <w:t>Constitution</w:t>
      </w:r>
      <w:proofErr w:type="spellEnd"/>
      <w:r w:rsidRPr="000F0D4A">
        <w:rPr>
          <w:i/>
          <w:iCs/>
        </w:rPr>
        <w:t xml:space="preserve">: </w:t>
      </w:r>
      <w:proofErr w:type="spellStart"/>
      <w:r w:rsidRPr="000F0D4A">
        <w:rPr>
          <w:i/>
          <w:iCs/>
        </w:rPr>
        <w:t>Institutional</w:t>
      </w:r>
      <w:proofErr w:type="spellEnd"/>
      <w:r w:rsidRPr="000F0D4A">
        <w:rPr>
          <w:i/>
          <w:iCs/>
        </w:rPr>
        <w:t xml:space="preserve"> </w:t>
      </w:r>
      <w:proofErr w:type="spellStart"/>
      <w:r w:rsidRPr="000F0D4A">
        <w:rPr>
          <w:i/>
          <w:iCs/>
        </w:rPr>
        <w:t>Remedies</w:t>
      </w:r>
      <w:proofErr w:type="spellEnd"/>
      <w:r w:rsidRPr="000F0D4A">
        <w:rPr>
          <w:i/>
          <w:iCs/>
        </w:rPr>
        <w:t xml:space="preserve"> </w:t>
      </w:r>
      <w:proofErr w:type="spellStart"/>
      <w:r w:rsidRPr="000F0D4A">
        <w:rPr>
          <w:i/>
          <w:iCs/>
        </w:rPr>
        <w:t>and</w:t>
      </w:r>
      <w:proofErr w:type="spellEnd"/>
      <w:r w:rsidRPr="000F0D4A">
        <w:rPr>
          <w:i/>
          <w:iCs/>
        </w:rPr>
        <w:t xml:space="preserve"> </w:t>
      </w:r>
      <w:proofErr w:type="spellStart"/>
      <w:r w:rsidRPr="000F0D4A">
        <w:rPr>
          <w:i/>
          <w:iCs/>
        </w:rPr>
        <w:t>Judicial</w:t>
      </w:r>
      <w:proofErr w:type="spellEnd"/>
      <w:r w:rsidRPr="000F0D4A">
        <w:rPr>
          <w:i/>
          <w:iCs/>
        </w:rPr>
        <w:t xml:space="preserve"> </w:t>
      </w:r>
      <w:proofErr w:type="spellStart"/>
      <w:r w:rsidRPr="000F0D4A">
        <w:rPr>
          <w:i/>
          <w:iCs/>
        </w:rPr>
        <w:t>Legitimacy</w:t>
      </w:r>
      <w:proofErr w:type="spellEnd"/>
      <w:r w:rsidRPr="000F0D4A">
        <w:t xml:space="preserve">, 91 </w:t>
      </w:r>
      <w:r w:rsidRPr="000F0D4A">
        <w:rPr>
          <w:i/>
          <w:iCs/>
        </w:rPr>
        <w:t>Yale L.J.</w:t>
      </w:r>
      <w:r w:rsidRPr="000F0D4A">
        <w:t xml:space="preserve"> 635, 666-67 (1982) (Adalet Frankfurter’in yargısal kurumsal yetkinlik eksikliğini tanımasını incelemekte ve bunun siyasi soru doktrininden türediğini, güçler ayrılığı sorularına dayandığını ve belirli kararları vermede siyasi organların üstün yetkinliğine dayandığını savunmaktadır).</w:t>
      </w:r>
    </w:p>
  </w:footnote>
  <w:footnote w:id="221">
    <w:p w14:paraId="363D47C7" w14:textId="597EAFCD" w:rsidR="000F0D4A" w:rsidRPr="000F0D4A" w:rsidRDefault="000F0D4A" w:rsidP="000F0D4A">
      <w:pPr>
        <w:pStyle w:val="Dipnot"/>
        <w:rPr>
          <w:lang w:val="en-US"/>
        </w:rPr>
      </w:pPr>
      <w:r>
        <w:rPr>
          <w:rStyle w:val="FootnoteReference"/>
        </w:rPr>
        <w:footnoteRef/>
      </w:r>
      <w:r>
        <w:t xml:space="preserve"> </w:t>
      </w:r>
      <w:r>
        <w:rPr>
          <w:lang w:val="en-US"/>
        </w:rPr>
        <w:tab/>
      </w:r>
      <w:r w:rsidRPr="000F0D4A">
        <w:t>221</w:t>
      </w:r>
      <w:r>
        <w:t xml:space="preserve"> </w:t>
      </w:r>
      <w:r w:rsidRPr="000F0D4A">
        <w:rPr>
          <w:i/>
          <w:iCs/>
        </w:rPr>
        <w:t>Bkz.</w:t>
      </w:r>
      <w:r w:rsidRPr="000F0D4A">
        <w:t xml:space="preserve"> </w:t>
      </w:r>
      <w:proofErr w:type="spellStart"/>
      <w:r w:rsidRPr="000F0D4A">
        <w:t>Antonin</w:t>
      </w:r>
      <w:proofErr w:type="spellEnd"/>
      <w:r w:rsidRPr="000F0D4A">
        <w:t xml:space="preserve"> </w:t>
      </w:r>
      <w:proofErr w:type="spellStart"/>
      <w:r w:rsidRPr="000F0D4A">
        <w:t>Scalia</w:t>
      </w:r>
      <w:proofErr w:type="spellEnd"/>
      <w:r w:rsidRPr="000F0D4A">
        <w:t xml:space="preserve">, </w:t>
      </w:r>
      <w:proofErr w:type="spellStart"/>
      <w:r w:rsidRPr="000F0D4A">
        <w:rPr>
          <w:i/>
          <w:iCs/>
        </w:rPr>
        <w:t>Originalism</w:t>
      </w:r>
      <w:proofErr w:type="spellEnd"/>
      <w:r w:rsidRPr="000F0D4A">
        <w:rPr>
          <w:i/>
          <w:iCs/>
        </w:rPr>
        <w:t xml:space="preserve">: </w:t>
      </w:r>
      <w:proofErr w:type="spellStart"/>
      <w:r w:rsidRPr="000F0D4A">
        <w:rPr>
          <w:i/>
          <w:iCs/>
        </w:rPr>
        <w:t>The</w:t>
      </w:r>
      <w:proofErr w:type="spellEnd"/>
      <w:r w:rsidRPr="000F0D4A">
        <w:rPr>
          <w:i/>
          <w:iCs/>
        </w:rPr>
        <w:t xml:space="preserve"> </w:t>
      </w:r>
      <w:proofErr w:type="spellStart"/>
      <w:r w:rsidRPr="000F0D4A">
        <w:rPr>
          <w:i/>
          <w:iCs/>
        </w:rPr>
        <w:t>Lesser</w:t>
      </w:r>
      <w:proofErr w:type="spellEnd"/>
      <w:r w:rsidRPr="000F0D4A">
        <w:rPr>
          <w:i/>
          <w:iCs/>
        </w:rPr>
        <w:t xml:space="preserve"> </w:t>
      </w:r>
      <w:proofErr w:type="spellStart"/>
      <w:r w:rsidRPr="000F0D4A">
        <w:rPr>
          <w:i/>
          <w:iCs/>
        </w:rPr>
        <w:t>Evil</w:t>
      </w:r>
      <w:proofErr w:type="spellEnd"/>
      <w:r w:rsidRPr="000F0D4A">
        <w:t xml:space="preserve">, 57 </w:t>
      </w:r>
      <w:r w:rsidRPr="000F0D4A">
        <w:rPr>
          <w:i/>
          <w:iCs/>
        </w:rPr>
        <w:t xml:space="preserve">U. Cin. L. </w:t>
      </w:r>
      <w:proofErr w:type="spellStart"/>
      <w:r w:rsidRPr="000F0D4A">
        <w:rPr>
          <w:i/>
          <w:iCs/>
        </w:rPr>
        <w:t>Rev</w:t>
      </w:r>
      <w:proofErr w:type="spellEnd"/>
      <w:r w:rsidRPr="000F0D4A">
        <w:rPr>
          <w:i/>
          <w:iCs/>
        </w:rPr>
        <w:t>.</w:t>
      </w:r>
      <w:r w:rsidRPr="000F0D4A">
        <w:t xml:space="preserve"> 849, 863-64 (1989) (“Yargıçların hukuku kendi arzuladıkları gibi yorumlama eğiliminde olmaları kaçınılmazdır. Bu nedenle, yargısal tarih yazımında yapılan hataların çoğunun, 1789 dönemi üzerine mevcut modern değerlerin yansıtılması yönünde olacağını düşünüyorum. Bu da, en iyi niyetle uygulandığında bile, </w:t>
      </w:r>
      <w:proofErr w:type="spellStart"/>
      <w:r w:rsidRPr="000F0D4A">
        <w:t>özgüncülüğün</w:t>
      </w:r>
      <w:proofErr w:type="spellEnd"/>
      <w:r w:rsidRPr="000F0D4A">
        <w:t xml:space="preserve"> (</w:t>
      </w:r>
      <w:proofErr w:type="spellStart"/>
      <w:r w:rsidRPr="000F0D4A">
        <w:t>originalism</w:t>
      </w:r>
      <w:proofErr w:type="spellEnd"/>
      <w:r w:rsidRPr="000F0D4A">
        <w:t>), tarihsel kayıtlarda da görüldüğü üzere, kaçınılmaz olarak bir tür uzlaşıya dönüşmesine neden olacaktır.”).</w:t>
      </w:r>
    </w:p>
  </w:footnote>
  <w:footnote w:id="222">
    <w:p w14:paraId="63599429" w14:textId="3EDCD5C8" w:rsidR="000F0D4A" w:rsidRPr="000F0D4A" w:rsidRDefault="000F0D4A" w:rsidP="000F0D4A">
      <w:pPr>
        <w:pStyle w:val="Dipnot"/>
        <w:rPr>
          <w:lang w:val="en-US"/>
        </w:rPr>
      </w:pPr>
      <w:r>
        <w:rPr>
          <w:rStyle w:val="FootnoteReference"/>
        </w:rPr>
        <w:footnoteRef/>
      </w:r>
      <w:r>
        <w:t xml:space="preserve"> </w:t>
      </w:r>
      <w:r>
        <w:rPr>
          <w:lang w:val="en-US"/>
        </w:rPr>
        <w:tab/>
      </w:r>
      <w:r w:rsidRPr="000F0D4A">
        <w:t>222</w:t>
      </w:r>
      <w:r>
        <w:t xml:space="preserve"> </w:t>
      </w:r>
      <w:r w:rsidRPr="000F0D4A">
        <w:rPr>
          <w:i/>
          <w:iCs/>
        </w:rPr>
        <w:t xml:space="preserve">Bkz. </w:t>
      </w:r>
      <w:proofErr w:type="spellStart"/>
      <w:r w:rsidRPr="000F0D4A">
        <w:rPr>
          <w:i/>
          <w:iCs/>
        </w:rPr>
        <w:t>supra</w:t>
      </w:r>
      <w:proofErr w:type="spellEnd"/>
      <w:r w:rsidRPr="000F0D4A">
        <w:t xml:space="preserve"> Bölüm II.D.</w:t>
      </w:r>
    </w:p>
  </w:footnote>
  <w:footnote w:id="223">
    <w:p w14:paraId="0418B42A" w14:textId="77899832" w:rsidR="000F0D4A" w:rsidRPr="000F0D4A" w:rsidRDefault="000F0D4A" w:rsidP="000F0D4A">
      <w:pPr>
        <w:pStyle w:val="Dipnot"/>
        <w:rPr>
          <w:lang w:val="en-US"/>
        </w:rPr>
      </w:pPr>
      <w:r>
        <w:rPr>
          <w:rStyle w:val="FootnoteReference"/>
        </w:rPr>
        <w:footnoteRef/>
      </w:r>
      <w:r>
        <w:t xml:space="preserve"> </w:t>
      </w:r>
      <w:r>
        <w:rPr>
          <w:lang w:val="en-US"/>
        </w:rPr>
        <w:tab/>
      </w:r>
      <w:r w:rsidRPr="000F0D4A">
        <w:t>223</w:t>
      </w:r>
      <w:r>
        <w:t xml:space="preserve"> </w:t>
      </w:r>
      <w:r w:rsidRPr="000F0D4A">
        <w:rPr>
          <w:i/>
          <w:iCs/>
        </w:rPr>
        <w:t xml:space="preserve">Bkz. </w:t>
      </w:r>
      <w:proofErr w:type="spellStart"/>
      <w:r w:rsidRPr="000F0D4A">
        <w:rPr>
          <w:i/>
          <w:iCs/>
        </w:rPr>
        <w:t>supra</w:t>
      </w:r>
      <w:proofErr w:type="spellEnd"/>
      <w:r w:rsidRPr="000F0D4A">
        <w:t xml:space="preserve"> Bölüm II.D.</w:t>
      </w:r>
    </w:p>
  </w:footnote>
  <w:footnote w:id="224">
    <w:p w14:paraId="5CA2394D" w14:textId="3E6CEBCA" w:rsidR="000F0D4A" w:rsidRPr="000F0D4A" w:rsidRDefault="000F0D4A" w:rsidP="000F0D4A">
      <w:pPr>
        <w:pStyle w:val="Dipnot"/>
        <w:rPr>
          <w:lang w:val="en-US"/>
        </w:rPr>
      </w:pPr>
      <w:r>
        <w:rPr>
          <w:rStyle w:val="FootnoteReference"/>
        </w:rPr>
        <w:footnoteRef/>
      </w:r>
      <w:r>
        <w:t xml:space="preserve"> </w:t>
      </w:r>
      <w:r>
        <w:rPr>
          <w:lang w:val="en-US"/>
        </w:rPr>
        <w:tab/>
      </w:r>
      <w:r w:rsidRPr="000F0D4A">
        <w:t>224</w:t>
      </w:r>
      <w:r>
        <w:t xml:space="preserve"> </w:t>
      </w:r>
      <w:r w:rsidRPr="000F0D4A">
        <w:rPr>
          <w:i/>
          <w:iCs/>
        </w:rPr>
        <w:t xml:space="preserve">Bkz. </w:t>
      </w:r>
      <w:proofErr w:type="spellStart"/>
      <w:r w:rsidRPr="000F0D4A">
        <w:rPr>
          <w:i/>
          <w:iCs/>
        </w:rPr>
        <w:t>supra</w:t>
      </w:r>
      <w:proofErr w:type="spellEnd"/>
      <w:r w:rsidRPr="000F0D4A">
        <w:t xml:space="preserve"> Bölüm II.B.</w:t>
      </w:r>
    </w:p>
  </w:footnote>
  <w:footnote w:id="225">
    <w:p w14:paraId="111E93F2" w14:textId="0ED54BE3" w:rsidR="000F0D4A" w:rsidRPr="000F0D4A" w:rsidRDefault="000F0D4A" w:rsidP="000F0D4A">
      <w:pPr>
        <w:pStyle w:val="Dipnot"/>
        <w:rPr>
          <w:lang w:val="en-US"/>
        </w:rPr>
      </w:pPr>
      <w:r>
        <w:rPr>
          <w:rStyle w:val="FootnoteReference"/>
        </w:rPr>
        <w:footnoteRef/>
      </w:r>
      <w:r>
        <w:t xml:space="preserve">  </w:t>
      </w:r>
      <w:r>
        <w:tab/>
      </w:r>
      <w:r w:rsidRPr="000F0D4A">
        <w:t>225</w:t>
      </w:r>
      <w:r>
        <w:t xml:space="preserve"> </w:t>
      </w:r>
      <w:r w:rsidRPr="000F0D4A">
        <w:rPr>
          <w:i/>
          <w:iCs/>
        </w:rPr>
        <w:t xml:space="preserve">Bkz. </w:t>
      </w:r>
      <w:proofErr w:type="spellStart"/>
      <w:r w:rsidRPr="000F0D4A">
        <w:rPr>
          <w:i/>
          <w:iCs/>
        </w:rPr>
        <w:t>supra</w:t>
      </w:r>
      <w:proofErr w:type="spellEnd"/>
      <w:r w:rsidRPr="000F0D4A">
        <w:t xml:space="preserve"> Bölüm II.C.</w:t>
      </w:r>
    </w:p>
  </w:footnote>
  <w:footnote w:id="226">
    <w:p w14:paraId="55E444CB" w14:textId="5E3B5BF2" w:rsidR="000F0D4A" w:rsidRPr="000F0D4A" w:rsidRDefault="000F0D4A" w:rsidP="000F0D4A">
      <w:pPr>
        <w:pStyle w:val="Dipnot"/>
        <w:rPr>
          <w:lang w:val="en-US"/>
        </w:rPr>
      </w:pPr>
      <w:r>
        <w:rPr>
          <w:rStyle w:val="FootnoteReference"/>
        </w:rPr>
        <w:footnoteRef/>
      </w:r>
      <w:r>
        <w:t xml:space="preserve"> </w:t>
      </w:r>
      <w:r>
        <w:rPr>
          <w:lang w:val="en-US"/>
        </w:rPr>
        <w:tab/>
      </w:r>
      <w:r w:rsidRPr="000F0D4A">
        <w:t>226</w:t>
      </w:r>
      <w:r>
        <w:t xml:space="preserve"> </w:t>
      </w:r>
      <w:r w:rsidRPr="000F0D4A">
        <w:rPr>
          <w:i/>
          <w:iCs/>
        </w:rPr>
        <w:t xml:space="preserve">Bkz. </w:t>
      </w:r>
      <w:proofErr w:type="spellStart"/>
      <w:r w:rsidRPr="000F0D4A">
        <w:rPr>
          <w:i/>
          <w:iCs/>
        </w:rPr>
        <w:t>supra</w:t>
      </w:r>
      <w:proofErr w:type="spellEnd"/>
      <w:r w:rsidRPr="000F0D4A">
        <w:t xml:space="preserve"> dipnot 191 ile ilgili metin.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F2A3D"/>
    <w:multiLevelType w:val="hybridMultilevel"/>
    <w:tmpl w:val="37CCDB2A"/>
    <w:lvl w:ilvl="0" w:tplc="A8BCE9A8">
      <w:start w:val="1"/>
      <w:numFmt w:val="decimal"/>
      <w:lvlText w:val="%1."/>
      <w:lvlJc w:val="left"/>
      <w:pPr>
        <w:ind w:left="1494" w:hanging="360"/>
      </w:pPr>
      <w:rPr>
        <w:rFonts w:cstheme="minorBidi"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68F164D"/>
    <w:multiLevelType w:val="hybridMultilevel"/>
    <w:tmpl w:val="995025C2"/>
    <w:lvl w:ilvl="0" w:tplc="A95CC19C">
      <w:start w:val="1"/>
      <w:numFmt w:val="upperLetter"/>
      <w:pStyle w:val="Heading3"/>
      <w:lvlText w:val="%1."/>
      <w:lvlJc w:val="left"/>
      <w:pPr>
        <w:ind w:left="644"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1D4E6D"/>
    <w:multiLevelType w:val="hybridMultilevel"/>
    <w:tmpl w:val="4CACC280"/>
    <w:lvl w:ilvl="0" w:tplc="3F5C1046">
      <w:start w:val="1"/>
      <w:numFmt w:val="upperRoman"/>
      <w:pStyle w:val="Heading2"/>
      <w:lvlText w:val="%1."/>
      <w:lvlJc w:val="righ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2FA6AF8"/>
    <w:multiLevelType w:val="multilevel"/>
    <w:tmpl w:val="DD56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61356"/>
    <w:multiLevelType w:val="multilevel"/>
    <w:tmpl w:val="E9FA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9147BA"/>
    <w:multiLevelType w:val="hybridMultilevel"/>
    <w:tmpl w:val="638C7AE4"/>
    <w:lvl w:ilvl="0" w:tplc="A8BCE9A8">
      <w:start w:val="1"/>
      <w:numFmt w:val="decimal"/>
      <w:lvlText w:val="%1."/>
      <w:lvlJc w:val="left"/>
      <w:pPr>
        <w:ind w:left="927" w:hanging="360"/>
      </w:pPr>
      <w:rPr>
        <w:rFonts w:cstheme="minorBidi"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56E13B60"/>
    <w:multiLevelType w:val="hybridMultilevel"/>
    <w:tmpl w:val="474EDE62"/>
    <w:lvl w:ilvl="0" w:tplc="FE049362">
      <w:start w:val="1"/>
      <w:numFmt w:val="decimal"/>
      <w:pStyle w:val="Heading4"/>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7982A8B"/>
    <w:multiLevelType w:val="hybridMultilevel"/>
    <w:tmpl w:val="4D8A1C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DA82172"/>
    <w:multiLevelType w:val="hybridMultilevel"/>
    <w:tmpl w:val="863082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6E6358A"/>
    <w:multiLevelType w:val="multilevel"/>
    <w:tmpl w:val="6E9A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63BFE"/>
    <w:multiLevelType w:val="hybridMultilevel"/>
    <w:tmpl w:val="5EF8DEC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7AF61061"/>
    <w:multiLevelType w:val="hybridMultilevel"/>
    <w:tmpl w:val="154C59D6"/>
    <w:lvl w:ilvl="0" w:tplc="A8BCE9A8">
      <w:start w:val="1"/>
      <w:numFmt w:val="decimal"/>
      <w:lvlText w:val="%1."/>
      <w:lvlJc w:val="left"/>
      <w:pPr>
        <w:ind w:left="1494" w:hanging="360"/>
      </w:pPr>
      <w:rPr>
        <w:rFonts w:cstheme="minorBidi"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F117126"/>
    <w:multiLevelType w:val="hybridMultilevel"/>
    <w:tmpl w:val="FEE8C9D6"/>
    <w:lvl w:ilvl="0" w:tplc="9754FFE2">
      <w:start w:val="1"/>
      <w:numFmt w:val="lowerLetter"/>
      <w:pStyle w:val="Heading5"/>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79268439">
    <w:abstractNumId w:val="2"/>
  </w:num>
  <w:num w:numId="2" w16cid:durableId="76758211">
    <w:abstractNumId w:val="6"/>
  </w:num>
  <w:num w:numId="3" w16cid:durableId="645478999">
    <w:abstractNumId w:val="12"/>
  </w:num>
  <w:num w:numId="4" w16cid:durableId="362289879">
    <w:abstractNumId w:val="1"/>
  </w:num>
  <w:num w:numId="5" w16cid:durableId="776829785">
    <w:abstractNumId w:val="4"/>
  </w:num>
  <w:num w:numId="6" w16cid:durableId="1980919797">
    <w:abstractNumId w:val="1"/>
    <w:lvlOverride w:ilvl="0">
      <w:startOverride w:val="1"/>
    </w:lvlOverride>
  </w:num>
  <w:num w:numId="7" w16cid:durableId="182548743">
    <w:abstractNumId w:val="1"/>
    <w:lvlOverride w:ilvl="0">
      <w:startOverride w:val="1"/>
    </w:lvlOverride>
  </w:num>
  <w:num w:numId="8" w16cid:durableId="960766277">
    <w:abstractNumId w:val="1"/>
    <w:lvlOverride w:ilvl="0">
      <w:startOverride w:val="1"/>
    </w:lvlOverride>
  </w:num>
  <w:num w:numId="9" w16cid:durableId="765266704">
    <w:abstractNumId w:val="1"/>
    <w:lvlOverride w:ilvl="0">
      <w:startOverride w:val="1"/>
    </w:lvlOverride>
  </w:num>
  <w:num w:numId="10" w16cid:durableId="1663923194">
    <w:abstractNumId w:val="1"/>
    <w:lvlOverride w:ilvl="0">
      <w:startOverride w:val="1"/>
    </w:lvlOverride>
  </w:num>
  <w:num w:numId="11" w16cid:durableId="2084133640">
    <w:abstractNumId w:val="3"/>
  </w:num>
  <w:num w:numId="12" w16cid:durableId="1354184562">
    <w:abstractNumId w:val="9"/>
  </w:num>
  <w:num w:numId="13" w16cid:durableId="643660223">
    <w:abstractNumId w:val="8"/>
  </w:num>
  <w:num w:numId="14" w16cid:durableId="762603475">
    <w:abstractNumId w:val="7"/>
  </w:num>
  <w:num w:numId="15" w16cid:durableId="1087726184">
    <w:abstractNumId w:val="10"/>
  </w:num>
  <w:num w:numId="16" w16cid:durableId="384649293">
    <w:abstractNumId w:val="2"/>
    <w:lvlOverride w:ilvl="0">
      <w:startOverride w:val="1"/>
    </w:lvlOverride>
  </w:num>
  <w:num w:numId="17" w16cid:durableId="1546061459">
    <w:abstractNumId w:val="5"/>
  </w:num>
  <w:num w:numId="18" w16cid:durableId="1921794749">
    <w:abstractNumId w:val="0"/>
  </w:num>
  <w:num w:numId="19" w16cid:durableId="1148011180">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23"/>
    <w:rsid w:val="0000020C"/>
    <w:rsid w:val="00000D64"/>
    <w:rsid w:val="000015F5"/>
    <w:rsid w:val="000015F8"/>
    <w:rsid w:val="00001EAE"/>
    <w:rsid w:val="0000258A"/>
    <w:rsid w:val="000036DD"/>
    <w:rsid w:val="00003A0D"/>
    <w:rsid w:val="00004599"/>
    <w:rsid w:val="0000478F"/>
    <w:rsid w:val="000047D8"/>
    <w:rsid w:val="000055C6"/>
    <w:rsid w:val="0000574E"/>
    <w:rsid w:val="00005819"/>
    <w:rsid w:val="00006755"/>
    <w:rsid w:val="00006B73"/>
    <w:rsid w:val="00006D97"/>
    <w:rsid w:val="00006EDD"/>
    <w:rsid w:val="000075B2"/>
    <w:rsid w:val="000077F3"/>
    <w:rsid w:val="0001037F"/>
    <w:rsid w:val="000107D3"/>
    <w:rsid w:val="00010C8D"/>
    <w:rsid w:val="00011258"/>
    <w:rsid w:val="000115C6"/>
    <w:rsid w:val="00011733"/>
    <w:rsid w:val="00011A16"/>
    <w:rsid w:val="00011FF6"/>
    <w:rsid w:val="00012DAF"/>
    <w:rsid w:val="000132A7"/>
    <w:rsid w:val="000134B1"/>
    <w:rsid w:val="000135A4"/>
    <w:rsid w:val="00013646"/>
    <w:rsid w:val="00013C9A"/>
    <w:rsid w:val="00014125"/>
    <w:rsid w:val="00014711"/>
    <w:rsid w:val="00015AD6"/>
    <w:rsid w:val="00016A51"/>
    <w:rsid w:val="00016E24"/>
    <w:rsid w:val="000170D0"/>
    <w:rsid w:val="00017430"/>
    <w:rsid w:val="00017B87"/>
    <w:rsid w:val="00017CD6"/>
    <w:rsid w:val="000200B3"/>
    <w:rsid w:val="000204A9"/>
    <w:rsid w:val="00020516"/>
    <w:rsid w:val="00021260"/>
    <w:rsid w:val="00021270"/>
    <w:rsid w:val="0002132C"/>
    <w:rsid w:val="000219FE"/>
    <w:rsid w:val="00021CFD"/>
    <w:rsid w:val="00021F2E"/>
    <w:rsid w:val="000223FA"/>
    <w:rsid w:val="00022DDF"/>
    <w:rsid w:val="000233AD"/>
    <w:rsid w:val="000234F6"/>
    <w:rsid w:val="0002398D"/>
    <w:rsid w:val="00023F65"/>
    <w:rsid w:val="000244E9"/>
    <w:rsid w:val="000248D2"/>
    <w:rsid w:val="00024A6E"/>
    <w:rsid w:val="00024DDF"/>
    <w:rsid w:val="00025960"/>
    <w:rsid w:val="00025EC8"/>
    <w:rsid w:val="000262AD"/>
    <w:rsid w:val="0002656D"/>
    <w:rsid w:val="00026950"/>
    <w:rsid w:val="00026969"/>
    <w:rsid w:val="00027244"/>
    <w:rsid w:val="0002758F"/>
    <w:rsid w:val="0003027F"/>
    <w:rsid w:val="00030511"/>
    <w:rsid w:val="00030DC0"/>
    <w:rsid w:val="00031363"/>
    <w:rsid w:val="00032660"/>
    <w:rsid w:val="000327B0"/>
    <w:rsid w:val="00033441"/>
    <w:rsid w:val="0003364F"/>
    <w:rsid w:val="00033681"/>
    <w:rsid w:val="000336FE"/>
    <w:rsid w:val="000338C1"/>
    <w:rsid w:val="00033F64"/>
    <w:rsid w:val="0003438E"/>
    <w:rsid w:val="0003512C"/>
    <w:rsid w:val="00035558"/>
    <w:rsid w:val="00035B2D"/>
    <w:rsid w:val="00035EE5"/>
    <w:rsid w:val="000363F8"/>
    <w:rsid w:val="00036448"/>
    <w:rsid w:val="00036750"/>
    <w:rsid w:val="00037041"/>
    <w:rsid w:val="000373AF"/>
    <w:rsid w:val="0003788E"/>
    <w:rsid w:val="00037B24"/>
    <w:rsid w:val="00037C43"/>
    <w:rsid w:val="000402F9"/>
    <w:rsid w:val="0004091D"/>
    <w:rsid w:val="00040BEE"/>
    <w:rsid w:val="00041452"/>
    <w:rsid w:val="00041BDB"/>
    <w:rsid w:val="00041C7A"/>
    <w:rsid w:val="00041D8F"/>
    <w:rsid w:val="00041E69"/>
    <w:rsid w:val="0004243A"/>
    <w:rsid w:val="000425E5"/>
    <w:rsid w:val="000426A0"/>
    <w:rsid w:val="00042C93"/>
    <w:rsid w:val="00043344"/>
    <w:rsid w:val="00043568"/>
    <w:rsid w:val="0004367E"/>
    <w:rsid w:val="00043A34"/>
    <w:rsid w:val="0004471B"/>
    <w:rsid w:val="0004502D"/>
    <w:rsid w:val="000452D9"/>
    <w:rsid w:val="00045624"/>
    <w:rsid w:val="000459AB"/>
    <w:rsid w:val="00045C06"/>
    <w:rsid w:val="00045F45"/>
    <w:rsid w:val="00046813"/>
    <w:rsid w:val="0004691A"/>
    <w:rsid w:val="00046B34"/>
    <w:rsid w:val="00046BBB"/>
    <w:rsid w:val="000505B2"/>
    <w:rsid w:val="000505D2"/>
    <w:rsid w:val="000507CD"/>
    <w:rsid w:val="000508C6"/>
    <w:rsid w:val="00050AC5"/>
    <w:rsid w:val="00051329"/>
    <w:rsid w:val="00052364"/>
    <w:rsid w:val="00052798"/>
    <w:rsid w:val="00053022"/>
    <w:rsid w:val="00053333"/>
    <w:rsid w:val="00053B0D"/>
    <w:rsid w:val="000540CF"/>
    <w:rsid w:val="000541CF"/>
    <w:rsid w:val="0005451E"/>
    <w:rsid w:val="00054830"/>
    <w:rsid w:val="000549DE"/>
    <w:rsid w:val="00055453"/>
    <w:rsid w:val="00055C0A"/>
    <w:rsid w:val="00056487"/>
    <w:rsid w:val="000570C6"/>
    <w:rsid w:val="00057518"/>
    <w:rsid w:val="00057C82"/>
    <w:rsid w:val="0006017F"/>
    <w:rsid w:val="000611DB"/>
    <w:rsid w:val="000618D8"/>
    <w:rsid w:val="00061AE0"/>
    <w:rsid w:val="00061B25"/>
    <w:rsid w:val="000624F0"/>
    <w:rsid w:val="000628EE"/>
    <w:rsid w:val="00062B83"/>
    <w:rsid w:val="00063548"/>
    <w:rsid w:val="0006367F"/>
    <w:rsid w:val="00063696"/>
    <w:rsid w:val="00063E78"/>
    <w:rsid w:val="0006440D"/>
    <w:rsid w:val="000645F7"/>
    <w:rsid w:val="000647C6"/>
    <w:rsid w:val="0006593A"/>
    <w:rsid w:val="00065942"/>
    <w:rsid w:val="00065FC4"/>
    <w:rsid w:val="0006621A"/>
    <w:rsid w:val="0006685B"/>
    <w:rsid w:val="00066E77"/>
    <w:rsid w:val="00067675"/>
    <w:rsid w:val="0006793A"/>
    <w:rsid w:val="00070638"/>
    <w:rsid w:val="00070A33"/>
    <w:rsid w:val="00070A64"/>
    <w:rsid w:val="000713C9"/>
    <w:rsid w:val="00071864"/>
    <w:rsid w:val="00071C3D"/>
    <w:rsid w:val="000721E0"/>
    <w:rsid w:val="00072810"/>
    <w:rsid w:val="00072854"/>
    <w:rsid w:val="0007290F"/>
    <w:rsid w:val="00073124"/>
    <w:rsid w:val="000731A3"/>
    <w:rsid w:val="00073418"/>
    <w:rsid w:val="0007392B"/>
    <w:rsid w:val="00073B4E"/>
    <w:rsid w:val="00073B8A"/>
    <w:rsid w:val="00073DB0"/>
    <w:rsid w:val="0007400D"/>
    <w:rsid w:val="00074F53"/>
    <w:rsid w:val="00075499"/>
    <w:rsid w:val="000759DE"/>
    <w:rsid w:val="00075A0B"/>
    <w:rsid w:val="00075AB1"/>
    <w:rsid w:val="00075BAE"/>
    <w:rsid w:val="00076784"/>
    <w:rsid w:val="00076E43"/>
    <w:rsid w:val="00077D6F"/>
    <w:rsid w:val="00077D9E"/>
    <w:rsid w:val="00080B4E"/>
    <w:rsid w:val="0008214F"/>
    <w:rsid w:val="000826A2"/>
    <w:rsid w:val="0008278B"/>
    <w:rsid w:val="00082AD4"/>
    <w:rsid w:val="00082E0E"/>
    <w:rsid w:val="000836DA"/>
    <w:rsid w:val="00084C83"/>
    <w:rsid w:val="00084E7A"/>
    <w:rsid w:val="0008531B"/>
    <w:rsid w:val="0008551C"/>
    <w:rsid w:val="000855AC"/>
    <w:rsid w:val="00085928"/>
    <w:rsid w:val="00085B5C"/>
    <w:rsid w:val="000864B4"/>
    <w:rsid w:val="000871F4"/>
    <w:rsid w:val="0008793C"/>
    <w:rsid w:val="00087E12"/>
    <w:rsid w:val="00090033"/>
    <w:rsid w:val="0009045F"/>
    <w:rsid w:val="00090C38"/>
    <w:rsid w:val="000911B7"/>
    <w:rsid w:val="00091F76"/>
    <w:rsid w:val="00092232"/>
    <w:rsid w:val="0009239D"/>
    <w:rsid w:val="0009276A"/>
    <w:rsid w:val="00092C93"/>
    <w:rsid w:val="0009304D"/>
    <w:rsid w:val="00093343"/>
    <w:rsid w:val="00093828"/>
    <w:rsid w:val="00094596"/>
    <w:rsid w:val="00094A70"/>
    <w:rsid w:val="00094CEA"/>
    <w:rsid w:val="00095212"/>
    <w:rsid w:val="000957A9"/>
    <w:rsid w:val="000958D4"/>
    <w:rsid w:val="0009603D"/>
    <w:rsid w:val="0009613A"/>
    <w:rsid w:val="00096CF5"/>
    <w:rsid w:val="00097C63"/>
    <w:rsid w:val="00097ECE"/>
    <w:rsid w:val="000A0164"/>
    <w:rsid w:val="000A124F"/>
    <w:rsid w:val="000A199D"/>
    <w:rsid w:val="000A1B19"/>
    <w:rsid w:val="000A1D76"/>
    <w:rsid w:val="000A233C"/>
    <w:rsid w:val="000A2789"/>
    <w:rsid w:val="000A2C95"/>
    <w:rsid w:val="000A2D59"/>
    <w:rsid w:val="000A346E"/>
    <w:rsid w:val="000A3998"/>
    <w:rsid w:val="000A4BA0"/>
    <w:rsid w:val="000A4F02"/>
    <w:rsid w:val="000A53A5"/>
    <w:rsid w:val="000A54C8"/>
    <w:rsid w:val="000A55E2"/>
    <w:rsid w:val="000A5BAF"/>
    <w:rsid w:val="000A5E70"/>
    <w:rsid w:val="000A6675"/>
    <w:rsid w:val="000A66A6"/>
    <w:rsid w:val="000A6D62"/>
    <w:rsid w:val="000A6E16"/>
    <w:rsid w:val="000A703D"/>
    <w:rsid w:val="000A7442"/>
    <w:rsid w:val="000A744F"/>
    <w:rsid w:val="000B0B80"/>
    <w:rsid w:val="000B1555"/>
    <w:rsid w:val="000B192A"/>
    <w:rsid w:val="000B1BF6"/>
    <w:rsid w:val="000B1DA3"/>
    <w:rsid w:val="000B1E27"/>
    <w:rsid w:val="000B2BC2"/>
    <w:rsid w:val="000B2EA7"/>
    <w:rsid w:val="000B3402"/>
    <w:rsid w:val="000B39C7"/>
    <w:rsid w:val="000B41CE"/>
    <w:rsid w:val="000B5393"/>
    <w:rsid w:val="000B54D4"/>
    <w:rsid w:val="000B5790"/>
    <w:rsid w:val="000B5853"/>
    <w:rsid w:val="000B6358"/>
    <w:rsid w:val="000B6851"/>
    <w:rsid w:val="000B6B20"/>
    <w:rsid w:val="000B6E76"/>
    <w:rsid w:val="000B7967"/>
    <w:rsid w:val="000C00C8"/>
    <w:rsid w:val="000C05E3"/>
    <w:rsid w:val="000C0605"/>
    <w:rsid w:val="000C0778"/>
    <w:rsid w:val="000C0796"/>
    <w:rsid w:val="000C0E70"/>
    <w:rsid w:val="000C1BD7"/>
    <w:rsid w:val="000C1CD7"/>
    <w:rsid w:val="000C1EF9"/>
    <w:rsid w:val="000C24E2"/>
    <w:rsid w:val="000C4AB6"/>
    <w:rsid w:val="000C50BE"/>
    <w:rsid w:val="000C53A5"/>
    <w:rsid w:val="000C5A0F"/>
    <w:rsid w:val="000C5A6C"/>
    <w:rsid w:val="000C67AC"/>
    <w:rsid w:val="000C6EEB"/>
    <w:rsid w:val="000C7472"/>
    <w:rsid w:val="000C7B02"/>
    <w:rsid w:val="000C7D76"/>
    <w:rsid w:val="000D00B6"/>
    <w:rsid w:val="000D01FB"/>
    <w:rsid w:val="000D0461"/>
    <w:rsid w:val="000D0490"/>
    <w:rsid w:val="000D0625"/>
    <w:rsid w:val="000D0A5D"/>
    <w:rsid w:val="000D0CE7"/>
    <w:rsid w:val="000D0F9C"/>
    <w:rsid w:val="000D10C7"/>
    <w:rsid w:val="000D16B9"/>
    <w:rsid w:val="000D17D2"/>
    <w:rsid w:val="000D1D63"/>
    <w:rsid w:val="000D20DC"/>
    <w:rsid w:val="000D26A9"/>
    <w:rsid w:val="000D3857"/>
    <w:rsid w:val="000D38D5"/>
    <w:rsid w:val="000D4034"/>
    <w:rsid w:val="000D4236"/>
    <w:rsid w:val="000D439E"/>
    <w:rsid w:val="000D45B9"/>
    <w:rsid w:val="000D48ED"/>
    <w:rsid w:val="000D494B"/>
    <w:rsid w:val="000D4AEB"/>
    <w:rsid w:val="000D5145"/>
    <w:rsid w:val="000D566C"/>
    <w:rsid w:val="000D5E0C"/>
    <w:rsid w:val="000D614A"/>
    <w:rsid w:val="000D658E"/>
    <w:rsid w:val="000D6EB9"/>
    <w:rsid w:val="000D6F93"/>
    <w:rsid w:val="000D7185"/>
    <w:rsid w:val="000D74E0"/>
    <w:rsid w:val="000D79E1"/>
    <w:rsid w:val="000D7A9C"/>
    <w:rsid w:val="000D7DDB"/>
    <w:rsid w:val="000D7EE7"/>
    <w:rsid w:val="000E12C7"/>
    <w:rsid w:val="000E199B"/>
    <w:rsid w:val="000E1C7A"/>
    <w:rsid w:val="000E35E8"/>
    <w:rsid w:val="000E3CCF"/>
    <w:rsid w:val="000E3ED3"/>
    <w:rsid w:val="000E4CE4"/>
    <w:rsid w:val="000E50C7"/>
    <w:rsid w:val="000E5805"/>
    <w:rsid w:val="000E593A"/>
    <w:rsid w:val="000E5B5A"/>
    <w:rsid w:val="000E606B"/>
    <w:rsid w:val="000E64E2"/>
    <w:rsid w:val="000E6953"/>
    <w:rsid w:val="000E6CFF"/>
    <w:rsid w:val="000E7178"/>
    <w:rsid w:val="000E71AE"/>
    <w:rsid w:val="000E7613"/>
    <w:rsid w:val="000E7B50"/>
    <w:rsid w:val="000E7BFF"/>
    <w:rsid w:val="000F03D1"/>
    <w:rsid w:val="000F0D4A"/>
    <w:rsid w:val="000F1636"/>
    <w:rsid w:val="000F283A"/>
    <w:rsid w:val="000F2D72"/>
    <w:rsid w:val="000F35D1"/>
    <w:rsid w:val="000F35D3"/>
    <w:rsid w:val="000F491D"/>
    <w:rsid w:val="000F4DA1"/>
    <w:rsid w:val="000F5803"/>
    <w:rsid w:val="000F58C0"/>
    <w:rsid w:val="000F5F45"/>
    <w:rsid w:val="000F5F85"/>
    <w:rsid w:val="000F6B8F"/>
    <w:rsid w:val="000F7907"/>
    <w:rsid w:val="000F7B24"/>
    <w:rsid w:val="000F7E5E"/>
    <w:rsid w:val="001001EA"/>
    <w:rsid w:val="001008FE"/>
    <w:rsid w:val="00101144"/>
    <w:rsid w:val="0010145D"/>
    <w:rsid w:val="001040D4"/>
    <w:rsid w:val="001045C3"/>
    <w:rsid w:val="001045F0"/>
    <w:rsid w:val="00104765"/>
    <w:rsid w:val="00104850"/>
    <w:rsid w:val="00104C3F"/>
    <w:rsid w:val="0010510E"/>
    <w:rsid w:val="00106258"/>
    <w:rsid w:val="001070EF"/>
    <w:rsid w:val="001071C2"/>
    <w:rsid w:val="0011037F"/>
    <w:rsid w:val="001112CE"/>
    <w:rsid w:val="001116B4"/>
    <w:rsid w:val="00111FE3"/>
    <w:rsid w:val="001120C5"/>
    <w:rsid w:val="00112A6A"/>
    <w:rsid w:val="00112A82"/>
    <w:rsid w:val="00112EF9"/>
    <w:rsid w:val="001139CC"/>
    <w:rsid w:val="00113EC7"/>
    <w:rsid w:val="00113ED2"/>
    <w:rsid w:val="0011467A"/>
    <w:rsid w:val="0011468B"/>
    <w:rsid w:val="00115E0D"/>
    <w:rsid w:val="00116192"/>
    <w:rsid w:val="00116714"/>
    <w:rsid w:val="00117111"/>
    <w:rsid w:val="0011732C"/>
    <w:rsid w:val="001176D6"/>
    <w:rsid w:val="00117894"/>
    <w:rsid w:val="00117DED"/>
    <w:rsid w:val="001212E8"/>
    <w:rsid w:val="001213AF"/>
    <w:rsid w:val="001213E6"/>
    <w:rsid w:val="001215F3"/>
    <w:rsid w:val="00121ADF"/>
    <w:rsid w:val="00121F2C"/>
    <w:rsid w:val="001223C9"/>
    <w:rsid w:val="0012265E"/>
    <w:rsid w:val="00122E23"/>
    <w:rsid w:val="00123220"/>
    <w:rsid w:val="0012426A"/>
    <w:rsid w:val="00124594"/>
    <w:rsid w:val="00124687"/>
    <w:rsid w:val="00124E4A"/>
    <w:rsid w:val="001254F5"/>
    <w:rsid w:val="00125C0D"/>
    <w:rsid w:val="00126498"/>
    <w:rsid w:val="00126F40"/>
    <w:rsid w:val="00127042"/>
    <w:rsid w:val="00127696"/>
    <w:rsid w:val="00127C47"/>
    <w:rsid w:val="00127E2C"/>
    <w:rsid w:val="00127E90"/>
    <w:rsid w:val="001315C5"/>
    <w:rsid w:val="00132C61"/>
    <w:rsid w:val="00132FF7"/>
    <w:rsid w:val="00133783"/>
    <w:rsid w:val="00133E6D"/>
    <w:rsid w:val="00133FC4"/>
    <w:rsid w:val="00135564"/>
    <w:rsid w:val="00135752"/>
    <w:rsid w:val="00135966"/>
    <w:rsid w:val="00135A63"/>
    <w:rsid w:val="00135AF3"/>
    <w:rsid w:val="00136E72"/>
    <w:rsid w:val="00137069"/>
    <w:rsid w:val="001373AD"/>
    <w:rsid w:val="00140138"/>
    <w:rsid w:val="00140859"/>
    <w:rsid w:val="00140892"/>
    <w:rsid w:val="001409C8"/>
    <w:rsid w:val="00141CA9"/>
    <w:rsid w:val="001422FC"/>
    <w:rsid w:val="00142337"/>
    <w:rsid w:val="00142B53"/>
    <w:rsid w:val="00142E53"/>
    <w:rsid w:val="00143071"/>
    <w:rsid w:val="00143FE1"/>
    <w:rsid w:val="001441C7"/>
    <w:rsid w:val="00144954"/>
    <w:rsid w:val="001452E4"/>
    <w:rsid w:val="00145F73"/>
    <w:rsid w:val="001460EA"/>
    <w:rsid w:val="0014621B"/>
    <w:rsid w:val="00146423"/>
    <w:rsid w:val="001467D3"/>
    <w:rsid w:val="00147569"/>
    <w:rsid w:val="001475FD"/>
    <w:rsid w:val="00147828"/>
    <w:rsid w:val="001478DF"/>
    <w:rsid w:val="00147BD1"/>
    <w:rsid w:val="00150CF9"/>
    <w:rsid w:val="00150F72"/>
    <w:rsid w:val="001526A8"/>
    <w:rsid w:val="00152860"/>
    <w:rsid w:val="00152C0F"/>
    <w:rsid w:val="0015331D"/>
    <w:rsid w:val="001534F6"/>
    <w:rsid w:val="00153E88"/>
    <w:rsid w:val="001541B1"/>
    <w:rsid w:val="0015427C"/>
    <w:rsid w:val="00154A5A"/>
    <w:rsid w:val="00154BCE"/>
    <w:rsid w:val="00154E9D"/>
    <w:rsid w:val="00155152"/>
    <w:rsid w:val="001556CB"/>
    <w:rsid w:val="00156EDC"/>
    <w:rsid w:val="00157041"/>
    <w:rsid w:val="001570BE"/>
    <w:rsid w:val="001575C0"/>
    <w:rsid w:val="00160E5C"/>
    <w:rsid w:val="001619C5"/>
    <w:rsid w:val="00161D37"/>
    <w:rsid w:val="00162607"/>
    <w:rsid w:val="00162812"/>
    <w:rsid w:val="00162AAE"/>
    <w:rsid w:val="00164112"/>
    <w:rsid w:val="0016516E"/>
    <w:rsid w:val="00165351"/>
    <w:rsid w:val="00165A11"/>
    <w:rsid w:val="001665B3"/>
    <w:rsid w:val="001667C1"/>
    <w:rsid w:val="001671FC"/>
    <w:rsid w:val="00167B17"/>
    <w:rsid w:val="00167F5C"/>
    <w:rsid w:val="0017037D"/>
    <w:rsid w:val="001703BD"/>
    <w:rsid w:val="001704B1"/>
    <w:rsid w:val="00170570"/>
    <w:rsid w:val="00170F79"/>
    <w:rsid w:val="0017189C"/>
    <w:rsid w:val="0017190C"/>
    <w:rsid w:val="00171ABB"/>
    <w:rsid w:val="00171C54"/>
    <w:rsid w:val="00172557"/>
    <w:rsid w:val="00172884"/>
    <w:rsid w:val="00172CDE"/>
    <w:rsid w:val="00176053"/>
    <w:rsid w:val="001762E4"/>
    <w:rsid w:val="00176C30"/>
    <w:rsid w:val="00176D85"/>
    <w:rsid w:val="00176F22"/>
    <w:rsid w:val="001770AB"/>
    <w:rsid w:val="001802F0"/>
    <w:rsid w:val="0018085E"/>
    <w:rsid w:val="00180EB0"/>
    <w:rsid w:val="001811C3"/>
    <w:rsid w:val="0018130C"/>
    <w:rsid w:val="00181A7C"/>
    <w:rsid w:val="00181C77"/>
    <w:rsid w:val="00181F24"/>
    <w:rsid w:val="00181F71"/>
    <w:rsid w:val="001823C2"/>
    <w:rsid w:val="00182C27"/>
    <w:rsid w:val="00182FA9"/>
    <w:rsid w:val="00182FEC"/>
    <w:rsid w:val="001834D9"/>
    <w:rsid w:val="00183975"/>
    <w:rsid w:val="001843EA"/>
    <w:rsid w:val="00184434"/>
    <w:rsid w:val="001844D2"/>
    <w:rsid w:val="001847BD"/>
    <w:rsid w:val="00185DBC"/>
    <w:rsid w:val="00185DF5"/>
    <w:rsid w:val="00185F48"/>
    <w:rsid w:val="0018600E"/>
    <w:rsid w:val="00186525"/>
    <w:rsid w:val="00186631"/>
    <w:rsid w:val="001867B5"/>
    <w:rsid w:val="00186A3B"/>
    <w:rsid w:val="001873B7"/>
    <w:rsid w:val="00187C42"/>
    <w:rsid w:val="00187EA5"/>
    <w:rsid w:val="0019075A"/>
    <w:rsid w:val="00190943"/>
    <w:rsid w:val="00192CBA"/>
    <w:rsid w:val="00192EEC"/>
    <w:rsid w:val="00193956"/>
    <w:rsid w:val="00193D72"/>
    <w:rsid w:val="00194014"/>
    <w:rsid w:val="00194264"/>
    <w:rsid w:val="00194299"/>
    <w:rsid w:val="00194435"/>
    <w:rsid w:val="001949D6"/>
    <w:rsid w:val="00194A14"/>
    <w:rsid w:val="00194F18"/>
    <w:rsid w:val="0019510D"/>
    <w:rsid w:val="00195558"/>
    <w:rsid w:val="001955DE"/>
    <w:rsid w:val="001958AD"/>
    <w:rsid w:val="00195E2E"/>
    <w:rsid w:val="00195F87"/>
    <w:rsid w:val="00196365"/>
    <w:rsid w:val="001A0767"/>
    <w:rsid w:val="001A100A"/>
    <w:rsid w:val="001A1167"/>
    <w:rsid w:val="001A1A50"/>
    <w:rsid w:val="001A1C47"/>
    <w:rsid w:val="001A2463"/>
    <w:rsid w:val="001A281C"/>
    <w:rsid w:val="001A2ADB"/>
    <w:rsid w:val="001A2E1B"/>
    <w:rsid w:val="001A3011"/>
    <w:rsid w:val="001A4AFF"/>
    <w:rsid w:val="001A4C09"/>
    <w:rsid w:val="001A4D0A"/>
    <w:rsid w:val="001A5439"/>
    <w:rsid w:val="001A5DAA"/>
    <w:rsid w:val="001A63F9"/>
    <w:rsid w:val="001A685B"/>
    <w:rsid w:val="001A68B0"/>
    <w:rsid w:val="001B0C52"/>
    <w:rsid w:val="001B11F0"/>
    <w:rsid w:val="001B1ADC"/>
    <w:rsid w:val="001B2505"/>
    <w:rsid w:val="001B2DF6"/>
    <w:rsid w:val="001B3B07"/>
    <w:rsid w:val="001B3DFD"/>
    <w:rsid w:val="001B4560"/>
    <w:rsid w:val="001B4C1F"/>
    <w:rsid w:val="001B4CE9"/>
    <w:rsid w:val="001B4D74"/>
    <w:rsid w:val="001B4DC8"/>
    <w:rsid w:val="001B5636"/>
    <w:rsid w:val="001B5A10"/>
    <w:rsid w:val="001B5AEB"/>
    <w:rsid w:val="001B7B4F"/>
    <w:rsid w:val="001B7F06"/>
    <w:rsid w:val="001C001A"/>
    <w:rsid w:val="001C13DE"/>
    <w:rsid w:val="001C1E33"/>
    <w:rsid w:val="001C208A"/>
    <w:rsid w:val="001C2A3F"/>
    <w:rsid w:val="001C2C02"/>
    <w:rsid w:val="001C337B"/>
    <w:rsid w:val="001C3567"/>
    <w:rsid w:val="001C3D9D"/>
    <w:rsid w:val="001C421F"/>
    <w:rsid w:val="001C4290"/>
    <w:rsid w:val="001C4442"/>
    <w:rsid w:val="001C45A4"/>
    <w:rsid w:val="001C4A08"/>
    <w:rsid w:val="001C4AC6"/>
    <w:rsid w:val="001C51A5"/>
    <w:rsid w:val="001C5298"/>
    <w:rsid w:val="001C549C"/>
    <w:rsid w:val="001C5860"/>
    <w:rsid w:val="001C6040"/>
    <w:rsid w:val="001C62C3"/>
    <w:rsid w:val="001C69CE"/>
    <w:rsid w:val="001C69EC"/>
    <w:rsid w:val="001C73A9"/>
    <w:rsid w:val="001C7C49"/>
    <w:rsid w:val="001C7D3B"/>
    <w:rsid w:val="001D0B58"/>
    <w:rsid w:val="001D126E"/>
    <w:rsid w:val="001D16A6"/>
    <w:rsid w:val="001D196C"/>
    <w:rsid w:val="001D19A3"/>
    <w:rsid w:val="001D2191"/>
    <w:rsid w:val="001D274E"/>
    <w:rsid w:val="001D3258"/>
    <w:rsid w:val="001D32D1"/>
    <w:rsid w:val="001D3944"/>
    <w:rsid w:val="001D47A1"/>
    <w:rsid w:val="001D548F"/>
    <w:rsid w:val="001D5EE4"/>
    <w:rsid w:val="001D5F38"/>
    <w:rsid w:val="001D638B"/>
    <w:rsid w:val="001D6A12"/>
    <w:rsid w:val="001D6CDB"/>
    <w:rsid w:val="001D7776"/>
    <w:rsid w:val="001D7863"/>
    <w:rsid w:val="001E03EA"/>
    <w:rsid w:val="001E05C1"/>
    <w:rsid w:val="001E0DE9"/>
    <w:rsid w:val="001E0EDF"/>
    <w:rsid w:val="001E0FC3"/>
    <w:rsid w:val="001E1049"/>
    <w:rsid w:val="001E1AE8"/>
    <w:rsid w:val="001E1EA7"/>
    <w:rsid w:val="001E223E"/>
    <w:rsid w:val="001E2434"/>
    <w:rsid w:val="001E3140"/>
    <w:rsid w:val="001E3153"/>
    <w:rsid w:val="001E34B3"/>
    <w:rsid w:val="001E42CA"/>
    <w:rsid w:val="001E44D2"/>
    <w:rsid w:val="001E47B5"/>
    <w:rsid w:val="001E4F94"/>
    <w:rsid w:val="001E5286"/>
    <w:rsid w:val="001E5F9E"/>
    <w:rsid w:val="001E62F6"/>
    <w:rsid w:val="001E65F8"/>
    <w:rsid w:val="001E67E1"/>
    <w:rsid w:val="001E6C5C"/>
    <w:rsid w:val="001E713E"/>
    <w:rsid w:val="001E7604"/>
    <w:rsid w:val="001E76A7"/>
    <w:rsid w:val="001E77D3"/>
    <w:rsid w:val="001E7890"/>
    <w:rsid w:val="001E7AD8"/>
    <w:rsid w:val="001F00FF"/>
    <w:rsid w:val="001F01C7"/>
    <w:rsid w:val="001F04DA"/>
    <w:rsid w:val="001F056F"/>
    <w:rsid w:val="001F0E90"/>
    <w:rsid w:val="001F1836"/>
    <w:rsid w:val="001F212E"/>
    <w:rsid w:val="001F2D84"/>
    <w:rsid w:val="001F2E28"/>
    <w:rsid w:val="001F3026"/>
    <w:rsid w:val="001F30A2"/>
    <w:rsid w:val="001F34DF"/>
    <w:rsid w:val="001F35A0"/>
    <w:rsid w:val="001F35A1"/>
    <w:rsid w:val="001F46A9"/>
    <w:rsid w:val="001F4CA8"/>
    <w:rsid w:val="001F4D15"/>
    <w:rsid w:val="001F66EB"/>
    <w:rsid w:val="001F6D30"/>
    <w:rsid w:val="001F70A9"/>
    <w:rsid w:val="001F723F"/>
    <w:rsid w:val="001F7858"/>
    <w:rsid w:val="0020061A"/>
    <w:rsid w:val="0020064C"/>
    <w:rsid w:val="00200BA2"/>
    <w:rsid w:val="002011F4"/>
    <w:rsid w:val="00201770"/>
    <w:rsid w:val="00201D21"/>
    <w:rsid w:val="00203B6A"/>
    <w:rsid w:val="00204DA1"/>
    <w:rsid w:val="00206355"/>
    <w:rsid w:val="002066EC"/>
    <w:rsid w:val="00206A36"/>
    <w:rsid w:val="002076D8"/>
    <w:rsid w:val="00207F77"/>
    <w:rsid w:val="00210A01"/>
    <w:rsid w:val="00210F89"/>
    <w:rsid w:val="00211499"/>
    <w:rsid w:val="0021150D"/>
    <w:rsid w:val="0021182D"/>
    <w:rsid w:val="002120F2"/>
    <w:rsid w:val="002124DE"/>
    <w:rsid w:val="002137B4"/>
    <w:rsid w:val="00213F0D"/>
    <w:rsid w:val="00213F96"/>
    <w:rsid w:val="0021529F"/>
    <w:rsid w:val="002154CC"/>
    <w:rsid w:val="0021565D"/>
    <w:rsid w:val="00215EDD"/>
    <w:rsid w:val="0021614A"/>
    <w:rsid w:val="0021614B"/>
    <w:rsid w:val="002161A5"/>
    <w:rsid w:val="00216299"/>
    <w:rsid w:val="002164A8"/>
    <w:rsid w:val="00216CFD"/>
    <w:rsid w:val="00216EEA"/>
    <w:rsid w:val="00217246"/>
    <w:rsid w:val="00217258"/>
    <w:rsid w:val="0021781F"/>
    <w:rsid w:val="00217B4B"/>
    <w:rsid w:val="00217CE6"/>
    <w:rsid w:val="00217EAC"/>
    <w:rsid w:val="00217F7D"/>
    <w:rsid w:val="002201BA"/>
    <w:rsid w:val="0022063B"/>
    <w:rsid w:val="00220669"/>
    <w:rsid w:val="00220A83"/>
    <w:rsid w:val="00220BA0"/>
    <w:rsid w:val="0022133C"/>
    <w:rsid w:val="0022158E"/>
    <w:rsid w:val="002215AF"/>
    <w:rsid w:val="00221864"/>
    <w:rsid w:val="002218E5"/>
    <w:rsid w:val="00222189"/>
    <w:rsid w:val="00222386"/>
    <w:rsid w:val="00222699"/>
    <w:rsid w:val="002226DE"/>
    <w:rsid w:val="00223DE0"/>
    <w:rsid w:val="00224439"/>
    <w:rsid w:val="00224DCC"/>
    <w:rsid w:val="0022568B"/>
    <w:rsid w:val="00225B70"/>
    <w:rsid w:val="00225E50"/>
    <w:rsid w:val="00225FBB"/>
    <w:rsid w:val="00226460"/>
    <w:rsid w:val="00226805"/>
    <w:rsid w:val="00226C85"/>
    <w:rsid w:val="00227281"/>
    <w:rsid w:val="00230401"/>
    <w:rsid w:val="00230EA8"/>
    <w:rsid w:val="00231154"/>
    <w:rsid w:val="00231182"/>
    <w:rsid w:val="00231AE4"/>
    <w:rsid w:val="00231D47"/>
    <w:rsid w:val="0023216E"/>
    <w:rsid w:val="00232350"/>
    <w:rsid w:val="002327A9"/>
    <w:rsid w:val="00233485"/>
    <w:rsid w:val="00233A18"/>
    <w:rsid w:val="0023490D"/>
    <w:rsid w:val="002349B4"/>
    <w:rsid w:val="00234E72"/>
    <w:rsid w:val="00234F92"/>
    <w:rsid w:val="00235420"/>
    <w:rsid w:val="0023578B"/>
    <w:rsid w:val="002358F1"/>
    <w:rsid w:val="00236671"/>
    <w:rsid w:val="002374A9"/>
    <w:rsid w:val="00237F33"/>
    <w:rsid w:val="00237F43"/>
    <w:rsid w:val="0024065D"/>
    <w:rsid w:val="00240723"/>
    <w:rsid w:val="002407C9"/>
    <w:rsid w:val="002410FE"/>
    <w:rsid w:val="0024115E"/>
    <w:rsid w:val="002413CB"/>
    <w:rsid w:val="00241900"/>
    <w:rsid w:val="00241CF8"/>
    <w:rsid w:val="00241D50"/>
    <w:rsid w:val="00242646"/>
    <w:rsid w:val="00242FDD"/>
    <w:rsid w:val="002433DC"/>
    <w:rsid w:val="0024364C"/>
    <w:rsid w:val="0024384B"/>
    <w:rsid w:val="00243A39"/>
    <w:rsid w:val="00244745"/>
    <w:rsid w:val="00244953"/>
    <w:rsid w:val="00244958"/>
    <w:rsid w:val="0024555B"/>
    <w:rsid w:val="00245726"/>
    <w:rsid w:val="00245845"/>
    <w:rsid w:val="00245952"/>
    <w:rsid w:val="0024596C"/>
    <w:rsid w:val="00245982"/>
    <w:rsid w:val="0024682B"/>
    <w:rsid w:val="00246F3D"/>
    <w:rsid w:val="00246F81"/>
    <w:rsid w:val="00247123"/>
    <w:rsid w:val="0024726A"/>
    <w:rsid w:val="002473CF"/>
    <w:rsid w:val="002478B7"/>
    <w:rsid w:val="00247A97"/>
    <w:rsid w:val="00250176"/>
    <w:rsid w:val="00250F0F"/>
    <w:rsid w:val="00251C3B"/>
    <w:rsid w:val="002521BC"/>
    <w:rsid w:val="002522C5"/>
    <w:rsid w:val="002530D1"/>
    <w:rsid w:val="00253818"/>
    <w:rsid w:val="00253848"/>
    <w:rsid w:val="00253875"/>
    <w:rsid w:val="00253A60"/>
    <w:rsid w:val="00253FA6"/>
    <w:rsid w:val="002543FA"/>
    <w:rsid w:val="002546D8"/>
    <w:rsid w:val="00255065"/>
    <w:rsid w:val="002559DE"/>
    <w:rsid w:val="0025602E"/>
    <w:rsid w:val="00256564"/>
    <w:rsid w:val="0025691B"/>
    <w:rsid w:val="00256924"/>
    <w:rsid w:val="00257E30"/>
    <w:rsid w:val="002601AF"/>
    <w:rsid w:val="00261EEA"/>
    <w:rsid w:val="00262953"/>
    <w:rsid w:val="00262BCD"/>
    <w:rsid w:val="00262E6C"/>
    <w:rsid w:val="00262E79"/>
    <w:rsid w:val="00262ED4"/>
    <w:rsid w:val="00262F0E"/>
    <w:rsid w:val="002631B2"/>
    <w:rsid w:val="00263313"/>
    <w:rsid w:val="00263812"/>
    <w:rsid w:val="00263F66"/>
    <w:rsid w:val="0026407E"/>
    <w:rsid w:val="0026457A"/>
    <w:rsid w:val="002657DA"/>
    <w:rsid w:val="00265899"/>
    <w:rsid w:val="002658C5"/>
    <w:rsid w:val="00265A7E"/>
    <w:rsid w:val="00265F3C"/>
    <w:rsid w:val="002661CE"/>
    <w:rsid w:val="0026669C"/>
    <w:rsid w:val="00266D0F"/>
    <w:rsid w:val="00266FC1"/>
    <w:rsid w:val="00267800"/>
    <w:rsid w:val="002715BE"/>
    <w:rsid w:val="002717CC"/>
    <w:rsid w:val="00271CF1"/>
    <w:rsid w:val="002724AF"/>
    <w:rsid w:val="0027299A"/>
    <w:rsid w:val="00272AAD"/>
    <w:rsid w:val="00272DCC"/>
    <w:rsid w:val="00273404"/>
    <w:rsid w:val="00273639"/>
    <w:rsid w:val="00273E56"/>
    <w:rsid w:val="00273F8A"/>
    <w:rsid w:val="00274455"/>
    <w:rsid w:val="00274506"/>
    <w:rsid w:val="00274644"/>
    <w:rsid w:val="00274C0C"/>
    <w:rsid w:val="00274E10"/>
    <w:rsid w:val="00274F6B"/>
    <w:rsid w:val="00275DB7"/>
    <w:rsid w:val="00275E6C"/>
    <w:rsid w:val="0027618C"/>
    <w:rsid w:val="002761ED"/>
    <w:rsid w:val="00276834"/>
    <w:rsid w:val="00276D34"/>
    <w:rsid w:val="0027712E"/>
    <w:rsid w:val="00277232"/>
    <w:rsid w:val="00277304"/>
    <w:rsid w:val="002775CB"/>
    <w:rsid w:val="0027791E"/>
    <w:rsid w:val="00277DB6"/>
    <w:rsid w:val="00280478"/>
    <w:rsid w:val="00280A33"/>
    <w:rsid w:val="00280E0E"/>
    <w:rsid w:val="00281786"/>
    <w:rsid w:val="002817B8"/>
    <w:rsid w:val="00281AA1"/>
    <w:rsid w:val="002822AB"/>
    <w:rsid w:val="002832DC"/>
    <w:rsid w:val="0028413C"/>
    <w:rsid w:val="00284157"/>
    <w:rsid w:val="0028437B"/>
    <w:rsid w:val="00284C9B"/>
    <w:rsid w:val="002854D5"/>
    <w:rsid w:val="002869EF"/>
    <w:rsid w:val="002869FA"/>
    <w:rsid w:val="00286E60"/>
    <w:rsid w:val="00286F3E"/>
    <w:rsid w:val="00287877"/>
    <w:rsid w:val="002905D3"/>
    <w:rsid w:val="00290A04"/>
    <w:rsid w:val="00290C6E"/>
    <w:rsid w:val="00291F32"/>
    <w:rsid w:val="002923CE"/>
    <w:rsid w:val="002928E1"/>
    <w:rsid w:val="0029294D"/>
    <w:rsid w:val="00293299"/>
    <w:rsid w:val="0029381D"/>
    <w:rsid w:val="00293A6B"/>
    <w:rsid w:val="00293D41"/>
    <w:rsid w:val="0029421F"/>
    <w:rsid w:val="002947E0"/>
    <w:rsid w:val="0029489D"/>
    <w:rsid w:val="002951B0"/>
    <w:rsid w:val="002954F0"/>
    <w:rsid w:val="0029604B"/>
    <w:rsid w:val="00296139"/>
    <w:rsid w:val="00296929"/>
    <w:rsid w:val="00296AB2"/>
    <w:rsid w:val="00297308"/>
    <w:rsid w:val="00297357"/>
    <w:rsid w:val="00297434"/>
    <w:rsid w:val="00297568"/>
    <w:rsid w:val="0029763D"/>
    <w:rsid w:val="002A08CD"/>
    <w:rsid w:val="002A0B4F"/>
    <w:rsid w:val="002A0D61"/>
    <w:rsid w:val="002A0EEB"/>
    <w:rsid w:val="002A111C"/>
    <w:rsid w:val="002A138F"/>
    <w:rsid w:val="002A1A19"/>
    <w:rsid w:val="002A1A8F"/>
    <w:rsid w:val="002A1C1F"/>
    <w:rsid w:val="002A1D01"/>
    <w:rsid w:val="002A22F2"/>
    <w:rsid w:val="002A238A"/>
    <w:rsid w:val="002A2D40"/>
    <w:rsid w:val="002A2D88"/>
    <w:rsid w:val="002A2FBC"/>
    <w:rsid w:val="002A30FD"/>
    <w:rsid w:val="002A31E9"/>
    <w:rsid w:val="002A3ACD"/>
    <w:rsid w:val="002A44F5"/>
    <w:rsid w:val="002A4D29"/>
    <w:rsid w:val="002A570F"/>
    <w:rsid w:val="002A5AD9"/>
    <w:rsid w:val="002A5B89"/>
    <w:rsid w:val="002A666A"/>
    <w:rsid w:val="002A6745"/>
    <w:rsid w:val="002A6F41"/>
    <w:rsid w:val="002A7863"/>
    <w:rsid w:val="002A78E7"/>
    <w:rsid w:val="002A7935"/>
    <w:rsid w:val="002A7B4A"/>
    <w:rsid w:val="002A7D2A"/>
    <w:rsid w:val="002B00E2"/>
    <w:rsid w:val="002B0FF2"/>
    <w:rsid w:val="002B1B98"/>
    <w:rsid w:val="002B2176"/>
    <w:rsid w:val="002B3308"/>
    <w:rsid w:val="002B3560"/>
    <w:rsid w:val="002B5008"/>
    <w:rsid w:val="002B5065"/>
    <w:rsid w:val="002B5465"/>
    <w:rsid w:val="002B5AF4"/>
    <w:rsid w:val="002B5C1F"/>
    <w:rsid w:val="002B62DD"/>
    <w:rsid w:val="002B639E"/>
    <w:rsid w:val="002B69C3"/>
    <w:rsid w:val="002B6CBF"/>
    <w:rsid w:val="002B6CEB"/>
    <w:rsid w:val="002C0030"/>
    <w:rsid w:val="002C030A"/>
    <w:rsid w:val="002C0452"/>
    <w:rsid w:val="002C0696"/>
    <w:rsid w:val="002C0D69"/>
    <w:rsid w:val="002C0F39"/>
    <w:rsid w:val="002C163B"/>
    <w:rsid w:val="002C1E1A"/>
    <w:rsid w:val="002C2900"/>
    <w:rsid w:val="002C3091"/>
    <w:rsid w:val="002C3D5E"/>
    <w:rsid w:val="002C44E7"/>
    <w:rsid w:val="002C51EB"/>
    <w:rsid w:val="002C59C6"/>
    <w:rsid w:val="002C745E"/>
    <w:rsid w:val="002C75BE"/>
    <w:rsid w:val="002C7726"/>
    <w:rsid w:val="002D05CE"/>
    <w:rsid w:val="002D0888"/>
    <w:rsid w:val="002D0C8D"/>
    <w:rsid w:val="002D10FF"/>
    <w:rsid w:val="002D20F9"/>
    <w:rsid w:val="002D245C"/>
    <w:rsid w:val="002D2CAE"/>
    <w:rsid w:val="002D366E"/>
    <w:rsid w:val="002D39AB"/>
    <w:rsid w:val="002D43D3"/>
    <w:rsid w:val="002D490D"/>
    <w:rsid w:val="002D49D2"/>
    <w:rsid w:val="002D5A87"/>
    <w:rsid w:val="002D6EC6"/>
    <w:rsid w:val="002E069B"/>
    <w:rsid w:val="002E082B"/>
    <w:rsid w:val="002E09B5"/>
    <w:rsid w:val="002E0B9B"/>
    <w:rsid w:val="002E0C5E"/>
    <w:rsid w:val="002E1096"/>
    <w:rsid w:val="002E12BC"/>
    <w:rsid w:val="002E15F3"/>
    <w:rsid w:val="002E18F9"/>
    <w:rsid w:val="002E3234"/>
    <w:rsid w:val="002E3A54"/>
    <w:rsid w:val="002E3A58"/>
    <w:rsid w:val="002E40AE"/>
    <w:rsid w:val="002E4655"/>
    <w:rsid w:val="002E513F"/>
    <w:rsid w:val="002E54AE"/>
    <w:rsid w:val="002E58CC"/>
    <w:rsid w:val="002E6EA3"/>
    <w:rsid w:val="002E760F"/>
    <w:rsid w:val="002E7EF5"/>
    <w:rsid w:val="002F0116"/>
    <w:rsid w:val="002F0963"/>
    <w:rsid w:val="002F0F7E"/>
    <w:rsid w:val="002F3198"/>
    <w:rsid w:val="002F32C5"/>
    <w:rsid w:val="002F3B57"/>
    <w:rsid w:val="002F3DA8"/>
    <w:rsid w:val="002F3E7F"/>
    <w:rsid w:val="002F3E9C"/>
    <w:rsid w:val="002F4307"/>
    <w:rsid w:val="002F4B12"/>
    <w:rsid w:val="002F4C60"/>
    <w:rsid w:val="002F5466"/>
    <w:rsid w:val="002F54D5"/>
    <w:rsid w:val="002F5F8A"/>
    <w:rsid w:val="002F617A"/>
    <w:rsid w:val="002F6C84"/>
    <w:rsid w:val="002F6D6B"/>
    <w:rsid w:val="002F7623"/>
    <w:rsid w:val="002F791E"/>
    <w:rsid w:val="0030036D"/>
    <w:rsid w:val="00300AD5"/>
    <w:rsid w:val="00300F18"/>
    <w:rsid w:val="003010AE"/>
    <w:rsid w:val="00301900"/>
    <w:rsid w:val="00301CB7"/>
    <w:rsid w:val="00302DC7"/>
    <w:rsid w:val="00303465"/>
    <w:rsid w:val="00303BD6"/>
    <w:rsid w:val="00303F19"/>
    <w:rsid w:val="003041BC"/>
    <w:rsid w:val="00304535"/>
    <w:rsid w:val="003050EC"/>
    <w:rsid w:val="00305580"/>
    <w:rsid w:val="00307008"/>
    <w:rsid w:val="003072C5"/>
    <w:rsid w:val="003103FD"/>
    <w:rsid w:val="003104ED"/>
    <w:rsid w:val="003110F4"/>
    <w:rsid w:val="00311EC8"/>
    <w:rsid w:val="003120E9"/>
    <w:rsid w:val="0031298D"/>
    <w:rsid w:val="00312CC9"/>
    <w:rsid w:val="00313ABA"/>
    <w:rsid w:val="003141C1"/>
    <w:rsid w:val="003146CC"/>
    <w:rsid w:val="0031503F"/>
    <w:rsid w:val="00315616"/>
    <w:rsid w:val="00315F39"/>
    <w:rsid w:val="003160A5"/>
    <w:rsid w:val="003160EF"/>
    <w:rsid w:val="003160FB"/>
    <w:rsid w:val="00316164"/>
    <w:rsid w:val="003162B7"/>
    <w:rsid w:val="003165BA"/>
    <w:rsid w:val="003165ED"/>
    <w:rsid w:val="00316BF6"/>
    <w:rsid w:val="00316EC1"/>
    <w:rsid w:val="0031711D"/>
    <w:rsid w:val="003171DA"/>
    <w:rsid w:val="00317568"/>
    <w:rsid w:val="003177A9"/>
    <w:rsid w:val="003179D6"/>
    <w:rsid w:val="00320114"/>
    <w:rsid w:val="00320C1B"/>
    <w:rsid w:val="0032110F"/>
    <w:rsid w:val="00321209"/>
    <w:rsid w:val="00321321"/>
    <w:rsid w:val="0032162A"/>
    <w:rsid w:val="00321C0A"/>
    <w:rsid w:val="00321C20"/>
    <w:rsid w:val="003226C6"/>
    <w:rsid w:val="003227B2"/>
    <w:rsid w:val="00322E31"/>
    <w:rsid w:val="00322F53"/>
    <w:rsid w:val="00323074"/>
    <w:rsid w:val="0032311A"/>
    <w:rsid w:val="0032393D"/>
    <w:rsid w:val="00323DA1"/>
    <w:rsid w:val="003246B3"/>
    <w:rsid w:val="003249CA"/>
    <w:rsid w:val="003266AB"/>
    <w:rsid w:val="0032701A"/>
    <w:rsid w:val="003279F3"/>
    <w:rsid w:val="00327B47"/>
    <w:rsid w:val="0033165E"/>
    <w:rsid w:val="003316C1"/>
    <w:rsid w:val="00331DB4"/>
    <w:rsid w:val="00332DC5"/>
    <w:rsid w:val="00333164"/>
    <w:rsid w:val="003339A1"/>
    <w:rsid w:val="00333B73"/>
    <w:rsid w:val="00333F5F"/>
    <w:rsid w:val="003342A2"/>
    <w:rsid w:val="003349A8"/>
    <w:rsid w:val="00335143"/>
    <w:rsid w:val="00335376"/>
    <w:rsid w:val="00335973"/>
    <w:rsid w:val="0033703F"/>
    <w:rsid w:val="0033751C"/>
    <w:rsid w:val="00337523"/>
    <w:rsid w:val="00340578"/>
    <w:rsid w:val="0034062C"/>
    <w:rsid w:val="00340BCA"/>
    <w:rsid w:val="00340FDF"/>
    <w:rsid w:val="00341198"/>
    <w:rsid w:val="0034159C"/>
    <w:rsid w:val="0034216E"/>
    <w:rsid w:val="00342401"/>
    <w:rsid w:val="003425BE"/>
    <w:rsid w:val="00342AE9"/>
    <w:rsid w:val="00342F22"/>
    <w:rsid w:val="00343C76"/>
    <w:rsid w:val="00344063"/>
    <w:rsid w:val="003442A8"/>
    <w:rsid w:val="003447EC"/>
    <w:rsid w:val="003448A7"/>
    <w:rsid w:val="00344F41"/>
    <w:rsid w:val="003450D5"/>
    <w:rsid w:val="003453B0"/>
    <w:rsid w:val="00345E11"/>
    <w:rsid w:val="003466BF"/>
    <w:rsid w:val="00346A5F"/>
    <w:rsid w:val="00350590"/>
    <w:rsid w:val="00350600"/>
    <w:rsid w:val="00351737"/>
    <w:rsid w:val="00352A9B"/>
    <w:rsid w:val="00354385"/>
    <w:rsid w:val="00354682"/>
    <w:rsid w:val="00355057"/>
    <w:rsid w:val="00355935"/>
    <w:rsid w:val="003563E4"/>
    <w:rsid w:val="00356585"/>
    <w:rsid w:val="003567AB"/>
    <w:rsid w:val="00356D3E"/>
    <w:rsid w:val="00356EB7"/>
    <w:rsid w:val="003570BF"/>
    <w:rsid w:val="00357AD6"/>
    <w:rsid w:val="00357F5C"/>
    <w:rsid w:val="00360009"/>
    <w:rsid w:val="00360776"/>
    <w:rsid w:val="00360BD1"/>
    <w:rsid w:val="00361D3B"/>
    <w:rsid w:val="003621ED"/>
    <w:rsid w:val="003628B0"/>
    <w:rsid w:val="003629AE"/>
    <w:rsid w:val="00362D87"/>
    <w:rsid w:val="00363D9C"/>
    <w:rsid w:val="00364184"/>
    <w:rsid w:val="00364252"/>
    <w:rsid w:val="00365495"/>
    <w:rsid w:val="00365788"/>
    <w:rsid w:val="00365C39"/>
    <w:rsid w:val="00365D04"/>
    <w:rsid w:val="0036650D"/>
    <w:rsid w:val="0036655E"/>
    <w:rsid w:val="00366715"/>
    <w:rsid w:val="00366DAE"/>
    <w:rsid w:val="00367074"/>
    <w:rsid w:val="0036722E"/>
    <w:rsid w:val="00367337"/>
    <w:rsid w:val="00367804"/>
    <w:rsid w:val="00367F48"/>
    <w:rsid w:val="00367F4E"/>
    <w:rsid w:val="00367FC5"/>
    <w:rsid w:val="0037091B"/>
    <w:rsid w:val="00373139"/>
    <w:rsid w:val="0037395D"/>
    <w:rsid w:val="00373975"/>
    <w:rsid w:val="00373C5C"/>
    <w:rsid w:val="003745C6"/>
    <w:rsid w:val="003750CF"/>
    <w:rsid w:val="00375269"/>
    <w:rsid w:val="003757E4"/>
    <w:rsid w:val="00375CD5"/>
    <w:rsid w:val="00375D25"/>
    <w:rsid w:val="00375D5B"/>
    <w:rsid w:val="00375EA9"/>
    <w:rsid w:val="00376890"/>
    <w:rsid w:val="00376CD9"/>
    <w:rsid w:val="003778B8"/>
    <w:rsid w:val="00377F3A"/>
    <w:rsid w:val="0038027C"/>
    <w:rsid w:val="0038045B"/>
    <w:rsid w:val="003807B1"/>
    <w:rsid w:val="00380965"/>
    <w:rsid w:val="00381588"/>
    <w:rsid w:val="003816CE"/>
    <w:rsid w:val="00381A79"/>
    <w:rsid w:val="00381F15"/>
    <w:rsid w:val="00382087"/>
    <w:rsid w:val="003824A6"/>
    <w:rsid w:val="003830A4"/>
    <w:rsid w:val="0038349F"/>
    <w:rsid w:val="0038357D"/>
    <w:rsid w:val="00383BA7"/>
    <w:rsid w:val="00384BE0"/>
    <w:rsid w:val="00384F4E"/>
    <w:rsid w:val="003850DC"/>
    <w:rsid w:val="00385239"/>
    <w:rsid w:val="0038568F"/>
    <w:rsid w:val="0038582E"/>
    <w:rsid w:val="00385F75"/>
    <w:rsid w:val="00385FDC"/>
    <w:rsid w:val="00386687"/>
    <w:rsid w:val="003867E1"/>
    <w:rsid w:val="00386A3B"/>
    <w:rsid w:val="00386BAD"/>
    <w:rsid w:val="00386DF9"/>
    <w:rsid w:val="0038703E"/>
    <w:rsid w:val="00387CCA"/>
    <w:rsid w:val="00387EDA"/>
    <w:rsid w:val="0039037D"/>
    <w:rsid w:val="00390460"/>
    <w:rsid w:val="00390464"/>
    <w:rsid w:val="003907BF"/>
    <w:rsid w:val="00390994"/>
    <w:rsid w:val="00390FA6"/>
    <w:rsid w:val="00391784"/>
    <w:rsid w:val="00391E55"/>
    <w:rsid w:val="00392B6F"/>
    <w:rsid w:val="00393128"/>
    <w:rsid w:val="00393CFC"/>
    <w:rsid w:val="003940F4"/>
    <w:rsid w:val="00394806"/>
    <w:rsid w:val="00394834"/>
    <w:rsid w:val="00394A13"/>
    <w:rsid w:val="00394A42"/>
    <w:rsid w:val="003951F4"/>
    <w:rsid w:val="003954BA"/>
    <w:rsid w:val="0039575E"/>
    <w:rsid w:val="0039631F"/>
    <w:rsid w:val="00396805"/>
    <w:rsid w:val="003972F4"/>
    <w:rsid w:val="00397423"/>
    <w:rsid w:val="00397CB0"/>
    <w:rsid w:val="003A0E87"/>
    <w:rsid w:val="003A104F"/>
    <w:rsid w:val="003A1314"/>
    <w:rsid w:val="003A198F"/>
    <w:rsid w:val="003A2391"/>
    <w:rsid w:val="003A261A"/>
    <w:rsid w:val="003A29B5"/>
    <w:rsid w:val="003A475C"/>
    <w:rsid w:val="003A59A9"/>
    <w:rsid w:val="003A5AAD"/>
    <w:rsid w:val="003A5EA7"/>
    <w:rsid w:val="003A5EC1"/>
    <w:rsid w:val="003A6517"/>
    <w:rsid w:val="003A6C53"/>
    <w:rsid w:val="003A7452"/>
    <w:rsid w:val="003A7628"/>
    <w:rsid w:val="003A7E8E"/>
    <w:rsid w:val="003B128E"/>
    <w:rsid w:val="003B1EF8"/>
    <w:rsid w:val="003B274C"/>
    <w:rsid w:val="003B2A4B"/>
    <w:rsid w:val="003B3431"/>
    <w:rsid w:val="003B3667"/>
    <w:rsid w:val="003B3892"/>
    <w:rsid w:val="003B4271"/>
    <w:rsid w:val="003B43EF"/>
    <w:rsid w:val="003B483B"/>
    <w:rsid w:val="003B48F1"/>
    <w:rsid w:val="003B4D6B"/>
    <w:rsid w:val="003B4F2F"/>
    <w:rsid w:val="003B562F"/>
    <w:rsid w:val="003B5B49"/>
    <w:rsid w:val="003B5BBA"/>
    <w:rsid w:val="003B5EA0"/>
    <w:rsid w:val="003B5EF6"/>
    <w:rsid w:val="003B60FD"/>
    <w:rsid w:val="003B62B0"/>
    <w:rsid w:val="003B64BB"/>
    <w:rsid w:val="003B70B3"/>
    <w:rsid w:val="003B77C6"/>
    <w:rsid w:val="003C0171"/>
    <w:rsid w:val="003C0D21"/>
    <w:rsid w:val="003C10E8"/>
    <w:rsid w:val="003C15E3"/>
    <w:rsid w:val="003C1782"/>
    <w:rsid w:val="003C2FAA"/>
    <w:rsid w:val="003C3957"/>
    <w:rsid w:val="003C3B0C"/>
    <w:rsid w:val="003C3CCC"/>
    <w:rsid w:val="003C3E6A"/>
    <w:rsid w:val="003C4C90"/>
    <w:rsid w:val="003C4CFB"/>
    <w:rsid w:val="003C4DD0"/>
    <w:rsid w:val="003C5866"/>
    <w:rsid w:val="003C5BC7"/>
    <w:rsid w:val="003C5C8B"/>
    <w:rsid w:val="003C5FD2"/>
    <w:rsid w:val="003C61E7"/>
    <w:rsid w:val="003C6247"/>
    <w:rsid w:val="003C6D6B"/>
    <w:rsid w:val="003C71F9"/>
    <w:rsid w:val="003C73B0"/>
    <w:rsid w:val="003C76E3"/>
    <w:rsid w:val="003C7A80"/>
    <w:rsid w:val="003C7F3D"/>
    <w:rsid w:val="003D030B"/>
    <w:rsid w:val="003D096E"/>
    <w:rsid w:val="003D1BBD"/>
    <w:rsid w:val="003D1E4D"/>
    <w:rsid w:val="003D2AD4"/>
    <w:rsid w:val="003D2C33"/>
    <w:rsid w:val="003D2EAC"/>
    <w:rsid w:val="003D3405"/>
    <w:rsid w:val="003D341E"/>
    <w:rsid w:val="003D42F8"/>
    <w:rsid w:val="003D45EA"/>
    <w:rsid w:val="003D4F57"/>
    <w:rsid w:val="003D5A98"/>
    <w:rsid w:val="003D608E"/>
    <w:rsid w:val="003D6730"/>
    <w:rsid w:val="003D75FA"/>
    <w:rsid w:val="003D7629"/>
    <w:rsid w:val="003D7E38"/>
    <w:rsid w:val="003D7FCC"/>
    <w:rsid w:val="003E0435"/>
    <w:rsid w:val="003E049D"/>
    <w:rsid w:val="003E059D"/>
    <w:rsid w:val="003E078B"/>
    <w:rsid w:val="003E08A4"/>
    <w:rsid w:val="003E0EB7"/>
    <w:rsid w:val="003E1197"/>
    <w:rsid w:val="003E150F"/>
    <w:rsid w:val="003E1601"/>
    <w:rsid w:val="003E22AE"/>
    <w:rsid w:val="003E239A"/>
    <w:rsid w:val="003E2A94"/>
    <w:rsid w:val="003E2BBB"/>
    <w:rsid w:val="003E31A2"/>
    <w:rsid w:val="003E34C8"/>
    <w:rsid w:val="003E411E"/>
    <w:rsid w:val="003E4711"/>
    <w:rsid w:val="003E56FB"/>
    <w:rsid w:val="003E5A86"/>
    <w:rsid w:val="003E5B46"/>
    <w:rsid w:val="003E6149"/>
    <w:rsid w:val="003E6929"/>
    <w:rsid w:val="003E6A09"/>
    <w:rsid w:val="003E7BDF"/>
    <w:rsid w:val="003E7F01"/>
    <w:rsid w:val="003F0612"/>
    <w:rsid w:val="003F0756"/>
    <w:rsid w:val="003F0C3E"/>
    <w:rsid w:val="003F136D"/>
    <w:rsid w:val="003F154E"/>
    <w:rsid w:val="003F17C4"/>
    <w:rsid w:val="003F17EA"/>
    <w:rsid w:val="003F231D"/>
    <w:rsid w:val="003F2477"/>
    <w:rsid w:val="003F27D1"/>
    <w:rsid w:val="003F2D0B"/>
    <w:rsid w:val="003F2FF6"/>
    <w:rsid w:val="003F30AE"/>
    <w:rsid w:val="003F3166"/>
    <w:rsid w:val="003F3448"/>
    <w:rsid w:val="003F3A27"/>
    <w:rsid w:val="003F468A"/>
    <w:rsid w:val="003F4C2C"/>
    <w:rsid w:val="003F5EA5"/>
    <w:rsid w:val="003F61D0"/>
    <w:rsid w:val="003F6638"/>
    <w:rsid w:val="003F6CDC"/>
    <w:rsid w:val="003F7C4C"/>
    <w:rsid w:val="003F7C82"/>
    <w:rsid w:val="003F7FCE"/>
    <w:rsid w:val="00400639"/>
    <w:rsid w:val="004009C5"/>
    <w:rsid w:val="00400DF9"/>
    <w:rsid w:val="00400EF6"/>
    <w:rsid w:val="004011DC"/>
    <w:rsid w:val="00401427"/>
    <w:rsid w:val="0040199C"/>
    <w:rsid w:val="00401F84"/>
    <w:rsid w:val="0040216F"/>
    <w:rsid w:val="0040234B"/>
    <w:rsid w:val="00402AF6"/>
    <w:rsid w:val="00403729"/>
    <w:rsid w:val="00403A7A"/>
    <w:rsid w:val="00404769"/>
    <w:rsid w:val="0040527F"/>
    <w:rsid w:val="004053C3"/>
    <w:rsid w:val="0040659C"/>
    <w:rsid w:val="00406FE6"/>
    <w:rsid w:val="0040763D"/>
    <w:rsid w:val="00407E10"/>
    <w:rsid w:val="00410141"/>
    <w:rsid w:val="004115F5"/>
    <w:rsid w:val="00411889"/>
    <w:rsid w:val="00411DB6"/>
    <w:rsid w:val="00412388"/>
    <w:rsid w:val="0041250A"/>
    <w:rsid w:val="00412696"/>
    <w:rsid w:val="00412AB6"/>
    <w:rsid w:val="00412DFE"/>
    <w:rsid w:val="00414CF5"/>
    <w:rsid w:val="00415528"/>
    <w:rsid w:val="004155DE"/>
    <w:rsid w:val="00416431"/>
    <w:rsid w:val="00417B81"/>
    <w:rsid w:val="00417C92"/>
    <w:rsid w:val="00420A49"/>
    <w:rsid w:val="00421710"/>
    <w:rsid w:val="00421713"/>
    <w:rsid w:val="00421882"/>
    <w:rsid w:val="00421B68"/>
    <w:rsid w:val="00421DDA"/>
    <w:rsid w:val="00422752"/>
    <w:rsid w:val="0042291A"/>
    <w:rsid w:val="00422A17"/>
    <w:rsid w:val="00423408"/>
    <w:rsid w:val="0042374C"/>
    <w:rsid w:val="00424034"/>
    <w:rsid w:val="0042452F"/>
    <w:rsid w:val="0042511E"/>
    <w:rsid w:val="00425283"/>
    <w:rsid w:val="0042534D"/>
    <w:rsid w:val="00426714"/>
    <w:rsid w:val="00426745"/>
    <w:rsid w:val="00426B88"/>
    <w:rsid w:val="00426D3A"/>
    <w:rsid w:val="00426EF0"/>
    <w:rsid w:val="00427476"/>
    <w:rsid w:val="004274F6"/>
    <w:rsid w:val="004278C8"/>
    <w:rsid w:val="00427A06"/>
    <w:rsid w:val="00427DFE"/>
    <w:rsid w:val="00430487"/>
    <w:rsid w:val="00430A3F"/>
    <w:rsid w:val="00430D5D"/>
    <w:rsid w:val="0043101F"/>
    <w:rsid w:val="0043114E"/>
    <w:rsid w:val="0043178A"/>
    <w:rsid w:val="00431C58"/>
    <w:rsid w:val="00431D4E"/>
    <w:rsid w:val="004322B0"/>
    <w:rsid w:val="004327DA"/>
    <w:rsid w:val="00432D18"/>
    <w:rsid w:val="004333B3"/>
    <w:rsid w:val="00434831"/>
    <w:rsid w:val="00434B98"/>
    <w:rsid w:val="00434F32"/>
    <w:rsid w:val="00435534"/>
    <w:rsid w:val="004355F3"/>
    <w:rsid w:val="00435858"/>
    <w:rsid w:val="0043637F"/>
    <w:rsid w:val="00436671"/>
    <w:rsid w:val="00437201"/>
    <w:rsid w:val="0043741D"/>
    <w:rsid w:val="00437C0B"/>
    <w:rsid w:val="00437CFF"/>
    <w:rsid w:val="00437EDC"/>
    <w:rsid w:val="00440B24"/>
    <w:rsid w:val="00440FCA"/>
    <w:rsid w:val="0044112A"/>
    <w:rsid w:val="00442007"/>
    <w:rsid w:val="00442131"/>
    <w:rsid w:val="0044257C"/>
    <w:rsid w:val="00442673"/>
    <w:rsid w:val="00442BA2"/>
    <w:rsid w:val="00442BB0"/>
    <w:rsid w:val="00443062"/>
    <w:rsid w:val="004432C4"/>
    <w:rsid w:val="00443DD4"/>
    <w:rsid w:val="00443EA4"/>
    <w:rsid w:val="004441A6"/>
    <w:rsid w:val="0044432C"/>
    <w:rsid w:val="004449CE"/>
    <w:rsid w:val="004452FE"/>
    <w:rsid w:val="004454CC"/>
    <w:rsid w:val="0044615E"/>
    <w:rsid w:val="0044627C"/>
    <w:rsid w:val="004465F5"/>
    <w:rsid w:val="00447B1D"/>
    <w:rsid w:val="0045017D"/>
    <w:rsid w:val="0045076C"/>
    <w:rsid w:val="0045093D"/>
    <w:rsid w:val="0045094C"/>
    <w:rsid w:val="00450C1A"/>
    <w:rsid w:val="00450DDE"/>
    <w:rsid w:val="0045136F"/>
    <w:rsid w:val="00451428"/>
    <w:rsid w:val="0045149D"/>
    <w:rsid w:val="00451B7E"/>
    <w:rsid w:val="00451D51"/>
    <w:rsid w:val="00451FC7"/>
    <w:rsid w:val="00452716"/>
    <w:rsid w:val="00452AE2"/>
    <w:rsid w:val="00452DDF"/>
    <w:rsid w:val="00452F19"/>
    <w:rsid w:val="0045392F"/>
    <w:rsid w:val="004544CC"/>
    <w:rsid w:val="00454CC4"/>
    <w:rsid w:val="004557E8"/>
    <w:rsid w:val="004558BE"/>
    <w:rsid w:val="00455A5C"/>
    <w:rsid w:val="00455D25"/>
    <w:rsid w:val="00455F47"/>
    <w:rsid w:val="004567D8"/>
    <w:rsid w:val="00456823"/>
    <w:rsid w:val="0045688A"/>
    <w:rsid w:val="00456FE4"/>
    <w:rsid w:val="00457D6B"/>
    <w:rsid w:val="00460503"/>
    <w:rsid w:val="00460921"/>
    <w:rsid w:val="00460990"/>
    <w:rsid w:val="004624F4"/>
    <w:rsid w:val="004625A0"/>
    <w:rsid w:val="004625FA"/>
    <w:rsid w:val="004626FC"/>
    <w:rsid w:val="00462B91"/>
    <w:rsid w:val="00462CED"/>
    <w:rsid w:val="00463523"/>
    <w:rsid w:val="004635B4"/>
    <w:rsid w:val="00463BD4"/>
    <w:rsid w:val="00464747"/>
    <w:rsid w:val="00464D1B"/>
    <w:rsid w:val="00464E53"/>
    <w:rsid w:val="0046509D"/>
    <w:rsid w:val="00465ED7"/>
    <w:rsid w:val="00466347"/>
    <w:rsid w:val="004669CD"/>
    <w:rsid w:val="00466EC0"/>
    <w:rsid w:val="00467190"/>
    <w:rsid w:val="0046798E"/>
    <w:rsid w:val="00470278"/>
    <w:rsid w:val="0047081F"/>
    <w:rsid w:val="00471046"/>
    <w:rsid w:val="004710CB"/>
    <w:rsid w:val="00471178"/>
    <w:rsid w:val="0047144D"/>
    <w:rsid w:val="00471B7F"/>
    <w:rsid w:val="00471E47"/>
    <w:rsid w:val="00471FAB"/>
    <w:rsid w:val="00472C02"/>
    <w:rsid w:val="00472E7D"/>
    <w:rsid w:val="00473223"/>
    <w:rsid w:val="004738C7"/>
    <w:rsid w:val="004738DF"/>
    <w:rsid w:val="00473EC5"/>
    <w:rsid w:val="00474D1B"/>
    <w:rsid w:val="0047524F"/>
    <w:rsid w:val="00475833"/>
    <w:rsid w:val="0047610C"/>
    <w:rsid w:val="00476671"/>
    <w:rsid w:val="0047676F"/>
    <w:rsid w:val="004770AF"/>
    <w:rsid w:val="00477408"/>
    <w:rsid w:val="00477654"/>
    <w:rsid w:val="00477722"/>
    <w:rsid w:val="0047772D"/>
    <w:rsid w:val="00480005"/>
    <w:rsid w:val="004801B9"/>
    <w:rsid w:val="00480244"/>
    <w:rsid w:val="00480A94"/>
    <w:rsid w:val="004810BD"/>
    <w:rsid w:val="004817C0"/>
    <w:rsid w:val="004821BD"/>
    <w:rsid w:val="0048284D"/>
    <w:rsid w:val="00482D91"/>
    <w:rsid w:val="0048331E"/>
    <w:rsid w:val="00483496"/>
    <w:rsid w:val="00483646"/>
    <w:rsid w:val="0048386D"/>
    <w:rsid w:val="0048564F"/>
    <w:rsid w:val="00485949"/>
    <w:rsid w:val="00485A5C"/>
    <w:rsid w:val="004862D2"/>
    <w:rsid w:val="00486364"/>
    <w:rsid w:val="004869D7"/>
    <w:rsid w:val="0048733D"/>
    <w:rsid w:val="00487A0C"/>
    <w:rsid w:val="00487BAB"/>
    <w:rsid w:val="00487E9B"/>
    <w:rsid w:val="00487F9E"/>
    <w:rsid w:val="00490554"/>
    <w:rsid w:val="00490849"/>
    <w:rsid w:val="00490A78"/>
    <w:rsid w:val="00490D74"/>
    <w:rsid w:val="00491E7B"/>
    <w:rsid w:val="00492041"/>
    <w:rsid w:val="00492247"/>
    <w:rsid w:val="00492697"/>
    <w:rsid w:val="00492D91"/>
    <w:rsid w:val="00493143"/>
    <w:rsid w:val="004931D5"/>
    <w:rsid w:val="00493252"/>
    <w:rsid w:val="004933E1"/>
    <w:rsid w:val="00494567"/>
    <w:rsid w:val="00495922"/>
    <w:rsid w:val="004964E9"/>
    <w:rsid w:val="004967BA"/>
    <w:rsid w:val="0049703E"/>
    <w:rsid w:val="0049709E"/>
    <w:rsid w:val="00497383"/>
    <w:rsid w:val="004977C3"/>
    <w:rsid w:val="00497A1A"/>
    <w:rsid w:val="00497C37"/>
    <w:rsid w:val="004A01D2"/>
    <w:rsid w:val="004A08AD"/>
    <w:rsid w:val="004A133F"/>
    <w:rsid w:val="004A1532"/>
    <w:rsid w:val="004A1A70"/>
    <w:rsid w:val="004A1D29"/>
    <w:rsid w:val="004A2B29"/>
    <w:rsid w:val="004A3148"/>
    <w:rsid w:val="004A39B6"/>
    <w:rsid w:val="004A3CA6"/>
    <w:rsid w:val="004A3D53"/>
    <w:rsid w:val="004A3E0F"/>
    <w:rsid w:val="004A405D"/>
    <w:rsid w:val="004A466C"/>
    <w:rsid w:val="004A4783"/>
    <w:rsid w:val="004A491C"/>
    <w:rsid w:val="004A51FC"/>
    <w:rsid w:val="004A52B6"/>
    <w:rsid w:val="004A625F"/>
    <w:rsid w:val="004A652F"/>
    <w:rsid w:val="004A6D85"/>
    <w:rsid w:val="004A7454"/>
    <w:rsid w:val="004A7B76"/>
    <w:rsid w:val="004B019F"/>
    <w:rsid w:val="004B09AA"/>
    <w:rsid w:val="004B0D6C"/>
    <w:rsid w:val="004B191A"/>
    <w:rsid w:val="004B2100"/>
    <w:rsid w:val="004B2C0C"/>
    <w:rsid w:val="004B2FEF"/>
    <w:rsid w:val="004B3B13"/>
    <w:rsid w:val="004B456F"/>
    <w:rsid w:val="004B5912"/>
    <w:rsid w:val="004B5BD6"/>
    <w:rsid w:val="004B5D26"/>
    <w:rsid w:val="004B5E08"/>
    <w:rsid w:val="004B60AC"/>
    <w:rsid w:val="004B617D"/>
    <w:rsid w:val="004B6223"/>
    <w:rsid w:val="004B6450"/>
    <w:rsid w:val="004B6A4F"/>
    <w:rsid w:val="004B7402"/>
    <w:rsid w:val="004B7995"/>
    <w:rsid w:val="004C00C7"/>
    <w:rsid w:val="004C01DA"/>
    <w:rsid w:val="004C0759"/>
    <w:rsid w:val="004C14C8"/>
    <w:rsid w:val="004C1A3B"/>
    <w:rsid w:val="004C1D96"/>
    <w:rsid w:val="004C238F"/>
    <w:rsid w:val="004C2BC1"/>
    <w:rsid w:val="004C2EC0"/>
    <w:rsid w:val="004C4765"/>
    <w:rsid w:val="004C4D0D"/>
    <w:rsid w:val="004C5676"/>
    <w:rsid w:val="004C637A"/>
    <w:rsid w:val="004D01F9"/>
    <w:rsid w:val="004D075F"/>
    <w:rsid w:val="004D0BC1"/>
    <w:rsid w:val="004D11E3"/>
    <w:rsid w:val="004D2323"/>
    <w:rsid w:val="004D2FB2"/>
    <w:rsid w:val="004D334F"/>
    <w:rsid w:val="004D346E"/>
    <w:rsid w:val="004D3494"/>
    <w:rsid w:val="004D3B21"/>
    <w:rsid w:val="004D3C18"/>
    <w:rsid w:val="004D3ED8"/>
    <w:rsid w:val="004D3EFC"/>
    <w:rsid w:val="004D4556"/>
    <w:rsid w:val="004D5F77"/>
    <w:rsid w:val="004D626F"/>
    <w:rsid w:val="004D6402"/>
    <w:rsid w:val="004D64EE"/>
    <w:rsid w:val="004D6CC4"/>
    <w:rsid w:val="004D70A1"/>
    <w:rsid w:val="004D70E8"/>
    <w:rsid w:val="004D7154"/>
    <w:rsid w:val="004D71D7"/>
    <w:rsid w:val="004D7330"/>
    <w:rsid w:val="004D7355"/>
    <w:rsid w:val="004D7BDA"/>
    <w:rsid w:val="004E0221"/>
    <w:rsid w:val="004E04F6"/>
    <w:rsid w:val="004E1D9F"/>
    <w:rsid w:val="004E24D0"/>
    <w:rsid w:val="004E2689"/>
    <w:rsid w:val="004E284D"/>
    <w:rsid w:val="004E2EF8"/>
    <w:rsid w:val="004E300A"/>
    <w:rsid w:val="004E3B39"/>
    <w:rsid w:val="004E3FFC"/>
    <w:rsid w:val="004E46F0"/>
    <w:rsid w:val="004E4B4C"/>
    <w:rsid w:val="004E5208"/>
    <w:rsid w:val="004E5BFA"/>
    <w:rsid w:val="004E5C54"/>
    <w:rsid w:val="004E5C89"/>
    <w:rsid w:val="004E5E6F"/>
    <w:rsid w:val="004E612C"/>
    <w:rsid w:val="004E6802"/>
    <w:rsid w:val="004F0C80"/>
    <w:rsid w:val="004F0DA8"/>
    <w:rsid w:val="004F0E51"/>
    <w:rsid w:val="004F0F04"/>
    <w:rsid w:val="004F0FF6"/>
    <w:rsid w:val="004F12A5"/>
    <w:rsid w:val="004F1421"/>
    <w:rsid w:val="004F1772"/>
    <w:rsid w:val="004F1A61"/>
    <w:rsid w:val="004F1EF3"/>
    <w:rsid w:val="004F229D"/>
    <w:rsid w:val="004F2C23"/>
    <w:rsid w:val="004F2D9F"/>
    <w:rsid w:val="004F2E53"/>
    <w:rsid w:val="004F2F5B"/>
    <w:rsid w:val="004F3442"/>
    <w:rsid w:val="004F3803"/>
    <w:rsid w:val="004F3C1E"/>
    <w:rsid w:val="004F4512"/>
    <w:rsid w:val="004F4A12"/>
    <w:rsid w:val="004F4FB3"/>
    <w:rsid w:val="004F5271"/>
    <w:rsid w:val="004F5771"/>
    <w:rsid w:val="004F70E4"/>
    <w:rsid w:val="004F74D1"/>
    <w:rsid w:val="00500B85"/>
    <w:rsid w:val="00500C82"/>
    <w:rsid w:val="00500CE1"/>
    <w:rsid w:val="00500F68"/>
    <w:rsid w:val="00501440"/>
    <w:rsid w:val="005019E4"/>
    <w:rsid w:val="005028EE"/>
    <w:rsid w:val="005029DB"/>
    <w:rsid w:val="00503031"/>
    <w:rsid w:val="00503513"/>
    <w:rsid w:val="00503C38"/>
    <w:rsid w:val="005047EF"/>
    <w:rsid w:val="00504FD4"/>
    <w:rsid w:val="00505338"/>
    <w:rsid w:val="00505A72"/>
    <w:rsid w:val="00505FD0"/>
    <w:rsid w:val="00506417"/>
    <w:rsid w:val="00506867"/>
    <w:rsid w:val="00506915"/>
    <w:rsid w:val="00510A37"/>
    <w:rsid w:val="00510C30"/>
    <w:rsid w:val="00510E6B"/>
    <w:rsid w:val="00512C77"/>
    <w:rsid w:val="00512CD7"/>
    <w:rsid w:val="00512D8C"/>
    <w:rsid w:val="00512F49"/>
    <w:rsid w:val="005130EA"/>
    <w:rsid w:val="0051315E"/>
    <w:rsid w:val="00513839"/>
    <w:rsid w:val="00513980"/>
    <w:rsid w:val="005139EA"/>
    <w:rsid w:val="00513AEA"/>
    <w:rsid w:val="00513B9B"/>
    <w:rsid w:val="005140FC"/>
    <w:rsid w:val="00514643"/>
    <w:rsid w:val="00515946"/>
    <w:rsid w:val="00515F74"/>
    <w:rsid w:val="00516258"/>
    <w:rsid w:val="00516367"/>
    <w:rsid w:val="00517322"/>
    <w:rsid w:val="005174C6"/>
    <w:rsid w:val="0051756D"/>
    <w:rsid w:val="00517D68"/>
    <w:rsid w:val="00520242"/>
    <w:rsid w:val="00520AC1"/>
    <w:rsid w:val="005222F3"/>
    <w:rsid w:val="00522568"/>
    <w:rsid w:val="00522AD3"/>
    <w:rsid w:val="00522C04"/>
    <w:rsid w:val="00522C39"/>
    <w:rsid w:val="00522F31"/>
    <w:rsid w:val="00523531"/>
    <w:rsid w:val="00523810"/>
    <w:rsid w:val="00524034"/>
    <w:rsid w:val="0052431A"/>
    <w:rsid w:val="00524898"/>
    <w:rsid w:val="00524A84"/>
    <w:rsid w:val="00525968"/>
    <w:rsid w:val="00525B0F"/>
    <w:rsid w:val="00525EAA"/>
    <w:rsid w:val="0052746E"/>
    <w:rsid w:val="00527496"/>
    <w:rsid w:val="005275D8"/>
    <w:rsid w:val="00527BFB"/>
    <w:rsid w:val="0053047C"/>
    <w:rsid w:val="00530DCA"/>
    <w:rsid w:val="00530E9C"/>
    <w:rsid w:val="0053139B"/>
    <w:rsid w:val="005314F5"/>
    <w:rsid w:val="005319F2"/>
    <w:rsid w:val="00531E53"/>
    <w:rsid w:val="00532178"/>
    <w:rsid w:val="005321A8"/>
    <w:rsid w:val="005336FE"/>
    <w:rsid w:val="00533A97"/>
    <w:rsid w:val="00533B82"/>
    <w:rsid w:val="0053477B"/>
    <w:rsid w:val="00534DA3"/>
    <w:rsid w:val="00535820"/>
    <w:rsid w:val="00536323"/>
    <w:rsid w:val="0053652B"/>
    <w:rsid w:val="00536BD9"/>
    <w:rsid w:val="00537570"/>
    <w:rsid w:val="00537670"/>
    <w:rsid w:val="005376C8"/>
    <w:rsid w:val="0053771E"/>
    <w:rsid w:val="00537AF9"/>
    <w:rsid w:val="00540059"/>
    <w:rsid w:val="005404B7"/>
    <w:rsid w:val="005408FC"/>
    <w:rsid w:val="00540A8E"/>
    <w:rsid w:val="00540E44"/>
    <w:rsid w:val="00540F34"/>
    <w:rsid w:val="00541980"/>
    <w:rsid w:val="00542B4F"/>
    <w:rsid w:val="00542B80"/>
    <w:rsid w:val="00542C5C"/>
    <w:rsid w:val="00542E72"/>
    <w:rsid w:val="0054334C"/>
    <w:rsid w:val="0054337B"/>
    <w:rsid w:val="005434A1"/>
    <w:rsid w:val="00543937"/>
    <w:rsid w:val="00543A00"/>
    <w:rsid w:val="00543E23"/>
    <w:rsid w:val="00543E26"/>
    <w:rsid w:val="00543F7E"/>
    <w:rsid w:val="00544409"/>
    <w:rsid w:val="0054472D"/>
    <w:rsid w:val="00544BED"/>
    <w:rsid w:val="00544C7F"/>
    <w:rsid w:val="00544E7C"/>
    <w:rsid w:val="005450BA"/>
    <w:rsid w:val="0054516C"/>
    <w:rsid w:val="00545633"/>
    <w:rsid w:val="005456AB"/>
    <w:rsid w:val="005456B5"/>
    <w:rsid w:val="005458B8"/>
    <w:rsid w:val="00545D6D"/>
    <w:rsid w:val="00546120"/>
    <w:rsid w:val="00546647"/>
    <w:rsid w:val="005468A2"/>
    <w:rsid w:val="00546E8D"/>
    <w:rsid w:val="00546EE7"/>
    <w:rsid w:val="00546F35"/>
    <w:rsid w:val="0054735A"/>
    <w:rsid w:val="00547D24"/>
    <w:rsid w:val="00550489"/>
    <w:rsid w:val="0055049E"/>
    <w:rsid w:val="00550E73"/>
    <w:rsid w:val="00551B7E"/>
    <w:rsid w:val="005526A9"/>
    <w:rsid w:val="005528C2"/>
    <w:rsid w:val="00552973"/>
    <w:rsid w:val="00552D2F"/>
    <w:rsid w:val="00552D42"/>
    <w:rsid w:val="00553390"/>
    <w:rsid w:val="00553C56"/>
    <w:rsid w:val="0055432C"/>
    <w:rsid w:val="005544D2"/>
    <w:rsid w:val="0055590D"/>
    <w:rsid w:val="00555F0B"/>
    <w:rsid w:val="00556840"/>
    <w:rsid w:val="00556C2B"/>
    <w:rsid w:val="00557109"/>
    <w:rsid w:val="0055741A"/>
    <w:rsid w:val="00560B7C"/>
    <w:rsid w:val="00561837"/>
    <w:rsid w:val="00561F54"/>
    <w:rsid w:val="00562316"/>
    <w:rsid w:val="005628F3"/>
    <w:rsid w:val="00562F80"/>
    <w:rsid w:val="0056339F"/>
    <w:rsid w:val="00563723"/>
    <w:rsid w:val="00563D8F"/>
    <w:rsid w:val="00564590"/>
    <w:rsid w:val="00564E21"/>
    <w:rsid w:val="00565C2A"/>
    <w:rsid w:val="00567435"/>
    <w:rsid w:val="00567712"/>
    <w:rsid w:val="00567EF8"/>
    <w:rsid w:val="00570859"/>
    <w:rsid w:val="00570A06"/>
    <w:rsid w:val="00570FA1"/>
    <w:rsid w:val="005713BA"/>
    <w:rsid w:val="0057161B"/>
    <w:rsid w:val="0057253F"/>
    <w:rsid w:val="005728AC"/>
    <w:rsid w:val="005729C3"/>
    <w:rsid w:val="00572A12"/>
    <w:rsid w:val="00572D6D"/>
    <w:rsid w:val="00572D89"/>
    <w:rsid w:val="00572E26"/>
    <w:rsid w:val="005736FE"/>
    <w:rsid w:val="00573740"/>
    <w:rsid w:val="00573935"/>
    <w:rsid w:val="00573A4F"/>
    <w:rsid w:val="00573B21"/>
    <w:rsid w:val="005744F0"/>
    <w:rsid w:val="005749FF"/>
    <w:rsid w:val="00574E43"/>
    <w:rsid w:val="005756F2"/>
    <w:rsid w:val="00575804"/>
    <w:rsid w:val="00575905"/>
    <w:rsid w:val="00575945"/>
    <w:rsid w:val="00575B92"/>
    <w:rsid w:val="00576F04"/>
    <w:rsid w:val="0057711B"/>
    <w:rsid w:val="005774B9"/>
    <w:rsid w:val="00577C81"/>
    <w:rsid w:val="005802A7"/>
    <w:rsid w:val="0058062D"/>
    <w:rsid w:val="0058097D"/>
    <w:rsid w:val="00580E7B"/>
    <w:rsid w:val="005813C9"/>
    <w:rsid w:val="00581B7E"/>
    <w:rsid w:val="005820AB"/>
    <w:rsid w:val="005820C5"/>
    <w:rsid w:val="00582601"/>
    <w:rsid w:val="00582D83"/>
    <w:rsid w:val="005835B2"/>
    <w:rsid w:val="00583709"/>
    <w:rsid w:val="0058380D"/>
    <w:rsid w:val="00583C12"/>
    <w:rsid w:val="0058428B"/>
    <w:rsid w:val="005844F1"/>
    <w:rsid w:val="0058556D"/>
    <w:rsid w:val="00585C44"/>
    <w:rsid w:val="00587412"/>
    <w:rsid w:val="00587647"/>
    <w:rsid w:val="00587D20"/>
    <w:rsid w:val="00587FCB"/>
    <w:rsid w:val="0059026D"/>
    <w:rsid w:val="005904F3"/>
    <w:rsid w:val="005908B0"/>
    <w:rsid w:val="00590F1D"/>
    <w:rsid w:val="005911E4"/>
    <w:rsid w:val="0059136D"/>
    <w:rsid w:val="005913E1"/>
    <w:rsid w:val="00591F70"/>
    <w:rsid w:val="00591FB2"/>
    <w:rsid w:val="00592D70"/>
    <w:rsid w:val="00593A4C"/>
    <w:rsid w:val="00593B37"/>
    <w:rsid w:val="005941D8"/>
    <w:rsid w:val="005948E4"/>
    <w:rsid w:val="00594D1D"/>
    <w:rsid w:val="005957EB"/>
    <w:rsid w:val="00596330"/>
    <w:rsid w:val="0059682B"/>
    <w:rsid w:val="00597031"/>
    <w:rsid w:val="00597497"/>
    <w:rsid w:val="00597BD2"/>
    <w:rsid w:val="005A06A0"/>
    <w:rsid w:val="005A0AEE"/>
    <w:rsid w:val="005A1489"/>
    <w:rsid w:val="005A1861"/>
    <w:rsid w:val="005A19EB"/>
    <w:rsid w:val="005A2945"/>
    <w:rsid w:val="005A2BC5"/>
    <w:rsid w:val="005A355D"/>
    <w:rsid w:val="005A3B3B"/>
    <w:rsid w:val="005A415A"/>
    <w:rsid w:val="005A455A"/>
    <w:rsid w:val="005A46B2"/>
    <w:rsid w:val="005A4AA4"/>
    <w:rsid w:val="005A4D62"/>
    <w:rsid w:val="005A4E13"/>
    <w:rsid w:val="005A63F8"/>
    <w:rsid w:val="005A69D6"/>
    <w:rsid w:val="005A701E"/>
    <w:rsid w:val="005A776D"/>
    <w:rsid w:val="005A78A8"/>
    <w:rsid w:val="005A7BEC"/>
    <w:rsid w:val="005A7C7C"/>
    <w:rsid w:val="005B04DC"/>
    <w:rsid w:val="005B0EED"/>
    <w:rsid w:val="005B1012"/>
    <w:rsid w:val="005B105F"/>
    <w:rsid w:val="005B1308"/>
    <w:rsid w:val="005B13DB"/>
    <w:rsid w:val="005B146F"/>
    <w:rsid w:val="005B1B3C"/>
    <w:rsid w:val="005B213C"/>
    <w:rsid w:val="005B28D3"/>
    <w:rsid w:val="005B30E2"/>
    <w:rsid w:val="005B40B4"/>
    <w:rsid w:val="005B4345"/>
    <w:rsid w:val="005B4A38"/>
    <w:rsid w:val="005B66AD"/>
    <w:rsid w:val="005B6E00"/>
    <w:rsid w:val="005B6E67"/>
    <w:rsid w:val="005C002C"/>
    <w:rsid w:val="005C0123"/>
    <w:rsid w:val="005C01C1"/>
    <w:rsid w:val="005C05A0"/>
    <w:rsid w:val="005C0899"/>
    <w:rsid w:val="005C1462"/>
    <w:rsid w:val="005C1957"/>
    <w:rsid w:val="005C1A2B"/>
    <w:rsid w:val="005C1C25"/>
    <w:rsid w:val="005C2D41"/>
    <w:rsid w:val="005C39A6"/>
    <w:rsid w:val="005C453D"/>
    <w:rsid w:val="005C462D"/>
    <w:rsid w:val="005C488C"/>
    <w:rsid w:val="005C4E21"/>
    <w:rsid w:val="005C4E63"/>
    <w:rsid w:val="005C57B6"/>
    <w:rsid w:val="005C58B6"/>
    <w:rsid w:val="005C5C85"/>
    <w:rsid w:val="005C6303"/>
    <w:rsid w:val="005C6563"/>
    <w:rsid w:val="005C6AA1"/>
    <w:rsid w:val="005D0407"/>
    <w:rsid w:val="005D1357"/>
    <w:rsid w:val="005D1868"/>
    <w:rsid w:val="005D1877"/>
    <w:rsid w:val="005D1EE9"/>
    <w:rsid w:val="005D21C3"/>
    <w:rsid w:val="005D308B"/>
    <w:rsid w:val="005D3B1E"/>
    <w:rsid w:val="005D3F1F"/>
    <w:rsid w:val="005D4221"/>
    <w:rsid w:val="005D5053"/>
    <w:rsid w:val="005D5075"/>
    <w:rsid w:val="005D5266"/>
    <w:rsid w:val="005D53F6"/>
    <w:rsid w:val="005D65F8"/>
    <w:rsid w:val="005D6B89"/>
    <w:rsid w:val="005D6D72"/>
    <w:rsid w:val="005D6DE1"/>
    <w:rsid w:val="005D78E1"/>
    <w:rsid w:val="005D7974"/>
    <w:rsid w:val="005D7E78"/>
    <w:rsid w:val="005E090C"/>
    <w:rsid w:val="005E092D"/>
    <w:rsid w:val="005E0A42"/>
    <w:rsid w:val="005E0E7D"/>
    <w:rsid w:val="005E15AA"/>
    <w:rsid w:val="005E22BC"/>
    <w:rsid w:val="005E2B2C"/>
    <w:rsid w:val="005E36DD"/>
    <w:rsid w:val="005E3C5C"/>
    <w:rsid w:val="005E3D30"/>
    <w:rsid w:val="005E4347"/>
    <w:rsid w:val="005E4737"/>
    <w:rsid w:val="005E5DB5"/>
    <w:rsid w:val="005E6522"/>
    <w:rsid w:val="005E6D20"/>
    <w:rsid w:val="005E706B"/>
    <w:rsid w:val="005E73EB"/>
    <w:rsid w:val="005E7D45"/>
    <w:rsid w:val="005F0D03"/>
    <w:rsid w:val="005F0F00"/>
    <w:rsid w:val="005F1858"/>
    <w:rsid w:val="005F1988"/>
    <w:rsid w:val="005F1B97"/>
    <w:rsid w:val="005F212F"/>
    <w:rsid w:val="005F2619"/>
    <w:rsid w:val="005F280A"/>
    <w:rsid w:val="005F29D6"/>
    <w:rsid w:val="005F2C81"/>
    <w:rsid w:val="005F3398"/>
    <w:rsid w:val="005F3CC6"/>
    <w:rsid w:val="005F4302"/>
    <w:rsid w:val="005F496D"/>
    <w:rsid w:val="005F4A8F"/>
    <w:rsid w:val="005F5302"/>
    <w:rsid w:val="005F54F8"/>
    <w:rsid w:val="005F778A"/>
    <w:rsid w:val="005F77A9"/>
    <w:rsid w:val="005F7869"/>
    <w:rsid w:val="005F786C"/>
    <w:rsid w:val="005F7C7C"/>
    <w:rsid w:val="005F7E7F"/>
    <w:rsid w:val="006008DB"/>
    <w:rsid w:val="0060274F"/>
    <w:rsid w:val="0060345C"/>
    <w:rsid w:val="00603833"/>
    <w:rsid w:val="006038EF"/>
    <w:rsid w:val="00603C19"/>
    <w:rsid w:val="00603D6C"/>
    <w:rsid w:val="006040DE"/>
    <w:rsid w:val="00604178"/>
    <w:rsid w:val="006047EB"/>
    <w:rsid w:val="00605EC1"/>
    <w:rsid w:val="00605FFF"/>
    <w:rsid w:val="00606033"/>
    <w:rsid w:val="00606191"/>
    <w:rsid w:val="00606E27"/>
    <w:rsid w:val="00606F40"/>
    <w:rsid w:val="00607384"/>
    <w:rsid w:val="006103AF"/>
    <w:rsid w:val="00610582"/>
    <w:rsid w:val="00611B1E"/>
    <w:rsid w:val="00611D88"/>
    <w:rsid w:val="00611F22"/>
    <w:rsid w:val="006121E2"/>
    <w:rsid w:val="00612452"/>
    <w:rsid w:val="0061250C"/>
    <w:rsid w:val="00612CAF"/>
    <w:rsid w:val="00612E00"/>
    <w:rsid w:val="0061305A"/>
    <w:rsid w:val="006139C9"/>
    <w:rsid w:val="00613D47"/>
    <w:rsid w:val="00614072"/>
    <w:rsid w:val="006151B3"/>
    <w:rsid w:val="006152F7"/>
    <w:rsid w:val="0061620D"/>
    <w:rsid w:val="00616D4B"/>
    <w:rsid w:val="00617663"/>
    <w:rsid w:val="00617ACE"/>
    <w:rsid w:val="00621A6A"/>
    <w:rsid w:val="00622A84"/>
    <w:rsid w:val="00623353"/>
    <w:rsid w:val="0062371F"/>
    <w:rsid w:val="00623FE3"/>
    <w:rsid w:val="006241C6"/>
    <w:rsid w:val="006242CA"/>
    <w:rsid w:val="00624A50"/>
    <w:rsid w:val="006253ED"/>
    <w:rsid w:val="00625B95"/>
    <w:rsid w:val="006266F2"/>
    <w:rsid w:val="0062684A"/>
    <w:rsid w:val="00626EFA"/>
    <w:rsid w:val="00627A74"/>
    <w:rsid w:val="00627D58"/>
    <w:rsid w:val="00627E47"/>
    <w:rsid w:val="006306C2"/>
    <w:rsid w:val="00630792"/>
    <w:rsid w:val="0063084B"/>
    <w:rsid w:val="00630B1F"/>
    <w:rsid w:val="00630F21"/>
    <w:rsid w:val="0063121B"/>
    <w:rsid w:val="006322E4"/>
    <w:rsid w:val="00633753"/>
    <w:rsid w:val="00633918"/>
    <w:rsid w:val="0063481D"/>
    <w:rsid w:val="00634EED"/>
    <w:rsid w:val="00634F99"/>
    <w:rsid w:val="00634FFB"/>
    <w:rsid w:val="00635E4F"/>
    <w:rsid w:val="0063638C"/>
    <w:rsid w:val="00636474"/>
    <w:rsid w:val="00636E6A"/>
    <w:rsid w:val="00637106"/>
    <w:rsid w:val="00637239"/>
    <w:rsid w:val="00637C84"/>
    <w:rsid w:val="00640014"/>
    <w:rsid w:val="00640578"/>
    <w:rsid w:val="0064124B"/>
    <w:rsid w:val="00641406"/>
    <w:rsid w:val="00643138"/>
    <w:rsid w:val="00643ED2"/>
    <w:rsid w:val="0064467B"/>
    <w:rsid w:val="00644A70"/>
    <w:rsid w:val="00645229"/>
    <w:rsid w:val="00645950"/>
    <w:rsid w:val="00645964"/>
    <w:rsid w:val="00646079"/>
    <w:rsid w:val="00646653"/>
    <w:rsid w:val="00646AA8"/>
    <w:rsid w:val="00646BED"/>
    <w:rsid w:val="00646E7D"/>
    <w:rsid w:val="00647684"/>
    <w:rsid w:val="006478E1"/>
    <w:rsid w:val="00647DAB"/>
    <w:rsid w:val="00647FE6"/>
    <w:rsid w:val="0065070C"/>
    <w:rsid w:val="006518C6"/>
    <w:rsid w:val="00651BD8"/>
    <w:rsid w:val="00652A60"/>
    <w:rsid w:val="00652F73"/>
    <w:rsid w:val="006532A6"/>
    <w:rsid w:val="006536C6"/>
    <w:rsid w:val="00653741"/>
    <w:rsid w:val="0065469D"/>
    <w:rsid w:val="00654A5B"/>
    <w:rsid w:val="00654AFE"/>
    <w:rsid w:val="006555F7"/>
    <w:rsid w:val="0065588E"/>
    <w:rsid w:val="006562E1"/>
    <w:rsid w:val="00656BB5"/>
    <w:rsid w:val="00657223"/>
    <w:rsid w:val="006577AC"/>
    <w:rsid w:val="00660C2F"/>
    <w:rsid w:val="00660F9C"/>
    <w:rsid w:val="0066167B"/>
    <w:rsid w:val="0066195F"/>
    <w:rsid w:val="00661A21"/>
    <w:rsid w:val="00661FC4"/>
    <w:rsid w:val="006630C1"/>
    <w:rsid w:val="00664B3E"/>
    <w:rsid w:val="0066521C"/>
    <w:rsid w:val="006652D0"/>
    <w:rsid w:val="006662A2"/>
    <w:rsid w:val="0066663A"/>
    <w:rsid w:val="00666A07"/>
    <w:rsid w:val="00666E48"/>
    <w:rsid w:val="0066743A"/>
    <w:rsid w:val="0066783B"/>
    <w:rsid w:val="00667AB3"/>
    <w:rsid w:val="00667B06"/>
    <w:rsid w:val="00667C7D"/>
    <w:rsid w:val="00667E39"/>
    <w:rsid w:val="00670F0C"/>
    <w:rsid w:val="006719AA"/>
    <w:rsid w:val="00671BD2"/>
    <w:rsid w:val="00672BE2"/>
    <w:rsid w:val="00672E05"/>
    <w:rsid w:val="0067339D"/>
    <w:rsid w:val="00673579"/>
    <w:rsid w:val="00673B05"/>
    <w:rsid w:val="00673F7F"/>
    <w:rsid w:val="006740C4"/>
    <w:rsid w:val="00674690"/>
    <w:rsid w:val="00675AB3"/>
    <w:rsid w:val="00675D16"/>
    <w:rsid w:val="006763ED"/>
    <w:rsid w:val="00676682"/>
    <w:rsid w:val="006766AA"/>
    <w:rsid w:val="00676BDD"/>
    <w:rsid w:val="006770FA"/>
    <w:rsid w:val="00677413"/>
    <w:rsid w:val="00677B5F"/>
    <w:rsid w:val="006803E6"/>
    <w:rsid w:val="006804C1"/>
    <w:rsid w:val="00680C95"/>
    <w:rsid w:val="006816FC"/>
    <w:rsid w:val="00682288"/>
    <w:rsid w:val="006825E8"/>
    <w:rsid w:val="00682710"/>
    <w:rsid w:val="006828EF"/>
    <w:rsid w:val="00682B5A"/>
    <w:rsid w:val="00682B65"/>
    <w:rsid w:val="006831BA"/>
    <w:rsid w:val="006839C7"/>
    <w:rsid w:val="00683ADD"/>
    <w:rsid w:val="00683FDF"/>
    <w:rsid w:val="00684042"/>
    <w:rsid w:val="00684326"/>
    <w:rsid w:val="0068439D"/>
    <w:rsid w:val="00684CBF"/>
    <w:rsid w:val="00684CC7"/>
    <w:rsid w:val="00684D4B"/>
    <w:rsid w:val="0068520E"/>
    <w:rsid w:val="00685547"/>
    <w:rsid w:val="00685652"/>
    <w:rsid w:val="00685CDF"/>
    <w:rsid w:val="00685E9B"/>
    <w:rsid w:val="006864E5"/>
    <w:rsid w:val="006866FF"/>
    <w:rsid w:val="00686C50"/>
    <w:rsid w:val="00686EF6"/>
    <w:rsid w:val="006871EE"/>
    <w:rsid w:val="0068742D"/>
    <w:rsid w:val="006879E0"/>
    <w:rsid w:val="006904BE"/>
    <w:rsid w:val="0069177B"/>
    <w:rsid w:val="00691F62"/>
    <w:rsid w:val="006920F3"/>
    <w:rsid w:val="006926CB"/>
    <w:rsid w:val="0069270D"/>
    <w:rsid w:val="00692BB8"/>
    <w:rsid w:val="00692DC7"/>
    <w:rsid w:val="00692FBF"/>
    <w:rsid w:val="00692FFB"/>
    <w:rsid w:val="006934DE"/>
    <w:rsid w:val="006937FE"/>
    <w:rsid w:val="006945C0"/>
    <w:rsid w:val="00694632"/>
    <w:rsid w:val="00694C7C"/>
    <w:rsid w:val="006951F7"/>
    <w:rsid w:val="006953D3"/>
    <w:rsid w:val="00695D03"/>
    <w:rsid w:val="00695D6C"/>
    <w:rsid w:val="00696603"/>
    <w:rsid w:val="00697594"/>
    <w:rsid w:val="00697C25"/>
    <w:rsid w:val="006A0075"/>
    <w:rsid w:val="006A057A"/>
    <w:rsid w:val="006A07DB"/>
    <w:rsid w:val="006A07EB"/>
    <w:rsid w:val="006A0DEF"/>
    <w:rsid w:val="006A0FB5"/>
    <w:rsid w:val="006A10FA"/>
    <w:rsid w:val="006A15DA"/>
    <w:rsid w:val="006A2381"/>
    <w:rsid w:val="006A23DD"/>
    <w:rsid w:val="006A24B8"/>
    <w:rsid w:val="006A255F"/>
    <w:rsid w:val="006A3028"/>
    <w:rsid w:val="006A35E5"/>
    <w:rsid w:val="006A3AAD"/>
    <w:rsid w:val="006A3D7F"/>
    <w:rsid w:val="006A41CB"/>
    <w:rsid w:val="006A4255"/>
    <w:rsid w:val="006A47F9"/>
    <w:rsid w:val="006A481F"/>
    <w:rsid w:val="006A4FE2"/>
    <w:rsid w:val="006A5010"/>
    <w:rsid w:val="006A5AB5"/>
    <w:rsid w:val="006A62B6"/>
    <w:rsid w:val="006A64A7"/>
    <w:rsid w:val="006A6653"/>
    <w:rsid w:val="006A7E73"/>
    <w:rsid w:val="006B03D2"/>
    <w:rsid w:val="006B0F50"/>
    <w:rsid w:val="006B102D"/>
    <w:rsid w:val="006B10A8"/>
    <w:rsid w:val="006B1EC0"/>
    <w:rsid w:val="006B2462"/>
    <w:rsid w:val="006B246C"/>
    <w:rsid w:val="006B2750"/>
    <w:rsid w:val="006B27DC"/>
    <w:rsid w:val="006B2CC0"/>
    <w:rsid w:val="006B333D"/>
    <w:rsid w:val="006B3B32"/>
    <w:rsid w:val="006B3CCD"/>
    <w:rsid w:val="006B432E"/>
    <w:rsid w:val="006B45DD"/>
    <w:rsid w:val="006B495C"/>
    <w:rsid w:val="006B5273"/>
    <w:rsid w:val="006B5569"/>
    <w:rsid w:val="006B6C76"/>
    <w:rsid w:val="006B6C85"/>
    <w:rsid w:val="006B6CA5"/>
    <w:rsid w:val="006B6E8F"/>
    <w:rsid w:val="006B727A"/>
    <w:rsid w:val="006B7B4E"/>
    <w:rsid w:val="006B7B5A"/>
    <w:rsid w:val="006C0054"/>
    <w:rsid w:val="006C02F4"/>
    <w:rsid w:val="006C05C2"/>
    <w:rsid w:val="006C0620"/>
    <w:rsid w:val="006C0E9E"/>
    <w:rsid w:val="006C0F6F"/>
    <w:rsid w:val="006C11CD"/>
    <w:rsid w:val="006C1A2C"/>
    <w:rsid w:val="006C1DD4"/>
    <w:rsid w:val="006C1EB3"/>
    <w:rsid w:val="006C2216"/>
    <w:rsid w:val="006C224C"/>
    <w:rsid w:val="006C22BA"/>
    <w:rsid w:val="006C27A7"/>
    <w:rsid w:val="006C298E"/>
    <w:rsid w:val="006C30F3"/>
    <w:rsid w:val="006C3625"/>
    <w:rsid w:val="006C3A61"/>
    <w:rsid w:val="006C414A"/>
    <w:rsid w:val="006C4171"/>
    <w:rsid w:val="006C4837"/>
    <w:rsid w:val="006C586D"/>
    <w:rsid w:val="006C59AC"/>
    <w:rsid w:val="006C5C1C"/>
    <w:rsid w:val="006C5C6C"/>
    <w:rsid w:val="006C6234"/>
    <w:rsid w:val="006C6F2A"/>
    <w:rsid w:val="006C749C"/>
    <w:rsid w:val="006C74E2"/>
    <w:rsid w:val="006C75F3"/>
    <w:rsid w:val="006C7FA7"/>
    <w:rsid w:val="006D0322"/>
    <w:rsid w:val="006D064E"/>
    <w:rsid w:val="006D0802"/>
    <w:rsid w:val="006D0D9F"/>
    <w:rsid w:val="006D13DA"/>
    <w:rsid w:val="006D2004"/>
    <w:rsid w:val="006D2362"/>
    <w:rsid w:val="006D25BB"/>
    <w:rsid w:val="006D2AB3"/>
    <w:rsid w:val="006D30EB"/>
    <w:rsid w:val="006D37FB"/>
    <w:rsid w:val="006D3932"/>
    <w:rsid w:val="006D3B27"/>
    <w:rsid w:val="006D3D54"/>
    <w:rsid w:val="006D46F2"/>
    <w:rsid w:val="006D48B9"/>
    <w:rsid w:val="006D4D1B"/>
    <w:rsid w:val="006D4D58"/>
    <w:rsid w:val="006D5186"/>
    <w:rsid w:val="006D5905"/>
    <w:rsid w:val="006D694E"/>
    <w:rsid w:val="006D69CC"/>
    <w:rsid w:val="006D6BF9"/>
    <w:rsid w:val="006D6CAF"/>
    <w:rsid w:val="006D761E"/>
    <w:rsid w:val="006D7BB1"/>
    <w:rsid w:val="006E030E"/>
    <w:rsid w:val="006E06C3"/>
    <w:rsid w:val="006E0C46"/>
    <w:rsid w:val="006E0CF1"/>
    <w:rsid w:val="006E0EEA"/>
    <w:rsid w:val="006E0F3B"/>
    <w:rsid w:val="006E1D10"/>
    <w:rsid w:val="006E2124"/>
    <w:rsid w:val="006E260A"/>
    <w:rsid w:val="006E2E66"/>
    <w:rsid w:val="006E2E74"/>
    <w:rsid w:val="006E3250"/>
    <w:rsid w:val="006E3708"/>
    <w:rsid w:val="006E377E"/>
    <w:rsid w:val="006E3C7F"/>
    <w:rsid w:val="006E43FC"/>
    <w:rsid w:val="006E4D21"/>
    <w:rsid w:val="006E62F9"/>
    <w:rsid w:val="006E6A76"/>
    <w:rsid w:val="006E7F68"/>
    <w:rsid w:val="006F05F6"/>
    <w:rsid w:val="006F09BC"/>
    <w:rsid w:val="006F0A71"/>
    <w:rsid w:val="006F0BB8"/>
    <w:rsid w:val="006F1317"/>
    <w:rsid w:val="006F1624"/>
    <w:rsid w:val="006F2D57"/>
    <w:rsid w:val="006F2E27"/>
    <w:rsid w:val="006F33B6"/>
    <w:rsid w:val="006F47F3"/>
    <w:rsid w:val="006F514E"/>
    <w:rsid w:val="006F5567"/>
    <w:rsid w:val="006F612E"/>
    <w:rsid w:val="006F6240"/>
    <w:rsid w:val="006F62A0"/>
    <w:rsid w:val="006F7110"/>
    <w:rsid w:val="006F7A0C"/>
    <w:rsid w:val="006F7F90"/>
    <w:rsid w:val="006F7FAF"/>
    <w:rsid w:val="0070018E"/>
    <w:rsid w:val="00700287"/>
    <w:rsid w:val="00700881"/>
    <w:rsid w:val="007009D1"/>
    <w:rsid w:val="00702854"/>
    <w:rsid w:val="00703080"/>
    <w:rsid w:val="00703226"/>
    <w:rsid w:val="00703B73"/>
    <w:rsid w:val="00703ECC"/>
    <w:rsid w:val="00704847"/>
    <w:rsid w:val="00704E2F"/>
    <w:rsid w:val="007050EA"/>
    <w:rsid w:val="0070567C"/>
    <w:rsid w:val="00705824"/>
    <w:rsid w:val="007060A2"/>
    <w:rsid w:val="00706D62"/>
    <w:rsid w:val="00707050"/>
    <w:rsid w:val="00710648"/>
    <w:rsid w:val="00710828"/>
    <w:rsid w:val="007112C8"/>
    <w:rsid w:val="00711867"/>
    <w:rsid w:val="00711B09"/>
    <w:rsid w:val="0071230B"/>
    <w:rsid w:val="007133F7"/>
    <w:rsid w:val="00713F1F"/>
    <w:rsid w:val="00714E82"/>
    <w:rsid w:val="007151C3"/>
    <w:rsid w:val="0071528F"/>
    <w:rsid w:val="007156E9"/>
    <w:rsid w:val="007161D2"/>
    <w:rsid w:val="007162FA"/>
    <w:rsid w:val="007165B6"/>
    <w:rsid w:val="00717C3B"/>
    <w:rsid w:val="0072017D"/>
    <w:rsid w:val="00720424"/>
    <w:rsid w:val="00720782"/>
    <w:rsid w:val="00721643"/>
    <w:rsid w:val="00721BC8"/>
    <w:rsid w:val="00722448"/>
    <w:rsid w:val="007234EE"/>
    <w:rsid w:val="00724E48"/>
    <w:rsid w:val="00725969"/>
    <w:rsid w:val="00725BE2"/>
    <w:rsid w:val="0072605C"/>
    <w:rsid w:val="007261A1"/>
    <w:rsid w:val="007263EF"/>
    <w:rsid w:val="00726EAE"/>
    <w:rsid w:val="00727214"/>
    <w:rsid w:val="0072728A"/>
    <w:rsid w:val="007278E7"/>
    <w:rsid w:val="0073014D"/>
    <w:rsid w:val="00730225"/>
    <w:rsid w:val="00730347"/>
    <w:rsid w:val="0073045F"/>
    <w:rsid w:val="007307C0"/>
    <w:rsid w:val="00730E5C"/>
    <w:rsid w:val="00731359"/>
    <w:rsid w:val="007316E4"/>
    <w:rsid w:val="0073234F"/>
    <w:rsid w:val="00733181"/>
    <w:rsid w:val="0073372C"/>
    <w:rsid w:val="007348E5"/>
    <w:rsid w:val="00734E52"/>
    <w:rsid w:val="00734ECB"/>
    <w:rsid w:val="00734F40"/>
    <w:rsid w:val="007352BA"/>
    <w:rsid w:val="00735889"/>
    <w:rsid w:val="00735D1A"/>
    <w:rsid w:val="0073646E"/>
    <w:rsid w:val="007364BA"/>
    <w:rsid w:val="00736659"/>
    <w:rsid w:val="0074054A"/>
    <w:rsid w:val="007417A0"/>
    <w:rsid w:val="00741E29"/>
    <w:rsid w:val="00741F27"/>
    <w:rsid w:val="00742202"/>
    <w:rsid w:val="007424AC"/>
    <w:rsid w:val="00742A47"/>
    <w:rsid w:val="0074358F"/>
    <w:rsid w:val="00743892"/>
    <w:rsid w:val="00743BFD"/>
    <w:rsid w:val="00745099"/>
    <w:rsid w:val="007454C1"/>
    <w:rsid w:val="00746A51"/>
    <w:rsid w:val="00746CEB"/>
    <w:rsid w:val="00746E64"/>
    <w:rsid w:val="00747129"/>
    <w:rsid w:val="007478D8"/>
    <w:rsid w:val="0075023D"/>
    <w:rsid w:val="007508CE"/>
    <w:rsid w:val="007509C7"/>
    <w:rsid w:val="00750B1C"/>
    <w:rsid w:val="007514D9"/>
    <w:rsid w:val="00751DA0"/>
    <w:rsid w:val="00752AEE"/>
    <w:rsid w:val="0075307E"/>
    <w:rsid w:val="00753867"/>
    <w:rsid w:val="00753DBF"/>
    <w:rsid w:val="007540C3"/>
    <w:rsid w:val="0075411E"/>
    <w:rsid w:val="00754292"/>
    <w:rsid w:val="00754480"/>
    <w:rsid w:val="00754C06"/>
    <w:rsid w:val="00754C3B"/>
    <w:rsid w:val="00754F86"/>
    <w:rsid w:val="007550FD"/>
    <w:rsid w:val="00755924"/>
    <w:rsid w:val="007561A7"/>
    <w:rsid w:val="0075621C"/>
    <w:rsid w:val="0075666B"/>
    <w:rsid w:val="007568A1"/>
    <w:rsid w:val="00756E54"/>
    <w:rsid w:val="00756F3E"/>
    <w:rsid w:val="007571F2"/>
    <w:rsid w:val="00757929"/>
    <w:rsid w:val="00757A42"/>
    <w:rsid w:val="007602E6"/>
    <w:rsid w:val="00760807"/>
    <w:rsid w:val="00760D43"/>
    <w:rsid w:val="00762040"/>
    <w:rsid w:val="0076267D"/>
    <w:rsid w:val="007626F2"/>
    <w:rsid w:val="00762D60"/>
    <w:rsid w:val="00763790"/>
    <w:rsid w:val="00763870"/>
    <w:rsid w:val="00763908"/>
    <w:rsid w:val="00763D99"/>
    <w:rsid w:val="0076443C"/>
    <w:rsid w:val="00764666"/>
    <w:rsid w:val="007646CC"/>
    <w:rsid w:val="0076478D"/>
    <w:rsid w:val="0076514F"/>
    <w:rsid w:val="007652CC"/>
    <w:rsid w:val="007658B0"/>
    <w:rsid w:val="00765D96"/>
    <w:rsid w:val="00765E11"/>
    <w:rsid w:val="00766618"/>
    <w:rsid w:val="007667DA"/>
    <w:rsid w:val="007669B6"/>
    <w:rsid w:val="0076730C"/>
    <w:rsid w:val="00767F0A"/>
    <w:rsid w:val="0077165A"/>
    <w:rsid w:val="00772055"/>
    <w:rsid w:val="00772412"/>
    <w:rsid w:val="00772ADA"/>
    <w:rsid w:val="00772CBA"/>
    <w:rsid w:val="00772FD2"/>
    <w:rsid w:val="007732BC"/>
    <w:rsid w:val="00774279"/>
    <w:rsid w:val="0077478D"/>
    <w:rsid w:val="00775164"/>
    <w:rsid w:val="00775206"/>
    <w:rsid w:val="00775529"/>
    <w:rsid w:val="0077620E"/>
    <w:rsid w:val="0077625F"/>
    <w:rsid w:val="00776286"/>
    <w:rsid w:val="00777641"/>
    <w:rsid w:val="007804DB"/>
    <w:rsid w:val="00780CF5"/>
    <w:rsid w:val="00780D09"/>
    <w:rsid w:val="00781413"/>
    <w:rsid w:val="007820A9"/>
    <w:rsid w:val="0078212C"/>
    <w:rsid w:val="007821EF"/>
    <w:rsid w:val="007828F6"/>
    <w:rsid w:val="00782B48"/>
    <w:rsid w:val="00782F62"/>
    <w:rsid w:val="00782FCC"/>
    <w:rsid w:val="007833A5"/>
    <w:rsid w:val="0078432E"/>
    <w:rsid w:val="00784AB5"/>
    <w:rsid w:val="00784B76"/>
    <w:rsid w:val="00784EEC"/>
    <w:rsid w:val="00785302"/>
    <w:rsid w:val="0078545C"/>
    <w:rsid w:val="007857DD"/>
    <w:rsid w:val="00785924"/>
    <w:rsid w:val="00785D9E"/>
    <w:rsid w:val="00785E55"/>
    <w:rsid w:val="007860E3"/>
    <w:rsid w:val="0078696D"/>
    <w:rsid w:val="00786992"/>
    <w:rsid w:val="007870E7"/>
    <w:rsid w:val="007874C3"/>
    <w:rsid w:val="0078780C"/>
    <w:rsid w:val="00787D45"/>
    <w:rsid w:val="00790124"/>
    <w:rsid w:val="00790227"/>
    <w:rsid w:val="0079031D"/>
    <w:rsid w:val="007905EE"/>
    <w:rsid w:val="00790E25"/>
    <w:rsid w:val="0079125A"/>
    <w:rsid w:val="007922C6"/>
    <w:rsid w:val="007929DB"/>
    <w:rsid w:val="007930A0"/>
    <w:rsid w:val="00793361"/>
    <w:rsid w:val="00793703"/>
    <w:rsid w:val="0079393B"/>
    <w:rsid w:val="00793B25"/>
    <w:rsid w:val="00793CAD"/>
    <w:rsid w:val="00793D43"/>
    <w:rsid w:val="0079407D"/>
    <w:rsid w:val="007940D1"/>
    <w:rsid w:val="007944D1"/>
    <w:rsid w:val="007947C5"/>
    <w:rsid w:val="00795223"/>
    <w:rsid w:val="00795AB5"/>
    <w:rsid w:val="00796C5C"/>
    <w:rsid w:val="00797724"/>
    <w:rsid w:val="00797950"/>
    <w:rsid w:val="00797BFF"/>
    <w:rsid w:val="007A008E"/>
    <w:rsid w:val="007A0239"/>
    <w:rsid w:val="007A02EE"/>
    <w:rsid w:val="007A02F7"/>
    <w:rsid w:val="007A103E"/>
    <w:rsid w:val="007A1591"/>
    <w:rsid w:val="007A16B2"/>
    <w:rsid w:val="007A18A1"/>
    <w:rsid w:val="007A1A2A"/>
    <w:rsid w:val="007A1BD6"/>
    <w:rsid w:val="007A1DF1"/>
    <w:rsid w:val="007A1DFD"/>
    <w:rsid w:val="007A2100"/>
    <w:rsid w:val="007A2969"/>
    <w:rsid w:val="007A359A"/>
    <w:rsid w:val="007A3800"/>
    <w:rsid w:val="007A3D2F"/>
    <w:rsid w:val="007A40AF"/>
    <w:rsid w:val="007A467B"/>
    <w:rsid w:val="007A4EC8"/>
    <w:rsid w:val="007A5201"/>
    <w:rsid w:val="007A54E2"/>
    <w:rsid w:val="007A5519"/>
    <w:rsid w:val="007A5D2B"/>
    <w:rsid w:val="007A5E66"/>
    <w:rsid w:val="007A6CD2"/>
    <w:rsid w:val="007A6D56"/>
    <w:rsid w:val="007A7023"/>
    <w:rsid w:val="007A7310"/>
    <w:rsid w:val="007B0874"/>
    <w:rsid w:val="007B0ABB"/>
    <w:rsid w:val="007B0D22"/>
    <w:rsid w:val="007B11DD"/>
    <w:rsid w:val="007B172D"/>
    <w:rsid w:val="007B1AB0"/>
    <w:rsid w:val="007B2037"/>
    <w:rsid w:val="007B28B0"/>
    <w:rsid w:val="007B31C5"/>
    <w:rsid w:val="007B359F"/>
    <w:rsid w:val="007B389B"/>
    <w:rsid w:val="007B3C2F"/>
    <w:rsid w:val="007B4AEE"/>
    <w:rsid w:val="007B4BC3"/>
    <w:rsid w:val="007B4FB7"/>
    <w:rsid w:val="007B5584"/>
    <w:rsid w:val="007B565E"/>
    <w:rsid w:val="007B5699"/>
    <w:rsid w:val="007B5B9E"/>
    <w:rsid w:val="007B5DBD"/>
    <w:rsid w:val="007B671E"/>
    <w:rsid w:val="007B76A0"/>
    <w:rsid w:val="007C0727"/>
    <w:rsid w:val="007C07B5"/>
    <w:rsid w:val="007C09CA"/>
    <w:rsid w:val="007C1099"/>
    <w:rsid w:val="007C1F7B"/>
    <w:rsid w:val="007C2080"/>
    <w:rsid w:val="007C2475"/>
    <w:rsid w:val="007C2D20"/>
    <w:rsid w:val="007C3568"/>
    <w:rsid w:val="007C3803"/>
    <w:rsid w:val="007C455D"/>
    <w:rsid w:val="007C5138"/>
    <w:rsid w:val="007C55BA"/>
    <w:rsid w:val="007C5716"/>
    <w:rsid w:val="007C5982"/>
    <w:rsid w:val="007C6848"/>
    <w:rsid w:val="007C6891"/>
    <w:rsid w:val="007C6E41"/>
    <w:rsid w:val="007C6EA4"/>
    <w:rsid w:val="007C6EBA"/>
    <w:rsid w:val="007C7C0A"/>
    <w:rsid w:val="007C7D31"/>
    <w:rsid w:val="007D0133"/>
    <w:rsid w:val="007D0223"/>
    <w:rsid w:val="007D0900"/>
    <w:rsid w:val="007D09A4"/>
    <w:rsid w:val="007D1006"/>
    <w:rsid w:val="007D1382"/>
    <w:rsid w:val="007D2202"/>
    <w:rsid w:val="007D27DF"/>
    <w:rsid w:val="007D27EC"/>
    <w:rsid w:val="007D2998"/>
    <w:rsid w:val="007D2A30"/>
    <w:rsid w:val="007D2D7D"/>
    <w:rsid w:val="007D2F8A"/>
    <w:rsid w:val="007D2F8F"/>
    <w:rsid w:val="007D3966"/>
    <w:rsid w:val="007D3B4E"/>
    <w:rsid w:val="007D3CD1"/>
    <w:rsid w:val="007D3D50"/>
    <w:rsid w:val="007D60CA"/>
    <w:rsid w:val="007D61B9"/>
    <w:rsid w:val="007D6DD3"/>
    <w:rsid w:val="007D6DFC"/>
    <w:rsid w:val="007D6E1A"/>
    <w:rsid w:val="007D6EC7"/>
    <w:rsid w:val="007D77CF"/>
    <w:rsid w:val="007D7888"/>
    <w:rsid w:val="007D7E81"/>
    <w:rsid w:val="007E0319"/>
    <w:rsid w:val="007E036D"/>
    <w:rsid w:val="007E0467"/>
    <w:rsid w:val="007E1FDA"/>
    <w:rsid w:val="007E21A6"/>
    <w:rsid w:val="007E21EE"/>
    <w:rsid w:val="007E2529"/>
    <w:rsid w:val="007E3A16"/>
    <w:rsid w:val="007E5825"/>
    <w:rsid w:val="007E600E"/>
    <w:rsid w:val="007E6830"/>
    <w:rsid w:val="007E68E3"/>
    <w:rsid w:val="007E6ADC"/>
    <w:rsid w:val="007E71E5"/>
    <w:rsid w:val="007E7510"/>
    <w:rsid w:val="007E75F0"/>
    <w:rsid w:val="007E7DDF"/>
    <w:rsid w:val="007F00A6"/>
    <w:rsid w:val="007F02A1"/>
    <w:rsid w:val="007F0F4B"/>
    <w:rsid w:val="007F1847"/>
    <w:rsid w:val="007F1FFE"/>
    <w:rsid w:val="007F2334"/>
    <w:rsid w:val="007F29ED"/>
    <w:rsid w:val="007F4199"/>
    <w:rsid w:val="007F4398"/>
    <w:rsid w:val="007F4A48"/>
    <w:rsid w:val="007F5261"/>
    <w:rsid w:val="007F594B"/>
    <w:rsid w:val="007F6FE7"/>
    <w:rsid w:val="007F710B"/>
    <w:rsid w:val="007F73BC"/>
    <w:rsid w:val="00800689"/>
    <w:rsid w:val="0080077C"/>
    <w:rsid w:val="008007EA"/>
    <w:rsid w:val="00800A53"/>
    <w:rsid w:val="0080210A"/>
    <w:rsid w:val="00802482"/>
    <w:rsid w:val="0080249B"/>
    <w:rsid w:val="00802FD5"/>
    <w:rsid w:val="0080367C"/>
    <w:rsid w:val="00803776"/>
    <w:rsid w:val="008040AF"/>
    <w:rsid w:val="008042CA"/>
    <w:rsid w:val="008059CE"/>
    <w:rsid w:val="00805AAF"/>
    <w:rsid w:val="00806006"/>
    <w:rsid w:val="00806201"/>
    <w:rsid w:val="00806890"/>
    <w:rsid w:val="00806D71"/>
    <w:rsid w:val="008075BE"/>
    <w:rsid w:val="008079CF"/>
    <w:rsid w:val="00810403"/>
    <w:rsid w:val="00811007"/>
    <w:rsid w:val="0081172B"/>
    <w:rsid w:val="008120A9"/>
    <w:rsid w:val="008125BE"/>
    <w:rsid w:val="00812C27"/>
    <w:rsid w:val="00812EC7"/>
    <w:rsid w:val="00813A45"/>
    <w:rsid w:val="00813A66"/>
    <w:rsid w:val="00813E88"/>
    <w:rsid w:val="008145E3"/>
    <w:rsid w:val="00814B8E"/>
    <w:rsid w:val="00814CCC"/>
    <w:rsid w:val="00814E46"/>
    <w:rsid w:val="00815056"/>
    <w:rsid w:val="008155C4"/>
    <w:rsid w:val="008155CA"/>
    <w:rsid w:val="00815628"/>
    <w:rsid w:val="00815ADA"/>
    <w:rsid w:val="0081620B"/>
    <w:rsid w:val="00816607"/>
    <w:rsid w:val="00816DC0"/>
    <w:rsid w:val="00816ECE"/>
    <w:rsid w:val="00817015"/>
    <w:rsid w:val="00817143"/>
    <w:rsid w:val="00817790"/>
    <w:rsid w:val="00817C04"/>
    <w:rsid w:val="00817CCE"/>
    <w:rsid w:val="00820F40"/>
    <w:rsid w:val="0082133C"/>
    <w:rsid w:val="00821825"/>
    <w:rsid w:val="008219A3"/>
    <w:rsid w:val="00821A03"/>
    <w:rsid w:val="0082238A"/>
    <w:rsid w:val="008225CE"/>
    <w:rsid w:val="008227D5"/>
    <w:rsid w:val="008231C5"/>
    <w:rsid w:val="008234B6"/>
    <w:rsid w:val="00823778"/>
    <w:rsid w:val="00823E7E"/>
    <w:rsid w:val="00824902"/>
    <w:rsid w:val="00825430"/>
    <w:rsid w:val="00825D67"/>
    <w:rsid w:val="00825D69"/>
    <w:rsid w:val="008263E1"/>
    <w:rsid w:val="00826558"/>
    <w:rsid w:val="0082680A"/>
    <w:rsid w:val="008269B8"/>
    <w:rsid w:val="00826F43"/>
    <w:rsid w:val="008276EE"/>
    <w:rsid w:val="0083141D"/>
    <w:rsid w:val="00831709"/>
    <w:rsid w:val="00831744"/>
    <w:rsid w:val="008319C8"/>
    <w:rsid w:val="00831B03"/>
    <w:rsid w:val="00831B84"/>
    <w:rsid w:val="00831F51"/>
    <w:rsid w:val="00833A35"/>
    <w:rsid w:val="00833AF5"/>
    <w:rsid w:val="00833EB4"/>
    <w:rsid w:val="008347D0"/>
    <w:rsid w:val="00834BC8"/>
    <w:rsid w:val="0083558D"/>
    <w:rsid w:val="00836799"/>
    <w:rsid w:val="00836CC6"/>
    <w:rsid w:val="00836DBF"/>
    <w:rsid w:val="0083703F"/>
    <w:rsid w:val="00837223"/>
    <w:rsid w:val="00837AE5"/>
    <w:rsid w:val="00837E9D"/>
    <w:rsid w:val="0084035F"/>
    <w:rsid w:val="00841617"/>
    <w:rsid w:val="0084210A"/>
    <w:rsid w:val="008426F7"/>
    <w:rsid w:val="008427B3"/>
    <w:rsid w:val="00842C12"/>
    <w:rsid w:val="00842FB2"/>
    <w:rsid w:val="00843072"/>
    <w:rsid w:val="008442A8"/>
    <w:rsid w:val="0084488C"/>
    <w:rsid w:val="00845070"/>
    <w:rsid w:val="008455DC"/>
    <w:rsid w:val="0084576C"/>
    <w:rsid w:val="008461E7"/>
    <w:rsid w:val="0084661D"/>
    <w:rsid w:val="008467F9"/>
    <w:rsid w:val="0084756E"/>
    <w:rsid w:val="00847BDA"/>
    <w:rsid w:val="00847EF1"/>
    <w:rsid w:val="008504FF"/>
    <w:rsid w:val="00850720"/>
    <w:rsid w:val="00850BF7"/>
    <w:rsid w:val="00851521"/>
    <w:rsid w:val="008526DF"/>
    <w:rsid w:val="008527CC"/>
    <w:rsid w:val="008529AE"/>
    <w:rsid w:val="008533CE"/>
    <w:rsid w:val="00853654"/>
    <w:rsid w:val="008536A7"/>
    <w:rsid w:val="008537B1"/>
    <w:rsid w:val="008537C5"/>
    <w:rsid w:val="008539C9"/>
    <w:rsid w:val="00853B82"/>
    <w:rsid w:val="00853BD5"/>
    <w:rsid w:val="008544D8"/>
    <w:rsid w:val="00854E9D"/>
    <w:rsid w:val="00854EA8"/>
    <w:rsid w:val="00855F49"/>
    <w:rsid w:val="008561A3"/>
    <w:rsid w:val="008561B5"/>
    <w:rsid w:val="00856C00"/>
    <w:rsid w:val="0085776F"/>
    <w:rsid w:val="00857C94"/>
    <w:rsid w:val="00857D95"/>
    <w:rsid w:val="00860042"/>
    <w:rsid w:val="008605D8"/>
    <w:rsid w:val="008607EF"/>
    <w:rsid w:val="00860D1A"/>
    <w:rsid w:val="00860D7A"/>
    <w:rsid w:val="00861A2C"/>
    <w:rsid w:val="00861E1A"/>
    <w:rsid w:val="008620CE"/>
    <w:rsid w:val="00862154"/>
    <w:rsid w:val="0086276D"/>
    <w:rsid w:val="0086387C"/>
    <w:rsid w:val="008638A4"/>
    <w:rsid w:val="008638AC"/>
    <w:rsid w:val="00863C56"/>
    <w:rsid w:val="008645C9"/>
    <w:rsid w:val="00864643"/>
    <w:rsid w:val="00865550"/>
    <w:rsid w:val="00865572"/>
    <w:rsid w:val="00866904"/>
    <w:rsid w:val="00866C8B"/>
    <w:rsid w:val="00867245"/>
    <w:rsid w:val="0086780A"/>
    <w:rsid w:val="00867B43"/>
    <w:rsid w:val="0087053A"/>
    <w:rsid w:val="008707DC"/>
    <w:rsid w:val="00870D21"/>
    <w:rsid w:val="00870EA8"/>
    <w:rsid w:val="0087100A"/>
    <w:rsid w:val="00872077"/>
    <w:rsid w:val="008720B2"/>
    <w:rsid w:val="00872BA7"/>
    <w:rsid w:val="008735EC"/>
    <w:rsid w:val="00873BA4"/>
    <w:rsid w:val="008743D8"/>
    <w:rsid w:val="00875689"/>
    <w:rsid w:val="00875719"/>
    <w:rsid w:val="00875F89"/>
    <w:rsid w:val="00876AB4"/>
    <w:rsid w:val="00876E3F"/>
    <w:rsid w:val="00876EE3"/>
    <w:rsid w:val="00877BBC"/>
    <w:rsid w:val="00880137"/>
    <w:rsid w:val="00880E08"/>
    <w:rsid w:val="00880E23"/>
    <w:rsid w:val="008811F6"/>
    <w:rsid w:val="008812F1"/>
    <w:rsid w:val="00881FF7"/>
    <w:rsid w:val="0088246E"/>
    <w:rsid w:val="00882781"/>
    <w:rsid w:val="0088318E"/>
    <w:rsid w:val="008839B8"/>
    <w:rsid w:val="00884232"/>
    <w:rsid w:val="00884589"/>
    <w:rsid w:val="00885A3B"/>
    <w:rsid w:val="00885D11"/>
    <w:rsid w:val="00885D25"/>
    <w:rsid w:val="00886FDB"/>
    <w:rsid w:val="00887142"/>
    <w:rsid w:val="00887483"/>
    <w:rsid w:val="008874DE"/>
    <w:rsid w:val="00887821"/>
    <w:rsid w:val="00891649"/>
    <w:rsid w:val="00891977"/>
    <w:rsid w:val="0089213D"/>
    <w:rsid w:val="00892214"/>
    <w:rsid w:val="00892BB5"/>
    <w:rsid w:val="008933C0"/>
    <w:rsid w:val="00893B6F"/>
    <w:rsid w:val="00893DFD"/>
    <w:rsid w:val="00893E71"/>
    <w:rsid w:val="008941E9"/>
    <w:rsid w:val="00894E5D"/>
    <w:rsid w:val="0089582E"/>
    <w:rsid w:val="00896105"/>
    <w:rsid w:val="00896375"/>
    <w:rsid w:val="008965F3"/>
    <w:rsid w:val="00896605"/>
    <w:rsid w:val="008966FF"/>
    <w:rsid w:val="00896840"/>
    <w:rsid w:val="00896F45"/>
    <w:rsid w:val="008978C6"/>
    <w:rsid w:val="008A00F1"/>
    <w:rsid w:val="008A1845"/>
    <w:rsid w:val="008A1911"/>
    <w:rsid w:val="008A20C3"/>
    <w:rsid w:val="008A24F2"/>
    <w:rsid w:val="008A2C1B"/>
    <w:rsid w:val="008A2E14"/>
    <w:rsid w:val="008A3501"/>
    <w:rsid w:val="008A37F3"/>
    <w:rsid w:val="008A3E6C"/>
    <w:rsid w:val="008A41EA"/>
    <w:rsid w:val="008A4AB5"/>
    <w:rsid w:val="008A4E40"/>
    <w:rsid w:val="008A53C2"/>
    <w:rsid w:val="008A548E"/>
    <w:rsid w:val="008A5F0F"/>
    <w:rsid w:val="008A6C7B"/>
    <w:rsid w:val="008A71DC"/>
    <w:rsid w:val="008A75C7"/>
    <w:rsid w:val="008A79D1"/>
    <w:rsid w:val="008A7B83"/>
    <w:rsid w:val="008A7E7C"/>
    <w:rsid w:val="008B122A"/>
    <w:rsid w:val="008B1589"/>
    <w:rsid w:val="008B26D4"/>
    <w:rsid w:val="008B2CDD"/>
    <w:rsid w:val="008B2E38"/>
    <w:rsid w:val="008B3327"/>
    <w:rsid w:val="008B3814"/>
    <w:rsid w:val="008B38C9"/>
    <w:rsid w:val="008B3D21"/>
    <w:rsid w:val="008B4038"/>
    <w:rsid w:val="008B40A0"/>
    <w:rsid w:val="008B42D7"/>
    <w:rsid w:val="008B506F"/>
    <w:rsid w:val="008B50FE"/>
    <w:rsid w:val="008B550E"/>
    <w:rsid w:val="008B5977"/>
    <w:rsid w:val="008B5A7B"/>
    <w:rsid w:val="008B5B10"/>
    <w:rsid w:val="008B5D84"/>
    <w:rsid w:val="008B61F2"/>
    <w:rsid w:val="008B69F0"/>
    <w:rsid w:val="008B6A3C"/>
    <w:rsid w:val="008B6BCB"/>
    <w:rsid w:val="008B701C"/>
    <w:rsid w:val="008B72AE"/>
    <w:rsid w:val="008B735C"/>
    <w:rsid w:val="008B7395"/>
    <w:rsid w:val="008B7A12"/>
    <w:rsid w:val="008B7E22"/>
    <w:rsid w:val="008B7F83"/>
    <w:rsid w:val="008C0996"/>
    <w:rsid w:val="008C10C4"/>
    <w:rsid w:val="008C13FA"/>
    <w:rsid w:val="008C1764"/>
    <w:rsid w:val="008C1A9B"/>
    <w:rsid w:val="008C1B1D"/>
    <w:rsid w:val="008C2010"/>
    <w:rsid w:val="008C2989"/>
    <w:rsid w:val="008C2DFD"/>
    <w:rsid w:val="008C30D1"/>
    <w:rsid w:val="008C3F24"/>
    <w:rsid w:val="008C4973"/>
    <w:rsid w:val="008C4C4A"/>
    <w:rsid w:val="008C607B"/>
    <w:rsid w:val="008C614F"/>
    <w:rsid w:val="008C61D2"/>
    <w:rsid w:val="008C645F"/>
    <w:rsid w:val="008C6C0C"/>
    <w:rsid w:val="008C7A8A"/>
    <w:rsid w:val="008C7E0B"/>
    <w:rsid w:val="008D0446"/>
    <w:rsid w:val="008D0C3B"/>
    <w:rsid w:val="008D0ECD"/>
    <w:rsid w:val="008D109A"/>
    <w:rsid w:val="008D1171"/>
    <w:rsid w:val="008D15B0"/>
    <w:rsid w:val="008D1635"/>
    <w:rsid w:val="008D24D0"/>
    <w:rsid w:val="008D2776"/>
    <w:rsid w:val="008D2BC4"/>
    <w:rsid w:val="008D2DBA"/>
    <w:rsid w:val="008D4093"/>
    <w:rsid w:val="008D413E"/>
    <w:rsid w:val="008D444A"/>
    <w:rsid w:val="008D4753"/>
    <w:rsid w:val="008D4940"/>
    <w:rsid w:val="008D515B"/>
    <w:rsid w:val="008D534E"/>
    <w:rsid w:val="008D61BE"/>
    <w:rsid w:val="008D692A"/>
    <w:rsid w:val="008D70A7"/>
    <w:rsid w:val="008D7AD1"/>
    <w:rsid w:val="008E0216"/>
    <w:rsid w:val="008E04F5"/>
    <w:rsid w:val="008E0737"/>
    <w:rsid w:val="008E0DDC"/>
    <w:rsid w:val="008E2AA6"/>
    <w:rsid w:val="008E2E09"/>
    <w:rsid w:val="008E2E1B"/>
    <w:rsid w:val="008E2FA3"/>
    <w:rsid w:val="008E36DA"/>
    <w:rsid w:val="008E3863"/>
    <w:rsid w:val="008E4209"/>
    <w:rsid w:val="008E5555"/>
    <w:rsid w:val="008E56AE"/>
    <w:rsid w:val="008E5793"/>
    <w:rsid w:val="008E5A6C"/>
    <w:rsid w:val="008E6B39"/>
    <w:rsid w:val="008E6B43"/>
    <w:rsid w:val="008E6C04"/>
    <w:rsid w:val="008E723A"/>
    <w:rsid w:val="008E736B"/>
    <w:rsid w:val="008E7481"/>
    <w:rsid w:val="008E77C7"/>
    <w:rsid w:val="008E7B39"/>
    <w:rsid w:val="008E7C1B"/>
    <w:rsid w:val="008F0886"/>
    <w:rsid w:val="008F0AF4"/>
    <w:rsid w:val="008F0D25"/>
    <w:rsid w:val="008F0EDE"/>
    <w:rsid w:val="008F10B3"/>
    <w:rsid w:val="008F1179"/>
    <w:rsid w:val="008F1456"/>
    <w:rsid w:val="008F1975"/>
    <w:rsid w:val="008F1CEB"/>
    <w:rsid w:val="008F2B74"/>
    <w:rsid w:val="008F30EA"/>
    <w:rsid w:val="008F3E3C"/>
    <w:rsid w:val="008F42D3"/>
    <w:rsid w:val="008F486A"/>
    <w:rsid w:val="008F4B49"/>
    <w:rsid w:val="008F51C6"/>
    <w:rsid w:val="008F5C3D"/>
    <w:rsid w:val="008F6167"/>
    <w:rsid w:val="008F6428"/>
    <w:rsid w:val="008F6AB2"/>
    <w:rsid w:val="008F71BD"/>
    <w:rsid w:val="008F791A"/>
    <w:rsid w:val="0090055C"/>
    <w:rsid w:val="0090095C"/>
    <w:rsid w:val="00900EDD"/>
    <w:rsid w:val="00901216"/>
    <w:rsid w:val="00901258"/>
    <w:rsid w:val="009012BB"/>
    <w:rsid w:val="00901443"/>
    <w:rsid w:val="00901C6E"/>
    <w:rsid w:val="00902176"/>
    <w:rsid w:val="00902199"/>
    <w:rsid w:val="009023DB"/>
    <w:rsid w:val="00902468"/>
    <w:rsid w:val="009026EB"/>
    <w:rsid w:val="0090274A"/>
    <w:rsid w:val="00902EAD"/>
    <w:rsid w:val="009039BC"/>
    <w:rsid w:val="00904538"/>
    <w:rsid w:val="009048BF"/>
    <w:rsid w:val="00904E1B"/>
    <w:rsid w:val="009053F4"/>
    <w:rsid w:val="00905427"/>
    <w:rsid w:val="00906086"/>
    <w:rsid w:val="009063D7"/>
    <w:rsid w:val="00906522"/>
    <w:rsid w:val="00907C41"/>
    <w:rsid w:val="00907F22"/>
    <w:rsid w:val="00910B1E"/>
    <w:rsid w:val="009112DA"/>
    <w:rsid w:val="009118BC"/>
    <w:rsid w:val="0091234E"/>
    <w:rsid w:val="00913B90"/>
    <w:rsid w:val="009144BF"/>
    <w:rsid w:val="009146E1"/>
    <w:rsid w:val="009147A9"/>
    <w:rsid w:val="00915705"/>
    <w:rsid w:val="00916024"/>
    <w:rsid w:val="0091639C"/>
    <w:rsid w:val="009200E8"/>
    <w:rsid w:val="00920419"/>
    <w:rsid w:val="00920DC9"/>
    <w:rsid w:val="00920F44"/>
    <w:rsid w:val="00921372"/>
    <w:rsid w:val="00921771"/>
    <w:rsid w:val="00921A1E"/>
    <w:rsid w:val="00922192"/>
    <w:rsid w:val="009221B1"/>
    <w:rsid w:val="009227A7"/>
    <w:rsid w:val="009233A1"/>
    <w:rsid w:val="009235CB"/>
    <w:rsid w:val="0092378B"/>
    <w:rsid w:val="00923DF0"/>
    <w:rsid w:val="0092422D"/>
    <w:rsid w:val="00924C6E"/>
    <w:rsid w:val="00924D3B"/>
    <w:rsid w:val="00926B9D"/>
    <w:rsid w:val="00926D52"/>
    <w:rsid w:val="00927402"/>
    <w:rsid w:val="0092759A"/>
    <w:rsid w:val="00927D8B"/>
    <w:rsid w:val="0093022E"/>
    <w:rsid w:val="009319E5"/>
    <w:rsid w:val="00931FF1"/>
    <w:rsid w:val="009325F9"/>
    <w:rsid w:val="00932647"/>
    <w:rsid w:val="00932D44"/>
    <w:rsid w:val="00932DA0"/>
    <w:rsid w:val="0093300B"/>
    <w:rsid w:val="00933526"/>
    <w:rsid w:val="00933580"/>
    <w:rsid w:val="009336EB"/>
    <w:rsid w:val="00933A3F"/>
    <w:rsid w:val="00934A18"/>
    <w:rsid w:val="009351AB"/>
    <w:rsid w:val="00935437"/>
    <w:rsid w:val="00935EE5"/>
    <w:rsid w:val="00936492"/>
    <w:rsid w:val="00936CBD"/>
    <w:rsid w:val="00936E75"/>
    <w:rsid w:val="00937027"/>
    <w:rsid w:val="00937211"/>
    <w:rsid w:val="009375DD"/>
    <w:rsid w:val="00937693"/>
    <w:rsid w:val="00937A54"/>
    <w:rsid w:val="00937A69"/>
    <w:rsid w:val="00937CAC"/>
    <w:rsid w:val="009400E2"/>
    <w:rsid w:val="0094031F"/>
    <w:rsid w:val="00940A6E"/>
    <w:rsid w:val="00940AD6"/>
    <w:rsid w:val="00940FAC"/>
    <w:rsid w:val="00941774"/>
    <w:rsid w:val="0094202B"/>
    <w:rsid w:val="0094219C"/>
    <w:rsid w:val="009424AC"/>
    <w:rsid w:val="00942649"/>
    <w:rsid w:val="009429F0"/>
    <w:rsid w:val="00942DD7"/>
    <w:rsid w:val="00942FF1"/>
    <w:rsid w:val="009436C1"/>
    <w:rsid w:val="00944177"/>
    <w:rsid w:val="00944706"/>
    <w:rsid w:val="0094513F"/>
    <w:rsid w:val="0094559E"/>
    <w:rsid w:val="00945978"/>
    <w:rsid w:val="009459C8"/>
    <w:rsid w:val="00945A0D"/>
    <w:rsid w:val="0094630F"/>
    <w:rsid w:val="009464BF"/>
    <w:rsid w:val="00946A57"/>
    <w:rsid w:val="00946D96"/>
    <w:rsid w:val="0094724F"/>
    <w:rsid w:val="00947A09"/>
    <w:rsid w:val="00947C3F"/>
    <w:rsid w:val="00950154"/>
    <w:rsid w:val="00950BCB"/>
    <w:rsid w:val="0095165C"/>
    <w:rsid w:val="00951667"/>
    <w:rsid w:val="009516EC"/>
    <w:rsid w:val="009517DB"/>
    <w:rsid w:val="00951E79"/>
    <w:rsid w:val="00952566"/>
    <w:rsid w:val="00952791"/>
    <w:rsid w:val="009533AF"/>
    <w:rsid w:val="0095433B"/>
    <w:rsid w:val="00954784"/>
    <w:rsid w:val="009547BB"/>
    <w:rsid w:val="00954A83"/>
    <w:rsid w:val="00954E4D"/>
    <w:rsid w:val="009550E4"/>
    <w:rsid w:val="00956730"/>
    <w:rsid w:val="00956AFA"/>
    <w:rsid w:val="00957110"/>
    <w:rsid w:val="0095749D"/>
    <w:rsid w:val="00957D95"/>
    <w:rsid w:val="00957E86"/>
    <w:rsid w:val="00960583"/>
    <w:rsid w:val="0096059E"/>
    <w:rsid w:val="009609C0"/>
    <w:rsid w:val="0096142D"/>
    <w:rsid w:val="009614E0"/>
    <w:rsid w:val="009616D7"/>
    <w:rsid w:val="00961DE7"/>
    <w:rsid w:val="009630DF"/>
    <w:rsid w:val="00963345"/>
    <w:rsid w:val="00963A9B"/>
    <w:rsid w:val="00964D8C"/>
    <w:rsid w:val="0096585C"/>
    <w:rsid w:val="0096676D"/>
    <w:rsid w:val="00966A44"/>
    <w:rsid w:val="00966BC0"/>
    <w:rsid w:val="00966DBF"/>
    <w:rsid w:val="0097069D"/>
    <w:rsid w:val="00971339"/>
    <w:rsid w:val="00971926"/>
    <w:rsid w:val="00971D65"/>
    <w:rsid w:val="0097215C"/>
    <w:rsid w:val="00972696"/>
    <w:rsid w:val="00972D64"/>
    <w:rsid w:val="00973875"/>
    <w:rsid w:val="00974AC4"/>
    <w:rsid w:val="00974CE9"/>
    <w:rsid w:val="009755D8"/>
    <w:rsid w:val="00975713"/>
    <w:rsid w:val="00975C1B"/>
    <w:rsid w:val="0097645D"/>
    <w:rsid w:val="00976559"/>
    <w:rsid w:val="00976695"/>
    <w:rsid w:val="009769CD"/>
    <w:rsid w:val="00976D95"/>
    <w:rsid w:val="00977E8C"/>
    <w:rsid w:val="00980346"/>
    <w:rsid w:val="00980567"/>
    <w:rsid w:val="0098058F"/>
    <w:rsid w:val="00980983"/>
    <w:rsid w:val="00980B58"/>
    <w:rsid w:val="00981A11"/>
    <w:rsid w:val="00981EE2"/>
    <w:rsid w:val="00981FB2"/>
    <w:rsid w:val="009820C6"/>
    <w:rsid w:val="009824BC"/>
    <w:rsid w:val="00982825"/>
    <w:rsid w:val="00982989"/>
    <w:rsid w:val="00983673"/>
    <w:rsid w:val="009844B0"/>
    <w:rsid w:val="00985BAB"/>
    <w:rsid w:val="0098681F"/>
    <w:rsid w:val="009869B3"/>
    <w:rsid w:val="00986CFE"/>
    <w:rsid w:val="0099052F"/>
    <w:rsid w:val="0099070E"/>
    <w:rsid w:val="0099089F"/>
    <w:rsid w:val="00990B80"/>
    <w:rsid w:val="00990DF9"/>
    <w:rsid w:val="00991136"/>
    <w:rsid w:val="00991236"/>
    <w:rsid w:val="009912A6"/>
    <w:rsid w:val="0099193A"/>
    <w:rsid w:val="0099250E"/>
    <w:rsid w:val="00992708"/>
    <w:rsid w:val="00992EEB"/>
    <w:rsid w:val="0099306E"/>
    <w:rsid w:val="00993355"/>
    <w:rsid w:val="009938F2"/>
    <w:rsid w:val="00994038"/>
    <w:rsid w:val="00994B11"/>
    <w:rsid w:val="00994DB2"/>
    <w:rsid w:val="0099512C"/>
    <w:rsid w:val="00995EEF"/>
    <w:rsid w:val="009972BC"/>
    <w:rsid w:val="00997B01"/>
    <w:rsid w:val="00997D2D"/>
    <w:rsid w:val="009A0766"/>
    <w:rsid w:val="009A0A0C"/>
    <w:rsid w:val="009A0ECA"/>
    <w:rsid w:val="009A1BD2"/>
    <w:rsid w:val="009A2AD3"/>
    <w:rsid w:val="009A3218"/>
    <w:rsid w:val="009A3433"/>
    <w:rsid w:val="009A3447"/>
    <w:rsid w:val="009A3CFE"/>
    <w:rsid w:val="009A4855"/>
    <w:rsid w:val="009A49F1"/>
    <w:rsid w:val="009A4FB4"/>
    <w:rsid w:val="009A5052"/>
    <w:rsid w:val="009A51EE"/>
    <w:rsid w:val="009A536C"/>
    <w:rsid w:val="009A5811"/>
    <w:rsid w:val="009A5A83"/>
    <w:rsid w:val="009A656C"/>
    <w:rsid w:val="009A7EBC"/>
    <w:rsid w:val="009B03D4"/>
    <w:rsid w:val="009B04A5"/>
    <w:rsid w:val="009B05FE"/>
    <w:rsid w:val="009B0664"/>
    <w:rsid w:val="009B0715"/>
    <w:rsid w:val="009B1165"/>
    <w:rsid w:val="009B13B7"/>
    <w:rsid w:val="009B1567"/>
    <w:rsid w:val="009B1610"/>
    <w:rsid w:val="009B1CAC"/>
    <w:rsid w:val="009B328A"/>
    <w:rsid w:val="009B3DCC"/>
    <w:rsid w:val="009B3E9C"/>
    <w:rsid w:val="009B4D24"/>
    <w:rsid w:val="009B4DC8"/>
    <w:rsid w:val="009B5888"/>
    <w:rsid w:val="009B5E0B"/>
    <w:rsid w:val="009B64D5"/>
    <w:rsid w:val="009B6762"/>
    <w:rsid w:val="009B6783"/>
    <w:rsid w:val="009B6D41"/>
    <w:rsid w:val="009B7E98"/>
    <w:rsid w:val="009C002D"/>
    <w:rsid w:val="009C034C"/>
    <w:rsid w:val="009C03F9"/>
    <w:rsid w:val="009C0BE0"/>
    <w:rsid w:val="009C0DED"/>
    <w:rsid w:val="009C1597"/>
    <w:rsid w:val="009C1E18"/>
    <w:rsid w:val="009C20D0"/>
    <w:rsid w:val="009C35B6"/>
    <w:rsid w:val="009C3CFC"/>
    <w:rsid w:val="009C47F1"/>
    <w:rsid w:val="009C486F"/>
    <w:rsid w:val="009C4CDE"/>
    <w:rsid w:val="009C525F"/>
    <w:rsid w:val="009C5DCF"/>
    <w:rsid w:val="009C5E6E"/>
    <w:rsid w:val="009C60F6"/>
    <w:rsid w:val="009C6BDA"/>
    <w:rsid w:val="009C76A3"/>
    <w:rsid w:val="009C795F"/>
    <w:rsid w:val="009D0A3C"/>
    <w:rsid w:val="009D0CA1"/>
    <w:rsid w:val="009D0FD1"/>
    <w:rsid w:val="009D14BA"/>
    <w:rsid w:val="009D17A9"/>
    <w:rsid w:val="009D180A"/>
    <w:rsid w:val="009D2760"/>
    <w:rsid w:val="009D28C1"/>
    <w:rsid w:val="009D2B8B"/>
    <w:rsid w:val="009D2D52"/>
    <w:rsid w:val="009D2E54"/>
    <w:rsid w:val="009D2F87"/>
    <w:rsid w:val="009D313B"/>
    <w:rsid w:val="009D357D"/>
    <w:rsid w:val="009D35CF"/>
    <w:rsid w:val="009D3734"/>
    <w:rsid w:val="009D3D45"/>
    <w:rsid w:val="009D3E53"/>
    <w:rsid w:val="009D3FCB"/>
    <w:rsid w:val="009D484E"/>
    <w:rsid w:val="009D4E21"/>
    <w:rsid w:val="009D52CE"/>
    <w:rsid w:val="009D541E"/>
    <w:rsid w:val="009D62F9"/>
    <w:rsid w:val="009D6D7D"/>
    <w:rsid w:val="009D6EDD"/>
    <w:rsid w:val="009D7817"/>
    <w:rsid w:val="009D7B91"/>
    <w:rsid w:val="009E0420"/>
    <w:rsid w:val="009E087B"/>
    <w:rsid w:val="009E0D75"/>
    <w:rsid w:val="009E1856"/>
    <w:rsid w:val="009E2F99"/>
    <w:rsid w:val="009E33FB"/>
    <w:rsid w:val="009E3E80"/>
    <w:rsid w:val="009E3FEA"/>
    <w:rsid w:val="009E437E"/>
    <w:rsid w:val="009E4668"/>
    <w:rsid w:val="009E469C"/>
    <w:rsid w:val="009E4A20"/>
    <w:rsid w:val="009E4B12"/>
    <w:rsid w:val="009E6F37"/>
    <w:rsid w:val="009E76F2"/>
    <w:rsid w:val="009E7738"/>
    <w:rsid w:val="009F0293"/>
    <w:rsid w:val="009F02D4"/>
    <w:rsid w:val="009F0596"/>
    <w:rsid w:val="009F0F40"/>
    <w:rsid w:val="009F14C3"/>
    <w:rsid w:val="009F15C9"/>
    <w:rsid w:val="009F1D1D"/>
    <w:rsid w:val="009F1D2E"/>
    <w:rsid w:val="009F1E71"/>
    <w:rsid w:val="009F20E7"/>
    <w:rsid w:val="009F2F2E"/>
    <w:rsid w:val="009F3222"/>
    <w:rsid w:val="009F35C1"/>
    <w:rsid w:val="009F47A5"/>
    <w:rsid w:val="009F51A6"/>
    <w:rsid w:val="009F6403"/>
    <w:rsid w:val="009F75E7"/>
    <w:rsid w:val="009F76DC"/>
    <w:rsid w:val="009F7855"/>
    <w:rsid w:val="009F7C9E"/>
    <w:rsid w:val="009F7F8C"/>
    <w:rsid w:val="00A00123"/>
    <w:rsid w:val="00A00673"/>
    <w:rsid w:val="00A009B1"/>
    <w:rsid w:val="00A0168F"/>
    <w:rsid w:val="00A017BF"/>
    <w:rsid w:val="00A01BBB"/>
    <w:rsid w:val="00A022D4"/>
    <w:rsid w:val="00A02623"/>
    <w:rsid w:val="00A0263B"/>
    <w:rsid w:val="00A02656"/>
    <w:rsid w:val="00A02860"/>
    <w:rsid w:val="00A02F9F"/>
    <w:rsid w:val="00A02FAF"/>
    <w:rsid w:val="00A033D1"/>
    <w:rsid w:val="00A03581"/>
    <w:rsid w:val="00A03952"/>
    <w:rsid w:val="00A0453B"/>
    <w:rsid w:val="00A04A19"/>
    <w:rsid w:val="00A04BFD"/>
    <w:rsid w:val="00A05186"/>
    <w:rsid w:val="00A05D1D"/>
    <w:rsid w:val="00A061CF"/>
    <w:rsid w:val="00A065CA"/>
    <w:rsid w:val="00A065EA"/>
    <w:rsid w:val="00A070F9"/>
    <w:rsid w:val="00A073B7"/>
    <w:rsid w:val="00A07D30"/>
    <w:rsid w:val="00A10E4B"/>
    <w:rsid w:val="00A11033"/>
    <w:rsid w:val="00A11391"/>
    <w:rsid w:val="00A116D7"/>
    <w:rsid w:val="00A1173D"/>
    <w:rsid w:val="00A11C8F"/>
    <w:rsid w:val="00A11F2E"/>
    <w:rsid w:val="00A1236A"/>
    <w:rsid w:val="00A12773"/>
    <w:rsid w:val="00A12C6D"/>
    <w:rsid w:val="00A145DE"/>
    <w:rsid w:val="00A156C2"/>
    <w:rsid w:val="00A163C7"/>
    <w:rsid w:val="00A1665F"/>
    <w:rsid w:val="00A16753"/>
    <w:rsid w:val="00A16869"/>
    <w:rsid w:val="00A170F7"/>
    <w:rsid w:val="00A1749D"/>
    <w:rsid w:val="00A17868"/>
    <w:rsid w:val="00A200BD"/>
    <w:rsid w:val="00A20719"/>
    <w:rsid w:val="00A20AAB"/>
    <w:rsid w:val="00A20DB8"/>
    <w:rsid w:val="00A21871"/>
    <w:rsid w:val="00A219CD"/>
    <w:rsid w:val="00A21E04"/>
    <w:rsid w:val="00A21EFE"/>
    <w:rsid w:val="00A227AC"/>
    <w:rsid w:val="00A22CF5"/>
    <w:rsid w:val="00A233ED"/>
    <w:rsid w:val="00A23592"/>
    <w:rsid w:val="00A239BD"/>
    <w:rsid w:val="00A23D02"/>
    <w:rsid w:val="00A24420"/>
    <w:rsid w:val="00A24A44"/>
    <w:rsid w:val="00A24D70"/>
    <w:rsid w:val="00A26446"/>
    <w:rsid w:val="00A26AC8"/>
    <w:rsid w:val="00A26BBC"/>
    <w:rsid w:val="00A27654"/>
    <w:rsid w:val="00A276A6"/>
    <w:rsid w:val="00A2786E"/>
    <w:rsid w:val="00A278E3"/>
    <w:rsid w:val="00A27B30"/>
    <w:rsid w:val="00A27C87"/>
    <w:rsid w:val="00A27FBE"/>
    <w:rsid w:val="00A30447"/>
    <w:rsid w:val="00A3081B"/>
    <w:rsid w:val="00A30978"/>
    <w:rsid w:val="00A30BD5"/>
    <w:rsid w:val="00A30D21"/>
    <w:rsid w:val="00A3122D"/>
    <w:rsid w:val="00A3136F"/>
    <w:rsid w:val="00A31574"/>
    <w:rsid w:val="00A3195D"/>
    <w:rsid w:val="00A319CE"/>
    <w:rsid w:val="00A31D8E"/>
    <w:rsid w:val="00A3207B"/>
    <w:rsid w:val="00A32299"/>
    <w:rsid w:val="00A324DD"/>
    <w:rsid w:val="00A32DCA"/>
    <w:rsid w:val="00A32DDE"/>
    <w:rsid w:val="00A33390"/>
    <w:rsid w:val="00A33DB3"/>
    <w:rsid w:val="00A33F67"/>
    <w:rsid w:val="00A34DFB"/>
    <w:rsid w:val="00A356AE"/>
    <w:rsid w:val="00A35940"/>
    <w:rsid w:val="00A35ADC"/>
    <w:rsid w:val="00A35FE0"/>
    <w:rsid w:val="00A36CAE"/>
    <w:rsid w:val="00A37095"/>
    <w:rsid w:val="00A37D77"/>
    <w:rsid w:val="00A40D06"/>
    <w:rsid w:val="00A40ED3"/>
    <w:rsid w:val="00A4126A"/>
    <w:rsid w:val="00A41CC7"/>
    <w:rsid w:val="00A422DB"/>
    <w:rsid w:val="00A43191"/>
    <w:rsid w:val="00A436DA"/>
    <w:rsid w:val="00A43E68"/>
    <w:rsid w:val="00A4414D"/>
    <w:rsid w:val="00A449D1"/>
    <w:rsid w:val="00A44C3E"/>
    <w:rsid w:val="00A44F67"/>
    <w:rsid w:val="00A45411"/>
    <w:rsid w:val="00A45631"/>
    <w:rsid w:val="00A45BE9"/>
    <w:rsid w:val="00A46035"/>
    <w:rsid w:val="00A4611E"/>
    <w:rsid w:val="00A46FF0"/>
    <w:rsid w:val="00A50B0C"/>
    <w:rsid w:val="00A50B3E"/>
    <w:rsid w:val="00A50BBD"/>
    <w:rsid w:val="00A510E6"/>
    <w:rsid w:val="00A51242"/>
    <w:rsid w:val="00A51316"/>
    <w:rsid w:val="00A52052"/>
    <w:rsid w:val="00A525A2"/>
    <w:rsid w:val="00A52D82"/>
    <w:rsid w:val="00A52F86"/>
    <w:rsid w:val="00A5300B"/>
    <w:rsid w:val="00A5425A"/>
    <w:rsid w:val="00A5463B"/>
    <w:rsid w:val="00A5481B"/>
    <w:rsid w:val="00A55382"/>
    <w:rsid w:val="00A5633D"/>
    <w:rsid w:val="00A563F0"/>
    <w:rsid w:val="00A56E91"/>
    <w:rsid w:val="00A5720F"/>
    <w:rsid w:val="00A57CDE"/>
    <w:rsid w:val="00A606A2"/>
    <w:rsid w:val="00A61595"/>
    <w:rsid w:val="00A61D22"/>
    <w:rsid w:val="00A61D9F"/>
    <w:rsid w:val="00A62E21"/>
    <w:rsid w:val="00A638A0"/>
    <w:rsid w:val="00A63EE2"/>
    <w:rsid w:val="00A6466E"/>
    <w:rsid w:val="00A647D8"/>
    <w:rsid w:val="00A648D2"/>
    <w:rsid w:val="00A6491B"/>
    <w:rsid w:val="00A64B44"/>
    <w:rsid w:val="00A64DDE"/>
    <w:rsid w:val="00A653CC"/>
    <w:rsid w:val="00A659D6"/>
    <w:rsid w:val="00A65F2A"/>
    <w:rsid w:val="00A67E7A"/>
    <w:rsid w:val="00A67EE1"/>
    <w:rsid w:val="00A706FF"/>
    <w:rsid w:val="00A712F7"/>
    <w:rsid w:val="00A715F1"/>
    <w:rsid w:val="00A71DB0"/>
    <w:rsid w:val="00A71E0F"/>
    <w:rsid w:val="00A723F6"/>
    <w:rsid w:val="00A72863"/>
    <w:rsid w:val="00A72FE7"/>
    <w:rsid w:val="00A7325A"/>
    <w:rsid w:val="00A742A9"/>
    <w:rsid w:val="00A750AF"/>
    <w:rsid w:val="00A7570D"/>
    <w:rsid w:val="00A75739"/>
    <w:rsid w:val="00A75867"/>
    <w:rsid w:val="00A7624A"/>
    <w:rsid w:val="00A7683B"/>
    <w:rsid w:val="00A76CBC"/>
    <w:rsid w:val="00A76D67"/>
    <w:rsid w:val="00A7719C"/>
    <w:rsid w:val="00A7742A"/>
    <w:rsid w:val="00A77CDF"/>
    <w:rsid w:val="00A77FB6"/>
    <w:rsid w:val="00A80246"/>
    <w:rsid w:val="00A80378"/>
    <w:rsid w:val="00A80B21"/>
    <w:rsid w:val="00A80C26"/>
    <w:rsid w:val="00A80FEB"/>
    <w:rsid w:val="00A813E0"/>
    <w:rsid w:val="00A81499"/>
    <w:rsid w:val="00A8196D"/>
    <w:rsid w:val="00A81FC6"/>
    <w:rsid w:val="00A82379"/>
    <w:rsid w:val="00A82CD5"/>
    <w:rsid w:val="00A82F1D"/>
    <w:rsid w:val="00A833E1"/>
    <w:rsid w:val="00A84D9A"/>
    <w:rsid w:val="00A85397"/>
    <w:rsid w:val="00A85922"/>
    <w:rsid w:val="00A85934"/>
    <w:rsid w:val="00A85C8A"/>
    <w:rsid w:val="00A85CC5"/>
    <w:rsid w:val="00A85E22"/>
    <w:rsid w:val="00A8647C"/>
    <w:rsid w:val="00A86E9E"/>
    <w:rsid w:val="00A86F76"/>
    <w:rsid w:val="00A87E25"/>
    <w:rsid w:val="00A90B82"/>
    <w:rsid w:val="00A90EB6"/>
    <w:rsid w:val="00A91396"/>
    <w:rsid w:val="00A91725"/>
    <w:rsid w:val="00A91771"/>
    <w:rsid w:val="00A91B09"/>
    <w:rsid w:val="00A9204C"/>
    <w:rsid w:val="00A923A7"/>
    <w:rsid w:val="00A928D6"/>
    <w:rsid w:val="00A92B03"/>
    <w:rsid w:val="00A92E66"/>
    <w:rsid w:val="00A93248"/>
    <w:rsid w:val="00A933B4"/>
    <w:rsid w:val="00A93505"/>
    <w:rsid w:val="00A93B8E"/>
    <w:rsid w:val="00A93BCC"/>
    <w:rsid w:val="00A94337"/>
    <w:rsid w:val="00A946B0"/>
    <w:rsid w:val="00A9485F"/>
    <w:rsid w:val="00A94C5D"/>
    <w:rsid w:val="00A94DF6"/>
    <w:rsid w:val="00A952DD"/>
    <w:rsid w:val="00A956AE"/>
    <w:rsid w:val="00A96C6F"/>
    <w:rsid w:val="00A970C4"/>
    <w:rsid w:val="00A977DC"/>
    <w:rsid w:val="00AA1940"/>
    <w:rsid w:val="00AA1CCF"/>
    <w:rsid w:val="00AA24BA"/>
    <w:rsid w:val="00AA2A3F"/>
    <w:rsid w:val="00AA2B17"/>
    <w:rsid w:val="00AA34B5"/>
    <w:rsid w:val="00AA3E5A"/>
    <w:rsid w:val="00AA5605"/>
    <w:rsid w:val="00AA5DB3"/>
    <w:rsid w:val="00AA67C5"/>
    <w:rsid w:val="00AA78C9"/>
    <w:rsid w:val="00AA7C08"/>
    <w:rsid w:val="00AA7DD4"/>
    <w:rsid w:val="00AB050E"/>
    <w:rsid w:val="00AB0BB4"/>
    <w:rsid w:val="00AB10E3"/>
    <w:rsid w:val="00AB1185"/>
    <w:rsid w:val="00AB163A"/>
    <w:rsid w:val="00AB1861"/>
    <w:rsid w:val="00AB1A70"/>
    <w:rsid w:val="00AB1C70"/>
    <w:rsid w:val="00AB1C97"/>
    <w:rsid w:val="00AB336B"/>
    <w:rsid w:val="00AB3403"/>
    <w:rsid w:val="00AB4439"/>
    <w:rsid w:val="00AB460D"/>
    <w:rsid w:val="00AB4683"/>
    <w:rsid w:val="00AB50F8"/>
    <w:rsid w:val="00AB51CA"/>
    <w:rsid w:val="00AB5C32"/>
    <w:rsid w:val="00AB60AF"/>
    <w:rsid w:val="00AB6135"/>
    <w:rsid w:val="00AB6691"/>
    <w:rsid w:val="00AB799A"/>
    <w:rsid w:val="00AB7CCB"/>
    <w:rsid w:val="00AC059A"/>
    <w:rsid w:val="00AC0C08"/>
    <w:rsid w:val="00AC0F4C"/>
    <w:rsid w:val="00AC0F9A"/>
    <w:rsid w:val="00AC0FD3"/>
    <w:rsid w:val="00AC1505"/>
    <w:rsid w:val="00AC186E"/>
    <w:rsid w:val="00AC2B31"/>
    <w:rsid w:val="00AC2EA6"/>
    <w:rsid w:val="00AC32AA"/>
    <w:rsid w:val="00AC4895"/>
    <w:rsid w:val="00AC55E8"/>
    <w:rsid w:val="00AC650B"/>
    <w:rsid w:val="00AC679D"/>
    <w:rsid w:val="00AC73B0"/>
    <w:rsid w:val="00AD00A3"/>
    <w:rsid w:val="00AD00D7"/>
    <w:rsid w:val="00AD0B57"/>
    <w:rsid w:val="00AD0BC1"/>
    <w:rsid w:val="00AD0BED"/>
    <w:rsid w:val="00AD1730"/>
    <w:rsid w:val="00AD1B17"/>
    <w:rsid w:val="00AD27B7"/>
    <w:rsid w:val="00AD298E"/>
    <w:rsid w:val="00AD31E5"/>
    <w:rsid w:val="00AD3409"/>
    <w:rsid w:val="00AD385E"/>
    <w:rsid w:val="00AD3B1B"/>
    <w:rsid w:val="00AD46A4"/>
    <w:rsid w:val="00AD47EB"/>
    <w:rsid w:val="00AD5063"/>
    <w:rsid w:val="00AD52E7"/>
    <w:rsid w:val="00AD581F"/>
    <w:rsid w:val="00AD5A59"/>
    <w:rsid w:val="00AD5C67"/>
    <w:rsid w:val="00AD5EE9"/>
    <w:rsid w:val="00AD5F7D"/>
    <w:rsid w:val="00AD5FA7"/>
    <w:rsid w:val="00AD66C1"/>
    <w:rsid w:val="00AD67AF"/>
    <w:rsid w:val="00AD689F"/>
    <w:rsid w:val="00AD6D91"/>
    <w:rsid w:val="00AD70ED"/>
    <w:rsid w:val="00AD7136"/>
    <w:rsid w:val="00AD71DF"/>
    <w:rsid w:val="00AD7E09"/>
    <w:rsid w:val="00AE04D2"/>
    <w:rsid w:val="00AE0B9E"/>
    <w:rsid w:val="00AE14F0"/>
    <w:rsid w:val="00AE1B01"/>
    <w:rsid w:val="00AE35A3"/>
    <w:rsid w:val="00AE38EE"/>
    <w:rsid w:val="00AE3C0F"/>
    <w:rsid w:val="00AE3CA9"/>
    <w:rsid w:val="00AE4E35"/>
    <w:rsid w:val="00AE605F"/>
    <w:rsid w:val="00AE6CA3"/>
    <w:rsid w:val="00AE7496"/>
    <w:rsid w:val="00AE79F8"/>
    <w:rsid w:val="00AE7A74"/>
    <w:rsid w:val="00AE7D89"/>
    <w:rsid w:val="00AF0B70"/>
    <w:rsid w:val="00AF2186"/>
    <w:rsid w:val="00AF244F"/>
    <w:rsid w:val="00AF2C51"/>
    <w:rsid w:val="00AF2D05"/>
    <w:rsid w:val="00AF2FF7"/>
    <w:rsid w:val="00AF32DB"/>
    <w:rsid w:val="00AF358E"/>
    <w:rsid w:val="00AF3DAF"/>
    <w:rsid w:val="00AF3E51"/>
    <w:rsid w:val="00AF3FDF"/>
    <w:rsid w:val="00AF4129"/>
    <w:rsid w:val="00AF45CA"/>
    <w:rsid w:val="00AF550E"/>
    <w:rsid w:val="00AF5F45"/>
    <w:rsid w:val="00AF5F86"/>
    <w:rsid w:val="00AF633E"/>
    <w:rsid w:val="00AF6B8E"/>
    <w:rsid w:val="00AF6C60"/>
    <w:rsid w:val="00AF6E83"/>
    <w:rsid w:val="00AF7018"/>
    <w:rsid w:val="00AF7A8E"/>
    <w:rsid w:val="00AF7CD7"/>
    <w:rsid w:val="00B001AE"/>
    <w:rsid w:val="00B00268"/>
    <w:rsid w:val="00B01115"/>
    <w:rsid w:val="00B01406"/>
    <w:rsid w:val="00B01628"/>
    <w:rsid w:val="00B02260"/>
    <w:rsid w:val="00B0281D"/>
    <w:rsid w:val="00B03575"/>
    <w:rsid w:val="00B03580"/>
    <w:rsid w:val="00B037C7"/>
    <w:rsid w:val="00B03945"/>
    <w:rsid w:val="00B03C02"/>
    <w:rsid w:val="00B03DCA"/>
    <w:rsid w:val="00B043D6"/>
    <w:rsid w:val="00B045E4"/>
    <w:rsid w:val="00B04788"/>
    <w:rsid w:val="00B04BF3"/>
    <w:rsid w:val="00B04E10"/>
    <w:rsid w:val="00B0564C"/>
    <w:rsid w:val="00B062F2"/>
    <w:rsid w:val="00B06785"/>
    <w:rsid w:val="00B06A18"/>
    <w:rsid w:val="00B06D5F"/>
    <w:rsid w:val="00B0765C"/>
    <w:rsid w:val="00B100E7"/>
    <w:rsid w:val="00B10170"/>
    <w:rsid w:val="00B11584"/>
    <w:rsid w:val="00B11DA0"/>
    <w:rsid w:val="00B12905"/>
    <w:rsid w:val="00B12C0B"/>
    <w:rsid w:val="00B131DD"/>
    <w:rsid w:val="00B13CA5"/>
    <w:rsid w:val="00B13ED2"/>
    <w:rsid w:val="00B14075"/>
    <w:rsid w:val="00B14135"/>
    <w:rsid w:val="00B147DA"/>
    <w:rsid w:val="00B149D2"/>
    <w:rsid w:val="00B14A69"/>
    <w:rsid w:val="00B14CD1"/>
    <w:rsid w:val="00B14F09"/>
    <w:rsid w:val="00B1519C"/>
    <w:rsid w:val="00B1545E"/>
    <w:rsid w:val="00B1591B"/>
    <w:rsid w:val="00B17057"/>
    <w:rsid w:val="00B171AE"/>
    <w:rsid w:val="00B2002A"/>
    <w:rsid w:val="00B2088D"/>
    <w:rsid w:val="00B2138D"/>
    <w:rsid w:val="00B21590"/>
    <w:rsid w:val="00B21A3E"/>
    <w:rsid w:val="00B21D24"/>
    <w:rsid w:val="00B231EB"/>
    <w:rsid w:val="00B2336F"/>
    <w:rsid w:val="00B234C0"/>
    <w:rsid w:val="00B236BC"/>
    <w:rsid w:val="00B23F75"/>
    <w:rsid w:val="00B248AB"/>
    <w:rsid w:val="00B249BD"/>
    <w:rsid w:val="00B2562A"/>
    <w:rsid w:val="00B26715"/>
    <w:rsid w:val="00B2686D"/>
    <w:rsid w:val="00B268FE"/>
    <w:rsid w:val="00B2690F"/>
    <w:rsid w:val="00B26B03"/>
    <w:rsid w:val="00B273A3"/>
    <w:rsid w:val="00B303FA"/>
    <w:rsid w:val="00B306F3"/>
    <w:rsid w:val="00B30972"/>
    <w:rsid w:val="00B31041"/>
    <w:rsid w:val="00B311B4"/>
    <w:rsid w:val="00B31291"/>
    <w:rsid w:val="00B31341"/>
    <w:rsid w:val="00B31C10"/>
    <w:rsid w:val="00B31DF3"/>
    <w:rsid w:val="00B32003"/>
    <w:rsid w:val="00B328E9"/>
    <w:rsid w:val="00B32D22"/>
    <w:rsid w:val="00B33014"/>
    <w:rsid w:val="00B3301E"/>
    <w:rsid w:val="00B33042"/>
    <w:rsid w:val="00B33222"/>
    <w:rsid w:val="00B34764"/>
    <w:rsid w:val="00B34A27"/>
    <w:rsid w:val="00B34EFB"/>
    <w:rsid w:val="00B35410"/>
    <w:rsid w:val="00B3653A"/>
    <w:rsid w:val="00B3659A"/>
    <w:rsid w:val="00B367DD"/>
    <w:rsid w:val="00B36E13"/>
    <w:rsid w:val="00B36EFD"/>
    <w:rsid w:val="00B37176"/>
    <w:rsid w:val="00B403DA"/>
    <w:rsid w:val="00B405F2"/>
    <w:rsid w:val="00B4089A"/>
    <w:rsid w:val="00B40DCA"/>
    <w:rsid w:val="00B41643"/>
    <w:rsid w:val="00B41926"/>
    <w:rsid w:val="00B41D53"/>
    <w:rsid w:val="00B41E62"/>
    <w:rsid w:val="00B42B3A"/>
    <w:rsid w:val="00B4375A"/>
    <w:rsid w:val="00B44753"/>
    <w:rsid w:val="00B450BE"/>
    <w:rsid w:val="00B4661F"/>
    <w:rsid w:val="00B46F71"/>
    <w:rsid w:val="00B47274"/>
    <w:rsid w:val="00B477BE"/>
    <w:rsid w:val="00B47C8D"/>
    <w:rsid w:val="00B5050B"/>
    <w:rsid w:val="00B51041"/>
    <w:rsid w:val="00B51117"/>
    <w:rsid w:val="00B5137D"/>
    <w:rsid w:val="00B51492"/>
    <w:rsid w:val="00B51975"/>
    <w:rsid w:val="00B51B6B"/>
    <w:rsid w:val="00B51E0B"/>
    <w:rsid w:val="00B51FC8"/>
    <w:rsid w:val="00B52589"/>
    <w:rsid w:val="00B52D77"/>
    <w:rsid w:val="00B52DA7"/>
    <w:rsid w:val="00B530BB"/>
    <w:rsid w:val="00B53A7B"/>
    <w:rsid w:val="00B5557D"/>
    <w:rsid w:val="00B55623"/>
    <w:rsid w:val="00B5597A"/>
    <w:rsid w:val="00B56071"/>
    <w:rsid w:val="00B56569"/>
    <w:rsid w:val="00B57009"/>
    <w:rsid w:val="00B57A13"/>
    <w:rsid w:val="00B60CDA"/>
    <w:rsid w:val="00B624DD"/>
    <w:rsid w:val="00B63459"/>
    <w:rsid w:val="00B63505"/>
    <w:rsid w:val="00B641F4"/>
    <w:rsid w:val="00B64E63"/>
    <w:rsid w:val="00B64EDD"/>
    <w:rsid w:val="00B660BD"/>
    <w:rsid w:val="00B66E5F"/>
    <w:rsid w:val="00B67718"/>
    <w:rsid w:val="00B7059E"/>
    <w:rsid w:val="00B707E7"/>
    <w:rsid w:val="00B70A47"/>
    <w:rsid w:val="00B70C99"/>
    <w:rsid w:val="00B70FBF"/>
    <w:rsid w:val="00B70FE3"/>
    <w:rsid w:val="00B71313"/>
    <w:rsid w:val="00B72813"/>
    <w:rsid w:val="00B729AF"/>
    <w:rsid w:val="00B737E0"/>
    <w:rsid w:val="00B73A9D"/>
    <w:rsid w:val="00B73C38"/>
    <w:rsid w:val="00B73F6A"/>
    <w:rsid w:val="00B744F6"/>
    <w:rsid w:val="00B7458B"/>
    <w:rsid w:val="00B747C2"/>
    <w:rsid w:val="00B748A8"/>
    <w:rsid w:val="00B74BFD"/>
    <w:rsid w:val="00B74F47"/>
    <w:rsid w:val="00B758F8"/>
    <w:rsid w:val="00B75E04"/>
    <w:rsid w:val="00B76230"/>
    <w:rsid w:val="00B76769"/>
    <w:rsid w:val="00B76EBA"/>
    <w:rsid w:val="00B772AE"/>
    <w:rsid w:val="00B774D4"/>
    <w:rsid w:val="00B77B7B"/>
    <w:rsid w:val="00B77F97"/>
    <w:rsid w:val="00B8092B"/>
    <w:rsid w:val="00B80B1C"/>
    <w:rsid w:val="00B80B5F"/>
    <w:rsid w:val="00B80E6C"/>
    <w:rsid w:val="00B80F23"/>
    <w:rsid w:val="00B8197C"/>
    <w:rsid w:val="00B81D25"/>
    <w:rsid w:val="00B8208E"/>
    <w:rsid w:val="00B8233E"/>
    <w:rsid w:val="00B8287E"/>
    <w:rsid w:val="00B829C3"/>
    <w:rsid w:val="00B82BBC"/>
    <w:rsid w:val="00B83272"/>
    <w:rsid w:val="00B84190"/>
    <w:rsid w:val="00B854D3"/>
    <w:rsid w:val="00B857A8"/>
    <w:rsid w:val="00B859B4"/>
    <w:rsid w:val="00B86010"/>
    <w:rsid w:val="00B869DD"/>
    <w:rsid w:val="00B86AA7"/>
    <w:rsid w:val="00B86DD5"/>
    <w:rsid w:val="00B87473"/>
    <w:rsid w:val="00B874CF"/>
    <w:rsid w:val="00B875F0"/>
    <w:rsid w:val="00B878A0"/>
    <w:rsid w:val="00B900F7"/>
    <w:rsid w:val="00B904E6"/>
    <w:rsid w:val="00B9076C"/>
    <w:rsid w:val="00B90A10"/>
    <w:rsid w:val="00B90E83"/>
    <w:rsid w:val="00B91435"/>
    <w:rsid w:val="00B914F2"/>
    <w:rsid w:val="00B916B7"/>
    <w:rsid w:val="00B917C1"/>
    <w:rsid w:val="00B91B3E"/>
    <w:rsid w:val="00B91FD8"/>
    <w:rsid w:val="00B91FF2"/>
    <w:rsid w:val="00B92025"/>
    <w:rsid w:val="00B923E4"/>
    <w:rsid w:val="00B924B8"/>
    <w:rsid w:val="00B925C0"/>
    <w:rsid w:val="00B927E1"/>
    <w:rsid w:val="00B93B16"/>
    <w:rsid w:val="00B93C49"/>
    <w:rsid w:val="00B93CD0"/>
    <w:rsid w:val="00B93D9C"/>
    <w:rsid w:val="00B94419"/>
    <w:rsid w:val="00B94471"/>
    <w:rsid w:val="00B94E69"/>
    <w:rsid w:val="00B95191"/>
    <w:rsid w:val="00B95379"/>
    <w:rsid w:val="00B9567D"/>
    <w:rsid w:val="00B9577A"/>
    <w:rsid w:val="00B95FBC"/>
    <w:rsid w:val="00B961F6"/>
    <w:rsid w:val="00B9627C"/>
    <w:rsid w:val="00B96890"/>
    <w:rsid w:val="00B96D66"/>
    <w:rsid w:val="00B97514"/>
    <w:rsid w:val="00B976AA"/>
    <w:rsid w:val="00B97932"/>
    <w:rsid w:val="00BA03BE"/>
    <w:rsid w:val="00BA03ED"/>
    <w:rsid w:val="00BA05A2"/>
    <w:rsid w:val="00BA1393"/>
    <w:rsid w:val="00BA13A1"/>
    <w:rsid w:val="00BA162E"/>
    <w:rsid w:val="00BA21DE"/>
    <w:rsid w:val="00BA250B"/>
    <w:rsid w:val="00BA25AA"/>
    <w:rsid w:val="00BA2C42"/>
    <w:rsid w:val="00BA2CA0"/>
    <w:rsid w:val="00BA2D9B"/>
    <w:rsid w:val="00BA2EAB"/>
    <w:rsid w:val="00BA3A67"/>
    <w:rsid w:val="00BA3AF0"/>
    <w:rsid w:val="00BA4A20"/>
    <w:rsid w:val="00BA4CC1"/>
    <w:rsid w:val="00BA5EFE"/>
    <w:rsid w:val="00BA5F90"/>
    <w:rsid w:val="00BA6055"/>
    <w:rsid w:val="00BA6BB3"/>
    <w:rsid w:val="00BA6C14"/>
    <w:rsid w:val="00BA6C87"/>
    <w:rsid w:val="00BA77EF"/>
    <w:rsid w:val="00BA7C5E"/>
    <w:rsid w:val="00BB0035"/>
    <w:rsid w:val="00BB00B1"/>
    <w:rsid w:val="00BB0D74"/>
    <w:rsid w:val="00BB1625"/>
    <w:rsid w:val="00BB164A"/>
    <w:rsid w:val="00BB18F4"/>
    <w:rsid w:val="00BB1970"/>
    <w:rsid w:val="00BB1BF6"/>
    <w:rsid w:val="00BB2AB0"/>
    <w:rsid w:val="00BB30E1"/>
    <w:rsid w:val="00BB34A4"/>
    <w:rsid w:val="00BB37E4"/>
    <w:rsid w:val="00BB3CC3"/>
    <w:rsid w:val="00BB3E18"/>
    <w:rsid w:val="00BB4506"/>
    <w:rsid w:val="00BB46A2"/>
    <w:rsid w:val="00BB4FCD"/>
    <w:rsid w:val="00BB5CD1"/>
    <w:rsid w:val="00BB5FB0"/>
    <w:rsid w:val="00BB6224"/>
    <w:rsid w:val="00BB628A"/>
    <w:rsid w:val="00BB6460"/>
    <w:rsid w:val="00BB696C"/>
    <w:rsid w:val="00BB6A53"/>
    <w:rsid w:val="00BB70AB"/>
    <w:rsid w:val="00BB7437"/>
    <w:rsid w:val="00BC0108"/>
    <w:rsid w:val="00BC07BD"/>
    <w:rsid w:val="00BC0990"/>
    <w:rsid w:val="00BC0E22"/>
    <w:rsid w:val="00BC109F"/>
    <w:rsid w:val="00BC113F"/>
    <w:rsid w:val="00BC1498"/>
    <w:rsid w:val="00BC14F6"/>
    <w:rsid w:val="00BC15B6"/>
    <w:rsid w:val="00BC161E"/>
    <w:rsid w:val="00BC1B7A"/>
    <w:rsid w:val="00BC209C"/>
    <w:rsid w:val="00BC3041"/>
    <w:rsid w:val="00BC3A56"/>
    <w:rsid w:val="00BC3B3B"/>
    <w:rsid w:val="00BC3EE6"/>
    <w:rsid w:val="00BC441E"/>
    <w:rsid w:val="00BC5203"/>
    <w:rsid w:val="00BC54B4"/>
    <w:rsid w:val="00BC565F"/>
    <w:rsid w:val="00BC65B7"/>
    <w:rsid w:val="00BC6894"/>
    <w:rsid w:val="00BC6CA4"/>
    <w:rsid w:val="00BC713A"/>
    <w:rsid w:val="00BC71DB"/>
    <w:rsid w:val="00BD0783"/>
    <w:rsid w:val="00BD0CAE"/>
    <w:rsid w:val="00BD0E35"/>
    <w:rsid w:val="00BD14CB"/>
    <w:rsid w:val="00BD2158"/>
    <w:rsid w:val="00BD2291"/>
    <w:rsid w:val="00BD2359"/>
    <w:rsid w:val="00BD2371"/>
    <w:rsid w:val="00BD2D21"/>
    <w:rsid w:val="00BD2FA9"/>
    <w:rsid w:val="00BD3A6A"/>
    <w:rsid w:val="00BD3CC6"/>
    <w:rsid w:val="00BD4314"/>
    <w:rsid w:val="00BD46CB"/>
    <w:rsid w:val="00BD4B74"/>
    <w:rsid w:val="00BD5352"/>
    <w:rsid w:val="00BD58A6"/>
    <w:rsid w:val="00BD5A4C"/>
    <w:rsid w:val="00BD5AC7"/>
    <w:rsid w:val="00BD5C68"/>
    <w:rsid w:val="00BD64B8"/>
    <w:rsid w:val="00BD6AE6"/>
    <w:rsid w:val="00BD6B38"/>
    <w:rsid w:val="00BD71C4"/>
    <w:rsid w:val="00BD79EE"/>
    <w:rsid w:val="00BD7A4A"/>
    <w:rsid w:val="00BD7F5D"/>
    <w:rsid w:val="00BE1C5E"/>
    <w:rsid w:val="00BE26D0"/>
    <w:rsid w:val="00BE28BC"/>
    <w:rsid w:val="00BE2993"/>
    <w:rsid w:val="00BE340F"/>
    <w:rsid w:val="00BE3D06"/>
    <w:rsid w:val="00BE3E35"/>
    <w:rsid w:val="00BE4114"/>
    <w:rsid w:val="00BE4733"/>
    <w:rsid w:val="00BE69C0"/>
    <w:rsid w:val="00BF01BD"/>
    <w:rsid w:val="00BF0495"/>
    <w:rsid w:val="00BF0940"/>
    <w:rsid w:val="00BF18B3"/>
    <w:rsid w:val="00BF1D47"/>
    <w:rsid w:val="00BF2182"/>
    <w:rsid w:val="00BF2768"/>
    <w:rsid w:val="00BF2904"/>
    <w:rsid w:val="00BF3C43"/>
    <w:rsid w:val="00BF3CCA"/>
    <w:rsid w:val="00BF4992"/>
    <w:rsid w:val="00BF53B1"/>
    <w:rsid w:val="00BF5F43"/>
    <w:rsid w:val="00BF62A7"/>
    <w:rsid w:val="00BF6585"/>
    <w:rsid w:val="00BF73AD"/>
    <w:rsid w:val="00BF73C5"/>
    <w:rsid w:val="00BF73D0"/>
    <w:rsid w:val="00BF7F1C"/>
    <w:rsid w:val="00C005E4"/>
    <w:rsid w:val="00C00C4F"/>
    <w:rsid w:val="00C00FC2"/>
    <w:rsid w:val="00C0125F"/>
    <w:rsid w:val="00C01E75"/>
    <w:rsid w:val="00C02792"/>
    <w:rsid w:val="00C02CEB"/>
    <w:rsid w:val="00C02F16"/>
    <w:rsid w:val="00C035E0"/>
    <w:rsid w:val="00C036DD"/>
    <w:rsid w:val="00C03942"/>
    <w:rsid w:val="00C03CDD"/>
    <w:rsid w:val="00C03D12"/>
    <w:rsid w:val="00C0445E"/>
    <w:rsid w:val="00C04C43"/>
    <w:rsid w:val="00C04EC8"/>
    <w:rsid w:val="00C04FCA"/>
    <w:rsid w:val="00C06526"/>
    <w:rsid w:val="00C0686F"/>
    <w:rsid w:val="00C06D34"/>
    <w:rsid w:val="00C071AF"/>
    <w:rsid w:val="00C07AA7"/>
    <w:rsid w:val="00C07C6D"/>
    <w:rsid w:val="00C07DA7"/>
    <w:rsid w:val="00C07F89"/>
    <w:rsid w:val="00C1069B"/>
    <w:rsid w:val="00C106A5"/>
    <w:rsid w:val="00C1070F"/>
    <w:rsid w:val="00C109D5"/>
    <w:rsid w:val="00C10FD5"/>
    <w:rsid w:val="00C11D16"/>
    <w:rsid w:val="00C13A1B"/>
    <w:rsid w:val="00C149B4"/>
    <w:rsid w:val="00C150FD"/>
    <w:rsid w:val="00C15157"/>
    <w:rsid w:val="00C16142"/>
    <w:rsid w:val="00C163E3"/>
    <w:rsid w:val="00C16575"/>
    <w:rsid w:val="00C1666C"/>
    <w:rsid w:val="00C16CB1"/>
    <w:rsid w:val="00C16E2C"/>
    <w:rsid w:val="00C16E75"/>
    <w:rsid w:val="00C16E96"/>
    <w:rsid w:val="00C17F58"/>
    <w:rsid w:val="00C202FC"/>
    <w:rsid w:val="00C21243"/>
    <w:rsid w:val="00C218C1"/>
    <w:rsid w:val="00C2208A"/>
    <w:rsid w:val="00C22800"/>
    <w:rsid w:val="00C22A58"/>
    <w:rsid w:val="00C23A56"/>
    <w:rsid w:val="00C23DEC"/>
    <w:rsid w:val="00C23E15"/>
    <w:rsid w:val="00C243C7"/>
    <w:rsid w:val="00C243EE"/>
    <w:rsid w:val="00C244F0"/>
    <w:rsid w:val="00C24606"/>
    <w:rsid w:val="00C247F2"/>
    <w:rsid w:val="00C2533D"/>
    <w:rsid w:val="00C25F5F"/>
    <w:rsid w:val="00C26603"/>
    <w:rsid w:val="00C2687E"/>
    <w:rsid w:val="00C269EE"/>
    <w:rsid w:val="00C26B4B"/>
    <w:rsid w:val="00C2799A"/>
    <w:rsid w:val="00C27A76"/>
    <w:rsid w:val="00C27A8E"/>
    <w:rsid w:val="00C30129"/>
    <w:rsid w:val="00C3024C"/>
    <w:rsid w:val="00C302D9"/>
    <w:rsid w:val="00C31114"/>
    <w:rsid w:val="00C31389"/>
    <w:rsid w:val="00C31714"/>
    <w:rsid w:val="00C321F2"/>
    <w:rsid w:val="00C32BF3"/>
    <w:rsid w:val="00C32E21"/>
    <w:rsid w:val="00C32F6C"/>
    <w:rsid w:val="00C330E7"/>
    <w:rsid w:val="00C3317C"/>
    <w:rsid w:val="00C33D4B"/>
    <w:rsid w:val="00C33DBD"/>
    <w:rsid w:val="00C34FEC"/>
    <w:rsid w:val="00C352EB"/>
    <w:rsid w:val="00C35590"/>
    <w:rsid w:val="00C355A6"/>
    <w:rsid w:val="00C35EF2"/>
    <w:rsid w:val="00C36DC7"/>
    <w:rsid w:val="00C371D4"/>
    <w:rsid w:val="00C37C4E"/>
    <w:rsid w:val="00C37D3E"/>
    <w:rsid w:val="00C407CE"/>
    <w:rsid w:val="00C4094F"/>
    <w:rsid w:val="00C40F7F"/>
    <w:rsid w:val="00C4194F"/>
    <w:rsid w:val="00C41B53"/>
    <w:rsid w:val="00C425D4"/>
    <w:rsid w:val="00C42C39"/>
    <w:rsid w:val="00C4373D"/>
    <w:rsid w:val="00C43F7D"/>
    <w:rsid w:val="00C445F1"/>
    <w:rsid w:val="00C44DB9"/>
    <w:rsid w:val="00C450BF"/>
    <w:rsid w:val="00C4543C"/>
    <w:rsid w:val="00C45AEC"/>
    <w:rsid w:val="00C4666B"/>
    <w:rsid w:val="00C46AAE"/>
    <w:rsid w:val="00C4745D"/>
    <w:rsid w:val="00C47493"/>
    <w:rsid w:val="00C5010D"/>
    <w:rsid w:val="00C50297"/>
    <w:rsid w:val="00C50386"/>
    <w:rsid w:val="00C515A3"/>
    <w:rsid w:val="00C515B6"/>
    <w:rsid w:val="00C518C3"/>
    <w:rsid w:val="00C51ACF"/>
    <w:rsid w:val="00C51B5A"/>
    <w:rsid w:val="00C51D8A"/>
    <w:rsid w:val="00C52499"/>
    <w:rsid w:val="00C52942"/>
    <w:rsid w:val="00C52ED9"/>
    <w:rsid w:val="00C52EFE"/>
    <w:rsid w:val="00C52FEF"/>
    <w:rsid w:val="00C53200"/>
    <w:rsid w:val="00C5326D"/>
    <w:rsid w:val="00C53C47"/>
    <w:rsid w:val="00C540AD"/>
    <w:rsid w:val="00C54344"/>
    <w:rsid w:val="00C54442"/>
    <w:rsid w:val="00C55007"/>
    <w:rsid w:val="00C55FF2"/>
    <w:rsid w:val="00C562FD"/>
    <w:rsid w:val="00C567A7"/>
    <w:rsid w:val="00C5711F"/>
    <w:rsid w:val="00C579C4"/>
    <w:rsid w:val="00C57B36"/>
    <w:rsid w:val="00C60993"/>
    <w:rsid w:val="00C60C83"/>
    <w:rsid w:val="00C61184"/>
    <w:rsid w:val="00C615BE"/>
    <w:rsid w:val="00C61763"/>
    <w:rsid w:val="00C62AF5"/>
    <w:rsid w:val="00C62DF4"/>
    <w:rsid w:val="00C637F2"/>
    <w:rsid w:val="00C63B24"/>
    <w:rsid w:val="00C63D21"/>
    <w:rsid w:val="00C641E8"/>
    <w:rsid w:val="00C64EDA"/>
    <w:rsid w:val="00C650BC"/>
    <w:rsid w:val="00C6520F"/>
    <w:rsid w:val="00C6641A"/>
    <w:rsid w:val="00C665E5"/>
    <w:rsid w:val="00C6704F"/>
    <w:rsid w:val="00C67196"/>
    <w:rsid w:val="00C6791B"/>
    <w:rsid w:val="00C70C10"/>
    <w:rsid w:val="00C71721"/>
    <w:rsid w:val="00C717A7"/>
    <w:rsid w:val="00C7184B"/>
    <w:rsid w:val="00C71969"/>
    <w:rsid w:val="00C71DE8"/>
    <w:rsid w:val="00C71E4B"/>
    <w:rsid w:val="00C7249B"/>
    <w:rsid w:val="00C727B2"/>
    <w:rsid w:val="00C72ED4"/>
    <w:rsid w:val="00C72EE0"/>
    <w:rsid w:val="00C732ED"/>
    <w:rsid w:val="00C735EE"/>
    <w:rsid w:val="00C73BC7"/>
    <w:rsid w:val="00C750A0"/>
    <w:rsid w:val="00C7568B"/>
    <w:rsid w:val="00C75E7B"/>
    <w:rsid w:val="00C76D0B"/>
    <w:rsid w:val="00C771D8"/>
    <w:rsid w:val="00C8023F"/>
    <w:rsid w:val="00C80461"/>
    <w:rsid w:val="00C8098E"/>
    <w:rsid w:val="00C80EB9"/>
    <w:rsid w:val="00C80ED7"/>
    <w:rsid w:val="00C81A0D"/>
    <w:rsid w:val="00C8295A"/>
    <w:rsid w:val="00C82B71"/>
    <w:rsid w:val="00C83435"/>
    <w:rsid w:val="00C83490"/>
    <w:rsid w:val="00C835E6"/>
    <w:rsid w:val="00C8376C"/>
    <w:rsid w:val="00C83985"/>
    <w:rsid w:val="00C83AAC"/>
    <w:rsid w:val="00C83DBE"/>
    <w:rsid w:val="00C83EAC"/>
    <w:rsid w:val="00C84D9B"/>
    <w:rsid w:val="00C850A7"/>
    <w:rsid w:val="00C85337"/>
    <w:rsid w:val="00C855D6"/>
    <w:rsid w:val="00C8591A"/>
    <w:rsid w:val="00C85FAE"/>
    <w:rsid w:val="00C8641A"/>
    <w:rsid w:val="00C8646D"/>
    <w:rsid w:val="00C8679F"/>
    <w:rsid w:val="00C867B8"/>
    <w:rsid w:val="00C87255"/>
    <w:rsid w:val="00C87289"/>
    <w:rsid w:val="00C878F8"/>
    <w:rsid w:val="00C87967"/>
    <w:rsid w:val="00C87CF2"/>
    <w:rsid w:val="00C87D24"/>
    <w:rsid w:val="00C9007D"/>
    <w:rsid w:val="00C90173"/>
    <w:rsid w:val="00C909B7"/>
    <w:rsid w:val="00C90A78"/>
    <w:rsid w:val="00C90C75"/>
    <w:rsid w:val="00C90D21"/>
    <w:rsid w:val="00C9102C"/>
    <w:rsid w:val="00C918EE"/>
    <w:rsid w:val="00C9198E"/>
    <w:rsid w:val="00C9215F"/>
    <w:rsid w:val="00C92701"/>
    <w:rsid w:val="00C9294E"/>
    <w:rsid w:val="00C92EEE"/>
    <w:rsid w:val="00C9398F"/>
    <w:rsid w:val="00C93B35"/>
    <w:rsid w:val="00C93DE4"/>
    <w:rsid w:val="00C93ED4"/>
    <w:rsid w:val="00C9507C"/>
    <w:rsid w:val="00C95A43"/>
    <w:rsid w:val="00C97116"/>
    <w:rsid w:val="00CA0820"/>
    <w:rsid w:val="00CA09EF"/>
    <w:rsid w:val="00CA1382"/>
    <w:rsid w:val="00CA19C1"/>
    <w:rsid w:val="00CA1E7B"/>
    <w:rsid w:val="00CA2413"/>
    <w:rsid w:val="00CA3341"/>
    <w:rsid w:val="00CA34B0"/>
    <w:rsid w:val="00CA39D1"/>
    <w:rsid w:val="00CA3F06"/>
    <w:rsid w:val="00CA440B"/>
    <w:rsid w:val="00CA4B9D"/>
    <w:rsid w:val="00CA4F15"/>
    <w:rsid w:val="00CA531F"/>
    <w:rsid w:val="00CA5490"/>
    <w:rsid w:val="00CA5E0C"/>
    <w:rsid w:val="00CA66F9"/>
    <w:rsid w:val="00CA6C3C"/>
    <w:rsid w:val="00CA6E33"/>
    <w:rsid w:val="00CA70B9"/>
    <w:rsid w:val="00CA7727"/>
    <w:rsid w:val="00CA7CEF"/>
    <w:rsid w:val="00CB02E0"/>
    <w:rsid w:val="00CB07EA"/>
    <w:rsid w:val="00CB1B2F"/>
    <w:rsid w:val="00CB2F48"/>
    <w:rsid w:val="00CB3164"/>
    <w:rsid w:val="00CB327E"/>
    <w:rsid w:val="00CB3A5D"/>
    <w:rsid w:val="00CB3A79"/>
    <w:rsid w:val="00CB3DE6"/>
    <w:rsid w:val="00CB42BD"/>
    <w:rsid w:val="00CB452E"/>
    <w:rsid w:val="00CB4D36"/>
    <w:rsid w:val="00CB5718"/>
    <w:rsid w:val="00CB617F"/>
    <w:rsid w:val="00CB6198"/>
    <w:rsid w:val="00CB74B4"/>
    <w:rsid w:val="00CB7964"/>
    <w:rsid w:val="00CB7B06"/>
    <w:rsid w:val="00CC03B5"/>
    <w:rsid w:val="00CC0C00"/>
    <w:rsid w:val="00CC163D"/>
    <w:rsid w:val="00CC169C"/>
    <w:rsid w:val="00CC1B57"/>
    <w:rsid w:val="00CC1CD7"/>
    <w:rsid w:val="00CC1D05"/>
    <w:rsid w:val="00CC21E9"/>
    <w:rsid w:val="00CC2E40"/>
    <w:rsid w:val="00CC2F30"/>
    <w:rsid w:val="00CC38FA"/>
    <w:rsid w:val="00CC39AA"/>
    <w:rsid w:val="00CC3B57"/>
    <w:rsid w:val="00CC4FD1"/>
    <w:rsid w:val="00CC54DC"/>
    <w:rsid w:val="00CC5A4F"/>
    <w:rsid w:val="00CC5AE9"/>
    <w:rsid w:val="00CC615C"/>
    <w:rsid w:val="00CC6188"/>
    <w:rsid w:val="00CC6F81"/>
    <w:rsid w:val="00CD00AF"/>
    <w:rsid w:val="00CD13F4"/>
    <w:rsid w:val="00CD18FD"/>
    <w:rsid w:val="00CD21AF"/>
    <w:rsid w:val="00CD2AFF"/>
    <w:rsid w:val="00CD3858"/>
    <w:rsid w:val="00CD3AE8"/>
    <w:rsid w:val="00CD3FF1"/>
    <w:rsid w:val="00CD410C"/>
    <w:rsid w:val="00CD450A"/>
    <w:rsid w:val="00CD4AAE"/>
    <w:rsid w:val="00CD4B05"/>
    <w:rsid w:val="00CD4ED4"/>
    <w:rsid w:val="00CD4FAF"/>
    <w:rsid w:val="00CD54DE"/>
    <w:rsid w:val="00CD5876"/>
    <w:rsid w:val="00CD66EB"/>
    <w:rsid w:val="00CD7604"/>
    <w:rsid w:val="00CE02D4"/>
    <w:rsid w:val="00CE06D3"/>
    <w:rsid w:val="00CE07EB"/>
    <w:rsid w:val="00CE0951"/>
    <w:rsid w:val="00CE0A7F"/>
    <w:rsid w:val="00CE1295"/>
    <w:rsid w:val="00CE18AD"/>
    <w:rsid w:val="00CE1D1E"/>
    <w:rsid w:val="00CE2013"/>
    <w:rsid w:val="00CE2074"/>
    <w:rsid w:val="00CE2E52"/>
    <w:rsid w:val="00CE39AF"/>
    <w:rsid w:val="00CE3A2A"/>
    <w:rsid w:val="00CE3CCE"/>
    <w:rsid w:val="00CE4372"/>
    <w:rsid w:val="00CE44C3"/>
    <w:rsid w:val="00CE5020"/>
    <w:rsid w:val="00CE5362"/>
    <w:rsid w:val="00CE6188"/>
    <w:rsid w:val="00CE6D79"/>
    <w:rsid w:val="00CE7412"/>
    <w:rsid w:val="00CE7714"/>
    <w:rsid w:val="00CE7CA2"/>
    <w:rsid w:val="00CE7E9C"/>
    <w:rsid w:val="00CE7FC1"/>
    <w:rsid w:val="00CF014C"/>
    <w:rsid w:val="00CF0440"/>
    <w:rsid w:val="00CF046C"/>
    <w:rsid w:val="00CF0816"/>
    <w:rsid w:val="00CF090C"/>
    <w:rsid w:val="00CF0C66"/>
    <w:rsid w:val="00CF1058"/>
    <w:rsid w:val="00CF109B"/>
    <w:rsid w:val="00CF1458"/>
    <w:rsid w:val="00CF1A41"/>
    <w:rsid w:val="00CF1D89"/>
    <w:rsid w:val="00CF1E8B"/>
    <w:rsid w:val="00CF27F6"/>
    <w:rsid w:val="00CF368B"/>
    <w:rsid w:val="00CF3950"/>
    <w:rsid w:val="00CF4114"/>
    <w:rsid w:val="00CF422A"/>
    <w:rsid w:val="00CF44AE"/>
    <w:rsid w:val="00CF47A5"/>
    <w:rsid w:val="00CF4B2B"/>
    <w:rsid w:val="00CF525C"/>
    <w:rsid w:val="00CF54BB"/>
    <w:rsid w:val="00CF5CAF"/>
    <w:rsid w:val="00CF60A1"/>
    <w:rsid w:val="00CF648D"/>
    <w:rsid w:val="00CF69EA"/>
    <w:rsid w:val="00CF69FA"/>
    <w:rsid w:val="00CF7990"/>
    <w:rsid w:val="00CF7A9C"/>
    <w:rsid w:val="00CF7D89"/>
    <w:rsid w:val="00D0005C"/>
    <w:rsid w:val="00D02F81"/>
    <w:rsid w:val="00D030CC"/>
    <w:rsid w:val="00D03A84"/>
    <w:rsid w:val="00D03D3C"/>
    <w:rsid w:val="00D042EA"/>
    <w:rsid w:val="00D04C67"/>
    <w:rsid w:val="00D05B11"/>
    <w:rsid w:val="00D05B65"/>
    <w:rsid w:val="00D05CD1"/>
    <w:rsid w:val="00D06D1E"/>
    <w:rsid w:val="00D06F7E"/>
    <w:rsid w:val="00D0722A"/>
    <w:rsid w:val="00D07A65"/>
    <w:rsid w:val="00D1037F"/>
    <w:rsid w:val="00D10445"/>
    <w:rsid w:val="00D10686"/>
    <w:rsid w:val="00D10B03"/>
    <w:rsid w:val="00D10DA9"/>
    <w:rsid w:val="00D11120"/>
    <w:rsid w:val="00D121D4"/>
    <w:rsid w:val="00D13085"/>
    <w:rsid w:val="00D131B9"/>
    <w:rsid w:val="00D137BC"/>
    <w:rsid w:val="00D14380"/>
    <w:rsid w:val="00D1487E"/>
    <w:rsid w:val="00D14D26"/>
    <w:rsid w:val="00D15079"/>
    <w:rsid w:val="00D15224"/>
    <w:rsid w:val="00D176B5"/>
    <w:rsid w:val="00D178D0"/>
    <w:rsid w:val="00D17B6A"/>
    <w:rsid w:val="00D17BA1"/>
    <w:rsid w:val="00D2031D"/>
    <w:rsid w:val="00D20A75"/>
    <w:rsid w:val="00D21586"/>
    <w:rsid w:val="00D2178A"/>
    <w:rsid w:val="00D21CBC"/>
    <w:rsid w:val="00D2223E"/>
    <w:rsid w:val="00D22795"/>
    <w:rsid w:val="00D229CD"/>
    <w:rsid w:val="00D234CA"/>
    <w:rsid w:val="00D24098"/>
    <w:rsid w:val="00D24305"/>
    <w:rsid w:val="00D24524"/>
    <w:rsid w:val="00D2515E"/>
    <w:rsid w:val="00D25D19"/>
    <w:rsid w:val="00D267C3"/>
    <w:rsid w:val="00D26989"/>
    <w:rsid w:val="00D27783"/>
    <w:rsid w:val="00D278BA"/>
    <w:rsid w:val="00D27D07"/>
    <w:rsid w:val="00D301C5"/>
    <w:rsid w:val="00D306DF"/>
    <w:rsid w:val="00D31254"/>
    <w:rsid w:val="00D3290C"/>
    <w:rsid w:val="00D32BF9"/>
    <w:rsid w:val="00D33031"/>
    <w:rsid w:val="00D33169"/>
    <w:rsid w:val="00D33C10"/>
    <w:rsid w:val="00D33DA4"/>
    <w:rsid w:val="00D3408D"/>
    <w:rsid w:val="00D344FB"/>
    <w:rsid w:val="00D362C8"/>
    <w:rsid w:val="00D366C8"/>
    <w:rsid w:val="00D36CAF"/>
    <w:rsid w:val="00D37A76"/>
    <w:rsid w:val="00D37BAA"/>
    <w:rsid w:val="00D403A5"/>
    <w:rsid w:val="00D404C9"/>
    <w:rsid w:val="00D40D77"/>
    <w:rsid w:val="00D41802"/>
    <w:rsid w:val="00D41B07"/>
    <w:rsid w:val="00D41CCD"/>
    <w:rsid w:val="00D42011"/>
    <w:rsid w:val="00D42289"/>
    <w:rsid w:val="00D425AF"/>
    <w:rsid w:val="00D42B0B"/>
    <w:rsid w:val="00D42EAF"/>
    <w:rsid w:val="00D444A8"/>
    <w:rsid w:val="00D4462D"/>
    <w:rsid w:val="00D446A5"/>
    <w:rsid w:val="00D451B6"/>
    <w:rsid w:val="00D4542D"/>
    <w:rsid w:val="00D4557E"/>
    <w:rsid w:val="00D45DDF"/>
    <w:rsid w:val="00D45E86"/>
    <w:rsid w:val="00D45F68"/>
    <w:rsid w:val="00D46E63"/>
    <w:rsid w:val="00D46ED2"/>
    <w:rsid w:val="00D47049"/>
    <w:rsid w:val="00D477F8"/>
    <w:rsid w:val="00D47BF5"/>
    <w:rsid w:val="00D47D59"/>
    <w:rsid w:val="00D47E4A"/>
    <w:rsid w:val="00D47F05"/>
    <w:rsid w:val="00D503D6"/>
    <w:rsid w:val="00D50914"/>
    <w:rsid w:val="00D509F1"/>
    <w:rsid w:val="00D51498"/>
    <w:rsid w:val="00D516BB"/>
    <w:rsid w:val="00D516E3"/>
    <w:rsid w:val="00D51B7A"/>
    <w:rsid w:val="00D51C4E"/>
    <w:rsid w:val="00D51DA1"/>
    <w:rsid w:val="00D52498"/>
    <w:rsid w:val="00D524C5"/>
    <w:rsid w:val="00D525E6"/>
    <w:rsid w:val="00D52F29"/>
    <w:rsid w:val="00D5386B"/>
    <w:rsid w:val="00D53A59"/>
    <w:rsid w:val="00D53BB3"/>
    <w:rsid w:val="00D541A0"/>
    <w:rsid w:val="00D54200"/>
    <w:rsid w:val="00D5473E"/>
    <w:rsid w:val="00D5475C"/>
    <w:rsid w:val="00D54CA4"/>
    <w:rsid w:val="00D54DD0"/>
    <w:rsid w:val="00D55057"/>
    <w:rsid w:val="00D5505F"/>
    <w:rsid w:val="00D55795"/>
    <w:rsid w:val="00D5591A"/>
    <w:rsid w:val="00D55A55"/>
    <w:rsid w:val="00D56154"/>
    <w:rsid w:val="00D564D8"/>
    <w:rsid w:val="00D56607"/>
    <w:rsid w:val="00D56688"/>
    <w:rsid w:val="00D56C86"/>
    <w:rsid w:val="00D572FC"/>
    <w:rsid w:val="00D57A8F"/>
    <w:rsid w:val="00D603E4"/>
    <w:rsid w:val="00D60CCC"/>
    <w:rsid w:val="00D6196F"/>
    <w:rsid w:val="00D627B7"/>
    <w:rsid w:val="00D627FA"/>
    <w:rsid w:val="00D62AF2"/>
    <w:rsid w:val="00D62E45"/>
    <w:rsid w:val="00D62E84"/>
    <w:rsid w:val="00D63096"/>
    <w:rsid w:val="00D632D8"/>
    <w:rsid w:val="00D634E7"/>
    <w:rsid w:val="00D63E22"/>
    <w:rsid w:val="00D6433D"/>
    <w:rsid w:val="00D64722"/>
    <w:rsid w:val="00D647DD"/>
    <w:rsid w:val="00D652E1"/>
    <w:rsid w:val="00D65990"/>
    <w:rsid w:val="00D65DDC"/>
    <w:rsid w:val="00D662AD"/>
    <w:rsid w:val="00D66324"/>
    <w:rsid w:val="00D66C44"/>
    <w:rsid w:val="00D67304"/>
    <w:rsid w:val="00D67912"/>
    <w:rsid w:val="00D70904"/>
    <w:rsid w:val="00D70BF4"/>
    <w:rsid w:val="00D70CF6"/>
    <w:rsid w:val="00D713AE"/>
    <w:rsid w:val="00D71F7B"/>
    <w:rsid w:val="00D7246E"/>
    <w:rsid w:val="00D72682"/>
    <w:rsid w:val="00D72A90"/>
    <w:rsid w:val="00D730E0"/>
    <w:rsid w:val="00D7432C"/>
    <w:rsid w:val="00D743EC"/>
    <w:rsid w:val="00D747A2"/>
    <w:rsid w:val="00D74ED6"/>
    <w:rsid w:val="00D75258"/>
    <w:rsid w:val="00D756E0"/>
    <w:rsid w:val="00D758A3"/>
    <w:rsid w:val="00D758ED"/>
    <w:rsid w:val="00D76570"/>
    <w:rsid w:val="00D76676"/>
    <w:rsid w:val="00D76F2F"/>
    <w:rsid w:val="00D770B6"/>
    <w:rsid w:val="00D771F9"/>
    <w:rsid w:val="00D77C41"/>
    <w:rsid w:val="00D77FE5"/>
    <w:rsid w:val="00D818C7"/>
    <w:rsid w:val="00D81DB7"/>
    <w:rsid w:val="00D81F3A"/>
    <w:rsid w:val="00D8211E"/>
    <w:rsid w:val="00D83963"/>
    <w:rsid w:val="00D84283"/>
    <w:rsid w:val="00D84660"/>
    <w:rsid w:val="00D847F0"/>
    <w:rsid w:val="00D84B00"/>
    <w:rsid w:val="00D858B6"/>
    <w:rsid w:val="00D85A61"/>
    <w:rsid w:val="00D86236"/>
    <w:rsid w:val="00D8677F"/>
    <w:rsid w:val="00D86A21"/>
    <w:rsid w:val="00D86BEA"/>
    <w:rsid w:val="00D86D2B"/>
    <w:rsid w:val="00D87893"/>
    <w:rsid w:val="00D87DD2"/>
    <w:rsid w:val="00D87F95"/>
    <w:rsid w:val="00D900DC"/>
    <w:rsid w:val="00D903C6"/>
    <w:rsid w:val="00D9078F"/>
    <w:rsid w:val="00D90795"/>
    <w:rsid w:val="00D9084A"/>
    <w:rsid w:val="00D908F5"/>
    <w:rsid w:val="00D90BD6"/>
    <w:rsid w:val="00D91467"/>
    <w:rsid w:val="00D91CE4"/>
    <w:rsid w:val="00D922DF"/>
    <w:rsid w:val="00D928CA"/>
    <w:rsid w:val="00D92A1B"/>
    <w:rsid w:val="00D92DF6"/>
    <w:rsid w:val="00D93230"/>
    <w:rsid w:val="00D93394"/>
    <w:rsid w:val="00D93905"/>
    <w:rsid w:val="00D93CDC"/>
    <w:rsid w:val="00D93D73"/>
    <w:rsid w:val="00D94306"/>
    <w:rsid w:val="00D9443C"/>
    <w:rsid w:val="00D94FEC"/>
    <w:rsid w:val="00D94FEF"/>
    <w:rsid w:val="00D96095"/>
    <w:rsid w:val="00D963D0"/>
    <w:rsid w:val="00D968CC"/>
    <w:rsid w:val="00D978EF"/>
    <w:rsid w:val="00DA0A0C"/>
    <w:rsid w:val="00DA0A29"/>
    <w:rsid w:val="00DA18A0"/>
    <w:rsid w:val="00DA1BA1"/>
    <w:rsid w:val="00DA34B9"/>
    <w:rsid w:val="00DA39CE"/>
    <w:rsid w:val="00DA3F0B"/>
    <w:rsid w:val="00DA4034"/>
    <w:rsid w:val="00DA467F"/>
    <w:rsid w:val="00DA47B8"/>
    <w:rsid w:val="00DA488F"/>
    <w:rsid w:val="00DA4987"/>
    <w:rsid w:val="00DA4BED"/>
    <w:rsid w:val="00DA56CC"/>
    <w:rsid w:val="00DA584F"/>
    <w:rsid w:val="00DA5CFB"/>
    <w:rsid w:val="00DA5D04"/>
    <w:rsid w:val="00DA70CC"/>
    <w:rsid w:val="00DA74AF"/>
    <w:rsid w:val="00DA7BBF"/>
    <w:rsid w:val="00DB07CD"/>
    <w:rsid w:val="00DB07F0"/>
    <w:rsid w:val="00DB0BA0"/>
    <w:rsid w:val="00DB0D37"/>
    <w:rsid w:val="00DB255C"/>
    <w:rsid w:val="00DB264A"/>
    <w:rsid w:val="00DB2A23"/>
    <w:rsid w:val="00DB2C55"/>
    <w:rsid w:val="00DB2CA7"/>
    <w:rsid w:val="00DB36C0"/>
    <w:rsid w:val="00DB3774"/>
    <w:rsid w:val="00DB4268"/>
    <w:rsid w:val="00DB446E"/>
    <w:rsid w:val="00DB46AC"/>
    <w:rsid w:val="00DB47F5"/>
    <w:rsid w:val="00DB4F71"/>
    <w:rsid w:val="00DB4F93"/>
    <w:rsid w:val="00DB5213"/>
    <w:rsid w:val="00DB52A2"/>
    <w:rsid w:val="00DB6163"/>
    <w:rsid w:val="00DB65C1"/>
    <w:rsid w:val="00DB66E1"/>
    <w:rsid w:val="00DB6B40"/>
    <w:rsid w:val="00DB6C97"/>
    <w:rsid w:val="00DB74BD"/>
    <w:rsid w:val="00DC07FC"/>
    <w:rsid w:val="00DC13AE"/>
    <w:rsid w:val="00DC13E4"/>
    <w:rsid w:val="00DC1BBF"/>
    <w:rsid w:val="00DC1BF2"/>
    <w:rsid w:val="00DC25CC"/>
    <w:rsid w:val="00DC2657"/>
    <w:rsid w:val="00DC31BF"/>
    <w:rsid w:val="00DC370C"/>
    <w:rsid w:val="00DC379D"/>
    <w:rsid w:val="00DC3C1E"/>
    <w:rsid w:val="00DC4660"/>
    <w:rsid w:val="00DC4928"/>
    <w:rsid w:val="00DC4942"/>
    <w:rsid w:val="00DC4F00"/>
    <w:rsid w:val="00DC4FDF"/>
    <w:rsid w:val="00DC530D"/>
    <w:rsid w:val="00DC540F"/>
    <w:rsid w:val="00DC693B"/>
    <w:rsid w:val="00DC6944"/>
    <w:rsid w:val="00DC6DCD"/>
    <w:rsid w:val="00DC75A5"/>
    <w:rsid w:val="00DC7979"/>
    <w:rsid w:val="00DC7A92"/>
    <w:rsid w:val="00DD00A1"/>
    <w:rsid w:val="00DD071B"/>
    <w:rsid w:val="00DD0C0D"/>
    <w:rsid w:val="00DD153F"/>
    <w:rsid w:val="00DD19BA"/>
    <w:rsid w:val="00DD1C03"/>
    <w:rsid w:val="00DD2506"/>
    <w:rsid w:val="00DD2911"/>
    <w:rsid w:val="00DD2A53"/>
    <w:rsid w:val="00DD31A6"/>
    <w:rsid w:val="00DD3989"/>
    <w:rsid w:val="00DD426A"/>
    <w:rsid w:val="00DD446C"/>
    <w:rsid w:val="00DD53F2"/>
    <w:rsid w:val="00DD55FC"/>
    <w:rsid w:val="00DD5C0F"/>
    <w:rsid w:val="00DD653E"/>
    <w:rsid w:val="00DD68E2"/>
    <w:rsid w:val="00DD6B72"/>
    <w:rsid w:val="00DD6B99"/>
    <w:rsid w:val="00DD6BD7"/>
    <w:rsid w:val="00DE0111"/>
    <w:rsid w:val="00DE029F"/>
    <w:rsid w:val="00DE03EE"/>
    <w:rsid w:val="00DE069B"/>
    <w:rsid w:val="00DE0DF2"/>
    <w:rsid w:val="00DE10DE"/>
    <w:rsid w:val="00DE12E9"/>
    <w:rsid w:val="00DE1816"/>
    <w:rsid w:val="00DE188B"/>
    <w:rsid w:val="00DE1A3B"/>
    <w:rsid w:val="00DE1ADE"/>
    <w:rsid w:val="00DE1C18"/>
    <w:rsid w:val="00DE1EAC"/>
    <w:rsid w:val="00DE2177"/>
    <w:rsid w:val="00DE2A2E"/>
    <w:rsid w:val="00DE2BE9"/>
    <w:rsid w:val="00DE308F"/>
    <w:rsid w:val="00DE3509"/>
    <w:rsid w:val="00DE398C"/>
    <w:rsid w:val="00DE3B28"/>
    <w:rsid w:val="00DE3C4C"/>
    <w:rsid w:val="00DE3D58"/>
    <w:rsid w:val="00DE3F04"/>
    <w:rsid w:val="00DE429E"/>
    <w:rsid w:val="00DE4579"/>
    <w:rsid w:val="00DE45C0"/>
    <w:rsid w:val="00DE4B07"/>
    <w:rsid w:val="00DE5287"/>
    <w:rsid w:val="00DE52CC"/>
    <w:rsid w:val="00DE578B"/>
    <w:rsid w:val="00DE5AA3"/>
    <w:rsid w:val="00DE63FA"/>
    <w:rsid w:val="00DE65CF"/>
    <w:rsid w:val="00DE6A54"/>
    <w:rsid w:val="00DE6C90"/>
    <w:rsid w:val="00DE79AD"/>
    <w:rsid w:val="00DF0CE3"/>
    <w:rsid w:val="00DF0DDC"/>
    <w:rsid w:val="00DF11A1"/>
    <w:rsid w:val="00DF15E0"/>
    <w:rsid w:val="00DF16B7"/>
    <w:rsid w:val="00DF2090"/>
    <w:rsid w:val="00DF231A"/>
    <w:rsid w:val="00DF327A"/>
    <w:rsid w:val="00DF346B"/>
    <w:rsid w:val="00DF3C27"/>
    <w:rsid w:val="00DF3C5D"/>
    <w:rsid w:val="00DF50FA"/>
    <w:rsid w:val="00DF616E"/>
    <w:rsid w:val="00DF6180"/>
    <w:rsid w:val="00DF65E7"/>
    <w:rsid w:val="00DF6A80"/>
    <w:rsid w:val="00DF7170"/>
    <w:rsid w:val="00DF723E"/>
    <w:rsid w:val="00DF74C8"/>
    <w:rsid w:val="00DF78AC"/>
    <w:rsid w:val="00DF7E08"/>
    <w:rsid w:val="00E01AE6"/>
    <w:rsid w:val="00E01D12"/>
    <w:rsid w:val="00E01DAC"/>
    <w:rsid w:val="00E02AB4"/>
    <w:rsid w:val="00E02F65"/>
    <w:rsid w:val="00E03119"/>
    <w:rsid w:val="00E034C0"/>
    <w:rsid w:val="00E03552"/>
    <w:rsid w:val="00E03E01"/>
    <w:rsid w:val="00E04033"/>
    <w:rsid w:val="00E04726"/>
    <w:rsid w:val="00E0487F"/>
    <w:rsid w:val="00E0541F"/>
    <w:rsid w:val="00E056D9"/>
    <w:rsid w:val="00E05DC8"/>
    <w:rsid w:val="00E064D0"/>
    <w:rsid w:val="00E0654F"/>
    <w:rsid w:val="00E06D7C"/>
    <w:rsid w:val="00E06DF4"/>
    <w:rsid w:val="00E07388"/>
    <w:rsid w:val="00E076E5"/>
    <w:rsid w:val="00E07DCE"/>
    <w:rsid w:val="00E07F7B"/>
    <w:rsid w:val="00E10617"/>
    <w:rsid w:val="00E11063"/>
    <w:rsid w:val="00E1133B"/>
    <w:rsid w:val="00E11A87"/>
    <w:rsid w:val="00E11D26"/>
    <w:rsid w:val="00E11F4F"/>
    <w:rsid w:val="00E1231D"/>
    <w:rsid w:val="00E123E5"/>
    <w:rsid w:val="00E12662"/>
    <w:rsid w:val="00E12DE8"/>
    <w:rsid w:val="00E13D29"/>
    <w:rsid w:val="00E14225"/>
    <w:rsid w:val="00E14559"/>
    <w:rsid w:val="00E146A8"/>
    <w:rsid w:val="00E14A07"/>
    <w:rsid w:val="00E14C4E"/>
    <w:rsid w:val="00E14DDC"/>
    <w:rsid w:val="00E14F79"/>
    <w:rsid w:val="00E15EC1"/>
    <w:rsid w:val="00E15FD4"/>
    <w:rsid w:val="00E1679B"/>
    <w:rsid w:val="00E16893"/>
    <w:rsid w:val="00E16EE2"/>
    <w:rsid w:val="00E16EEA"/>
    <w:rsid w:val="00E176B5"/>
    <w:rsid w:val="00E20E05"/>
    <w:rsid w:val="00E21C4D"/>
    <w:rsid w:val="00E2209A"/>
    <w:rsid w:val="00E224A9"/>
    <w:rsid w:val="00E22EF1"/>
    <w:rsid w:val="00E2348C"/>
    <w:rsid w:val="00E23565"/>
    <w:rsid w:val="00E23667"/>
    <w:rsid w:val="00E23966"/>
    <w:rsid w:val="00E23BA2"/>
    <w:rsid w:val="00E24ABC"/>
    <w:rsid w:val="00E25253"/>
    <w:rsid w:val="00E253FC"/>
    <w:rsid w:val="00E25FB6"/>
    <w:rsid w:val="00E264EF"/>
    <w:rsid w:val="00E26A80"/>
    <w:rsid w:val="00E26D28"/>
    <w:rsid w:val="00E2723E"/>
    <w:rsid w:val="00E27A24"/>
    <w:rsid w:val="00E3064E"/>
    <w:rsid w:val="00E30D20"/>
    <w:rsid w:val="00E30F14"/>
    <w:rsid w:val="00E313FC"/>
    <w:rsid w:val="00E3169C"/>
    <w:rsid w:val="00E31CD7"/>
    <w:rsid w:val="00E32006"/>
    <w:rsid w:val="00E32D65"/>
    <w:rsid w:val="00E32E48"/>
    <w:rsid w:val="00E33A66"/>
    <w:rsid w:val="00E33DF5"/>
    <w:rsid w:val="00E348F4"/>
    <w:rsid w:val="00E34A90"/>
    <w:rsid w:val="00E34B77"/>
    <w:rsid w:val="00E353E6"/>
    <w:rsid w:val="00E353E8"/>
    <w:rsid w:val="00E358E3"/>
    <w:rsid w:val="00E3654C"/>
    <w:rsid w:val="00E367AA"/>
    <w:rsid w:val="00E36BEF"/>
    <w:rsid w:val="00E36C18"/>
    <w:rsid w:val="00E373C7"/>
    <w:rsid w:val="00E3781A"/>
    <w:rsid w:val="00E37AEF"/>
    <w:rsid w:val="00E40227"/>
    <w:rsid w:val="00E41023"/>
    <w:rsid w:val="00E41108"/>
    <w:rsid w:val="00E41153"/>
    <w:rsid w:val="00E4161C"/>
    <w:rsid w:val="00E42672"/>
    <w:rsid w:val="00E428FA"/>
    <w:rsid w:val="00E42AD7"/>
    <w:rsid w:val="00E4300D"/>
    <w:rsid w:val="00E43F97"/>
    <w:rsid w:val="00E448B0"/>
    <w:rsid w:val="00E44C2B"/>
    <w:rsid w:val="00E46193"/>
    <w:rsid w:val="00E463CC"/>
    <w:rsid w:val="00E468AB"/>
    <w:rsid w:val="00E46BEC"/>
    <w:rsid w:val="00E46CFB"/>
    <w:rsid w:val="00E4783B"/>
    <w:rsid w:val="00E47879"/>
    <w:rsid w:val="00E47A4E"/>
    <w:rsid w:val="00E5056C"/>
    <w:rsid w:val="00E51365"/>
    <w:rsid w:val="00E5138F"/>
    <w:rsid w:val="00E513C1"/>
    <w:rsid w:val="00E51884"/>
    <w:rsid w:val="00E51B0C"/>
    <w:rsid w:val="00E51F36"/>
    <w:rsid w:val="00E520E1"/>
    <w:rsid w:val="00E52C27"/>
    <w:rsid w:val="00E53525"/>
    <w:rsid w:val="00E5357B"/>
    <w:rsid w:val="00E54048"/>
    <w:rsid w:val="00E54254"/>
    <w:rsid w:val="00E54D41"/>
    <w:rsid w:val="00E55951"/>
    <w:rsid w:val="00E567AA"/>
    <w:rsid w:val="00E567B4"/>
    <w:rsid w:val="00E56ACC"/>
    <w:rsid w:val="00E576E0"/>
    <w:rsid w:val="00E5786C"/>
    <w:rsid w:val="00E607E3"/>
    <w:rsid w:val="00E614A9"/>
    <w:rsid w:val="00E62013"/>
    <w:rsid w:val="00E62657"/>
    <w:rsid w:val="00E629A6"/>
    <w:rsid w:val="00E63045"/>
    <w:rsid w:val="00E630AD"/>
    <w:rsid w:val="00E63523"/>
    <w:rsid w:val="00E63F8D"/>
    <w:rsid w:val="00E63F91"/>
    <w:rsid w:val="00E64675"/>
    <w:rsid w:val="00E64D58"/>
    <w:rsid w:val="00E653DA"/>
    <w:rsid w:val="00E66690"/>
    <w:rsid w:val="00E66C83"/>
    <w:rsid w:val="00E66E76"/>
    <w:rsid w:val="00E6719F"/>
    <w:rsid w:val="00E711B8"/>
    <w:rsid w:val="00E71343"/>
    <w:rsid w:val="00E727EC"/>
    <w:rsid w:val="00E73B03"/>
    <w:rsid w:val="00E73B7E"/>
    <w:rsid w:val="00E741CF"/>
    <w:rsid w:val="00E74A44"/>
    <w:rsid w:val="00E74C13"/>
    <w:rsid w:val="00E75439"/>
    <w:rsid w:val="00E75717"/>
    <w:rsid w:val="00E75953"/>
    <w:rsid w:val="00E75B79"/>
    <w:rsid w:val="00E76A46"/>
    <w:rsid w:val="00E76AF5"/>
    <w:rsid w:val="00E76C0F"/>
    <w:rsid w:val="00E773BA"/>
    <w:rsid w:val="00E77641"/>
    <w:rsid w:val="00E77921"/>
    <w:rsid w:val="00E77DE8"/>
    <w:rsid w:val="00E80BEF"/>
    <w:rsid w:val="00E80D62"/>
    <w:rsid w:val="00E8170B"/>
    <w:rsid w:val="00E81D0A"/>
    <w:rsid w:val="00E81F4B"/>
    <w:rsid w:val="00E824C8"/>
    <w:rsid w:val="00E83023"/>
    <w:rsid w:val="00E830B3"/>
    <w:rsid w:val="00E83125"/>
    <w:rsid w:val="00E83D60"/>
    <w:rsid w:val="00E84112"/>
    <w:rsid w:val="00E841C6"/>
    <w:rsid w:val="00E847A3"/>
    <w:rsid w:val="00E847FF"/>
    <w:rsid w:val="00E84867"/>
    <w:rsid w:val="00E85215"/>
    <w:rsid w:val="00E854E4"/>
    <w:rsid w:val="00E855DB"/>
    <w:rsid w:val="00E856A8"/>
    <w:rsid w:val="00E85807"/>
    <w:rsid w:val="00E86328"/>
    <w:rsid w:val="00E865D6"/>
    <w:rsid w:val="00E86620"/>
    <w:rsid w:val="00E86C2F"/>
    <w:rsid w:val="00E86DE1"/>
    <w:rsid w:val="00E87344"/>
    <w:rsid w:val="00E87D08"/>
    <w:rsid w:val="00E87F5A"/>
    <w:rsid w:val="00E90BB8"/>
    <w:rsid w:val="00E913C8"/>
    <w:rsid w:val="00E91628"/>
    <w:rsid w:val="00E91F97"/>
    <w:rsid w:val="00E92A21"/>
    <w:rsid w:val="00E932A0"/>
    <w:rsid w:val="00E93341"/>
    <w:rsid w:val="00E93A93"/>
    <w:rsid w:val="00E94827"/>
    <w:rsid w:val="00E94B2F"/>
    <w:rsid w:val="00E94D80"/>
    <w:rsid w:val="00E9556E"/>
    <w:rsid w:val="00E9583D"/>
    <w:rsid w:val="00E961FD"/>
    <w:rsid w:val="00E965F4"/>
    <w:rsid w:val="00E96C2B"/>
    <w:rsid w:val="00E96D0C"/>
    <w:rsid w:val="00E97423"/>
    <w:rsid w:val="00E97831"/>
    <w:rsid w:val="00EA006B"/>
    <w:rsid w:val="00EA059F"/>
    <w:rsid w:val="00EA1697"/>
    <w:rsid w:val="00EA1F05"/>
    <w:rsid w:val="00EA2530"/>
    <w:rsid w:val="00EA265C"/>
    <w:rsid w:val="00EA268E"/>
    <w:rsid w:val="00EA28DB"/>
    <w:rsid w:val="00EA28F2"/>
    <w:rsid w:val="00EA3676"/>
    <w:rsid w:val="00EA39BB"/>
    <w:rsid w:val="00EA498B"/>
    <w:rsid w:val="00EA4B88"/>
    <w:rsid w:val="00EA5609"/>
    <w:rsid w:val="00EA6406"/>
    <w:rsid w:val="00EA6969"/>
    <w:rsid w:val="00EB0114"/>
    <w:rsid w:val="00EB01BB"/>
    <w:rsid w:val="00EB059F"/>
    <w:rsid w:val="00EB0676"/>
    <w:rsid w:val="00EB0B05"/>
    <w:rsid w:val="00EB1355"/>
    <w:rsid w:val="00EB13E9"/>
    <w:rsid w:val="00EB156F"/>
    <w:rsid w:val="00EB1575"/>
    <w:rsid w:val="00EB1DAA"/>
    <w:rsid w:val="00EB1EC4"/>
    <w:rsid w:val="00EB23CA"/>
    <w:rsid w:val="00EB2697"/>
    <w:rsid w:val="00EB2D60"/>
    <w:rsid w:val="00EB33AB"/>
    <w:rsid w:val="00EB33F3"/>
    <w:rsid w:val="00EB35A2"/>
    <w:rsid w:val="00EB3BA5"/>
    <w:rsid w:val="00EB4012"/>
    <w:rsid w:val="00EB4229"/>
    <w:rsid w:val="00EB42CB"/>
    <w:rsid w:val="00EB4A0E"/>
    <w:rsid w:val="00EB4A2E"/>
    <w:rsid w:val="00EB570A"/>
    <w:rsid w:val="00EB5C9C"/>
    <w:rsid w:val="00EB5E52"/>
    <w:rsid w:val="00EB5F35"/>
    <w:rsid w:val="00EB6498"/>
    <w:rsid w:val="00EB6812"/>
    <w:rsid w:val="00EB694E"/>
    <w:rsid w:val="00EB728F"/>
    <w:rsid w:val="00EB75DE"/>
    <w:rsid w:val="00EB7D8A"/>
    <w:rsid w:val="00EC01C4"/>
    <w:rsid w:val="00EC0A96"/>
    <w:rsid w:val="00EC1624"/>
    <w:rsid w:val="00EC1A89"/>
    <w:rsid w:val="00EC1D61"/>
    <w:rsid w:val="00EC1DED"/>
    <w:rsid w:val="00EC20E9"/>
    <w:rsid w:val="00EC26E9"/>
    <w:rsid w:val="00EC3205"/>
    <w:rsid w:val="00EC460D"/>
    <w:rsid w:val="00EC4A42"/>
    <w:rsid w:val="00EC4E0F"/>
    <w:rsid w:val="00EC5090"/>
    <w:rsid w:val="00EC5D82"/>
    <w:rsid w:val="00EC674D"/>
    <w:rsid w:val="00ED0E11"/>
    <w:rsid w:val="00ED17BE"/>
    <w:rsid w:val="00ED1927"/>
    <w:rsid w:val="00ED24C7"/>
    <w:rsid w:val="00ED2BE7"/>
    <w:rsid w:val="00ED3E02"/>
    <w:rsid w:val="00ED4187"/>
    <w:rsid w:val="00ED4292"/>
    <w:rsid w:val="00ED451A"/>
    <w:rsid w:val="00ED5474"/>
    <w:rsid w:val="00ED58A2"/>
    <w:rsid w:val="00ED5D58"/>
    <w:rsid w:val="00ED69EB"/>
    <w:rsid w:val="00ED6DBA"/>
    <w:rsid w:val="00ED72EE"/>
    <w:rsid w:val="00ED7F32"/>
    <w:rsid w:val="00EE07FD"/>
    <w:rsid w:val="00EE0994"/>
    <w:rsid w:val="00EE0A7E"/>
    <w:rsid w:val="00EE0BC9"/>
    <w:rsid w:val="00EE0ECE"/>
    <w:rsid w:val="00EE0FED"/>
    <w:rsid w:val="00EE1F7C"/>
    <w:rsid w:val="00EE2194"/>
    <w:rsid w:val="00EE2A2A"/>
    <w:rsid w:val="00EE3EAE"/>
    <w:rsid w:val="00EE3EC6"/>
    <w:rsid w:val="00EE428A"/>
    <w:rsid w:val="00EE44F9"/>
    <w:rsid w:val="00EE488C"/>
    <w:rsid w:val="00EE4C89"/>
    <w:rsid w:val="00EE5026"/>
    <w:rsid w:val="00EE5D79"/>
    <w:rsid w:val="00EE60A7"/>
    <w:rsid w:val="00EE63D7"/>
    <w:rsid w:val="00EE6984"/>
    <w:rsid w:val="00EE69E2"/>
    <w:rsid w:val="00EE7A33"/>
    <w:rsid w:val="00EE7F6A"/>
    <w:rsid w:val="00EF0CE9"/>
    <w:rsid w:val="00EF1CCB"/>
    <w:rsid w:val="00EF1F6C"/>
    <w:rsid w:val="00EF2070"/>
    <w:rsid w:val="00EF2E9D"/>
    <w:rsid w:val="00EF2FAC"/>
    <w:rsid w:val="00EF3485"/>
    <w:rsid w:val="00EF3523"/>
    <w:rsid w:val="00EF38FF"/>
    <w:rsid w:val="00EF393B"/>
    <w:rsid w:val="00EF3D50"/>
    <w:rsid w:val="00EF402D"/>
    <w:rsid w:val="00EF46D4"/>
    <w:rsid w:val="00EF4AF3"/>
    <w:rsid w:val="00EF4CD3"/>
    <w:rsid w:val="00EF5026"/>
    <w:rsid w:val="00EF634E"/>
    <w:rsid w:val="00EF6660"/>
    <w:rsid w:val="00EF7C35"/>
    <w:rsid w:val="00EF7EA2"/>
    <w:rsid w:val="00EF7F39"/>
    <w:rsid w:val="00F0150D"/>
    <w:rsid w:val="00F017C5"/>
    <w:rsid w:val="00F0285E"/>
    <w:rsid w:val="00F0333C"/>
    <w:rsid w:val="00F038BF"/>
    <w:rsid w:val="00F03B12"/>
    <w:rsid w:val="00F03C63"/>
    <w:rsid w:val="00F03C8D"/>
    <w:rsid w:val="00F03DC1"/>
    <w:rsid w:val="00F03E0E"/>
    <w:rsid w:val="00F040FF"/>
    <w:rsid w:val="00F05D9A"/>
    <w:rsid w:val="00F07345"/>
    <w:rsid w:val="00F0739F"/>
    <w:rsid w:val="00F0764C"/>
    <w:rsid w:val="00F07B19"/>
    <w:rsid w:val="00F1060E"/>
    <w:rsid w:val="00F1085E"/>
    <w:rsid w:val="00F1156C"/>
    <w:rsid w:val="00F11D50"/>
    <w:rsid w:val="00F11DF2"/>
    <w:rsid w:val="00F11E0D"/>
    <w:rsid w:val="00F11FD8"/>
    <w:rsid w:val="00F126F1"/>
    <w:rsid w:val="00F12A87"/>
    <w:rsid w:val="00F134D5"/>
    <w:rsid w:val="00F13B19"/>
    <w:rsid w:val="00F13F9D"/>
    <w:rsid w:val="00F14BC2"/>
    <w:rsid w:val="00F14D0A"/>
    <w:rsid w:val="00F14F6D"/>
    <w:rsid w:val="00F152A1"/>
    <w:rsid w:val="00F1566D"/>
    <w:rsid w:val="00F15B08"/>
    <w:rsid w:val="00F15BCD"/>
    <w:rsid w:val="00F16E70"/>
    <w:rsid w:val="00F1711A"/>
    <w:rsid w:val="00F20DAD"/>
    <w:rsid w:val="00F20DF4"/>
    <w:rsid w:val="00F20E03"/>
    <w:rsid w:val="00F21123"/>
    <w:rsid w:val="00F225AC"/>
    <w:rsid w:val="00F23382"/>
    <w:rsid w:val="00F23776"/>
    <w:rsid w:val="00F23F67"/>
    <w:rsid w:val="00F249AC"/>
    <w:rsid w:val="00F24C65"/>
    <w:rsid w:val="00F252E0"/>
    <w:rsid w:val="00F2563E"/>
    <w:rsid w:val="00F2592C"/>
    <w:rsid w:val="00F25C6C"/>
    <w:rsid w:val="00F26597"/>
    <w:rsid w:val="00F26ACE"/>
    <w:rsid w:val="00F275CF"/>
    <w:rsid w:val="00F27BCF"/>
    <w:rsid w:val="00F30714"/>
    <w:rsid w:val="00F30AC4"/>
    <w:rsid w:val="00F31753"/>
    <w:rsid w:val="00F31832"/>
    <w:rsid w:val="00F31A60"/>
    <w:rsid w:val="00F31A66"/>
    <w:rsid w:val="00F31EF1"/>
    <w:rsid w:val="00F32031"/>
    <w:rsid w:val="00F340C6"/>
    <w:rsid w:val="00F34200"/>
    <w:rsid w:val="00F34F5F"/>
    <w:rsid w:val="00F359F0"/>
    <w:rsid w:val="00F366AB"/>
    <w:rsid w:val="00F36832"/>
    <w:rsid w:val="00F369B3"/>
    <w:rsid w:val="00F37C30"/>
    <w:rsid w:val="00F37D54"/>
    <w:rsid w:val="00F40191"/>
    <w:rsid w:val="00F401F0"/>
    <w:rsid w:val="00F40854"/>
    <w:rsid w:val="00F409A2"/>
    <w:rsid w:val="00F40A92"/>
    <w:rsid w:val="00F40C2A"/>
    <w:rsid w:val="00F4134B"/>
    <w:rsid w:val="00F41390"/>
    <w:rsid w:val="00F41761"/>
    <w:rsid w:val="00F41D75"/>
    <w:rsid w:val="00F41E8F"/>
    <w:rsid w:val="00F422A8"/>
    <w:rsid w:val="00F423F2"/>
    <w:rsid w:val="00F42412"/>
    <w:rsid w:val="00F42A0A"/>
    <w:rsid w:val="00F42B79"/>
    <w:rsid w:val="00F42EA1"/>
    <w:rsid w:val="00F4336E"/>
    <w:rsid w:val="00F435EB"/>
    <w:rsid w:val="00F43966"/>
    <w:rsid w:val="00F44338"/>
    <w:rsid w:val="00F449F5"/>
    <w:rsid w:val="00F44C7B"/>
    <w:rsid w:val="00F44CB4"/>
    <w:rsid w:val="00F453AE"/>
    <w:rsid w:val="00F45BCE"/>
    <w:rsid w:val="00F45F02"/>
    <w:rsid w:val="00F464B8"/>
    <w:rsid w:val="00F465AC"/>
    <w:rsid w:val="00F4669E"/>
    <w:rsid w:val="00F469EA"/>
    <w:rsid w:val="00F472DA"/>
    <w:rsid w:val="00F47B14"/>
    <w:rsid w:val="00F47E4D"/>
    <w:rsid w:val="00F50237"/>
    <w:rsid w:val="00F510E3"/>
    <w:rsid w:val="00F51392"/>
    <w:rsid w:val="00F52604"/>
    <w:rsid w:val="00F52619"/>
    <w:rsid w:val="00F5283B"/>
    <w:rsid w:val="00F53143"/>
    <w:rsid w:val="00F53DF9"/>
    <w:rsid w:val="00F542BB"/>
    <w:rsid w:val="00F54361"/>
    <w:rsid w:val="00F54A8D"/>
    <w:rsid w:val="00F54B33"/>
    <w:rsid w:val="00F54BF4"/>
    <w:rsid w:val="00F55A56"/>
    <w:rsid w:val="00F55A7A"/>
    <w:rsid w:val="00F55D61"/>
    <w:rsid w:val="00F56B62"/>
    <w:rsid w:val="00F57607"/>
    <w:rsid w:val="00F57D09"/>
    <w:rsid w:val="00F600BA"/>
    <w:rsid w:val="00F6018A"/>
    <w:rsid w:val="00F60365"/>
    <w:rsid w:val="00F60E20"/>
    <w:rsid w:val="00F60F00"/>
    <w:rsid w:val="00F61038"/>
    <w:rsid w:val="00F61E3F"/>
    <w:rsid w:val="00F62003"/>
    <w:rsid w:val="00F6242A"/>
    <w:rsid w:val="00F628B3"/>
    <w:rsid w:val="00F6308F"/>
    <w:rsid w:val="00F634A4"/>
    <w:rsid w:val="00F634D2"/>
    <w:rsid w:val="00F636AA"/>
    <w:rsid w:val="00F63F07"/>
    <w:rsid w:val="00F6421C"/>
    <w:rsid w:val="00F64A9D"/>
    <w:rsid w:val="00F64C19"/>
    <w:rsid w:val="00F64C34"/>
    <w:rsid w:val="00F64D53"/>
    <w:rsid w:val="00F65933"/>
    <w:rsid w:val="00F66028"/>
    <w:rsid w:val="00F66869"/>
    <w:rsid w:val="00F702E1"/>
    <w:rsid w:val="00F703BC"/>
    <w:rsid w:val="00F71089"/>
    <w:rsid w:val="00F71B4B"/>
    <w:rsid w:val="00F7287D"/>
    <w:rsid w:val="00F737D1"/>
    <w:rsid w:val="00F73988"/>
    <w:rsid w:val="00F741A6"/>
    <w:rsid w:val="00F741A7"/>
    <w:rsid w:val="00F746FF"/>
    <w:rsid w:val="00F751BB"/>
    <w:rsid w:val="00F7615C"/>
    <w:rsid w:val="00F76574"/>
    <w:rsid w:val="00F76612"/>
    <w:rsid w:val="00F7674E"/>
    <w:rsid w:val="00F7676C"/>
    <w:rsid w:val="00F76AAA"/>
    <w:rsid w:val="00F76EA0"/>
    <w:rsid w:val="00F770EA"/>
    <w:rsid w:val="00F77B7C"/>
    <w:rsid w:val="00F802E7"/>
    <w:rsid w:val="00F80832"/>
    <w:rsid w:val="00F81201"/>
    <w:rsid w:val="00F81AEA"/>
    <w:rsid w:val="00F81BDB"/>
    <w:rsid w:val="00F81BED"/>
    <w:rsid w:val="00F82746"/>
    <w:rsid w:val="00F8290E"/>
    <w:rsid w:val="00F82C34"/>
    <w:rsid w:val="00F83085"/>
    <w:rsid w:val="00F83175"/>
    <w:rsid w:val="00F831D1"/>
    <w:rsid w:val="00F8360E"/>
    <w:rsid w:val="00F83BB0"/>
    <w:rsid w:val="00F83FD9"/>
    <w:rsid w:val="00F843AC"/>
    <w:rsid w:val="00F8454B"/>
    <w:rsid w:val="00F84912"/>
    <w:rsid w:val="00F84B1A"/>
    <w:rsid w:val="00F84C5E"/>
    <w:rsid w:val="00F851EB"/>
    <w:rsid w:val="00F8549C"/>
    <w:rsid w:val="00F855D0"/>
    <w:rsid w:val="00F85932"/>
    <w:rsid w:val="00F8606F"/>
    <w:rsid w:val="00F8612B"/>
    <w:rsid w:val="00F86234"/>
    <w:rsid w:val="00F862AB"/>
    <w:rsid w:val="00F863B1"/>
    <w:rsid w:val="00F86433"/>
    <w:rsid w:val="00F86D53"/>
    <w:rsid w:val="00F8734D"/>
    <w:rsid w:val="00F875A9"/>
    <w:rsid w:val="00F9009C"/>
    <w:rsid w:val="00F900FA"/>
    <w:rsid w:val="00F9098B"/>
    <w:rsid w:val="00F90A37"/>
    <w:rsid w:val="00F90F4A"/>
    <w:rsid w:val="00F910DA"/>
    <w:rsid w:val="00F91452"/>
    <w:rsid w:val="00F91D70"/>
    <w:rsid w:val="00F9268B"/>
    <w:rsid w:val="00F928F5"/>
    <w:rsid w:val="00F92DC9"/>
    <w:rsid w:val="00F930F3"/>
    <w:rsid w:val="00F930FC"/>
    <w:rsid w:val="00F940AE"/>
    <w:rsid w:val="00F94187"/>
    <w:rsid w:val="00F945C7"/>
    <w:rsid w:val="00F949C8"/>
    <w:rsid w:val="00F96159"/>
    <w:rsid w:val="00F96F28"/>
    <w:rsid w:val="00F970EE"/>
    <w:rsid w:val="00F974BB"/>
    <w:rsid w:val="00F97694"/>
    <w:rsid w:val="00F97857"/>
    <w:rsid w:val="00FA0325"/>
    <w:rsid w:val="00FA045C"/>
    <w:rsid w:val="00FA1422"/>
    <w:rsid w:val="00FA15DD"/>
    <w:rsid w:val="00FA1B3C"/>
    <w:rsid w:val="00FA1F2E"/>
    <w:rsid w:val="00FA2768"/>
    <w:rsid w:val="00FA34D4"/>
    <w:rsid w:val="00FA3588"/>
    <w:rsid w:val="00FA38CC"/>
    <w:rsid w:val="00FA38EB"/>
    <w:rsid w:val="00FA3A89"/>
    <w:rsid w:val="00FA3FAE"/>
    <w:rsid w:val="00FA48D9"/>
    <w:rsid w:val="00FA52E0"/>
    <w:rsid w:val="00FA5CB8"/>
    <w:rsid w:val="00FA5F57"/>
    <w:rsid w:val="00FA63AF"/>
    <w:rsid w:val="00FA63EE"/>
    <w:rsid w:val="00FA681C"/>
    <w:rsid w:val="00FA6943"/>
    <w:rsid w:val="00FA6AAE"/>
    <w:rsid w:val="00FA6ACE"/>
    <w:rsid w:val="00FA6DBC"/>
    <w:rsid w:val="00FA705D"/>
    <w:rsid w:val="00FA751A"/>
    <w:rsid w:val="00FA78CB"/>
    <w:rsid w:val="00FA7E00"/>
    <w:rsid w:val="00FB01A4"/>
    <w:rsid w:val="00FB02D6"/>
    <w:rsid w:val="00FB03D8"/>
    <w:rsid w:val="00FB05EC"/>
    <w:rsid w:val="00FB0B64"/>
    <w:rsid w:val="00FB1347"/>
    <w:rsid w:val="00FB1431"/>
    <w:rsid w:val="00FB1C2E"/>
    <w:rsid w:val="00FB1C8D"/>
    <w:rsid w:val="00FB1CBE"/>
    <w:rsid w:val="00FB1CD6"/>
    <w:rsid w:val="00FB23A3"/>
    <w:rsid w:val="00FB3131"/>
    <w:rsid w:val="00FB3CC5"/>
    <w:rsid w:val="00FB42C4"/>
    <w:rsid w:val="00FB4638"/>
    <w:rsid w:val="00FB48AB"/>
    <w:rsid w:val="00FB49DC"/>
    <w:rsid w:val="00FB5BDD"/>
    <w:rsid w:val="00FB60D1"/>
    <w:rsid w:val="00FB63B4"/>
    <w:rsid w:val="00FB6A6F"/>
    <w:rsid w:val="00FB6C49"/>
    <w:rsid w:val="00FB737D"/>
    <w:rsid w:val="00FB7A56"/>
    <w:rsid w:val="00FC053C"/>
    <w:rsid w:val="00FC16B3"/>
    <w:rsid w:val="00FC1FD7"/>
    <w:rsid w:val="00FC23AF"/>
    <w:rsid w:val="00FC2E75"/>
    <w:rsid w:val="00FC35C0"/>
    <w:rsid w:val="00FC39A8"/>
    <w:rsid w:val="00FC4190"/>
    <w:rsid w:val="00FC45DE"/>
    <w:rsid w:val="00FC4A46"/>
    <w:rsid w:val="00FC4DB1"/>
    <w:rsid w:val="00FC50A5"/>
    <w:rsid w:val="00FC564D"/>
    <w:rsid w:val="00FC5860"/>
    <w:rsid w:val="00FC5E44"/>
    <w:rsid w:val="00FC63C9"/>
    <w:rsid w:val="00FC6605"/>
    <w:rsid w:val="00FC6759"/>
    <w:rsid w:val="00FC67EF"/>
    <w:rsid w:val="00FC6BE3"/>
    <w:rsid w:val="00FC6F82"/>
    <w:rsid w:val="00FC701A"/>
    <w:rsid w:val="00FD1316"/>
    <w:rsid w:val="00FD14D6"/>
    <w:rsid w:val="00FD2034"/>
    <w:rsid w:val="00FD27E8"/>
    <w:rsid w:val="00FD2A62"/>
    <w:rsid w:val="00FD31DB"/>
    <w:rsid w:val="00FD32EC"/>
    <w:rsid w:val="00FD35B5"/>
    <w:rsid w:val="00FD38D5"/>
    <w:rsid w:val="00FD3CD2"/>
    <w:rsid w:val="00FD471C"/>
    <w:rsid w:val="00FD4A79"/>
    <w:rsid w:val="00FD59A3"/>
    <w:rsid w:val="00FD6172"/>
    <w:rsid w:val="00FD6235"/>
    <w:rsid w:val="00FD6DC3"/>
    <w:rsid w:val="00FD7B0E"/>
    <w:rsid w:val="00FE0164"/>
    <w:rsid w:val="00FE0192"/>
    <w:rsid w:val="00FE03D2"/>
    <w:rsid w:val="00FE068B"/>
    <w:rsid w:val="00FE09A0"/>
    <w:rsid w:val="00FE0DC3"/>
    <w:rsid w:val="00FE0FF6"/>
    <w:rsid w:val="00FE106E"/>
    <w:rsid w:val="00FE1B87"/>
    <w:rsid w:val="00FE2806"/>
    <w:rsid w:val="00FE2809"/>
    <w:rsid w:val="00FE33A0"/>
    <w:rsid w:val="00FE387D"/>
    <w:rsid w:val="00FE45B9"/>
    <w:rsid w:val="00FE4830"/>
    <w:rsid w:val="00FE4942"/>
    <w:rsid w:val="00FE4D26"/>
    <w:rsid w:val="00FE4F9B"/>
    <w:rsid w:val="00FE5AEC"/>
    <w:rsid w:val="00FE6410"/>
    <w:rsid w:val="00FE7343"/>
    <w:rsid w:val="00FE7B3F"/>
    <w:rsid w:val="00FF022E"/>
    <w:rsid w:val="00FF02B5"/>
    <w:rsid w:val="00FF0432"/>
    <w:rsid w:val="00FF0A9F"/>
    <w:rsid w:val="00FF104C"/>
    <w:rsid w:val="00FF120C"/>
    <w:rsid w:val="00FF1960"/>
    <w:rsid w:val="00FF2360"/>
    <w:rsid w:val="00FF25DE"/>
    <w:rsid w:val="00FF2698"/>
    <w:rsid w:val="00FF2CD1"/>
    <w:rsid w:val="00FF3B4D"/>
    <w:rsid w:val="00FF4198"/>
    <w:rsid w:val="00FF447A"/>
    <w:rsid w:val="00FF58D6"/>
    <w:rsid w:val="00FF5A00"/>
    <w:rsid w:val="00FF5BE6"/>
    <w:rsid w:val="00FF66A1"/>
    <w:rsid w:val="00FF6930"/>
    <w:rsid w:val="00FF7EAA"/>
    <w:rsid w:val="00FF7E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EC483"/>
  <w15:docId w15:val="{A492FAA8-9A23-40D0-B0AE-72CB6E14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EC"/>
    <w:pPr>
      <w:spacing w:before="120" w:after="120" w:line="24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5D1877"/>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D1877"/>
    <w:pPr>
      <w:keepNext/>
      <w:keepLines/>
      <w:numPr>
        <w:numId w:val="1"/>
      </w:numPr>
      <w:spacing w:before="240"/>
      <w:outlineLvl w:val="1"/>
    </w:pPr>
    <w:rPr>
      <w:rFonts w:eastAsiaTheme="majorEastAsia" w:cstheme="majorBidi"/>
      <w:b/>
      <w:szCs w:val="26"/>
      <w:lang w:val="es-ES"/>
    </w:rPr>
  </w:style>
  <w:style w:type="paragraph" w:styleId="Heading3">
    <w:name w:val="heading 3"/>
    <w:basedOn w:val="Normal"/>
    <w:next w:val="Normal"/>
    <w:link w:val="Heading3Char"/>
    <w:uiPriority w:val="9"/>
    <w:unhideWhenUsed/>
    <w:qFormat/>
    <w:rsid w:val="005D1877"/>
    <w:pPr>
      <w:keepNext/>
      <w:keepLines/>
      <w:numPr>
        <w:numId w:val="4"/>
      </w:numPr>
      <w:spacing w:before="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D1877"/>
    <w:pPr>
      <w:keepNext/>
      <w:keepLines/>
      <w:numPr>
        <w:numId w:val="2"/>
      </w:numPr>
      <w:spacing w:before="240"/>
      <w:ind w:left="0" w:firstLine="0"/>
      <w:outlineLvl w:val="3"/>
    </w:pPr>
    <w:rPr>
      <w:rFonts w:eastAsiaTheme="majorEastAsia" w:cstheme="majorBidi"/>
      <w:b/>
      <w:iCs/>
    </w:rPr>
  </w:style>
  <w:style w:type="paragraph" w:styleId="Heading5">
    <w:name w:val="heading 5"/>
    <w:basedOn w:val="Normal"/>
    <w:next w:val="Normal"/>
    <w:link w:val="Heading5Char"/>
    <w:uiPriority w:val="9"/>
    <w:unhideWhenUsed/>
    <w:qFormat/>
    <w:rsid w:val="005D1877"/>
    <w:pPr>
      <w:keepNext/>
      <w:keepLines/>
      <w:numPr>
        <w:numId w:val="3"/>
      </w:numPr>
      <w:spacing w:before="240"/>
      <w:ind w:left="0" w:firstLine="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ED429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rsid w:val="00ED429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87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D1877"/>
    <w:rPr>
      <w:rFonts w:ascii="Times New Roman" w:eastAsiaTheme="majorEastAsia" w:hAnsi="Times New Roman" w:cstheme="majorBidi"/>
      <w:b/>
      <w:sz w:val="24"/>
      <w:szCs w:val="26"/>
      <w:lang w:val="es-ES"/>
    </w:rPr>
  </w:style>
  <w:style w:type="character" w:customStyle="1" w:styleId="Heading3Char">
    <w:name w:val="Heading 3 Char"/>
    <w:basedOn w:val="DefaultParagraphFont"/>
    <w:link w:val="Heading3"/>
    <w:uiPriority w:val="9"/>
    <w:rsid w:val="005D1877"/>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6D761E"/>
    <w:pPr>
      <w:tabs>
        <w:tab w:val="center" w:pos="4536"/>
        <w:tab w:val="right" w:pos="9072"/>
      </w:tabs>
      <w:spacing w:after="0"/>
    </w:pPr>
  </w:style>
  <w:style w:type="character" w:customStyle="1" w:styleId="HeaderChar">
    <w:name w:val="Header Char"/>
    <w:basedOn w:val="DefaultParagraphFont"/>
    <w:link w:val="Header"/>
    <w:uiPriority w:val="99"/>
    <w:rsid w:val="006D761E"/>
    <w:rPr>
      <w:rFonts w:ascii="Times New Roman" w:hAnsi="Times New Roman"/>
      <w:sz w:val="24"/>
    </w:rPr>
  </w:style>
  <w:style w:type="paragraph" w:styleId="Footer">
    <w:name w:val="footer"/>
    <w:basedOn w:val="Normal"/>
    <w:link w:val="FooterChar"/>
    <w:uiPriority w:val="99"/>
    <w:unhideWhenUsed/>
    <w:rsid w:val="006D761E"/>
    <w:pPr>
      <w:tabs>
        <w:tab w:val="center" w:pos="4536"/>
        <w:tab w:val="right" w:pos="9072"/>
      </w:tabs>
      <w:spacing w:after="0"/>
    </w:pPr>
  </w:style>
  <w:style w:type="character" w:customStyle="1" w:styleId="FooterChar">
    <w:name w:val="Footer Char"/>
    <w:basedOn w:val="DefaultParagraphFont"/>
    <w:link w:val="Footer"/>
    <w:uiPriority w:val="99"/>
    <w:rsid w:val="006D761E"/>
    <w:rPr>
      <w:rFonts w:ascii="Times New Roman" w:hAnsi="Times New Roman"/>
      <w:sz w:val="24"/>
    </w:rPr>
  </w:style>
  <w:style w:type="paragraph" w:styleId="ListParagraph">
    <w:name w:val="List Paragraph"/>
    <w:basedOn w:val="Normal"/>
    <w:uiPriority w:val="34"/>
    <w:rsid w:val="00133E6D"/>
    <w:pPr>
      <w:ind w:left="720"/>
      <w:contextualSpacing/>
    </w:pPr>
  </w:style>
  <w:style w:type="character" w:customStyle="1" w:styleId="Heading4Char">
    <w:name w:val="Heading 4 Char"/>
    <w:basedOn w:val="DefaultParagraphFont"/>
    <w:link w:val="Heading4"/>
    <w:uiPriority w:val="9"/>
    <w:rsid w:val="005D1877"/>
    <w:rPr>
      <w:rFonts w:ascii="Times New Roman" w:eastAsiaTheme="majorEastAsia" w:hAnsi="Times New Roman" w:cstheme="majorBidi"/>
      <w:b/>
      <w:iCs/>
      <w:sz w:val="24"/>
    </w:rPr>
  </w:style>
  <w:style w:type="paragraph" w:styleId="FootnoteText">
    <w:name w:val="footnote text"/>
    <w:basedOn w:val="Normal"/>
    <w:link w:val="FootnoteTextChar"/>
    <w:uiPriority w:val="99"/>
    <w:semiHidden/>
    <w:unhideWhenUsed/>
    <w:rsid w:val="00857C94"/>
    <w:pPr>
      <w:spacing w:after="0"/>
    </w:pPr>
    <w:rPr>
      <w:sz w:val="20"/>
      <w:szCs w:val="20"/>
    </w:rPr>
  </w:style>
  <w:style w:type="character" w:customStyle="1" w:styleId="FootnoteTextChar">
    <w:name w:val="Footnote Text Char"/>
    <w:basedOn w:val="DefaultParagraphFont"/>
    <w:link w:val="FootnoteText"/>
    <w:uiPriority w:val="99"/>
    <w:semiHidden/>
    <w:rsid w:val="00857C94"/>
    <w:rPr>
      <w:rFonts w:ascii="Times New Roman" w:hAnsi="Times New Roman"/>
      <w:sz w:val="20"/>
      <w:szCs w:val="20"/>
    </w:rPr>
  </w:style>
  <w:style w:type="character" w:styleId="FootnoteReference">
    <w:name w:val="footnote reference"/>
    <w:basedOn w:val="DefaultParagraphFont"/>
    <w:uiPriority w:val="99"/>
    <w:semiHidden/>
    <w:unhideWhenUsed/>
    <w:rsid w:val="00857C94"/>
    <w:rPr>
      <w:vertAlign w:val="superscript"/>
    </w:rPr>
  </w:style>
  <w:style w:type="character" w:styleId="Hyperlink">
    <w:name w:val="Hyperlink"/>
    <w:basedOn w:val="DefaultParagraphFont"/>
    <w:uiPriority w:val="99"/>
    <w:unhideWhenUsed/>
    <w:rsid w:val="00F0764C"/>
    <w:rPr>
      <w:color w:val="0563C1" w:themeColor="hyperlink"/>
      <w:u w:val="single"/>
    </w:rPr>
  </w:style>
  <w:style w:type="character" w:styleId="UnresolvedMention">
    <w:name w:val="Unresolved Mention"/>
    <w:basedOn w:val="DefaultParagraphFont"/>
    <w:uiPriority w:val="99"/>
    <w:semiHidden/>
    <w:unhideWhenUsed/>
    <w:rsid w:val="00F0764C"/>
    <w:rPr>
      <w:color w:val="605E5C"/>
      <w:shd w:val="clear" w:color="auto" w:fill="E1DFDD"/>
    </w:rPr>
  </w:style>
  <w:style w:type="character" w:customStyle="1" w:styleId="Heading5Char">
    <w:name w:val="Heading 5 Char"/>
    <w:basedOn w:val="DefaultParagraphFont"/>
    <w:link w:val="Heading5"/>
    <w:uiPriority w:val="9"/>
    <w:rsid w:val="005D1877"/>
    <w:rPr>
      <w:rFonts w:ascii="Times New Roman" w:eastAsiaTheme="majorEastAsia" w:hAnsi="Times New Roman" w:cstheme="majorBidi"/>
      <w:b/>
      <w:color w:val="000000" w:themeColor="text1"/>
      <w:sz w:val="24"/>
    </w:rPr>
  </w:style>
  <w:style w:type="paragraph" w:styleId="EndnoteText">
    <w:name w:val="endnote text"/>
    <w:basedOn w:val="Normal"/>
    <w:link w:val="EndnoteTextChar"/>
    <w:uiPriority w:val="99"/>
    <w:semiHidden/>
    <w:unhideWhenUsed/>
    <w:rsid w:val="00523531"/>
    <w:pPr>
      <w:spacing w:after="0"/>
    </w:pPr>
    <w:rPr>
      <w:sz w:val="20"/>
      <w:szCs w:val="20"/>
    </w:rPr>
  </w:style>
  <w:style w:type="character" w:customStyle="1" w:styleId="EndnoteTextChar">
    <w:name w:val="Endnote Text Char"/>
    <w:basedOn w:val="DefaultParagraphFont"/>
    <w:link w:val="EndnoteText"/>
    <w:uiPriority w:val="99"/>
    <w:semiHidden/>
    <w:rsid w:val="00523531"/>
    <w:rPr>
      <w:rFonts w:ascii="Times New Roman" w:hAnsi="Times New Roman"/>
      <w:sz w:val="20"/>
      <w:szCs w:val="20"/>
    </w:rPr>
  </w:style>
  <w:style w:type="character" w:styleId="EndnoteReference">
    <w:name w:val="endnote reference"/>
    <w:basedOn w:val="DefaultParagraphFont"/>
    <w:uiPriority w:val="99"/>
    <w:semiHidden/>
    <w:unhideWhenUsed/>
    <w:rsid w:val="00523531"/>
    <w:rPr>
      <w:vertAlign w:val="superscript"/>
    </w:rPr>
  </w:style>
  <w:style w:type="paragraph" w:styleId="TOCHeading">
    <w:name w:val="TOC Heading"/>
    <w:basedOn w:val="Heading1"/>
    <w:next w:val="Normal"/>
    <w:uiPriority w:val="39"/>
    <w:unhideWhenUsed/>
    <w:qFormat/>
    <w:rsid w:val="00704E2F"/>
    <w:pPr>
      <w:spacing w:line="259" w:lineRule="auto"/>
      <w:jc w:val="left"/>
      <w:outlineLvl w:val="9"/>
    </w:pPr>
    <w:rPr>
      <w:rFonts w:asciiTheme="majorHAnsi" w:hAnsiTheme="majorHAnsi"/>
      <w:b w:val="0"/>
      <w:color w:val="2F5496" w:themeColor="accent1" w:themeShade="BF"/>
      <w:sz w:val="32"/>
      <w:lang w:eastAsia="tr-TR"/>
    </w:rPr>
  </w:style>
  <w:style w:type="paragraph" w:styleId="TOC1">
    <w:name w:val="toc 1"/>
    <w:basedOn w:val="Normal"/>
    <w:next w:val="Normal"/>
    <w:autoRedefine/>
    <w:uiPriority w:val="39"/>
    <w:unhideWhenUsed/>
    <w:rsid w:val="00C2208A"/>
    <w:pPr>
      <w:tabs>
        <w:tab w:val="right" w:leader="dot" w:pos="9062"/>
      </w:tabs>
      <w:spacing w:after="100"/>
      <w:jc w:val="center"/>
    </w:pPr>
    <w:rPr>
      <w:b/>
      <w:noProof/>
    </w:rPr>
  </w:style>
  <w:style w:type="paragraph" w:styleId="TOC2">
    <w:name w:val="toc 2"/>
    <w:basedOn w:val="Normal"/>
    <w:next w:val="Normal"/>
    <w:autoRedefine/>
    <w:uiPriority w:val="39"/>
    <w:unhideWhenUsed/>
    <w:rsid w:val="00E86328"/>
    <w:pPr>
      <w:tabs>
        <w:tab w:val="left" w:pos="1540"/>
        <w:tab w:val="right" w:leader="dot" w:pos="8210"/>
      </w:tabs>
      <w:ind w:left="805" w:hanging="567"/>
    </w:pPr>
  </w:style>
  <w:style w:type="paragraph" w:styleId="TOC3">
    <w:name w:val="toc 3"/>
    <w:basedOn w:val="Normal"/>
    <w:next w:val="Normal"/>
    <w:autoRedefine/>
    <w:uiPriority w:val="39"/>
    <w:unhideWhenUsed/>
    <w:rsid w:val="00A33DB3"/>
    <w:pPr>
      <w:tabs>
        <w:tab w:val="left" w:pos="1540"/>
        <w:tab w:val="right" w:leader="dot" w:pos="8210"/>
      </w:tabs>
      <w:spacing w:after="100"/>
      <w:ind w:left="1049" w:hanging="567"/>
    </w:pPr>
  </w:style>
  <w:style w:type="paragraph" w:styleId="TOC4">
    <w:name w:val="toc 4"/>
    <w:basedOn w:val="Normal"/>
    <w:next w:val="Normal"/>
    <w:autoRedefine/>
    <w:uiPriority w:val="39"/>
    <w:unhideWhenUsed/>
    <w:rsid w:val="00704E2F"/>
    <w:pPr>
      <w:spacing w:after="100"/>
      <w:ind w:left="720"/>
    </w:pPr>
  </w:style>
  <w:style w:type="paragraph" w:styleId="TOC5">
    <w:name w:val="toc 5"/>
    <w:basedOn w:val="Normal"/>
    <w:next w:val="Normal"/>
    <w:autoRedefine/>
    <w:uiPriority w:val="39"/>
    <w:unhideWhenUsed/>
    <w:rsid w:val="00704E2F"/>
    <w:pPr>
      <w:spacing w:after="100"/>
      <w:ind w:left="960"/>
    </w:pPr>
  </w:style>
  <w:style w:type="paragraph" w:styleId="TOC6">
    <w:name w:val="toc 6"/>
    <w:basedOn w:val="Normal"/>
    <w:next w:val="Normal"/>
    <w:autoRedefine/>
    <w:uiPriority w:val="39"/>
    <w:unhideWhenUsed/>
    <w:rsid w:val="009A5052"/>
    <w:pPr>
      <w:spacing w:after="100" w:line="259" w:lineRule="auto"/>
      <w:ind w:left="1100"/>
      <w:jc w:val="left"/>
    </w:pPr>
    <w:rPr>
      <w:rFonts w:asciiTheme="minorHAnsi" w:eastAsiaTheme="minorEastAsia" w:hAnsiTheme="minorHAnsi"/>
      <w:sz w:val="22"/>
      <w:lang w:eastAsia="tr-TR"/>
    </w:rPr>
  </w:style>
  <w:style w:type="paragraph" w:styleId="TOC7">
    <w:name w:val="toc 7"/>
    <w:basedOn w:val="Normal"/>
    <w:next w:val="Normal"/>
    <w:autoRedefine/>
    <w:uiPriority w:val="39"/>
    <w:unhideWhenUsed/>
    <w:rsid w:val="009A5052"/>
    <w:pPr>
      <w:spacing w:after="100" w:line="259" w:lineRule="auto"/>
      <w:ind w:left="1320"/>
      <w:jc w:val="left"/>
    </w:pPr>
    <w:rPr>
      <w:rFonts w:asciiTheme="minorHAnsi" w:eastAsiaTheme="minorEastAsia" w:hAnsiTheme="minorHAnsi"/>
      <w:sz w:val="22"/>
      <w:lang w:eastAsia="tr-TR"/>
    </w:rPr>
  </w:style>
  <w:style w:type="paragraph" w:styleId="TOC8">
    <w:name w:val="toc 8"/>
    <w:basedOn w:val="Normal"/>
    <w:next w:val="Normal"/>
    <w:autoRedefine/>
    <w:uiPriority w:val="39"/>
    <w:unhideWhenUsed/>
    <w:rsid w:val="009A5052"/>
    <w:pPr>
      <w:spacing w:after="100" w:line="259" w:lineRule="auto"/>
      <w:ind w:left="1540"/>
      <w:jc w:val="left"/>
    </w:pPr>
    <w:rPr>
      <w:rFonts w:asciiTheme="minorHAnsi" w:eastAsiaTheme="minorEastAsia" w:hAnsiTheme="minorHAnsi"/>
      <w:sz w:val="22"/>
      <w:lang w:eastAsia="tr-TR"/>
    </w:rPr>
  </w:style>
  <w:style w:type="paragraph" w:styleId="TOC9">
    <w:name w:val="toc 9"/>
    <w:basedOn w:val="Normal"/>
    <w:next w:val="Normal"/>
    <w:autoRedefine/>
    <w:uiPriority w:val="39"/>
    <w:unhideWhenUsed/>
    <w:rsid w:val="009A5052"/>
    <w:pPr>
      <w:spacing w:after="100" w:line="259" w:lineRule="auto"/>
      <w:ind w:left="1760"/>
      <w:jc w:val="left"/>
    </w:pPr>
    <w:rPr>
      <w:rFonts w:asciiTheme="minorHAnsi" w:eastAsiaTheme="minorEastAsia" w:hAnsiTheme="minorHAnsi"/>
      <w:sz w:val="22"/>
      <w:lang w:eastAsia="tr-TR"/>
    </w:rPr>
  </w:style>
  <w:style w:type="character" w:styleId="LineNumber">
    <w:name w:val="line number"/>
    <w:basedOn w:val="DefaultParagraphFont"/>
    <w:uiPriority w:val="99"/>
    <w:semiHidden/>
    <w:unhideWhenUsed/>
    <w:rsid w:val="00562316"/>
  </w:style>
  <w:style w:type="table" w:styleId="TableGrid">
    <w:name w:val="Table Grid"/>
    <w:basedOn w:val="TableNormal"/>
    <w:uiPriority w:val="39"/>
    <w:rsid w:val="00B5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305580"/>
  </w:style>
  <w:style w:type="character" w:customStyle="1" w:styleId="BodyTextChar">
    <w:name w:val="Body Text Char"/>
    <w:basedOn w:val="DefaultParagraphFont"/>
    <w:link w:val="BodyText"/>
    <w:uiPriority w:val="99"/>
    <w:semiHidden/>
    <w:rsid w:val="00305580"/>
    <w:rPr>
      <w:rFonts w:ascii="Times New Roman" w:hAnsi="Times New Roman"/>
      <w:sz w:val="24"/>
    </w:rPr>
  </w:style>
  <w:style w:type="character" w:styleId="FollowedHyperlink">
    <w:name w:val="FollowedHyperlink"/>
    <w:basedOn w:val="DefaultParagraphFont"/>
    <w:uiPriority w:val="99"/>
    <w:semiHidden/>
    <w:unhideWhenUsed/>
    <w:rsid w:val="00B80E6C"/>
    <w:rPr>
      <w:color w:val="954F72" w:themeColor="followedHyperlink"/>
      <w:u w:val="single"/>
    </w:rPr>
  </w:style>
  <w:style w:type="character" w:styleId="CommentReference">
    <w:name w:val="annotation reference"/>
    <w:basedOn w:val="DefaultParagraphFont"/>
    <w:uiPriority w:val="99"/>
    <w:semiHidden/>
    <w:unhideWhenUsed/>
    <w:rsid w:val="00B51117"/>
    <w:rPr>
      <w:sz w:val="16"/>
      <w:szCs w:val="16"/>
    </w:rPr>
  </w:style>
  <w:style w:type="paragraph" w:styleId="CommentText">
    <w:name w:val="annotation text"/>
    <w:basedOn w:val="Normal"/>
    <w:link w:val="CommentTextChar"/>
    <w:uiPriority w:val="99"/>
    <w:unhideWhenUsed/>
    <w:rsid w:val="00B51117"/>
    <w:pPr>
      <w:spacing w:before="0" w:after="160"/>
      <w:ind w:firstLine="0"/>
      <w:jc w:val="left"/>
    </w:pPr>
    <w:rPr>
      <w:rFonts w:asciiTheme="minorHAnsi" w:hAnsiTheme="minorHAnsi"/>
      <w:kern w:val="2"/>
      <w:sz w:val="20"/>
      <w:szCs w:val="20"/>
      <w14:ligatures w14:val="standardContextual"/>
    </w:rPr>
  </w:style>
  <w:style w:type="character" w:customStyle="1" w:styleId="CommentTextChar">
    <w:name w:val="Comment Text Char"/>
    <w:basedOn w:val="DefaultParagraphFont"/>
    <w:link w:val="CommentText"/>
    <w:uiPriority w:val="99"/>
    <w:rsid w:val="00B51117"/>
    <w:rPr>
      <w:kern w:val="2"/>
      <w:sz w:val="20"/>
      <w:szCs w:val="20"/>
      <w14:ligatures w14:val="standardContextual"/>
    </w:rPr>
  </w:style>
  <w:style w:type="table" w:customStyle="1" w:styleId="TabloKlavuzu1">
    <w:name w:val="Tablo Kılavuzu1"/>
    <w:basedOn w:val="TableNormal"/>
    <w:next w:val="TableGrid"/>
    <w:uiPriority w:val="39"/>
    <w:rsid w:val="000D614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ED429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D4292"/>
    <w:rPr>
      <w:rFonts w:asciiTheme="majorHAnsi" w:eastAsiaTheme="majorEastAsia" w:hAnsiTheme="majorHAnsi" w:cstheme="majorBidi"/>
      <w:i/>
      <w:iCs/>
      <w:color w:val="1F3763" w:themeColor="accent1" w:themeShade="7F"/>
      <w:sz w:val="24"/>
    </w:rPr>
  </w:style>
  <w:style w:type="paragraph" w:styleId="NormalWeb">
    <w:name w:val="Normal (Web)"/>
    <w:basedOn w:val="Normal"/>
    <w:uiPriority w:val="99"/>
    <w:semiHidden/>
    <w:unhideWhenUsed/>
    <w:rsid w:val="006F2D57"/>
    <w:rPr>
      <w:rFonts w:cs="Times New Roman"/>
      <w:szCs w:val="24"/>
    </w:rPr>
  </w:style>
  <w:style w:type="paragraph" w:customStyle="1" w:styleId="Dipnot">
    <w:name w:val="Dipnot"/>
    <w:basedOn w:val="FootnoteText"/>
    <w:next w:val="Normal"/>
    <w:link w:val="DipnotChar"/>
    <w:qFormat/>
    <w:rsid w:val="00013646"/>
    <w:pPr>
      <w:spacing w:before="0" w:after="80"/>
      <w:ind w:left="567" w:hanging="567"/>
    </w:pPr>
  </w:style>
  <w:style w:type="character" w:customStyle="1" w:styleId="DipnotChar">
    <w:name w:val="Dipnot Char"/>
    <w:basedOn w:val="FootnoteTextChar"/>
    <w:link w:val="Dipnot"/>
    <w:rsid w:val="00013646"/>
    <w:rPr>
      <w:rFonts w:ascii="Times New Roman" w:hAnsi="Times New Roman"/>
      <w:sz w:val="20"/>
      <w:szCs w:val="20"/>
    </w:rPr>
  </w:style>
  <w:style w:type="character" w:styleId="Emphasis">
    <w:name w:val="Emphasis"/>
    <w:basedOn w:val="DefaultParagraphFont"/>
    <w:uiPriority w:val="20"/>
    <w:qFormat/>
    <w:rsid w:val="00ED5474"/>
    <w:rPr>
      <w:i/>
      <w:iCs/>
    </w:rPr>
  </w:style>
  <w:style w:type="character" w:styleId="Strong">
    <w:name w:val="Strong"/>
    <w:basedOn w:val="DefaultParagraphFont"/>
    <w:uiPriority w:val="22"/>
    <w:qFormat/>
    <w:rsid w:val="00FA6AAE"/>
    <w:rPr>
      <w:b/>
      <w:bCs/>
    </w:rPr>
  </w:style>
  <w:style w:type="paragraph" w:styleId="NoSpacing">
    <w:name w:val="No Spacing"/>
    <w:uiPriority w:val="1"/>
    <w:qFormat/>
    <w:rsid w:val="006951F7"/>
    <w:pPr>
      <w:spacing w:after="0" w:line="240" w:lineRule="auto"/>
      <w:ind w:firstLine="567"/>
      <w:jc w:val="both"/>
    </w:pPr>
    <w:rPr>
      <w:rFonts w:ascii="Times New Roman" w:hAnsi="Times New Roman"/>
      <w:sz w:val="24"/>
    </w:rPr>
  </w:style>
  <w:style w:type="paragraph" w:customStyle="1" w:styleId="Style1">
    <w:name w:val="Style1"/>
    <w:basedOn w:val="Normal"/>
    <w:link w:val="Style1Char"/>
    <w:qFormat/>
    <w:rsid w:val="00217CE6"/>
    <w:rPr>
      <w:lang w:val="en-US"/>
    </w:rPr>
  </w:style>
  <w:style w:type="character" w:customStyle="1" w:styleId="Style1Char">
    <w:name w:val="Style1 Char"/>
    <w:basedOn w:val="DefaultParagraphFont"/>
    <w:link w:val="Style1"/>
    <w:rsid w:val="00217CE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899">
      <w:bodyDiv w:val="1"/>
      <w:marLeft w:val="0"/>
      <w:marRight w:val="0"/>
      <w:marTop w:val="0"/>
      <w:marBottom w:val="0"/>
      <w:divBdr>
        <w:top w:val="none" w:sz="0" w:space="0" w:color="auto"/>
        <w:left w:val="none" w:sz="0" w:space="0" w:color="auto"/>
        <w:bottom w:val="none" w:sz="0" w:space="0" w:color="auto"/>
        <w:right w:val="none" w:sz="0" w:space="0" w:color="auto"/>
      </w:divBdr>
    </w:div>
    <w:div w:id="3165337">
      <w:bodyDiv w:val="1"/>
      <w:marLeft w:val="0"/>
      <w:marRight w:val="0"/>
      <w:marTop w:val="0"/>
      <w:marBottom w:val="0"/>
      <w:divBdr>
        <w:top w:val="none" w:sz="0" w:space="0" w:color="auto"/>
        <w:left w:val="none" w:sz="0" w:space="0" w:color="auto"/>
        <w:bottom w:val="none" w:sz="0" w:space="0" w:color="auto"/>
        <w:right w:val="none" w:sz="0" w:space="0" w:color="auto"/>
      </w:divBdr>
    </w:div>
    <w:div w:id="6370610">
      <w:bodyDiv w:val="1"/>
      <w:marLeft w:val="0"/>
      <w:marRight w:val="0"/>
      <w:marTop w:val="0"/>
      <w:marBottom w:val="0"/>
      <w:divBdr>
        <w:top w:val="none" w:sz="0" w:space="0" w:color="auto"/>
        <w:left w:val="none" w:sz="0" w:space="0" w:color="auto"/>
        <w:bottom w:val="none" w:sz="0" w:space="0" w:color="auto"/>
        <w:right w:val="none" w:sz="0" w:space="0" w:color="auto"/>
      </w:divBdr>
    </w:div>
    <w:div w:id="8217467">
      <w:bodyDiv w:val="1"/>
      <w:marLeft w:val="0"/>
      <w:marRight w:val="0"/>
      <w:marTop w:val="0"/>
      <w:marBottom w:val="0"/>
      <w:divBdr>
        <w:top w:val="none" w:sz="0" w:space="0" w:color="auto"/>
        <w:left w:val="none" w:sz="0" w:space="0" w:color="auto"/>
        <w:bottom w:val="none" w:sz="0" w:space="0" w:color="auto"/>
        <w:right w:val="none" w:sz="0" w:space="0" w:color="auto"/>
      </w:divBdr>
    </w:div>
    <w:div w:id="10571269">
      <w:bodyDiv w:val="1"/>
      <w:marLeft w:val="0"/>
      <w:marRight w:val="0"/>
      <w:marTop w:val="0"/>
      <w:marBottom w:val="0"/>
      <w:divBdr>
        <w:top w:val="none" w:sz="0" w:space="0" w:color="auto"/>
        <w:left w:val="none" w:sz="0" w:space="0" w:color="auto"/>
        <w:bottom w:val="none" w:sz="0" w:space="0" w:color="auto"/>
        <w:right w:val="none" w:sz="0" w:space="0" w:color="auto"/>
      </w:divBdr>
    </w:div>
    <w:div w:id="11880546">
      <w:bodyDiv w:val="1"/>
      <w:marLeft w:val="0"/>
      <w:marRight w:val="0"/>
      <w:marTop w:val="0"/>
      <w:marBottom w:val="0"/>
      <w:divBdr>
        <w:top w:val="none" w:sz="0" w:space="0" w:color="auto"/>
        <w:left w:val="none" w:sz="0" w:space="0" w:color="auto"/>
        <w:bottom w:val="none" w:sz="0" w:space="0" w:color="auto"/>
        <w:right w:val="none" w:sz="0" w:space="0" w:color="auto"/>
      </w:divBdr>
    </w:div>
    <w:div w:id="13969988">
      <w:bodyDiv w:val="1"/>
      <w:marLeft w:val="0"/>
      <w:marRight w:val="0"/>
      <w:marTop w:val="0"/>
      <w:marBottom w:val="0"/>
      <w:divBdr>
        <w:top w:val="none" w:sz="0" w:space="0" w:color="auto"/>
        <w:left w:val="none" w:sz="0" w:space="0" w:color="auto"/>
        <w:bottom w:val="none" w:sz="0" w:space="0" w:color="auto"/>
        <w:right w:val="none" w:sz="0" w:space="0" w:color="auto"/>
      </w:divBdr>
    </w:div>
    <w:div w:id="14578592">
      <w:bodyDiv w:val="1"/>
      <w:marLeft w:val="0"/>
      <w:marRight w:val="0"/>
      <w:marTop w:val="0"/>
      <w:marBottom w:val="0"/>
      <w:divBdr>
        <w:top w:val="none" w:sz="0" w:space="0" w:color="auto"/>
        <w:left w:val="none" w:sz="0" w:space="0" w:color="auto"/>
        <w:bottom w:val="none" w:sz="0" w:space="0" w:color="auto"/>
        <w:right w:val="none" w:sz="0" w:space="0" w:color="auto"/>
      </w:divBdr>
    </w:div>
    <w:div w:id="16200899">
      <w:bodyDiv w:val="1"/>
      <w:marLeft w:val="0"/>
      <w:marRight w:val="0"/>
      <w:marTop w:val="0"/>
      <w:marBottom w:val="0"/>
      <w:divBdr>
        <w:top w:val="none" w:sz="0" w:space="0" w:color="auto"/>
        <w:left w:val="none" w:sz="0" w:space="0" w:color="auto"/>
        <w:bottom w:val="none" w:sz="0" w:space="0" w:color="auto"/>
        <w:right w:val="none" w:sz="0" w:space="0" w:color="auto"/>
      </w:divBdr>
    </w:div>
    <w:div w:id="29384453">
      <w:bodyDiv w:val="1"/>
      <w:marLeft w:val="0"/>
      <w:marRight w:val="0"/>
      <w:marTop w:val="0"/>
      <w:marBottom w:val="0"/>
      <w:divBdr>
        <w:top w:val="none" w:sz="0" w:space="0" w:color="auto"/>
        <w:left w:val="none" w:sz="0" w:space="0" w:color="auto"/>
        <w:bottom w:val="none" w:sz="0" w:space="0" w:color="auto"/>
        <w:right w:val="none" w:sz="0" w:space="0" w:color="auto"/>
      </w:divBdr>
    </w:div>
    <w:div w:id="29454921">
      <w:bodyDiv w:val="1"/>
      <w:marLeft w:val="0"/>
      <w:marRight w:val="0"/>
      <w:marTop w:val="0"/>
      <w:marBottom w:val="0"/>
      <w:divBdr>
        <w:top w:val="none" w:sz="0" w:space="0" w:color="auto"/>
        <w:left w:val="none" w:sz="0" w:space="0" w:color="auto"/>
        <w:bottom w:val="none" w:sz="0" w:space="0" w:color="auto"/>
        <w:right w:val="none" w:sz="0" w:space="0" w:color="auto"/>
      </w:divBdr>
    </w:div>
    <w:div w:id="30810162">
      <w:bodyDiv w:val="1"/>
      <w:marLeft w:val="0"/>
      <w:marRight w:val="0"/>
      <w:marTop w:val="0"/>
      <w:marBottom w:val="0"/>
      <w:divBdr>
        <w:top w:val="none" w:sz="0" w:space="0" w:color="auto"/>
        <w:left w:val="none" w:sz="0" w:space="0" w:color="auto"/>
        <w:bottom w:val="none" w:sz="0" w:space="0" w:color="auto"/>
        <w:right w:val="none" w:sz="0" w:space="0" w:color="auto"/>
      </w:divBdr>
    </w:div>
    <w:div w:id="31537570">
      <w:bodyDiv w:val="1"/>
      <w:marLeft w:val="0"/>
      <w:marRight w:val="0"/>
      <w:marTop w:val="0"/>
      <w:marBottom w:val="0"/>
      <w:divBdr>
        <w:top w:val="none" w:sz="0" w:space="0" w:color="auto"/>
        <w:left w:val="none" w:sz="0" w:space="0" w:color="auto"/>
        <w:bottom w:val="none" w:sz="0" w:space="0" w:color="auto"/>
        <w:right w:val="none" w:sz="0" w:space="0" w:color="auto"/>
      </w:divBdr>
    </w:div>
    <w:div w:id="32464250">
      <w:bodyDiv w:val="1"/>
      <w:marLeft w:val="0"/>
      <w:marRight w:val="0"/>
      <w:marTop w:val="0"/>
      <w:marBottom w:val="0"/>
      <w:divBdr>
        <w:top w:val="none" w:sz="0" w:space="0" w:color="auto"/>
        <w:left w:val="none" w:sz="0" w:space="0" w:color="auto"/>
        <w:bottom w:val="none" w:sz="0" w:space="0" w:color="auto"/>
        <w:right w:val="none" w:sz="0" w:space="0" w:color="auto"/>
      </w:divBdr>
    </w:div>
    <w:div w:id="34239058">
      <w:bodyDiv w:val="1"/>
      <w:marLeft w:val="0"/>
      <w:marRight w:val="0"/>
      <w:marTop w:val="0"/>
      <w:marBottom w:val="0"/>
      <w:divBdr>
        <w:top w:val="none" w:sz="0" w:space="0" w:color="auto"/>
        <w:left w:val="none" w:sz="0" w:space="0" w:color="auto"/>
        <w:bottom w:val="none" w:sz="0" w:space="0" w:color="auto"/>
        <w:right w:val="none" w:sz="0" w:space="0" w:color="auto"/>
      </w:divBdr>
    </w:div>
    <w:div w:id="35544222">
      <w:bodyDiv w:val="1"/>
      <w:marLeft w:val="0"/>
      <w:marRight w:val="0"/>
      <w:marTop w:val="0"/>
      <w:marBottom w:val="0"/>
      <w:divBdr>
        <w:top w:val="none" w:sz="0" w:space="0" w:color="auto"/>
        <w:left w:val="none" w:sz="0" w:space="0" w:color="auto"/>
        <w:bottom w:val="none" w:sz="0" w:space="0" w:color="auto"/>
        <w:right w:val="none" w:sz="0" w:space="0" w:color="auto"/>
      </w:divBdr>
    </w:div>
    <w:div w:id="37901377">
      <w:bodyDiv w:val="1"/>
      <w:marLeft w:val="0"/>
      <w:marRight w:val="0"/>
      <w:marTop w:val="0"/>
      <w:marBottom w:val="0"/>
      <w:divBdr>
        <w:top w:val="none" w:sz="0" w:space="0" w:color="auto"/>
        <w:left w:val="none" w:sz="0" w:space="0" w:color="auto"/>
        <w:bottom w:val="none" w:sz="0" w:space="0" w:color="auto"/>
        <w:right w:val="none" w:sz="0" w:space="0" w:color="auto"/>
      </w:divBdr>
    </w:div>
    <w:div w:id="38825999">
      <w:bodyDiv w:val="1"/>
      <w:marLeft w:val="0"/>
      <w:marRight w:val="0"/>
      <w:marTop w:val="0"/>
      <w:marBottom w:val="0"/>
      <w:divBdr>
        <w:top w:val="none" w:sz="0" w:space="0" w:color="auto"/>
        <w:left w:val="none" w:sz="0" w:space="0" w:color="auto"/>
        <w:bottom w:val="none" w:sz="0" w:space="0" w:color="auto"/>
        <w:right w:val="none" w:sz="0" w:space="0" w:color="auto"/>
      </w:divBdr>
    </w:div>
    <w:div w:id="40134739">
      <w:bodyDiv w:val="1"/>
      <w:marLeft w:val="0"/>
      <w:marRight w:val="0"/>
      <w:marTop w:val="0"/>
      <w:marBottom w:val="0"/>
      <w:divBdr>
        <w:top w:val="none" w:sz="0" w:space="0" w:color="auto"/>
        <w:left w:val="none" w:sz="0" w:space="0" w:color="auto"/>
        <w:bottom w:val="none" w:sz="0" w:space="0" w:color="auto"/>
        <w:right w:val="none" w:sz="0" w:space="0" w:color="auto"/>
      </w:divBdr>
    </w:div>
    <w:div w:id="42947336">
      <w:bodyDiv w:val="1"/>
      <w:marLeft w:val="0"/>
      <w:marRight w:val="0"/>
      <w:marTop w:val="0"/>
      <w:marBottom w:val="0"/>
      <w:divBdr>
        <w:top w:val="none" w:sz="0" w:space="0" w:color="auto"/>
        <w:left w:val="none" w:sz="0" w:space="0" w:color="auto"/>
        <w:bottom w:val="none" w:sz="0" w:space="0" w:color="auto"/>
        <w:right w:val="none" w:sz="0" w:space="0" w:color="auto"/>
      </w:divBdr>
    </w:div>
    <w:div w:id="47415206">
      <w:bodyDiv w:val="1"/>
      <w:marLeft w:val="0"/>
      <w:marRight w:val="0"/>
      <w:marTop w:val="0"/>
      <w:marBottom w:val="0"/>
      <w:divBdr>
        <w:top w:val="none" w:sz="0" w:space="0" w:color="auto"/>
        <w:left w:val="none" w:sz="0" w:space="0" w:color="auto"/>
        <w:bottom w:val="none" w:sz="0" w:space="0" w:color="auto"/>
        <w:right w:val="none" w:sz="0" w:space="0" w:color="auto"/>
      </w:divBdr>
    </w:div>
    <w:div w:id="48263347">
      <w:bodyDiv w:val="1"/>
      <w:marLeft w:val="0"/>
      <w:marRight w:val="0"/>
      <w:marTop w:val="0"/>
      <w:marBottom w:val="0"/>
      <w:divBdr>
        <w:top w:val="none" w:sz="0" w:space="0" w:color="auto"/>
        <w:left w:val="none" w:sz="0" w:space="0" w:color="auto"/>
        <w:bottom w:val="none" w:sz="0" w:space="0" w:color="auto"/>
        <w:right w:val="none" w:sz="0" w:space="0" w:color="auto"/>
      </w:divBdr>
    </w:div>
    <w:div w:id="50857472">
      <w:bodyDiv w:val="1"/>
      <w:marLeft w:val="0"/>
      <w:marRight w:val="0"/>
      <w:marTop w:val="0"/>
      <w:marBottom w:val="0"/>
      <w:divBdr>
        <w:top w:val="none" w:sz="0" w:space="0" w:color="auto"/>
        <w:left w:val="none" w:sz="0" w:space="0" w:color="auto"/>
        <w:bottom w:val="none" w:sz="0" w:space="0" w:color="auto"/>
        <w:right w:val="none" w:sz="0" w:space="0" w:color="auto"/>
      </w:divBdr>
    </w:div>
    <w:div w:id="54623252">
      <w:bodyDiv w:val="1"/>
      <w:marLeft w:val="0"/>
      <w:marRight w:val="0"/>
      <w:marTop w:val="0"/>
      <w:marBottom w:val="0"/>
      <w:divBdr>
        <w:top w:val="none" w:sz="0" w:space="0" w:color="auto"/>
        <w:left w:val="none" w:sz="0" w:space="0" w:color="auto"/>
        <w:bottom w:val="none" w:sz="0" w:space="0" w:color="auto"/>
        <w:right w:val="none" w:sz="0" w:space="0" w:color="auto"/>
      </w:divBdr>
    </w:div>
    <w:div w:id="59790438">
      <w:bodyDiv w:val="1"/>
      <w:marLeft w:val="0"/>
      <w:marRight w:val="0"/>
      <w:marTop w:val="0"/>
      <w:marBottom w:val="0"/>
      <w:divBdr>
        <w:top w:val="none" w:sz="0" w:space="0" w:color="auto"/>
        <w:left w:val="none" w:sz="0" w:space="0" w:color="auto"/>
        <w:bottom w:val="none" w:sz="0" w:space="0" w:color="auto"/>
        <w:right w:val="none" w:sz="0" w:space="0" w:color="auto"/>
      </w:divBdr>
    </w:div>
    <w:div w:id="60057621">
      <w:bodyDiv w:val="1"/>
      <w:marLeft w:val="0"/>
      <w:marRight w:val="0"/>
      <w:marTop w:val="0"/>
      <w:marBottom w:val="0"/>
      <w:divBdr>
        <w:top w:val="none" w:sz="0" w:space="0" w:color="auto"/>
        <w:left w:val="none" w:sz="0" w:space="0" w:color="auto"/>
        <w:bottom w:val="none" w:sz="0" w:space="0" w:color="auto"/>
        <w:right w:val="none" w:sz="0" w:space="0" w:color="auto"/>
      </w:divBdr>
    </w:div>
    <w:div w:id="60375156">
      <w:bodyDiv w:val="1"/>
      <w:marLeft w:val="0"/>
      <w:marRight w:val="0"/>
      <w:marTop w:val="0"/>
      <w:marBottom w:val="0"/>
      <w:divBdr>
        <w:top w:val="none" w:sz="0" w:space="0" w:color="auto"/>
        <w:left w:val="none" w:sz="0" w:space="0" w:color="auto"/>
        <w:bottom w:val="none" w:sz="0" w:space="0" w:color="auto"/>
        <w:right w:val="none" w:sz="0" w:space="0" w:color="auto"/>
      </w:divBdr>
    </w:div>
    <w:div w:id="60450331">
      <w:bodyDiv w:val="1"/>
      <w:marLeft w:val="0"/>
      <w:marRight w:val="0"/>
      <w:marTop w:val="0"/>
      <w:marBottom w:val="0"/>
      <w:divBdr>
        <w:top w:val="none" w:sz="0" w:space="0" w:color="auto"/>
        <w:left w:val="none" w:sz="0" w:space="0" w:color="auto"/>
        <w:bottom w:val="none" w:sz="0" w:space="0" w:color="auto"/>
        <w:right w:val="none" w:sz="0" w:space="0" w:color="auto"/>
      </w:divBdr>
    </w:div>
    <w:div w:id="65347382">
      <w:bodyDiv w:val="1"/>
      <w:marLeft w:val="0"/>
      <w:marRight w:val="0"/>
      <w:marTop w:val="0"/>
      <w:marBottom w:val="0"/>
      <w:divBdr>
        <w:top w:val="none" w:sz="0" w:space="0" w:color="auto"/>
        <w:left w:val="none" w:sz="0" w:space="0" w:color="auto"/>
        <w:bottom w:val="none" w:sz="0" w:space="0" w:color="auto"/>
        <w:right w:val="none" w:sz="0" w:space="0" w:color="auto"/>
      </w:divBdr>
    </w:div>
    <w:div w:id="74478629">
      <w:bodyDiv w:val="1"/>
      <w:marLeft w:val="0"/>
      <w:marRight w:val="0"/>
      <w:marTop w:val="0"/>
      <w:marBottom w:val="0"/>
      <w:divBdr>
        <w:top w:val="none" w:sz="0" w:space="0" w:color="auto"/>
        <w:left w:val="none" w:sz="0" w:space="0" w:color="auto"/>
        <w:bottom w:val="none" w:sz="0" w:space="0" w:color="auto"/>
        <w:right w:val="none" w:sz="0" w:space="0" w:color="auto"/>
      </w:divBdr>
    </w:div>
    <w:div w:id="78991750">
      <w:bodyDiv w:val="1"/>
      <w:marLeft w:val="0"/>
      <w:marRight w:val="0"/>
      <w:marTop w:val="0"/>
      <w:marBottom w:val="0"/>
      <w:divBdr>
        <w:top w:val="none" w:sz="0" w:space="0" w:color="auto"/>
        <w:left w:val="none" w:sz="0" w:space="0" w:color="auto"/>
        <w:bottom w:val="none" w:sz="0" w:space="0" w:color="auto"/>
        <w:right w:val="none" w:sz="0" w:space="0" w:color="auto"/>
      </w:divBdr>
    </w:div>
    <w:div w:id="79524632">
      <w:bodyDiv w:val="1"/>
      <w:marLeft w:val="0"/>
      <w:marRight w:val="0"/>
      <w:marTop w:val="0"/>
      <w:marBottom w:val="0"/>
      <w:divBdr>
        <w:top w:val="none" w:sz="0" w:space="0" w:color="auto"/>
        <w:left w:val="none" w:sz="0" w:space="0" w:color="auto"/>
        <w:bottom w:val="none" w:sz="0" w:space="0" w:color="auto"/>
        <w:right w:val="none" w:sz="0" w:space="0" w:color="auto"/>
      </w:divBdr>
    </w:div>
    <w:div w:id="79760831">
      <w:bodyDiv w:val="1"/>
      <w:marLeft w:val="0"/>
      <w:marRight w:val="0"/>
      <w:marTop w:val="0"/>
      <w:marBottom w:val="0"/>
      <w:divBdr>
        <w:top w:val="none" w:sz="0" w:space="0" w:color="auto"/>
        <w:left w:val="none" w:sz="0" w:space="0" w:color="auto"/>
        <w:bottom w:val="none" w:sz="0" w:space="0" w:color="auto"/>
        <w:right w:val="none" w:sz="0" w:space="0" w:color="auto"/>
      </w:divBdr>
    </w:div>
    <w:div w:id="82575622">
      <w:bodyDiv w:val="1"/>
      <w:marLeft w:val="0"/>
      <w:marRight w:val="0"/>
      <w:marTop w:val="0"/>
      <w:marBottom w:val="0"/>
      <w:divBdr>
        <w:top w:val="none" w:sz="0" w:space="0" w:color="auto"/>
        <w:left w:val="none" w:sz="0" w:space="0" w:color="auto"/>
        <w:bottom w:val="none" w:sz="0" w:space="0" w:color="auto"/>
        <w:right w:val="none" w:sz="0" w:space="0" w:color="auto"/>
      </w:divBdr>
    </w:div>
    <w:div w:id="84109679">
      <w:bodyDiv w:val="1"/>
      <w:marLeft w:val="0"/>
      <w:marRight w:val="0"/>
      <w:marTop w:val="0"/>
      <w:marBottom w:val="0"/>
      <w:divBdr>
        <w:top w:val="none" w:sz="0" w:space="0" w:color="auto"/>
        <w:left w:val="none" w:sz="0" w:space="0" w:color="auto"/>
        <w:bottom w:val="none" w:sz="0" w:space="0" w:color="auto"/>
        <w:right w:val="none" w:sz="0" w:space="0" w:color="auto"/>
      </w:divBdr>
    </w:div>
    <w:div w:id="91753252">
      <w:bodyDiv w:val="1"/>
      <w:marLeft w:val="0"/>
      <w:marRight w:val="0"/>
      <w:marTop w:val="0"/>
      <w:marBottom w:val="0"/>
      <w:divBdr>
        <w:top w:val="none" w:sz="0" w:space="0" w:color="auto"/>
        <w:left w:val="none" w:sz="0" w:space="0" w:color="auto"/>
        <w:bottom w:val="none" w:sz="0" w:space="0" w:color="auto"/>
        <w:right w:val="none" w:sz="0" w:space="0" w:color="auto"/>
      </w:divBdr>
    </w:div>
    <w:div w:id="92633350">
      <w:bodyDiv w:val="1"/>
      <w:marLeft w:val="0"/>
      <w:marRight w:val="0"/>
      <w:marTop w:val="0"/>
      <w:marBottom w:val="0"/>
      <w:divBdr>
        <w:top w:val="none" w:sz="0" w:space="0" w:color="auto"/>
        <w:left w:val="none" w:sz="0" w:space="0" w:color="auto"/>
        <w:bottom w:val="none" w:sz="0" w:space="0" w:color="auto"/>
        <w:right w:val="none" w:sz="0" w:space="0" w:color="auto"/>
      </w:divBdr>
    </w:div>
    <w:div w:id="93670628">
      <w:bodyDiv w:val="1"/>
      <w:marLeft w:val="0"/>
      <w:marRight w:val="0"/>
      <w:marTop w:val="0"/>
      <w:marBottom w:val="0"/>
      <w:divBdr>
        <w:top w:val="none" w:sz="0" w:space="0" w:color="auto"/>
        <w:left w:val="none" w:sz="0" w:space="0" w:color="auto"/>
        <w:bottom w:val="none" w:sz="0" w:space="0" w:color="auto"/>
        <w:right w:val="none" w:sz="0" w:space="0" w:color="auto"/>
      </w:divBdr>
    </w:div>
    <w:div w:id="97484599">
      <w:bodyDiv w:val="1"/>
      <w:marLeft w:val="0"/>
      <w:marRight w:val="0"/>
      <w:marTop w:val="0"/>
      <w:marBottom w:val="0"/>
      <w:divBdr>
        <w:top w:val="none" w:sz="0" w:space="0" w:color="auto"/>
        <w:left w:val="none" w:sz="0" w:space="0" w:color="auto"/>
        <w:bottom w:val="none" w:sz="0" w:space="0" w:color="auto"/>
        <w:right w:val="none" w:sz="0" w:space="0" w:color="auto"/>
      </w:divBdr>
    </w:div>
    <w:div w:id="97918062">
      <w:bodyDiv w:val="1"/>
      <w:marLeft w:val="0"/>
      <w:marRight w:val="0"/>
      <w:marTop w:val="0"/>
      <w:marBottom w:val="0"/>
      <w:divBdr>
        <w:top w:val="none" w:sz="0" w:space="0" w:color="auto"/>
        <w:left w:val="none" w:sz="0" w:space="0" w:color="auto"/>
        <w:bottom w:val="none" w:sz="0" w:space="0" w:color="auto"/>
        <w:right w:val="none" w:sz="0" w:space="0" w:color="auto"/>
      </w:divBdr>
    </w:div>
    <w:div w:id="103156953">
      <w:bodyDiv w:val="1"/>
      <w:marLeft w:val="0"/>
      <w:marRight w:val="0"/>
      <w:marTop w:val="0"/>
      <w:marBottom w:val="0"/>
      <w:divBdr>
        <w:top w:val="none" w:sz="0" w:space="0" w:color="auto"/>
        <w:left w:val="none" w:sz="0" w:space="0" w:color="auto"/>
        <w:bottom w:val="none" w:sz="0" w:space="0" w:color="auto"/>
        <w:right w:val="none" w:sz="0" w:space="0" w:color="auto"/>
      </w:divBdr>
    </w:div>
    <w:div w:id="104354376">
      <w:bodyDiv w:val="1"/>
      <w:marLeft w:val="0"/>
      <w:marRight w:val="0"/>
      <w:marTop w:val="0"/>
      <w:marBottom w:val="0"/>
      <w:divBdr>
        <w:top w:val="none" w:sz="0" w:space="0" w:color="auto"/>
        <w:left w:val="none" w:sz="0" w:space="0" w:color="auto"/>
        <w:bottom w:val="none" w:sz="0" w:space="0" w:color="auto"/>
        <w:right w:val="none" w:sz="0" w:space="0" w:color="auto"/>
      </w:divBdr>
    </w:div>
    <w:div w:id="105853254">
      <w:bodyDiv w:val="1"/>
      <w:marLeft w:val="0"/>
      <w:marRight w:val="0"/>
      <w:marTop w:val="0"/>
      <w:marBottom w:val="0"/>
      <w:divBdr>
        <w:top w:val="none" w:sz="0" w:space="0" w:color="auto"/>
        <w:left w:val="none" w:sz="0" w:space="0" w:color="auto"/>
        <w:bottom w:val="none" w:sz="0" w:space="0" w:color="auto"/>
        <w:right w:val="none" w:sz="0" w:space="0" w:color="auto"/>
      </w:divBdr>
    </w:div>
    <w:div w:id="106317897">
      <w:bodyDiv w:val="1"/>
      <w:marLeft w:val="0"/>
      <w:marRight w:val="0"/>
      <w:marTop w:val="0"/>
      <w:marBottom w:val="0"/>
      <w:divBdr>
        <w:top w:val="none" w:sz="0" w:space="0" w:color="auto"/>
        <w:left w:val="none" w:sz="0" w:space="0" w:color="auto"/>
        <w:bottom w:val="none" w:sz="0" w:space="0" w:color="auto"/>
        <w:right w:val="none" w:sz="0" w:space="0" w:color="auto"/>
      </w:divBdr>
    </w:div>
    <w:div w:id="106655408">
      <w:bodyDiv w:val="1"/>
      <w:marLeft w:val="0"/>
      <w:marRight w:val="0"/>
      <w:marTop w:val="0"/>
      <w:marBottom w:val="0"/>
      <w:divBdr>
        <w:top w:val="none" w:sz="0" w:space="0" w:color="auto"/>
        <w:left w:val="none" w:sz="0" w:space="0" w:color="auto"/>
        <w:bottom w:val="none" w:sz="0" w:space="0" w:color="auto"/>
        <w:right w:val="none" w:sz="0" w:space="0" w:color="auto"/>
      </w:divBdr>
    </w:div>
    <w:div w:id="106899042">
      <w:bodyDiv w:val="1"/>
      <w:marLeft w:val="0"/>
      <w:marRight w:val="0"/>
      <w:marTop w:val="0"/>
      <w:marBottom w:val="0"/>
      <w:divBdr>
        <w:top w:val="none" w:sz="0" w:space="0" w:color="auto"/>
        <w:left w:val="none" w:sz="0" w:space="0" w:color="auto"/>
        <w:bottom w:val="none" w:sz="0" w:space="0" w:color="auto"/>
        <w:right w:val="none" w:sz="0" w:space="0" w:color="auto"/>
      </w:divBdr>
    </w:div>
    <w:div w:id="110519893">
      <w:bodyDiv w:val="1"/>
      <w:marLeft w:val="0"/>
      <w:marRight w:val="0"/>
      <w:marTop w:val="0"/>
      <w:marBottom w:val="0"/>
      <w:divBdr>
        <w:top w:val="none" w:sz="0" w:space="0" w:color="auto"/>
        <w:left w:val="none" w:sz="0" w:space="0" w:color="auto"/>
        <w:bottom w:val="none" w:sz="0" w:space="0" w:color="auto"/>
        <w:right w:val="none" w:sz="0" w:space="0" w:color="auto"/>
      </w:divBdr>
    </w:div>
    <w:div w:id="122042409">
      <w:bodyDiv w:val="1"/>
      <w:marLeft w:val="0"/>
      <w:marRight w:val="0"/>
      <w:marTop w:val="0"/>
      <w:marBottom w:val="0"/>
      <w:divBdr>
        <w:top w:val="none" w:sz="0" w:space="0" w:color="auto"/>
        <w:left w:val="none" w:sz="0" w:space="0" w:color="auto"/>
        <w:bottom w:val="none" w:sz="0" w:space="0" w:color="auto"/>
        <w:right w:val="none" w:sz="0" w:space="0" w:color="auto"/>
      </w:divBdr>
    </w:div>
    <w:div w:id="126826307">
      <w:bodyDiv w:val="1"/>
      <w:marLeft w:val="0"/>
      <w:marRight w:val="0"/>
      <w:marTop w:val="0"/>
      <w:marBottom w:val="0"/>
      <w:divBdr>
        <w:top w:val="none" w:sz="0" w:space="0" w:color="auto"/>
        <w:left w:val="none" w:sz="0" w:space="0" w:color="auto"/>
        <w:bottom w:val="none" w:sz="0" w:space="0" w:color="auto"/>
        <w:right w:val="none" w:sz="0" w:space="0" w:color="auto"/>
      </w:divBdr>
    </w:div>
    <w:div w:id="128136074">
      <w:bodyDiv w:val="1"/>
      <w:marLeft w:val="0"/>
      <w:marRight w:val="0"/>
      <w:marTop w:val="0"/>
      <w:marBottom w:val="0"/>
      <w:divBdr>
        <w:top w:val="none" w:sz="0" w:space="0" w:color="auto"/>
        <w:left w:val="none" w:sz="0" w:space="0" w:color="auto"/>
        <w:bottom w:val="none" w:sz="0" w:space="0" w:color="auto"/>
        <w:right w:val="none" w:sz="0" w:space="0" w:color="auto"/>
      </w:divBdr>
    </w:div>
    <w:div w:id="128983903">
      <w:bodyDiv w:val="1"/>
      <w:marLeft w:val="0"/>
      <w:marRight w:val="0"/>
      <w:marTop w:val="0"/>
      <w:marBottom w:val="0"/>
      <w:divBdr>
        <w:top w:val="none" w:sz="0" w:space="0" w:color="auto"/>
        <w:left w:val="none" w:sz="0" w:space="0" w:color="auto"/>
        <w:bottom w:val="none" w:sz="0" w:space="0" w:color="auto"/>
        <w:right w:val="none" w:sz="0" w:space="0" w:color="auto"/>
      </w:divBdr>
    </w:div>
    <w:div w:id="130103596">
      <w:bodyDiv w:val="1"/>
      <w:marLeft w:val="0"/>
      <w:marRight w:val="0"/>
      <w:marTop w:val="0"/>
      <w:marBottom w:val="0"/>
      <w:divBdr>
        <w:top w:val="none" w:sz="0" w:space="0" w:color="auto"/>
        <w:left w:val="none" w:sz="0" w:space="0" w:color="auto"/>
        <w:bottom w:val="none" w:sz="0" w:space="0" w:color="auto"/>
        <w:right w:val="none" w:sz="0" w:space="0" w:color="auto"/>
      </w:divBdr>
    </w:div>
    <w:div w:id="138618692">
      <w:bodyDiv w:val="1"/>
      <w:marLeft w:val="0"/>
      <w:marRight w:val="0"/>
      <w:marTop w:val="0"/>
      <w:marBottom w:val="0"/>
      <w:divBdr>
        <w:top w:val="none" w:sz="0" w:space="0" w:color="auto"/>
        <w:left w:val="none" w:sz="0" w:space="0" w:color="auto"/>
        <w:bottom w:val="none" w:sz="0" w:space="0" w:color="auto"/>
        <w:right w:val="none" w:sz="0" w:space="0" w:color="auto"/>
      </w:divBdr>
    </w:div>
    <w:div w:id="141773651">
      <w:bodyDiv w:val="1"/>
      <w:marLeft w:val="0"/>
      <w:marRight w:val="0"/>
      <w:marTop w:val="0"/>
      <w:marBottom w:val="0"/>
      <w:divBdr>
        <w:top w:val="none" w:sz="0" w:space="0" w:color="auto"/>
        <w:left w:val="none" w:sz="0" w:space="0" w:color="auto"/>
        <w:bottom w:val="none" w:sz="0" w:space="0" w:color="auto"/>
        <w:right w:val="none" w:sz="0" w:space="0" w:color="auto"/>
      </w:divBdr>
    </w:div>
    <w:div w:id="143209239">
      <w:bodyDiv w:val="1"/>
      <w:marLeft w:val="0"/>
      <w:marRight w:val="0"/>
      <w:marTop w:val="0"/>
      <w:marBottom w:val="0"/>
      <w:divBdr>
        <w:top w:val="none" w:sz="0" w:space="0" w:color="auto"/>
        <w:left w:val="none" w:sz="0" w:space="0" w:color="auto"/>
        <w:bottom w:val="none" w:sz="0" w:space="0" w:color="auto"/>
        <w:right w:val="none" w:sz="0" w:space="0" w:color="auto"/>
      </w:divBdr>
    </w:div>
    <w:div w:id="143667514">
      <w:bodyDiv w:val="1"/>
      <w:marLeft w:val="0"/>
      <w:marRight w:val="0"/>
      <w:marTop w:val="0"/>
      <w:marBottom w:val="0"/>
      <w:divBdr>
        <w:top w:val="none" w:sz="0" w:space="0" w:color="auto"/>
        <w:left w:val="none" w:sz="0" w:space="0" w:color="auto"/>
        <w:bottom w:val="none" w:sz="0" w:space="0" w:color="auto"/>
        <w:right w:val="none" w:sz="0" w:space="0" w:color="auto"/>
      </w:divBdr>
    </w:div>
    <w:div w:id="149829365">
      <w:bodyDiv w:val="1"/>
      <w:marLeft w:val="0"/>
      <w:marRight w:val="0"/>
      <w:marTop w:val="0"/>
      <w:marBottom w:val="0"/>
      <w:divBdr>
        <w:top w:val="none" w:sz="0" w:space="0" w:color="auto"/>
        <w:left w:val="none" w:sz="0" w:space="0" w:color="auto"/>
        <w:bottom w:val="none" w:sz="0" w:space="0" w:color="auto"/>
        <w:right w:val="none" w:sz="0" w:space="0" w:color="auto"/>
      </w:divBdr>
    </w:div>
    <w:div w:id="151872119">
      <w:bodyDiv w:val="1"/>
      <w:marLeft w:val="0"/>
      <w:marRight w:val="0"/>
      <w:marTop w:val="0"/>
      <w:marBottom w:val="0"/>
      <w:divBdr>
        <w:top w:val="none" w:sz="0" w:space="0" w:color="auto"/>
        <w:left w:val="none" w:sz="0" w:space="0" w:color="auto"/>
        <w:bottom w:val="none" w:sz="0" w:space="0" w:color="auto"/>
        <w:right w:val="none" w:sz="0" w:space="0" w:color="auto"/>
      </w:divBdr>
    </w:div>
    <w:div w:id="155650192">
      <w:bodyDiv w:val="1"/>
      <w:marLeft w:val="0"/>
      <w:marRight w:val="0"/>
      <w:marTop w:val="0"/>
      <w:marBottom w:val="0"/>
      <w:divBdr>
        <w:top w:val="none" w:sz="0" w:space="0" w:color="auto"/>
        <w:left w:val="none" w:sz="0" w:space="0" w:color="auto"/>
        <w:bottom w:val="none" w:sz="0" w:space="0" w:color="auto"/>
        <w:right w:val="none" w:sz="0" w:space="0" w:color="auto"/>
      </w:divBdr>
    </w:div>
    <w:div w:id="160122903">
      <w:bodyDiv w:val="1"/>
      <w:marLeft w:val="0"/>
      <w:marRight w:val="0"/>
      <w:marTop w:val="0"/>
      <w:marBottom w:val="0"/>
      <w:divBdr>
        <w:top w:val="none" w:sz="0" w:space="0" w:color="auto"/>
        <w:left w:val="none" w:sz="0" w:space="0" w:color="auto"/>
        <w:bottom w:val="none" w:sz="0" w:space="0" w:color="auto"/>
        <w:right w:val="none" w:sz="0" w:space="0" w:color="auto"/>
      </w:divBdr>
    </w:div>
    <w:div w:id="161316679">
      <w:bodyDiv w:val="1"/>
      <w:marLeft w:val="0"/>
      <w:marRight w:val="0"/>
      <w:marTop w:val="0"/>
      <w:marBottom w:val="0"/>
      <w:divBdr>
        <w:top w:val="none" w:sz="0" w:space="0" w:color="auto"/>
        <w:left w:val="none" w:sz="0" w:space="0" w:color="auto"/>
        <w:bottom w:val="none" w:sz="0" w:space="0" w:color="auto"/>
        <w:right w:val="none" w:sz="0" w:space="0" w:color="auto"/>
      </w:divBdr>
    </w:div>
    <w:div w:id="165096673">
      <w:bodyDiv w:val="1"/>
      <w:marLeft w:val="0"/>
      <w:marRight w:val="0"/>
      <w:marTop w:val="0"/>
      <w:marBottom w:val="0"/>
      <w:divBdr>
        <w:top w:val="none" w:sz="0" w:space="0" w:color="auto"/>
        <w:left w:val="none" w:sz="0" w:space="0" w:color="auto"/>
        <w:bottom w:val="none" w:sz="0" w:space="0" w:color="auto"/>
        <w:right w:val="none" w:sz="0" w:space="0" w:color="auto"/>
      </w:divBdr>
    </w:div>
    <w:div w:id="165098465">
      <w:bodyDiv w:val="1"/>
      <w:marLeft w:val="0"/>
      <w:marRight w:val="0"/>
      <w:marTop w:val="0"/>
      <w:marBottom w:val="0"/>
      <w:divBdr>
        <w:top w:val="none" w:sz="0" w:space="0" w:color="auto"/>
        <w:left w:val="none" w:sz="0" w:space="0" w:color="auto"/>
        <w:bottom w:val="none" w:sz="0" w:space="0" w:color="auto"/>
        <w:right w:val="none" w:sz="0" w:space="0" w:color="auto"/>
      </w:divBdr>
    </w:div>
    <w:div w:id="166868211">
      <w:bodyDiv w:val="1"/>
      <w:marLeft w:val="0"/>
      <w:marRight w:val="0"/>
      <w:marTop w:val="0"/>
      <w:marBottom w:val="0"/>
      <w:divBdr>
        <w:top w:val="none" w:sz="0" w:space="0" w:color="auto"/>
        <w:left w:val="none" w:sz="0" w:space="0" w:color="auto"/>
        <w:bottom w:val="none" w:sz="0" w:space="0" w:color="auto"/>
        <w:right w:val="none" w:sz="0" w:space="0" w:color="auto"/>
      </w:divBdr>
    </w:div>
    <w:div w:id="169178424">
      <w:bodyDiv w:val="1"/>
      <w:marLeft w:val="0"/>
      <w:marRight w:val="0"/>
      <w:marTop w:val="0"/>
      <w:marBottom w:val="0"/>
      <w:divBdr>
        <w:top w:val="none" w:sz="0" w:space="0" w:color="auto"/>
        <w:left w:val="none" w:sz="0" w:space="0" w:color="auto"/>
        <w:bottom w:val="none" w:sz="0" w:space="0" w:color="auto"/>
        <w:right w:val="none" w:sz="0" w:space="0" w:color="auto"/>
      </w:divBdr>
    </w:div>
    <w:div w:id="169832717">
      <w:bodyDiv w:val="1"/>
      <w:marLeft w:val="0"/>
      <w:marRight w:val="0"/>
      <w:marTop w:val="0"/>
      <w:marBottom w:val="0"/>
      <w:divBdr>
        <w:top w:val="none" w:sz="0" w:space="0" w:color="auto"/>
        <w:left w:val="none" w:sz="0" w:space="0" w:color="auto"/>
        <w:bottom w:val="none" w:sz="0" w:space="0" w:color="auto"/>
        <w:right w:val="none" w:sz="0" w:space="0" w:color="auto"/>
      </w:divBdr>
    </w:div>
    <w:div w:id="179897567">
      <w:bodyDiv w:val="1"/>
      <w:marLeft w:val="0"/>
      <w:marRight w:val="0"/>
      <w:marTop w:val="0"/>
      <w:marBottom w:val="0"/>
      <w:divBdr>
        <w:top w:val="none" w:sz="0" w:space="0" w:color="auto"/>
        <w:left w:val="none" w:sz="0" w:space="0" w:color="auto"/>
        <w:bottom w:val="none" w:sz="0" w:space="0" w:color="auto"/>
        <w:right w:val="none" w:sz="0" w:space="0" w:color="auto"/>
      </w:divBdr>
    </w:div>
    <w:div w:id="181087687">
      <w:bodyDiv w:val="1"/>
      <w:marLeft w:val="0"/>
      <w:marRight w:val="0"/>
      <w:marTop w:val="0"/>
      <w:marBottom w:val="0"/>
      <w:divBdr>
        <w:top w:val="none" w:sz="0" w:space="0" w:color="auto"/>
        <w:left w:val="none" w:sz="0" w:space="0" w:color="auto"/>
        <w:bottom w:val="none" w:sz="0" w:space="0" w:color="auto"/>
        <w:right w:val="none" w:sz="0" w:space="0" w:color="auto"/>
      </w:divBdr>
    </w:div>
    <w:div w:id="181363876">
      <w:bodyDiv w:val="1"/>
      <w:marLeft w:val="0"/>
      <w:marRight w:val="0"/>
      <w:marTop w:val="0"/>
      <w:marBottom w:val="0"/>
      <w:divBdr>
        <w:top w:val="none" w:sz="0" w:space="0" w:color="auto"/>
        <w:left w:val="none" w:sz="0" w:space="0" w:color="auto"/>
        <w:bottom w:val="none" w:sz="0" w:space="0" w:color="auto"/>
        <w:right w:val="none" w:sz="0" w:space="0" w:color="auto"/>
      </w:divBdr>
    </w:div>
    <w:div w:id="191261681">
      <w:bodyDiv w:val="1"/>
      <w:marLeft w:val="0"/>
      <w:marRight w:val="0"/>
      <w:marTop w:val="0"/>
      <w:marBottom w:val="0"/>
      <w:divBdr>
        <w:top w:val="none" w:sz="0" w:space="0" w:color="auto"/>
        <w:left w:val="none" w:sz="0" w:space="0" w:color="auto"/>
        <w:bottom w:val="none" w:sz="0" w:space="0" w:color="auto"/>
        <w:right w:val="none" w:sz="0" w:space="0" w:color="auto"/>
      </w:divBdr>
    </w:div>
    <w:div w:id="194004649">
      <w:bodyDiv w:val="1"/>
      <w:marLeft w:val="0"/>
      <w:marRight w:val="0"/>
      <w:marTop w:val="0"/>
      <w:marBottom w:val="0"/>
      <w:divBdr>
        <w:top w:val="none" w:sz="0" w:space="0" w:color="auto"/>
        <w:left w:val="none" w:sz="0" w:space="0" w:color="auto"/>
        <w:bottom w:val="none" w:sz="0" w:space="0" w:color="auto"/>
        <w:right w:val="none" w:sz="0" w:space="0" w:color="auto"/>
      </w:divBdr>
    </w:div>
    <w:div w:id="198393265">
      <w:bodyDiv w:val="1"/>
      <w:marLeft w:val="0"/>
      <w:marRight w:val="0"/>
      <w:marTop w:val="0"/>
      <w:marBottom w:val="0"/>
      <w:divBdr>
        <w:top w:val="none" w:sz="0" w:space="0" w:color="auto"/>
        <w:left w:val="none" w:sz="0" w:space="0" w:color="auto"/>
        <w:bottom w:val="none" w:sz="0" w:space="0" w:color="auto"/>
        <w:right w:val="none" w:sz="0" w:space="0" w:color="auto"/>
      </w:divBdr>
    </w:div>
    <w:div w:id="198787322">
      <w:bodyDiv w:val="1"/>
      <w:marLeft w:val="0"/>
      <w:marRight w:val="0"/>
      <w:marTop w:val="0"/>
      <w:marBottom w:val="0"/>
      <w:divBdr>
        <w:top w:val="none" w:sz="0" w:space="0" w:color="auto"/>
        <w:left w:val="none" w:sz="0" w:space="0" w:color="auto"/>
        <w:bottom w:val="none" w:sz="0" w:space="0" w:color="auto"/>
        <w:right w:val="none" w:sz="0" w:space="0" w:color="auto"/>
      </w:divBdr>
    </w:div>
    <w:div w:id="200439114">
      <w:bodyDiv w:val="1"/>
      <w:marLeft w:val="0"/>
      <w:marRight w:val="0"/>
      <w:marTop w:val="0"/>
      <w:marBottom w:val="0"/>
      <w:divBdr>
        <w:top w:val="none" w:sz="0" w:space="0" w:color="auto"/>
        <w:left w:val="none" w:sz="0" w:space="0" w:color="auto"/>
        <w:bottom w:val="none" w:sz="0" w:space="0" w:color="auto"/>
        <w:right w:val="none" w:sz="0" w:space="0" w:color="auto"/>
      </w:divBdr>
    </w:div>
    <w:div w:id="201017971">
      <w:bodyDiv w:val="1"/>
      <w:marLeft w:val="0"/>
      <w:marRight w:val="0"/>
      <w:marTop w:val="0"/>
      <w:marBottom w:val="0"/>
      <w:divBdr>
        <w:top w:val="none" w:sz="0" w:space="0" w:color="auto"/>
        <w:left w:val="none" w:sz="0" w:space="0" w:color="auto"/>
        <w:bottom w:val="none" w:sz="0" w:space="0" w:color="auto"/>
        <w:right w:val="none" w:sz="0" w:space="0" w:color="auto"/>
      </w:divBdr>
    </w:div>
    <w:div w:id="202834196">
      <w:bodyDiv w:val="1"/>
      <w:marLeft w:val="0"/>
      <w:marRight w:val="0"/>
      <w:marTop w:val="0"/>
      <w:marBottom w:val="0"/>
      <w:divBdr>
        <w:top w:val="none" w:sz="0" w:space="0" w:color="auto"/>
        <w:left w:val="none" w:sz="0" w:space="0" w:color="auto"/>
        <w:bottom w:val="none" w:sz="0" w:space="0" w:color="auto"/>
        <w:right w:val="none" w:sz="0" w:space="0" w:color="auto"/>
      </w:divBdr>
    </w:div>
    <w:div w:id="203300197">
      <w:bodyDiv w:val="1"/>
      <w:marLeft w:val="0"/>
      <w:marRight w:val="0"/>
      <w:marTop w:val="0"/>
      <w:marBottom w:val="0"/>
      <w:divBdr>
        <w:top w:val="none" w:sz="0" w:space="0" w:color="auto"/>
        <w:left w:val="none" w:sz="0" w:space="0" w:color="auto"/>
        <w:bottom w:val="none" w:sz="0" w:space="0" w:color="auto"/>
        <w:right w:val="none" w:sz="0" w:space="0" w:color="auto"/>
      </w:divBdr>
    </w:div>
    <w:div w:id="204954235">
      <w:bodyDiv w:val="1"/>
      <w:marLeft w:val="0"/>
      <w:marRight w:val="0"/>
      <w:marTop w:val="0"/>
      <w:marBottom w:val="0"/>
      <w:divBdr>
        <w:top w:val="none" w:sz="0" w:space="0" w:color="auto"/>
        <w:left w:val="none" w:sz="0" w:space="0" w:color="auto"/>
        <w:bottom w:val="none" w:sz="0" w:space="0" w:color="auto"/>
        <w:right w:val="none" w:sz="0" w:space="0" w:color="auto"/>
      </w:divBdr>
    </w:div>
    <w:div w:id="207304112">
      <w:bodyDiv w:val="1"/>
      <w:marLeft w:val="0"/>
      <w:marRight w:val="0"/>
      <w:marTop w:val="0"/>
      <w:marBottom w:val="0"/>
      <w:divBdr>
        <w:top w:val="none" w:sz="0" w:space="0" w:color="auto"/>
        <w:left w:val="none" w:sz="0" w:space="0" w:color="auto"/>
        <w:bottom w:val="none" w:sz="0" w:space="0" w:color="auto"/>
        <w:right w:val="none" w:sz="0" w:space="0" w:color="auto"/>
      </w:divBdr>
    </w:div>
    <w:div w:id="209613739">
      <w:bodyDiv w:val="1"/>
      <w:marLeft w:val="0"/>
      <w:marRight w:val="0"/>
      <w:marTop w:val="0"/>
      <w:marBottom w:val="0"/>
      <w:divBdr>
        <w:top w:val="none" w:sz="0" w:space="0" w:color="auto"/>
        <w:left w:val="none" w:sz="0" w:space="0" w:color="auto"/>
        <w:bottom w:val="none" w:sz="0" w:space="0" w:color="auto"/>
        <w:right w:val="none" w:sz="0" w:space="0" w:color="auto"/>
      </w:divBdr>
    </w:div>
    <w:div w:id="209810600">
      <w:bodyDiv w:val="1"/>
      <w:marLeft w:val="0"/>
      <w:marRight w:val="0"/>
      <w:marTop w:val="0"/>
      <w:marBottom w:val="0"/>
      <w:divBdr>
        <w:top w:val="none" w:sz="0" w:space="0" w:color="auto"/>
        <w:left w:val="none" w:sz="0" w:space="0" w:color="auto"/>
        <w:bottom w:val="none" w:sz="0" w:space="0" w:color="auto"/>
        <w:right w:val="none" w:sz="0" w:space="0" w:color="auto"/>
      </w:divBdr>
    </w:div>
    <w:div w:id="211886960">
      <w:bodyDiv w:val="1"/>
      <w:marLeft w:val="0"/>
      <w:marRight w:val="0"/>
      <w:marTop w:val="0"/>
      <w:marBottom w:val="0"/>
      <w:divBdr>
        <w:top w:val="none" w:sz="0" w:space="0" w:color="auto"/>
        <w:left w:val="none" w:sz="0" w:space="0" w:color="auto"/>
        <w:bottom w:val="none" w:sz="0" w:space="0" w:color="auto"/>
        <w:right w:val="none" w:sz="0" w:space="0" w:color="auto"/>
      </w:divBdr>
    </w:div>
    <w:div w:id="218513558">
      <w:bodyDiv w:val="1"/>
      <w:marLeft w:val="0"/>
      <w:marRight w:val="0"/>
      <w:marTop w:val="0"/>
      <w:marBottom w:val="0"/>
      <w:divBdr>
        <w:top w:val="none" w:sz="0" w:space="0" w:color="auto"/>
        <w:left w:val="none" w:sz="0" w:space="0" w:color="auto"/>
        <w:bottom w:val="none" w:sz="0" w:space="0" w:color="auto"/>
        <w:right w:val="none" w:sz="0" w:space="0" w:color="auto"/>
      </w:divBdr>
    </w:div>
    <w:div w:id="221411049">
      <w:bodyDiv w:val="1"/>
      <w:marLeft w:val="0"/>
      <w:marRight w:val="0"/>
      <w:marTop w:val="0"/>
      <w:marBottom w:val="0"/>
      <w:divBdr>
        <w:top w:val="none" w:sz="0" w:space="0" w:color="auto"/>
        <w:left w:val="none" w:sz="0" w:space="0" w:color="auto"/>
        <w:bottom w:val="none" w:sz="0" w:space="0" w:color="auto"/>
        <w:right w:val="none" w:sz="0" w:space="0" w:color="auto"/>
      </w:divBdr>
    </w:div>
    <w:div w:id="221869002">
      <w:bodyDiv w:val="1"/>
      <w:marLeft w:val="0"/>
      <w:marRight w:val="0"/>
      <w:marTop w:val="0"/>
      <w:marBottom w:val="0"/>
      <w:divBdr>
        <w:top w:val="none" w:sz="0" w:space="0" w:color="auto"/>
        <w:left w:val="none" w:sz="0" w:space="0" w:color="auto"/>
        <w:bottom w:val="none" w:sz="0" w:space="0" w:color="auto"/>
        <w:right w:val="none" w:sz="0" w:space="0" w:color="auto"/>
      </w:divBdr>
    </w:div>
    <w:div w:id="222642059">
      <w:bodyDiv w:val="1"/>
      <w:marLeft w:val="0"/>
      <w:marRight w:val="0"/>
      <w:marTop w:val="0"/>
      <w:marBottom w:val="0"/>
      <w:divBdr>
        <w:top w:val="none" w:sz="0" w:space="0" w:color="auto"/>
        <w:left w:val="none" w:sz="0" w:space="0" w:color="auto"/>
        <w:bottom w:val="none" w:sz="0" w:space="0" w:color="auto"/>
        <w:right w:val="none" w:sz="0" w:space="0" w:color="auto"/>
      </w:divBdr>
    </w:div>
    <w:div w:id="223222068">
      <w:bodyDiv w:val="1"/>
      <w:marLeft w:val="0"/>
      <w:marRight w:val="0"/>
      <w:marTop w:val="0"/>
      <w:marBottom w:val="0"/>
      <w:divBdr>
        <w:top w:val="none" w:sz="0" w:space="0" w:color="auto"/>
        <w:left w:val="none" w:sz="0" w:space="0" w:color="auto"/>
        <w:bottom w:val="none" w:sz="0" w:space="0" w:color="auto"/>
        <w:right w:val="none" w:sz="0" w:space="0" w:color="auto"/>
      </w:divBdr>
    </w:div>
    <w:div w:id="226039946">
      <w:bodyDiv w:val="1"/>
      <w:marLeft w:val="0"/>
      <w:marRight w:val="0"/>
      <w:marTop w:val="0"/>
      <w:marBottom w:val="0"/>
      <w:divBdr>
        <w:top w:val="none" w:sz="0" w:space="0" w:color="auto"/>
        <w:left w:val="none" w:sz="0" w:space="0" w:color="auto"/>
        <w:bottom w:val="none" w:sz="0" w:space="0" w:color="auto"/>
        <w:right w:val="none" w:sz="0" w:space="0" w:color="auto"/>
      </w:divBdr>
    </w:div>
    <w:div w:id="232474873">
      <w:bodyDiv w:val="1"/>
      <w:marLeft w:val="0"/>
      <w:marRight w:val="0"/>
      <w:marTop w:val="0"/>
      <w:marBottom w:val="0"/>
      <w:divBdr>
        <w:top w:val="none" w:sz="0" w:space="0" w:color="auto"/>
        <w:left w:val="none" w:sz="0" w:space="0" w:color="auto"/>
        <w:bottom w:val="none" w:sz="0" w:space="0" w:color="auto"/>
        <w:right w:val="none" w:sz="0" w:space="0" w:color="auto"/>
      </w:divBdr>
    </w:div>
    <w:div w:id="233587980">
      <w:bodyDiv w:val="1"/>
      <w:marLeft w:val="0"/>
      <w:marRight w:val="0"/>
      <w:marTop w:val="0"/>
      <w:marBottom w:val="0"/>
      <w:divBdr>
        <w:top w:val="none" w:sz="0" w:space="0" w:color="auto"/>
        <w:left w:val="none" w:sz="0" w:space="0" w:color="auto"/>
        <w:bottom w:val="none" w:sz="0" w:space="0" w:color="auto"/>
        <w:right w:val="none" w:sz="0" w:space="0" w:color="auto"/>
      </w:divBdr>
    </w:div>
    <w:div w:id="235168259">
      <w:bodyDiv w:val="1"/>
      <w:marLeft w:val="0"/>
      <w:marRight w:val="0"/>
      <w:marTop w:val="0"/>
      <w:marBottom w:val="0"/>
      <w:divBdr>
        <w:top w:val="none" w:sz="0" w:space="0" w:color="auto"/>
        <w:left w:val="none" w:sz="0" w:space="0" w:color="auto"/>
        <w:bottom w:val="none" w:sz="0" w:space="0" w:color="auto"/>
        <w:right w:val="none" w:sz="0" w:space="0" w:color="auto"/>
      </w:divBdr>
    </w:div>
    <w:div w:id="236791647">
      <w:bodyDiv w:val="1"/>
      <w:marLeft w:val="0"/>
      <w:marRight w:val="0"/>
      <w:marTop w:val="0"/>
      <w:marBottom w:val="0"/>
      <w:divBdr>
        <w:top w:val="none" w:sz="0" w:space="0" w:color="auto"/>
        <w:left w:val="none" w:sz="0" w:space="0" w:color="auto"/>
        <w:bottom w:val="none" w:sz="0" w:space="0" w:color="auto"/>
        <w:right w:val="none" w:sz="0" w:space="0" w:color="auto"/>
      </w:divBdr>
    </w:div>
    <w:div w:id="240674804">
      <w:bodyDiv w:val="1"/>
      <w:marLeft w:val="0"/>
      <w:marRight w:val="0"/>
      <w:marTop w:val="0"/>
      <w:marBottom w:val="0"/>
      <w:divBdr>
        <w:top w:val="none" w:sz="0" w:space="0" w:color="auto"/>
        <w:left w:val="none" w:sz="0" w:space="0" w:color="auto"/>
        <w:bottom w:val="none" w:sz="0" w:space="0" w:color="auto"/>
        <w:right w:val="none" w:sz="0" w:space="0" w:color="auto"/>
      </w:divBdr>
    </w:div>
    <w:div w:id="241067491">
      <w:bodyDiv w:val="1"/>
      <w:marLeft w:val="0"/>
      <w:marRight w:val="0"/>
      <w:marTop w:val="0"/>
      <w:marBottom w:val="0"/>
      <w:divBdr>
        <w:top w:val="none" w:sz="0" w:space="0" w:color="auto"/>
        <w:left w:val="none" w:sz="0" w:space="0" w:color="auto"/>
        <w:bottom w:val="none" w:sz="0" w:space="0" w:color="auto"/>
        <w:right w:val="none" w:sz="0" w:space="0" w:color="auto"/>
      </w:divBdr>
    </w:div>
    <w:div w:id="241181909">
      <w:bodyDiv w:val="1"/>
      <w:marLeft w:val="0"/>
      <w:marRight w:val="0"/>
      <w:marTop w:val="0"/>
      <w:marBottom w:val="0"/>
      <w:divBdr>
        <w:top w:val="none" w:sz="0" w:space="0" w:color="auto"/>
        <w:left w:val="none" w:sz="0" w:space="0" w:color="auto"/>
        <w:bottom w:val="none" w:sz="0" w:space="0" w:color="auto"/>
        <w:right w:val="none" w:sz="0" w:space="0" w:color="auto"/>
      </w:divBdr>
    </w:div>
    <w:div w:id="254245893">
      <w:bodyDiv w:val="1"/>
      <w:marLeft w:val="0"/>
      <w:marRight w:val="0"/>
      <w:marTop w:val="0"/>
      <w:marBottom w:val="0"/>
      <w:divBdr>
        <w:top w:val="none" w:sz="0" w:space="0" w:color="auto"/>
        <w:left w:val="none" w:sz="0" w:space="0" w:color="auto"/>
        <w:bottom w:val="none" w:sz="0" w:space="0" w:color="auto"/>
        <w:right w:val="none" w:sz="0" w:space="0" w:color="auto"/>
      </w:divBdr>
    </w:div>
    <w:div w:id="254897550">
      <w:bodyDiv w:val="1"/>
      <w:marLeft w:val="0"/>
      <w:marRight w:val="0"/>
      <w:marTop w:val="0"/>
      <w:marBottom w:val="0"/>
      <w:divBdr>
        <w:top w:val="none" w:sz="0" w:space="0" w:color="auto"/>
        <w:left w:val="none" w:sz="0" w:space="0" w:color="auto"/>
        <w:bottom w:val="none" w:sz="0" w:space="0" w:color="auto"/>
        <w:right w:val="none" w:sz="0" w:space="0" w:color="auto"/>
      </w:divBdr>
    </w:div>
    <w:div w:id="256670368">
      <w:bodyDiv w:val="1"/>
      <w:marLeft w:val="0"/>
      <w:marRight w:val="0"/>
      <w:marTop w:val="0"/>
      <w:marBottom w:val="0"/>
      <w:divBdr>
        <w:top w:val="none" w:sz="0" w:space="0" w:color="auto"/>
        <w:left w:val="none" w:sz="0" w:space="0" w:color="auto"/>
        <w:bottom w:val="none" w:sz="0" w:space="0" w:color="auto"/>
        <w:right w:val="none" w:sz="0" w:space="0" w:color="auto"/>
      </w:divBdr>
    </w:div>
    <w:div w:id="259415785">
      <w:bodyDiv w:val="1"/>
      <w:marLeft w:val="0"/>
      <w:marRight w:val="0"/>
      <w:marTop w:val="0"/>
      <w:marBottom w:val="0"/>
      <w:divBdr>
        <w:top w:val="none" w:sz="0" w:space="0" w:color="auto"/>
        <w:left w:val="none" w:sz="0" w:space="0" w:color="auto"/>
        <w:bottom w:val="none" w:sz="0" w:space="0" w:color="auto"/>
        <w:right w:val="none" w:sz="0" w:space="0" w:color="auto"/>
      </w:divBdr>
    </w:div>
    <w:div w:id="259873326">
      <w:bodyDiv w:val="1"/>
      <w:marLeft w:val="0"/>
      <w:marRight w:val="0"/>
      <w:marTop w:val="0"/>
      <w:marBottom w:val="0"/>
      <w:divBdr>
        <w:top w:val="none" w:sz="0" w:space="0" w:color="auto"/>
        <w:left w:val="none" w:sz="0" w:space="0" w:color="auto"/>
        <w:bottom w:val="none" w:sz="0" w:space="0" w:color="auto"/>
        <w:right w:val="none" w:sz="0" w:space="0" w:color="auto"/>
      </w:divBdr>
    </w:div>
    <w:div w:id="259989131">
      <w:bodyDiv w:val="1"/>
      <w:marLeft w:val="0"/>
      <w:marRight w:val="0"/>
      <w:marTop w:val="0"/>
      <w:marBottom w:val="0"/>
      <w:divBdr>
        <w:top w:val="none" w:sz="0" w:space="0" w:color="auto"/>
        <w:left w:val="none" w:sz="0" w:space="0" w:color="auto"/>
        <w:bottom w:val="none" w:sz="0" w:space="0" w:color="auto"/>
        <w:right w:val="none" w:sz="0" w:space="0" w:color="auto"/>
      </w:divBdr>
    </w:div>
    <w:div w:id="261302026">
      <w:bodyDiv w:val="1"/>
      <w:marLeft w:val="0"/>
      <w:marRight w:val="0"/>
      <w:marTop w:val="0"/>
      <w:marBottom w:val="0"/>
      <w:divBdr>
        <w:top w:val="none" w:sz="0" w:space="0" w:color="auto"/>
        <w:left w:val="none" w:sz="0" w:space="0" w:color="auto"/>
        <w:bottom w:val="none" w:sz="0" w:space="0" w:color="auto"/>
        <w:right w:val="none" w:sz="0" w:space="0" w:color="auto"/>
      </w:divBdr>
    </w:div>
    <w:div w:id="265891708">
      <w:bodyDiv w:val="1"/>
      <w:marLeft w:val="0"/>
      <w:marRight w:val="0"/>
      <w:marTop w:val="0"/>
      <w:marBottom w:val="0"/>
      <w:divBdr>
        <w:top w:val="none" w:sz="0" w:space="0" w:color="auto"/>
        <w:left w:val="none" w:sz="0" w:space="0" w:color="auto"/>
        <w:bottom w:val="none" w:sz="0" w:space="0" w:color="auto"/>
        <w:right w:val="none" w:sz="0" w:space="0" w:color="auto"/>
      </w:divBdr>
    </w:div>
    <w:div w:id="269705001">
      <w:bodyDiv w:val="1"/>
      <w:marLeft w:val="0"/>
      <w:marRight w:val="0"/>
      <w:marTop w:val="0"/>
      <w:marBottom w:val="0"/>
      <w:divBdr>
        <w:top w:val="none" w:sz="0" w:space="0" w:color="auto"/>
        <w:left w:val="none" w:sz="0" w:space="0" w:color="auto"/>
        <w:bottom w:val="none" w:sz="0" w:space="0" w:color="auto"/>
        <w:right w:val="none" w:sz="0" w:space="0" w:color="auto"/>
      </w:divBdr>
    </w:div>
    <w:div w:id="278992985">
      <w:bodyDiv w:val="1"/>
      <w:marLeft w:val="0"/>
      <w:marRight w:val="0"/>
      <w:marTop w:val="0"/>
      <w:marBottom w:val="0"/>
      <w:divBdr>
        <w:top w:val="none" w:sz="0" w:space="0" w:color="auto"/>
        <w:left w:val="none" w:sz="0" w:space="0" w:color="auto"/>
        <w:bottom w:val="none" w:sz="0" w:space="0" w:color="auto"/>
        <w:right w:val="none" w:sz="0" w:space="0" w:color="auto"/>
      </w:divBdr>
    </w:div>
    <w:div w:id="280453008">
      <w:bodyDiv w:val="1"/>
      <w:marLeft w:val="0"/>
      <w:marRight w:val="0"/>
      <w:marTop w:val="0"/>
      <w:marBottom w:val="0"/>
      <w:divBdr>
        <w:top w:val="none" w:sz="0" w:space="0" w:color="auto"/>
        <w:left w:val="none" w:sz="0" w:space="0" w:color="auto"/>
        <w:bottom w:val="none" w:sz="0" w:space="0" w:color="auto"/>
        <w:right w:val="none" w:sz="0" w:space="0" w:color="auto"/>
      </w:divBdr>
    </w:div>
    <w:div w:id="283191921">
      <w:bodyDiv w:val="1"/>
      <w:marLeft w:val="0"/>
      <w:marRight w:val="0"/>
      <w:marTop w:val="0"/>
      <w:marBottom w:val="0"/>
      <w:divBdr>
        <w:top w:val="none" w:sz="0" w:space="0" w:color="auto"/>
        <w:left w:val="none" w:sz="0" w:space="0" w:color="auto"/>
        <w:bottom w:val="none" w:sz="0" w:space="0" w:color="auto"/>
        <w:right w:val="none" w:sz="0" w:space="0" w:color="auto"/>
      </w:divBdr>
      <w:divsChild>
        <w:div w:id="2452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623546">
      <w:bodyDiv w:val="1"/>
      <w:marLeft w:val="0"/>
      <w:marRight w:val="0"/>
      <w:marTop w:val="0"/>
      <w:marBottom w:val="0"/>
      <w:divBdr>
        <w:top w:val="none" w:sz="0" w:space="0" w:color="auto"/>
        <w:left w:val="none" w:sz="0" w:space="0" w:color="auto"/>
        <w:bottom w:val="none" w:sz="0" w:space="0" w:color="auto"/>
        <w:right w:val="none" w:sz="0" w:space="0" w:color="auto"/>
      </w:divBdr>
    </w:div>
    <w:div w:id="286399252">
      <w:bodyDiv w:val="1"/>
      <w:marLeft w:val="0"/>
      <w:marRight w:val="0"/>
      <w:marTop w:val="0"/>
      <w:marBottom w:val="0"/>
      <w:divBdr>
        <w:top w:val="none" w:sz="0" w:space="0" w:color="auto"/>
        <w:left w:val="none" w:sz="0" w:space="0" w:color="auto"/>
        <w:bottom w:val="none" w:sz="0" w:space="0" w:color="auto"/>
        <w:right w:val="none" w:sz="0" w:space="0" w:color="auto"/>
      </w:divBdr>
    </w:div>
    <w:div w:id="287856529">
      <w:bodyDiv w:val="1"/>
      <w:marLeft w:val="0"/>
      <w:marRight w:val="0"/>
      <w:marTop w:val="0"/>
      <w:marBottom w:val="0"/>
      <w:divBdr>
        <w:top w:val="none" w:sz="0" w:space="0" w:color="auto"/>
        <w:left w:val="none" w:sz="0" w:space="0" w:color="auto"/>
        <w:bottom w:val="none" w:sz="0" w:space="0" w:color="auto"/>
        <w:right w:val="none" w:sz="0" w:space="0" w:color="auto"/>
      </w:divBdr>
    </w:div>
    <w:div w:id="291063238">
      <w:bodyDiv w:val="1"/>
      <w:marLeft w:val="0"/>
      <w:marRight w:val="0"/>
      <w:marTop w:val="0"/>
      <w:marBottom w:val="0"/>
      <w:divBdr>
        <w:top w:val="none" w:sz="0" w:space="0" w:color="auto"/>
        <w:left w:val="none" w:sz="0" w:space="0" w:color="auto"/>
        <w:bottom w:val="none" w:sz="0" w:space="0" w:color="auto"/>
        <w:right w:val="none" w:sz="0" w:space="0" w:color="auto"/>
      </w:divBdr>
    </w:div>
    <w:div w:id="294533627">
      <w:bodyDiv w:val="1"/>
      <w:marLeft w:val="0"/>
      <w:marRight w:val="0"/>
      <w:marTop w:val="0"/>
      <w:marBottom w:val="0"/>
      <w:divBdr>
        <w:top w:val="none" w:sz="0" w:space="0" w:color="auto"/>
        <w:left w:val="none" w:sz="0" w:space="0" w:color="auto"/>
        <w:bottom w:val="none" w:sz="0" w:space="0" w:color="auto"/>
        <w:right w:val="none" w:sz="0" w:space="0" w:color="auto"/>
      </w:divBdr>
    </w:div>
    <w:div w:id="297802707">
      <w:bodyDiv w:val="1"/>
      <w:marLeft w:val="0"/>
      <w:marRight w:val="0"/>
      <w:marTop w:val="0"/>
      <w:marBottom w:val="0"/>
      <w:divBdr>
        <w:top w:val="none" w:sz="0" w:space="0" w:color="auto"/>
        <w:left w:val="none" w:sz="0" w:space="0" w:color="auto"/>
        <w:bottom w:val="none" w:sz="0" w:space="0" w:color="auto"/>
        <w:right w:val="none" w:sz="0" w:space="0" w:color="auto"/>
      </w:divBdr>
    </w:div>
    <w:div w:id="300697194">
      <w:bodyDiv w:val="1"/>
      <w:marLeft w:val="0"/>
      <w:marRight w:val="0"/>
      <w:marTop w:val="0"/>
      <w:marBottom w:val="0"/>
      <w:divBdr>
        <w:top w:val="none" w:sz="0" w:space="0" w:color="auto"/>
        <w:left w:val="none" w:sz="0" w:space="0" w:color="auto"/>
        <w:bottom w:val="none" w:sz="0" w:space="0" w:color="auto"/>
        <w:right w:val="none" w:sz="0" w:space="0" w:color="auto"/>
      </w:divBdr>
    </w:div>
    <w:div w:id="303630721">
      <w:bodyDiv w:val="1"/>
      <w:marLeft w:val="0"/>
      <w:marRight w:val="0"/>
      <w:marTop w:val="0"/>
      <w:marBottom w:val="0"/>
      <w:divBdr>
        <w:top w:val="none" w:sz="0" w:space="0" w:color="auto"/>
        <w:left w:val="none" w:sz="0" w:space="0" w:color="auto"/>
        <w:bottom w:val="none" w:sz="0" w:space="0" w:color="auto"/>
        <w:right w:val="none" w:sz="0" w:space="0" w:color="auto"/>
      </w:divBdr>
    </w:div>
    <w:div w:id="303851669">
      <w:bodyDiv w:val="1"/>
      <w:marLeft w:val="0"/>
      <w:marRight w:val="0"/>
      <w:marTop w:val="0"/>
      <w:marBottom w:val="0"/>
      <w:divBdr>
        <w:top w:val="none" w:sz="0" w:space="0" w:color="auto"/>
        <w:left w:val="none" w:sz="0" w:space="0" w:color="auto"/>
        <w:bottom w:val="none" w:sz="0" w:space="0" w:color="auto"/>
        <w:right w:val="none" w:sz="0" w:space="0" w:color="auto"/>
      </w:divBdr>
    </w:div>
    <w:div w:id="306667800">
      <w:bodyDiv w:val="1"/>
      <w:marLeft w:val="0"/>
      <w:marRight w:val="0"/>
      <w:marTop w:val="0"/>
      <w:marBottom w:val="0"/>
      <w:divBdr>
        <w:top w:val="none" w:sz="0" w:space="0" w:color="auto"/>
        <w:left w:val="none" w:sz="0" w:space="0" w:color="auto"/>
        <w:bottom w:val="none" w:sz="0" w:space="0" w:color="auto"/>
        <w:right w:val="none" w:sz="0" w:space="0" w:color="auto"/>
      </w:divBdr>
    </w:div>
    <w:div w:id="310213457">
      <w:bodyDiv w:val="1"/>
      <w:marLeft w:val="0"/>
      <w:marRight w:val="0"/>
      <w:marTop w:val="0"/>
      <w:marBottom w:val="0"/>
      <w:divBdr>
        <w:top w:val="none" w:sz="0" w:space="0" w:color="auto"/>
        <w:left w:val="none" w:sz="0" w:space="0" w:color="auto"/>
        <w:bottom w:val="none" w:sz="0" w:space="0" w:color="auto"/>
        <w:right w:val="none" w:sz="0" w:space="0" w:color="auto"/>
      </w:divBdr>
    </w:div>
    <w:div w:id="316956214">
      <w:bodyDiv w:val="1"/>
      <w:marLeft w:val="0"/>
      <w:marRight w:val="0"/>
      <w:marTop w:val="0"/>
      <w:marBottom w:val="0"/>
      <w:divBdr>
        <w:top w:val="none" w:sz="0" w:space="0" w:color="auto"/>
        <w:left w:val="none" w:sz="0" w:space="0" w:color="auto"/>
        <w:bottom w:val="none" w:sz="0" w:space="0" w:color="auto"/>
        <w:right w:val="none" w:sz="0" w:space="0" w:color="auto"/>
      </w:divBdr>
    </w:div>
    <w:div w:id="317273257">
      <w:bodyDiv w:val="1"/>
      <w:marLeft w:val="0"/>
      <w:marRight w:val="0"/>
      <w:marTop w:val="0"/>
      <w:marBottom w:val="0"/>
      <w:divBdr>
        <w:top w:val="none" w:sz="0" w:space="0" w:color="auto"/>
        <w:left w:val="none" w:sz="0" w:space="0" w:color="auto"/>
        <w:bottom w:val="none" w:sz="0" w:space="0" w:color="auto"/>
        <w:right w:val="none" w:sz="0" w:space="0" w:color="auto"/>
      </w:divBdr>
    </w:div>
    <w:div w:id="321391730">
      <w:bodyDiv w:val="1"/>
      <w:marLeft w:val="0"/>
      <w:marRight w:val="0"/>
      <w:marTop w:val="0"/>
      <w:marBottom w:val="0"/>
      <w:divBdr>
        <w:top w:val="none" w:sz="0" w:space="0" w:color="auto"/>
        <w:left w:val="none" w:sz="0" w:space="0" w:color="auto"/>
        <w:bottom w:val="none" w:sz="0" w:space="0" w:color="auto"/>
        <w:right w:val="none" w:sz="0" w:space="0" w:color="auto"/>
      </w:divBdr>
    </w:div>
    <w:div w:id="325481287">
      <w:bodyDiv w:val="1"/>
      <w:marLeft w:val="0"/>
      <w:marRight w:val="0"/>
      <w:marTop w:val="0"/>
      <w:marBottom w:val="0"/>
      <w:divBdr>
        <w:top w:val="none" w:sz="0" w:space="0" w:color="auto"/>
        <w:left w:val="none" w:sz="0" w:space="0" w:color="auto"/>
        <w:bottom w:val="none" w:sz="0" w:space="0" w:color="auto"/>
        <w:right w:val="none" w:sz="0" w:space="0" w:color="auto"/>
      </w:divBdr>
    </w:div>
    <w:div w:id="325716295">
      <w:bodyDiv w:val="1"/>
      <w:marLeft w:val="0"/>
      <w:marRight w:val="0"/>
      <w:marTop w:val="0"/>
      <w:marBottom w:val="0"/>
      <w:divBdr>
        <w:top w:val="none" w:sz="0" w:space="0" w:color="auto"/>
        <w:left w:val="none" w:sz="0" w:space="0" w:color="auto"/>
        <w:bottom w:val="none" w:sz="0" w:space="0" w:color="auto"/>
        <w:right w:val="none" w:sz="0" w:space="0" w:color="auto"/>
      </w:divBdr>
    </w:div>
    <w:div w:id="328563671">
      <w:bodyDiv w:val="1"/>
      <w:marLeft w:val="0"/>
      <w:marRight w:val="0"/>
      <w:marTop w:val="0"/>
      <w:marBottom w:val="0"/>
      <w:divBdr>
        <w:top w:val="none" w:sz="0" w:space="0" w:color="auto"/>
        <w:left w:val="none" w:sz="0" w:space="0" w:color="auto"/>
        <w:bottom w:val="none" w:sz="0" w:space="0" w:color="auto"/>
        <w:right w:val="none" w:sz="0" w:space="0" w:color="auto"/>
      </w:divBdr>
    </w:div>
    <w:div w:id="329721038">
      <w:bodyDiv w:val="1"/>
      <w:marLeft w:val="0"/>
      <w:marRight w:val="0"/>
      <w:marTop w:val="0"/>
      <w:marBottom w:val="0"/>
      <w:divBdr>
        <w:top w:val="none" w:sz="0" w:space="0" w:color="auto"/>
        <w:left w:val="none" w:sz="0" w:space="0" w:color="auto"/>
        <w:bottom w:val="none" w:sz="0" w:space="0" w:color="auto"/>
        <w:right w:val="none" w:sz="0" w:space="0" w:color="auto"/>
      </w:divBdr>
    </w:div>
    <w:div w:id="331875765">
      <w:bodyDiv w:val="1"/>
      <w:marLeft w:val="0"/>
      <w:marRight w:val="0"/>
      <w:marTop w:val="0"/>
      <w:marBottom w:val="0"/>
      <w:divBdr>
        <w:top w:val="none" w:sz="0" w:space="0" w:color="auto"/>
        <w:left w:val="none" w:sz="0" w:space="0" w:color="auto"/>
        <w:bottom w:val="none" w:sz="0" w:space="0" w:color="auto"/>
        <w:right w:val="none" w:sz="0" w:space="0" w:color="auto"/>
      </w:divBdr>
    </w:div>
    <w:div w:id="333151889">
      <w:bodyDiv w:val="1"/>
      <w:marLeft w:val="0"/>
      <w:marRight w:val="0"/>
      <w:marTop w:val="0"/>
      <w:marBottom w:val="0"/>
      <w:divBdr>
        <w:top w:val="none" w:sz="0" w:space="0" w:color="auto"/>
        <w:left w:val="none" w:sz="0" w:space="0" w:color="auto"/>
        <w:bottom w:val="none" w:sz="0" w:space="0" w:color="auto"/>
        <w:right w:val="none" w:sz="0" w:space="0" w:color="auto"/>
      </w:divBdr>
    </w:div>
    <w:div w:id="336159695">
      <w:bodyDiv w:val="1"/>
      <w:marLeft w:val="0"/>
      <w:marRight w:val="0"/>
      <w:marTop w:val="0"/>
      <w:marBottom w:val="0"/>
      <w:divBdr>
        <w:top w:val="none" w:sz="0" w:space="0" w:color="auto"/>
        <w:left w:val="none" w:sz="0" w:space="0" w:color="auto"/>
        <w:bottom w:val="none" w:sz="0" w:space="0" w:color="auto"/>
        <w:right w:val="none" w:sz="0" w:space="0" w:color="auto"/>
      </w:divBdr>
    </w:div>
    <w:div w:id="336806142">
      <w:bodyDiv w:val="1"/>
      <w:marLeft w:val="0"/>
      <w:marRight w:val="0"/>
      <w:marTop w:val="0"/>
      <w:marBottom w:val="0"/>
      <w:divBdr>
        <w:top w:val="none" w:sz="0" w:space="0" w:color="auto"/>
        <w:left w:val="none" w:sz="0" w:space="0" w:color="auto"/>
        <w:bottom w:val="none" w:sz="0" w:space="0" w:color="auto"/>
        <w:right w:val="none" w:sz="0" w:space="0" w:color="auto"/>
      </w:divBdr>
    </w:div>
    <w:div w:id="338773672">
      <w:bodyDiv w:val="1"/>
      <w:marLeft w:val="0"/>
      <w:marRight w:val="0"/>
      <w:marTop w:val="0"/>
      <w:marBottom w:val="0"/>
      <w:divBdr>
        <w:top w:val="none" w:sz="0" w:space="0" w:color="auto"/>
        <w:left w:val="none" w:sz="0" w:space="0" w:color="auto"/>
        <w:bottom w:val="none" w:sz="0" w:space="0" w:color="auto"/>
        <w:right w:val="none" w:sz="0" w:space="0" w:color="auto"/>
      </w:divBdr>
    </w:div>
    <w:div w:id="339238104">
      <w:bodyDiv w:val="1"/>
      <w:marLeft w:val="0"/>
      <w:marRight w:val="0"/>
      <w:marTop w:val="0"/>
      <w:marBottom w:val="0"/>
      <w:divBdr>
        <w:top w:val="none" w:sz="0" w:space="0" w:color="auto"/>
        <w:left w:val="none" w:sz="0" w:space="0" w:color="auto"/>
        <w:bottom w:val="none" w:sz="0" w:space="0" w:color="auto"/>
        <w:right w:val="none" w:sz="0" w:space="0" w:color="auto"/>
      </w:divBdr>
    </w:div>
    <w:div w:id="339426527">
      <w:bodyDiv w:val="1"/>
      <w:marLeft w:val="0"/>
      <w:marRight w:val="0"/>
      <w:marTop w:val="0"/>
      <w:marBottom w:val="0"/>
      <w:divBdr>
        <w:top w:val="none" w:sz="0" w:space="0" w:color="auto"/>
        <w:left w:val="none" w:sz="0" w:space="0" w:color="auto"/>
        <w:bottom w:val="none" w:sz="0" w:space="0" w:color="auto"/>
        <w:right w:val="none" w:sz="0" w:space="0" w:color="auto"/>
      </w:divBdr>
    </w:div>
    <w:div w:id="342589092">
      <w:bodyDiv w:val="1"/>
      <w:marLeft w:val="0"/>
      <w:marRight w:val="0"/>
      <w:marTop w:val="0"/>
      <w:marBottom w:val="0"/>
      <w:divBdr>
        <w:top w:val="none" w:sz="0" w:space="0" w:color="auto"/>
        <w:left w:val="none" w:sz="0" w:space="0" w:color="auto"/>
        <w:bottom w:val="none" w:sz="0" w:space="0" w:color="auto"/>
        <w:right w:val="none" w:sz="0" w:space="0" w:color="auto"/>
      </w:divBdr>
    </w:div>
    <w:div w:id="343168071">
      <w:bodyDiv w:val="1"/>
      <w:marLeft w:val="0"/>
      <w:marRight w:val="0"/>
      <w:marTop w:val="0"/>
      <w:marBottom w:val="0"/>
      <w:divBdr>
        <w:top w:val="none" w:sz="0" w:space="0" w:color="auto"/>
        <w:left w:val="none" w:sz="0" w:space="0" w:color="auto"/>
        <w:bottom w:val="none" w:sz="0" w:space="0" w:color="auto"/>
        <w:right w:val="none" w:sz="0" w:space="0" w:color="auto"/>
      </w:divBdr>
    </w:div>
    <w:div w:id="345719839">
      <w:bodyDiv w:val="1"/>
      <w:marLeft w:val="0"/>
      <w:marRight w:val="0"/>
      <w:marTop w:val="0"/>
      <w:marBottom w:val="0"/>
      <w:divBdr>
        <w:top w:val="none" w:sz="0" w:space="0" w:color="auto"/>
        <w:left w:val="none" w:sz="0" w:space="0" w:color="auto"/>
        <w:bottom w:val="none" w:sz="0" w:space="0" w:color="auto"/>
        <w:right w:val="none" w:sz="0" w:space="0" w:color="auto"/>
      </w:divBdr>
    </w:div>
    <w:div w:id="348220884">
      <w:bodyDiv w:val="1"/>
      <w:marLeft w:val="0"/>
      <w:marRight w:val="0"/>
      <w:marTop w:val="0"/>
      <w:marBottom w:val="0"/>
      <w:divBdr>
        <w:top w:val="none" w:sz="0" w:space="0" w:color="auto"/>
        <w:left w:val="none" w:sz="0" w:space="0" w:color="auto"/>
        <w:bottom w:val="none" w:sz="0" w:space="0" w:color="auto"/>
        <w:right w:val="none" w:sz="0" w:space="0" w:color="auto"/>
      </w:divBdr>
    </w:div>
    <w:div w:id="349455899">
      <w:bodyDiv w:val="1"/>
      <w:marLeft w:val="0"/>
      <w:marRight w:val="0"/>
      <w:marTop w:val="0"/>
      <w:marBottom w:val="0"/>
      <w:divBdr>
        <w:top w:val="none" w:sz="0" w:space="0" w:color="auto"/>
        <w:left w:val="none" w:sz="0" w:space="0" w:color="auto"/>
        <w:bottom w:val="none" w:sz="0" w:space="0" w:color="auto"/>
        <w:right w:val="none" w:sz="0" w:space="0" w:color="auto"/>
      </w:divBdr>
    </w:div>
    <w:div w:id="349529408">
      <w:bodyDiv w:val="1"/>
      <w:marLeft w:val="0"/>
      <w:marRight w:val="0"/>
      <w:marTop w:val="0"/>
      <w:marBottom w:val="0"/>
      <w:divBdr>
        <w:top w:val="none" w:sz="0" w:space="0" w:color="auto"/>
        <w:left w:val="none" w:sz="0" w:space="0" w:color="auto"/>
        <w:bottom w:val="none" w:sz="0" w:space="0" w:color="auto"/>
        <w:right w:val="none" w:sz="0" w:space="0" w:color="auto"/>
      </w:divBdr>
    </w:div>
    <w:div w:id="350768752">
      <w:bodyDiv w:val="1"/>
      <w:marLeft w:val="0"/>
      <w:marRight w:val="0"/>
      <w:marTop w:val="0"/>
      <w:marBottom w:val="0"/>
      <w:divBdr>
        <w:top w:val="none" w:sz="0" w:space="0" w:color="auto"/>
        <w:left w:val="none" w:sz="0" w:space="0" w:color="auto"/>
        <w:bottom w:val="none" w:sz="0" w:space="0" w:color="auto"/>
        <w:right w:val="none" w:sz="0" w:space="0" w:color="auto"/>
      </w:divBdr>
    </w:div>
    <w:div w:id="351995265">
      <w:bodyDiv w:val="1"/>
      <w:marLeft w:val="0"/>
      <w:marRight w:val="0"/>
      <w:marTop w:val="0"/>
      <w:marBottom w:val="0"/>
      <w:divBdr>
        <w:top w:val="none" w:sz="0" w:space="0" w:color="auto"/>
        <w:left w:val="none" w:sz="0" w:space="0" w:color="auto"/>
        <w:bottom w:val="none" w:sz="0" w:space="0" w:color="auto"/>
        <w:right w:val="none" w:sz="0" w:space="0" w:color="auto"/>
      </w:divBdr>
    </w:div>
    <w:div w:id="355470272">
      <w:bodyDiv w:val="1"/>
      <w:marLeft w:val="0"/>
      <w:marRight w:val="0"/>
      <w:marTop w:val="0"/>
      <w:marBottom w:val="0"/>
      <w:divBdr>
        <w:top w:val="none" w:sz="0" w:space="0" w:color="auto"/>
        <w:left w:val="none" w:sz="0" w:space="0" w:color="auto"/>
        <w:bottom w:val="none" w:sz="0" w:space="0" w:color="auto"/>
        <w:right w:val="none" w:sz="0" w:space="0" w:color="auto"/>
      </w:divBdr>
      <w:divsChild>
        <w:div w:id="371810447">
          <w:marLeft w:val="0"/>
          <w:marRight w:val="0"/>
          <w:marTop w:val="0"/>
          <w:marBottom w:val="0"/>
          <w:divBdr>
            <w:top w:val="none" w:sz="0" w:space="0" w:color="auto"/>
            <w:left w:val="none" w:sz="0" w:space="0" w:color="auto"/>
            <w:bottom w:val="none" w:sz="0" w:space="0" w:color="auto"/>
            <w:right w:val="none" w:sz="0" w:space="0" w:color="auto"/>
          </w:divBdr>
          <w:divsChild>
            <w:div w:id="2025201333">
              <w:marLeft w:val="0"/>
              <w:marRight w:val="0"/>
              <w:marTop w:val="0"/>
              <w:marBottom w:val="0"/>
              <w:divBdr>
                <w:top w:val="none" w:sz="0" w:space="0" w:color="auto"/>
                <w:left w:val="none" w:sz="0" w:space="0" w:color="auto"/>
                <w:bottom w:val="none" w:sz="0" w:space="0" w:color="auto"/>
                <w:right w:val="none" w:sz="0" w:space="0" w:color="auto"/>
              </w:divBdr>
              <w:divsChild>
                <w:div w:id="462314112">
                  <w:marLeft w:val="0"/>
                  <w:marRight w:val="0"/>
                  <w:marTop w:val="0"/>
                  <w:marBottom w:val="0"/>
                  <w:divBdr>
                    <w:top w:val="none" w:sz="0" w:space="0" w:color="auto"/>
                    <w:left w:val="none" w:sz="0" w:space="0" w:color="auto"/>
                    <w:bottom w:val="none" w:sz="0" w:space="0" w:color="auto"/>
                    <w:right w:val="none" w:sz="0" w:space="0" w:color="auto"/>
                  </w:divBdr>
                  <w:divsChild>
                    <w:div w:id="53896972">
                      <w:marLeft w:val="0"/>
                      <w:marRight w:val="0"/>
                      <w:marTop w:val="0"/>
                      <w:marBottom w:val="0"/>
                      <w:divBdr>
                        <w:top w:val="none" w:sz="0" w:space="0" w:color="auto"/>
                        <w:left w:val="none" w:sz="0" w:space="0" w:color="auto"/>
                        <w:bottom w:val="none" w:sz="0" w:space="0" w:color="auto"/>
                        <w:right w:val="none" w:sz="0" w:space="0" w:color="auto"/>
                      </w:divBdr>
                      <w:divsChild>
                        <w:div w:id="174156130">
                          <w:marLeft w:val="0"/>
                          <w:marRight w:val="0"/>
                          <w:marTop w:val="0"/>
                          <w:marBottom w:val="0"/>
                          <w:divBdr>
                            <w:top w:val="none" w:sz="0" w:space="0" w:color="auto"/>
                            <w:left w:val="none" w:sz="0" w:space="0" w:color="auto"/>
                            <w:bottom w:val="none" w:sz="0" w:space="0" w:color="auto"/>
                            <w:right w:val="none" w:sz="0" w:space="0" w:color="auto"/>
                          </w:divBdr>
                          <w:divsChild>
                            <w:div w:id="802432256">
                              <w:marLeft w:val="0"/>
                              <w:marRight w:val="0"/>
                              <w:marTop w:val="0"/>
                              <w:marBottom w:val="0"/>
                              <w:divBdr>
                                <w:top w:val="none" w:sz="0" w:space="0" w:color="auto"/>
                                <w:left w:val="none" w:sz="0" w:space="0" w:color="auto"/>
                                <w:bottom w:val="none" w:sz="0" w:space="0" w:color="auto"/>
                                <w:right w:val="none" w:sz="0" w:space="0" w:color="auto"/>
                              </w:divBdr>
                              <w:divsChild>
                                <w:div w:id="549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2925">
                      <w:marLeft w:val="0"/>
                      <w:marRight w:val="0"/>
                      <w:marTop w:val="0"/>
                      <w:marBottom w:val="0"/>
                      <w:divBdr>
                        <w:top w:val="none" w:sz="0" w:space="0" w:color="auto"/>
                        <w:left w:val="none" w:sz="0" w:space="0" w:color="auto"/>
                        <w:bottom w:val="none" w:sz="0" w:space="0" w:color="auto"/>
                        <w:right w:val="none" w:sz="0" w:space="0" w:color="auto"/>
                      </w:divBdr>
                      <w:divsChild>
                        <w:div w:id="87166128">
                          <w:marLeft w:val="0"/>
                          <w:marRight w:val="0"/>
                          <w:marTop w:val="0"/>
                          <w:marBottom w:val="0"/>
                          <w:divBdr>
                            <w:top w:val="none" w:sz="0" w:space="0" w:color="auto"/>
                            <w:left w:val="none" w:sz="0" w:space="0" w:color="auto"/>
                            <w:bottom w:val="none" w:sz="0" w:space="0" w:color="auto"/>
                            <w:right w:val="none" w:sz="0" w:space="0" w:color="auto"/>
                          </w:divBdr>
                          <w:divsChild>
                            <w:div w:id="415057762">
                              <w:marLeft w:val="0"/>
                              <w:marRight w:val="0"/>
                              <w:marTop w:val="0"/>
                              <w:marBottom w:val="0"/>
                              <w:divBdr>
                                <w:top w:val="none" w:sz="0" w:space="0" w:color="auto"/>
                                <w:left w:val="none" w:sz="0" w:space="0" w:color="auto"/>
                                <w:bottom w:val="none" w:sz="0" w:space="0" w:color="auto"/>
                                <w:right w:val="none" w:sz="0" w:space="0" w:color="auto"/>
                              </w:divBdr>
                              <w:divsChild>
                                <w:div w:id="18539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480504">
          <w:marLeft w:val="0"/>
          <w:marRight w:val="0"/>
          <w:marTop w:val="0"/>
          <w:marBottom w:val="0"/>
          <w:divBdr>
            <w:top w:val="none" w:sz="0" w:space="0" w:color="auto"/>
            <w:left w:val="none" w:sz="0" w:space="0" w:color="auto"/>
            <w:bottom w:val="none" w:sz="0" w:space="0" w:color="auto"/>
            <w:right w:val="none" w:sz="0" w:space="0" w:color="auto"/>
          </w:divBdr>
          <w:divsChild>
            <w:div w:id="1755740082">
              <w:marLeft w:val="0"/>
              <w:marRight w:val="0"/>
              <w:marTop w:val="0"/>
              <w:marBottom w:val="0"/>
              <w:divBdr>
                <w:top w:val="none" w:sz="0" w:space="0" w:color="auto"/>
                <w:left w:val="none" w:sz="0" w:space="0" w:color="auto"/>
                <w:bottom w:val="none" w:sz="0" w:space="0" w:color="auto"/>
                <w:right w:val="none" w:sz="0" w:space="0" w:color="auto"/>
              </w:divBdr>
              <w:divsChild>
                <w:div w:id="1745685080">
                  <w:marLeft w:val="0"/>
                  <w:marRight w:val="0"/>
                  <w:marTop w:val="0"/>
                  <w:marBottom w:val="0"/>
                  <w:divBdr>
                    <w:top w:val="none" w:sz="0" w:space="0" w:color="auto"/>
                    <w:left w:val="none" w:sz="0" w:space="0" w:color="auto"/>
                    <w:bottom w:val="none" w:sz="0" w:space="0" w:color="auto"/>
                    <w:right w:val="none" w:sz="0" w:space="0" w:color="auto"/>
                  </w:divBdr>
                  <w:divsChild>
                    <w:div w:id="20528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91352">
      <w:bodyDiv w:val="1"/>
      <w:marLeft w:val="0"/>
      <w:marRight w:val="0"/>
      <w:marTop w:val="0"/>
      <w:marBottom w:val="0"/>
      <w:divBdr>
        <w:top w:val="none" w:sz="0" w:space="0" w:color="auto"/>
        <w:left w:val="none" w:sz="0" w:space="0" w:color="auto"/>
        <w:bottom w:val="none" w:sz="0" w:space="0" w:color="auto"/>
        <w:right w:val="none" w:sz="0" w:space="0" w:color="auto"/>
      </w:divBdr>
    </w:div>
    <w:div w:id="360866582">
      <w:bodyDiv w:val="1"/>
      <w:marLeft w:val="0"/>
      <w:marRight w:val="0"/>
      <w:marTop w:val="0"/>
      <w:marBottom w:val="0"/>
      <w:divBdr>
        <w:top w:val="none" w:sz="0" w:space="0" w:color="auto"/>
        <w:left w:val="none" w:sz="0" w:space="0" w:color="auto"/>
        <w:bottom w:val="none" w:sz="0" w:space="0" w:color="auto"/>
        <w:right w:val="none" w:sz="0" w:space="0" w:color="auto"/>
      </w:divBdr>
    </w:div>
    <w:div w:id="362754689">
      <w:bodyDiv w:val="1"/>
      <w:marLeft w:val="0"/>
      <w:marRight w:val="0"/>
      <w:marTop w:val="0"/>
      <w:marBottom w:val="0"/>
      <w:divBdr>
        <w:top w:val="none" w:sz="0" w:space="0" w:color="auto"/>
        <w:left w:val="none" w:sz="0" w:space="0" w:color="auto"/>
        <w:bottom w:val="none" w:sz="0" w:space="0" w:color="auto"/>
        <w:right w:val="none" w:sz="0" w:space="0" w:color="auto"/>
      </w:divBdr>
    </w:div>
    <w:div w:id="363216981">
      <w:bodyDiv w:val="1"/>
      <w:marLeft w:val="0"/>
      <w:marRight w:val="0"/>
      <w:marTop w:val="0"/>
      <w:marBottom w:val="0"/>
      <w:divBdr>
        <w:top w:val="none" w:sz="0" w:space="0" w:color="auto"/>
        <w:left w:val="none" w:sz="0" w:space="0" w:color="auto"/>
        <w:bottom w:val="none" w:sz="0" w:space="0" w:color="auto"/>
        <w:right w:val="none" w:sz="0" w:space="0" w:color="auto"/>
      </w:divBdr>
    </w:div>
    <w:div w:id="363605147">
      <w:bodyDiv w:val="1"/>
      <w:marLeft w:val="0"/>
      <w:marRight w:val="0"/>
      <w:marTop w:val="0"/>
      <w:marBottom w:val="0"/>
      <w:divBdr>
        <w:top w:val="none" w:sz="0" w:space="0" w:color="auto"/>
        <w:left w:val="none" w:sz="0" w:space="0" w:color="auto"/>
        <w:bottom w:val="none" w:sz="0" w:space="0" w:color="auto"/>
        <w:right w:val="none" w:sz="0" w:space="0" w:color="auto"/>
      </w:divBdr>
    </w:div>
    <w:div w:id="369764385">
      <w:bodyDiv w:val="1"/>
      <w:marLeft w:val="0"/>
      <w:marRight w:val="0"/>
      <w:marTop w:val="0"/>
      <w:marBottom w:val="0"/>
      <w:divBdr>
        <w:top w:val="none" w:sz="0" w:space="0" w:color="auto"/>
        <w:left w:val="none" w:sz="0" w:space="0" w:color="auto"/>
        <w:bottom w:val="none" w:sz="0" w:space="0" w:color="auto"/>
        <w:right w:val="none" w:sz="0" w:space="0" w:color="auto"/>
      </w:divBdr>
    </w:div>
    <w:div w:id="369913391">
      <w:bodyDiv w:val="1"/>
      <w:marLeft w:val="0"/>
      <w:marRight w:val="0"/>
      <w:marTop w:val="0"/>
      <w:marBottom w:val="0"/>
      <w:divBdr>
        <w:top w:val="none" w:sz="0" w:space="0" w:color="auto"/>
        <w:left w:val="none" w:sz="0" w:space="0" w:color="auto"/>
        <w:bottom w:val="none" w:sz="0" w:space="0" w:color="auto"/>
        <w:right w:val="none" w:sz="0" w:space="0" w:color="auto"/>
      </w:divBdr>
    </w:div>
    <w:div w:id="369917792">
      <w:bodyDiv w:val="1"/>
      <w:marLeft w:val="0"/>
      <w:marRight w:val="0"/>
      <w:marTop w:val="0"/>
      <w:marBottom w:val="0"/>
      <w:divBdr>
        <w:top w:val="none" w:sz="0" w:space="0" w:color="auto"/>
        <w:left w:val="none" w:sz="0" w:space="0" w:color="auto"/>
        <w:bottom w:val="none" w:sz="0" w:space="0" w:color="auto"/>
        <w:right w:val="none" w:sz="0" w:space="0" w:color="auto"/>
      </w:divBdr>
    </w:div>
    <w:div w:id="372654206">
      <w:bodyDiv w:val="1"/>
      <w:marLeft w:val="0"/>
      <w:marRight w:val="0"/>
      <w:marTop w:val="0"/>
      <w:marBottom w:val="0"/>
      <w:divBdr>
        <w:top w:val="none" w:sz="0" w:space="0" w:color="auto"/>
        <w:left w:val="none" w:sz="0" w:space="0" w:color="auto"/>
        <w:bottom w:val="none" w:sz="0" w:space="0" w:color="auto"/>
        <w:right w:val="none" w:sz="0" w:space="0" w:color="auto"/>
      </w:divBdr>
      <w:divsChild>
        <w:div w:id="376778362">
          <w:marLeft w:val="0"/>
          <w:marRight w:val="0"/>
          <w:marTop w:val="0"/>
          <w:marBottom w:val="0"/>
          <w:divBdr>
            <w:top w:val="none" w:sz="0" w:space="0" w:color="auto"/>
            <w:left w:val="none" w:sz="0" w:space="0" w:color="auto"/>
            <w:bottom w:val="none" w:sz="0" w:space="0" w:color="auto"/>
            <w:right w:val="none" w:sz="0" w:space="0" w:color="auto"/>
          </w:divBdr>
          <w:divsChild>
            <w:div w:id="8654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7082">
      <w:bodyDiv w:val="1"/>
      <w:marLeft w:val="0"/>
      <w:marRight w:val="0"/>
      <w:marTop w:val="0"/>
      <w:marBottom w:val="0"/>
      <w:divBdr>
        <w:top w:val="none" w:sz="0" w:space="0" w:color="auto"/>
        <w:left w:val="none" w:sz="0" w:space="0" w:color="auto"/>
        <w:bottom w:val="none" w:sz="0" w:space="0" w:color="auto"/>
        <w:right w:val="none" w:sz="0" w:space="0" w:color="auto"/>
      </w:divBdr>
    </w:div>
    <w:div w:id="390344616">
      <w:bodyDiv w:val="1"/>
      <w:marLeft w:val="0"/>
      <w:marRight w:val="0"/>
      <w:marTop w:val="0"/>
      <w:marBottom w:val="0"/>
      <w:divBdr>
        <w:top w:val="none" w:sz="0" w:space="0" w:color="auto"/>
        <w:left w:val="none" w:sz="0" w:space="0" w:color="auto"/>
        <w:bottom w:val="none" w:sz="0" w:space="0" w:color="auto"/>
        <w:right w:val="none" w:sz="0" w:space="0" w:color="auto"/>
      </w:divBdr>
    </w:div>
    <w:div w:id="392704532">
      <w:bodyDiv w:val="1"/>
      <w:marLeft w:val="0"/>
      <w:marRight w:val="0"/>
      <w:marTop w:val="0"/>
      <w:marBottom w:val="0"/>
      <w:divBdr>
        <w:top w:val="none" w:sz="0" w:space="0" w:color="auto"/>
        <w:left w:val="none" w:sz="0" w:space="0" w:color="auto"/>
        <w:bottom w:val="none" w:sz="0" w:space="0" w:color="auto"/>
        <w:right w:val="none" w:sz="0" w:space="0" w:color="auto"/>
      </w:divBdr>
    </w:div>
    <w:div w:id="394013262">
      <w:bodyDiv w:val="1"/>
      <w:marLeft w:val="0"/>
      <w:marRight w:val="0"/>
      <w:marTop w:val="0"/>
      <w:marBottom w:val="0"/>
      <w:divBdr>
        <w:top w:val="none" w:sz="0" w:space="0" w:color="auto"/>
        <w:left w:val="none" w:sz="0" w:space="0" w:color="auto"/>
        <w:bottom w:val="none" w:sz="0" w:space="0" w:color="auto"/>
        <w:right w:val="none" w:sz="0" w:space="0" w:color="auto"/>
      </w:divBdr>
    </w:div>
    <w:div w:id="397099166">
      <w:bodyDiv w:val="1"/>
      <w:marLeft w:val="0"/>
      <w:marRight w:val="0"/>
      <w:marTop w:val="0"/>
      <w:marBottom w:val="0"/>
      <w:divBdr>
        <w:top w:val="none" w:sz="0" w:space="0" w:color="auto"/>
        <w:left w:val="none" w:sz="0" w:space="0" w:color="auto"/>
        <w:bottom w:val="none" w:sz="0" w:space="0" w:color="auto"/>
        <w:right w:val="none" w:sz="0" w:space="0" w:color="auto"/>
      </w:divBdr>
    </w:div>
    <w:div w:id="397634778">
      <w:bodyDiv w:val="1"/>
      <w:marLeft w:val="0"/>
      <w:marRight w:val="0"/>
      <w:marTop w:val="0"/>
      <w:marBottom w:val="0"/>
      <w:divBdr>
        <w:top w:val="none" w:sz="0" w:space="0" w:color="auto"/>
        <w:left w:val="none" w:sz="0" w:space="0" w:color="auto"/>
        <w:bottom w:val="none" w:sz="0" w:space="0" w:color="auto"/>
        <w:right w:val="none" w:sz="0" w:space="0" w:color="auto"/>
      </w:divBdr>
      <w:divsChild>
        <w:div w:id="126348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22096">
      <w:bodyDiv w:val="1"/>
      <w:marLeft w:val="0"/>
      <w:marRight w:val="0"/>
      <w:marTop w:val="0"/>
      <w:marBottom w:val="0"/>
      <w:divBdr>
        <w:top w:val="none" w:sz="0" w:space="0" w:color="auto"/>
        <w:left w:val="none" w:sz="0" w:space="0" w:color="auto"/>
        <w:bottom w:val="none" w:sz="0" w:space="0" w:color="auto"/>
        <w:right w:val="none" w:sz="0" w:space="0" w:color="auto"/>
      </w:divBdr>
    </w:div>
    <w:div w:id="399140218">
      <w:bodyDiv w:val="1"/>
      <w:marLeft w:val="0"/>
      <w:marRight w:val="0"/>
      <w:marTop w:val="0"/>
      <w:marBottom w:val="0"/>
      <w:divBdr>
        <w:top w:val="none" w:sz="0" w:space="0" w:color="auto"/>
        <w:left w:val="none" w:sz="0" w:space="0" w:color="auto"/>
        <w:bottom w:val="none" w:sz="0" w:space="0" w:color="auto"/>
        <w:right w:val="none" w:sz="0" w:space="0" w:color="auto"/>
      </w:divBdr>
    </w:div>
    <w:div w:id="399792194">
      <w:bodyDiv w:val="1"/>
      <w:marLeft w:val="0"/>
      <w:marRight w:val="0"/>
      <w:marTop w:val="0"/>
      <w:marBottom w:val="0"/>
      <w:divBdr>
        <w:top w:val="none" w:sz="0" w:space="0" w:color="auto"/>
        <w:left w:val="none" w:sz="0" w:space="0" w:color="auto"/>
        <w:bottom w:val="none" w:sz="0" w:space="0" w:color="auto"/>
        <w:right w:val="none" w:sz="0" w:space="0" w:color="auto"/>
      </w:divBdr>
    </w:div>
    <w:div w:id="401026281">
      <w:bodyDiv w:val="1"/>
      <w:marLeft w:val="0"/>
      <w:marRight w:val="0"/>
      <w:marTop w:val="0"/>
      <w:marBottom w:val="0"/>
      <w:divBdr>
        <w:top w:val="none" w:sz="0" w:space="0" w:color="auto"/>
        <w:left w:val="none" w:sz="0" w:space="0" w:color="auto"/>
        <w:bottom w:val="none" w:sz="0" w:space="0" w:color="auto"/>
        <w:right w:val="none" w:sz="0" w:space="0" w:color="auto"/>
      </w:divBdr>
    </w:div>
    <w:div w:id="401484548">
      <w:bodyDiv w:val="1"/>
      <w:marLeft w:val="0"/>
      <w:marRight w:val="0"/>
      <w:marTop w:val="0"/>
      <w:marBottom w:val="0"/>
      <w:divBdr>
        <w:top w:val="none" w:sz="0" w:space="0" w:color="auto"/>
        <w:left w:val="none" w:sz="0" w:space="0" w:color="auto"/>
        <w:bottom w:val="none" w:sz="0" w:space="0" w:color="auto"/>
        <w:right w:val="none" w:sz="0" w:space="0" w:color="auto"/>
      </w:divBdr>
    </w:div>
    <w:div w:id="402139891">
      <w:bodyDiv w:val="1"/>
      <w:marLeft w:val="0"/>
      <w:marRight w:val="0"/>
      <w:marTop w:val="0"/>
      <w:marBottom w:val="0"/>
      <w:divBdr>
        <w:top w:val="none" w:sz="0" w:space="0" w:color="auto"/>
        <w:left w:val="none" w:sz="0" w:space="0" w:color="auto"/>
        <w:bottom w:val="none" w:sz="0" w:space="0" w:color="auto"/>
        <w:right w:val="none" w:sz="0" w:space="0" w:color="auto"/>
      </w:divBdr>
    </w:div>
    <w:div w:id="403720782">
      <w:bodyDiv w:val="1"/>
      <w:marLeft w:val="0"/>
      <w:marRight w:val="0"/>
      <w:marTop w:val="0"/>
      <w:marBottom w:val="0"/>
      <w:divBdr>
        <w:top w:val="none" w:sz="0" w:space="0" w:color="auto"/>
        <w:left w:val="none" w:sz="0" w:space="0" w:color="auto"/>
        <w:bottom w:val="none" w:sz="0" w:space="0" w:color="auto"/>
        <w:right w:val="none" w:sz="0" w:space="0" w:color="auto"/>
      </w:divBdr>
    </w:div>
    <w:div w:id="408309073">
      <w:bodyDiv w:val="1"/>
      <w:marLeft w:val="0"/>
      <w:marRight w:val="0"/>
      <w:marTop w:val="0"/>
      <w:marBottom w:val="0"/>
      <w:divBdr>
        <w:top w:val="none" w:sz="0" w:space="0" w:color="auto"/>
        <w:left w:val="none" w:sz="0" w:space="0" w:color="auto"/>
        <w:bottom w:val="none" w:sz="0" w:space="0" w:color="auto"/>
        <w:right w:val="none" w:sz="0" w:space="0" w:color="auto"/>
      </w:divBdr>
    </w:div>
    <w:div w:id="408961359">
      <w:bodyDiv w:val="1"/>
      <w:marLeft w:val="0"/>
      <w:marRight w:val="0"/>
      <w:marTop w:val="0"/>
      <w:marBottom w:val="0"/>
      <w:divBdr>
        <w:top w:val="none" w:sz="0" w:space="0" w:color="auto"/>
        <w:left w:val="none" w:sz="0" w:space="0" w:color="auto"/>
        <w:bottom w:val="none" w:sz="0" w:space="0" w:color="auto"/>
        <w:right w:val="none" w:sz="0" w:space="0" w:color="auto"/>
      </w:divBdr>
    </w:div>
    <w:div w:id="409040660">
      <w:bodyDiv w:val="1"/>
      <w:marLeft w:val="0"/>
      <w:marRight w:val="0"/>
      <w:marTop w:val="0"/>
      <w:marBottom w:val="0"/>
      <w:divBdr>
        <w:top w:val="none" w:sz="0" w:space="0" w:color="auto"/>
        <w:left w:val="none" w:sz="0" w:space="0" w:color="auto"/>
        <w:bottom w:val="none" w:sz="0" w:space="0" w:color="auto"/>
        <w:right w:val="none" w:sz="0" w:space="0" w:color="auto"/>
      </w:divBdr>
    </w:div>
    <w:div w:id="410204134">
      <w:bodyDiv w:val="1"/>
      <w:marLeft w:val="0"/>
      <w:marRight w:val="0"/>
      <w:marTop w:val="0"/>
      <w:marBottom w:val="0"/>
      <w:divBdr>
        <w:top w:val="none" w:sz="0" w:space="0" w:color="auto"/>
        <w:left w:val="none" w:sz="0" w:space="0" w:color="auto"/>
        <w:bottom w:val="none" w:sz="0" w:space="0" w:color="auto"/>
        <w:right w:val="none" w:sz="0" w:space="0" w:color="auto"/>
      </w:divBdr>
    </w:div>
    <w:div w:id="411662019">
      <w:bodyDiv w:val="1"/>
      <w:marLeft w:val="0"/>
      <w:marRight w:val="0"/>
      <w:marTop w:val="0"/>
      <w:marBottom w:val="0"/>
      <w:divBdr>
        <w:top w:val="none" w:sz="0" w:space="0" w:color="auto"/>
        <w:left w:val="none" w:sz="0" w:space="0" w:color="auto"/>
        <w:bottom w:val="none" w:sz="0" w:space="0" w:color="auto"/>
        <w:right w:val="none" w:sz="0" w:space="0" w:color="auto"/>
      </w:divBdr>
    </w:div>
    <w:div w:id="413091390">
      <w:bodyDiv w:val="1"/>
      <w:marLeft w:val="0"/>
      <w:marRight w:val="0"/>
      <w:marTop w:val="0"/>
      <w:marBottom w:val="0"/>
      <w:divBdr>
        <w:top w:val="none" w:sz="0" w:space="0" w:color="auto"/>
        <w:left w:val="none" w:sz="0" w:space="0" w:color="auto"/>
        <w:bottom w:val="none" w:sz="0" w:space="0" w:color="auto"/>
        <w:right w:val="none" w:sz="0" w:space="0" w:color="auto"/>
      </w:divBdr>
    </w:div>
    <w:div w:id="418214442">
      <w:bodyDiv w:val="1"/>
      <w:marLeft w:val="0"/>
      <w:marRight w:val="0"/>
      <w:marTop w:val="0"/>
      <w:marBottom w:val="0"/>
      <w:divBdr>
        <w:top w:val="none" w:sz="0" w:space="0" w:color="auto"/>
        <w:left w:val="none" w:sz="0" w:space="0" w:color="auto"/>
        <w:bottom w:val="none" w:sz="0" w:space="0" w:color="auto"/>
        <w:right w:val="none" w:sz="0" w:space="0" w:color="auto"/>
      </w:divBdr>
    </w:div>
    <w:div w:id="421292682">
      <w:bodyDiv w:val="1"/>
      <w:marLeft w:val="0"/>
      <w:marRight w:val="0"/>
      <w:marTop w:val="0"/>
      <w:marBottom w:val="0"/>
      <w:divBdr>
        <w:top w:val="none" w:sz="0" w:space="0" w:color="auto"/>
        <w:left w:val="none" w:sz="0" w:space="0" w:color="auto"/>
        <w:bottom w:val="none" w:sz="0" w:space="0" w:color="auto"/>
        <w:right w:val="none" w:sz="0" w:space="0" w:color="auto"/>
      </w:divBdr>
    </w:div>
    <w:div w:id="421681553">
      <w:bodyDiv w:val="1"/>
      <w:marLeft w:val="0"/>
      <w:marRight w:val="0"/>
      <w:marTop w:val="0"/>
      <w:marBottom w:val="0"/>
      <w:divBdr>
        <w:top w:val="none" w:sz="0" w:space="0" w:color="auto"/>
        <w:left w:val="none" w:sz="0" w:space="0" w:color="auto"/>
        <w:bottom w:val="none" w:sz="0" w:space="0" w:color="auto"/>
        <w:right w:val="none" w:sz="0" w:space="0" w:color="auto"/>
      </w:divBdr>
    </w:div>
    <w:div w:id="423188956">
      <w:bodyDiv w:val="1"/>
      <w:marLeft w:val="0"/>
      <w:marRight w:val="0"/>
      <w:marTop w:val="0"/>
      <w:marBottom w:val="0"/>
      <w:divBdr>
        <w:top w:val="none" w:sz="0" w:space="0" w:color="auto"/>
        <w:left w:val="none" w:sz="0" w:space="0" w:color="auto"/>
        <w:bottom w:val="none" w:sz="0" w:space="0" w:color="auto"/>
        <w:right w:val="none" w:sz="0" w:space="0" w:color="auto"/>
      </w:divBdr>
    </w:div>
    <w:div w:id="425347378">
      <w:bodyDiv w:val="1"/>
      <w:marLeft w:val="0"/>
      <w:marRight w:val="0"/>
      <w:marTop w:val="0"/>
      <w:marBottom w:val="0"/>
      <w:divBdr>
        <w:top w:val="none" w:sz="0" w:space="0" w:color="auto"/>
        <w:left w:val="none" w:sz="0" w:space="0" w:color="auto"/>
        <w:bottom w:val="none" w:sz="0" w:space="0" w:color="auto"/>
        <w:right w:val="none" w:sz="0" w:space="0" w:color="auto"/>
      </w:divBdr>
    </w:div>
    <w:div w:id="428888967">
      <w:bodyDiv w:val="1"/>
      <w:marLeft w:val="0"/>
      <w:marRight w:val="0"/>
      <w:marTop w:val="0"/>
      <w:marBottom w:val="0"/>
      <w:divBdr>
        <w:top w:val="none" w:sz="0" w:space="0" w:color="auto"/>
        <w:left w:val="none" w:sz="0" w:space="0" w:color="auto"/>
        <w:bottom w:val="none" w:sz="0" w:space="0" w:color="auto"/>
        <w:right w:val="none" w:sz="0" w:space="0" w:color="auto"/>
      </w:divBdr>
    </w:div>
    <w:div w:id="430317194">
      <w:bodyDiv w:val="1"/>
      <w:marLeft w:val="0"/>
      <w:marRight w:val="0"/>
      <w:marTop w:val="0"/>
      <w:marBottom w:val="0"/>
      <w:divBdr>
        <w:top w:val="none" w:sz="0" w:space="0" w:color="auto"/>
        <w:left w:val="none" w:sz="0" w:space="0" w:color="auto"/>
        <w:bottom w:val="none" w:sz="0" w:space="0" w:color="auto"/>
        <w:right w:val="none" w:sz="0" w:space="0" w:color="auto"/>
      </w:divBdr>
    </w:div>
    <w:div w:id="433672437">
      <w:bodyDiv w:val="1"/>
      <w:marLeft w:val="0"/>
      <w:marRight w:val="0"/>
      <w:marTop w:val="0"/>
      <w:marBottom w:val="0"/>
      <w:divBdr>
        <w:top w:val="none" w:sz="0" w:space="0" w:color="auto"/>
        <w:left w:val="none" w:sz="0" w:space="0" w:color="auto"/>
        <w:bottom w:val="none" w:sz="0" w:space="0" w:color="auto"/>
        <w:right w:val="none" w:sz="0" w:space="0" w:color="auto"/>
      </w:divBdr>
    </w:div>
    <w:div w:id="435907868">
      <w:bodyDiv w:val="1"/>
      <w:marLeft w:val="0"/>
      <w:marRight w:val="0"/>
      <w:marTop w:val="0"/>
      <w:marBottom w:val="0"/>
      <w:divBdr>
        <w:top w:val="none" w:sz="0" w:space="0" w:color="auto"/>
        <w:left w:val="none" w:sz="0" w:space="0" w:color="auto"/>
        <w:bottom w:val="none" w:sz="0" w:space="0" w:color="auto"/>
        <w:right w:val="none" w:sz="0" w:space="0" w:color="auto"/>
      </w:divBdr>
    </w:div>
    <w:div w:id="436213808">
      <w:bodyDiv w:val="1"/>
      <w:marLeft w:val="0"/>
      <w:marRight w:val="0"/>
      <w:marTop w:val="0"/>
      <w:marBottom w:val="0"/>
      <w:divBdr>
        <w:top w:val="none" w:sz="0" w:space="0" w:color="auto"/>
        <w:left w:val="none" w:sz="0" w:space="0" w:color="auto"/>
        <w:bottom w:val="none" w:sz="0" w:space="0" w:color="auto"/>
        <w:right w:val="none" w:sz="0" w:space="0" w:color="auto"/>
      </w:divBdr>
    </w:div>
    <w:div w:id="436608097">
      <w:bodyDiv w:val="1"/>
      <w:marLeft w:val="0"/>
      <w:marRight w:val="0"/>
      <w:marTop w:val="0"/>
      <w:marBottom w:val="0"/>
      <w:divBdr>
        <w:top w:val="none" w:sz="0" w:space="0" w:color="auto"/>
        <w:left w:val="none" w:sz="0" w:space="0" w:color="auto"/>
        <w:bottom w:val="none" w:sz="0" w:space="0" w:color="auto"/>
        <w:right w:val="none" w:sz="0" w:space="0" w:color="auto"/>
      </w:divBdr>
    </w:div>
    <w:div w:id="439379541">
      <w:bodyDiv w:val="1"/>
      <w:marLeft w:val="0"/>
      <w:marRight w:val="0"/>
      <w:marTop w:val="0"/>
      <w:marBottom w:val="0"/>
      <w:divBdr>
        <w:top w:val="none" w:sz="0" w:space="0" w:color="auto"/>
        <w:left w:val="none" w:sz="0" w:space="0" w:color="auto"/>
        <w:bottom w:val="none" w:sz="0" w:space="0" w:color="auto"/>
        <w:right w:val="none" w:sz="0" w:space="0" w:color="auto"/>
      </w:divBdr>
    </w:div>
    <w:div w:id="439686875">
      <w:bodyDiv w:val="1"/>
      <w:marLeft w:val="0"/>
      <w:marRight w:val="0"/>
      <w:marTop w:val="0"/>
      <w:marBottom w:val="0"/>
      <w:divBdr>
        <w:top w:val="none" w:sz="0" w:space="0" w:color="auto"/>
        <w:left w:val="none" w:sz="0" w:space="0" w:color="auto"/>
        <w:bottom w:val="none" w:sz="0" w:space="0" w:color="auto"/>
        <w:right w:val="none" w:sz="0" w:space="0" w:color="auto"/>
      </w:divBdr>
    </w:div>
    <w:div w:id="440488948">
      <w:bodyDiv w:val="1"/>
      <w:marLeft w:val="0"/>
      <w:marRight w:val="0"/>
      <w:marTop w:val="0"/>
      <w:marBottom w:val="0"/>
      <w:divBdr>
        <w:top w:val="none" w:sz="0" w:space="0" w:color="auto"/>
        <w:left w:val="none" w:sz="0" w:space="0" w:color="auto"/>
        <w:bottom w:val="none" w:sz="0" w:space="0" w:color="auto"/>
        <w:right w:val="none" w:sz="0" w:space="0" w:color="auto"/>
      </w:divBdr>
    </w:div>
    <w:div w:id="446655683">
      <w:bodyDiv w:val="1"/>
      <w:marLeft w:val="0"/>
      <w:marRight w:val="0"/>
      <w:marTop w:val="0"/>
      <w:marBottom w:val="0"/>
      <w:divBdr>
        <w:top w:val="none" w:sz="0" w:space="0" w:color="auto"/>
        <w:left w:val="none" w:sz="0" w:space="0" w:color="auto"/>
        <w:bottom w:val="none" w:sz="0" w:space="0" w:color="auto"/>
        <w:right w:val="none" w:sz="0" w:space="0" w:color="auto"/>
      </w:divBdr>
    </w:div>
    <w:div w:id="447048446">
      <w:bodyDiv w:val="1"/>
      <w:marLeft w:val="0"/>
      <w:marRight w:val="0"/>
      <w:marTop w:val="0"/>
      <w:marBottom w:val="0"/>
      <w:divBdr>
        <w:top w:val="none" w:sz="0" w:space="0" w:color="auto"/>
        <w:left w:val="none" w:sz="0" w:space="0" w:color="auto"/>
        <w:bottom w:val="none" w:sz="0" w:space="0" w:color="auto"/>
        <w:right w:val="none" w:sz="0" w:space="0" w:color="auto"/>
      </w:divBdr>
    </w:div>
    <w:div w:id="449015649">
      <w:bodyDiv w:val="1"/>
      <w:marLeft w:val="0"/>
      <w:marRight w:val="0"/>
      <w:marTop w:val="0"/>
      <w:marBottom w:val="0"/>
      <w:divBdr>
        <w:top w:val="none" w:sz="0" w:space="0" w:color="auto"/>
        <w:left w:val="none" w:sz="0" w:space="0" w:color="auto"/>
        <w:bottom w:val="none" w:sz="0" w:space="0" w:color="auto"/>
        <w:right w:val="none" w:sz="0" w:space="0" w:color="auto"/>
      </w:divBdr>
    </w:div>
    <w:div w:id="456291505">
      <w:bodyDiv w:val="1"/>
      <w:marLeft w:val="0"/>
      <w:marRight w:val="0"/>
      <w:marTop w:val="0"/>
      <w:marBottom w:val="0"/>
      <w:divBdr>
        <w:top w:val="none" w:sz="0" w:space="0" w:color="auto"/>
        <w:left w:val="none" w:sz="0" w:space="0" w:color="auto"/>
        <w:bottom w:val="none" w:sz="0" w:space="0" w:color="auto"/>
        <w:right w:val="none" w:sz="0" w:space="0" w:color="auto"/>
      </w:divBdr>
    </w:div>
    <w:div w:id="463012059">
      <w:bodyDiv w:val="1"/>
      <w:marLeft w:val="0"/>
      <w:marRight w:val="0"/>
      <w:marTop w:val="0"/>
      <w:marBottom w:val="0"/>
      <w:divBdr>
        <w:top w:val="none" w:sz="0" w:space="0" w:color="auto"/>
        <w:left w:val="none" w:sz="0" w:space="0" w:color="auto"/>
        <w:bottom w:val="none" w:sz="0" w:space="0" w:color="auto"/>
        <w:right w:val="none" w:sz="0" w:space="0" w:color="auto"/>
      </w:divBdr>
    </w:div>
    <w:div w:id="468548446">
      <w:bodyDiv w:val="1"/>
      <w:marLeft w:val="0"/>
      <w:marRight w:val="0"/>
      <w:marTop w:val="0"/>
      <w:marBottom w:val="0"/>
      <w:divBdr>
        <w:top w:val="none" w:sz="0" w:space="0" w:color="auto"/>
        <w:left w:val="none" w:sz="0" w:space="0" w:color="auto"/>
        <w:bottom w:val="none" w:sz="0" w:space="0" w:color="auto"/>
        <w:right w:val="none" w:sz="0" w:space="0" w:color="auto"/>
      </w:divBdr>
    </w:div>
    <w:div w:id="469789961">
      <w:bodyDiv w:val="1"/>
      <w:marLeft w:val="0"/>
      <w:marRight w:val="0"/>
      <w:marTop w:val="0"/>
      <w:marBottom w:val="0"/>
      <w:divBdr>
        <w:top w:val="none" w:sz="0" w:space="0" w:color="auto"/>
        <w:left w:val="none" w:sz="0" w:space="0" w:color="auto"/>
        <w:bottom w:val="none" w:sz="0" w:space="0" w:color="auto"/>
        <w:right w:val="none" w:sz="0" w:space="0" w:color="auto"/>
      </w:divBdr>
    </w:div>
    <w:div w:id="469857780">
      <w:bodyDiv w:val="1"/>
      <w:marLeft w:val="0"/>
      <w:marRight w:val="0"/>
      <w:marTop w:val="0"/>
      <w:marBottom w:val="0"/>
      <w:divBdr>
        <w:top w:val="none" w:sz="0" w:space="0" w:color="auto"/>
        <w:left w:val="none" w:sz="0" w:space="0" w:color="auto"/>
        <w:bottom w:val="none" w:sz="0" w:space="0" w:color="auto"/>
        <w:right w:val="none" w:sz="0" w:space="0" w:color="auto"/>
      </w:divBdr>
    </w:div>
    <w:div w:id="470244416">
      <w:bodyDiv w:val="1"/>
      <w:marLeft w:val="0"/>
      <w:marRight w:val="0"/>
      <w:marTop w:val="0"/>
      <w:marBottom w:val="0"/>
      <w:divBdr>
        <w:top w:val="none" w:sz="0" w:space="0" w:color="auto"/>
        <w:left w:val="none" w:sz="0" w:space="0" w:color="auto"/>
        <w:bottom w:val="none" w:sz="0" w:space="0" w:color="auto"/>
        <w:right w:val="none" w:sz="0" w:space="0" w:color="auto"/>
      </w:divBdr>
      <w:divsChild>
        <w:div w:id="70031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260509">
      <w:bodyDiv w:val="1"/>
      <w:marLeft w:val="0"/>
      <w:marRight w:val="0"/>
      <w:marTop w:val="0"/>
      <w:marBottom w:val="0"/>
      <w:divBdr>
        <w:top w:val="none" w:sz="0" w:space="0" w:color="auto"/>
        <w:left w:val="none" w:sz="0" w:space="0" w:color="auto"/>
        <w:bottom w:val="none" w:sz="0" w:space="0" w:color="auto"/>
        <w:right w:val="none" w:sz="0" w:space="0" w:color="auto"/>
      </w:divBdr>
    </w:div>
    <w:div w:id="474488847">
      <w:bodyDiv w:val="1"/>
      <w:marLeft w:val="0"/>
      <w:marRight w:val="0"/>
      <w:marTop w:val="0"/>
      <w:marBottom w:val="0"/>
      <w:divBdr>
        <w:top w:val="none" w:sz="0" w:space="0" w:color="auto"/>
        <w:left w:val="none" w:sz="0" w:space="0" w:color="auto"/>
        <w:bottom w:val="none" w:sz="0" w:space="0" w:color="auto"/>
        <w:right w:val="none" w:sz="0" w:space="0" w:color="auto"/>
      </w:divBdr>
    </w:div>
    <w:div w:id="474686637">
      <w:bodyDiv w:val="1"/>
      <w:marLeft w:val="0"/>
      <w:marRight w:val="0"/>
      <w:marTop w:val="0"/>
      <w:marBottom w:val="0"/>
      <w:divBdr>
        <w:top w:val="none" w:sz="0" w:space="0" w:color="auto"/>
        <w:left w:val="none" w:sz="0" w:space="0" w:color="auto"/>
        <w:bottom w:val="none" w:sz="0" w:space="0" w:color="auto"/>
        <w:right w:val="none" w:sz="0" w:space="0" w:color="auto"/>
      </w:divBdr>
    </w:div>
    <w:div w:id="475143936">
      <w:bodyDiv w:val="1"/>
      <w:marLeft w:val="0"/>
      <w:marRight w:val="0"/>
      <w:marTop w:val="0"/>
      <w:marBottom w:val="0"/>
      <w:divBdr>
        <w:top w:val="none" w:sz="0" w:space="0" w:color="auto"/>
        <w:left w:val="none" w:sz="0" w:space="0" w:color="auto"/>
        <w:bottom w:val="none" w:sz="0" w:space="0" w:color="auto"/>
        <w:right w:val="none" w:sz="0" w:space="0" w:color="auto"/>
      </w:divBdr>
    </w:div>
    <w:div w:id="475994835">
      <w:bodyDiv w:val="1"/>
      <w:marLeft w:val="0"/>
      <w:marRight w:val="0"/>
      <w:marTop w:val="0"/>
      <w:marBottom w:val="0"/>
      <w:divBdr>
        <w:top w:val="none" w:sz="0" w:space="0" w:color="auto"/>
        <w:left w:val="none" w:sz="0" w:space="0" w:color="auto"/>
        <w:bottom w:val="none" w:sz="0" w:space="0" w:color="auto"/>
        <w:right w:val="none" w:sz="0" w:space="0" w:color="auto"/>
      </w:divBdr>
    </w:div>
    <w:div w:id="478155659">
      <w:bodyDiv w:val="1"/>
      <w:marLeft w:val="0"/>
      <w:marRight w:val="0"/>
      <w:marTop w:val="0"/>
      <w:marBottom w:val="0"/>
      <w:divBdr>
        <w:top w:val="none" w:sz="0" w:space="0" w:color="auto"/>
        <w:left w:val="none" w:sz="0" w:space="0" w:color="auto"/>
        <w:bottom w:val="none" w:sz="0" w:space="0" w:color="auto"/>
        <w:right w:val="none" w:sz="0" w:space="0" w:color="auto"/>
      </w:divBdr>
    </w:div>
    <w:div w:id="478303535">
      <w:bodyDiv w:val="1"/>
      <w:marLeft w:val="0"/>
      <w:marRight w:val="0"/>
      <w:marTop w:val="0"/>
      <w:marBottom w:val="0"/>
      <w:divBdr>
        <w:top w:val="none" w:sz="0" w:space="0" w:color="auto"/>
        <w:left w:val="none" w:sz="0" w:space="0" w:color="auto"/>
        <w:bottom w:val="none" w:sz="0" w:space="0" w:color="auto"/>
        <w:right w:val="none" w:sz="0" w:space="0" w:color="auto"/>
      </w:divBdr>
    </w:div>
    <w:div w:id="479469877">
      <w:bodyDiv w:val="1"/>
      <w:marLeft w:val="0"/>
      <w:marRight w:val="0"/>
      <w:marTop w:val="0"/>
      <w:marBottom w:val="0"/>
      <w:divBdr>
        <w:top w:val="none" w:sz="0" w:space="0" w:color="auto"/>
        <w:left w:val="none" w:sz="0" w:space="0" w:color="auto"/>
        <w:bottom w:val="none" w:sz="0" w:space="0" w:color="auto"/>
        <w:right w:val="none" w:sz="0" w:space="0" w:color="auto"/>
      </w:divBdr>
    </w:div>
    <w:div w:id="483618871">
      <w:bodyDiv w:val="1"/>
      <w:marLeft w:val="0"/>
      <w:marRight w:val="0"/>
      <w:marTop w:val="0"/>
      <w:marBottom w:val="0"/>
      <w:divBdr>
        <w:top w:val="none" w:sz="0" w:space="0" w:color="auto"/>
        <w:left w:val="none" w:sz="0" w:space="0" w:color="auto"/>
        <w:bottom w:val="none" w:sz="0" w:space="0" w:color="auto"/>
        <w:right w:val="none" w:sz="0" w:space="0" w:color="auto"/>
      </w:divBdr>
    </w:div>
    <w:div w:id="485363781">
      <w:bodyDiv w:val="1"/>
      <w:marLeft w:val="0"/>
      <w:marRight w:val="0"/>
      <w:marTop w:val="0"/>
      <w:marBottom w:val="0"/>
      <w:divBdr>
        <w:top w:val="none" w:sz="0" w:space="0" w:color="auto"/>
        <w:left w:val="none" w:sz="0" w:space="0" w:color="auto"/>
        <w:bottom w:val="none" w:sz="0" w:space="0" w:color="auto"/>
        <w:right w:val="none" w:sz="0" w:space="0" w:color="auto"/>
      </w:divBdr>
    </w:div>
    <w:div w:id="485510496">
      <w:bodyDiv w:val="1"/>
      <w:marLeft w:val="0"/>
      <w:marRight w:val="0"/>
      <w:marTop w:val="0"/>
      <w:marBottom w:val="0"/>
      <w:divBdr>
        <w:top w:val="none" w:sz="0" w:space="0" w:color="auto"/>
        <w:left w:val="none" w:sz="0" w:space="0" w:color="auto"/>
        <w:bottom w:val="none" w:sz="0" w:space="0" w:color="auto"/>
        <w:right w:val="none" w:sz="0" w:space="0" w:color="auto"/>
      </w:divBdr>
    </w:div>
    <w:div w:id="486091921">
      <w:bodyDiv w:val="1"/>
      <w:marLeft w:val="0"/>
      <w:marRight w:val="0"/>
      <w:marTop w:val="0"/>
      <w:marBottom w:val="0"/>
      <w:divBdr>
        <w:top w:val="none" w:sz="0" w:space="0" w:color="auto"/>
        <w:left w:val="none" w:sz="0" w:space="0" w:color="auto"/>
        <w:bottom w:val="none" w:sz="0" w:space="0" w:color="auto"/>
        <w:right w:val="none" w:sz="0" w:space="0" w:color="auto"/>
      </w:divBdr>
    </w:div>
    <w:div w:id="486867942">
      <w:bodyDiv w:val="1"/>
      <w:marLeft w:val="0"/>
      <w:marRight w:val="0"/>
      <w:marTop w:val="0"/>
      <w:marBottom w:val="0"/>
      <w:divBdr>
        <w:top w:val="none" w:sz="0" w:space="0" w:color="auto"/>
        <w:left w:val="none" w:sz="0" w:space="0" w:color="auto"/>
        <w:bottom w:val="none" w:sz="0" w:space="0" w:color="auto"/>
        <w:right w:val="none" w:sz="0" w:space="0" w:color="auto"/>
      </w:divBdr>
    </w:div>
    <w:div w:id="489252083">
      <w:bodyDiv w:val="1"/>
      <w:marLeft w:val="0"/>
      <w:marRight w:val="0"/>
      <w:marTop w:val="0"/>
      <w:marBottom w:val="0"/>
      <w:divBdr>
        <w:top w:val="none" w:sz="0" w:space="0" w:color="auto"/>
        <w:left w:val="none" w:sz="0" w:space="0" w:color="auto"/>
        <w:bottom w:val="none" w:sz="0" w:space="0" w:color="auto"/>
        <w:right w:val="none" w:sz="0" w:space="0" w:color="auto"/>
      </w:divBdr>
    </w:div>
    <w:div w:id="489685639">
      <w:bodyDiv w:val="1"/>
      <w:marLeft w:val="0"/>
      <w:marRight w:val="0"/>
      <w:marTop w:val="0"/>
      <w:marBottom w:val="0"/>
      <w:divBdr>
        <w:top w:val="none" w:sz="0" w:space="0" w:color="auto"/>
        <w:left w:val="none" w:sz="0" w:space="0" w:color="auto"/>
        <w:bottom w:val="none" w:sz="0" w:space="0" w:color="auto"/>
        <w:right w:val="none" w:sz="0" w:space="0" w:color="auto"/>
      </w:divBdr>
    </w:div>
    <w:div w:id="494105821">
      <w:bodyDiv w:val="1"/>
      <w:marLeft w:val="0"/>
      <w:marRight w:val="0"/>
      <w:marTop w:val="0"/>
      <w:marBottom w:val="0"/>
      <w:divBdr>
        <w:top w:val="none" w:sz="0" w:space="0" w:color="auto"/>
        <w:left w:val="none" w:sz="0" w:space="0" w:color="auto"/>
        <w:bottom w:val="none" w:sz="0" w:space="0" w:color="auto"/>
        <w:right w:val="none" w:sz="0" w:space="0" w:color="auto"/>
      </w:divBdr>
    </w:div>
    <w:div w:id="499271639">
      <w:bodyDiv w:val="1"/>
      <w:marLeft w:val="0"/>
      <w:marRight w:val="0"/>
      <w:marTop w:val="0"/>
      <w:marBottom w:val="0"/>
      <w:divBdr>
        <w:top w:val="none" w:sz="0" w:space="0" w:color="auto"/>
        <w:left w:val="none" w:sz="0" w:space="0" w:color="auto"/>
        <w:bottom w:val="none" w:sz="0" w:space="0" w:color="auto"/>
        <w:right w:val="none" w:sz="0" w:space="0" w:color="auto"/>
      </w:divBdr>
    </w:div>
    <w:div w:id="503478892">
      <w:bodyDiv w:val="1"/>
      <w:marLeft w:val="0"/>
      <w:marRight w:val="0"/>
      <w:marTop w:val="0"/>
      <w:marBottom w:val="0"/>
      <w:divBdr>
        <w:top w:val="none" w:sz="0" w:space="0" w:color="auto"/>
        <w:left w:val="none" w:sz="0" w:space="0" w:color="auto"/>
        <w:bottom w:val="none" w:sz="0" w:space="0" w:color="auto"/>
        <w:right w:val="none" w:sz="0" w:space="0" w:color="auto"/>
      </w:divBdr>
    </w:div>
    <w:div w:id="505904887">
      <w:bodyDiv w:val="1"/>
      <w:marLeft w:val="0"/>
      <w:marRight w:val="0"/>
      <w:marTop w:val="0"/>
      <w:marBottom w:val="0"/>
      <w:divBdr>
        <w:top w:val="none" w:sz="0" w:space="0" w:color="auto"/>
        <w:left w:val="none" w:sz="0" w:space="0" w:color="auto"/>
        <w:bottom w:val="none" w:sz="0" w:space="0" w:color="auto"/>
        <w:right w:val="none" w:sz="0" w:space="0" w:color="auto"/>
      </w:divBdr>
    </w:div>
    <w:div w:id="506142425">
      <w:bodyDiv w:val="1"/>
      <w:marLeft w:val="0"/>
      <w:marRight w:val="0"/>
      <w:marTop w:val="0"/>
      <w:marBottom w:val="0"/>
      <w:divBdr>
        <w:top w:val="none" w:sz="0" w:space="0" w:color="auto"/>
        <w:left w:val="none" w:sz="0" w:space="0" w:color="auto"/>
        <w:bottom w:val="none" w:sz="0" w:space="0" w:color="auto"/>
        <w:right w:val="none" w:sz="0" w:space="0" w:color="auto"/>
      </w:divBdr>
    </w:div>
    <w:div w:id="508106074">
      <w:bodyDiv w:val="1"/>
      <w:marLeft w:val="0"/>
      <w:marRight w:val="0"/>
      <w:marTop w:val="0"/>
      <w:marBottom w:val="0"/>
      <w:divBdr>
        <w:top w:val="none" w:sz="0" w:space="0" w:color="auto"/>
        <w:left w:val="none" w:sz="0" w:space="0" w:color="auto"/>
        <w:bottom w:val="none" w:sz="0" w:space="0" w:color="auto"/>
        <w:right w:val="none" w:sz="0" w:space="0" w:color="auto"/>
      </w:divBdr>
    </w:div>
    <w:div w:id="509950467">
      <w:bodyDiv w:val="1"/>
      <w:marLeft w:val="0"/>
      <w:marRight w:val="0"/>
      <w:marTop w:val="0"/>
      <w:marBottom w:val="0"/>
      <w:divBdr>
        <w:top w:val="none" w:sz="0" w:space="0" w:color="auto"/>
        <w:left w:val="none" w:sz="0" w:space="0" w:color="auto"/>
        <w:bottom w:val="none" w:sz="0" w:space="0" w:color="auto"/>
        <w:right w:val="none" w:sz="0" w:space="0" w:color="auto"/>
      </w:divBdr>
    </w:div>
    <w:div w:id="509954774">
      <w:bodyDiv w:val="1"/>
      <w:marLeft w:val="0"/>
      <w:marRight w:val="0"/>
      <w:marTop w:val="0"/>
      <w:marBottom w:val="0"/>
      <w:divBdr>
        <w:top w:val="none" w:sz="0" w:space="0" w:color="auto"/>
        <w:left w:val="none" w:sz="0" w:space="0" w:color="auto"/>
        <w:bottom w:val="none" w:sz="0" w:space="0" w:color="auto"/>
        <w:right w:val="none" w:sz="0" w:space="0" w:color="auto"/>
      </w:divBdr>
    </w:div>
    <w:div w:id="512769226">
      <w:bodyDiv w:val="1"/>
      <w:marLeft w:val="0"/>
      <w:marRight w:val="0"/>
      <w:marTop w:val="0"/>
      <w:marBottom w:val="0"/>
      <w:divBdr>
        <w:top w:val="none" w:sz="0" w:space="0" w:color="auto"/>
        <w:left w:val="none" w:sz="0" w:space="0" w:color="auto"/>
        <w:bottom w:val="none" w:sz="0" w:space="0" w:color="auto"/>
        <w:right w:val="none" w:sz="0" w:space="0" w:color="auto"/>
      </w:divBdr>
    </w:div>
    <w:div w:id="513031228">
      <w:bodyDiv w:val="1"/>
      <w:marLeft w:val="0"/>
      <w:marRight w:val="0"/>
      <w:marTop w:val="0"/>
      <w:marBottom w:val="0"/>
      <w:divBdr>
        <w:top w:val="none" w:sz="0" w:space="0" w:color="auto"/>
        <w:left w:val="none" w:sz="0" w:space="0" w:color="auto"/>
        <w:bottom w:val="none" w:sz="0" w:space="0" w:color="auto"/>
        <w:right w:val="none" w:sz="0" w:space="0" w:color="auto"/>
      </w:divBdr>
    </w:div>
    <w:div w:id="513543246">
      <w:bodyDiv w:val="1"/>
      <w:marLeft w:val="0"/>
      <w:marRight w:val="0"/>
      <w:marTop w:val="0"/>
      <w:marBottom w:val="0"/>
      <w:divBdr>
        <w:top w:val="none" w:sz="0" w:space="0" w:color="auto"/>
        <w:left w:val="none" w:sz="0" w:space="0" w:color="auto"/>
        <w:bottom w:val="none" w:sz="0" w:space="0" w:color="auto"/>
        <w:right w:val="none" w:sz="0" w:space="0" w:color="auto"/>
      </w:divBdr>
    </w:div>
    <w:div w:id="513693987">
      <w:bodyDiv w:val="1"/>
      <w:marLeft w:val="0"/>
      <w:marRight w:val="0"/>
      <w:marTop w:val="0"/>
      <w:marBottom w:val="0"/>
      <w:divBdr>
        <w:top w:val="none" w:sz="0" w:space="0" w:color="auto"/>
        <w:left w:val="none" w:sz="0" w:space="0" w:color="auto"/>
        <w:bottom w:val="none" w:sz="0" w:space="0" w:color="auto"/>
        <w:right w:val="none" w:sz="0" w:space="0" w:color="auto"/>
      </w:divBdr>
    </w:div>
    <w:div w:id="519661427">
      <w:bodyDiv w:val="1"/>
      <w:marLeft w:val="0"/>
      <w:marRight w:val="0"/>
      <w:marTop w:val="0"/>
      <w:marBottom w:val="0"/>
      <w:divBdr>
        <w:top w:val="none" w:sz="0" w:space="0" w:color="auto"/>
        <w:left w:val="none" w:sz="0" w:space="0" w:color="auto"/>
        <w:bottom w:val="none" w:sz="0" w:space="0" w:color="auto"/>
        <w:right w:val="none" w:sz="0" w:space="0" w:color="auto"/>
      </w:divBdr>
    </w:div>
    <w:div w:id="524563111">
      <w:bodyDiv w:val="1"/>
      <w:marLeft w:val="0"/>
      <w:marRight w:val="0"/>
      <w:marTop w:val="0"/>
      <w:marBottom w:val="0"/>
      <w:divBdr>
        <w:top w:val="none" w:sz="0" w:space="0" w:color="auto"/>
        <w:left w:val="none" w:sz="0" w:space="0" w:color="auto"/>
        <w:bottom w:val="none" w:sz="0" w:space="0" w:color="auto"/>
        <w:right w:val="none" w:sz="0" w:space="0" w:color="auto"/>
      </w:divBdr>
    </w:div>
    <w:div w:id="538052090">
      <w:bodyDiv w:val="1"/>
      <w:marLeft w:val="0"/>
      <w:marRight w:val="0"/>
      <w:marTop w:val="0"/>
      <w:marBottom w:val="0"/>
      <w:divBdr>
        <w:top w:val="none" w:sz="0" w:space="0" w:color="auto"/>
        <w:left w:val="none" w:sz="0" w:space="0" w:color="auto"/>
        <w:bottom w:val="none" w:sz="0" w:space="0" w:color="auto"/>
        <w:right w:val="none" w:sz="0" w:space="0" w:color="auto"/>
      </w:divBdr>
      <w:divsChild>
        <w:div w:id="238254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207346">
      <w:bodyDiv w:val="1"/>
      <w:marLeft w:val="0"/>
      <w:marRight w:val="0"/>
      <w:marTop w:val="0"/>
      <w:marBottom w:val="0"/>
      <w:divBdr>
        <w:top w:val="none" w:sz="0" w:space="0" w:color="auto"/>
        <w:left w:val="none" w:sz="0" w:space="0" w:color="auto"/>
        <w:bottom w:val="none" w:sz="0" w:space="0" w:color="auto"/>
        <w:right w:val="none" w:sz="0" w:space="0" w:color="auto"/>
      </w:divBdr>
    </w:div>
    <w:div w:id="542448312">
      <w:bodyDiv w:val="1"/>
      <w:marLeft w:val="0"/>
      <w:marRight w:val="0"/>
      <w:marTop w:val="0"/>
      <w:marBottom w:val="0"/>
      <w:divBdr>
        <w:top w:val="none" w:sz="0" w:space="0" w:color="auto"/>
        <w:left w:val="none" w:sz="0" w:space="0" w:color="auto"/>
        <w:bottom w:val="none" w:sz="0" w:space="0" w:color="auto"/>
        <w:right w:val="none" w:sz="0" w:space="0" w:color="auto"/>
      </w:divBdr>
    </w:div>
    <w:div w:id="542717455">
      <w:bodyDiv w:val="1"/>
      <w:marLeft w:val="0"/>
      <w:marRight w:val="0"/>
      <w:marTop w:val="0"/>
      <w:marBottom w:val="0"/>
      <w:divBdr>
        <w:top w:val="none" w:sz="0" w:space="0" w:color="auto"/>
        <w:left w:val="none" w:sz="0" w:space="0" w:color="auto"/>
        <w:bottom w:val="none" w:sz="0" w:space="0" w:color="auto"/>
        <w:right w:val="none" w:sz="0" w:space="0" w:color="auto"/>
      </w:divBdr>
    </w:div>
    <w:div w:id="542787362">
      <w:bodyDiv w:val="1"/>
      <w:marLeft w:val="0"/>
      <w:marRight w:val="0"/>
      <w:marTop w:val="0"/>
      <w:marBottom w:val="0"/>
      <w:divBdr>
        <w:top w:val="none" w:sz="0" w:space="0" w:color="auto"/>
        <w:left w:val="none" w:sz="0" w:space="0" w:color="auto"/>
        <w:bottom w:val="none" w:sz="0" w:space="0" w:color="auto"/>
        <w:right w:val="none" w:sz="0" w:space="0" w:color="auto"/>
      </w:divBdr>
    </w:div>
    <w:div w:id="551040681">
      <w:bodyDiv w:val="1"/>
      <w:marLeft w:val="0"/>
      <w:marRight w:val="0"/>
      <w:marTop w:val="0"/>
      <w:marBottom w:val="0"/>
      <w:divBdr>
        <w:top w:val="none" w:sz="0" w:space="0" w:color="auto"/>
        <w:left w:val="none" w:sz="0" w:space="0" w:color="auto"/>
        <w:bottom w:val="none" w:sz="0" w:space="0" w:color="auto"/>
        <w:right w:val="none" w:sz="0" w:space="0" w:color="auto"/>
      </w:divBdr>
    </w:div>
    <w:div w:id="552542216">
      <w:bodyDiv w:val="1"/>
      <w:marLeft w:val="0"/>
      <w:marRight w:val="0"/>
      <w:marTop w:val="0"/>
      <w:marBottom w:val="0"/>
      <w:divBdr>
        <w:top w:val="none" w:sz="0" w:space="0" w:color="auto"/>
        <w:left w:val="none" w:sz="0" w:space="0" w:color="auto"/>
        <w:bottom w:val="none" w:sz="0" w:space="0" w:color="auto"/>
        <w:right w:val="none" w:sz="0" w:space="0" w:color="auto"/>
      </w:divBdr>
    </w:div>
    <w:div w:id="553734270">
      <w:bodyDiv w:val="1"/>
      <w:marLeft w:val="0"/>
      <w:marRight w:val="0"/>
      <w:marTop w:val="0"/>
      <w:marBottom w:val="0"/>
      <w:divBdr>
        <w:top w:val="none" w:sz="0" w:space="0" w:color="auto"/>
        <w:left w:val="none" w:sz="0" w:space="0" w:color="auto"/>
        <w:bottom w:val="none" w:sz="0" w:space="0" w:color="auto"/>
        <w:right w:val="none" w:sz="0" w:space="0" w:color="auto"/>
      </w:divBdr>
    </w:div>
    <w:div w:id="557939401">
      <w:bodyDiv w:val="1"/>
      <w:marLeft w:val="0"/>
      <w:marRight w:val="0"/>
      <w:marTop w:val="0"/>
      <w:marBottom w:val="0"/>
      <w:divBdr>
        <w:top w:val="none" w:sz="0" w:space="0" w:color="auto"/>
        <w:left w:val="none" w:sz="0" w:space="0" w:color="auto"/>
        <w:bottom w:val="none" w:sz="0" w:space="0" w:color="auto"/>
        <w:right w:val="none" w:sz="0" w:space="0" w:color="auto"/>
      </w:divBdr>
    </w:div>
    <w:div w:id="558783141">
      <w:bodyDiv w:val="1"/>
      <w:marLeft w:val="0"/>
      <w:marRight w:val="0"/>
      <w:marTop w:val="0"/>
      <w:marBottom w:val="0"/>
      <w:divBdr>
        <w:top w:val="none" w:sz="0" w:space="0" w:color="auto"/>
        <w:left w:val="none" w:sz="0" w:space="0" w:color="auto"/>
        <w:bottom w:val="none" w:sz="0" w:space="0" w:color="auto"/>
        <w:right w:val="none" w:sz="0" w:space="0" w:color="auto"/>
      </w:divBdr>
    </w:div>
    <w:div w:id="559054103">
      <w:bodyDiv w:val="1"/>
      <w:marLeft w:val="0"/>
      <w:marRight w:val="0"/>
      <w:marTop w:val="0"/>
      <w:marBottom w:val="0"/>
      <w:divBdr>
        <w:top w:val="none" w:sz="0" w:space="0" w:color="auto"/>
        <w:left w:val="none" w:sz="0" w:space="0" w:color="auto"/>
        <w:bottom w:val="none" w:sz="0" w:space="0" w:color="auto"/>
        <w:right w:val="none" w:sz="0" w:space="0" w:color="auto"/>
      </w:divBdr>
    </w:div>
    <w:div w:id="562301651">
      <w:bodyDiv w:val="1"/>
      <w:marLeft w:val="0"/>
      <w:marRight w:val="0"/>
      <w:marTop w:val="0"/>
      <w:marBottom w:val="0"/>
      <w:divBdr>
        <w:top w:val="none" w:sz="0" w:space="0" w:color="auto"/>
        <w:left w:val="none" w:sz="0" w:space="0" w:color="auto"/>
        <w:bottom w:val="none" w:sz="0" w:space="0" w:color="auto"/>
        <w:right w:val="none" w:sz="0" w:space="0" w:color="auto"/>
      </w:divBdr>
    </w:div>
    <w:div w:id="563107155">
      <w:bodyDiv w:val="1"/>
      <w:marLeft w:val="0"/>
      <w:marRight w:val="0"/>
      <w:marTop w:val="0"/>
      <w:marBottom w:val="0"/>
      <w:divBdr>
        <w:top w:val="none" w:sz="0" w:space="0" w:color="auto"/>
        <w:left w:val="none" w:sz="0" w:space="0" w:color="auto"/>
        <w:bottom w:val="none" w:sz="0" w:space="0" w:color="auto"/>
        <w:right w:val="none" w:sz="0" w:space="0" w:color="auto"/>
      </w:divBdr>
    </w:div>
    <w:div w:id="563755530">
      <w:bodyDiv w:val="1"/>
      <w:marLeft w:val="0"/>
      <w:marRight w:val="0"/>
      <w:marTop w:val="0"/>
      <w:marBottom w:val="0"/>
      <w:divBdr>
        <w:top w:val="none" w:sz="0" w:space="0" w:color="auto"/>
        <w:left w:val="none" w:sz="0" w:space="0" w:color="auto"/>
        <w:bottom w:val="none" w:sz="0" w:space="0" w:color="auto"/>
        <w:right w:val="none" w:sz="0" w:space="0" w:color="auto"/>
      </w:divBdr>
    </w:div>
    <w:div w:id="564950299">
      <w:bodyDiv w:val="1"/>
      <w:marLeft w:val="0"/>
      <w:marRight w:val="0"/>
      <w:marTop w:val="0"/>
      <w:marBottom w:val="0"/>
      <w:divBdr>
        <w:top w:val="none" w:sz="0" w:space="0" w:color="auto"/>
        <w:left w:val="none" w:sz="0" w:space="0" w:color="auto"/>
        <w:bottom w:val="none" w:sz="0" w:space="0" w:color="auto"/>
        <w:right w:val="none" w:sz="0" w:space="0" w:color="auto"/>
      </w:divBdr>
    </w:div>
    <w:div w:id="565258514">
      <w:bodyDiv w:val="1"/>
      <w:marLeft w:val="0"/>
      <w:marRight w:val="0"/>
      <w:marTop w:val="0"/>
      <w:marBottom w:val="0"/>
      <w:divBdr>
        <w:top w:val="none" w:sz="0" w:space="0" w:color="auto"/>
        <w:left w:val="none" w:sz="0" w:space="0" w:color="auto"/>
        <w:bottom w:val="none" w:sz="0" w:space="0" w:color="auto"/>
        <w:right w:val="none" w:sz="0" w:space="0" w:color="auto"/>
      </w:divBdr>
    </w:div>
    <w:div w:id="565728359">
      <w:bodyDiv w:val="1"/>
      <w:marLeft w:val="0"/>
      <w:marRight w:val="0"/>
      <w:marTop w:val="0"/>
      <w:marBottom w:val="0"/>
      <w:divBdr>
        <w:top w:val="none" w:sz="0" w:space="0" w:color="auto"/>
        <w:left w:val="none" w:sz="0" w:space="0" w:color="auto"/>
        <w:bottom w:val="none" w:sz="0" w:space="0" w:color="auto"/>
        <w:right w:val="none" w:sz="0" w:space="0" w:color="auto"/>
      </w:divBdr>
    </w:div>
    <w:div w:id="566844128">
      <w:bodyDiv w:val="1"/>
      <w:marLeft w:val="0"/>
      <w:marRight w:val="0"/>
      <w:marTop w:val="0"/>
      <w:marBottom w:val="0"/>
      <w:divBdr>
        <w:top w:val="none" w:sz="0" w:space="0" w:color="auto"/>
        <w:left w:val="none" w:sz="0" w:space="0" w:color="auto"/>
        <w:bottom w:val="none" w:sz="0" w:space="0" w:color="auto"/>
        <w:right w:val="none" w:sz="0" w:space="0" w:color="auto"/>
      </w:divBdr>
    </w:div>
    <w:div w:id="569269427">
      <w:bodyDiv w:val="1"/>
      <w:marLeft w:val="0"/>
      <w:marRight w:val="0"/>
      <w:marTop w:val="0"/>
      <w:marBottom w:val="0"/>
      <w:divBdr>
        <w:top w:val="none" w:sz="0" w:space="0" w:color="auto"/>
        <w:left w:val="none" w:sz="0" w:space="0" w:color="auto"/>
        <w:bottom w:val="none" w:sz="0" w:space="0" w:color="auto"/>
        <w:right w:val="none" w:sz="0" w:space="0" w:color="auto"/>
      </w:divBdr>
    </w:div>
    <w:div w:id="569576985">
      <w:bodyDiv w:val="1"/>
      <w:marLeft w:val="0"/>
      <w:marRight w:val="0"/>
      <w:marTop w:val="0"/>
      <w:marBottom w:val="0"/>
      <w:divBdr>
        <w:top w:val="none" w:sz="0" w:space="0" w:color="auto"/>
        <w:left w:val="none" w:sz="0" w:space="0" w:color="auto"/>
        <w:bottom w:val="none" w:sz="0" w:space="0" w:color="auto"/>
        <w:right w:val="none" w:sz="0" w:space="0" w:color="auto"/>
      </w:divBdr>
    </w:div>
    <w:div w:id="571038777">
      <w:bodyDiv w:val="1"/>
      <w:marLeft w:val="0"/>
      <w:marRight w:val="0"/>
      <w:marTop w:val="0"/>
      <w:marBottom w:val="0"/>
      <w:divBdr>
        <w:top w:val="none" w:sz="0" w:space="0" w:color="auto"/>
        <w:left w:val="none" w:sz="0" w:space="0" w:color="auto"/>
        <w:bottom w:val="none" w:sz="0" w:space="0" w:color="auto"/>
        <w:right w:val="none" w:sz="0" w:space="0" w:color="auto"/>
      </w:divBdr>
    </w:div>
    <w:div w:id="575825551">
      <w:bodyDiv w:val="1"/>
      <w:marLeft w:val="0"/>
      <w:marRight w:val="0"/>
      <w:marTop w:val="0"/>
      <w:marBottom w:val="0"/>
      <w:divBdr>
        <w:top w:val="none" w:sz="0" w:space="0" w:color="auto"/>
        <w:left w:val="none" w:sz="0" w:space="0" w:color="auto"/>
        <w:bottom w:val="none" w:sz="0" w:space="0" w:color="auto"/>
        <w:right w:val="none" w:sz="0" w:space="0" w:color="auto"/>
      </w:divBdr>
    </w:div>
    <w:div w:id="576285992">
      <w:bodyDiv w:val="1"/>
      <w:marLeft w:val="0"/>
      <w:marRight w:val="0"/>
      <w:marTop w:val="0"/>
      <w:marBottom w:val="0"/>
      <w:divBdr>
        <w:top w:val="none" w:sz="0" w:space="0" w:color="auto"/>
        <w:left w:val="none" w:sz="0" w:space="0" w:color="auto"/>
        <w:bottom w:val="none" w:sz="0" w:space="0" w:color="auto"/>
        <w:right w:val="none" w:sz="0" w:space="0" w:color="auto"/>
      </w:divBdr>
    </w:div>
    <w:div w:id="577059174">
      <w:bodyDiv w:val="1"/>
      <w:marLeft w:val="0"/>
      <w:marRight w:val="0"/>
      <w:marTop w:val="0"/>
      <w:marBottom w:val="0"/>
      <w:divBdr>
        <w:top w:val="none" w:sz="0" w:space="0" w:color="auto"/>
        <w:left w:val="none" w:sz="0" w:space="0" w:color="auto"/>
        <w:bottom w:val="none" w:sz="0" w:space="0" w:color="auto"/>
        <w:right w:val="none" w:sz="0" w:space="0" w:color="auto"/>
      </w:divBdr>
    </w:div>
    <w:div w:id="578558524">
      <w:bodyDiv w:val="1"/>
      <w:marLeft w:val="0"/>
      <w:marRight w:val="0"/>
      <w:marTop w:val="0"/>
      <w:marBottom w:val="0"/>
      <w:divBdr>
        <w:top w:val="none" w:sz="0" w:space="0" w:color="auto"/>
        <w:left w:val="none" w:sz="0" w:space="0" w:color="auto"/>
        <w:bottom w:val="none" w:sz="0" w:space="0" w:color="auto"/>
        <w:right w:val="none" w:sz="0" w:space="0" w:color="auto"/>
      </w:divBdr>
    </w:div>
    <w:div w:id="580722024">
      <w:bodyDiv w:val="1"/>
      <w:marLeft w:val="0"/>
      <w:marRight w:val="0"/>
      <w:marTop w:val="0"/>
      <w:marBottom w:val="0"/>
      <w:divBdr>
        <w:top w:val="none" w:sz="0" w:space="0" w:color="auto"/>
        <w:left w:val="none" w:sz="0" w:space="0" w:color="auto"/>
        <w:bottom w:val="none" w:sz="0" w:space="0" w:color="auto"/>
        <w:right w:val="none" w:sz="0" w:space="0" w:color="auto"/>
      </w:divBdr>
    </w:div>
    <w:div w:id="581139328">
      <w:bodyDiv w:val="1"/>
      <w:marLeft w:val="0"/>
      <w:marRight w:val="0"/>
      <w:marTop w:val="0"/>
      <w:marBottom w:val="0"/>
      <w:divBdr>
        <w:top w:val="none" w:sz="0" w:space="0" w:color="auto"/>
        <w:left w:val="none" w:sz="0" w:space="0" w:color="auto"/>
        <w:bottom w:val="none" w:sz="0" w:space="0" w:color="auto"/>
        <w:right w:val="none" w:sz="0" w:space="0" w:color="auto"/>
      </w:divBdr>
    </w:div>
    <w:div w:id="584269558">
      <w:bodyDiv w:val="1"/>
      <w:marLeft w:val="0"/>
      <w:marRight w:val="0"/>
      <w:marTop w:val="0"/>
      <w:marBottom w:val="0"/>
      <w:divBdr>
        <w:top w:val="none" w:sz="0" w:space="0" w:color="auto"/>
        <w:left w:val="none" w:sz="0" w:space="0" w:color="auto"/>
        <w:bottom w:val="none" w:sz="0" w:space="0" w:color="auto"/>
        <w:right w:val="none" w:sz="0" w:space="0" w:color="auto"/>
      </w:divBdr>
    </w:div>
    <w:div w:id="584998644">
      <w:bodyDiv w:val="1"/>
      <w:marLeft w:val="0"/>
      <w:marRight w:val="0"/>
      <w:marTop w:val="0"/>
      <w:marBottom w:val="0"/>
      <w:divBdr>
        <w:top w:val="none" w:sz="0" w:space="0" w:color="auto"/>
        <w:left w:val="none" w:sz="0" w:space="0" w:color="auto"/>
        <w:bottom w:val="none" w:sz="0" w:space="0" w:color="auto"/>
        <w:right w:val="none" w:sz="0" w:space="0" w:color="auto"/>
      </w:divBdr>
    </w:div>
    <w:div w:id="585263622">
      <w:bodyDiv w:val="1"/>
      <w:marLeft w:val="0"/>
      <w:marRight w:val="0"/>
      <w:marTop w:val="0"/>
      <w:marBottom w:val="0"/>
      <w:divBdr>
        <w:top w:val="none" w:sz="0" w:space="0" w:color="auto"/>
        <w:left w:val="none" w:sz="0" w:space="0" w:color="auto"/>
        <w:bottom w:val="none" w:sz="0" w:space="0" w:color="auto"/>
        <w:right w:val="none" w:sz="0" w:space="0" w:color="auto"/>
      </w:divBdr>
    </w:div>
    <w:div w:id="585385369">
      <w:bodyDiv w:val="1"/>
      <w:marLeft w:val="0"/>
      <w:marRight w:val="0"/>
      <w:marTop w:val="0"/>
      <w:marBottom w:val="0"/>
      <w:divBdr>
        <w:top w:val="none" w:sz="0" w:space="0" w:color="auto"/>
        <w:left w:val="none" w:sz="0" w:space="0" w:color="auto"/>
        <w:bottom w:val="none" w:sz="0" w:space="0" w:color="auto"/>
        <w:right w:val="none" w:sz="0" w:space="0" w:color="auto"/>
      </w:divBdr>
    </w:div>
    <w:div w:id="585499640">
      <w:bodyDiv w:val="1"/>
      <w:marLeft w:val="0"/>
      <w:marRight w:val="0"/>
      <w:marTop w:val="0"/>
      <w:marBottom w:val="0"/>
      <w:divBdr>
        <w:top w:val="none" w:sz="0" w:space="0" w:color="auto"/>
        <w:left w:val="none" w:sz="0" w:space="0" w:color="auto"/>
        <w:bottom w:val="none" w:sz="0" w:space="0" w:color="auto"/>
        <w:right w:val="none" w:sz="0" w:space="0" w:color="auto"/>
      </w:divBdr>
    </w:div>
    <w:div w:id="586502939">
      <w:bodyDiv w:val="1"/>
      <w:marLeft w:val="0"/>
      <w:marRight w:val="0"/>
      <w:marTop w:val="0"/>
      <w:marBottom w:val="0"/>
      <w:divBdr>
        <w:top w:val="none" w:sz="0" w:space="0" w:color="auto"/>
        <w:left w:val="none" w:sz="0" w:space="0" w:color="auto"/>
        <w:bottom w:val="none" w:sz="0" w:space="0" w:color="auto"/>
        <w:right w:val="none" w:sz="0" w:space="0" w:color="auto"/>
      </w:divBdr>
    </w:div>
    <w:div w:id="586504775">
      <w:bodyDiv w:val="1"/>
      <w:marLeft w:val="0"/>
      <w:marRight w:val="0"/>
      <w:marTop w:val="0"/>
      <w:marBottom w:val="0"/>
      <w:divBdr>
        <w:top w:val="none" w:sz="0" w:space="0" w:color="auto"/>
        <w:left w:val="none" w:sz="0" w:space="0" w:color="auto"/>
        <w:bottom w:val="none" w:sz="0" w:space="0" w:color="auto"/>
        <w:right w:val="none" w:sz="0" w:space="0" w:color="auto"/>
      </w:divBdr>
    </w:div>
    <w:div w:id="588076719">
      <w:bodyDiv w:val="1"/>
      <w:marLeft w:val="0"/>
      <w:marRight w:val="0"/>
      <w:marTop w:val="0"/>
      <w:marBottom w:val="0"/>
      <w:divBdr>
        <w:top w:val="none" w:sz="0" w:space="0" w:color="auto"/>
        <w:left w:val="none" w:sz="0" w:space="0" w:color="auto"/>
        <w:bottom w:val="none" w:sz="0" w:space="0" w:color="auto"/>
        <w:right w:val="none" w:sz="0" w:space="0" w:color="auto"/>
      </w:divBdr>
    </w:div>
    <w:div w:id="589582472">
      <w:bodyDiv w:val="1"/>
      <w:marLeft w:val="0"/>
      <w:marRight w:val="0"/>
      <w:marTop w:val="0"/>
      <w:marBottom w:val="0"/>
      <w:divBdr>
        <w:top w:val="none" w:sz="0" w:space="0" w:color="auto"/>
        <w:left w:val="none" w:sz="0" w:space="0" w:color="auto"/>
        <w:bottom w:val="none" w:sz="0" w:space="0" w:color="auto"/>
        <w:right w:val="none" w:sz="0" w:space="0" w:color="auto"/>
      </w:divBdr>
    </w:div>
    <w:div w:id="590049386">
      <w:bodyDiv w:val="1"/>
      <w:marLeft w:val="0"/>
      <w:marRight w:val="0"/>
      <w:marTop w:val="0"/>
      <w:marBottom w:val="0"/>
      <w:divBdr>
        <w:top w:val="none" w:sz="0" w:space="0" w:color="auto"/>
        <w:left w:val="none" w:sz="0" w:space="0" w:color="auto"/>
        <w:bottom w:val="none" w:sz="0" w:space="0" w:color="auto"/>
        <w:right w:val="none" w:sz="0" w:space="0" w:color="auto"/>
      </w:divBdr>
    </w:div>
    <w:div w:id="590626583">
      <w:bodyDiv w:val="1"/>
      <w:marLeft w:val="0"/>
      <w:marRight w:val="0"/>
      <w:marTop w:val="0"/>
      <w:marBottom w:val="0"/>
      <w:divBdr>
        <w:top w:val="none" w:sz="0" w:space="0" w:color="auto"/>
        <w:left w:val="none" w:sz="0" w:space="0" w:color="auto"/>
        <w:bottom w:val="none" w:sz="0" w:space="0" w:color="auto"/>
        <w:right w:val="none" w:sz="0" w:space="0" w:color="auto"/>
      </w:divBdr>
    </w:div>
    <w:div w:id="595594200">
      <w:bodyDiv w:val="1"/>
      <w:marLeft w:val="0"/>
      <w:marRight w:val="0"/>
      <w:marTop w:val="0"/>
      <w:marBottom w:val="0"/>
      <w:divBdr>
        <w:top w:val="none" w:sz="0" w:space="0" w:color="auto"/>
        <w:left w:val="none" w:sz="0" w:space="0" w:color="auto"/>
        <w:bottom w:val="none" w:sz="0" w:space="0" w:color="auto"/>
        <w:right w:val="none" w:sz="0" w:space="0" w:color="auto"/>
      </w:divBdr>
    </w:div>
    <w:div w:id="599289996">
      <w:bodyDiv w:val="1"/>
      <w:marLeft w:val="0"/>
      <w:marRight w:val="0"/>
      <w:marTop w:val="0"/>
      <w:marBottom w:val="0"/>
      <w:divBdr>
        <w:top w:val="none" w:sz="0" w:space="0" w:color="auto"/>
        <w:left w:val="none" w:sz="0" w:space="0" w:color="auto"/>
        <w:bottom w:val="none" w:sz="0" w:space="0" w:color="auto"/>
        <w:right w:val="none" w:sz="0" w:space="0" w:color="auto"/>
      </w:divBdr>
    </w:div>
    <w:div w:id="603195048">
      <w:bodyDiv w:val="1"/>
      <w:marLeft w:val="0"/>
      <w:marRight w:val="0"/>
      <w:marTop w:val="0"/>
      <w:marBottom w:val="0"/>
      <w:divBdr>
        <w:top w:val="none" w:sz="0" w:space="0" w:color="auto"/>
        <w:left w:val="none" w:sz="0" w:space="0" w:color="auto"/>
        <w:bottom w:val="none" w:sz="0" w:space="0" w:color="auto"/>
        <w:right w:val="none" w:sz="0" w:space="0" w:color="auto"/>
      </w:divBdr>
    </w:div>
    <w:div w:id="605233280">
      <w:bodyDiv w:val="1"/>
      <w:marLeft w:val="0"/>
      <w:marRight w:val="0"/>
      <w:marTop w:val="0"/>
      <w:marBottom w:val="0"/>
      <w:divBdr>
        <w:top w:val="none" w:sz="0" w:space="0" w:color="auto"/>
        <w:left w:val="none" w:sz="0" w:space="0" w:color="auto"/>
        <w:bottom w:val="none" w:sz="0" w:space="0" w:color="auto"/>
        <w:right w:val="none" w:sz="0" w:space="0" w:color="auto"/>
      </w:divBdr>
    </w:div>
    <w:div w:id="607541365">
      <w:bodyDiv w:val="1"/>
      <w:marLeft w:val="0"/>
      <w:marRight w:val="0"/>
      <w:marTop w:val="0"/>
      <w:marBottom w:val="0"/>
      <w:divBdr>
        <w:top w:val="none" w:sz="0" w:space="0" w:color="auto"/>
        <w:left w:val="none" w:sz="0" w:space="0" w:color="auto"/>
        <w:bottom w:val="none" w:sz="0" w:space="0" w:color="auto"/>
        <w:right w:val="none" w:sz="0" w:space="0" w:color="auto"/>
      </w:divBdr>
    </w:div>
    <w:div w:id="614797695">
      <w:bodyDiv w:val="1"/>
      <w:marLeft w:val="0"/>
      <w:marRight w:val="0"/>
      <w:marTop w:val="0"/>
      <w:marBottom w:val="0"/>
      <w:divBdr>
        <w:top w:val="none" w:sz="0" w:space="0" w:color="auto"/>
        <w:left w:val="none" w:sz="0" w:space="0" w:color="auto"/>
        <w:bottom w:val="none" w:sz="0" w:space="0" w:color="auto"/>
        <w:right w:val="none" w:sz="0" w:space="0" w:color="auto"/>
      </w:divBdr>
    </w:div>
    <w:div w:id="615135380">
      <w:bodyDiv w:val="1"/>
      <w:marLeft w:val="0"/>
      <w:marRight w:val="0"/>
      <w:marTop w:val="0"/>
      <w:marBottom w:val="0"/>
      <w:divBdr>
        <w:top w:val="none" w:sz="0" w:space="0" w:color="auto"/>
        <w:left w:val="none" w:sz="0" w:space="0" w:color="auto"/>
        <w:bottom w:val="none" w:sz="0" w:space="0" w:color="auto"/>
        <w:right w:val="none" w:sz="0" w:space="0" w:color="auto"/>
      </w:divBdr>
    </w:div>
    <w:div w:id="615987919">
      <w:bodyDiv w:val="1"/>
      <w:marLeft w:val="0"/>
      <w:marRight w:val="0"/>
      <w:marTop w:val="0"/>
      <w:marBottom w:val="0"/>
      <w:divBdr>
        <w:top w:val="none" w:sz="0" w:space="0" w:color="auto"/>
        <w:left w:val="none" w:sz="0" w:space="0" w:color="auto"/>
        <w:bottom w:val="none" w:sz="0" w:space="0" w:color="auto"/>
        <w:right w:val="none" w:sz="0" w:space="0" w:color="auto"/>
      </w:divBdr>
    </w:div>
    <w:div w:id="616718527">
      <w:bodyDiv w:val="1"/>
      <w:marLeft w:val="0"/>
      <w:marRight w:val="0"/>
      <w:marTop w:val="0"/>
      <w:marBottom w:val="0"/>
      <w:divBdr>
        <w:top w:val="none" w:sz="0" w:space="0" w:color="auto"/>
        <w:left w:val="none" w:sz="0" w:space="0" w:color="auto"/>
        <w:bottom w:val="none" w:sz="0" w:space="0" w:color="auto"/>
        <w:right w:val="none" w:sz="0" w:space="0" w:color="auto"/>
      </w:divBdr>
    </w:div>
    <w:div w:id="621807497">
      <w:bodyDiv w:val="1"/>
      <w:marLeft w:val="0"/>
      <w:marRight w:val="0"/>
      <w:marTop w:val="0"/>
      <w:marBottom w:val="0"/>
      <w:divBdr>
        <w:top w:val="none" w:sz="0" w:space="0" w:color="auto"/>
        <w:left w:val="none" w:sz="0" w:space="0" w:color="auto"/>
        <w:bottom w:val="none" w:sz="0" w:space="0" w:color="auto"/>
        <w:right w:val="none" w:sz="0" w:space="0" w:color="auto"/>
      </w:divBdr>
    </w:div>
    <w:div w:id="622273872">
      <w:bodyDiv w:val="1"/>
      <w:marLeft w:val="0"/>
      <w:marRight w:val="0"/>
      <w:marTop w:val="0"/>
      <w:marBottom w:val="0"/>
      <w:divBdr>
        <w:top w:val="none" w:sz="0" w:space="0" w:color="auto"/>
        <w:left w:val="none" w:sz="0" w:space="0" w:color="auto"/>
        <w:bottom w:val="none" w:sz="0" w:space="0" w:color="auto"/>
        <w:right w:val="none" w:sz="0" w:space="0" w:color="auto"/>
      </w:divBdr>
    </w:div>
    <w:div w:id="627125262">
      <w:bodyDiv w:val="1"/>
      <w:marLeft w:val="0"/>
      <w:marRight w:val="0"/>
      <w:marTop w:val="0"/>
      <w:marBottom w:val="0"/>
      <w:divBdr>
        <w:top w:val="none" w:sz="0" w:space="0" w:color="auto"/>
        <w:left w:val="none" w:sz="0" w:space="0" w:color="auto"/>
        <w:bottom w:val="none" w:sz="0" w:space="0" w:color="auto"/>
        <w:right w:val="none" w:sz="0" w:space="0" w:color="auto"/>
      </w:divBdr>
    </w:div>
    <w:div w:id="629751045">
      <w:bodyDiv w:val="1"/>
      <w:marLeft w:val="0"/>
      <w:marRight w:val="0"/>
      <w:marTop w:val="0"/>
      <w:marBottom w:val="0"/>
      <w:divBdr>
        <w:top w:val="none" w:sz="0" w:space="0" w:color="auto"/>
        <w:left w:val="none" w:sz="0" w:space="0" w:color="auto"/>
        <w:bottom w:val="none" w:sz="0" w:space="0" w:color="auto"/>
        <w:right w:val="none" w:sz="0" w:space="0" w:color="auto"/>
      </w:divBdr>
    </w:div>
    <w:div w:id="630474368">
      <w:bodyDiv w:val="1"/>
      <w:marLeft w:val="0"/>
      <w:marRight w:val="0"/>
      <w:marTop w:val="0"/>
      <w:marBottom w:val="0"/>
      <w:divBdr>
        <w:top w:val="none" w:sz="0" w:space="0" w:color="auto"/>
        <w:left w:val="none" w:sz="0" w:space="0" w:color="auto"/>
        <w:bottom w:val="none" w:sz="0" w:space="0" w:color="auto"/>
        <w:right w:val="none" w:sz="0" w:space="0" w:color="auto"/>
      </w:divBdr>
    </w:div>
    <w:div w:id="631784749">
      <w:bodyDiv w:val="1"/>
      <w:marLeft w:val="0"/>
      <w:marRight w:val="0"/>
      <w:marTop w:val="0"/>
      <w:marBottom w:val="0"/>
      <w:divBdr>
        <w:top w:val="none" w:sz="0" w:space="0" w:color="auto"/>
        <w:left w:val="none" w:sz="0" w:space="0" w:color="auto"/>
        <w:bottom w:val="none" w:sz="0" w:space="0" w:color="auto"/>
        <w:right w:val="none" w:sz="0" w:space="0" w:color="auto"/>
      </w:divBdr>
    </w:div>
    <w:div w:id="637803445">
      <w:bodyDiv w:val="1"/>
      <w:marLeft w:val="0"/>
      <w:marRight w:val="0"/>
      <w:marTop w:val="0"/>
      <w:marBottom w:val="0"/>
      <w:divBdr>
        <w:top w:val="none" w:sz="0" w:space="0" w:color="auto"/>
        <w:left w:val="none" w:sz="0" w:space="0" w:color="auto"/>
        <w:bottom w:val="none" w:sz="0" w:space="0" w:color="auto"/>
        <w:right w:val="none" w:sz="0" w:space="0" w:color="auto"/>
      </w:divBdr>
    </w:div>
    <w:div w:id="638386226">
      <w:bodyDiv w:val="1"/>
      <w:marLeft w:val="0"/>
      <w:marRight w:val="0"/>
      <w:marTop w:val="0"/>
      <w:marBottom w:val="0"/>
      <w:divBdr>
        <w:top w:val="none" w:sz="0" w:space="0" w:color="auto"/>
        <w:left w:val="none" w:sz="0" w:space="0" w:color="auto"/>
        <w:bottom w:val="none" w:sz="0" w:space="0" w:color="auto"/>
        <w:right w:val="none" w:sz="0" w:space="0" w:color="auto"/>
      </w:divBdr>
    </w:div>
    <w:div w:id="640501086">
      <w:bodyDiv w:val="1"/>
      <w:marLeft w:val="0"/>
      <w:marRight w:val="0"/>
      <w:marTop w:val="0"/>
      <w:marBottom w:val="0"/>
      <w:divBdr>
        <w:top w:val="none" w:sz="0" w:space="0" w:color="auto"/>
        <w:left w:val="none" w:sz="0" w:space="0" w:color="auto"/>
        <w:bottom w:val="none" w:sz="0" w:space="0" w:color="auto"/>
        <w:right w:val="none" w:sz="0" w:space="0" w:color="auto"/>
      </w:divBdr>
    </w:div>
    <w:div w:id="646711863">
      <w:bodyDiv w:val="1"/>
      <w:marLeft w:val="0"/>
      <w:marRight w:val="0"/>
      <w:marTop w:val="0"/>
      <w:marBottom w:val="0"/>
      <w:divBdr>
        <w:top w:val="none" w:sz="0" w:space="0" w:color="auto"/>
        <w:left w:val="none" w:sz="0" w:space="0" w:color="auto"/>
        <w:bottom w:val="none" w:sz="0" w:space="0" w:color="auto"/>
        <w:right w:val="none" w:sz="0" w:space="0" w:color="auto"/>
      </w:divBdr>
      <w:divsChild>
        <w:div w:id="130632587">
          <w:marLeft w:val="0"/>
          <w:marRight w:val="0"/>
          <w:marTop w:val="0"/>
          <w:marBottom w:val="0"/>
          <w:divBdr>
            <w:top w:val="none" w:sz="0" w:space="0" w:color="auto"/>
            <w:left w:val="none" w:sz="0" w:space="0" w:color="auto"/>
            <w:bottom w:val="none" w:sz="0" w:space="0" w:color="auto"/>
            <w:right w:val="none" w:sz="0" w:space="0" w:color="auto"/>
          </w:divBdr>
          <w:divsChild>
            <w:div w:id="1324698703">
              <w:marLeft w:val="0"/>
              <w:marRight w:val="0"/>
              <w:marTop w:val="0"/>
              <w:marBottom w:val="0"/>
              <w:divBdr>
                <w:top w:val="none" w:sz="0" w:space="0" w:color="auto"/>
                <w:left w:val="none" w:sz="0" w:space="0" w:color="auto"/>
                <w:bottom w:val="none" w:sz="0" w:space="0" w:color="auto"/>
                <w:right w:val="none" w:sz="0" w:space="0" w:color="auto"/>
              </w:divBdr>
              <w:divsChild>
                <w:div w:id="1531991835">
                  <w:marLeft w:val="0"/>
                  <w:marRight w:val="0"/>
                  <w:marTop w:val="0"/>
                  <w:marBottom w:val="0"/>
                  <w:divBdr>
                    <w:top w:val="none" w:sz="0" w:space="0" w:color="auto"/>
                    <w:left w:val="none" w:sz="0" w:space="0" w:color="auto"/>
                    <w:bottom w:val="none" w:sz="0" w:space="0" w:color="auto"/>
                    <w:right w:val="none" w:sz="0" w:space="0" w:color="auto"/>
                  </w:divBdr>
                  <w:divsChild>
                    <w:div w:id="6817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338780">
      <w:bodyDiv w:val="1"/>
      <w:marLeft w:val="0"/>
      <w:marRight w:val="0"/>
      <w:marTop w:val="0"/>
      <w:marBottom w:val="0"/>
      <w:divBdr>
        <w:top w:val="none" w:sz="0" w:space="0" w:color="auto"/>
        <w:left w:val="none" w:sz="0" w:space="0" w:color="auto"/>
        <w:bottom w:val="none" w:sz="0" w:space="0" w:color="auto"/>
        <w:right w:val="none" w:sz="0" w:space="0" w:color="auto"/>
      </w:divBdr>
    </w:div>
    <w:div w:id="656298426">
      <w:bodyDiv w:val="1"/>
      <w:marLeft w:val="0"/>
      <w:marRight w:val="0"/>
      <w:marTop w:val="0"/>
      <w:marBottom w:val="0"/>
      <w:divBdr>
        <w:top w:val="none" w:sz="0" w:space="0" w:color="auto"/>
        <w:left w:val="none" w:sz="0" w:space="0" w:color="auto"/>
        <w:bottom w:val="none" w:sz="0" w:space="0" w:color="auto"/>
        <w:right w:val="none" w:sz="0" w:space="0" w:color="auto"/>
      </w:divBdr>
    </w:div>
    <w:div w:id="656998604">
      <w:bodyDiv w:val="1"/>
      <w:marLeft w:val="0"/>
      <w:marRight w:val="0"/>
      <w:marTop w:val="0"/>
      <w:marBottom w:val="0"/>
      <w:divBdr>
        <w:top w:val="none" w:sz="0" w:space="0" w:color="auto"/>
        <w:left w:val="none" w:sz="0" w:space="0" w:color="auto"/>
        <w:bottom w:val="none" w:sz="0" w:space="0" w:color="auto"/>
        <w:right w:val="none" w:sz="0" w:space="0" w:color="auto"/>
      </w:divBdr>
    </w:div>
    <w:div w:id="659891922">
      <w:bodyDiv w:val="1"/>
      <w:marLeft w:val="0"/>
      <w:marRight w:val="0"/>
      <w:marTop w:val="0"/>
      <w:marBottom w:val="0"/>
      <w:divBdr>
        <w:top w:val="none" w:sz="0" w:space="0" w:color="auto"/>
        <w:left w:val="none" w:sz="0" w:space="0" w:color="auto"/>
        <w:bottom w:val="none" w:sz="0" w:space="0" w:color="auto"/>
        <w:right w:val="none" w:sz="0" w:space="0" w:color="auto"/>
      </w:divBdr>
    </w:div>
    <w:div w:id="661472271">
      <w:bodyDiv w:val="1"/>
      <w:marLeft w:val="0"/>
      <w:marRight w:val="0"/>
      <w:marTop w:val="0"/>
      <w:marBottom w:val="0"/>
      <w:divBdr>
        <w:top w:val="none" w:sz="0" w:space="0" w:color="auto"/>
        <w:left w:val="none" w:sz="0" w:space="0" w:color="auto"/>
        <w:bottom w:val="none" w:sz="0" w:space="0" w:color="auto"/>
        <w:right w:val="none" w:sz="0" w:space="0" w:color="auto"/>
      </w:divBdr>
    </w:div>
    <w:div w:id="662466931">
      <w:bodyDiv w:val="1"/>
      <w:marLeft w:val="0"/>
      <w:marRight w:val="0"/>
      <w:marTop w:val="0"/>
      <w:marBottom w:val="0"/>
      <w:divBdr>
        <w:top w:val="none" w:sz="0" w:space="0" w:color="auto"/>
        <w:left w:val="none" w:sz="0" w:space="0" w:color="auto"/>
        <w:bottom w:val="none" w:sz="0" w:space="0" w:color="auto"/>
        <w:right w:val="none" w:sz="0" w:space="0" w:color="auto"/>
      </w:divBdr>
    </w:div>
    <w:div w:id="662782691">
      <w:bodyDiv w:val="1"/>
      <w:marLeft w:val="0"/>
      <w:marRight w:val="0"/>
      <w:marTop w:val="0"/>
      <w:marBottom w:val="0"/>
      <w:divBdr>
        <w:top w:val="none" w:sz="0" w:space="0" w:color="auto"/>
        <w:left w:val="none" w:sz="0" w:space="0" w:color="auto"/>
        <w:bottom w:val="none" w:sz="0" w:space="0" w:color="auto"/>
        <w:right w:val="none" w:sz="0" w:space="0" w:color="auto"/>
      </w:divBdr>
    </w:div>
    <w:div w:id="665790705">
      <w:bodyDiv w:val="1"/>
      <w:marLeft w:val="0"/>
      <w:marRight w:val="0"/>
      <w:marTop w:val="0"/>
      <w:marBottom w:val="0"/>
      <w:divBdr>
        <w:top w:val="none" w:sz="0" w:space="0" w:color="auto"/>
        <w:left w:val="none" w:sz="0" w:space="0" w:color="auto"/>
        <w:bottom w:val="none" w:sz="0" w:space="0" w:color="auto"/>
        <w:right w:val="none" w:sz="0" w:space="0" w:color="auto"/>
      </w:divBdr>
    </w:div>
    <w:div w:id="675039514">
      <w:bodyDiv w:val="1"/>
      <w:marLeft w:val="0"/>
      <w:marRight w:val="0"/>
      <w:marTop w:val="0"/>
      <w:marBottom w:val="0"/>
      <w:divBdr>
        <w:top w:val="none" w:sz="0" w:space="0" w:color="auto"/>
        <w:left w:val="none" w:sz="0" w:space="0" w:color="auto"/>
        <w:bottom w:val="none" w:sz="0" w:space="0" w:color="auto"/>
        <w:right w:val="none" w:sz="0" w:space="0" w:color="auto"/>
      </w:divBdr>
    </w:div>
    <w:div w:id="681278960">
      <w:bodyDiv w:val="1"/>
      <w:marLeft w:val="0"/>
      <w:marRight w:val="0"/>
      <w:marTop w:val="0"/>
      <w:marBottom w:val="0"/>
      <w:divBdr>
        <w:top w:val="none" w:sz="0" w:space="0" w:color="auto"/>
        <w:left w:val="none" w:sz="0" w:space="0" w:color="auto"/>
        <w:bottom w:val="none" w:sz="0" w:space="0" w:color="auto"/>
        <w:right w:val="none" w:sz="0" w:space="0" w:color="auto"/>
      </w:divBdr>
    </w:div>
    <w:div w:id="684748692">
      <w:bodyDiv w:val="1"/>
      <w:marLeft w:val="0"/>
      <w:marRight w:val="0"/>
      <w:marTop w:val="0"/>
      <w:marBottom w:val="0"/>
      <w:divBdr>
        <w:top w:val="none" w:sz="0" w:space="0" w:color="auto"/>
        <w:left w:val="none" w:sz="0" w:space="0" w:color="auto"/>
        <w:bottom w:val="none" w:sz="0" w:space="0" w:color="auto"/>
        <w:right w:val="none" w:sz="0" w:space="0" w:color="auto"/>
      </w:divBdr>
    </w:div>
    <w:div w:id="695693983">
      <w:bodyDiv w:val="1"/>
      <w:marLeft w:val="0"/>
      <w:marRight w:val="0"/>
      <w:marTop w:val="0"/>
      <w:marBottom w:val="0"/>
      <w:divBdr>
        <w:top w:val="none" w:sz="0" w:space="0" w:color="auto"/>
        <w:left w:val="none" w:sz="0" w:space="0" w:color="auto"/>
        <w:bottom w:val="none" w:sz="0" w:space="0" w:color="auto"/>
        <w:right w:val="none" w:sz="0" w:space="0" w:color="auto"/>
      </w:divBdr>
    </w:div>
    <w:div w:id="699820455">
      <w:bodyDiv w:val="1"/>
      <w:marLeft w:val="0"/>
      <w:marRight w:val="0"/>
      <w:marTop w:val="0"/>
      <w:marBottom w:val="0"/>
      <w:divBdr>
        <w:top w:val="none" w:sz="0" w:space="0" w:color="auto"/>
        <w:left w:val="none" w:sz="0" w:space="0" w:color="auto"/>
        <w:bottom w:val="none" w:sz="0" w:space="0" w:color="auto"/>
        <w:right w:val="none" w:sz="0" w:space="0" w:color="auto"/>
      </w:divBdr>
    </w:div>
    <w:div w:id="702218533">
      <w:bodyDiv w:val="1"/>
      <w:marLeft w:val="0"/>
      <w:marRight w:val="0"/>
      <w:marTop w:val="0"/>
      <w:marBottom w:val="0"/>
      <w:divBdr>
        <w:top w:val="none" w:sz="0" w:space="0" w:color="auto"/>
        <w:left w:val="none" w:sz="0" w:space="0" w:color="auto"/>
        <w:bottom w:val="none" w:sz="0" w:space="0" w:color="auto"/>
        <w:right w:val="none" w:sz="0" w:space="0" w:color="auto"/>
      </w:divBdr>
    </w:div>
    <w:div w:id="708411379">
      <w:bodyDiv w:val="1"/>
      <w:marLeft w:val="0"/>
      <w:marRight w:val="0"/>
      <w:marTop w:val="0"/>
      <w:marBottom w:val="0"/>
      <w:divBdr>
        <w:top w:val="none" w:sz="0" w:space="0" w:color="auto"/>
        <w:left w:val="none" w:sz="0" w:space="0" w:color="auto"/>
        <w:bottom w:val="none" w:sz="0" w:space="0" w:color="auto"/>
        <w:right w:val="none" w:sz="0" w:space="0" w:color="auto"/>
      </w:divBdr>
    </w:div>
    <w:div w:id="712001241">
      <w:bodyDiv w:val="1"/>
      <w:marLeft w:val="0"/>
      <w:marRight w:val="0"/>
      <w:marTop w:val="0"/>
      <w:marBottom w:val="0"/>
      <w:divBdr>
        <w:top w:val="none" w:sz="0" w:space="0" w:color="auto"/>
        <w:left w:val="none" w:sz="0" w:space="0" w:color="auto"/>
        <w:bottom w:val="none" w:sz="0" w:space="0" w:color="auto"/>
        <w:right w:val="none" w:sz="0" w:space="0" w:color="auto"/>
      </w:divBdr>
    </w:div>
    <w:div w:id="712919982">
      <w:bodyDiv w:val="1"/>
      <w:marLeft w:val="0"/>
      <w:marRight w:val="0"/>
      <w:marTop w:val="0"/>
      <w:marBottom w:val="0"/>
      <w:divBdr>
        <w:top w:val="none" w:sz="0" w:space="0" w:color="auto"/>
        <w:left w:val="none" w:sz="0" w:space="0" w:color="auto"/>
        <w:bottom w:val="none" w:sz="0" w:space="0" w:color="auto"/>
        <w:right w:val="none" w:sz="0" w:space="0" w:color="auto"/>
      </w:divBdr>
    </w:div>
    <w:div w:id="716316234">
      <w:bodyDiv w:val="1"/>
      <w:marLeft w:val="0"/>
      <w:marRight w:val="0"/>
      <w:marTop w:val="0"/>
      <w:marBottom w:val="0"/>
      <w:divBdr>
        <w:top w:val="none" w:sz="0" w:space="0" w:color="auto"/>
        <w:left w:val="none" w:sz="0" w:space="0" w:color="auto"/>
        <w:bottom w:val="none" w:sz="0" w:space="0" w:color="auto"/>
        <w:right w:val="none" w:sz="0" w:space="0" w:color="auto"/>
      </w:divBdr>
    </w:div>
    <w:div w:id="717244348">
      <w:bodyDiv w:val="1"/>
      <w:marLeft w:val="0"/>
      <w:marRight w:val="0"/>
      <w:marTop w:val="0"/>
      <w:marBottom w:val="0"/>
      <w:divBdr>
        <w:top w:val="none" w:sz="0" w:space="0" w:color="auto"/>
        <w:left w:val="none" w:sz="0" w:space="0" w:color="auto"/>
        <w:bottom w:val="none" w:sz="0" w:space="0" w:color="auto"/>
        <w:right w:val="none" w:sz="0" w:space="0" w:color="auto"/>
      </w:divBdr>
    </w:div>
    <w:div w:id="717434602">
      <w:bodyDiv w:val="1"/>
      <w:marLeft w:val="0"/>
      <w:marRight w:val="0"/>
      <w:marTop w:val="0"/>
      <w:marBottom w:val="0"/>
      <w:divBdr>
        <w:top w:val="none" w:sz="0" w:space="0" w:color="auto"/>
        <w:left w:val="none" w:sz="0" w:space="0" w:color="auto"/>
        <w:bottom w:val="none" w:sz="0" w:space="0" w:color="auto"/>
        <w:right w:val="none" w:sz="0" w:space="0" w:color="auto"/>
      </w:divBdr>
    </w:div>
    <w:div w:id="723404661">
      <w:bodyDiv w:val="1"/>
      <w:marLeft w:val="0"/>
      <w:marRight w:val="0"/>
      <w:marTop w:val="0"/>
      <w:marBottom w:val="0"/>
      <w:divBdr>
        <w:top w:val="none" w:sz="0" w:space="0" w:color="auto"/>
        <w:left w:val="none" w:sz="0" w:space="0" w:color="auto"/>
        <w:bottom w:val="none" w:sz="0" w:space="0" w:color="auto"/>
        <w:right w:val="none" w:sz="0" w:space="0" w:color="auto"/>
      </w:divBdr>
    </w:div>
    <w:div w:id="723524190">
      <w:bodyDiv w:val="1"/>
      <w:marLeft w:val="0"/>
      <w:marRight w:val="0"/>
      <w:marTop w:val="0"/>
      <w:marBottom w:val="0"/>
      <w:divBdr>
        <w:top w:val="none" w:sz="0" w:space="0" w:color="auto"/>
        <w:left w:val="none" w:sz="0" w:space="0" w:color="auto"/>
        <w:bottom w:val="none" w:sz="0" w:space="0" w:color="auto"/>
        <w:right w:val="none" w:sz="0" w:space="0" w:color="auto"/>
      </w:divBdr>
    </w:div>
    <w:div w:id="725179409">
      <w:bodyDiv w:val="1"/>
      <w:marLeft w:val="0"/>
      <w:marRight w:val="0"/>
      <w:marTop w:val="0"/>
      <w:marBottom w:val="0"/>
      <w:divBdr>
        <w:top w:val="none" w:sz="0" w:space="0" w:color="auto"/>
        <w:left w:val="none" w:sz="0" w:space="0" w:color="auto"/>
        <w:bottom w:val="none" w:sz="0" w:space="0" w:color="auto"/>
        <w:right w:val="none" w:sz="0" w:space="0" w:color="auto"/>
      </w:divBdr>
    </w:div>
    <w:div w:id="725834988">
      <w:bodyDiv w:val="1"/>
      <w:marLeft w:val="0"/>
      <w:marRight w:val="0"/>
      <w:marTop w:val="0"/>
      <w:marBottom w:val="0"/>
      <w:divBdr>
        <w:top w:val="none" w:sz="0" w:space="0" w:color="auto"/>
        <w:left w:val="none" w:sz="0" w:space="0" w:color="auto"/>
        <w:bottom w:val="none" w:sz="0" w:space="0" w:color="auto"/>
        <w:right w:val="none" w:sz="0" w:space="0" w:color="auto"/>
      </w:divBdr>
    </w:div>
    <w:div w:id="726300676">
      <w:bodyDiv w:val="1"/>
      <w:marLeft w:val="0"/>
      <w:marRight w:val="0"/>
      <w:marTop w:val="0"/>
      <w:marBottom w:val="0"/>
      <w:divBdr>
        <w:top w:val="none" w:sz="0" w:space="0" w:color="auto"/>
        <w:left w:val="none" w:sz="0" w:space="0" w:color="auto"/>
        <w:bottom w:val="none" w:sz="0" w:space="0" w:color="auto"/>
        <w:right w:val="none" w:sz="0" w:space="0" w:color="auto"/>
      </w:divBdr>
    </w:div>
    <w:div w:id="726688848">
      <w:bodyDiv w:val="1"/>
      <w:marLeft w:val="0"/>
      <w:marRight w:val="0"/>
      <w:marTop w:val="0"/>
      <w:marBottom w:val="0"/>
      <w:divBdr>
        <w:top w:val="none" w:sz="0" w:space="0" w:color="auto"/>
        <w:left w:val="none" w:sz="0" w:space="0" w:color="auto"/>
        <w:bottom w:val="none" w:sz="0" w:space="0" w:color="auto"/>
        <w:right w:val="none" w:sz="0" w:space="0" w:color="auto"/>
      </w:divBdr>
    </w:div>
    <w:div w:id="726756418">
      <w:bodyDiv w:val="1"/>
      <w:marLeft w:val="0"/>
      <w:marRight w:val="0"/>
      <w:marTop w:val="0"/>
      <w:marBottom w:val="0"/>
      <w:divBdr>
        <w:top w:val="none" w:sz="0" w:space="0" w:color="auto"/>
        <w:left w:val="none" w:sz="0" w:space="0" w:color="auto"/>
        <w:bottom w:val="none" w:sz="0" w:space="0" w:color="auto"/>
        <w:right w:val="none" w:sz="0" w:space="0" w:color="auto"/>
      </w:divBdr>
    </w:div>
    <w:div w:id="728188237">
      <w:bodyDiv w:val="1"/>
      <w:marLeft w:val="0"/>
      <w:marRight w:val="0"/>
      <w:marTop w:val="0"/>
      <w:marBottom w:val="0"/>
      <w:divBdr>
        <w:top w:val="none" w:sz="0" w:space="0" w:color="auto"/>
        <w:left w:val="none" w:sz="0" w:space="0" w:color="auto"/>
        <w:bottom w:val="none" w:sz="0" w:space="0" w:color="auto"/>
        <w:right w:val="none" w:sz="0" w:space="0" w:color="auto"/>
      </w:divBdr>
    </w:div>
    <w:div w:id="731004954">
      <w:bodyDiv w:val="1"/>
      <w:marLeft w:val="0"/>
      <w:marRight w:val="0"/>
      <w:marTop w:val="0"/>
      <w:marBottom w:val="0"/>
      <w:divBdr>
        <w:top w:val="none" w:sz="0" w:space="0" w:color="auto"/>
        <w:left w:val="none" w:sz="0" w:space="0" w:color="auto"/>
        <w:bottom w:val="none" w:sz="0" w:space="0" w:color="auto"/>
        <w:right w:val="none" w:sz="0" w:space="0" w:color="auto"/>
      </w:divBdr>
    </w:div>
    <w:div w:id="733502036">
      <w:bodyDiv w:val="1"/>
      <w:marLeft w:val="0"/>
      <w:marRight w:val="0"/>
      <w:marTop w:val="0"/>
      <w:marBottom w:val="0"/>
      <w:divBdr>
        <w:top w:val="none" w:sz="0" w:space="0" w:color="auto"/>
        <w:left w:val="none" w:sz="0" w:space="0" w:color="auto"/>
        <w:bottom w:val="none" w:sz="0" w:space="0" w:color="auto"/>
        <w:right w:val="none" w:sz="0" w:space="0" w:color="auto"/>
      </w:divBdr>
    </w:div>
    <w:div w:id="738787490">
      <w:bodyDiv w:val="1"/>
      <w:marLeft w:val="0"/>
      <w:marRight w:val="0"/>
      <w:marTop w:val="0"/>
      <w:marBottom w:val="0"/>
      <w:divBdr>
        <w:top w:val="none" w:sz="0" w:space="0" w:color="auto"/>
        <w:left w:val="none" w:sz="0" w:space="0" w:color="auto"/>
        <w:bottom w:val="none" w:sz="0" w:space="0" w:color="auto"/>
        <w:right w:val="none" w:sz="0" w:space="0" w:color="auto"/>
      </w:divBdr>
    </w:div>
    <w:div w:id="740643996">
      <w:bodyDiv w:val="1"/>
      <w:marLeft w:val="0"/>
      <w:marRight w:val="0"/>
      <w:marTop w:val="0"/>
      <w:marBottom w:val="0"/>
      <w:divBdr>
        <w:top w:val="none" w:sz="0" w:space="0" w:color="auto"/>
        <w:left w:val="none" w:sz="0" w:space="0" w:color="auto"/>
        <w:bottom w:val="none" w:sz="0" w:space="0" w:color="auto"/>
        <w:right w:val="none" w:sz="0" w:space="0" w:color="auto"/>
      </w:divBdr>
    </w:div>
    <w:div w:id="741414021">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6537971">
      <w:bodyDiv w:val="1"/>
      <w:marLeft w:val="0"/>
      <w:marRight w:val="0"/>
      <w:marTop w:val="0"/>
      <w:marBottom w:val="0"/>
      <w:divBdr>
        <w:top w:val="none" w:sz="0" w:space="0" w:color="auto"/>
        <w:left w:val="none" w:sz="0" w:space="0" w:color="auto"/>
        <w:bottom w:val="none" w:sz="0" w:space="0" w:color="auto"/>
        <w:right w:val="none" w:sz="0" w:space="0" w:color="auto"/>
      </w:divBdr>
    </w:div>
    <w:div w:id="747653761">
      <w:bodyDiv w:val="1"/>
      <w:marLeft w:val="0"/>
      <w:marRight w:val="0"/>
      <w:marTop w:val="0"/>
      <w:marBottom w:val="0"/>
      <w:divBdr>
        <w:top w:val="none" w:sz="0" w:space="0" w:color="auto"/>
        <w:left w:val="none" w:sz="0" w:space="0" w:color="auto"/>
        <w:bottom w:val="none" w:sz="0" w:space="0" w:color="auto"/>
        <w:right w:val="none" w:sz="0" w:space="0" w:color="auto"/>
      </w:divBdr>
    </w:div>
    <w:div w:id="747924519">
      <w:bodyDiv w:val="1"/>
      <w:marLeft w:val="0"/>
      <w:marRight w:val="0"/>
      <w:marTop w:val="0"/>
      <w:marBottom w:val="0"/>
      <w:divBdr>
        <w:top w:val="none" w:sz="0" w:space="0" w:color="auto"/>
        <w:left w:val="none" w:sz="0" w:space="0" w:color="auto"/>
        <w:bottom w:val="none" w:sz="0" w:space="0" w:color="auto"/>
        <w:right w:val="none" w:sz="0" w:space="0" w:color="auto"/>
      </w:divBdr>
    </w:div>
    <w:div w:id="750856390">
      <w:bodyDiv w:val="1"/>
      <w:marLeft w:val="0"/>
      <w:marRight w:val="0"/>
      <w:marTop w:val="0"/>
      <w:marBottom w:val="0"/>
      <w:divBdr>
        <w:top w:val="none" w:sz="0" w:space="0" w:color="auto"/>
        <w:left w:val="none" w:sz="0" w:space="0" w:color="auto"/>
        <w:bottom w:val="none" w:sz="0" w:space="0" w:color="auto"/>
        <w:right w:val="none" w:sz="0" w:space="0" w:color="auto"/>
      </w:divBdr>
    </w:div>
    <w:div w:id="753629041">
      <w:bodyDiv w:val="1"/>
      <w:marLeft w:val="0"/>
      <w:marRight w:val="0"/>
      <w:marTop w:val="0"/>
      <w:marBottom w:val="0"/>
      <w:divBdr>
        <w:top w:val="none" w:sz="0" w:space="0" w:color="auto"/>
        <w:left w:val="none" w:sz="0" w:space="0" w:color="auto"/>
        <w:bottom w:val="none" w:sz="0" w:space="0" w:color="auto"/>
        <w:right w:val="none" w:sz="0" w:space="0" w:color="auto"/>
      </w:divBdr>
    </w:div>
    <w:div w:id="755176119">
      <w:bodyDiv w:val="1"/>
      <w:marLeft w:val="0"/>
      <w:marRight w:val="0"/>
      <w:marTop w:val="0"/>
      <w:marBottom w:val="0"/>
      <w:divBdr>
        <w:top w:val="none" w:sz="0" w:space="0" w:color="auto"/>
        <w:left w:val="none" w:sz="0" w:space="0" w:color="auto"/>
        <w:bottom w:val="none" w:sz="0" w:space="0" w:color="auto"/>
        <w:right w:val="none" w:sz="0" w:space="0" w:color="auto"/>
      </w:divBdr>
    </w:div>
    <w:div w:id="757480452">
      <w:bodyDiv w:val="1"/>
      <w:marLeft w:val="0"/>
      <w:marRight w:val="0"/>
      <w:marTop w:val="0"/>
      <w:marBottom w:val="0"/>
      <w:divBdr>
        <w:top w:val="none" w:sz="0" w:space="0" w:color="auto"/>
        <w:left w:val="none" w:sz="0" w:space="0" w:color="auto"/>
        <w:bottom w:val="none" w:sz="0" w:space="0" w:color="auto"/>
        <w:right w:val="none" w:sz="0" w:space="0" w:color="auto"/>
      </w:divBdr>
    </w:div>
    <w:div w:id="759791278">
      <w:bodyDiv w:val="1"/>
      <w:marLeft w:val="0"/>
      <w:marRight w:val="0"/>
      <w:marTop w:val="0"/>
      <w:marBottom w:val="0"/>
      <w:divBdr>
        <w:top w:val="none" w:sz="0" w:space="0" w:color="auto"/>
        <w:left w:val="none" w:sz="0" w:space="0" w:color="auto"/>
        <w:bottom w:val="none" w:sz="0" w:space="0" w:color="auto"/>
        <w:right w:val="none" w:sz="0" w:space="0" w:color="auto"/>
      </w:divBdr>
    </w:div>
    <w:div w:id="760611139">
      <w:bodyDiv w:val="1"/>
      <w:marLeft w:val="0"/>
      <w:marRight w:val="0"/>
      <w:marTop w:val="0"/>
      <w:marBottom w:val="0"/>
      <w:divBdr>
        <w:top w:val="none" w:sz="0" w:space="0" w:color="auto"/>
        <w:left w:val="none" w:sz="0" w:space="0" w:color="auto"/>
        <w:bottom w:val="none" w:sz="0" w:space="0" w:color="auto"/>
        <w:right w:val="none" w:sz="0" w:space="0" w:color="auto"/>
      </w:divBdr>
    </w:div>
    <w:div w:id="760875530">
      <w:bodyDiv w:val="1"/>
      <w:marLeft w:val="0"/>
      <w:marRight w:val="0"/>
      <w:marTop w:val="0"/>
      <w:marBottom w:val="0"/>
      <w:divBdr>
        <w:top w:val="none" w:sz="0" w:space="0" w:color="auto"/>
        <w:left w:val="none" w:sz="0" w:space="0" w:color="auto"/>
        <w:bottom w:val="none" w:sz="0" w:space="0" w:color="auto"/>
        <w:right w:val="none" w:sz="0" w:space="0" w:color="auto"/>
      </w:divBdr>
    </w:div>
    <w:div w:id="773136394">
      <w:bodyDiv w:val="1"/>
      <w:marLeft w:val="0"/>
      <w:marRight w:val="0"/>
      <w:marTop w:val="0"/>
      <w:marBottom w:val="0"/>
      <w:divBdr>
        <w:top w:val="none" w:sz="0" w:space="0" w:color="auto"/>
        <w:left w:val="none" w:sz="0" w:space="0" w:color="auto"/>
        <w:bottom w:val="none" w:sz="0" w:space="0" w:color="auto"/>
        <w:right w:val="none" w:sz="0" w:space="0" w:color="auto"/>
      </w:divBdr>
    </w:div>
    <w:div w:id="776558786">
      <w:bodyDiv w:val="1"/>
      <w:marLeft w:val="0"/>
      <w:marRight w:val="0"/>
      <w:marTop w:val="0"/>
      <w:marBottom w:val="0"/>
      <w:divBdr>
        <w:top w:val="none" w:sz="0" w:space="0" w:color="auto"/>
        <w:left w:val="none" w:sz="0" w:space="0" w:color="auto"/>
        <w:bottom w:val="none" w:sz="0" w:space="0" w:color="auto"/>
        <w:right w:val="none" w:sz="0" w:space="0" w:color="auto"/>
      </w:divBdr>
    </w:div>
    <w:div w:id="778986782">
      <w:bodyDiv w:val="1"/>
      <w:marLeft w:val="0"/>
      <w:marRight w:val="0"/>
      <w:marTop w:val="0"/>
      <w:marBottom w:val="0"/>
      <w:divBdr>
        <w:top w:val="none" w:sz="0" w:space="0" w:color="auto"/>
        <w:left w:val="none" w:sz="0" w:space="0" w:color="auto"/>
        <w:bottom w:val="none" w:sz="0" w:space="0" w:color="auto"/>
        <w:right w:val="none" w:sz="0" w:space="0" w:color="auto"/>
      </w:divBdr>
    </w:div>
    <w:div w:id="779687455">
      <w:bodyDiv w:val="1"/>
      <w:marLeft w:val="0"/>
      <w:marRight w:val="0"/>
      <w:marTop w:val="0"/>
      <w:marBottom w:val="0"/>
      <w:divBdr>
        <w:top w:val="none" w:sz="0" w:space="0" w:color="auto"/>
        <w:left w:val="none" w:sz="0" w:space="0" w:color="auto"/>
        <w:bottom w:val="none" w:sz="0" w:space="0" w:color="auto"/>
        <w:right w:val="none" w:sz="0" w:space="0" w:color="auto"/>
      </w:divBdr>
    </w:div>
    <w:div w:id="781650840">
      <w:bodyDiv w:val="1"/>
      <w:marLeft w:val="0"/>
      <w:marRight w:val="0"/>
      <w:marTop w:val="0"/>
      <w:marBottom w:val="0"/>
      <w:divBdr>
        <w:top w:val="none" w:sz="0" w:space="0" w:color="auto"/>
        <w:left w:val="none" w:sz="0" w:space="0" w:color="auto"/>
        <w:bottom w:val="none" w:sz="0" w:space="0" w:color="auto"/>
        <w:right w:val="none" w:sz="0" w:space="0" w:color="auto"/>
      </w:divBdr>
    </w:div>
    <w:div w:id="782112980">
      <w:bodyDiv w:val="1"/>
      <w:marLeft w:val="0"/>
      <w:marRight w:val="0"/>
      <w:marTop w:val="0"/>
      <w:marBottom w:val="0"/>
      <w:divBdr>
        <w:top w:val="none" w:sz="0" w:space="0" w:color="auto"/>
        <w:left w:val="none" w:sz="0" w:space="0" w:color="auto"/>
        <w:bottom w:val="none" w:sz="0" w:space="0" w:color="auto"/>
        <w:right w:val="none" w:sz="0" w:space="0" w:color="auto"/>
      </w:divBdr>
    </w:div>
    <w:div w:id="783839763">
      <w:bodyDiv w:val="1"/>
      <w:marLeft w:val="0"/>
      <w:marRight w:val="0"/>
      <w:marTop w:val="0"/>
      <w:marBottom w:val="0"/>
      <w:divBdr>
        <w:top w:val="none" w:sz="0" w:space="0" w:color="auto"/>
        <w:left w:val="none" w:sz="0" w:space="0" w:color="auto"/>
        <w:bottom w:val="none" w:sz="0" w:space="0" w:color="auto"/>
        <w:right w:val="none" w:sz="0" w:space="0" w:color="auto"/>
      </w:divBdr>
    </w:div>
    <w:div w:id="786049462">
      <w:bodyDiv w:val="1"/>
      <w:marLeft w:val="0"/>
      <w:marRight w:val="0"/>
      <w:marTop w:val="0"/>
      <w:marBottom w:val="0"/>
      <w:divBdr>
        <w:top w:val="none" w:sz="0" w:space="0" w:color="auto"/>
        <w:left w:val="none" w:sz="0" w:space="0" w:color="auto"/>
        <w:bottom w:val="none" w:sz="0" w:space="0" w:color="auto"/>
        <w:right w:val="none" w:sz="0" w:space="0" w:color="auto"/>
      </w:divBdr>
    </w:div>
    <w:div w:id="786580047">
      <w:bodyDiv w:val="1"/>
      <w:marLeft w:val="0"/>
      <w:marRight w:val="0"/>
      <w:marTop w:val="0"/>
      <w:marBottom w:val="0"/>
      <w:divBdr>
        <w:top w:val="none" w:sz="0" w:space="0" w:color="auto"/>
        <w:left w:val="none" w:sz="0" w:space="0" w:color="auto"/>
        <w:bottom w:val="none" w:sz="0" w:space="0" w:color="auto"/>
        <w:right w:val="none" w:sz="0" w:space="0" w:color="auto"/>
      </w:divBdr>
    </w:div>
    <w:div w:id="797261679">
      <w:bodyDiv w:val="1"/>
      <w:marLeft w:val="0"/>
      <w:marRight w:val="0"/>
      <w:marTop w:val="0"/>
      <w:marBottom w:val="0"/>
      <w:divBdr>
        <w:top w:val="none" w:sz="0" w:space="0" w:color="auto"/>
        <w:left w:val="none" w:sz="0" w:space="0" w:color="auto"/>
        <w:bottom w:val="none" w:sz="0" w:space="0" w:color="auto"/>
        <w:right w:val="none" w:sz="0" w:space="0" w:color="auto"/>
      </w:divBdr>
    </w:div>
    <w:div w:id="797340588">
      <w:bodyDiv w:val="1"/>
      <w:marLeft w:val="0"/>
      <w:marRight w:val="0"/>
      <w:marTop w:val="0"/>
      <w:marBottom w:val="0"/>
      <w:divBdr>
        <w:top w:val="none" w:sz="0" w:space="0" w:color="auto"/>
        <w:left w:val="none" w:sz="0" w:space="0" w:color="auto"/>
        <w:bottom w:val="none" w:sz="0" w:space="0" w:color="auto"/>
        <w:right w:val="none" w:sz="0" w:space="0" w:color="auto"/>
      </w:divBdr>
    </w:div>
    <w:div w:id="797797125">
      <w:bodyDiv w:val="1"/>
      <w:marLeft w:val="0"/>
      <w:marRight w:val="0"/>
      <w:marTop w:val="0"/>
      <w:marBottom w:val="0"/>
      <w:divBdr>
        <w:top w:val="none" w:sz="0" w:space="0" w:color="auto"/>
        <w:left w:val="none" w:sz="0" w:space="0" w:color="auto"/>
        <w:bottom w:val="none" w:sz="0" w:space="0" w:color="auto"/>
        <w:right w:val="none" w:sz="0" w:space="0" w:color="auto"/>
      </w:divBdr>
    </w:div>
    <w:div w:id="804468910">
      <w:bodyDiv w:val="1"/>
      <w:marLeft w:val="0"/>
      <w:marRight w:val="0"/>
      <w:marTop w:val="0"/>
      <w:marBottom w:val="0"/>
      <w:divBdr>
        <w:top w:val="none" w:sz="0" w:space="0" w:color="auto"/>
        <w:left w:val="none" w:sz="0" w:space="0" w:color="auto"/>
        <w:bottom w:val="none" w:sz="0" w:space="0" w:color="auto"/>
        <w:right w:val="none" w:sz="0" w:space="0" w:color="auto"/>
      </w:divBdr>
    </w:div>
    <w:div w:id="804664977">
      <w:bodyDiv w:val="1"/>
      <w:marLeft w:val="0"/>
      <w:marRight w:val="0"/>
      <w:marTop w:val="0"/>
      <w:marBottom w:val="0"/>
      <w:divBdr>
        <w:top w:val="none" w:sz="0" w:space="0" w:color="auto"/>
        <w:left w:val="none" w:sz="0" w:space="0" w:color="auto"/>
        <w:bottom w:val="none" w:sz="0" w:space="0" w:color="auto"/>
        <w:right w:val="none" w:sz="0" w:space="0" w:color="auto"/>
      </w:divBdr>
    </w:div>
    <w:div w:id="805010452">
      <w:bodyDiv w:val="1"/>
      <w:marLeft w:val="0"/>
      <w:marRight w:val="0"/>
      <w:marTop w:val="0"/>
      <w:marBottom w:val="0"/>
      <w:divBdr>
        <w:top w:val="none" w:sz="0" w:space="0" w:color="auto"/>
        <w:left w:val="none" w:sz="0" w:space="0" w:color="auto"/>
        <w:bottom w:val="none" w:sz="0" w:space="0" w:color="auto"/>
        <w:right w:val="none" w:sz="0" w:space="0" w:color="auto"/>
      </w:divBdr>
    </w:div>
    <w:div w:id="805393687">
      <w:bodyDiv w:val="1"/>
      <w:marLeft w:val="0"/>
      <w:marRight w:val="0"/>
      <w:marTop w:val="0"/>
      <w:marBottom w:val="0"/>
      <w:divBdr>
        <w:top w:val="none" w:sz="0" w:space="0" w:color="auto"/>
        <w:left w:val="none" w:sz="0" w:space="0" w:color="auto"/>
        <w:bottom w:val="none" w:sz="0" w:space="0" w:color="auto"/>
        <w:right w:val="none" w:sz="0" w:space="0" w:color="auto"/>
      </w:divBdr>
    </w:div>
    <w:div w:id="805708734">
      <w:bodyDiv w:val="1"/>
      <w:marLeft w:val="0"/>
      <w:marRight w:val="0"/>
      <w:marTop w:val="0"/>
      <w:marBottom w:val="0"/>
      <w:divBdr>
        <w:top w:val="none" w:sz="0" w:space="0" w:color="auto"/>
        <w:left w:val="none" w:sz="0" w:space="0" w:color="auto"/>
        <w:bottom w:val="none" w:sz="0" w:space="0" w:color="auto"/>
        <w:right w:val="none" w:sz="0" w:space="0" w:color="auto"/>
      </w:divBdr>
    </w:div>
    <w:div w:id="807167609">
      <w:bodyDiv w:val="1"/>
      <w:marLeft w:val="0"/>
      <w:marRight w:val="0"/>
      <w:marTop w:val="0"/>
      <w:marBottom w:val="0"/>
      <w:divBdr>
        <w:top w:val="none" w:sz="0" w:space="0" w:color="auto"/>
        <w:left w:val="none" w:sz="0" w:space="0" w:color="auto"/>
        <w:bottom w:val="none" w:sz="0" w:space="0" w:color="auto"/>
        <w:right w:val="none" w:sz="0" w:space="0" w:color="auto"/>
      </w:divBdr>
    </w:div>
    <w:div w:id="808089220">
      <w:bodyDiv w:val="1"/>
      <w:marLeft w:val="0"/>
      <w:marRight w:val="0"/>
      <w:marTop w:val="0"/>
      <w:marBottom w:val="0"/>
      <w:divBdr>
        <w:top w:val="none" w:sz="0" w:space="0" w:color="auto"/>
        <w:left w:val="none" w:sz="0" w:space="0" w:color="auto"/>
        <w:bottom w:val="none" w:sz="0" w:space="0" w:color="auto"/>
        <w:right w:val="none" w:sz="0" w:space="0" w:color="auto"/>
      </w:divBdr>
    </w:div>
    <w:div w:id="808281755">
      <w:bodyDiv w:val="1"/>
      <w:marLeft w:val="0"/>
      <w:marRight w:val="0"/>
      <w:marTop w:val="0"/>
      <w:marBottom w:val="0"/>
      <w:divBdr>
        <w:top w:val="none" w:sz="0" w:space="0" w:color="auto"/>
        <w:left w:val="none" w:sz="0" w:space="0" w:color="auto"/>
        <w:bottom w:val="none" w:sz="0" w:space="0" w:color="auto"/>
        <w:right w:val="none" w:sz="0" w:space="0" w:color="auto"/>
      </w:divBdr>
    </w:div>
    <w:div w:id="816067921">
      <w:bodyDiv w:val="1"/>
      <w:marLeft w:val="0"/>
      <w:marRight w:val="0"/>
      <w:marTop w:val="0"/>
      <w:marBottom w:val="0"/>
      <w:divBdr>
        <w:top w:val="none" w:sz="0" w:space="0" w:color="auto"/>
        <w:left w:val="none" w:sz="0" w:space="0" w:color="auto"/>
        <w:bottom w:val="none" w:sz="0" w:space="0" w:color="auto"/>
        <w:right w:val="none" w:sz="0" w:space="0" w:color="auto"/>
      </w:divBdr>
    </w:div>
    <w:div w:id="820198590">
      <w:bodyDiv w:val="1"/>
      <w:marLeft w:val="0"/>
      <w:marRight w:val="0"/>
      <w:marTop w:val="0"/>
      <w:marBottom w:val="0"/>
      <w:divBdr>
        <w:top w:val="none" w:sz="0" w:space="0" w:color="auto"/>
        <w:left w:val="none" w:sz="0" w:space="0" w:color="auto"/>
        <w:bottom w:val="none" w:sz="0" w:space="0" w:color="auto"/>
        <w:right w:val="none" w:sz="0" w:space="0" w:color="auto"/>
      </w:divBdr>
    </w:div>
    <w:div w:id="821704207">
      <w:bodyDiv w:val="1"/>
      <w:marLeft w:val="0"/>
      <w:marRight w:val="0"/>
      <w:marTop w:val="0"/>
      <w:marBottom w:val="0"/>
      <w:divBdr>
        <w:top w:val="none" w:sz="0" w:space="0" w:color="auto"/>
        <w:left w:val="none" w:sz="0" w:space="0" w:color="auto"/>
        <w:bottom w:val="none" w:sz="0" w:space="0" w:color="auto"/>
        <w:right w:val="none" w:sz="0" w:space="0" w:color="auto"/>
      </w:divBdr>
    </w:div>
    <w:div w:id="828138900">
      <w:bodyDiv w:val="1"/>
      <w:marLeft w:val="0"/>
      <w:marRight w:val="0"/>
      <w:marTop w:val="0"/>
      <w:marBottom w:val="0"/>
      <w:divBdr>
        <w:top w:val="none" w:sz="0" w:space="0" w:color="auto"/>
        <w:left w:val="none" w:sz="0" w:space="0" w:color="auto"/>
        <w:bottom w:val="none" w:sz="0" w:space="0" w:color="auto"/>
        <w:right w:val="none" w:sz="0" w:space="0" w:color="auto"/>
      </w:divBdr>
    </w:div>
    <w:div w:id="835219990">
      <w:bodyDiv w:val="1"/>
      <w:marLeft w:val="0"/>
      <w:marRight w:val="0"/>
      <w:marTop w:val="0"/>
      <w:marBottom w:val="0"/>
      <w:divBdr>
        <w:top w:val="none" w:sz="0" w:space="0" w:color="auto"/>
        <w:left w:val="none" w:sz="0" w:space="0" w:color="auto"/>
        <w:bottom w:val="none" w:sz="0" w:space="0" w:color="auto"/>
        <w:right w:val="none" w:sz="0" w:space="0" w:color="auto"/>
      </w:divBdr>
    </w:div>
    <w:div w:id="838236383">
      <w:bodyDiv w:val="1"/>
      <w:marLeft w:val="0"/>
      <w:marRight w:val="0"/>
      <w:marTop w:val="0"/>
      <w:marBottom w:val="0"/>
      <w:divBdr>
        <w:top w:val="none" w:sz="0" w:space="0" w:color="auto"/>
        <w:left w:val="none" w:sz="0" w:space="0" w:color="auto"/>
        <w:bottom w:val="none" w:sz="0" w:space="0" w:color="auto"/>
        <w:right w:val="none" w:sz="0" w:space="0" w:color="auto"/>
      </w:divBdr>
    </w:div>
    <w:div w:id="840434898">
      <w:bodyDiv w:val="1"/>
      <w:marLeft w:val="0"/>
      <w:marRight w:val="0"/>
      <w:marTop w:val="0"/>
      <w:marBottom w:val="0"/>
      <w:divBdr>
        <w:top w:val="none" w:sz="0" w:space="0" w:color="auto"/>
        <w:left w:val="none" w:sz="0" w:space="0" w:color="auto"/>
        <w:bottom w:val="none" w:sz="0" w:space="0" w:color="auto"/>
        <w:right w:val="none" w:sz="0" w:space="0" w:color="auto"/>
      </w:divBdr>
    </w:div>
    <w:div w:id="842862528">
      <w:bodyDiv w:val="1"/>
      <w:marLeft w:val="0"/>
      <w:marRight w:val="0"/>
      <w:marTop w:val="0"/>
      <w:marBottom w:val="0"/>
      <w:divBdr>
        <w:top w:val="none" w:sz="0" w:space="0" w:color="auto"/>
        <w:left w:val="none" w:sz="0" w:space="0" w:color="auto"/>
        <w:bottom w:val="none" w:sz="0" w:space="0" w:color="auto"/>
        <w:right w:val="none" w:sz="0" w:space="0" w:color="auto"/>
      </w:divBdr>
    </w:div>
    <w:div w:id="843010545">
      <w:bodyDiv w:val="1"/>
      <w:marLeft w:val="0"/>
      <w:marRight w:val="0"/>
      <w:marTop w:val="0"/>
      <w:marBottom w:val="0"/>
      <w:divBdr>
        <w:top w:val="none" w:sz="0" w:space="0" w:color="auto"/>
        <w:left w:val="none" w:sz="0" w:space="0" w:color="auto"/>
        <w:bottom w:val="none" w:sz="0" w:space="0" w:color="auto"/>
        <w:right w:val="none" w:sz="0" w:space="0" w:color="auto"/>
      </w:divBdr>
    </w:div>
    <w:div w:id="848564812">
      <w:bodyDiv w:val="1"/>
      <w:marLeft w:val="0"/>
      <w:marRight w:val="0"/>
      <w:marTop w:val="0"/>
      <w:marBottom w:val="0"/>
      <w:divBdr>
        <w:top w:val="none" w:sz="0" w:space="0" w:color="auto"/>
        <w:left w:val="none" w:sz="0" w:space="0" w:color="auto"/>
        <w:bottom w:val="none" w:sz="0" w:space="0" w:color="auto"/>
        <w:right w:val="none" w:sz="0" w:space="0" w:color="auto"/>
      </w:divBdr>
    </w:div>
    <w:div w:id="849567003">
      <w:bodyDiv w:val="1"/>
      <w:marLeft w:val="0"/>
      <w:marRight w:val="0"/>
      <w:marTop w:val="0"/>
      <w:marBottom w:val="0"/>
      <w:divBdr>
        <w:top w:val="none" w:sz="0" w:space="0" w:color="auto"/>
        <w:left w:val="none" w:sz="0" w:space="0" w:color="auto"/>
        <w:bottom w:val="none" w:sz="0" w:space="0" w:color="auto"/>
        <w:right w:val="none" w:sz="0" w:space="0" w:color="auto"/>
      </w:divBdr>
    </w:div>
    <w:div w:id="852259398">
      <w:bodyDiv w:val="1"/>
      <w:marLeft w:val="0"/>
      <w:marRight w:val="0"/>
      <w:marTop w:val="0"/>
      <w:marBottom w:val="0"/>
      <w:divBdr>
        <w:top w:val="none" w:sz="0" w:space="0" w:color="auto"/>
        <w:left w:val="none" w:sz="0" w:space="0" w:color="auto"/>
        <w:bottom w:val="none" w:sz="0" w:space="0" w:color="auto"/>
        <w:right w:val="none" w:sz="0" w:space="0" w:color="auto"/>
      </w:divBdr>
    </w:div>
    <w:div w:id="852644763">
      <w:bodyDiv w:val="1"/>
      <w:marLeft w:val="0"/>
      <w:marRight w:val="0"/>
      <w:marTop w:val="0"/>
      <w:marBottom w:val="0"/>
      <w:divBdr>
        <w:top w:val="none" w:sz="0" w:space="0" w:color="auto"/>
        <w:left w:val="none" w:sz="0" w:space="0" w:color="auto"/>
        <w:bottom w:val="none" w:sz="0" w:space="0" w:color="auto"/>
        <w:right w:val="none" w:sz="0" w:space="0" w:color="auto"/>
      </w:divBdr>
    </w:div>
    <w:div w:id="853416382">
      <w:bodyDiv w:val="1"/>
      <w:marLeft w:val="0"/>
      <w:marRight w:val="0"/>
      <w:marTop w:val="0"/>
      <w:marBottom w:val="0"/>
      <w:divBdr>
        <w:top w:val="none" w:sz="0" w:space="0" w:color="auto"/>
        <w:left w:val="none" w:sz="0" w:space="0" w:color="auto"/>
        <w:bottom w:val="none" w:sz="0" w:space="0" w:color="auto"/>
        <w:right w:val="none" w:sz="0" w:space="0" w:color="auto"/>
      </w:divBdr>
    </w:div>
    <w:div w:id="859274155">
      <w:bodyDiv w:val="1"/>
      <w:marLeft w:val="0"/>
      <w:marRight w:val="0"/>
      <w:marTop w:val="0"/>
      <w:marBottom w:val="0"/>
      <w:divBdr>
        <w:top w:val="none" w:sz="0" w:space="0" w:color="auto"/>
        <w:left w:val="none" w:sz="0" w:space="0" w:color="auto"/>
        <w:bottom w:val="none" w:sz="0" w:space="0" w:color="auto"/>
        <w:right w:val="none" w:sz="0" w:space="0" w:color="auto"/>
      </w:divBdr>
    </w:div>
    <w:div w:id="861744384">
      <w:bodyDiv w:val="1"/>
      <w:marLeft w:val="0"/>
      <w:marRight w:val="0"/>
      <w:marTop w:val="0"/>
      <w:marBottom w:val="0"/>
      <w:divBdr>
        <w:top w:val="none" w:sz="0" w:space="0" w:color="auto"/>
        <w:left w:val="none" w:sz="0" w:space="0" w:color="auto"/>
        <w:bottom w:val="none" w:sz="0" w:space="0" w:color="auto"/>
        <w:right w:val="none" w:sz="0" w:space="0" w:color="auto"/>
      </w:divBdr>
    </w:div>
    <w:div w:id="861941381">
      <w:bodyDiv w:val="1"/>
      <w:marLeft w:val="0"/>
      <w:marRight w:val="0"/>
      <w:marTop w:val="0"/>
      <w:marBottom w:val="0"/>
      <w:divBdr>
        <w:top w:val="none" w:sz="0" w:space="0" w:color="auto"/>
        <w:left w:val="none" w:sz="0" w:space="0" w:color="auto"/>
        <w:bottom w:val="none" w:sz="0" w:space="0" w:color="auto"/>
        <w:right w:val="none" w:sz="0" w:space="0" w:color="auto"/>
      </w:divBdr>
    </w:div>
    <w:div w:id="865824217">
      <w:bodyDiv w:val="1"/>
      <w:marLeft w:val="0"/>
      <w:marRight w:val="0"/>
      <w:marTop w:val="0"/>
      <w:marBottom w:val="0"/>
      <w:divBdr>
        <w:top w:val="none" w:sz="0" w:space="0" w:color="auto"/>
        <w:left w:val="none" w:sz="0" w:space="0" w:color="auto"/>
        <w:bottom w:val="none" w:sz="0" w:space="0" w:color="auto"/>
        <w:right w:val="none" w:sz="0" w:space="0" w:color="auto"/>
      </w:divBdr>
    </w:div>
    <w:div w:id="866210909">
      <w:bodyDiv w:val="1"/>
      <w:marLeft w:val="0"/>
      <w:marRight w:val="0"/>
      <w:marTop w:val="0"/>
      <w:marBottom w:val="0"/>
      <w:divBdr>
        <w:top w:val="none" w:sz="0" w:space="0" w:color="auto"/>
        <w:left w:val="none" w:sz="0" w:space="0" w:color="auto"/>
        <w:bottom w:val="none" w:sz="0" w:space="0" w:color="auto"/>
        <w:right w:val="none" w:sz="0" w:space="0" w:color="auto"/>
      </w:divBdr>
    </w:div>
    <w:div w:id="872425508">
      <w:bodyDiv w:val="1"/>
      <w:marLeft w:val="0"/>
      <w:marRight w:val="0"/>
      <w:marTop w:val="0"/>
      <w:marBottom w:val="0"/>
      <w:divBdr>
        <w:top w:val="none" w:sz="0" w:space="0" w:color="auto"/>
        <w:left w:val="none" w:sz="0" w:space="0" w:color="auto"/>
        <w:bottom w:val="none" w:sz="0" w:space="0" w:color="auto"/>
        <w:right w:val="none" w:sz="0" w:space="0" w:color="auto"/>
      </w:divBdr>
    </w:div>
    <w:div w:id="875312425">
      <w:bodyDiv w:val="1"/>
      <w:marLeft w:val="0"/>
      <w:marRight w:val="0"/>
      <w:marTop w:val="0"/>
      <w:marBottom w:val="0"/>
      <w:divBdr>
        <w:top w:val="none" w:sz="0" w:space="0" w:color="auto"/>
        <w:left w:val="none" w:sz="0" w:space="0" w:color="auto"/>
        <w:bottom w:val="none" w:sz="0" w:space="0" w:color="auto"/>
        <w:right w:val="none" w:sz="0" w:space="0" w:color="auto"/>
      </w:divBdr>
    </w:div>
    <w:div w:id="875388655">
      <w:bodyDiv w:val="1"/>
      <w:marLeft w:val="0"/>
      <w:marRight w:val="0"/>
      <w:marTop w:val="0"/>
      <w:marBottom w:val="0"/>
      <w:divBdr>
        <w:top w:val="none" w:sz="0" w:space="0" w:color="auto"/>
        <w:left w:val="none" w:sz="0" w:space="0" w:color="auto"/>
        <w:bottom w:val="none" w:sz="0" w:space="0" w:color="auto"/>
        <w:right w:val="none" w:sz="0" w:space="0" w:color="auto"/>
      </w:divBdr>
    </w:div>
    <w:div w:id="877815246">
      <w:bodyDiv w:val="1"/>
      <w:marLeft w:val="0"/>
      <w:marRight w:val="0"/>
      <w:marTop w:val="0"/>
      <w:marBottom w:val="0"/>
      <w:divBdr>
        <w:top w:val="none" w:sz="0" w:space="0" w:color="auto"/>
        <w:left w:val="none" w:sz="0" w:space="0" w:color="auto"/>
        <w:bottom w:val="none" w:sz="0" w:space="0" w:color="auto"/>
        <w:right w:val="none" w:sz="0" w:space="0" w:color="auto"/>
      </w:divBdr>
    </w:div>
    <w:div w:id="878396138">
      <w:bodyDiv w:val="1"/>
      <w:marLeft w:val="0"/>
      <w:marRight w:val="0"/>
      <w:marTop w:val="0"/>
      <w:marBottom w:val="0"/>
      <w:divBdr>
        <w:top w:val="none" w:sz="0" w:space="0" w:color="auto"/>
        <w:left w:val="none" w:sz="0" w:space="0" w:color="auto"/>
        <w:bottom w:val="none" w:sz="0" w:space="0" w:color="auto"/>
        <w:right w:val="none" w:sz="0" w:space="0" w:color="auto"/>
      </w:divBdr>
    </w:div>
    <w:div w:id="882207127">
      <w:bodyDiv w:val="1"/>
      <w:marLeft w:val="0"/>
      <w:marRight w:val="0"/>
      <w:marTop w:val="0"/>
      <w:marBottom w:val="0"/>
      <w:divBdr>
        <w:top w:val="none" w:sz="0" w:space="0" w:color="auto"/>
        <w:left w:val="none" w:sz="0" w:space="0" w:color="auto"/>
        <w:bottom w:val="none" w:sz="0" w:space="0" w:color="auto"/>
        <w:right w:val="none" w:sz="0" w:space="0" w:color="auto"/>
      </w:divBdr>
    </w:div>
    <w:div w:id="882447432">
      <w:bodyDiv w:val="1"/>
      <w:marLeft w:val="0"/>
      <w:marRight w:val="0"/>
      <w:marTop w:val="0"/>
      <w:marBottom w:val="0"/>
      <w:divBdr>
        <w:top w:val="none" w:sz="0" w:space="0" w:color="auto"/>
        <w:left w:val="none" w:sz="0" w:space="0" w:color="auto"/>
        <w:bottom w:val="none" w:sz="0" w:space="0" w:color="auto"/>
        <w:right w:val="none" w:sz="0" w:space="0" w:color="auto"/>
      </w:divBdr>
    </w:div>
    <w:div w:id="883643153">
      <w:bodyDiv w:val="1"/>
      <w:marLeft w:val="0"/>
      <w:marRight w:val="0"/>
      <w:marTop w:val="0"/>
      <w:marBottom w:val="0"/>
      <w:divBdr>
        <w:top w:val="none" w:sz="0" w:space="0" w:color="auto"/>
        <w:left w:val="none" w:sz="0" w:space="0" w:color="auto"/>
        <w:bottom w:val="none" w:sz="0" w:space="0" w:color="auto"/>
        <w:right w:val="none" w:sz="0" w:space="0" w:color="auto"/>
      </w:divBdr>
    </w:div>
    <w:div w:id="885138790">
      <w:bodyDiv w:val="1"/>
      <w:marLeft w:val="0"/>
      <w:marRight w:val="0"/>
      <w:marTop w:val="0"/>
      <w:marBottom w:val="0"/>
      <w:divBdr>
        <w:top w:val="none" w:sz="0" w:space="0" w:color="auto"/>
        <w:left w:val="none" w:sz="0" w:space="0" w:color="auto"/>
        <w:bottom w:val="none" w:sz="0" w:space="0" w:color="auto"/>
        <w:right w:val="none" w:sz="0" w:space="0" w:color="auto"/>
      </w:divBdr>
    </w:div>
    <w:div w:id="885727132">
      <w:bodyDiv w:val="1"/>
      <w:marLeft w:val="0"/>
      <w:marRight w:val="0"/>
      <w:marTop w:val="0"/>
      <w:marBottom w:val="0"/>
      <w:divBdr>
        <w:top w:val="none" w:sz="0" w:space="0" w:color="auto"/>
        <w:left w:val="none" w:sz="0" w:space="0" w:color="auto"/>
        <w:bottom w:val="none" w:sz="0" w:space="0" w:color="auto"/>
        <w:right w:val="none" w:sz="0" w:space="0" w:color="auto"/>
      </w:divBdr>
    </w:div>
    <w:div w:id="888104009">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558">
      <w:bodyDiv w:val="1"/>
      <w:marLeft w:val="0"/>
      <w:marRight w:val="0"/>
      <w:marTop w:val="0"/>
      <w:marBottom w:val="0"/>
      <w:divBdr>
        <w:top w:val="none" w:sz="0" w:space="0" w:color="auto"/>
        <w:left w:val="none" w:sz="0" w:space="0" w:color="auto"/>
        <w:bottom w:val="none" w:sz="0" w:space="0" w:color="auto"/>
        <w:right w:val="none" w:sz="0" w:space="0" w:color="auto"/>
      </w:divBdr>
    </w:div>
    <w:div w:id="894124766">
      <w:bodyDiv w:val="1"/>
      <w:marLeft w:val="0"/>
      <w:marRight w:val="0"/>
      <w:marTop w:val="0"/>
      <w:marBottom w:val="0"/>
      <w:divBdr>
        <w:top w:val="none" w:sz="0" w:space="0" w:color="auto"/>
        <w:left w:val="none" w:sz="0" w:space="0" w:color="auto"/>
        <w:bottom w:val="none" w:sz="0" w:space="0" w:color="auto"/>
        <w:right w:val="none" w:sz="0" w:space="0" w:color="auto"/>
      </w:divBdr>
    </w:div>
    <w:div w:id="894857795">
      <w:bodyDiv w:val="1"/>
      <w:marLeft w:val="0"/>
      <w:marRight w:val="0"/>
      <w:marTop w:val="0"/>
      <w:marBottom w:val="0"/>
      <w:divBdr>
        <w:top w:val="none" w:sz="0" w:space="0" w:color="auto"/>
        <w:left w:val="none" w:sz="0" w:space="0" w:color="auto"/>
        <w:bottom w:val="none" w:sz="0" w:space="0" w:color="auto"/>
        <w:right w:val="none" w:sz="0" w:space="0" w:color="auto"/>
      </w:divBdr>
    </w:div>
    <w:div w:id="900403740">
      <w:bodyDiv w:val="1"/>
      <w:marLeft w:val="0"/>
      <w:marRight w:val="0"/>
      <w:marTop w:val="0"/>
      <w:marBottom w:val="0"/>
      <w:divBdr>
        <w:top w:val="none" w:sz="0" w:space="0" w:color="auto"/>
        <w:left w:val="none" w:sz="0" w:space="0" w:color="auto"/>
        <w:bottom w:val="none" w:sz="0" w:space="0" w:color="auto"/>
        <w:right w:val="none" w:sz="0" w:space="0" w:color="auto"/>
      </w:divBdr>
    </w:div>
    <w:div w:id="902519835">
      <w:bodyDiv w:val="1"/>
      <w:marLeft w:val="0"/>
      <w:marRight w:val="0"/>
      <w:marTop w:val="0"/>
      <w:marBottom w:val="0"/>
      <w:divBdr>
        <w:top w:val="none" w:sz="0" w:space="0" w:color="auto"/>
        <w:left w:val="none" w:sz="0" w:space="0" w:color="auto"/>
        <w:bottom w:val="none" w:sz="0" w:space="0" w:color="auto"/>
        <w:right w:val="none" w:sz="0" w:space="0" w:color="auto"/>
      </w:divBdr>
    </w:div>
    <w:div w:id="904729697">
      <w:bodyDiv w:val="1"/>
      <w:marLeft w:val="0"/>
      <w:marRight w:val="0"/>
      <w:marTop w:val="0"/>
      <w:marBottom w:val="0"/>
      <w:divBdr>
        <w:top w:val="none" w:sz="0" w:space="0" w:color="auto"/>
        <w:left w:val="none" w:sz="0" w:space="0" w:color="auto"/>
        <w:bottom w:val="none" w:sz="0" w:space="0" w:color="auto"/>
        <w:right w:val="none" w:sz="0" w:space="0" w:color="auto"/>
      </w:divBdr>
    </w:div>
    <w:div w:id="904948652">
      <w:bodyDiv w:val="1"/>
      <w:marLeft w:val="0"/>
      <w:marRight w:val="0"/>
      <w:marTop w:val="0"/>
      <w:marBottom w:val="0"/>
      <w:divBdr>
        <w:top w:val="none" w:sz="0" w:space="0" w:color="auto"/>
        <w:left w:val="none" w:sz="0" w:space="0" w:color="auto"/>
        <w:bottom w:val="none" w:sz="0" w:space="0" w:color="auto"/>
        <w:right w:val="none" w:sz="0" w:space="0" w:color="auto"/>
      </w:divBdr>
    </w:div>
    <w:div w:id="905070487">
      <w:bodyDiv w:val="1"/>
      <w:marLeft w:val="0"/>
      <w:marRight w:val="0"/>
      <w:marTop w:val="0"/>
      <w:marBottom w:val="0"/>
      <w:divBdr>
        <w:top w:val="none" w:sz="0" w:space="0" w:color="auto"/>
        <w:left w:val="none" w:sz="0" w:space="0" w:color="auto"/>
        <w:bottom w:val="none" w:sz="0" w:space="0" w:color="auto"/>
        <w:right w:val="none" w:sz="0" w:space="0" w:color="auto"/>
      </w:divBdr>
    </w:div>
    <w:div w:id="905647126">
      <w:bodyDiv w:val="1"/>
      <w:marLeft w:val="0"/>
      <w:marRight w:val="0"/>
      <w:marTop w:val="0"/>
      <w:marBottom w:val="0"/>
      <w:divBdr>
        <w:top w:val="none" w:sz="0" w:space="0" w:color="auto"/>
        <w:left w:val="none" w:sz="0" w:space="0" w:color="auto"/>
        <w:bottom w:val="none" w:sz="0" w:space="0" w:color="auto"/>
        <w:right w:val="none" w:sz="0" w:space="0" w:color="auto"/>
      </w:divBdr>
    </w:div>
    <w:div w:id="908999823">
      <w:bodyDiv w:val="1"/>
      <w:marLeft w:val="0"/>
      <w:marRight w:val="0"/>
      <w:marTop w:val="0"/>
      <w:marBottom w:val="0"/>
      <w:divBdr>
        <w:top w:val="none" w:sz="0" w:space="0" w:color="auto"/>
        <w:left w:val="none" w:sz="0" w:space="0" w:color="auto"/>
        <w:bottom w:val="none" w:sz="0" w:space="0" w:color="auto"/>
        <w:right w:val="none" w:sz="0" w:space="0" w:color="auto"/>
      </w:divBdr>
    </w:div>
    <w:div w:id="909776190">
      <w:bodyDiv w:val="1"/>
      <w:marLeft w:val="0"/>
      <w:marRight w:val="0"/>
      <w:marTop w:val="0"/>
      <w:marBottom w:val="0"/>
      <w:divBdr>
        <w:top w:val="none" w:sz="0" w:space="0" w:color="auto"/>
        <w:left w:val="none" w:sz="0" w:space="0" w:color="auto"/>
        <w:bottom w:val="none" w:sz="0" w:space="0" w:color="auto"/>
        <w:right w:val="none" w:sz="0" w:space="0" w:color="auto"/>
      </w:divBdr>
    </w:div>
    <w:div w:id="909803463">
      <w:bodyDiv w:val="1"/>
      <w:marLeft w:val="0"/>
      <w:marRight w:val="0"/>
      <w:marTop w:val="0"/>
      <w:marBottom w:val="0"/>
      <w:divBdr>
        <w:top w:val="none" w:sz="0" w:space="0" w:color="auto"/>
        <w:left w:val="none" w:sz="0" w:space="0" w:color="auto"/>
        <w:bottom w:val="none" w:sz="0" w:space="0" w:color="auto"/>
        <w:right w:val="none" w:sz="0" w:space="0" w:color="auto"/>
      </w:divBdr>
    </w:div>
    <w:div w:id="909846086">
      <w:bodyDiv w:val="1"/>
      <w:marLeft w:val="0"/>
      <w:marRight w:val="0"/>
      <w:marTop w:val="0"/>
      <w:marBottom w:val="0"/>
      <w:divBdr>
        <w:top w:val="none" w:sz="0" w:space="0" w:color="auto"/>
        <w:left w:val="none" w:sz="0" w:space="0" w:color="auto"/>
        <w:bottom w:val="none" w:sz="0" w:space="0" w:color="auto"/>
        <w:right w:val="none" w:sz="0" w:space="0" w:color="auto"/>
      </w:divBdr>
    </w:div>
    <w:div w:id="909970261">
      <w:bodyDiv w:val="1"/>
      <w:marLeft w:val="0"/>
      <w:marRight w:val="0"/>
      <w:marTop w:val="0"/>
      <w:marBottom w:val="0"/>
      <w:divBdr>
        <w:top w:val="none" w:sz="0" w:space="0" w:color="auto"/>
        <w:left w:val="none" w:sz="0" w:space="0" w:color="auto"/>
        <w:bottom w:val="none" w:sz="0" w:space="0" w:color="auto"/>
        <w:right w:val="none" w:sz="0" w:space="0" w:color="auto"/>
      </w:divBdr>
    </w:div>
    <w:div w:id="912738647">
      <w:bodyDiv w:val="1"/>
      <w:marLeft w:val="0"/>
      <w:marRight w:val="0"/>
      <w:marTop w:val="0"/>
      <w:marBottom w:val="0"/>
      <w:divBdr>
        <w:top w:val="none" w:sz="0" w:space="0" w:color="auto"/>
        <w:left w:val="none" w:sz="0" w:space="0" w:color="auto"/>
        <w:bottom w:val="none" w:sz="0" w:space="0" w:color="auto"/>
        <w:right w:val="none" w:sz="0" w:space="0" w:color="auto"/>
      </w:divBdr>
    </w:div>
    <w:div w:id="913473124">
      <w:bodyDiv w:val="1"/>
      <w:marLeft w:val="0"/>
      <w:marRight w:val="0"/>
      <w:marTop w:val="0"/>
      <w:marBottom w:val="0"/>
      <w:divBdr>
        <w:top w:val="none" w:sz="0" w:space="0" w:color="auto"/>
        <w:left w:val="none" w:sz="0" w:space="0" w:color="auto"/>
        <w:bottom w:val="none" w:sz="0" w:space="0" w:color="auto"/>
        <w:right w:val="none" w:sz="0" w:space="0" w:color="auto"/>
      </w:divBdr>
    </w:div>
    <w:div w:id="915359837">
      <w:bodyDiv w:val="1"/>
      <w:marLeft w:val="0"/>
      <w:marRight w:val="0"/>
      <w:marTop w:val="0"/>
      <w:marBottom w:val="0"/>
      <w:divBdr>
        <w:top w:val="none" w:sz="0" w:space="0" w:color="auto"/>
        <w:left w:val="none" w:sz="0" w:space="0" w:color="auto"/>
        <w:bottom w:val="none" w:sz="0" w:space="0" w:color="auto"/>
        <w:right w:val="none" w:sz="0" w:space="0" w:color="auto"/>
      </w:divBdr>
    </w:div>
    <w:div w:id="918830019">
      <w:bodyDiv w:val="1"/>
      <w:marLeft w:val="0"/>
      <w:marRight w:val="0"/>
      <w:marTop w:val="0"/>
      <w:marBottom w:val="0"/>
      <w:divBdr>
        <w:top w:val="none" w:sz="0" w:space="0" w:color="auto"/>
        <w:left w:val="none" w:sz="0" w:space="0" w:color="auto"/>
        <w:bottom w:val="none" w:sz="0" w:space="0" w:color="auto"/>
        <w:right w:val="none" w:sz="0" w:space="0" w:color="auto"/>
      </w:divBdr>
    </w:div>
    <w:div w:id="922760596">
      <w:bodyDiv w:val="1"/>
      <w:marLeft w:val="0"/>
      <w:marRight w:val="0"/>
      <w:marTop w:val="0"/>
      <w:marBottom w:val="0"/>
      <w:divBdr>
        <w:top w:val="none" w:sz="0" w:space="0" w:color="auto"/>
        <w:left w:val="none" w:sz="0" w:space="0" w:color="auto"/>
        <w:bottom w:val="none" w:sz="0" w:space="0" w:color="auto"/>
        <w:right w:val="none" w:sz="0" w:space="0" w:color="auto"/>
      </w:divBdr>
    </w:div>
    <w:div w:id="922954725">
      <w:bodyDiv w:val="1"/>
      <w:marLeft w:val="0"/>
      <w:marRight w:val="0"/>
      <w:marTop w:val="0"/>
      <w:marBottom w:val="0"/>
      <w:divBdr>
        <w:top w:val="none" w:sz="0" w:space="0" w:color="auto"/>
        <w:left w:val="none" w:sz="0" w:space="0" w:color="auto"/>
        <w:bottom w:val="none" w:sz="0" w:space="0" w:color="auto"/>
        <w:right w:val="none" w:sz="0" w:space="0" w:color="auto"/>
      </w:divBdr>
    </w:div>
    <w:div w:id="926615140">
      <w:bodyDiv w:val="1"/>
      <w:marLeft w:val="0"/>
      <w:marRight w:val="0"/>
      <w:marTop w:val="0"/>
      <w:marBottom w:val="0"/>
      <w:divBdr>
        <w:top w:val="none" w:sz="0" w:space="0" w:color="auto"/>
        <w:left w:val="none" w:sz="0" w:space="0" w:color="auto"/>
        <w:bottom w:val="none" w:sz="0" w:space="0" w:color="auto"/>
        <w:right w:val="none" w:sz="0" w:space="0" w:color="auto"/>
      </w:divBdr>
    </w:div>
    <w:div w:id="930166423">
      <w:bodyDiv w:val="1"/>
      <w:marLeft w:val="0"/>
      <w:marRight w:val="0"/>
      <w:marTop w:val="0"/>
      <w:marBottom w:val="0"/>
      <w:divBdr>
        <w:top w:val="none" w:sz="0" w:space="0" w:color="auto"/>
        <w:left w:val="none" w:sz="0" w:space="0" w:color="auto"/>
        <w:bottom w:val="none" w:sz="0" w:space="0" w:color="auto"/>
        <w:right w:val="none" w:sz="0" w:space="0" w:color="auto"/>
      </w:divBdr>
    </w:div>
    <w:div w:id="930892568">
      <w:bodyDiv w:val="1"/>
      <w:marLeft w:val="0"/>
      <w:marRight w:val="0"/>
      <w:marTop w:val="0"/>
      <w:marBottom w:val="0"/>
      <w:divBdr>
        <w:top w:val="none" w:sz="0" w:space="0" w:color="auto"/>
        <w:left w:val="none" w:sz="0" w:space="0" w:color="auto"/>
        <w:bottom w:val="none" w:sz="0" w:space="0" w:color="auto"/>
        <w:right w:val="none" w:sz="0" w:space="0" w:color="auto"/>
      </w:divBdr>
    </w:div>
    <w:div w:id="932476615">
      <w:bodyDiv w:val="1"/>
      <w:marLeft w:val="0"/>
      <w:marRight w:val="0"/>
      <w:marTop w:val="0"/>
      <w:marBottom w:val="0"/>
      <w:divBdr>
        <w:top w:val="none" w:sz="0" w:space="0" w:color="auto"/>
        <w:left w:val="none" w:sz="0" w:space="0" w:color="auto"/>
        <w:bottom w:val="none" w:sz="0" w:space="0" w:color="auto"/>
        <w:right w:val="none" w:sz="0" w:space="0" w:color="auto"/>
      </w:divBdr>
    </w:div>
    <w:div w:id="936135105">
      <w:bodyDiv w:val="1"/>
      <w:marLeft w:val="0"/>
      <w:marRight w:val="0"/>
      <w:marTop w:val="0"/>
      <w:marBottom w:val="0"/>
      <w:divBdr>
        <w:top w:val="none" w:sz="0" w:space="0" w:color="auto"/>
        <w:left w:val="none" w:sz="0" w:space="0" w:color="auto"/>
        <w:bottom w:val="none" w:sz="0" w:space="0" w:color="auto"/>
        <w:right w:val="none" w:sz="0" w:space="0" w:color="auto"/>
      </w:divBdr>
    </w:div>
    <w:div w:id="937179951">
      <w:bodyDiv w:val="1"/>
      <w:marLeft w:val="0"/>
      <w:marRight w:val="0"/>
      <w:marTop w:val="0"/>
      <w:marBottom w:val="0"/>
      <w:divBdr>
        <w:top w:val="none" w:sz="0" w:space="0" w:color="auto"/>
        <w:left w:val="none" w:sz="0" w:space="0" w:color="auto"/>
        <w:bottom w:val="none" w:sz="0" w:space="0" w:color="auto"/>
        <w:right w:val="none" w:sz="0" w:space="0" w:color="auto"/>
      </w:divBdr>
    </w:div>
    <w:div w:id="938879085">
      <w:bodyDiv w:val="1"/>
      <w:marLeft w:val="0"/>
      <w:marRight w:val="0"/>
      <w:marTop w:val="0"/>
      <w:marBottom w:val="0"/>
      <w:divBdr>
        <w:top w:val="none" w:sz="0" w:space="0" w:color="auto"/>
        <w:left w:val="none" w:sz="0" w:space="0" w:color="auto"/>
        <w:bottom w:val="none" w:sz="0" w:space="0" w:color="auto"/>
        <w:right w:val="none" w:sz="0" w:space="0" w:color="auto"/>
      </w:divBdr>
    </w:div>
    <w:div w:id="939793945">
      <w:bodyDiv w:val="1"/>
      <w:marLeft w:val="0"/>
      <w:marRight w:val="0"/>
      <w:marTop w:val="0"/>
      <w:marBottom w:val="0"/>
      <w:divBdr>
        <w:top w:val="none" w:sz="0" w:space="0" w:color="auto"/>
        <w:left w:val="none" w:sz="0" w:space="0" w:color="auto"/>
        <w:bottom w:val="none" w:sz="0" w:space="0" w:color="auto"/>
        <w:right w:val="none" w:sz="0" w:space="0" w:color="auto"/>
      </w:divBdr>
    </w:div>
    <w:div w:id="939803111">
      <w:bodyDiv w:val="1"/>
      <w:marLeft w:val="0"/>
      <w:marRight w:val="0"/>
      <w:marTop w:val="0"/>
      <w:marBottom w:val="0"/>
      <w:divBdr>
        <w:top w:val="none" w:sz="0" w:space="0" w:color="auto"/>
        <w:left w:val="none" w:sz="0" w:space="0" w:color="auto"/>
        <w:bottom w:val="none" w:sz="0" w:space="0" w:color="auto"/>
        <w:right w:val="none" w:sz="0" w:space="0" w:color="auto"/>
      </w:divBdr>
    </w:div>
    <w:div w:id="941644268">
      <w:bodyDiv w:val="1"/>
      <w:marLeft w:val="0"/>
      <w:marRight w:val="0"/>
      <w:marTop w:val="0"/>
      <w:marBottom w:val="0"/>
      <w:divBdr>
        <w:top w:val="none" w:sz="0" w:space="0" w:color="auto"/>
        <w:left w:val="none" w:sz="0" w:space="0" w:color="auto"/>
        <w:bottom w:val="none" w:sz="0" w:space="0" w:color="auto"/>
        <w:right w:val="none" w:sz="0" w:space="0" w:color="auto"/>
      </w:divBdr>
    </w:div>
    <w:div w:id="945431490">
      <w:bodyDiv w:val="1"/>
      <w:marLeft w:val="0"/>
      <w:marRight w:val="0"/>
      <w:marTop w:val="0"/>
      <w:marBottom w:val="0"/>
      <w:divBdr>
        <w:top w:val="none" w:sz="0" w:space="0" w:color="auto"/>
        <w:left w:val="none" w:sz="0" w:space="0" w:color="auto"/>
        <w:bottom w:val="none" w:sz="0" w:space="0" w:color="auto"/>
        <w:right w:val="none" w:sz="0" w:space="0" w:color="auto"/>
      </w:divBdr>
    </w:div>
    <w:div w:id="945962620">
      <w:bodyDiv w:val="1"/>
      <w:marLeft w:val="0"/>
      <w:marRight w:val="0"/>
      <w:marTop w:val="0"/>
      <w:marBottom w:val="0"/>
      <w:divBdr>
        <w:top w:val="none" w:sz="0" w:space="0" w:color="auto"/>
        <w:left w:val="none" w:sz="0" w:space="0" w:color="auto"/>
        <w:bottom w:val="none" w:sz="0" w:space="0" w:color="auto"/>
        <w:right w:val="none" w:sz="0" w:space="0" w:color="auto"/>
      </w:divBdr>
    </w:div>
    <w:div w:id="946044667">
      <w:bodyDiv w:val="1"/>
      <w:marLeft w:val="0"/>
      <w:marRight w:val="0"/>
      <w:marTop w:val="0"/>
      <w:marBottom w:val="0"/>
      <w:divBdr>
        <w:top w:val="none" w:sz="0" w:space="0" w:color="auto"/>
        <w:left w:val="none" w:sz="0" w:space="0" w:color="auto"/>
        <w:bottom w:val="none" w:sz="0" w:space="0" w:color="auto"/>
        <w:right w:val="none" w:sz="0" w:space="0" w:color="auto"/>
      </w:divBdr>
    </w:div>
    <w:div w:id="946547032">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958730001">
      <w:bodyDiv w:val="1"/>
      <w:marLeft w:val="0"/>
      <w:marRight w:val="0"/>
      <w:marTop w:val="0"/>
      <w:marBottom w:val="0"/>
      <w:divBdr>
        <w:top w:val="none" w:sz="0" w:space="0" w:color="auto"/>
        <w:left w:val="none" w:sz="0" w:space="0" w:color="auto"/>
        <w:bottom w:val="none" w:sz="0" w:space="0" w:color="auto"/>
        <w:right w:val="none" w:sz="0" w:space="0" w:color="auto"/>
      </w:divBdr>
    </w:div>
    <w:div w:id="959187726">
      <w:bodyDiv w:val="1"/>
      <w:marLeft w:val="0"/>
      <w:marRight w:val="0"/>
      <w:marTop w:val="0"/>
      <w:marBottom w:val="0"/>
      <w:divBdr>
        <w:top w:val="none" w:sz="0" w:space="0" w:color="auto"/>
        <w:left w:val="none" w:sz="0" w:space="0" w:color="auto"/>
        <w:bottom w:val="none" w:sz="0" w:space="0" w:color="auto"/>
        <w:right w:val="none" w:sz="0" w:space="0" w:color="auto"/>
      </w:divBdr>
    </w:div>
    <w:div w:id="960502126">
      <w:bodyDiv w:val="1"/>
      <w:marLeft w:val="0"/>
      <w:marRight w:val="0"/>
      <w:marTop w:val="0"/>
      <w:marBottom w:val="0"/>
      <w:divBdr>
        <w:top w:val="none" w:sz="0" w:space="0" w:color="auto"/>
        <w:left w:val="none" w:sz="0" w:space="0" w:color="auto"/>
        <w:bottom w:val="none" w:sz="0" w:space="0" w:color="auto"/>
        <w:right w:val="none" w:sz="0" w:space="0" w:color="auto"/>
      </w:divBdr>
    </w:div>
    <w:div w:id="962542319">
      <w:bodyDiv w:val="1"/>
      <w:marLeft w:val="0"/>
      <w:marRight w:val="0"/>
      <w:marTop w:val="0"/>
      <w:marBottom w:val="0"/>
      <w:divBdr>
        <w:top w:val="none" w:sz="0" w:space="0" w:color="auto"/>
        <w:left w:val="none" w:sz="0" w:space="0" w:color="auto"/>
        <w:bottom w:val="none" w:sz="0" w:space="0" w:color="auto"/>
        <w:right w:val="none" w:sz="0" w:space="0" w:color="auto"/>
      </w:divBdr>
    </w:div>
    <w:div w:id="968701000">
      <w:bodyDiv w:val="1"/>
      <w:marLeft w:val="0"/>
      <w:marRight w:val="0"/>
      <w:marTop w:val="0"/>
      <w:marBottom w:val="0"/>
      <w:divBdr>
        <w:top w:val="none" w:sz="0" w:space="0" w:color="auto"/>
        <w:left w:val="none" w:sz="0" w:space="0" w:color="auto"/>
        <w:bottom w:val="none" w:sz="0" w:space="0" w:color="auto"/>
        <w:right w:val="none" w:sz="0" w:space="0" w:color="auto"/>
      </w:divBdr>
    </w:div>
    <w:div w:id="979070404">
      <w:bodyDiv w:val="1"/>
      <w:marLeft w:val="0"/>
      <w:marRight w:val="0"/>
      <w:marTop w:val="0"/>
      <w:marBottom w:val="0"/>
      <w:divBdr>
        <w:top w:val="none" w:sz="0" w:space="0" w:color="auto"/>
        <w:left w:val="none" w:sz="0" w:space="0" w:color="auto"/>
        <w:bottom w:val="none" w:sz="0" w:space="0" w:color="auto"/>
        <w:right w:val="none" w:sz="0" w:space="0" w:color="auto"/>
      </w:divBdr>
    </w:div>
    <w:div w:id="979310138">
      <w:bodyDiv w:val="1"/>
      <w:marLeft w:val="0"/>
      <w:marRight w:val="0"/>
      <w:marTop w:val="0"/>
      <w:marBottom w:val="0"/>
      <w:divBdr>
        <w:top w:val="none" w:sz="0" w:space="0" w:color="auto"/>
        <w:left w:val="none" w:sz="0" w:space="0" w:color="auto"/>
        <w:bottom w:val="none" w:sz="0" w:space="0" w:color="auto"/>
        <w:right w:val="none" w:sz="0" w:space="0" w:color="auto"/>
      </w:divBdr>
    </w:div>
    <w:div w:id="983045258">
      <w:bodyDiv w:val="1"/>
      <w:marLeft w:val="0"/>
      <w:marRight w:val="0"/>
      <w:marTop w:val="0"/>
      <w:marBottom w:val="0"/>
      <w:divBdr>
        <w:top w:val="none" w:sz="0" w:space="0" w:color="auto"/>
        <w:left w:val="none" w:sz="0" w:space="0" w:color="auto"/>
        <w:bottom w:val="none" w:sz="0" w:space="0" w:color="auto"/>
        <w:right w:val="none" w:sz="0" w:space="0" w:color="auto"/>
      </w:divBdr>
    </w:div>
    <w:div w:id="986669501">
      <w:bodyDiv w:val="1"/>
      <w:marLeft w:val="0"/>
      <w:marRight w:val="0"/>
      <w:marTop w:val="0"/>
      <w:marBottom w:val="0"/>
      <w:divBdr>
        <w:top w:val="none" w:sz="0" w:space="0" w:color="auto"/>
        <w:left w:val="none" w:sz="0" w:space="0" w:color="auto"/>
        <w:bottom w:val="none" w:sz="0" w:space="0" w:color="auto"/>
        <w:right w:val="none" w:sz="0" w:space="0" w:color="auto"/>
      </w:divBdr>
    </w:div>
    <w:div w:id="989167147">
      <w:bodyDiv w:val="1"/>
      <w:marLeft w:val="0"/>
      <w:marRight w:val="0"/>
      <w:marTop w:val="0"/>
      <w:marBottom w:val="0"/>
      <w:divBdr>
        <w:top w:val="none" w:sz="0" w:space="0" w:color="auto"/>
        <w:left w:val="none" w:sz="0" w:space="0" w:color="auto"/>
        <w:bottom w:val="none" w:sz="0" w:space="0" w:color="auto"/>
        <w:right w:val="none" w:sz="0" w:space="0" w:color="auto"/>
      </w:divBdr>
    </w:div>
    <w:div w:id="990988167">
      <w:bodyDiv w:val="1"/>
      <w:marLeft w:val="0"/>
      <w:marRight w:val="0"/>
      <w:marTop w:val="0"/>
      <w:marBottom w:val="0"/>
      <w:divBdr>
        <w:top w:val="none" w:sz="0" w:space="0" w:color="auto"/>
        <w:left w:val="none" w:sz="0" w:space="0" w:color="auto"/>
        <w:bottom w:val="none" w:sz="0" w:space="0" w:color="auto"/>
        <w:right w:val="none" w:sz="0" w:space="0" w:color="auto"/>
      </w:divBdr>
    </w:div>
    <w:div w:id="991566060">
      <w:bodyDiv w:val="1"/>
      <w:marLeft w:val="0"/>
      <w:marRight w:val="0"/>
      <w:marTop w:val="0"/>
      <w:marBottom w:val="0"/>
      <w:divBdr>
        <w:top w:val="none" w:sz="0" w:space="0" w:color="auto"/>
        <w:left w:val="none" w:sz="0" w:space="0" w:color="auto"/>
        <w:bottom w:val="none" w:sz="0" w:space="0" w:color="auto"/>
        <w:right w:val="none" w:sz="0" w:space="0" w:color="auto"/>
      </w:divBdr>
    </w:div>
    <w:div w:id="994529413">
      <w:bodyDiv w:val="1"/>
      <w:marLeft w:val="0"/>
      <w:marRight w:val="0"/>
      <w:marTop w:val="0"/>
      <w:marBottom w:val="0"/>
      <w:divBdr>
        <w:top w:val="none" w:sz="0" w:space="0" w:color="auto"/>
        <w:left w:val="none" w:sz="0" w:space="0" w:color="auto"/>
        <w:bottom w:val="none" w:sz="0" w:space="0" w:color="auto"/>
        <w:right w:val="none" w:sz="0" w:space="0" w:color="auto"/>
      </w:divBdr>
    </w:div>
    <w:div w:id="997415500">
      <w:bodyDiv w:val="1"/>
      <w:marLeft w:val="0"/>
      <w:marRight w:val="0"/>
      <w:marTop w:val="0"/>
      <w:marBottom w:val="0"/>
      <w:divBdr>
        <w:top w:val="none" w:sz="0" w:space="0" w:color="auto"/>
        <w:left w:val="none" w:sz="0" w:space="0" w:color="auto"/>
        <w:bottom w:val="none" w:sz="0" w:space="0" w:color="auto"/>
        <w:right w:val="none" w:sz="0" w:space="0" w:color="auto"/>
      </w:divBdr>
    </w:div>
    <w:div w:id="997921292">
      <w:bodyDiv w:val="1"/>
      <w:marLeft w:val="0"/>
      <w:marRight w:val="0"/>
      <w:marTop w:val="0"/>
      <w:marBottom w:val="0"/>
      <w:divBdr>
        <w:top w:val="none" w:sz="0" w:space="0" w:color="auto"/>
        <w:left w:val="none" w:sz="0" w:space="0" w:color="auto"/>
        <w:bottom w:val="none" w:sz="0" w:space="0" w:color="auto"/>
        <w:right w:val="none" w:sz="0" w:space="0" w:color="auto"/>
      </w:divBdr>
    </w:div>
    <w:div w:id="1000960692">
      <w:bodyDiv w:val="1"/>
      <w:marLeft w:val="0"/>
      <w:marRight w:val="0"/>
      <w:marTop w:val="0"/>
      <w:marBottom w:val="0"/>
      <w:divBdr>
        <w:top w:val="none" w:sz="0" w:space="0" w:color="auto"/>
        <w:left w:val="none" w:sz="0" w:space="0" w:color="auto"/>
        <w:bottom w:val="none" w:sz="0" w:space="0" w:color="auto"/>
        <w:right w:val="none" w:sz="0" w:space="0" w:color="auto"/>
      </w:divBdr>
    </w:div>
    <w:div w:id="1005206329">
      <w:bodyDiv w:val="1"/>
      <w:marLeft w:val="0"/>
      <w:marRight w:val="0"/>
      <w:marTop w:val="0"/>
      <w:marBottom w:val="0"/>
      <w:divBdr>
        <w:top w:val="none" w:sz="0" w:space="0" w:color="auto"/>
        <w:left w:val="none" w:sz="0" w:space="0" w:color="auto"/>
        <w:bottom w:val="none" w:sz="0" w:space="0" w:color="auto"/>
        <w:right w:val="none" w:sz="0" w:space="0" w:color="auto"/>
      </w:divBdr>
    </w:div>
    <w:div w:id="1005209760">
      <w:bodyDiv w:val="1"/>
      <w:marLeft w:val="0"/>
      <w:marRight w:val="0"/>
      <w:marTop w:val="0"/>
      <w:marBottom w:val="0"/>
      <w:divBdr>
        <w:top w:val="none" w:sz="0" w:space="0" w:color="auto"/>
        <w:left w:val="none" w:sz="0" w:space="0" w:color="auto"/>
        <w:bottom w:val="none" w:sz="0" w:space="0" w:color="auto"/>
        <w:right w:val="none" w:sz="0" w:space="0" w:color="auto"/>
      </w:divBdr>
    </w:div>
    <w:div w:id="1006983936">
      <w:bodyDiv w:val="1"/>
      <w:marLeft w:val="0"/>
      <w:marRight w:val="0"/>
      <w:marTop w:val="0"/>
      <w:marBottom w:val="0"/>
      <w:divBdr>
        <w:top w:val="none" w:sz="0" w:space="0" w:color="auto"/>
        <w:left w:val="none" w:sz="0" w:space="0" w:color="auto"/>
        <w:bottom w:val="none" w:sz="0" w:space="0" w:color="auto"/>
        <w:right w:val="none" w:sz="0" w:space="0" w:color="auto"/>
      </w:divBdr>
    </w:div>
    <w:div w:id="1007753739">
      <w:bodyDiv w:val="1"/>
      <w:marLeft w:val="0"/>
      <w:marRight w:val="0"/>
      <w:marTop w:val="0"/>
      <w:marBottom w:val="0"/>
      <w:divBdr>
        <w:top w:val="none" w:sz="0" w:space="0" w:color="auto"/>
        <w:left w:val="none" w:sz="0" w:space="0" w:color="auto"/>
        <w:bottom w:val="none" w:sz="0" w:space="0" w:color="auto"/>
        <w:right w:val="none" w:sz="0" w:space="0" w:color="auto"/>
      </w:divBdr>
    </w:div>
    <w:div w:id="1012144423">
      <w:bodyDiv w:val="1"/>
      <w:marLeft w:val="0"/>
      <w:marRight w:val="0"/>
      <w:marTop w:val="0"/>
      <w:marBottom w:val="0"/>
      <w:divBdr>
        <w:top w:val="none" w:sz="0" w:space="0" w:color="auto"/>
        <w:left w:val="none" w:sz="0" w:space="0" w:color="auto"/>
        <w:bottom w:val="none" w:sz="0" w:space="0" w:color="auto"/>
        <w:right w:val="none" w:sz="0" w:space="0" w:color="auto"/>
      </w:divBdr>
    </w:div>
    <w:div w:id="1017150353">
      <w:bodyDiv w:val="1"/>
      <w:marLeft w:val="0"/>
      <w:marRight w:val="0"/>
      <w:marTop w:val="0"/>
      <w:marBottom w:val="0"/>
      <w:divBdr>
        <w:top w:val="none" w:sz="0" w:space="0" w:color="auto"/>
        <w:left w:val="none" w:sz="0" w:space="0" w:color="auto"/>
        <w:bottom w:val="none" w:sz="0" w:space="0" w:color="auto"/>
        <w:right w:val="none" w:sz="0" w:space="0" w:color="auto"/>
      </w:divBdr>
    </w:div>
    <w:div w:id="1017780556">
      <w:bodyDiv w:val="1"/>
      <w:marLeft w:val="0"/>
      <w:marRight w:val="0"/>
      <w:marTop w:val="0"/>
      <w:marBottom w:val="0"/>
      <w:divBdr>
        <w:top w:val="none" w:sz="0" w:space="0" w:color="auto"/>
        <w:left w:val="none" w:sz="0" w:space="0" w:color="auto"/>
        <w:bottom w:val="none" w:sz="0" w:space="0" w:color="auto"/>
        <w:right w:val="none" w:sz="0" w:space="0" w:color="auto"/>
      </w:divBdr>
    </w:div>
    <w:div w:id="1018701881">
      <w:bodyDiv w:val="1"/>
      <w:marLeft w:val="0"/>
      <w:marRight w:val="0"/>
      <w:marTop w:val="0"/>
      <w:marBottom w:val="0"/>
      <w:divBdr>
        <w:top w:val="none" w:sz="0" w:space="0" w:color="auto"/>
        <w:left w:val="none" w:sz="0" w:space="0" w:color="auto"/>
        <w:bottom w:val="none" w:sz="0" w:space="0" w:color="auto"/>
        <w:right w:val="none" w:sz="0" w:space="0" w:color="auto"/>
      </w:divBdr>
    </w:div>
    <w:div w:id="1022048482">
      <w:bodyDiv w:val="1"/>
      <w:marLeft w:val="0"/>
      <w:marRight w:val="0"/>
      <w:marTop w:val="0"/>
      <w:marBottom w:val="0"/>
      <w:divBdr>
        <w:top w:val="none" w:sz="0" w:space="0" w:color="auto"/>
        <w:left w:val="none" w:sz="0" w:space="0" w:color="auto"/>
        <w:bottom w:val="none" w:sz="0" w:space="0" w:color="auto"/>
        <w:right w:val="none" w:sz="0" w:space="0" w:color="auto"/>
      </w:divBdr>
    </w:div>
    <w:div w:id="1028331920">
      <w:bodyDiv w:val="1"/>
      <w:marLeft w:val="0"/>
      <w:marRight w:val="0"/>
      <w:marTop w:val="0"/>
      <w:marBottom w:val="0"/>
      <w:divBdr>
        <w:top w:val="none" w:sz="0" w:space="0" w:color="auto"/>
        <w:left w:val="none" w:sz="0" w:space="0" w:color="auto"/>
        <w:bottom w:val="none" w:sz="0" w:space="0" w:color="auto"/>
        <w:right w:val="none" w:sz="0" w:space="0" w:color="auto"/>
      </w:divBdr>
    </w:div>
    <w:div w:id="1030497928">
      <w:bodyDiv w:val="1"/>
      <w:marLeft w:val="0"/>
      <w:marRight w:val="0"/>
      <w:marTop w:val="0"/>
      <w:marBottom w:val="0"/>
      <w:divBdr>
        <w:top w:val="none" w:sz="0" w:space="0" w:color="auto"/>
        <w:left w:val="none" w:sz="0" w:space="0" w:color="auto"/>
        <w:bottom w:val="none" w:sz="0" w:space="0" w:color="auto"/>
        <w:right w:val="none" w:sz="0" w:space="0" w:color="auto"/>
      </w:divBdr>
    </w:div>
    <w:div w:id="1038823880">
      <w:bodyDiv w:val="1"/>
      <w:marLeft w:val="0"/>
      <w:marRight w:val="0"/>
      <w:marTop w:val="0"/>
      <w:marBottom w:val="0"/>
      <w:divBdr>
        <w:top w:val="none" w:sz="0" w:space="0" w:color="auto"/>
        <w:left w:val="none" w:sz="0" w:space="0" w:color="auto"/>
        <w:bottom w:val="none" w:sz="0" w:space="0" w:color="auto"/>
        <w:right w:val="none" w:sz="0" w:space="0" w:color="auto"/>
      </w:divBdr>
    </w:div>
    <w:div w:id="1042486553">
      <w:bodyDiv w:val="1"/>
      <w:marLeft w:val="0"/>
      <w:marRight w:val="0"/>
      <w:marTop w:val="0"/>
      <w:marBottom w:val="0"/>
      <w:divBdr>
        <w:top w:val="none" w:sz="0" w:space="0" w:color="auto"/>
        <w:left w:val="none" w:sz="0" w:space="0" w:color="auto"/>
        <w:bottom w:val="none" w:sz="0" w:space="0" w:color="auto"/>
        <w:right w:val="none" w:sz="0" w:space="0" w:color="auto"/>
      </w:divBdr>
    </w:div>
    <w:div w:id="1042899792">
      <w:bodyDiv w:val="1"/>
      <w:marLeft w:val="0"/>
      <w:marRight w:val="0"/>
      <w:marTop w:val="0"/>
      <w:marBottom w:val="0"/>
      <w:divBdr>
        <w:top w:val="none" w:sz="0" w:space="0" w:color="auto"/>
        <w:left w:val="none" w:sz="0" w:space="0" w:color="auto"/>
        <w:bottom w:val="none" w:sz="0" w:space="0" w:color="auto"/>
        <w:right w:val="none" w:sz="0" w:space="0" w:color="auto"/>
      </w:divBdr>
    </w:div>
    <w:div w:id="1048794896">
      <w:bodyDiv w:val="1"/>
      <w:marLeft w:val="0"/>
      <w:marRight w:val="0"/>
      <w:marTop w:val="0"/>
      <w:marBottom w:val="0"/>
      <w:divBdr>
        <w:top w:val="none" w:sz="0" w:space="0" w:color="auto"/>
        <w:left w:val="none" w:sz="0" w:space="0" w:color="auto"/>
        <w:bottom w:val="none" w:sz="0" w:space="0" w:color="auto"/>
        <w:right w:val="none" w:sz="0" w:space="0" w:color="auto"/>
      </w:divBdr>
    </w:div>
    <w:div w:id="1048918783">
      <w:bodyDiv w:val="1"/>
      <w:marLeft w:val="0"/>
      <w:marRight w:val="0"/>
      <w:marTop w:val="0"/>
      <w:marBottom w:val="0"/>
      <w:divBdr>
        <w:top w:val="none" w:sz="0" w:space="0" w:color="auto"/>
        <w:left w:val="none" w:sz="0" w:space="0" w:color="auto"/>
        <w:bottom w:val="none" w:sz="0" w:space="0" w:color="auto"/>
        <w:right w:val="none" w:sz="0" w:space="0" w:color="auto"/>
      </w:divBdr>
    </w:div>
    <w:div w:id="1052540162">
      <w:bodyDiv w:val="1"/>
      <w:marLeft w:val="0"/>
      <w:marRight w:val="0"/>
      <w:marTop w:val="0"/>
      <w:marBottom w:val="0"/>
      <w:divBdr>
        <w:top w:val="none" w:sz="0" w:space="0" w:color="auto"/>
        <w:left w:val="none" w:sz="0" w:space="0" w:color="auto"/>
        <w:bottom w:val="none" w:sz="0" w:space="0" w:color="auto"/>
        <w:right w:val="none" w:sz="0" w:space="0" w:color="auto"/>
      </w:divBdr>
    </w:div>
    <w:div w:id="1056392054">
      <w:bodyDiv w:val="1"/>
      <w:marLeft w:val="0"/>
      <w:marRight w:val="0"/>
      <w:marTop w:val="0"/>
      <w:marBottom w:val="0"/>
      <w:divBdr>
        <w:top w:val="none" w:sz="0" w:space="0" w:color="auto"/>
        <w:left w:val="none" w:sz="0" w:space="0" w:color="auto"/>
        <w:bottom w:val="none" w:sz="0" w:space="0" w:color="auto"/>
        <w:right w:val="none" w:sz="0" w:space="0" w:color="auto"/>
      </w:divBdr>
    </w:div>
    <w:div w:id="1058280001">
      <w:bodyDiv w:val="1"/>
      <w:marLeft w:val="0"/>
      <w:marRight w:val="0"/>
      <w:marTop w:val="0"/>
      <w:marBottom w:val="0"/>
      <w:divBdr>
        <w:top w:val="none" w:sz="0" w:space="0" w:color="auto"/>
        <w:left w:val="none" w:sz="0" w:space="0" w:color="auto"/>
        <w:bottom w:val="none" w:sz="0" w:space="0" w:color="auto"/>
        <w:right w:val="none" w:sz="0" w:space="0" w:color="auto"/>
      </w:divBdr>
    </w:div>
    <w:div w:id="1058626565">
      <w:bodyDiv w:val="1"/>
      <w:marLeft w:val="0"/>
      <w:marRight w:val="0"/>
      <w:marTop w:val="0"/>
      <w:marBottom w:val="0"/>
      <w:divBdr>
        <w:top w:val="none" w:sz="0" w:space="0" w:color="auto"/>
        <w:left w:val="none" w:sz="0" w:space="0" w:color="auto"/>
        <w:bottom w:val="none" w:sz="0" w:space="0" w:color="auto"/>
        <w:right w:val="none" w:sz="0" w:space="0" w:color="auto"/>
      </w:divBdr>
    </w:div>
    <w:div w:id="1062757576">
      <w:bodyDiv w:val="1"/>
      <w:marLeft w:val="0"/>
      <w:marRight w:val="0"/>
      <w:marTop w:val="0"/>
      <w:marBottom w:val="0"/>
      <w:divBdr>
        <w:top w:val="none" w:sz="0" w:space="0" w:color="auto"/>
        <w:left w:val="none" w:sz="0" w:space="0" w:color="auto"/>
        <w:bottom w:val="none" w:sz="0" w:space="0" w:color="auto"/>
        <w:right w:val="none" w:sz="0" w:space="0" w:color="auto"/>
      </w:divBdr>
    </w:div>
    <w:div w:id="1063408426">
      <w:bodyDiv w:val="1"/>
      <w:marLeft w:val="0"/>
      <w:marRight w:val="0"/>
      <w:marTop w:val="0"/>
      <w:marBottom w:val="0"/>
      <w:divBdr>
        <w:top w:val="none" w:sz="0" w:space="0" w:color="auto"/>
        <w:left w:val="none" w:sz="0" w:space="0" w:color="auto"/>
        <w:bottom w:val="none" w:sz="0" w:space="0" w:color="auto"/>
        <w:right w:val="none" w:sz="0" w:space="0" w:color="auto"/>
      </w:divBdr>
    </w:div>
    <w:div w:id="1069154778">
      <w:bodyDiv w:val="1"/>
      <w:marLeft w:val="0"/>
      <w:marRight w:val="0"/>
      <w:marTop w:val="0"/>
      <w:marBottom w:val="0"/>
      <w:divBdr>
        <w:top w:val="none" w:sz="0" w:space="0" w:color="auto"/>
        <w:left w:val="none" w:sz="0" w:space="0" w:color="auto"/>
        <w:bottom w:val="none" w:sz="0" w:space="0" w:color="auto"/>
        <w:right w:val="none" w:sz="0" w:space="0" w:color="auto"/>
      </w:divBdr>
    </w:div>
    <w:div w:id="1069426639">
      <w:bodyDiv w:val="1"/>
      <w:marLeft w:val="0"/>
      <w:marRight w:val="0"/>
      <w:marTop w:val="0"/>
      <w:marBottom w:val="0"/>
      <w:divBdr>
        <w:top w:val="none" w:sz="0" w:space="0" w:color="auto"/>
        <w:left w:val="none" w:sz="0" w:space="0" w:color="auto"/>
        <w:bottom w:val="none" w:sz="0" w:space="0" w:color="auto"/>
        <w:right w:val="none" w:sz="0" w:space="0" w:color="auto"/>
      </w:divBdr>
    </w:div>
    <w:div w:id="1071729851">
      <w:bodyDiv w:val="1"/>
      <w:marLeft w:val="0"/>
      <w:marRight w:val="0"/>
      <w:marTop w:val="0"/>
      <w:marBottom w:val="0"/>
      <w:divBdr>
        <w:top w:val="none" w:sz="0" w:space="0" w:color="auto"/>
        <w:left w:val="none" w:sz="0" w:space="0" w:color="auto"/>
        <w:bottom w:val="none" w:sz="0" w:space="0" w:color="auto"/>
        <w:right w:val="none" w:sz="0" w:space="0" w:color="auto"/>
      </w:divBdr>
    </w:div>
    <w:div w:id="1073577514">
      <w:bodyDiv w:val="1"/>
      <w:marLeft w:val="0"/>
      <w:marRight w:val="0"/>
      <w:marTop w:val="0"/>
      <w:marBottom w:val="0"/>
      <w:divBdr>
        <w:top w:val="none" w:sz="0" w:space="0" w:color="auto"/>
        <w:left w:val="none" w:sz="0" w:space="0" w:color="auto"/>
        <w:bottom w:val="none" w:sz="0" w:space="0" w:color="auto"/>
        <w:right w:val="none" w:sz="0" w:space="0" w:color="auto"/>
      </w:divBdr>
    </w:div>
    <w:div w:id="1076052972">
      <w:bodyDiv w:val="1"/>
      <w:marLeft w:val="0"/>
      <w:marRight w:val="0"/>
      <w:marTop w:val="0"/>
      <w:marBottom w:val="0"/>
      <w:divBdr>
        <w:top w:val="none" w:sz="0" w:space="0" w:color="auto"/>
        <w:left w:val="none" w:sz="0" w:space="0" w:color="auto"/>
        <w:bottom w:val="none" w:sz="0" w:space="0" w:color="auto"/>
        <w:right w:val="none" w:sz="0" w:space="0" w:color="auto"/>
      </w:divBdr>
    </w:div>
    <w:div w:id="1077282630">
      <w:bodyDiv w:val="1"/>
      <w:marLeft w:val="0"/>
      <w:marRight w:val="0"/>
      <w:marTop w:val="0"/>
      <w:marBottom w:val="0"/>
      <w:divBdr>
        <w:top w:val="none" w:sz="0" w:space="0" w:color="auto"/>
        <w:left w:val="none" w:sz="0" w:space="0" w:color="auto"/>
        <w:bottom w:val="none" w:sz="0" w:space="0" w:color="auto"/>
        <w:right w:val="none" w:sz="0" w:space="0" w:color="auto"/>
      </w:divBdr>
    </w:div>
    <w:div w:id="1077947183">
      <w:bodyDiv w:val="1"/>
      <w:marLeft w:val="0"/>
      <w:marRight w:val="0"/>
      <w:marTop w:val="0"/>
      <w:marBottom w:val="0"/>
      <w:divBdr>
        <w:top w:val="none" w:sz="0" w:space="0" w:color="auto"/>
        <w:left w:val="none" w:sz="0" w:space="0" w:color="auto"/>
        <w:bottom w:val="none" w:sz="0" w:space="0" w:color="auto"/>
        <w:right w:val="none" w:sz="0" w:space="0" w:color="auto"/>
      </w:divBdr>
    </w:div>
    <w:div w:id="1083137432">
      <w:bodyDiv w:val="1"/>
      <w:marLeft w:val="0"/>
      <w:marRight w:val="0"/>
      <w:marTop w:val="0"/>
      <w:marBottom w:val="0"/>
      <w:divBdr>
        <w:top w:val="none" w:sz="0" w:space="0" w:color="auto"/>
        <w:left w:val="none" w:sz="0" w:space="0" w:color="auto"/>
        <w:bottom w:val="none" w:sz="0" w:space="0" w:color="auto"/>
        <w:right w:val="none" w:sz="0" w:space="0" w:color="auto"/>
      </w:divBdr>
    </w:div>
    <w:div w:id="1085225930">
      <w:bodyDiv w:val="1"/>
      <w:marLeft w:val="0"/>
      <w:marRight w:val="0"/>
      <w:marTop w:val="0"/>
      <w:marBottom w:val="0"/>
      <w:divBdr>
        <w:top w:val="none" w:sz="0" w:space="0" w:color="auto"/>
        <w:left w:val="none" w:sz="0" w:space="0" w:color="auto"/>
        <w:bottom w:val="none" w:sz="0" w:space="0" w:color="auto"/>
        <w:right w:val="none" w:sz="0" w:space="0" w:color="auto"/>
      </w:divBdr>
    </w:div>
    <w:div w:id="1085303826">
      <w:bodyDiv w:val="1"/>
      <w:marLeft w:val="0"/>
      <w:marRight w:val="0"/>
      <w:marTop w:val="0"/>
      <w:marBottom w:val="0"/>
      <w:divBdr>
        <w:top w:val="none" w:sz="0" w:space="0" w:color="auto"/>
        <w:left w:val="none" w:sz="0" w:space="0" w:color="auto"/>
        <w:bottom w:val="none" w:sz="0" w:space="0" w:color="auto"/>
        <w:right w:val="none" w:sz="0" w:space="0" w:color="auto"/>
      </w:divBdr>
    </w:div>
    <w:div w:id="1091270735">
      <w:bodyDiv w:val="1"/>
      <w:marLeft w:val="0"/>
      <w:marRight w:val="0"/>
      <w:marTop w:val="0"/>
      <w:marBottom w:val="0"/>
      <w:divBdr>
        <w:top w:val="none" w:sz="0" w:space="0" w:color="auto"/>
        <w:left w:val="none" w:sz="0" w:space="0" w:color="auto"/>
        <w:bottom w:val="none" w:sz="0" w:space="0" w:color="auto"/>
        <w:right w:val="none" w:sz="0" w:space="0" w:color="auto"/>
      </w:divBdr>
    </w:div>
    <w:div w:id="1095053089">
      <w:bodyDiv w:val="1"/>
      <w:marLeft w:val="0"/>
      <w:marRight w:val="0"/>
      <w:marTop w:val="0"/>
      <w:marBottom w:val="0"/>
      <w:divBdr>
        <w:top w:val="none" w:sz="0" w:space="0" w:color="auto"/>
        <w:left w:val="none" w:sz="0" w:space="0" w:color="auto"/>
        <w:bottom w:val="none" w:sz="0" w:space="0" w:color="auto"/>
        <w:right w:val="none" w:sz="0" w:space="0" w:color="auto"/>
      </w:divBdr>
    </w:div>
    <w:div w:id="1096822643">
      <w:bodyDiv w:val="1"/>
      <w:marLeft w:val="0"/>
      <w:marRight w:val="0"/>
      <w:marTop w:val="0"/>
      <w:marBottom w:val="0"/>
      <w:divBdr>
        <w:top w:val="none" w:sz="0" w:space="0" w:color="auto"/>
        <w:left w:val="none" w:sz="0" w:space="0" w:color="auto"/>
        <w:bottom w:val="none" w:sz="0" w:space="0" w:color="auto"/>
        <w:right w:val="none" w:sz="0" w:space="0" w:color="auto"/>
      </w:divBdr>
    </w:div>
    <w:div w:id="1097091585">
      <w:bodyDiv w:val="1"/>
      <w:marLeft w:val="0"/>
      <w:marRight w:val="0"/>
      <w:marTop w:val="0"/>
      <w:marBottom w:val="0"/>
      <w:divBdr>
        <w:top w:val="none" w:sz="0" w:space="0" w:color="auto"/>
        <w:left w:val="none" w:sz="0" w:space="0" w:color="auto"/>
        <w:bottom w:val="none" w:sz="0" w:space="0" w:color="auto"/>
        <w:right w:val="none" w:sz="0" w:space="0" w:color="auto"/>
      </w:divBdr>
    </w:div>
    <w:div w:id="1098408528">
      <w:bodyDiv w:val="1"/>
      <w:marLeft w:val="0"/>
      <w:marRight w:val="0"/>
      <w:marTop w:val="0"/>
      <w:marBottom w:val="0"/>
      <w:divBdr>
        <w:top w:val="none" w:sz="0" w:space="0" w:color="auto"/>
        <w:left w:val="none" w:sz="0" w:space="0" w:color="auto"/>
        <w:bottom w:val="none" w:sz="0" w:space="0" w:color="auto"/>
        <w:right w:val="none" w:sz="0" w:space="0" w:color="auto"/>
      </w:divBdr>
    </w:div>
    <w:div w:id="1099713828">
      <w:bodyDiv w:val="1"/>
      <w:marLeft w:val="0"/>
      <w:marRight w:val="0"/>
      <w:marTop w:val="0"/>
      <w:marBottom w:val="0"/>
      <w:divBdr>
        <w:top w:val="none" w:sz="0" w:space="0" w:color="auto"/>
        <w:left w:val="none" w:sz="0" w:space="0" w:color="auto"/>
        <w:bottom w:val="none" w:sz="0" w:space="0" w:color="auto"/>
        <w:right w:val="none" w:sz="0" w:space="0" w:color="auto"/>
      </w:divBdr>
    </w:div>
    <w:div w:id="1101145573">
      <w:bodyDiv w:val="1"/>
      <w:marLeft w:val="0"/>
      <w:marRight w:val="0"/>
      <w:marTop w:val="0"/>
      <w:marBottom w:val="0"/>
      <w:divBdr>
        <w:top w:val="none" w:sz="0" w:space="0" w:color="auto"/>
        <w:left w:val="none" w:sz="0" w:space="0" w:color="auto"/>
        <w:bottom w:val="none" w:sz="0" w:space="0" w:color="auto"/>
        <w:right w:val="none" w:sz="0" w:space="0" w:color="auto"/>
      </w:divBdr>
    </w:div>
    <w:div w:id="1104496475">
      <w:bodyDiv w:val="1"/>
      <w:marLeft w:val="0"/>
      <w:marRight w:val="0"/>
      <w:marTop w:val="0"/>
      <w:marBottom w:val="0"/>
      <w:divBdr>
        <w:top w:val="none" w:sz="0" w:space="0" w:color="auto"/>
        <w:left w:val="none" w:sz="0" w:space="0" w:color="auto"/>
        <w:bottom w:val="none" w:sz="0" w:space="0" w:color="auto"/>
        <w:right w:val="none" w:sz="0" w:space="0" w:color="auto"/>
      </w:divBdr>
    </w:div>
    <w:div w:id="1111163176">
      <w:bodyDiv w:val="1"/>
      <w:marLeft w:val="0"/>
      <w:marRight w:val="0"/>
      <w:marTop w:val="0"/>
      <w:marBottom w:val="0"/>
      <w:divBdr>
        <w:top w:val="none" w:sz="0" w:space="0" w:color="auto"/>
        <w:left w:val="none" w:sz="0" w:space="0" w:color="auto"/>
        <w:bottom w:val="none" w:sz="0" w:space="0" w:color="auto"/>
        <w:right w:val="none" w:sz="0" w:space="0" w:color="auto"/>
      </w:divBdr>
    </w:div>
    <w:div w:id="1112433488">
      <w:bodyDiv w:val="1"/>
      <w:marLeft w:val="0"/>
      <w:marRight w:val="0"/>
      <w:marTop w:val="0"/>
      <w:marBottom w:val="0"/>
      <w:divBdr>
        <w:top w:val="none" w:sz="0" w:space="0" w:color="auto"/>
        <w:left w:val="none" w:sz="0" w:space="0" w:color="auto"/>
        <w:bottom w:val="none" w:sz="0" w:space="0" w:color="auto"/>
        <w:right w:val="none" w:sz="0" w:space="0" w:color="auto"/>
      </w:divBdr>
    </w:div>
    <w:div w:id="1112434708">
      <w:bodyDiv w:val="1"/>
      <w:marLeft w:val="0"/>
      <w:marRight w:val="0"/>
      <w:marTop w:val="0"/>
      <w:marBottom w:val="0"/>
      <w:divBdr>
        <w:top w:val="none" w:sz="0" w:space="0" w:color="auto"/>
        <w:left w:val="none" w:sz="0" w:space="0" w:color="auto"/>
        <w:bottom w:val="none" w:sz="0" w:space="0" w:color="auto"/>
        <w:right w:val="none" w:sz="0" w:space="0" w:color="auto"/>
      </w:divBdr>
    </w:div>
    <w:div w:id="1114641063">
      <w:bodyDiv w:val="1"/>
      <w:marLeft w:val="0"/>
      <w:marRight w:val="0"/>
      <w:marTop w:val="0"/>
      <w:marBottom w:val="0"/>
      <w:divBdr>
        <w:top w:val="none" w:sz="0" w:space="0" w:color="auto"/>
        <w:left w:val="none" w:sz="0" w:space="0" w:color="auto"/>
        <w:bottom w:val="none" w:sz="0" w:space="0" w:color="auto"/>
        <w:right w:val="none" w:sz="0" w:space="0" w:color="auto"/>
      </w:divBdr>
    </w:div>
    <w:div w:id="1115100623">
      <w:bodyDiv w:val="1"/>
      <w:marLeft w:val="0"/>
      <w:marRight w:val="0"/>
      <w:marTop w:val="0"/>
      <w:marBottom w:val="0"/>
      <w:divBdr>
        <w:top w:val="none" w:sz="0" w:space="0" w:color="auto"/>
        <w:left w:val="none" w:sz="0" w:space="0" w:color="auto"/>
        <w:bottom w:val="none" w:sz="0" w:space="0" w:color="auto"/>
        <w:right w:val="none" w:sz="0" w:space="0" w:color="auto"/>
      </w:divBdr>
    </w:div>
    <w:div w:id="1117869975">
      <w:bodyDiv w:val="1"/>
      <w:marLeft w:val="0"/>
      <w:marRight w:val="0"/>
      <w:marTop w:val="0"/>
      <w:marBottom w:val="0"/>
      <w:divBdr>
        <w:top w:val="none" w:sz="0" w:space="0" w:color="auto"/>
        <w:left w:val="none" w:sz="0" w:space="0" w:color="auto"/>
        <w:bottom w:val="none" w:sz="0" w:space="0" w:color="auto"/>
        <w:right w:val="none" w:sz="0" w:space="0" w:color="auto"/>
      </w:divBdr>
    </w:div>
    <w:div w:id="1123813885">
      <w:bodyDiv w:val="1"/>
      <w:marLeft w:val="0"/>
      <w:marRight w:val="0"/>
      <w:marTop w:val="0"/>
      <w:marBottom w:val="0"/>
      <w:divBdr>
        <w:top w:val="none" w:sz="0" w:space="0" w:color="auto"/>
        <w:left w:val="none" w:sz="0" w:space="0" w:color="auto"/>
        <w:bottom w:val="none" w:sz="0" w:space="0" w:color="auto"/>
        <w:right w:val="none" w:sz="0" w:space="0" w:color="auto"/>
      </w:divBdr>
    </w:div>
    <w:div w:id="1126392014">
      <w:bodyDiv w:val="1"/>
      <w:marLeft w:val="0"/>
      <w:marRight w:val="0"/>
      <w:marTop w:val="0"/>
      <w:marBottom w:val="0"/>
      <w:divBdr>
        <w:top w:val="none" w:sz="0" w:space="0" w:color="auto"/>
        <w:left w:val="none" w:sz="0" w:space="0" w:color="auto"/>
        <w:bottom w:val="none" w:sz="0" w:space="0" w:color="auto"/>
        <w:right w:val="none" w:sz="0" w:space="0" w:color="auto"/>
      </w:divBdr>
    </w:div>
    <w:div w:id="1126855855">
      <w:bodyDiv w:val="1"/>
      <w:marLeft w:val="0"/>
      <w:marRight w:val="0"/>
      <w:marTop w:val="0"/>
      <w:marBottom w:val="0"/>
      <w:divBdr>
        <w:top w:val="none" w:sz="0" w:space="0" w:color="auto"/>
        <w:left w:val="none" w:sz="0" w:space="0" w:color="auto"/>
        <w:bottom w:val="none" w:sz="0" w:space="0" w:color="auto"/>
        <w:right w:val="none" w:sz="0" w:space="0" w:color="auto"/>
      </w:divBdr>
    </w:div>
    <w:div w:id="1128277632">
      <w:bodyDiv w:val="1"/>
      <w:marLeft w:val="0"/>
      <w:marRight w:val="0"/>
      <w:marTop w:val="0"/>
      <w:marBottom w:val="0"/>
      <w:divBdr>
        <w:top w:val="none" w:sz="0" w:space="0" w:color="auto"/>
        <w:left w:val="none" w:sz="0" w:space="0" w:color="auto"/>
        <w:bottom w:val="none" w:sz="0" w:space="0" w:color="auto"/>
        <w:right w:val="none" w:sz="0" w:space="0" w:color="auto"/>
      </w:divBdr>
    </w:div>
    <w:div w:id="1130707777">
      <w:bodyDiv w:val="1"/>
      <w:marLeft w:val="0"/>
      <w:marRight w:val="0"/>
      <w:marTop w:val="0"/>
      <w:marBottom w:val="0"/>
      <w:divBdr>
        <w:top w:val="none" w:sz="0" w:space="0" w:color="auto"/>
        <w:left w:val="none" w:sz="0" w:space="0" w:color="auto"/>
        <w:bottom w:val="none" w:sz="0" w:space="0" w:color="auto"/>
        <w:right w:val="none" w:sz="0" w:space="0" w:color="auto"/>
      </w:divBdr>
    </w:div>
    <w:div w:id="1135024086">
      <w:bodyDiv w:val="1"/>
      <w:marLeft w:val="0"/>
      <w:marRight w:val="0"/>
      <w:marTop w:val="0"/>
      <w:marBottom w:val="0"/>
      <w:divBdr>
        <w:top w:val="none" w:sz="0" w:space="0" w:color="auto"/>
        <w:left w:val="none" w:sz="0" w:space="0" w:color="auto"/>
        <w:bottom w:val="none" w:sz="0" w:space="0" w:color="auto"/>
        <w:right w:val="none" w:sz="0" w:space="0" w:color="auto"/>
      </w:divBdr>
    </w:div>
    <w:div w:id="1135487160">
      <w:bodyDiv w:val="1"/>
      <w:marLeft w:val="0"/>
      <w:marRight w:val="0"/>
      <w:marTop w:val="0"/>
      <w:marBottom w:val="0"/>
      <w:divBdr>
        <w:top w:val="none" w:sz="0" w:space="0" w:color="auto"/>
        <w:left w:val="none" w:sz="0" w:space="0" w:color="auto"/>
        <w:bottom w:val="none" w:sz="0" w:space="0" w:color="auto"/>
        <w:right w:val="none" w:sz="0" w:space="0" w:color="auto"/>
      </w:divBdr>
    </w:div>
    <w:div w:id="1137146421">
      <w:bodyDiv w:val="1"/>
      <w:marLeft w:val="0"/>
      <w:marRight w:val="0"/>
      <w:marTop w:val="0"/>
      <w:marBottom w:val="0"/>
      <w:divBdr>
        <w:top w:val="none" w:sz="0" w:space="0" w:color="auto"/>
        <w:left w:val="none" w:sz="0" w:space="0" w:color="auto"/>
        <w:bottom w:val="none" w:sz="0" w:space="0" w:color="auto"/>
        <w:right w:val="none" w:sz="0" w:space="0" w:color="auto"/>
      </w:divBdr>
    </w:div>
    <w:div w:id="1139147045">
      <w:bodyDiv w:val="1"/>
      <w:marLeft w:val="0"/>
      <w:marRight w:val="0"/>
      <w:marTop w:val="0"/>
      <w:marBottom w:val="0"/>
      <w:divBdr>
        <w:top w:val="none" w:sz="0" w:space="0" w:color="auto"/>
        <w:left w:val="none" w:sz="0" w:space="0" w:color="auto"/>
        <w:bottom w:val="none" w:sz="0" w:space="0" w:color="auto"/>
        <w:right w:val="none" w:sz="0" w:space="0" w:color="auto"/>
      </w:divBdr>
    </w:div>
    <w:div w:id="1140731426">
      <w:bodyDiv w:val="1"/>
      <w:marLeft w:val="0"/>
      <w:marRight w:val="0"/>
      <w:marTop w:val="0"/>
      <w:marBottom w:val="0"/>
      <w:divBdr>
        <w:top w:val="none" w:sz="0" w:space="0" w:color="auto"/>
        <w:left w:val="none" w:sz="0" w:space="0" w:color="auto"/>
        <w:bottom w:val="none" w:sz="0" w:space="0" w:color="auto"/>
        <w:right w:val="none" w:sz="0" w:space="0" w:color="auto"/>
      </w:divBdr>
    </w:div>
    <w:div w:id="1142695283">
      <w:bodyDiv w:val="1"/>
      <w:marLeft w:val="0"/>
      <w:marRight w:val="0"/>
      <w:marTop w:val="0"/>
      <w:marBottom w:val="0"/>
      <w:divBdr>
        <w:top w:val="none" w:sz="0" w:space="0" w:color="auto"/>
        <w:left w:val="none" w:sz="0" w:space="0" w:color="auto"/>
        <w:bottom w:val="none" w:sz="0" w:space="0" w:color="auto"/>
        <w:right w:val="none" w:sz="0" w:space="0" w:color="auto"/>
      </w:divBdr>
    </w:div>
    <w:div w:id="1145127753">
      <w:bodyDiv w:val="1"/>
      <w:marLeft w:val="0"/>
      <w:marRight w:val="0"/>
      <w:marTop w:val="0"/>
      <w:marBottom w:val="0"/>
      <w:divBdr>
        <w:top w:val="none" w:sz="0" w:space="0" w:color="auto"/>
        <w:left w:val="none" w:sz="0" w:space="0" w:color="auto"/>
        <w:bottom w:val="none" w:sz="0" w:space="0" w:color="auto"/>
        <w:right w:val="none" w:sz="0" w:space="0" w:color="auto"/>
      </w:divBdr>
    </w:div>
    <w:div w:id="1153906974">
      <w:bodyDiv w:val="1"/>
      <w:marLeft w:val="0"/>
      <w:marRight w:val="0"/>
      <w:marTop w:val="0"/>
      <w:marBottom w:val="0"/>
      <w:divBdr>
        <w:top w:val="none" w:sz="0" w:space="0" w:color="auto"/>
        <w:left w:val="none" w:sz="0" w:space="0" w:color="auto"/>
        <w:bottom w:val="none" w:sz="0" w:space="0" w:color="auto"/>
        <w:right w:val="none" w:sz="0" w:space="0" w:color="auto"/>
      </w:divBdr>
    </w:div>
    <w:div w:id="1154181557">
      <w:bodyDiv w:val="1"/>
      <w:marLeft w:val="0"/>
      <w:marRight w:val="0"/>
      <w:marTop w:val="0"/>
      <w:marBottom w:val="0"/>
      <w:divBdr>
        <w:top w:val="none" w:sz="0" w:space="0" w:color="auto"/>
        <w:left w:val="none" w:sz="0" w:space="0" w:color="auto"/>
        <w:bottom w:val="none" w:sz="0" w:space="0" w:color="auto"/>
        <w:right w:val="none" w:sz="0" w:space="0" w:color="auto"/>
      </w:divBdr>
    </w:div>
    <w:div w:id="1159879499">
      <w:bodyDiv w:val="1"/>
      <w:marLeft w:val="0"/>
      <w:marRight w:val="0"/>
      <w:marTop w:val="0"/>
      <w:marBottom w:val="0"/>
      <w:divBdr>
        <w:top w:val="none" w:sz="0" w:space="0" w:color="auto"/>
        <w:left w:val="none" w:sz="0" w:space="0" w:color="auto"/>
        <w:bottom w:val="none" w:sz="0" w:space="0" w:color="auto"/>
        <w:right w:val="none" w:sz="0" w:space="0" w:color="auto"/>
      </w:divBdr>
    </w:div>
    <w:div w:id="1162549225">
      <w:bodyDiv w:val="1"/>
      <w:marLeft w:val="0"/>
      <w:marRight w:val="0"/>
      <w:marTop w:val="0"/>
      <w:marBottom w:val="0"/>
      <w:divBdr>
        <w:top w:val="none" w:sz="0" w:space="0" w:color="auto"/>
        <w:left w:val="none" w:sz="0" w:space="0" w:color="auto"/>
        <w:bottom w:val="none" w:sz="0" w:space="0" w:color="auto"/>
        <w:right w:val="none" w:sz="0" w:space="0" w:color="auto"/>
      </w:divBdr>
    </w:div>
    <w:div w:id="1163352426">
      <w:bodyDiv w:val="1"/>
      <w:marLeft w:val="0"/>
      <w:marRight w:val="0"/>
      <w:marTop w:val="0"/>
      <w:marBottom w:val="0"/>
      <w:divBdr>
        <w:top w:val="none" w:sz="0" w:space="0" w:color="auto"/>
        <w:left w:val="none" w:sz="0" w:space="0" w:color="auto"/>
        <w:bottom w:val="none" w:sz="0" w:space="0" w:color="auto"/>
        <w:right w:val="none" w:sz="0" w:space="0" w:color="auto"/>
      </w:divBdr>
    </w:div>
    <w:div w:id="1166165010">
      <w:bodyDiv w:val="1"/>
      <w:marLeft w:val="0"/>
      <w:marRight w:val="0"/>
      <w:marTop w:val="0"/>
      <w:marBottom w:val="0"/>
      <w:divBdr>
        <w:top w:val="none" w:sz="0" w:space="0" w:color="auto"/>
        <w:left w:val="none" w:sz="0" w:space="0" w:color="auto"/>
        <w:bottom w:val="none" w:sz="0" w:space="0" w:color="auto"/>
        <w:right w:val="none" w:sz="0" w:space="0" w:color="auto"/>
      </w:divBdr>
    </w:div>
    <w:div w:id="1166701469">
      <w:bodyDiv w:val="1"/>
      <w:marLeft w:val="0"/>
      <w:marRight w:val="0"/>
      <w:marTop w:val="0"/>
      <w:marBottom w:val="0"/>
      <w:divBdr>
        <w:top w:val="none" w:sz="0" w:space="0" w:color="auto"/>
        <w:left w:val="none" w:sz="0" w:space="0" w:color="auto"/>
        <w:bottom w:val="none" w:sz="0" w:space="0" w:color="auto"/>
        <w:right w:val="none" w:sz="0" w:space="0" w:color="auto"/>
      </w:divBdr>
    </w:div>
    <w:div w:id="1166941849">
      <w:bodyDiv w:val="1"/>
      <w:marLeft w:val="0"/>
      <w:marRight w:val="0"/>
      <w:marTop w:val="0"/>
      <w:marBottom w:val="0"/>
      <w:divBdr>
        <w:top w:val="none" w:sz="0" w:space="0" w:color="auto"/>
        <w:left w:val="none" w:sz="0" w:space="0" w:color="auto"/>
        <w:bottom w:val="none" w:sz="0" w:space="0" w:color="auto"/>
        <w:right w:val="none" w:sz="0" w:space="0" w:color="auto"/>
      </w:divBdr>
    </w:div>
    <w:div w:id="1168206684">
      <w:bodyDiv w:val="1"/>
      <w:marLeft w:val="0"/>
      <w:marRight w:val="0"/>
      <w:marTop w:val="0"/>
      <w:marBottom w:val="0"/>
      <w:divBdr>
        <w:top w:val="none" w:sz="0" w:space="0" w:color="auto"/>
        <w:left w:val="none" w:sz="0" w:space="0" w:color="auto"/>
        <w:bottom w:val="none" w:sz="0" w:space="0" w:color="auto"/>
        <w:right w:val="none" w:sz="0" w:space="0" w:color="auto"/>
      </w:divBdr>
    </w:div>
    <w:div w:id="1169251605">
      <w:bodyDiv w:val="1"/>
      <w:marLeft w:val="0"/>
      <w:marRight w:val="0"/>
      <w:marTop w:val="0"/>
      <w:marBottom w:val="0"/>
      <w:divBdr>
        <w:top w:val="none" w:sz="0" w:space="0" w:color="auto"/>
        <w:left w:val="none" w:sz="0" w:space="0" w:color="auto"/>
        <w:bottom w:val="none" w:sz="0" w:space="0" w:color="auto"/>
        <w:right w:val="none" w:sz="0" w:space="0" w:color="auto"/>
      </w:divBdr>
    </w:div>
    <w:div w:id="1184977234">
      <w:bodyDiv w:val="1"/>
      <w:marLeft w:val="0"/>
      <w:marRight w:val="0"/>
      <w:marTop w:val="0"/>
      <w:marBottom w:val="0"/>
      <w:divBdr>
        <w:top w:val="none" w:sz="0" w:space="0" w:color="auto"/>
        <w:left w:val="none" w:sz="0" w:space="0" w:color="auto"/>
        <w:bottom w:val="none" w:sz="0" w:space="0" w:color="auto"/>
        <w:right w:val="none" w:sz="0" w:space="0" w:color="auto"/>
      </w:divBdr>
    </w:div>
    <w:div w:id="1186166080">
      <w:bodyDiv w:val="1"/>
      <w:marLeft w:val="0"/>
      <w:marRight w:val="0"/>
      <w:marTop w:val="0"/>
      <w:marBottom w:val="0"/>
      <w:divBdr>
        <w:top w:val="none" w:sz="0" w:space="0" w:color="auto"/>
        <w:left w:val="none" w:sz="0" w:space="0" w:color="auto"/>
        <w:bottom w:val="none" w:sz="0" w:space="0" w:color="auto"/>
        <w:right w:val="none" w:sz="0" w:space="0" w:color="auto"/>
      </w:divBdr>
    </w:div>
    <w:div w:id="1189485786">
      <w:bodyDiv w:val="1"/>
      <w:marLeft w:val="0"/>
      <w:marRight w:val="0"/>
      <w:marTop w:val="0"/>
      <w:marBottom w:val="0"/>
      <w:divBdr>
        <w:top w:val="none" w:sz="0" w:space="0" w:color="auto"/>
        <w:left w:val="none" w:sz="0" w:space="0" w:color="auto"/>
        <w:bottom w:val="none" w:sz="0" w:space="0" w:color="auto"/>
        <w:right w:val="none" w:sz="0" w:space="0" w:color="auto"/>
      </w:divBdr>
    </w:div>
    <w:div w:id="1193609559">
      <w:bodyDiv w:val="1"/>
      <w:marLeft w:val="0"/>
      <w:marRight w:val="0"/>
      <w:marTop w:val="0"/>
      <w:marBottom w:val="0"/>
      <w:divBdr>
        <w:top w:val="none" w:sz="0" w:space="0" w:color="auto"/>
        <w:left w:val="none" w:sz="0" w:space="0" w:color="auto"/>
        <w:bottom w:val="none" w:sz="0" w:space="0" w:color="auto"/>
        <w:right w:val="none" w:sz="0" w:space="0" w:color="auto"/>
      </w:divBdr>
    </w:div>
    <w:div w:id="1204951591">
      <w:bodyDiv w:val="1"/>
      <w:marLeft w:val="0"/>
      <w:marRight w:val="0"/>
      <w:marTop w:val="0"/>
      <w:marBottom w:val="0"/>
      <w:divBdr>
        <w:top w:val="none" w:sz="0" w:space="0" w:color="auto"/>
        <w:left w:val="none" w:sz="0" w:space="0" w:color="auto"/>
        <w:bottom w:val="none" w:sz="0" w:space="0" w:color="auto"/>
        <w:right w:val="none" w:sz="0" w:space="0" w:color="auto"/>
      </w:divBdr>
    </w:div>
    <w:div w:id="1206599054">
      <w:bodyDiv w:val="1"/>
      <w:marLeft w:val="0"/>
      <w:marRight w:val="0"/>
      <w:marTop w:val="0"/>
      <w:marBottom w:val="0"/>
      <w:divBdr>
        <w:top w:val="none" w:sz="0" w:space="0" w:color="auto"/>
        <w:left w:val="none" w:sz="0" w:space="0" w:color="auto"/>
        <w:bottom w:val="none" w:sz="0" w:space="0" w:color="auto"/>
        <w:right w:val="none" w:sz="0" w:space="0" w:color="auto"/>
      </w:divBdr>
    </w:div>
    <w:div w:id="1206600697">
      <w:bodyDiv w:val="1"/>
      <w:marLeft w:val="0"/>
      <w:marRight w:val="0"/>
      <w:marTop w:val="0"/>
      <w:marBottom w:val="0"/>
      <w:divBdr>
        <w:top w:val="none" w:sz="0" w:space="0" w:color="auto"/>
        <w:left w:val="none" w:sz="0" w:space="0" w:color="auto"/>
        <w:bottom w:val="none" w:sz="0" w:space="0" w:color="auto"/>
        <w:right w:val="none" w:sz="0" w:space="0" w:color="auto"/>
      </w:divBdr>
    </w:div>
    <w:div w:id="1211190859">
      <w:bodyDiv w:val="1"/>
      <w:marLeft w:val="0"/>
      <w:marRight w:val="0"/>
      <w:marTop w:val="0"/>
      <w:marBottom w:val="0"/>
      <w:divBdr>
        <w:top w:val="none" w:sz="0" w:space="0" w:color="auto"/>
        <w:left w:val="none" w:sz="0" w:space="0" w:color="auto"/>
        <w:bottom w:val="none" w:sz="0" w:space="0" w:color="auto"/>
        <w:right w:val="none" w:sz="0" w:space="0" w:color="auto"/>
      </w:divBdr>
    </w:div>
    <w:div w:id="1212576015">
      <w:bodyDiv w:val="1"/>
      <w:marLeft w:val="0"/>
      <w:marRight w:val="0"/>
      <w:marTop w:val="0"/>
      <w:marBottom w:val="0"/>
      <w:divBdr>
        <w:top w:val="none" w:sz="0" w:space="0" w:color="auto"/>
        <w:left w:val="none" w:sz="0" w:space="0" w:color="auto"/>
        <w:bottom w:val="none" w:sz="0" w:space="0" w:color="auto"/>
        <w:right w:val="none" w:sz="0" w:space="0" w:color="auto"/>
      </w:divBdr>
    </w:div>
    <w:div w:id="1214463087">
      <w:bodyDiv w:val="1"/>
      <w:marLeft w:val="0"/>
      <w:marRight w:val="0"/>
      <w:marTop w:val="0"/>
      <w:marBottom w:val="0"/>
      <w:divBdr>
        <w:top w:val="none" w:sz="0" w:space="0" w:color="auto"/>
        <w:left w:val="none" w:sz="0" w:space="0" w:color="auto"/>
        <w:bottom w:val="none" w:sz="0" w:space="0" w:color="auto"/>
        <w:right w:val="none" w:sz="0" w:space="0" w:color="auto"/>
      </w:divBdr>
    </w:div>
    <w:div w:id="1215581227">
      <w:bodyDiv w:val="1"/>
      <w:marLeft w:val="0"/>
      <w:marRight w:val="0"/>
      <w:marTop w:val="0"/>
      <w:marBottom w:val="0"/>
      <w:divBdr>
        <w:top w:val="none" w:sz="0" w:space="0" w:color="auto"/>
        <w:left w:val="none" w:sz="0" w:space="0" w:color="auto"/>
        <w:bottom w:val="none" w:sz="0" w:space="0" w:color="auto"/>
        <w:right w:val="none" w:sz="0" w:space="0" w:color="auto"/>
      </w:divBdr>
    </w:div>
    <w:div w:id="1216237856">
      <w:bodyDiv w:val="1"/>
      <w:marLeft w:val="0"/>
      <w:marRight w:val="0"/>
      <w:marTop w:val="0"/>
      <w:marBottom w:val="0"/>
      <w:divBdr>
        <w:top w:val="none" w:sz="0" w:space="0" w:color="auto"/>
        <w:left w:val="none" w:sz="0" w:space="0" w:color="auto"/>
        <w:bottom w:val="none" w:sz="0" w:space="0" w:color="auto"/>
        <w:right w:val="none" w:sz="0" w:space="0" w:color="auto"/>
      </w:divBdr>
    </w:div>
    <w:div w:id="1227378631">
      <w:bodyDiv w:val="1"/>
      <w:marLeft w:val="0"/>
      <w:marRight w:val="0"/>
      <w:marTop w:val="0"/>
      <w:marBottom w:val="0"/>
      <w:divBdr>
        <w:top w:val="none" w:sz="0" w:space="0" w:color="auto"/>
        <w:left w:val="none" w:sz="0" w:space="0" w:color="auto"/>
        <w:bottom w:val="none" w:sz="0" w:space="0" w:color="auto"/>
        <w:right w:val="none" w:sz="0" w:space="0" w:color="auto"/>
      </w:divBdr>
      <w:divsChild>
        <w:div w:id="1340935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611616">
      <w:bodyDiv w:val="1"/>
      <w:marLeft w:val="0"/>
      <w:marRight w:val="0"/>
      <w:marTop w:val="0"/>
      <w:marBottom w:val="0"/>
      <w:divBdr>
        <w:top w:val="none" w:sz="0" w:space="0" w:color="auto"/>
        <w:left w:val="none" w:sz="0" w:space="0" w:color="auto"/>
        <w:bottom w:val="none" w:sz="0" w:space="0" w:color="auto"/>
        <w:right w:val="none" w:sz="0" w:space="0" w:color="auto"/>
      </w:divBdr>
    </w:div>
    <w:div w:id="1229922012">
      <w:bodyDiv w:val="1"/>
      <w:marLeft w:val="0"/>
      <w:marRight w:val="0"/>
      <w:marTop w:val="0"/>
      <w:marBottom w:val="0"/>
      <w:divBdr>
        <w:top w:val="none" w:sz="0" w:space="0" w:color="auto"/>
        <w:left w:val="none" w:sz="0" w:space="0" w:color="auto"/>
        <w:bottom w:val="none" w:sz="0" w:space="0" w:color="auto"/>
        <w:right w:val="none" w:sz="0" w:space="0" w:color="auto"/>
      </w:divBdr>
    </w:div>
    <w:div w:id="1232498519">
      <w:bodyDiv w:val="1"/>
      <w:marLeft w:val="0"/>
      <w:marRight w:val="0"/>
      <w:marTop w:val="0"/>
      <w:marBottom w:val="0"/>
      <w:divBdr>
        <w:top w:val="none" w:sz="0" w:space="0" w:color="auto"/>
        <w:left w:val="none" w:sz="0" w:space="0" w:color="auto"/>
        <w:bottom w:val="none" w:sz="0" w:space="0" w:color="auto"/>
        <w:right w:val="none" w:sz="0" w:space="0" w:color="auto"/>
      </w:divBdr>
    </w:div>
    <w:div w:id="1235163185">
      <w:bodyDiv w:val="1"/>
      <w:marLeft w:val="0"/>
      <w:marRight w:val="0"/>
      <w:marTop w:val="0"/>
      <w:marBottom w:val="0"/>
      <w:divBdr>
        <w:top w:val="none" w:sz="0" w:space="0" w:color="auto"/>
        <w:left w:val="none" w:sz="0" w:space="0" w:color="auto"/>
        <w:bottom w:val="none" w:sz="0" w:space="0" w:color="auto"/>
        <w:right w:val="none" w:sz="0" w:space="0" w:color="auto"/>
      </w:divBdr>
    </w:div>
    <w:div w:id="1236666440">
      <w:bodyDiv w:val="1"/>
      <w:marLeft w:val="0"/>
      <w:marRight w:val="0"/>
      <w:marTop w:val="0"/>
      <w:marBottom w:val="0"/>
      <w:divBdr>
        <w:top w:val="none" w:sz="0" w:space="0" w:color="auto"/>
        <w:left w:val="none" w:sz="0" w:space="0" w:color="auto"/>
        <w:bottom w:val="none" w:sz="0" w:space="0" w:color="auto"/>
        <w:right w:val="none" w:sz="0" w:space="0" w:color="auto"/>
      </w:divBdr>
    </w:div>
    <w:div w:id="1237128589">
      <w:bodyDiv w:val="1"/>
      <w:marLeft w:val="0"/>
      <w:marRight w:val="0"/>
      <w:marTop w:val="0"/>
      <w:marBottom w:val="0"/>
      <w:divBdr>
        <w:top w:val="none" w:sz="0" w:space="0" w:color="auto"/>
        <w:left w:val="none" w:sz="0" w:space="0" w:color="auto"/>
        <w:bottom w:val="none" w:sz="0" w:space="0" w:color="auto"/>
        <w:right w:val="none" w:sz="0" w:space="0" w:color="auto"/>
      </w:divBdr>
    </w:div>
    <w:div w:id="1239245816">
      <w:bodyDiv w:val="1"/>
      <w:marLeft w:val="0"/>
      <w:marRight w:val="0"/>
      <w:marTop w:val="0"/>
      <w:marBottom w:val="0"/>
      <w:divBdr>
        <w:top w:val="none" w:sz="0" w:space="0" w:color="auto"/>
        <w:left w:val="none" w:sz="0" w:space="0" w:color="auto"/>
        <w:bottom w:val="none" w:sz="0" w:space="0" w:color="auto"/>
        <w:right w:val="none" w:sz="0" w:space="0" w:color="auto"/>
      </w:divBdr>
    </w:div>
    <w:div w:id="1241407539">
      <w:bodyDiv w:val="1"/>
      <w:marLeft w:val="0"/>
      <w:marRight w:val="0"/>
      <w:marTop w:val="0"/>
      <w:marBottom w:val="0"/>
      <w:divBdr>
        <w:top w:val="none" w:sz="0" w:space="0" w:color="auto"/>
        <w:left w:val="none" w:sz="0" w:space="0" w:color="auto"/>
        <w:bottom w:val="none" w:sz="0" w:space="0" w:color="auto"/>
        <w:right w:val="none" w:sz="0" w:space="0" w:color="auto"/>
      </w:divBdr>
    </w:div>
    <w:div w:id="1242174658">
      <w:bodyDiv w:val="1"/>
      <w:marLeft w:val="0"/>
      <w:marRight w:val="0"/>
      <w:marTop w:val="0"/>
      <w:marBottom w:val="0"/>
      <w:divBdr>
        <w:top w:val="none" w:sz="0" w:space="0" w:color="auto"/>
        <w:left w:val="none" w:sz="0" w:space="0" w:color="auto"/>
        <w:bottom w:val="none" w:sz="0" w:space="0" w:color="auto"/>
        <w:right w:val="none" w:sz="0" w:space="0" w:color="auto"/>
      </w:divBdr>
    </w:div>
    <w:div w:id="1244727741">
      <w:bodyDiv w:val="1"/>
      <w:marLeft w:val="0"/>
      <w:marRight w:val="0"/>
      <w:marTop w:val="0"/>
      <w:marBottom w:val="0"/>
      <w:divBdr>
        <w:top w:val="none" w:sz="0" w:space="0" w:color="auto"/>
        <w:left w:val="none" w:sz="0" w:space="0" w:color="auto"/>
        <w:bottom w:val="none" w:sz="0" w:space="0" w:color="auto"/>
        <w:right w:val="none" w:sz="0" w:space="0" w:color="auto"/>
      </w:divBdr>
    </w:div>
    <w:div w:id="1248223682">
      <w:bodyDiv w:val="1"/>
      <w:marLeft w:val="0"/>
      <w:marRight w:val="0"/>
      <w:marTop w:val="0"/>
      <w:marBottom w:val="0"/>
      <w:divBdr>
        <w:top w:val="none" w:sz="0" w:space="0" w:color="auto"/>
        <w:left w:val="none" w:sz="0" w:space="0" w:color="auto"/>
        <w:bottom w:val="none" w:sz="0" w:space="0" w:color="auto"/>
        <w:right w:val="none" w:sz="0" w:space="0" w:color="auto"/>
      </w:divBdr>
    </w:div>
    <w:div w:id="1249343721">
      <w:bodyDiv w:val="1"/>
      <w:marLeft w:val="0"/>
      <w:marRight w:val="0"/>
      <w:marTop w:val="0"/>
      <w:marBottom w:val="0"/>
      <w:divBdr>
        <w:top w:val="none" w:sz="0" w:space="0" w:color="auto"/>
        <w:left w:val="none" w:sz="0" w:space="0" w:color="auto"/>
        <w:bottom w:val="none" w:sz="0" w:space="0" w:color="auto"/>
        <w:right w:val="none" w:sz="0" w:space="0" w:color="auto"/>
      </w:divBdr>
    </w:div>
    <w:div w:id="1249459735">
      <w:bodyDiv w:val="1"/>
      <w:marLeft w:val="0"/>
      <w:marRight w:val="0"/>
      <w:marTop w:val="0"/>
      <w:marBottom w:val="0"/>
      <w:divBdr>
        <w:top w:val="none" w:sz="0" w:space="0" w:color="auto"/>
        <w:left w:val="none" w:sz="0" w:space="0" w:color="auto"/>
        <w:bottom w:val="none" w:sz="0" w:space="0" w:color="auto"/>
        <w:right w:val="none" w:sz="0" w:space="0" w:color="auto"/>
      </w:divBdr>
    </w:div>
    <w:div w:id="1249998521">
      <w:bodyDiv w:val="1"/>
      <w:marLeft w:val="0"/>
      <w:marRight w:val="0"/>
      <w:marTop w:val="0"/>
      <w:marBottom w:val="0"/>
      <w:divBdr>
        <w:top w:val="none" w:sz="0" w:space="0" w:color="auto"/>
        <w:left w:val="none" w:sz="0" w:space="0" w:color="auto"/>
        <w:bottom w:val="none" w:sz="0" w:space="0" w:color="auto"/>
        <w:right w:val="none" w:sz="0" w:space="0" w:color="auto"/>
      </w:divBdr>
    </w:div>
    <w:div w:id="1250312931">
      <w:bodyDiv w:val="1"/>
      <w:marLeft w:val="0"/>
      <w:marRight w:val="0"/>
      <w:marTop w:val="0"/>
      <w:marBottom w:val="0"/>
      <w:divBdr>
        <w:top w:val="none" w:sz="0" w:space="0" w:color="auto"/>
        <w:left w:val="none" w:sz="0" w:space="0" w:color="auto"/>
        <w:bottom w:val="none" w:sz="0" w:space="0" w:color="auto"/>
        <w:right w:val="none" w:sz="0" w:space="0" w:color="auto"/>
      </w:divBdr>
    </w:div>
    <w:div w:id="1257782962">
      <w:bodyDiv w:val="1"/>
      <w:marLeft w:val="0"/>
      <w:marRight w:val="0"/>
      <w:marTop w:val="0"/>
      <w:marBottom w:val="0"/>
      <w:divBdr>
        <w:top w:val="none" w:sz="0" w:space="0" w:color="auto"/>
        <w:left w:val="none" w:sz="0" w:space="0" w:color="auto"/>
        <w:bottom w:val="none" w:sz="0" w:space="0" w:color="auto"/>
        <w:right w:val="none" w:sz="0" w:space="0" w:color="auto"/>
      </w:divBdr>
    </w:div>
    <w:div w:id="1258252616">
      <w:bodyDiv w:val="1"/>
      <w:marLeft w:val="0"/>
      <w:marRight w:val="0"/>
      <w:marTop w:val="0"/>
      <w:marBottom w:val="0"/>
      <w:divBdr>
        <w:top w:val="none" w:sz="0" w:space="0" w:color="auto"/>
        <w:left w:val="none" w:sz="0" w:space="0" w:color="auto"/>
        <w:bottom w:val="none" w:sz="0" w:space="0" w:color="auto"/>
        <w:right w:val="none" w:sz="0" w:space="0" w:color="auto"/>
      </w:divBdr>
    </w:div>
    <w:div w:id="1264074708">
      <w:bodyDiv w:val="1"/>
      <w:marLeft w:val="0"/>
      <w:marRight w:val="0"/>
      <w:marTop w:val="0"/>
      <w:marBottom w:val="0"/>
      <w:divBdr>
        <w:top w:val="none" w:sz="0" w:space="0" w:color="auto"/>
        <w:left w:val="none" w:sz="0" w:space="0" w:color="auto"/>
        <w:bottom w:val="none" w:sz="0" w:space="0" w:color="auto"/>
        <w:right w:val="none" w:sz="0" w:space="0" w:color="auto"/>
      </w:divBdr>
    </w:div>
    <w:div w:id="1264413573">
      <w:bodyDiv w:val="1"/>
      <w:marLeft w:val="0"/>
      <w:marRight w:val="0"/>
      <w:marTop w:val="0"/>
      <w:marBottom w:val="0"/>
      <w:divBdr>
        <w:top w:val="none" w:sz="0" w:space="0" w:color="auto"/>
        <w:left w:val="none" w:sz="0" w:space="0" w:color="auto"/>
        <w:bottom w:val="none" w:sz="0" w:space="0" w:color="auto"/>
        <w:right w:val="none" w:sz="0" w:space="0" w:color="auto"/>
      </w:divBdr>
    </w:div>
    <w:div w:id="1268540398">
      <w:bodyDiv w:val="1"/>
      <w:marLeft w:val="0"/>
      <w:marRight w:val="0"/>
      <w:marTop w:val="0"/>
      <w:marBottom w:val="0"/>
      <w:divBdr>
        <w:top w:val="none" w:sz="0" w:space="0" w:color="auto"/>
        <w:left w:val="none" w:sz="0" w:space="0" w:color="auto"/>
        <w:bottom w:val="none" w:sz="0" w:space="0" w:color="auto"/>
        <w:right w:val="none" w:sz="0" w:space="0" w:color="auto"/>
      </w:divBdr>
    </w:div>
    <w:div w:id="1270548926">
      <w:bodyDiv w:val="1"/>
      <w:marLeft w:val="0"/>
      <w:marRight w:val="0"/>
      <w:marTop w:val="0"/>
      <w:marBottom w:val="0"/>
      <w:divBdr>
        <w:top w:val="none" w:sz="0" w:space="0" w:color="auto"/>
        <w:left w:val="none" w:sz="0" w:space="0" w:color="auto"/>
        <w:bottom w:val="none" w:sz="0" w:space="0" w:color="auto"/>
        <w:right w:val="none" w:sz="0" w:space="0" w:color="auto"/>
      </w:divBdr>
    </w:div>
    <w:div w:id="1273902919">
      <w:bodyDiv w:val="1"/>
      <w:marLeft w:val="0"/>
      <w:marRight w:val="0"/>
      <w:marTop w:val="0"/>
      <w:marBottom w:val="0"/>
      <w:divBdr>
        <w:top w:val="none" w:sz="0" w:space="0" w:color="auto"/>
        <w:left w:val="none" w:sz="0" w:space="0" w:color="auto"/>
        <w:bottom w:val="none" w:sz="0" w:space="0" w:color="auto"/>
        <w:right w:val="none" w:sz="0" w:space="0" w:color="auto"/>
      </w:divBdr>
    </w:div>
    <w:div w:id="1276324224">
      <w:bodyDiv w:val="1"/>
      <w:marLeft w:val="0"/>
      <w:marRight w:val="0"/>
      <w:marTop w:val="0"/>
      <w:marBottom w:val="0"/>
      <w:divBdr>
        <w:top w:val="none" w:sz="0" w:space="0" w:color="auto"/>
        <w:left w:val="none" w:sz="0" w:space="0" w:color="auto"/>
        <w:bottom w:val="none" w:sz="0" w:space="0" w:color="auto"/>
        <w:right w:val="none" w:sz="0" w:space="0" w:color="auto"/>
      </w:divBdr>
    </w:div>
    <w:div w:id="1278756517">
      <w:bodyDiv w:val="1"/>
      <w:marLeft w:val="0"/>
      <w:marRight w:val="0"/>
      <w:marTop w:val="0"/>
      <w:marBottom w:val="0"/>
      <w:divBdr>
        <w:top w:val="none" w:sz="0" w:space="0" w:color="auto"/>
        <w:left w:val="none" w:sz="0" w:space="0" w:color="auto"/>
        <w:bottom w:val="none" w:sz="0" w:space="0" w:color="auto"/>
        <w:right w:val="none" w:sz="0" w:space="0" w:color="auto"/>
      </w:divBdr>
    </w:div>
    <w:div w:id="1279869585">
      <w:bodyDiv w:val="1"/>
      <w:marLeft w:val="0"/>
      <w:marRight w:val="0"/>
      <w:marTop w:val="0"/>
      <w:marBottom w:val="0"/>
      <w:divBdr>
        <w:top w:val="none" w:sz="0" w:space="0" w:color="auto"/>
        <w:left w:val="none" w:sz="0" w:space="0" w:color="auto"/>
        <w:bottom w:val="none" w:sz="0" w:space="0" w:color="auto"/>
        <w:right w:val="none" w:sz="0" w:space="0" w:color="auto"/>
      </w:divBdr>
    </w:div>
    <w:div w:id="1280451242">
      <w:bodyDiv w:val="1"/>
      <w:marLeft w:val="0"/>
      <w:marRight w:val="0"/>
      <w:marTop w:val="0"/>
      <w:marBottom w:val="0"/>
      <w:divBdr>
        <w:top w:val="none" w:sz="0" w:space="0" w:color="auto"/>
        <w:left w:val="none" w:sz="0" w:space="0" w:color="auto"/>
        <w:bottom w:val="none" w:sz="0" w:space="0" w:color="auto"/>
        <w:right w:val="none" w:sz="0" w:space="0" w:color="auto"/>
      </w:divBdr>
    </w:div>
    <w:div w:id="1292512731">
      <w:bodyDiv w:val="1"/>
      <w:marLeft w:val="0"/>
      <w:marRight w:val="0"/>
      <w:marTop w:val="0"/>
      <w:marBottom w:val="0"/>
      <w:divBdr>
        <w:top w:val="none" w:sz="0" w:space="0" w:color="auto"/>
        <w:left w:val="none" w:sz="0" w:space="0" w:color="auto"/>
        <w:bottom w:val="none" w:sz="0" w:space="0" w:color="auto"/>
        <w:right w:val="none" w:sz="0" w:space="0" w:color="auto"/>
      </w:divBdr>
    </w:div>
    <w:div w:id="1294822508">
      <w:bodyDiv w:val="1"/>
      <w:marLeft w:val="0"/>
      <w:marRight w:val="0"/>
      <w:marTop w:val="0"/>
      <w:marBottom w:val="0"/>
      <w:divBdr>
        <w:top w:val="none" w:sz="0" w:space="0" w:color="auto"/>
        <w:left w:val="none" w:sz="0" w:space="0" w:color="auto"/>
        <w:bottom w:val="none" w:sz="0" w:space="0" w:color="auto"/>
        <w:right w:val="none" w:sz="0" w:space="0" w:color="auto"/>
      </w:divBdr>
    </w:div>
    <w:div w:id="1296329402">
      <w:bodyDiv w:val="1"/>
      <w:marLeft w:val="0"/>
      <w:marRight w:val="0"/>
      <w:marTop w:val="0"/>
      <w:marBottom w:val="0"/>
      <w:divBdr>
        <w:top w:val="none" w:sz="0" w:space="0" w:color="auto"/>
        <w:left w:val="none" w:sz="0" w:space="0" w:color="auto"/>
        <w:bottom w:val="none" w:sz="0" w:space="0" w:color="auto"/>
        <w:right w:val="none" w:sz="0" w:space="0" w:color="auto"/>
      </w:divBdr>
    </w:div>
    <w:div w:id="1298218393">
      <w:bodyDiv w:val="1"/>
      <w:marLeft w:val="0"/>
      <w:marRight w:val="0"/>
      <w:marTop w:val="0"/>
      <w:marBottom w:val="0"/>
      <w:divBdr>
        <w:top w:val="none" w:sz="0" w:space="0" w:color="auto"/>
        <w:left w:val="none" w:sz="0" w:space="0" w:color="auto"/>
        <w:bottom w:val="none" w:sz="0" w:space="0" w:color="auto"/>
        <w:right w:val="none" w:sz="0" w:space="0" w:color="auto"/>
      </w:divBdr>
      <w:divsChild>
        <w:div w:id="1610891000">
          <w:marLeft w:val="0"/>
          <w:marRight w:val="0"/>
          <w:marTop w:val="0"/>
          <w:marBottom w:val="0"/>
          <w:divBdr>
            <w:top w:val="none" w:sz="0" w:space="0" w:color="auto"/>
            <w:left w:val="none" w:sz="0" w:space="0" w:color="auto"/>
            <w:bottom w:val="none" w:sz="0" w:space="0" w:color="auto"/>
            <w:right w:val="none" w:sz="0" w:space="0" w:color="auto"/>
          </w:divBdr>
          <w:divsChild>
            <w:div w:id="1783576442">
              <w:marLeft w:val="0"/>
              <w:marRight w:val="0"/>
              <w:marTop w:val="0"/>
              <w:marBottom w:val="0"/>
              <w:divBdr>
                <w:top w:val="none" w:sz="0" w:space="0" w:color="auto"/>
                <w:left w:val="none" w:sz="0" w:space="0" w:color="auto"/>
                <w:bottom w:val="none" w:sz="0" w:space="0" w:color="auto"/>
                <w:right w:val="none" w:sz="0" w:space="0" w:color="auto"/>
              </w:divBdr>
              <w:divsChild>
                <w:div w:id="1460880471">
                  <w:marLeft w:val="0"/>
                  <w:marRight w:val="0"/>
                  <w:marTop w:val="0"/>
                  <w:marBottom w:val="0"/>
                  <w:divBdr>
                    <w:top w:val="none" w:sz="0" w:space="0" w:color="auto"/>
                    <w:left w:val="none" w:sz="0" w:space="0" w:color="auto"/>
                    <w:bottom w:val="none" w:sz="0" w:space="0" w:color="auto"/>
                    <w:right w:val="none" w:sz="0" w:space="0" w:color="auto"/>
                  </w:divBdr>
                  <w:divsChild>
                    <w:div w:id="19311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12197">
      <w:bodyDiv w:val="1"/>
      <w:marLeft w:val="0"/>
      <w:marRight w:val="0"/>
      <w:marTop w:val="0"/>
      <w:marBottom w:val="0"/>
      <w:divBdr>
        <w:top w:val="none" w:sz="0" w:space="0" w:color="auto"/>
        <w:left w:val="none" w:sz="0" w:space="0" w:color="auto"/>
        <w:bottom w:val="none" w:sz="0" w:space="0" w:color="auto"/>
        <w:right w:val="none" w:sz="0" w:space="0" w:color="auto"/>
      </w:divBdr>
    </w:div>
    <w:div w:id="1302078794">
      <w:bodyDiv w:val="1"/>
      <w:marLeft w:val="0"/>
      <w:marRight w:val="0"/>
      <w:marTop w:val="0"/>
      <w:marBottom w:val="0"/>
      <w:divBdr>
        <w:top w:val="none" w:sz="0" w:space="0" w:color="auto"/>
        <w:left w:val="none" w:sz="0" w:space="0" w:color="auto"/>
        <w:bottom w:val="none" w:sz="0" w:space="0" w:color="auto"/>
        <w:right w:val="none" w:sz="0" w:space="0" w:color="auto"/>
      </w:divBdr>
    </w:div>
    <w:div w:id="1303273605">
      <w:bodyDiv w:val="1"/>
      <w:marLeft w:val="0"/>
      <w:marRight w:val="0"/>
      <w:marTop w:val="0"/>
      <w:marBottom w:val="0"/>
      <w:divBdr>
        <w:top w:val="none" w:sz="0" w:space="0" w:color="auto"/>
        <w:left w:val="none" w:sz="0" w:space="0" w:color="auto"/>
        <w:bottom w:val="none" w:sz="0" w:space="0" w:color="auto"/>
        <w:right w:val="none" w:sz="0" w:space="0" w:color="auto"/>
      </w:divBdr>
    </w:div>
    <w:div w:id="1304968651">
      <w:bodyDiv w:val="1"/>
      <w:marLeft w:val="0"/>
      <w:marRight w:val="0"/>
      <w:marTop w:val="0"/>
      <w:marBottom w:val="0"/>
      <w:divBdr>
        <w:top w:val="none" w:sz="0" w:space="0" w:color="auto"/>
        <w:left w:val="none" w:sz="0" w:space="0" w:color="auto"/>
        <w:bottom w:val="none" w:sz="0" w:space="0" w:color="auto"/>
        <w:right w:val="none" w:sz="0" w:space="0" w:color="auto"/>
      </w:divBdr>
    </w:div>
    <w:div w:id="1306859863">
      <w:bodyDiv w:val="1"/>
      <w:marLeft w:val="0"/>
      <w:marRight w:val="0"/>
      <w:marTop w:val="0"/>
      <w:marBottom w:val="0"/>
      <w:divBdr>
        <w:top w:val="none" w:sz="0" w:space="0" w:color="auto"/>
        <w:left w:val="none" w:sz="0" w:space="0" w:color="auto"/>
        <w:bottom w:val="none" w:sz="0" w:space="0" w:color="auto"/>
        <w:right w:val="none" w:sz="0" w:space="0" w:color="auto"/>
      </w:divBdr>
    </w:div>
    <w:div w:id="1307004460">
      <w:bodyDiv w:val="1"/>
      <w:marLeft w:val="0"/>
      <w:marRight w:val="0"/>
      <w:marTop w:val="0"/>
      <w:marBottom w:val="0"/>
      <w:divBdr>
        <w:top w:val="none" w:sz="0" w:space="0" w:color="auto"/>
        <w:left w:val="none" w:sz="0" w:space="0" w:color="auto"/>
        <w:bottom w:val="none" w:sz="0" w:space="0" w:color="auto"/>
        <w:right w:val="none" w:sz="0" w:space="0" w:color="auto"/>
      </w:divBdr>
    </w:div>
    <w:div w:id="1310358086">
      <w:bodyDiv w:val="1"/>
      <w:marLeft w:val="0"/>
      <w:marRight w:val="0"/>
      <w:marTop w:val="0"/>
      <w:marBottom w:val="0"/>
      <w:divBdr>
        <w:top w:val="none" w:sz="0" w:space="0" w:color="auto"/>
        <w:left w:val="none" w:sz="0" w:space="0" w:color="auto"/>
        <w:bottom w:val="none" w:sz="0" w:space="0" w:color="auto"/>
        <w:right w:val="none" w:sz="0" w:space="0" w:color="auto"/>
      </w:divBdr>
    </w:div>
    <w:div w:id="1310750116">
      <w:bodyDiv w:val="1"/>
      <w:marLeft w:val="0"/>
      <w:marRight w:val="0"/>
      <w:marTop w:val="0"/>
      <w:marBottom w:val="0"/>
      <w:divBdr>
        <w:top w:val="none" w:sz="0" w:space="0" w:color="auto"/>
        <w:left w:val="none" w:sz="0" w:space="0" w:color="auto"/>
        <w:bottom w:val="none" w:sz="0" w:space="0" w:color="auto"/>
        <w:right w:val="none" w:sz="0" w:space="0" w:color="auto"/>
      </w:divBdr>
    </w:div>
    <w:div w:id="1310938475">
      <w:bodyDiv w:val="1"/>
      <w:marLeft w:val="0"/>
      <w:marRight w:val="0"/>
      <w:marTop w:val="0"/>
      <w:marBottom w:val="0"/>
      <w:divBdr>
        <w:top w:val="none" w:sz="0" w:space="0" w:color="auto"/>
        <w:left w:val="none" w:sz="0" w:space="0" w:color="auto"/>
        <w:bottom w:val="none" w:sz="0" w:space="0" w:color="auto"/>
        <w:right w:val="none" w:sz="0" w:space="0" w:color="auto"/>
      </w:divBdr>
    </w:div>
    <w:div w:id="1311330927">
      <w:bodyDiv w:val="1"/>
      <w:marLeft w:val="0"/>
      <w:marRight w:val="0"/>
      <w:marTop w:val="0"/>
      <w:marBottom w:val="0"/>
      <w:divBdr>
        <w:top w:val="none" w:sz="0" w:space="0" w:color="auto"/>
        <w:left w:val="none" w:sz="0" w:space="0" w:color="auto"/>
        <w:bottom w:val="none" w:sz="0" w:space="0" w:color="auto"/>
        <w:right w:val="none" w:sz="0" w:space="0" w:color="auto"/>
      </w:divBdr>
    </w:div>
    <w:div w:id="1312054169">
      <w:bodyDiv w:val="1"/>
      <w:marLeft w:val="0"/>
      <w:marRight w:val="0"/>
      <w:marTop w:val="0"/>
      <w:marBottom w:val="0"/>
      <w:divBdr>
        <w:top w:val="none" w:sz="0" w:space="0" w:color="auto"/>
        <w:left w:val="none" w:sz="0" w:space="0" w:color="auto"/>
        <w:bottom w:val="none" w:sz="0" w:space="0" w:color="auto"/>
        <w:right w:val="none" w:sz="0" w:space="0" w:color="auto"/>
      </w:divBdr>
    </w:div>
    <w:div w:id="1316683908">
      <w:bodyDiv w:val="1"/>
      <w:marLeft w:val="0"/>
      <w:marRight w:val="0"/>
      <w:marTop w:val="0"/>
      <w:marBottom w:val="0"/>
      <w:divBdr>
        <w:top w:val="none" w:sz="0" w:space="0" w:color="auto"/>
        <w:left w:val="none" w:sz="0" w:space="0" w:color="auto"/>
        <w:bottom w:val="none" w:sz="0" w:space="0" w:color="auto"/>
        <w:right w:val="none" w:sz="0" w:space="0" w:color="auto"/>
      </w:divBdr>
    </w:div>
    <w:div w:id="1321154532">
      <w:bodyDiv w:val="1"/>
      <w:marLeft w:val="0"/>
      <w:marRight w:val="0"/>
      <w:marTop w:val="0"/>
      <w:marBottom w:val="0"/>
      <w:divBdr>
        <w:top w:val="none" w:sz="0" w:space="0" w:color="auto"/>
        <w:left w:val="none" w:sz="0" w:space="0" w:color="auto"/>
        <w:bottom w:val="none" w:sz="0" w:space="0" w:color="auto"/>
        <w:right w:val="none" w:sz="0" w:space="0" w:color="auto"/>
      </w:divBdr>
    </w:div>
    <w:div w:id="1324235488">
      <w:bodyDiv w:val="1"/>
      <w:marLeft w:val="0"/>
      <w:marRight w:val="0"/>
      <w:marTop w:val="0"/>
      <w:marBottom w:val="0"/>
      <w:divBdr>
        <w:top w:val="none" w:sz="0" w:space="0" w:color="auto"/>
        <w:left w:val="none" w:sz="0" w:space="0" w:color="auto"/>
        <w:bottom w:val="none" w:sz="0" w:space="0" w:color="auto"/>
        <w:right w:val="none" w:sz="0" w:space="0" w:color="auto"/>
      </w:divBdr>
    </w:div>
    <w:div w:id="1324777102">
      <w:bodyDiv w:val="1"/>
      <w:marLeft w:val="0"/>
      <w:marRight w:val="0"/>
      <w:marTop w:val="0"/>
      <w:marBottom w:val="0"/>
      <w:divBdr>
        <w:top w:val="none" w:sz="0" w:space="0" w:color="auto"/>
        <w:left w:val="none" w:sz="0" w:space="0" w:color="auto"/>
        <w:bottom w:val="none" w:sz="0" w:space="0" w:color="auto"/>
        <w:right w:val="none" w:sz="0" w:space="0" w:color="auto"/>
      </w:divBdr>
    </w:div>
    <w:div w:id="1328633838">
      <w:bodyDiv w:val="1"/>
      <w:marLeft w:val="0"/>
      <w:marRight w:val="0"/>
      <w:marTop w:val="0"/>
      <w:marBottom w:val="0"/>
      <w:divBdr>
        <w:top w:val="none" w:sz="0" w:space="0" w:color="auto"/>
        <w:left w:val="none" w:sz="0" w:space="0" w:color="auto"/>
        <w:bottom w:val="none" w:sz="0" w:space="0" w:color="auto"/>
        <w:right w:val="none" w:sz="0" w:space="0" w:color="auto"/>
      </w:divBdr>
    </w:div>
    <w:div w:id="1328634425">
      <w:bodyDiv w:val="1"/>
      <w:marLeft w:val="0"/>
      <w:marRight w:val="0"/>
      <w:marTop w:val="0"/>
      <w:marBottom w:val="0"/>
      <w:divBdr>
        <w:top w:val="none" w:sz="0" w:space="0" w:color="auto"/>
        <w:left w:val="none" w:sz="0" w:space="0" w:color="auto"/>
        <w:bottom w:val="none" w:sz="0" w:space="0" w:color="auto"/>
        <w:right w:val="none" w:sz="0" w:space="0" w:color="auto"/>
      </w:divBdr>
    </w:div>
    <w:div w:id="1331061018">
      <w:bodyDiv w:val="1"/>
      <w:marLeft w:val="0"/>
      <w:marRight w:val="0"/>
      <w:marTop w:val="0"/>
      <w:marBottom w:val="0"/>
      <w:divBdr>
        <w:top w:val="none" w:sz="0" w:space="0" w:color="auto"/>
        <w:left w:val="none" w:sz="0" w:space="0" w:color="auto"/>
        <w:bottom w:val="none" w:sz="0" w:space="0" w:color="auto"/>
        <w:right w:val="none" w:sz="0" w:space="0" w:color="auto"/>
      </w:divBdr>
    </w:div>
    <w:div w:id="1331254405">
      <w:bodyDiv w:val="1"/>
      <w:marLeft w:val="0"/>
      <w:marRight w:val="0"/>
      <w:marTop w:val="0"/>
      <w:marBottom w:val="0"/>
      <w:divBdr>
        <w:top w:val="none" w:sz="0" w:space="0" w:color="auto"/>
        <w:left w:val="none" w:sz="0" w:space="0" w:color="auto"/>
        <w:bottom w:val="none" w:sz="0" w:space="0" w:color="auto"/>
        <w:right w:val="none" w:sz="0" w:space="0" w:color="auto"/>
      </w:divBdr>
    </w:div>
    <w:div w:id="1334449250">
      <w:bodyDiv w:val="1"/>
      <w:marLeft w:val="0"/>
      <w:marRight w:val="0"/>
      <w:marTop w:val="0"/>
      <w:marBottom w:val="0"/>
      <w:divBdr>
        <w:top w:val="none" w:sz="0" w:space="0" w:color="auto"/>
        <w:left w:val="none" w:sz="0" w:space="0" w:color="auto"/>
        <w:bottom w:val="none" w:sz="0" w:space="0" w:color="auto"/>
        <w:right w:val="none" w:sz="0" w:space="0" w:color="auto"/>
      </w:divBdr>
    </w:div>
    <w:div w:id="1334840319">
      <w:bodyDiv w:val="1"/>
      <w:marLeft w:val="0"/>
      <w:marRight w:val="0"/>
      <w:marTop w:val="0"/>
      <w:marBottom w:val="0"/>
      <w:divBdr>
        <w:top w:val="none" w:sz="0" w:space="0" w:color="auto"/>
        <w:left w:val="none" w:sz="0" w:space="0" w:color="auto"/>
        <w:bottom w:val="none" w:sz="0" w:space="0" w:color="auto"/>
        <w:right w:val="none" w:sz="0" w:space="0" w:color="auto"/>
      </w:divBdr>
    </w:div>
    <w:div w:id="1334914012">
      <w:bodyDiv w:val="1"/>
      <w:marLeft w:val="0"/>
      <w:marRight w:val="0"/>
      <w:marTop w:val="0"/>
      <w:marBottom w:val="0"/>
      <w:divBdr>
        <w:top w:val="none" w:sz="0" w:space="0" w:color="auto"/>
        <w:left w:val="none" w:sz="0" w:space="0" w:color="auto"/>
        <w:bottom w:val="none" w:sz="0" w:space="0" w:color="auto"/>
        <w:right w:val="none" w:sz="0" w:space="0" w:color="auto"/>
      </w:divBdr>
    </w:div>
    <w:div w:id="1338002170">
      <w:bodyDiv w:val="1"/>
      <w:marLeft w:val="0"/>
      <w:marRight w:val="0"/>
      <w:marTop w:val="0"/>
      <w:marBottom w:val="0"/>
      <w:divBdr>
        <w:top w:val="none" w:sz="0" w:space="0" w:color="auto"/>
        <w:left w:val="none" w:sz="0" w:space="0" w:color="auto"/>
        <w:bottom w:val="none" w:sz="0" w:space="0" w:color="auto"/>
        <w:right w:val="none" w:sz="0" w:space="0" w:color="auto"/>
      </w:divBdr>
    </w:div>
    <w:div w:id="1346175948">
      <w:bodyDiv w:val="1"/>
      <w:marLeft w:val="0"/>
      <w:marRight w:val="0"/>
      <w:marTop w:val="0"/>
      <w:marBottom w:val="0"/>
      <w:divBdr>
        <w:top w:val="none" w:sz="0" w:space="0" w:color="auto"/>
        <w:left w:val="none" w:sz="0" w:space="0" w:color="auto"/>
        <w:bottom w:val="none" w:sz="0" w:space="0" w:color="auto"/>
        <w:right w:val="none" w:sz="0" w:space="0" w:color="auto"/>
      </w:divBdr>
    </w:div>
    <w:div w:id="1347945167">
      <w:bodyDiv w:val="1"/>
      <w:marLeft w:val="0"/>
      <w:marRight w:val="0"/>
      <w:marTop w:val="0"/>
      <w:marBottom w:val="0"/>
      <w:divBdr>
        <w:top w:val="none" w:sz="0" w:space="0" w:color="auto"/>
        <w:left w:val="none" w:sz="0" w:space="0" w:color="auto"/>
        <w:bottom w:val="none" w:sz="0" w:space="0" w:color="auto"/>
        <w:right w:val="none" w:sz="0" w:space="0" w:color="auto"/>
      </w:divBdr>
    </w:div>
    <w:div w:id="1350906428">
      <w:bodyDiv w:val="1"/>
      <w:marLeft w:val="0"/>
      <w:marRight w:val="0"/>
      <w:marTop w:val="0"/>
      <w:marBottom w:val="0"/>
      <w:divBdr>
        <w:top w:val="none" w:sz="0" w:space="0" w:color="auto"/>
        <w:left w:val="none" w:sz="0" w:space="0" w:color="auto"/>
        <w:bottom w:val="none" w:sz="0" w:space="0" w:color="auto"/>
        <w:right w:val="none" w:sz="0" w:space="0" w:color="auto"/>
      </w:divBdr>
    </w:div>
    <w:div w:id="1351489200">
      <w:bodyDiv w:val="1"/>
      <w:marLeft w:val="0"/>
      <w:marRight w:val="0"/>
      <w:marTop w:val="0"/>
      <w:marBottom w:val="0"/>
      <w:divBdr>
        <w:top w:val="none" w:sz="0" w:space="0" w:color="auto"/>
        <w:left w:val="none" w:sz="0" w:space="0" w:color="auto"/>
        <w:bottom w:val="none" w:sz="0" w:space="0" w:color="auto"/>
        <w:right w:val="none" w:sz="0" w:space="0" w:color="auto"/>
      </w:divBdr>
    </w:div>
    <w:div w:id="1352878920">
      <w:bodyDiv w:val="1"/>
      <w:marLeft w:val="0"/>
      <w:marRight w:val="0"/>
      <w:marTop w:val="0"/>
      <w:marBottom w:val="0"/>
      <w:divBdr>
        <w:top w:val="none" w:sz="0" w:space="0" w:color="auto"/>
        <w:left w:val="none" w:sz="0" w:space="0" w:color="auto"/>
        <w:bottom w:val="none" w:sz="0" w:space="0" w:color="auto"/>
        <w:right w:val="none" w:sz="0" w:space="0" w:color="auto"/>
      </w:divBdr>
    </w:div>
    <w:div w:id="1358698489">
      <w:bodyDiv w:val="1"/>
      <w:marLeft w:val="0"/>
      <w:marRight w:val="0"/>
      <w:marTop w:val="0"/>
      <w:marBottom w:val="0"/>
      <w:divBdr>
        <w:top w:val="none" w:sz="0" w:space="0" w:color="auto"/>
        <w:left w:val="none" w:sz="0" w:space="0" w:color="auto"/>
        <w:bottom w:val="none" w:sz="0" w:space="0" w:color="auto"/>
        <w:right w:val="none" w:sz="0" w:space="0" w:color="auto"/>
      </w:divBdr>
    </w:div>
    <w:div w:id="1358854210">
      <w:bodyDiv w:val="1"/>
      <w:marLeft w:val="0"/>
      <w:marRight w:val="0"/>
      <w:marTop w:val="0"/>
      <w:marBottom w:val="0"/>
      <w:divBdr>
        <w:top w:val="none" w:sz="0" w:space="0" w:color="auto"/>
        <w:left w:val="none" w:sz="0" w:space="0" w:color="auto"/>
        <w:bottom w:val="none" w:sz="0" w:space="0" w:color="auto"/>
        <w:right w:val="none" w:sz="0" w:space="0" w:color="auto"/>
      </w:divBdr>
    </w:div>
    <w:div w:id="1365400674">
      <w:bodyDiv w:val="1"/>
      <w:marLeft w:val="0"/>
      <w:marRight w:val="0"/>
      <w:marTop w:val="0"/>
      <w:marBottom w:val="0"/>
      <w:divBdr>
        <w:top w:val="none" w:sz="0" w:space="0" w:color="auto"/>
        <w:left w:val="none" w:sz="0" w:space="0" w:color="auto"/>
        <w:bottom w:val="none" w:sz="0" w:space="0" w:color="auto"/>
        <w:right w:val="none" w:sz="0" w:space="0" w:color="auto"/>
      </w:divBdr>
    </w:div>
    <w:div w:id="1368527742">
      <w:bodyDiv w:val="1"/>
      <w:marLeft w:val="0"/>
      <w:marRight w:val="0"/>
      <w:marTop w:val="0"/>
      <w:marBottom w:val="0"/>
      <w:divBdr>
        <w:top w:val="none" w:sz="0" w:space="0" w:color="auto"/>
        <w:left w:val="none" w:sz="0" w:space="0" w:color="auto"/>
        <w:bottom w:val="none" w:sz="0" w:space="0" w:color="auto"/>
        <w:right w:val="none" w:sz="0" w:space="0" w:color="auto"/>
      </w:divBdr>
      <w:divsChild>
        <w:div w:id="52973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1799">
      <w:bodyDiv w:val="1"/>
      <w:marLeft w:val="0"/>
      <w:marRight w:val="0"/>
      <w:marTop w:val="0"/>
      <w:marBottom w:val="0"/>
      <w:divBdr>
        <w:top w:val="none" w:sz="0" w:space="0" w:color="auto"/>
        <w:left w:val="none" w:sz="0" w:space="0" w:color="auto"/>
        <w:bottom w:val="none" w:sz="0" w:space="0" w:color="auto"/>
        <w:right w:val="none" w:sz="0" w:space="0" w:color="auto"/>
      </w:divBdr>
    </w:div>
    <w:div w:id="1377123152">
      <w:bodyDiv w:val="1"/>
      <w:marLeft w:val="0"/>
      <w:marRight w:val="0"/>
      <w:marTop w:val="0"/>
      <w:marBottom w:val="0"/>
      <w:divBdr>
        <w:top w:val="none" w:sz="0" w:space="0" w:color="auto"/>
        <w:left w:val="none" w:sz="0" w:space="0" w:color="auto"/>
        <w:bottom w:val="none" w:sz="0" w:space="0" w:color="auto"/>
        <w:right w:val="none" w:sz="0" w:space="0" w:color="auto"/>
      </w:divBdr>
    </w:div>
    <w:div w:id="1378045174">
      <w:bodyDiv w:val="1"/>
      <w:marLeft w:val="0"/>
      <w:marRight w:val="0"/>
      <w:marTop w:val="0"/>
      <w:marBottom w:val="0"/>
      <w:divBdr>
        <w:top w:val="none" w:sz="0" w:space="0" w:color="auto"/>
        <w:left w:val="none" w:sz="0" w:space="0" w:color="auto"/>
        <w:bottom w:val="none" w:sz="0" w:space="0" w:color="auto"/>
        <w:right w:val="none" w:sz="0" w:space="0" w:color="auto"/>
      </w:divBdr>
    </w:div>
    <w:div w:id="1380855521">
      <w:bodyDiv w:val="1"/>
      <w:marLeft w:val="0"/>
      <w:marRight w:val="0"/>
      <w:marTop w:val="0"/>
      <w:marBottom w:val="0"/>
      <w:divBdr>
        <w:top w:val="none" w:sz="0" w:space="0" w:color="auto"/>
        <w:left w:val="none" w:sz="0" w:space="0" w:color="auto"/>
        <w:bottom w:val="none" w:sz="0" w:space="0" w:color="auto"/>
        <w:right w:val="none" w:sz="0" w:space="0" w:color="auto"/>
      </w:divBdr>
    </w:div>
    <w:div w:id="1380979355">
      <w:bodyDiv w:val="1"/>
      <w:marLeft w:val="0"/>
      <w:marRight w:val="0"/>
      <w:marTop w:val="0"/>
      <w:marBottom w:val="0"/>
      <w:divBdr>
        <w:top w:val="none" w:sz="0" w:space="0" w:color="auto"/>
        <w:left w:val="none" w:sz="0" w:space="0" w:color="auto"/>
        <w:bottom w:val="none" w:sz="0" w:space="0" w:color="auto"/>
        <w:right w:val="none" w:sz="0" w:space="0" w:color="auto"/>
      </w:divBdr>
    </w:div>
    <w:div w:id="1388147552">
      <w:bodyDiv w:val="1"/>
      <w:marLeft w:val="0"/>
      <w:marRight w:val="0"/>
      <w:marTop w:val="0"/>
      <w:marBottom w:val="0"/>
      <w:divBdr>
        <w:top w:val="none" w:sz="0" w:space="0" w:color="auto"/>
        <w:left w:val="none" w:sz="0" w:space="0" w:color="auto"/>
        <w:bottom w:val="none" w:sz="0" w:space="0" w:color="auto"/>
        <w:right w:val="none" w:sz="0" w:space="0" w:color="auto"/>
      </w:divBdr>
    </w:div>
    <w:div w:id="1391659383">
      <w:bodyDiv w:val="1"/>
      <w:marLeft w:val="0"/>
      <w:marRight w:val="0"/>
      <w:marTop w:val="0"/>
      <w:marBottom w:val="0"/>
      <w:divBdr>
        <w:top w:val="none" w:sz="0" w:space="0" w:color="auto"/>
        <w:left w:val="none" w:sz="0" w:space="0" w:color="auto"/>
        <w:bottom w:val="none" w:sz="0" w:space="0" w:color="auto"/>
        <w:right w:val="none" w:sz="0" w:space="0" w:color="auto"/>
      </w:divBdr>
    </w:div>
    <w:div w:id="1393770101">
      <w:bodyDiv w:val="1"/>
      <w:marLeft w:val="0"/>
      <w:marRight w:val="0"/>
      <w:marTop w:val="0"/>
      <w:marBottom w:val="0"/>
      <w:divBdr>
        <w:top w:val="none" w:sz="0" w:space="0" w:color="auto"/>
        <w:left w:val="none" w:sz="0" w:space="0" w:color="auto"/>
        <w:bottom w:val="none" w:sz="0" w:space="0" w:color="auto"/>
        <w:right w:val="none" w:sz="0" w:space="0" w:color="auto"/>
      </w:divBdr>
    </w:div>
    <w:div w:id="1394307760">
      <w:bodyDiv w:val="1"/>
      <w:marLeft w:val="0"/>
      <w:marRight w:val="0"/>
      <w:marTop w:val="0"/>
      <w:marBottom w:val="0"/>
      <w:divBdr>
        <w:top w:val="none" w:sz="0" w:space="0" w:color="auto"/>
        <w:left w:val="none" w:sz="0" w:space="0" w:color="auto"/>
        <w:bottom w:val="none" w:sz="0" w:space="0" w:color="auto"/>
        <w:right w:val="none" w:sz="0" w:space="0" w:color="auto"/>
      </w:divBdr>
    </w:div>
    <w:div w:id="1401829120">
      <w:bodyDiv w:val="1"/>
      <w:marLeft w:val="0"/>
      <w:marRight w:val="0"/>
      <w:marTop w:val="0"/>
      <w:marBottom w:val="0"/>
      <w:divBdr>
        <w:top w:val="none" w:sz="0" w:space="0" w:color="auto"/>
        <w:left w:val="none" w:sz="0" w:space="0" w:color="auto"/>
        <w:bottom w:val="none" w:sz="0" w:space="0" w:color="auto"/>
        <w:right w:val="none" w:sz="0" w:space="0" w:color="auto"/>
      </w:divBdr>
    </w:div>
    <w:div w:id="1403060460">
      <w:bodyDiv w:val="1"/>
      <w:marLeft w:val="0"/>
      <w:marRight w:val="0"/>
      <w:marTop w:val="0"/>
      <w:marBottom w:val="0"/>
      <w:divBdr>
        <w:top w:val="none" w:sz="0" w:space="0" w:color="auto"/>
        <w:left w:val="none" w:sz="0" w:space="0" w:color="auto"/>
        <w:bottom w:val="none" w:sz="0" w:space="0" w:color="auto"/>
        <w:right w:val="none" w:sz="0" w:space="0" w:color="auto"/>
      </w:divBdr>
    </w:div>
    <w:div w:id="1407075093">
      <w:bodyDiv w:val="1"/>
      <w:marLeft w:val="0"/>
      <w:marRight w:val="0"/>
      <w:marTop w:val="0"/>
      <w:marBottom w:val="0"/>
      <w:divBdr>
        <w:top w:val="none" w:sz="0" w:space="0" w:color="auto"/>
        <w:left w:val="none" w:sz="0" w:space="0" w:color="auto"/>
        <w:bottom w:val="none" w:sz="0" w:space="0" w:color="auto"/>
        <w:right w:val="none" w:sz="0" w:space="0" w:color="auto"/>
      </w:divBdr>
    </w:div>
    <w:div w:id="1408769926">
      <w:bodyDiv w:val="1"/>
      <w:marLeft w:val="0"/>
      <w:marRight w:val="0"/>
      <w:marTop w:val="0"/>
      <w:marBottom w:val="0"/>
      <w:divBdr>
        <w:top w:val="none" w:sz="0" w:space="0" w:color="auto"/>
        <w:left w:val="none" w:sz="0" w:space="0" w:color="auto"/>
        <w:bottom w:val="none" w:sz="0" w:space="0" w:color="auto"/>
        <w:right w:val="none" w:sz="0" w:space="0" w:color="auto"/>
      </w:divBdr>
    </w:div>
    <w:div w:id="1414472405">
      <w:bodyDiv w:val="1"/>
      <w:marLeft w:val="0"/>
      <w:marRight w:val="0"/>
      <w:marTop w:val="0"/>
      <w:marBottom w:val="0"/>
      <w:divBdr>
        <w:top w:val="none" w:sz="0" w:space="0" w:color="auto"/>
        <w:left w:val="none" w:sz="0" w:space="0" w:color="auto"/>
        <w:bottom w:val="none" w:sz="0" w:space="0" w:color="auto"/>
        <w:right w:val="none" w:sz="0" w:space="0" w:color="auto"/>
      </w:divBdr>
    </w:div>
    <w:div w:id="1415130585">
      <w:bodyDiv w:val="1"/>
      <w:marLeft w:val="0"/>
      <w:marRight w:val="0"/>
      <w:marTop w:val="0"/>
      <w:marBottom w:val="0"/>
      <w:divBdr>
        <w:top w:val="none" w:sz="0" w:space="0" w:color="auto"/>
        <w:left w:val="none" w:sz="0" w:space="0" w:color="auto"/>
        <w:bottom w:val="none" w:sz="0" w:space="0" w:color="auto"/>
        <w:right w:val="none" w:sz="0" w:space="0" w:color="auto"/>
      </w:divBdr>
    </w:div>
    <w:div w:id="1416047922">
      <w:bodyDiv w:val="1"/>
      <w:marLeft w:val="0"/>
      <w:marRight w:val="0"/>
      <w:marTop w:val="0"/>
      <w:marBottom w:val="0"/>
      <w:divBdr>
        <w:top w:val="none" w:sz="0" w:space="0" w:color="auto"/>
        <w:left w:val="none" w:sz="0" w:space="0" w:color="auto"/>
        <w:bottom w:val="none" w:sz="0" w:space="0" w:color="auto"/>
        <w:right w:val="none" w:sz="0" w:space="0" w:color="auto"/>
      </w:divBdr>
    </w:div>
    <w:div w:id="1430927455">
      <w:bodyDiv w:val="1"/>
      <w:marLeft w:val="0"/>
      <w:marRight w:val="0"/>
      <w:marTop w:val="0"/>
      <w:marBottom w:val="0"/>
      <w:divBdr>
        <w:top w:val="none" w:sz="0" w:space="0" w:color="auto"/>
        <w:left w:val="none" w:sz="0" w:space="0" w:color="auto"/>
        <w:bottom w:val="none" w:sz="0" w:space="0" w:color="auto"/>
        <w:right w:val="none" w:sz="0" w:space="0" w:color="auto"/>
      </w:divBdr>
    </w:div>
    <w:div w:id="1431588065">
      <w:bodyDiv w:val="1"/>
      <w:marLeft w:val="0"/>
      <w:marRight w:val="0"/>
      <w:marTop w:val="0"/>
      <w:marBottom w:val="0"/>
      <w:divBdr>
        <w:top w:val="none" w:sz="0" w:space="0" w:color="auto"/>
        <w:left w:val="none" w:sz="0" w:space="0" w:color="auto"/>
        <w:bottom w:val="none" w:sz="0" w:space="0" w:color="auto"/>
        <w:right w:val="none" w:sz="0" w:space="0" w:color="auto"/>
      </w:divBdr>
    </w:div>
    <w:div w:id="1431588438">
      <w:bodyDiv w:val="1"/>
      <w:marLeft w:val="0"/>
      <w:marRight w:val="0"/>
      <w:marTop w:val="0"/>
      <w:marBottom w:val="0"/>
      <w:divBdr>
        <w:top w:val="none" w:sz="0" w:space="0" w:color="auto"/>
        <w:left w:val="none" w:sz="0" w:space="0" w:color="auto"/>
        <w:bottom w:val="none" w:sz="0" w:space="0" w:color="auto"/>
        <w:right w:val="none" w:sz="0" w:space="0" w:color="auto"/>
      </w:divBdr>
    </w:div>
    <w:div w:id="1431856108">
      <w:bodyDiv w:val="1"/>
      <w:marLeft w:val="0"/>
      <w:marRight w:val="0"/>
      <w:marTop w:val="0"/>
      <w:marBottom w:val="0"/>
      <w:divBdr>
        <w:top w:val="none" w:sz="0" w:space="0" w:color="auto"/>
        <w:left w:val="none" w:sz="0" w:space="0" w:color="auto"/>
        <w:bottom w:val="none" w:sz="0" w:space="0" w:color="auto"/>
        <w:right w:val="none" w:sz="0" w:space="0" w:color="auto"/>
      </w:divBdr>
    </w:div>
    <w:div w:id="1434087397">
      <w:bodyDiv w:val="1"/>
      <w:marLeft w:val="0"/>
      <w:marRight w:val="0"/>
      <w:marTop w:val="0"/>
      <w:marBottom w:val="0"/>
      <w:divBdr>
        <w:top w:val="none" w:sz="0" w:space="0" w:color="auto"/>
        <w:left w:val="none" w:sz="0" w:space="0" w:color="auto"/>
        <w:bottom w:val="none" w:sz="0" w:space="0" w:color="auto"/>
        <w:right w:val="none" w:sz="0" w:space="0" w:color="auto"/>
      </w:divBdr>
    </w:div>
    <w:div w:id="1437629253">
      <w:bodyDiv w:val="1"/>
      <w:marLeft w:val="0"/>
      <w:marRight w:val="0"/>
      <w:marTop w:val="0"/>
      <w:marBottom w:val="0"/>
      <w:divBdr>
        <w:top w:val="none" w:sz="0" w:space="0" w:color="auto"/>
        <w:left w:val="none" w:sz="0" w:space="0" w:color="auto"/>
        <w:bottom w:val="none" w:sz="0" w:space="0" w:color="auto"/>
        <w:right w:val="none" w:sz="0" w:space="0" w:color="auto"/>
      </w:divBdr>
    </w:div>
    <w:div w:id="1439980402">
      <w:bodyDiv w:val="1"/>
      <w:marLeft w:val="0"/>
      <w:marRight w:val="0"/>
      <w:marTop w:val="0"/>
      <w:marBottom w:val="0"/>
      <w:divBdr>
        <w:top w:val="none" w:sz="0" w:space="0" w:color="auto"/>
        <w:left w:val="none" w:sz="0" w:space="0" w:color="auto"/>
        <w:bottom w:val="none" w:sz="0" w:space="0" w:color="auto"/>
        <w:right w:val="none" w:sz="0" w:space="0" w:color="auto"/>
      </w:divBdr>
    </w:div>
    <w:div w:id="1441336267">
      <w:bodyDiv w:val="1"/>
      <w:marLeft w:val="0"/>
      <w:marRight w:val="0"/>
      <w:marTop w:val="0"/>
      <w:marBottom w:val="0"/>
      <w:divBdr>
        <w:top w:val="none" w:sz="0" w:space="0" w:color="auto"/>
        <w:left w:val="none" w:sz="0" w:space="0" w:color="auto"/>
        <w:bottom w:val="none" w:sz="0" w:space="0" w:color="auto"/>
        <w:right w:val="none" w:sz="0" w:space="0" w:color="auto"/>
      </w:divBdr>
    </w:div>
    <w:div w:id="1444182564">
      <w:bodyDiv w:val="1"/>
      <w:marLeft w:val="0"/>
      <w:marRight w:val="0"/>
      <w:marTop w:val="0"/>
      <w:marBottom w:val="0"/>
      <w:divBdr>
        <w:top w:val="none" w:sz="0" w:space="0" w:color="auto"/>
        <w:left w:val="none" w:sz="0" w:space="0" w:color="auto"/>
        <w:bottom w:val="none" w:sz="0" w:space="0" w:color="auto"/>
        <w:right w:val="none" w:sz="0" w:space="0" w:color="auto"/>
      </w:divBdr>
    </w:div>
    <w:div w:id="1445805700">
      <w:bodyDiv w:val="1"/>
      <w:marLeft w:val="0"/>
      <w:marRight w:val="0"/>
      <w:marTop w:val="0"/>
      <w:marBottom w:val="0"/>
      <w:divBdr>
        <w:top w:val="none" w:sz="0" w:space="0" w:color="auto"/>
        <w:left w:val="none" w:sz="0" w:space="0" w:color="auto"/>
        <w:bottom w:val="none" w:sz="0" w:space="0" w:color="auto"/>
        <w:right w:val="none" w:sz="0" w:space="0" w:color="auto"/>
      </w:divBdr>
    </w:div>
    <w:div w:id="1450201851">
      <w:bodyDiv w:val="1"/>
      <w:marLeft w:val="0"/>
      <w:marRight w:val="0"/>
      <w:marTop w:val="0"/>
      <w:marBottom w:val="0"/>
      <w:divBdr>
        <w:top w:val="none" w:sz="0" w:space="0" w:color="auto"/>
        <w:left w:val="none" w:sz="0" w:space="0" w:color="auto"/>
        <w:bottom w:val="none" w:sz="0" w:space="0" w:color="auto"/>
        <w:right w:val="none" w:sz="0" w:space="0" w:color="auto"/>
      </w:divBdr>
    </w:div>
    <w:div w:id="1450512620">
      <w:bodyDiv w:val="1"/>
      <w:marLeft w:val="0"/>
      <w:marRight w:val="0"/>
      <w:marTop w:val="0"/>
      <w:marBottom w:val="0"/>
      <w:divBdr>
        <w:top w:val="none" w:sz="0" w:space="0" w:color="auto"/>
        <w:left w:val="none" w:sz="0" w:space="0" w:color="auto"/>
        <w:bottom w:val="none" w:sz="0" w:space="0" w:color="auto"/>
        <w:right w:val="none" w:sz="0" w:space="0" w:color="auto"/>
      </w:divBdr>
    </w:div>
    <w:div w:id="1450932041">
      <w:bodyDiv w:val="1"/>
      <w:marLeft w:val="0"/>
      <w:marRight w:val="0"/>
      <w:marTop w:val="0"/>
      <w:marBottom w:val="0"/>
      <w:divBdr>
        <w:top w:val="none" w:sz="0" w:space="0" w:color="auto"/>
        <w:left w:val="none" w:sz="0" w:space="0" w:color="auto"/>
        <w:bottom w:val="none" w:sz="0" w:space="0" w:color="auto"/>
        <w:right w:val="none" w:sz="0" w:space="0" w:color="auto"/>
      </w:divBdr>
    </w:div>
    <w:div w:id="1454598222">
      <w:bodyDiv w:val="1"/>
      <w:marLeft w:val="0"/>
      <w:marRight w:val="0"/>
      <w:marTop w:val="0"/>
      <w:marBottom w:val="0"/>
      <w:divBdr>
        <w:top w:val="none" w:sz="0" w:space="0" w:color="auto"/>
        <w:left w:val="none" w:sz="0" w:space="0" w:color="auto"/>
        <w:bottom w:val="none" w:sz="0" w:space="0" w:color="auto"/>
        <w:right w:val="none" w:sz="0" w:space="0" w:color="auto"/>
      </w:divBdr>
    </w:div>
    <w:div w:id="1454711856">
      <w:bodyDiv w:val="1"/>
      <w:marLeft w:val="0"/>
      <w:marRight w:val="0"/>
      <w:marTop w:val="0"/>
      <w:marBottom w:val="0"/>
      <w:divBdr>
        <w:top w:val="none" w:sz="0" w:space="0" w:color="auto"/>
        <w:left w:val="none" w:sz="0" w:space="0" w:color="auto"/>
        <w:bottom w:val="none" w:sz="0" w:space="0" w:color="auto"/>
        <w:right w:val="none" w:sz="0" w:space="0" w:color="auto"/>
      </w:divBdr>
    </w:div>
    <w:div w:id="1465123760">
      <w:bodyDiv w:val="1"/>
      <w:marLeft w:val="0"/>
      <w:marRight w:val="0"/>
      <w:marTop w:val="0"/>
      <w:marBottom w:val="0"/>
      <w:divBdr>
        <w:top w:val="none" w:sz="0" w:space="0" w:color="auto"/>
        <w:left w:val="none" w:sz="0" w:space="0" w:color="auto"/>
        <w:bottom w:val="none" w:sz="0" w:space="0" w:color="auto"/>
        <w:right w:val="none" w:sz="0" w:space="0" w:color="auto"/>
      </w:divBdr>
    </w:div>
    <w:div w:id="1469782192">
      <w:bodyDiv w:val="1"/>
      <w:marLeft w:val="0"/>
      <w:marRight w:val="0"/>
      <w:marTop w:val="0"/>
      <w:marBottom w:val="0"/>
      <w:divBdr>
        <w:top w:val="none" w:sz="0" w:space="0" w:color="auto"/>
        <w:left w:val="none" w:sz="0" w:space="0" w:color="auto"/>
        <w:bottom w:val="none" w:sz="0" w:space="0" w:color="auto"/>
        <w:right w:val="none" w:sz="0" w:space="0" w:color="auto"/>
      </w:divBdr>
    </w:div>
    <w:div w:id="1475102356">
      <w:bodyDiv w:val="1"/>
      <w:marLeft w:val="0"/>
      <w:marRight w:val="0"/>
      <w:marTop w:val="0"/>
      <w:marBottom w:val="0"/>
      <w:divBdr>
        <w:top w:val="none" w:sz="0" w:space="0" w:color="auto"/>
        <w:left w:val="none" w:sz="0" w:space="0" w:color="auto"/>
        <w:bottom w:val="none" w:sz="0" w:space="0" w:color="auto"/>
        <w:right w:val="none" w:sz="0" w:space="0" w:color="auto"/>
      </w:divBdr>
    </w:div>
    <w:div w:id="1479108947">
      <w:bodyDiv w:val="1"/>
      <w:marLeft w:val="0"/>
      <w:marRight w:val="0"/>
      <w:marTop w:val="0"/>
      <w:marBottom w:val="0"/>
      <w:divBdr>
        <w:top w:val="none" w:sz="0" w:space="0" w:color="auto"/>
        <w:left w:val="none" w:sz="0" w:space="0" w:color="auto"/>
        <w:bottom w:val="none" w:sz="0" w:space="0" w:color="auto"/>
        <w:right w:val="none" w:sz="0" w:space="0" w:color="auto"/>
      </w:divBdr>
    </w:div>
    <w:div w:id="1480265750">
      <w:bodyDiv w:val="1"/>
      <w:marLeft w:val="0"/>
      <w:marRight w:val="0"/>
      <w:marTop w:val="0"/>
      <w:marBottom w:val="0"/>
      <w:divBdr>
        <w:top w:val="none" w:sz="0" w:space="0" w:color="auto"/>
        <w:left w:val="none" w:sz="0" w:space="0" w:color="auto"/>
        <w:bottom w:val="none" w:sz="0" w:space="0" w:color="auto"/>
        <w:right w:val="none" w:sz="0" w:space="0" w:color="auto"/>
      </w:divBdr>
    </w:div>
    <w:div w:id="1480729246">
      <w:bodyDiv w:val="1"/>
      <w:marLeft w:val="0"/>
      <w:marRight w:val="0"/>
      <w:marTop w:val="0"/>
      <w:marBottom w:val="0"/>
      <w:divBdr>
        <w:top w:val="none" w:sz="0" w:space="0" w:color="auto"/>
        <w:left w:val="none" w:sz="0" w:space="0" w:color="auto"/>
        <w:bottom w:val="none" w:sz="0" w:space="0" w:color="auto"/>
        <w:right w:val="none" w:sz="0" w:space="0" w:color="auto"/>
      </w:divBdr>
    </w:div>
    <w:div w:id="1481339282">
      <w:bodyDiv w:val="1"/>
      <w:marLeft w:val="0"/>
      <w:marRight w:val="0"/>
      <w:marTop w:val="0"/>
      <w:marBottom w:val="0"/>
      <w:divBdr>
        <w:top w:val="none" w:sz="0" w:space="0" w:color="auto"/>
        <w:left w:val="none" w:sz="0" w:space="0" w:color="auto"/>
        <w:bottom w:val="none" w:sz="0" w:space="0" w:color="auto"/>
        <w:right w:val="none" w:sz="0" w:space="0" w:color="auto"/>
      </w:divBdr>
    </w:div>
    <w:div w:id="1481536421">
      <w:bodyDiv w:val="1"/>
      <w:marLeft w:val="0"/>
      <w:marRight w:val="0"/>
      <w:marTop w:val="0"/>
      <w:marBottom w:val="0"/>
      <w:divBdr>
        <w:top w:val="none" w:sz="0" w:space="0" w:color="auto"/>
        <w:left w:val="none" w:sz="0" w:space="0" w:color="auto"/>
        <w:bottom w:val="none" w:sz="0" w:space="0" w:color="auto"/>
        <w:right w:val="none" w:sz="0" w:space="0" w:color="auto"/>
      </w:divBdr>
    </w:div>
    <w:div w:id="1482035595">
      <w:bodyDiv w:val="1"/>
      <w:marLeft w:val="0"/>
      <w:marRight w:val="0"/>
      <w:marTop w:val="0"/>
      <w:marBottom w:val="0"/>
      <w:divBdr>
        <w:top w:val="none" w:sz="0" w:space="0" w:color="auto"/>
        <w:left w:val="none" w:sz="0" w:space="0" w:color="auto"/>
        <w:bottom w:val="none" w:sz="0" w:space="0" w:color="auto"/>
        <w:right w:val="none" w:sz="0" w:space="0" w:color="auto"/>
      </w:divBdr>
    </w:div>
    <w:div w:id="1482504634">
      <w:bodyDiv w:val="1"/>
      <w:marLeft w:val="0"/>
      <w:marRight w:val="0"/>
      <w:marTop w:val="0"/>
      <w:marBottom w:val="0"/>
      <w:divBdr>
        <w:top w:val="none" w:sz="0" w:space="0" w:color="auto"/>
        <w:left w:val="none" w:sz="0" w:space="0" w:color="auto"/>
        <w:bottom w:val="none" w:sz="0" w:space="0" w:color="auto"/>
        <w:right w:val="none" w:sz="0" w:space="0" w:color="auto"/>
      </w:divBdr>
    </w:div>
    <w:div w:id="1484849804">
      <w:bodyDiv w:val="1"/>
      <w:marLeft w:val="0"/>
      <w:marRight w:val="0"/>
      <w:marTop w:val="0"/>
      <w:marBottom w:val="0"/>
      <w:divBdr>
        <w:top w:val="none" w:sz="0" w:space="0" w:color="auto"/>
        <w:left w:val="none" w:sz="0" w:space="0" w:color="auto"/>
        <w:bottom w:val="none" w:sz="0" w:space="0" w:color="auto"/>
        <w:right w:val="none" w:sz="0" w:space="0" w:color="auto"/>
      </w:divBdr>
    </w:div>
    <w:div w:id="1486509456">
      <w:bodyDiv w:val="1"/>
      <w:marLeft w:val="0"/>
      <w:marRight w:val="0"/>
      <w:marTop w:val="0"/>
      <w:marBottom w:val="0"/>
      <w:divBdr>
        <w:top w:val="none" w:sz="0" w:space="0" w:color="auto"/>
        <w:left w:val="none" w:sz="0" w:space="0" w:color="auto"/>
        <w:bottom w:val="none" w:sz="0" w:space="0" w:color="auto"/>
        <w:right w:val="none" w:sz="0" w:space="0" w:color="auto"/>
      </w:divBdr>
    </w:div>
    <w:div w:id="1486509922">
      <w:bodyDiv w:val="1"/>
      <w:marLeft w:val="0"/>
      <w:marRight w:val="0"/>
      <w:marTop w:val="0"/>
      <w:marBottom w:val="0"/>
      <w:divBdr>
        <w:top w:val="none" w:sz="0" w:space="0" w:color="auto"/>
        <w:left w:val="none" w:sz="0" w:space="0" w:color="auto"/>
        <w:bottom w:val="none" w:sz="0" w:space="0" w:color="auto"/>
        <w:right w:val="none" w:sz="0" w:space="0" w:color="auto"/>
      </w:divBdr>
    </w:div>
    <w:div w:id="1493329592">
      <w:bodyDiv w:val="1"/>
      <w:marLeft w:val="0"/>
      <w:marRight w:val="0"/>
      <w:marTop w:val="0"/>
      <w:marBottom w:val="0"/>
      <w:divBdr>
        <w:top w:val="none" w:sz="0" w:space="0" w:color="auto"/>
        <w:left w:val="none" w:sz="0" w:space="0" w:color="auto"/>
        <w:bottom w:val="none" w:sz="0" w:space="0" w:color="auto"/>
        <w:right w:val="none" w:sz="0" w:space="0" w:color="auto"/>
      </w:divBdr>
    </w:div>
    <w:div w:id="1494028870">
      <w:bodyDiv w:val="1"/>
      <w:marLeft w:val="0"/>
      <w:marRight w:val="0"/>
      <w:marTop w:val="0"/>
      <w:marBottom w:val="0"/>
      <w:divBdr>
        <w:top w:val="none" w:sz="0" w:space="0" w:color="auto"/>
        <w:left w:val="none" w:sz="0" w:space="0" w:color="auto"/>
        <w:bottom w:val="none" w:sz="0" w:space="0" w:color="auto"/>
        <w:right w:val="none" w:sz="0" w:space="0" w:color="auto"/>
      </w:divBdr>
    </w:div>
    <w:div w:id="1496066423">
      <w:bodyDiv w:val="1"/>
      <w:marLeft w:val="0"/>
      <w:marRight w:val="0"/>
      <w:marTop w:val="0"/>
      <w:marBottom w:val="0"/>
      <w:divBdr>
        <w:top w:val="none" w:sz="0" w:space="0" w:color="auto"/>
        <w:left w:val="none" w:sz="0" w:space="0" w:color="auto"/>
        <w:bottom w:val="none" w:sz="0" w:space="0" w:color="auto"/>
        <w:right w:val="none" w:sz="0" w:space="0" w:color="auto"/>
      </w:divBdr>
    </w:div>
    <w:div w:id="1498954638">
      <w:bodyDiv w:val="1"/>
      <w:marLeft w:val="0"/>
      <w:marRight w:val="0"/>
      <w:marTop w:val="0"/>
      <w:marBottom w:val="0"/>
      <w:divBdr>
        <w:top w:val="none" w:sz="0" w:space="0" w:color="auto"/>
        <w:left w:val="none" w:sz="0" w:space="0" w:color="auto"/>
        <w:bottom w:val="none" w:sz="0" w:space="0" w:color="auto"/>
        <w:right w:val="none" w:sz="0" w:space="0" w:color="auto"/>
      </w:divBdr>
    </w:div>
    <w:div w:id="1499610594">
      <w:bodyDiv w:val="1"/>
      <w:marLeft w:val="0"/>
      <w:marRight w:val="0"/>
      <w:marTop w:val="0"/>
      <w:marBottom w:val="0"/>
      <w:divBdr>
        <w:top w:val="none" w:sz="0" w:space="0" w:color="auto"/>
        <w:left w:val="none" w:sz="0" w:space="0" w:color="auto"/>
        <w:bottom w:val="none" w:sz="0" w:space="0" w:color="auto"/>
        <w:right w:val="none" w:sz="0" w:space="0" w:color="auto"/>
      </w:divBdr>
    </w:div>
    <w:div w:id="1500317102">
      <w:bodyDiv w:val="1"/>
      <w:marLeft w:val="0"/>
      <w:marRight w:val="0"/>
      <w:marTop w:val="0"/>
      <w:marBottom w:val="0"/>
      <w:divBdr>
        <w:top w:val="none" w:sz="0" w:space="0" w:color="auto"/>
        <w:left w:val="none" w:sz="0" w:space="0" w:color="auto"/>
        <w:bottom w:val="none" w:sz="0" w:space="0" w:color="auto"/>
        <w:right w:val="none" w:sz="0" w:space="0" w:color="auto"/>
      </w:divBdr>
    </w:div>
    <w:div w:id="1505242211">
      <w:bodyDiv w:val="1"/>
      <w:marLeft w:val="0"/>
      <w:marRight w:val="0"/>
      <w:marTop w:val="0"/>
      <w:marBottom w:val="0"/>
      <w:divBdr>
        <w:top w:val="none" w:sz="0" w:space="0" w:color="auto"/>
        <w:left w:val="none" w:sz="0" w:space="0" w:color="auto"/>
        <w:bottom w:val="none" w:sz="0" w:space="0" w:color="auto"/>
        <w:right w:val="none" w:sz="0" w:space="0" w:color="auto"/>
      </w:divBdr>
    </w:div>
    <w:div w:id="1505784805">
      <w:bodyDiv w:val="1"/>
      <w:marLeft w:val="0"/>
      <w:marRight w:val="0"/>
      <w:marTop w:val="0"/>
      <w:marBottom w:val="0"/>
      <w:divBdr>
        <w:top w:val="none" w:sz="0" w:space="0" w:color="auto"/>
        <w:left w:val="none" w:sz="0" w:space="0" w:color="auto"/>
        <w:bottom w:val="none" w:sz="0" w:space="0" w:color="auto"/>
        <w:right w:val="none" w:sz="0" w:space="0" w:color="auto"/>
      </w:divBdr>
    </w:div>
    <w:div w:id="1507473876">
      <w:bodyDiv w:val="1"/>
      <w:marLeft w:val="0"/>
      <w:marRight w:val="0"/>
      <w:marTop w:val="0"/>
      <w:marBottom w:val="0"/>
      <w:divBdr>
        <w:top w:val="none" w:sz="0" w:space="0" w:color="auto"/>
        <w:left w:val="none" w:sz="0" w:space="0" w:color="auto"/>
        <w:bottom w:val="none" w:sz="0" w:space="0" w:color="auto"/>
        <w:right w:val="none" w:sz="0" w:space="0" w:color="auto"/>
      </w:divBdr>
    </w:div>
    <w:div w:id="1508714090">
      <w:bodyDiv w:val="1"/>
      <w:marLeft w:val="0"/>
      <w:marRight w:val="0"/>
      <w:marTop w:val="0"/>
      <w:marBottom w:val="0"/>
      <w:divBdr>
        <w:top w:val="none" w:sz="0" w:space="0" w:color="auto"/>
        <w:left w:val="none" w:sz="0" w:space="0" w:color="auto"/>
        <w:bottom w:val="none" w:sz="0" w:space="0" w:color="auto"/>
        <w:right w:val="none" w:sz="0" w:space="0" w:color="auto"/>
      </w:divBdr>
    </w:div>
    <w:div w:id="1509249931">
      <w:bodyDiv w:val="1"/>
      <w:marLeft w:val="0"/>
      <w:marRight w:val="0"/>
      <w:marTop w:val="0"/>
      <w:marBottom w:val="0"/>
      <w:divBdr>
        <w:top w:val="none" w:sz="0" w:space="0" w:color="auto"/>
        <w:left w:val="none" w:sz="0" w:space="0" w:color="auto"/>
        <w:bottom w:val="none" w:sz="0" w:space="0" w:color="auto"/>
        <w:right w:val="none" w:sz="0" w:space="0" w:color="auto"/>
      </w:divBdr>
    </w:div>
    <w:div w:id="1511140728">
      <w:bodyDiv w:val="1"/>
      <w:marLeft w:val="0"/>
      <w:marRight w:val="0"/>
      <w:marTop w:val="0"/>
      <w:marBottom w:val="0"/>
      <w:divBdr>
        <w:top w:val="none" w:sz="0" w:space="0" w:color="auto"/>
        <w:left w:val="none" w:sz="0" w:space="0" w:color="auto"/>
        <w:bottom w:val="none" w:sz="0" w:space="0" w:color="auto"/>
        <w:right w:val="none" w:sz="0" w:space="0" w:color="auto"/>
      </w:divBdr>
    </w:div>
    <w:div w:id="1511287696">
      <w:bodyDiv w:val="1"/>
      <w:marLeft w:val="0"/>
      <w:marRight w:val="0"/>
      <w:marTop w:val="0"/>
      <w:marBottom w:val="0"/>
      <w:divBdr>
        <w:top w:val="none" w:sz="0" w:space="0" w:color="auto"/>
        <w:left w:val="none" w:sz="0" w:space="0" w:color="auto"/>
        <w:bottom w:val="none" w:sz="0" w:space="0" w:color="auto"/>
        <w:right w:val="none" w:sz="0" w:space="0" w:color="auto"/>
      </w:divBdr>
    </w:div>
    <w:div w:id="1512181511">
      <w:bodyDiv w:val="1"/>
      <w:marLeft w:val="0"/>
      <w:marRight w:val="0"/>
      <w:marTop w:val="0"/>
      <w:marBottom w:val="0"/>
      <w:divBdr>
        <w:top w:val="none" w:sz="0" w:space="0" w:color="auto"/>
        <w:left w:val="none" w:sz="0" w:space="0" w:color="auto"/>
        <w:bottom w:val="none" w:sz="0" w:space="0" w:color="auto"/>
        <w:right w:val="none" w:sz="0" w:space="0" w:color="auto"/>
      </w:divBdr>
    </w:div>
    <w:div w:id="1513257881">
      <w:bodyDiv w:val="1"/>
      <w:marLeft w:val="0"/>
      <w:marRight w:val="0"/>
      <w:marTop w:val="0"/>
      <w:marBottom w:val="0"/>
      <w:divBdr>
        <w:top w:val="none" w:sz="0" w:space="0" w:color="auto"/>
        <w:left w:val="none" w:sz="0" w:space="0" w:color="auto"/>
        <w:bottom w:val="none" w:sz="0" w:space="0" w:color="auto"/>
        <w:right w:val="none" w:sz="0" w:space="0" w:color="auto"/>
      </w:divBdr>
    </w:div>
    <w:div w:id="1513832707">
      <w:bodyDiv w:val="1"/>
      <w:marLeft w:val="0"/>
      <w:marRight w:val="0"/>
      <w:marTop w:val="0"/>
      <w:marBottom w:val="0"/>
      <w:divBdr>
        <w:top w:val="none" w:sz="0" w:space="0" w:color="auto"/>
        <w:left w:val="none" w:sz="0" w:space="0" w:color="auto"/>
        <w:bottom w:val="none" w:sz="0" w:space="0" w:color="auto"/>
        <w:right w:val="none" w:sz="0" w:space="0" w:color="auto"/>
      </w:divBdr>
    </w:div>
    <w:div w:id="1516574705">
      <w:bodyDiv w:val="1"/>
      <w:marLeft w:val="0"/>
      <w:marRight w:val="0"/>
      <w:marTop w:val="0"/>
      <w:marBottom w:val="0"/>
      <w:divBdr>
        <w:top w:val="none" w:sz="0" w:space="0" w:color="auto"/>
        <w:left w:val="none" w:sz="0" w:space="0" w:color="auto"/>
        <w:bottom w:val="none" w:sz="0" w:space="0" w:color="auto"/>
        <w:right w:val="none" w:sz="0" w:space="0" w:color="auto"/>
      </w:divBdr>
    </w:div>
    <w:div w:id="1521746111">
      <w:bodyDiv w:val="1"/>
      <w:marLeft w:val="0"/>
      <w:marRight w:val="0"/>
      <w:marTop w:val="0"/>
      <w:marBottom w:val="0"/>
      <w:divBdr>
        <w:top w:val="none" w:sz="0" w:space="0" w:color="auto"/>
        <w:left w:val="none" w:sz="0" w:space="0" w:color="auto"/>
        <w:bottom w:val="none" w:sz="0" w:space="0" w:color="auto"/>
        <w:right w:val="none" w:sz="0" w:space="0" w:color="auto"/>
      </w:divBdr>
    </w:div>
    <w:div w:id="1522008792">
      <w:bodyDiv w:val="1"/>
      <w:marLeft w:val="0"/>
      <w:marRight w:val="0"/>
      <w:marTop w:val="0"/>
      <w:marBottom w:val="0"/>
      <w:divBdr>
        <w:top w:val="none" w:sz="0" w:space="0" w:color="auto"/>
        <w:left w:val="none" w:sz="0" w:space="0" w:color="auto"/>
        <w:bottom w:val="none" w:sz="0" w:space="0" w:color="auto"/>
        <w:right w:val="none" w:sz="0" w:space="0" w:color="auto"/>
      </w:divBdr>
    </w:div>
    <w:div w:id="1522474502">
      <w:bodyDiv w:val="1"/>
      <w:marLeft w:val="0"/>
      <w:marRight w:val="0"/>
      <w:marTop w:val="0"/>
      <w:marBottom w:val="0"/>
      <w:divBdr>
        <w:top w:val="none" w:sz="0" w:space="0" w:color="auto"/>
        <w:left w:val="none" w:sz="0" w:space="0" w:color="auto"/>
        <w:bottom w:val="none" w:sz="0" w:space="0" w:color="auto"/>
        <w:right w:val="none" w:sz="0" w:space="0" w:color="auto"/>
      </w:divBdr>
    </w:div>
    <w:div w:id="1524977802">
      <w:bodyDiv w:val="1"/>
      <w:marLeft w:val="0"/>
      <w:marRight w:val="0"/>
      <w:marTop w:val="0"/>
      <w:marBottom w:val="0"/>
      <w:divBdr>
        <w:top w:val="none" w:sz="0" w:space="0" w:color="auto"/>
        <w:left w:val="none" w:sz="0" w:space="0" w:color="auto"/>
        <w:bottom w:val="none" w:sz="0" w:space="0" w:color="auto"/>
        <w:right w:val="none" w:sz="0" w:space="0" w:color="auto"/>
      </w:divBdr>
    </w:div>
    <w:div w:id="1525049936">
      <w:bodyDiv w:val="1"/>
      <w:marLeft w:val="0"/>
      <w:marRight w:val="0"/>
      <w:marTop w:val="0"/>
      <w:marBottom w:val="0"/>
      <w:divBdr>
        <w:top w:val="none" w:sz="0" w:space="0" w:color="auto"/>
        <w:left w:val="none" w:sz="0" w:space="0" w:color="auto"/>
        <w:bottom w:val="none" w:sz="0" w:space="0" w:color="auto"/>
        <w:right w:val="none" w:sz="0" w:space="0" w:color="auto"/>
      </w:divBdr>
    </w:div>
    <w:div w:id="1527018732">
      <w:bodyDiv w:val="1"/>
      <w:marLeft w:val="0"/>
      <w:marRight w:val="0"/>
      <w:marTop w:val="0"/>
      <w:marBottom w:val="0"/>
      <w:divBdr>
        <w:top w:val="none" w:sz="0" w:space="0" w:color="auto"/>
        <w:left w:val="none" w:sz="0" w:space="0" w:color="auto"/>
        <w:bottom w:val="none" w:sz="0" w:space="0" w:color="auto"/>
        <w:right w:val="none" w:sz="0" w:space="0" w:color="auto"/>
      </w:divBdr>
    </w:div>
    <w:div w:id="1527408985">
      <w:bodyDiv w:val="1"/>
      <w:marLeft w:val="0"/>
      <w:marRight w:val="0"/>
      <w:marTop w:val="0"/>
      <w:marBottom w:val="0"/>
      <w:divBdr>
        <w:top w:val="none" w:sz="0" w:space="0" w:color="auto"/>
        <w:left w:val="none" w:sz="0" w:space="0" w:color="auto"/>
        <w:bottom w:val="none" w:sz="0" w:space="0" w:color="auto"/>
        <w:right w:val="none" w:sz="0" w:space="0" w:color="auto"/>
      </w:divBdr>
    </w:div>
    <w:div w:id="1527711090">
      <w:bodyDiv w:val="1"/>
      <w:marLeft w:val="0"/>
      <w:marRight w:val="0"/>
      <w:marTop w:val="0"/>
      <w:marBottom w:val="0"/>
      <w:divBdr>
        <w:top w:val="none" w:sz="0" w:space="0" w:color="auto"/>
        <w:left w:val="none" w:sz="0" w:space="0" w:color="auto"/>
        <w:bottom w:val="none" w:sz="0" w:space="0" w:color="auto"/>
        <w:right w:val="none" w:sz="0" w:space="0" w:color="auto"/>
      </w:divBdr>
    </w:div>
    <w:div w:id="1530413232">
      <w:bodyDiv w:val="1"/>
      <w:marLeft w:val="0"/>
      <w:marRight w:val="0"/>
      <w:marTop w:val="0"/>
      <w:marBottom w:val="0"/>
      <w:divBdr>
        <w:top w:val="none" w:sz="0" w:space="0" w:color="auto"/>
        <w:left w:val="none" w:sz="0" w:space="0" w:color="auto"/>
        <w:bottom w:val="none" w:sz="0" w:space="0" w:color="auto"/>
        <w:right w:val="none" w:sz="0" w:space="0" w:color="auto"/>
      </w:divBdr>
      <w:divsChild>
        <w:div w:id="15089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839192">
      <w:bodyDiv w:val="1"/>
      <w:marLeft w:val="0"/>
      <w:marRight w:val="0"/>
      <w:marTop w:val="0"/>
      <w:marBottom w:val="0"/>
      <w:divBdr>
        <w:top w:val="none" w:sz="0" w:space="0" w:color="auto"/>
        <w:left w:val="none" w:sz="0" w:space="0" w:color="auto"/>
        <w:bottom w:val="none" w:sz="0" w:space="0" w:color="auto"/>
        <w:right w:val="none" w:sz="0" w:space="0" w:color="auto"/>
      </w:divBdr>
    </w:div>
    <w:div w:id="1536845146">
      <w:bodyDiv w:val="1"/>
      <w:marLeft w:val="0"/>
      <w:marRight w:val="0"/>
      <w:marTop w:val="0"/>
      <w:marBottom w:val="0"/>
      <w:divBdr>
        <w:top w:val="none" w:sz="0" w:space="0" w:color="auto"/>
        <w:left w:val="none" w:sz="0" w:space="0" w:color="auto"/>
        <w:bottom w:val="none" w:sz="0" w:space="0" w:color="auto"/>
        <w:right w:val="none" w:sz="0" w:space="0" w:color="auto"/>
      </w:divBdr>
    </w:div>
    <w:div w:id="1540433644">
      <w:bodyDiv w:val="1"/>
      <w:marLeft w:val="0"/>
      <w:marRight w:val="0"/>
      <w:marTop w:val="0"/>
      <w:marBottom w:val="0"/>
      <w:divBdr>
        <w:top w:val="none" w:sz="0" w:space="0" w:color="auto"/>
        <w:left w:val="none" w:sz="0" w:space="0" w:color="auto"/>
        <w:bottom w:val="none" w:sz="0" w:space="0" w:color="auto"/>
        <w:right w:val="none" w:sz="0" w:space="0" w:color="auto"/>
      </w:divBdr>
    </w:div>
    <w:div w:id="1542325424">
      <w:bodyDiv w:val="1"/>
      <w:marLeft w:val="0"/>
      <w:marRight w:val="0"/>
      <w:marTop w:val="0"/>
      <w:marBottom w:val="0"/>
      <w:divBdr>
        <w:top w:val="none" w:sz="0" w:space="0" w:color="auto"/>
        <w:left w:val="none" w:sz="0" w:space="0" w:color="auto"/>
        <w:bottom w:val="none" w:sz="0" w:space="0" w:color="auto"/>
        <w:right w:val="none" w:sz="0" w:space="0" w:color="auto"/>
      </w:divBdr>
    </w:div>
    <w:div w:id="1543909029">
      <w:bodyDiv w:val="1"/>
      <w:marLeft w:val="0"/>
      <w:marRight w:val="0"/>
      <w:marTop w:val="0"/>
      <w:marBottom w:val="0"/>
      <w:divBdr>
        <w:top w:val="none" w:sz="0" w:space="0" w:color="auto"/>
        <w:left w:val="none" w:sz="0" w:space="0" w:color="auto"/>
        <w:bottom w:val="none" w:sz="0" w:space="0" w:color="auto"/>
        <w:right w:val="none" w:sz="0" w:space="0" w:color="auto"/>
      </w:divBdr>
    </w:div>
    <w:div w:id="1544827383">
      <w:bodyDiv w:val="1"/>
      <w:marLeft w:val="0"/>
      <w:marRight w:val="0"/>
      <w:marTop w:val="0"/>
      <w:marBottom w:val="0"/>
      <w:divBdr>
        <w:top w:val="none" w:sz="0" w:space="0" w:color="auto"/>
        <w:left w:val="none" w:sz="0" w:space="0" w:color="auto"/>
        <w:bottom w:val="none" w:sz="0" w:space="0" w:color="auto"/>
        <w:right w:val="none" w:sz="0" w:space="0" w:color="auto"/>
      </w:divBdr>
    </w:div>
    <w:div w:id="1546673187">
      <w:bodyDiv w:val="1"/>
      <w:marLeft w:val="0"/>
      <w:marRight w:val="0"/>
      <w:marTop w:val="0"/>
      <w:marBottom w:val="0"/>
      <w:divBdr>
        <w:top w:val="none" w:sz="0" w:space="0" w:color="auto"/>
        <w:left w:val="none" w:sz="0" w:space="0" w:color="auto"/>
        <w:bottom w:val="none" w:sz="0" w:space="0" w:color="auto"/>
        <w:right w:val="none" w:sz="0" w:space="0" w:color="auto"/>
      </w:divBdr>
    </w:div>
    <w:div w:id="1549953739">
      <w:bodyDiv w:val="1"/>
      <w:marLeft w:val="0"/>
      <w:marRight w:val="0"/>
      <w:marTop w:val="0"/>
      <w:marBottom w:val="0"/>
      <w:divBdr>
        <w:top w:val="none" w:sz="0" w:space="0" w:color="auto"/>
        <w:left w:val="none" w:sz="0" w:space="0" w:color="auto"/>
        <w:bottom w:val="none" w:sz="0" w:space="0" w:color="auto"/>
        <w:right w:val="none" w:sz="0" w:space="0" w:color="auto"/>
      </w:divBdr>
    </w:div>
    <w:div w:id="1551990051">
      <w:bodyDiv w:val="1"/>
      <w:marLeft w:val="0"/>
      <w:marRight w:val="0"/>
      <w:marTop w:val="0"/>
      <w:marBottom w:val="0"/>
      <w:divBdr>
        <w:top w:val="none" w:sz="0" w:space="0" w:color="auto"/>
        <w:left w:val="none" w:sz="0" w:space="0" w:color="auto"/>
        <w:bottom w:val="none" w:sz="0" w:space="0" w:color="auto"/>
        <w:right w:val="none" w:sz="0" w:space="0" w:color="auto"/>
      </w:divBdr>
    </w:div>
    <w:div w:id="1553037718">
      <w:bodyDiv w:val="1"/>
      <w:marLeft w:val="0"/>
      <w:marRight w:val="0"/>
      <w:marTop w:val="0"/>
      <w:marBottom w:val="0"/>
      <w:divBdr>
        <w:top w:val="none" w:sz="0" w:space="0" w:color="auto"/>
        <w:left w:val="none" w:sz="0" w:space="0" w:color="auto"/>
        <w:bottom w:val="none" w:sz="0" w:space="0" w:color="auto"/>
        <w:right w:val="none" w:sz="0" w:space="0" w:color="auto"/>
      </w:divBdr>
    </w:div>
    <w:div w:id="1561332339">
      <w:bodyDiv w:val="1"/>
      <w:marLeft w:val="0"/>
      <w:marRight w:val="0"/>
      <w:marTop w:val="0"/>
      <w:marBottom w:val="0"/>
      <w:divBdr>
        <w:top w:val="none" w:sz="0" w:space="0" w:color="auto"/>
        <w:left w:val="none" w:sz="0" w:space="0" w:color="auto"/>
        <w:bottom w:val="none" w:sz="0" w:space="0" w:color="auto"/>
        <w:right w:val="none" w:sz="0" w:space="0" w:color="auto"/>
      </w:divBdr>
    </w:div>
    <w:div w:id="1565602169">
      <w:bodyDiv w:val="1"/>
      <w:marLeft w:val="0"/>
      <w:marRight w:val="0"/>
      <w:marTop w:val="0"/>
      <w:marBottom w:val="0"/>
      <w:divBdr>
        <w:top w:val="none" w:sz="0" w:space="0" w:color="auto"/>
        <w:left w:val="none" w:sz="0" w:space="0" w:color="auto"/>
        <w:bottom w:val="none" w:sz="0" w:space="0" w:color="auto"/>
        <w:right w:val="none" w:sz="0" w:space="0" w:color="auto"/>
      </w:divBdr>
    </w:div>
    <w:div w:id="1567718407">
      <w:bodyDiv w:val="1"/>
      <w:marLeft w:val="0"/>
      <w:marRight w:val="0"/>
      <w:marTop w:val="0"/>
      <w:marBottom w:val="0"/>
      <w:divBdr>
        <w:top w:val="none" w:sz="0" w:space="0" w:color="auto"/>
        <w:left w:val="none" w:sz="0" w:space="0" w:color="auto"/>
        <w:bottom w:val="none" w:sz="0" w:space="0" w:color="auto"/>
        <w:right w:val="none" w:sz="0" w:space="0" w:color="auto"/>
      </w:divBdr>
    </w:div>
    <w:div w:id="1570772135">
      <w:bodyDiv w:val="1"/>
      <w:marLeft w:val="0"/>
      <w:marRight w:val="0"/>
      <w:marTop w:val="0"/>
      <w:marBottom w:val="0"/>
      <w:divBdr>
        <w:top w:val="none" w:sz="0" w:space="0" w:color="auto"/>
        <w:left w:val="none" w:sz="0" w:space="0" w:color="auto"/>
        <w:bottom w:val="none" w:sz="0" w:space="0" w:color="auto"/>
        <w:right w:val="none" w:sz="0" w:space="0" w:color="auto"/>
      </w:divBdr>
    </w:div>
    <w:div w:id="1572235471">
      <w:bodyDiv w:val="1"/>
      <w:marLeft w:val="0"/>
      <w:marRight w:val="0"/>
      <w:marTop w:val="0"/>
      <w:marBottom w:val="0"/>
      <w:divBdr>
        <w:top w:val="none" w:sz="0" w:space="0" w:color="auto"/>
        <w:left w:val="none" w:sz="0" w:space="0" w:color="auto"/>
        <w:bottom w:val="none" w:sz="0" w:space="0" w:color="auto"/>
        <w:right w:val="none" w:sz="0" w:space="0" w:color="auto"/>
      </w:divBdr>
    </w:div>
    <w:div w:id="1575503477">
      <w:bodyDiv w:val="1"/>
      <w:marLeft w:val="0"/>
      <w:marRight w:val="0"/>
      <w:marTop w:val="0"/>
      <w:marBottom w:val="0"/>
      <w:divBdr>
        <w:top w:val="none" w:sz="0" w:space="0" w:color="auto"/>
        <w:left w:val="none" w:sz="0" w:space="0" w:color="auto"/>
        <w:bottom w:val="none" w:sz="0" w:space="0" w:color="auto"/>
        <w:right w:val="none" w:sz="0" w:space="0" w:color="auto"/>
      </w:divBdr>
    </w:div>
    <w:div w:id="1575698451">
      <w:bodyDiv w:val="1"/>
      <w:marLeft w:val="0"/>
      <w:marRight w:val="0"/>
      <w:marTop w:val="0"/>
      <w:marBottom w:val="0"/>
      <w:divBdr>
        <w:top w:val="none" w:sz="0" w:space="0" w:color="auto"/>
        <w:left w:val="none" w:sz="0" w:space="0" w:color="auto"/>
        <w:bottom w:val="none" w:sz="0" w:space="0" w:color="auto"/>
        <w:right w:val="none" w:sz="0" w:space="0" w:color="auto"/>
      </w:divBdr>
    </w:div>
    <w:div w:id="1583877131">
      <w:bodyDiv w:val="1"/>
      <w:marLeft w:val="0"/>
      <w:marRight w:val="0"/>
      <w:marTop w:val="0"/>
      <w:marBottom w:val="0"/>
      <w:divBdr>
        <w:top w:val="none" w:sz="0" w:space="0" w:color="auto"/>
        <w:left w:val="none" w:sz="0" w:space="0" w:color="auto"/>
        <w:bottom w:val="none" w:sz="0" w:space="0" w:color="auto"/>
        <w:right w:val="none" w:sz="0" w:space="0" w:color="auto"/>
      </w:divBdr>
    </w:div>
    <w:div w:id="1585145114">
      <w:bodyDiv w:val="1"/>
      <w:marLeft w:val="0"/>
      <w:marRight w:val="0"/>
      <w:marTop w:val="0"/>
      <w:marBottom w:val="0"/>
      <w:divBdr>
        <w:top w:val="none" w:sz="0" w:space="0" w:color="auto"/>
        <w:left w:val="none" w:sz="0" w:space="0" w:color="auto"/>
        <w:bottom w:val="none" w:sz="0" w:space="0" w:color="auto"/>
        <w:right w:val="none" w:sz="0" w:space="0" w:color="auto"/>
      </w:divBdr>
    </w:div>
    <w:div w:id="1587763763">
      <w:bodyDiv w:val="1"/>
      <w:marLeft w:val="0"/>
      <w:marRight w:val="0"/>
      <w:marTop w:val="0"/>
      <w:marBottom w:val="0"/>
      <w:divBdr>
        <w:top w:val="none" w:sz="0" w:space="0" w:color="auto"/>
        <w:left w:val="none" w:sz="0" w:space="0" w:color="auto"/>
        <w:bottom w:val="none" w:sz="0" w:space="0" w:color="auto"/>
        <w:right w:val="none" w:sz="0" w:space="0" w:color="auto"/>
      </w:divBdr>
    </w:div>
    <w:div w:id="1591159233">
      <w:bodyDiv w:val="1"/>
      <w:marLeft w:val="0"/>
      <w:marRight w:val="0"/>
      <w:marTop w:val="0"/>
      <w:marBottom w:val="0"/>
      <w:divBdr>
        <w:top w:val="none" w:sz="0" w:space="0" w:color="auto"/>
        <w:left w:val="none" w:sz="0" w:space="0" w:color="auto"/>
        <w:bottom w:val="none" w:sz="0" w:space="0" w:color="auto"/>
        <w:right w:val="none" w:sz="0" w:space="0" w:color="auto"/>
      </w:divBdr>
    </w:div>
    <w:div w:id="1591817303">
      <w:bodyDiv w:val="1"/>
      <w:marLeft w:val="0"/>
      <w:marRight w:val="0"/>
      <w:marTop w:val="0"/>
      <w:marBottom w:val="0"/>
      <w:divBdr>
        <w:top w:val="none" w:sz="0" w:space="0" w:color="auto"/>
        <w:left w:val="none" w:sz="0" w:space="0" w:color="auto"/>
        <w:bottom w:val="none" w:sz="0" w:space="0" w:color="auto"/>
        <w:right w:val="none" w:sz="0" w:space="0" w:color="auto"/>
      </w:divBdr>
    </w:div>
    <w:div w:id="1592080726">
      <w:bodyDiv w:val="1"/>
      <w:marLeft w:val="0"/>
      <w:marRight w:val="0"/>
      <w:marTop w:val="0"/>
      <w:marBottom w:val="0"/>
      <w:divBdr>
        <w:top w:val="none" w:sz="0" w:space="0" w:color="auto"/>
        <w:left w:val="none" w:sz="0" w:space="0" w:color="auto"/>
        <w:bottom w:val="none" w:sz="0" w:space="0" w:color="auto"/>
        <w:right w:val="none" w:sz="0" w:space="0" w:color="auto"/>
      </w:divBdr>
    </w:div>
    <w:div w:id="1594893771">
      <w:bodyDiv w:val="1"/>
      <w:marLeft w:val="0"/>
      <w:marRight w:val="0"/>
      <w:marTop w:val="0"/>
      <w:marBottom w:val="0"/>
      <w:divBdr>
        <w:top w:val="none" w:sz="0" w:space="0" w:color="auto"/>
        <w:left w:val="none" w:sz="0" w:space="0" w:color="auto"/>
        <w:bottom w:val="none" w:sz="0" w:space="0" w:color="auto"/>
        <w:right w:val="none" w:sz="0" w:space="0" w:color="auto"/>
      </w:divBdr>
    </w:div>
    <w:div w:id="1598831654">
      <w:bodyDiv w:val="1"/>
      <w:marLeft w:val="0"/>
      <w:marRight w:val="0"/>
      <w:marTop w:val="0"/>
      <w:marBottom w:val="0"/>
      <w:divBdr>
        <w:top w:val="none" w:sz="0" w:space="0" w:color="auto"/>
        <w:left w:val="none" w:sz="0" w:space="0" w:color="auto"/>
        <w:bottom w:val="none" w:sz="0" w:space="0" w:color="auto"/>
        <w:right w:val="none" w:sz="0" w:space="0" w:color="auto"/>
      </w:divBdr>
    </w:div>
    <w:div w:id="1601141289">
      <w:bodyDiv w:val="1"/>
      <w:marLeft w:val="0"/>
      <w:marRight w:val="0"/>
      <w:marTop w:val="0"/>
      <w:marBottom w:val="0"/>
      <w:divBdr>
        <w:top w:val="none" w:sz="0" w:space="0" w:color="auto"/>
        <w:left w:val="none" w:sz="0" w:space="0" w:color="auto"/>
        <w:bottom w:val="none" w:sz="0" w:space="0" w:color="auto"/>
        <w:right w:val="none" w:sz="0" w:space="0" w:color="auto"/>
      </w:divBdr>
    </w:div>
    <w:div w:id="1604419490">
      <w:bodyDiv w:val="1"/>
      <w:marLeft w:val="0"/>
      <w:marRight w:val="0"/>
      <w:marTop w:val="0"/>
      <w:marBottom w:val="0"/>
      <w:divBdr>
        <w:top w:val="none" w:sz="0" w:space="0" w:color="auto"/>
        <w:left w:val="none" w:sz="0" w:space="0" w:color="auto"/>
        <w:bottom w:val="none" w:sz="0" w:space="0" w:color="auto"/>
        <w:right w:val="none" w:sz="0" w:space="0" w:color="auto"/>
      </w:divBdr>
    </w:div>
    <w:div w:id="1607736891">
      <w:bodyDiv w:val="1"/>
      <w:marLeft w:val="0"/>
      <w:marRight w:val="0"/>
      <w:marTop w:val="0"/>
      <w:marBottom w:val="0"/>
      <w:divBdr>
        <w:top w:val="none" w:sz="0" w:space="0" w:color="auto"/>
        <w:left w:val="none" w:sz="0" w:space="0" w:color="auto"/>
        <w:bottom w:val="none" w:sz="0" w:space="0" w:color="auto"/>
        <w:right w:val="none" w:sz="0" w:space="0" w:color="auto"/>
      </w:divBdr>
    </w:div>
    <w:div w:id="1615092684">
      <w:bodyDiv w:val="1"/>
      <w:marLeft w:val="0"/>
      <w:marRight w:val="0"/>
      <w:marTop w:val="0"/>
      <w:marBottom w:val="0"/>
      <w:divBdr>
        <w:top w:val="none" w:sz="0" w:space="0" w:color="auto"/>
        <w:left w:val="none" w:sz="0" w:space="0" w:color="auto"/>
        <w:bottom w:val="none" w:sz="0" w:space="0" w:color="auto"/>
        <w:right w:val="none" w:sz="0" w:space="0" w:color="auto"/>
      </w:divBdr>
    </w:div>
    <w:div w:id="1616208713">
      <w:bodyDiv w:val="1"/>
      <w:marLeft w:val="0"/>
      <w:marRight w:val="0"/>
      <w:marTop w:val="0"/>
      <w:marBottom w:val="0"/>
      <w:divBdr>
        <w:top w:val="none" w:sz="0" w:space="0" w:color="auto"/>
        <w:left w:val="none" w:sz="0" w:space="0" w:color="auto"/>
        <w:bottom w:val="none" w:sz="0" w:space="0" w:color="auto"/>
        <w:right w:val="none" w:sz="0" w:space="0" w:color="auto"/>
      </w:divBdr>
    </w:div>
    <w:div w:id="1617830950">
      <w:bodyDiv w:val="1"/>
      <w:marLeft w:val="0"/>
      <w:marRight w:val="0"/>
      <w:marTop w:val="0"/>
      <w:marBottom w:val="0"/>
      <w:divBdr>
        <w:top w:val="none" w:sz="0" w:space="0" w:color="auto"/>
        <w:left w:val="none" w:sz="0" w:space="0" w:color="auto"/>
        <w:bottom w:val="none" w:sz="0" w:space="0" w:color="auto"/>
        <w:right w:val="none" w:sz="0" w:space="0" w:color="auto"/>
      </w:divBdr>
    </w:div>
    <w:div w:id="1618369014">
      <w:bodyDiv w:val="1"/>
      <w:marLeft w:val="0"/>
      <w:marRight w:val="0"/>
      <w:marTop w:val="0"/>
      <w:marBottom w:val="0"/>
      <w:divBdr>
        <w:top w:val="none" w:sz="0" w:space="0" w:color="auto"/>
        <w:left w:val="none" w:sz="0" w:space="0" w:color="auto"/>
        <w:bottom w:val="none" w:sz="0" w:space="0" w:color="auto"/>
        <w:right w:val="none" w:sz="0" w:space="0" w:color="auto"/>
      </w:divBdr>
    </w:div>
    <w:div w:id="1621379130">
      <w:bodyDiv w:val="1"/>
      <w:marLeft w:val="0"/>
      <w:marRight w:val="0"/>
      <w:marTop w:val="0"/>
      <w:marBottom w:val="0"/>
      <w:divBdr>
        <w:top w:val="none" w:sz="0" w:space="0" w:color="auto"/>
        <w:left w:val="none" w:sz="0" w:space="0" w:color="auto"/>
        <w:bottom w:val="none" w:sz="0" w:space="0" w:color="auto"/>
        <w:right w:val="none" w:sz="0" w:space="0" w:color="auto"/>
      </w:divBdr>
    </w:div>
    <w:div w:id="1623606654">
      <w:bodyDiv w:val="1"/>
      <w:marLeft w:val="0"/>
      <w:marRight w:val="0"/>
      <w:marTop w:val="0"/>
      <w:marBottom w:val="0"/>
      <w:divBdr>
        <w:top w:val="none" w:sz="0" w:space="0" w:color="auto"/>
        <w:left w:val="none" w:sz="0" w:space="0" w:color="auto"/>
        <w:bottom w:val="none" w:sz="0" w:space="0" w:color="auto"/>
        <w:right w:val="none" w:sz="0" w:space="0" w:color="auto"/>
      </w:divBdr>
    </w:div>
    <w:div w:id="1626622187">
      <w:bodyDiv w:val="1"/>
      <w:marLeft w:val="0"/>
      <w:marRight w:val="0"/>
      <w:marTop w:val="0"/>
      <w:marBottom w:val="0"/>
      <w:divBdr>
        <w:top w:val="none" w:sz="0" w:space="0" w:color="auto"/>
        <w:left w:val="none" w:sz="0" w:space="0" w:color="auto"/>
        <w:bottom w:val="none" w:sz="0" w:space="0" w:color="auto"/>
        <w:right w:val="none" w:sz="0" w:space="0" w:color="auto"/>
      </w:divBdr>
    </w:div>
    <w:div w:id="1632905633">
      <w:bodyDiv w:val="1"/>
      <w:marLeft w:val="0"/>
      <w:marRight w:val="0"/>
      <w:marTop w:val="0"/>
      <w:marBottom w:val="0"/>
      <w:divBdr>
        <w:top w:val="none" w:sz="0" w:space="0" w:color="auto"/>
        <w:left w:val="none" w:sz="0" w:space="0" w:color="auto"/>
        <w:bottom w:val="none" w:sz="0" w:space="0" w:color="auto"/>
        <w:right w:val="none" w:sz="0" w:space="0" w:color="auto"/>
      </w:divBdr>
    </w:div>
    <w:div w:id="1632905821">
      <w:bodyDiv w:val="1"/>
      <w:marLeft w:val="0"/>
      <w:marRight w:val="0"/>
      <w:marTop w:val="0"/>
      <w:marBottom w:val="0"/>
      <w:divBdr>
        <w:top w:val="none" w:sz="0" w:space="0" w:color="auto"/>
        <w:left w:val="none" w:sz="0" w:space="0" w:color="auto"/>
        <w:bottom w:val="none" w:sz="0" w:space="0" w:color="auto"/>
        <w:right w:val="none" w:sz="0" w:space="0" w:color="auto"/>
      </w:divBdr>
    </w:div>
    <w:div w:id="1633831024">
      <w:bodyDiv w:val="1"/>
      <w:marLeft w:val="0"/>
      <w:marRight w:val="0"/>
      <w:marTop w:val="0"/>
      <w:marBottom w:val="0"/>
      <w:divBdr>
        <w:top w:val="none" w:sz="0" w:space="0" w:color="auto"/>
        <w:left w:val="none" w:sz="0" w:space="0" w:color="auto"/>
        <w:bottom w:val="none" w:sz="0" w:space="0" w:color="auto"/>
        <w:right w:val="none" w:sz="0" w:space="0" w:color="auto"/>
      </w:divBdr>
    </w:div>
    <w:div w:id="1636792666">
      <w:bodyDiv w:val="1"/>
      <w:marLeft w:val="0"/>
      <w:marRight w:val="0"/>
      <w:marTop w:val="0"/>
      <w:marBottom w:val="0"/>
      <w:divBdr>
        <w:top w:val="none" w:sz="0" w:space="0" w:color="auto"/>
        <w:left w:val="none" w:sz="0" w:space="0" w:color="auto"/>
        <w:bottom w:val="none" w:sz="0" w:space="0" w:color="auto"/>
        <w:right w:val="none" w:sz="0" w:space="0" w:color="auto"/>
      </w:divBdr>
    </w:div>
    <w:div w:id="1640500116">
      <w:bodyDiv w:val="1"/>
      <w:marLeft w:val="0"/>
      <w:marRight w:val="0"/>
      <w:marTop w:val="0"/>
      <w:marBottom w:val="0"/>
      <w:divBdr>
        <w:top w:val="none" w:sz="0" w:space="0" w:color="auto"/>
        <w:left w:val="none" w:sz="0" w:space="0" w:color="auto"/>
        <w:bottom w:val="none" w:sz="0" w:space="0" w:color="auto"/>
        <w:right w:val="none" w:sz="0" w:space="0" w:color="auto"/>
      </w:divBdr>
    </w:div>
    <w:div w:id="1642347975">
      <w:bodyDiv w:val="1"/>
      <w:marLeft w:val="0"/>
      <w:marRight w:val="0"/>
      <w:marTop w:val="0"/>
      <w:marBottom w:val="0"/>
      <w:divBdr>
        <w:top w:val="none" w:sz="0" w:space="0" w:color="auto"/>
        <w:left w:val="none" w:sz="0" w:space="0" w:color="auto"/>
        <w:bottom w:val="none" w:sz="0" w:space="0" w:color="auto"/>
        <w:right w:val="none" w:sz="0" w:space="0" w:color="auto"/>
      </w:divBdr>
    </w:div>
    <w:div w:id="1646619663">
      <w:bodyDiv w:val="1"/>
      <w:marLeft w:val="0"/>
      <w:marRight w:val="0"/>
      <w:marTop w:val="0"/>
      <w:marBottom w:val="0"/>
      <w:divBdr>
        <w:top w:val="none" w:sz="0" w:space="0" w:color="auto"/>
        <w:left w:val="none" w:sz="0" w:space="0" w:color="auto"/>
        <w:bottom w:val="none" w:sz="0" w:space="0" w:color="auto"/>
        <w:right w:val="none" w:sz="0" w:space="0" w:color="auto"/>
      </w:divBdr>
    </w:div>
    <w:div w:id="1648627371">
      <w:bodyDiv w:val="1"/>
      <w:marLeft w:val="0"/>
      <w:marRight w:val="0"/>
      <w:marTop w:val="0"/>
      <w:marBottom w:val="0"/>
      <w:divBdr>
        <w:top w:val="none" w:sz="0" w:space="0" w:color="auto"/>
        <w:left w:val="none" w:sz="0" w:space="0" w:color="auto"/>
        <w:bottom w:val="none" w:sz="0" w:space="0" w:color="auto"/>
        <w:right w:val="none" w:sz="0" w:space="0" w:color="auto"/>
      </w:divBdr>
    </w:div>
    <w:div w:id="1651859044">
      <w:bodyDiv w:val="1"/>
      <w:marLeft w:val="0"/>
      <w:marRight w:val="0"/>
      <w:marTop w:val="0"/>
      <w:marBottom w:val="0"/>
      <w:divBdr>
        <w:top w:val="none" w:sz="0" w:space="0" w:color="auto"/>
        <w:left w:val="none" w:sz="0" w:space="0" w:color="auto"/>
        <w:bottom w:val="none" w:sz="0" w:space="0" w:color="auto"/>
        <w:right w:val="none" w:sz="0" w:space="0" w:color="auto"/>
      </w:divBdr>
    </w:div>
    <w:div w:id="1653413046">
      <w:bodyDiv w:val="1"/>
      <w:marLeft w:val="0"/>
      <w:marRight w:val="0"/>
      <w:marTop w:val="0"/>
      <w:marBottom w:val="0"/>
      <w:divBdr>
        <w:top w:val="none" w:sz="0" w:space="0" w:color="auto"/>
        <w:left w:val="none" w:sz="0" w:space="0" w:color="auto"/>
        <w:bottom w:val="none" w:sz="0" w:space="0" w:color="auto"/>
        <w:right w:val="none" w:sz="0" w:space="0" w:color="auto"/>
      </w:divBdr>
    </w:div>
    <w:div w:id="1653870729">
      <w:bodyDiv w:val="1"/>
      <w:marLeft w:val="0"/>
      <w:marRight w:val="0"/>
      <w:marTop w:val="0"/>
      <w:marBottom w:val="0"/>
      <w:divBdr>
        <w:top w:val="none" w:sz="0" w:space="0" w:color="auto"/>
        <w:left w:val="none" w:sz="0" w:space="0" w:color="auto"/>
        <w:bottom w:val="none" w:sz="0" w:space="0" w:color="auto"/>
        <w:right w:val="none" w:sz="0" w:space="0" w:color="auto"/>
      </w:divBdr>
    </w:div>
    <w:div w:id="1657106511">
      <w:bodyDiv w:val="1"/>
      <w:marLeft w:val="0"/>
      <w:marRight w:val="0"/>
      <w:marTop w:val="0"/>
      <w:marBottom w:val="0"/>
      <w:divBdr>
        <w:top w:val="none" w:sz="0" w:space="0" w:color="auto"/>
        <w:left w:val="none" w:sz="0" w:space="0" w:color="auto"/>
        <w:bottom w:val="none" w:sz="0" w:space="0" w:color="auto"/>
        <w:right w:val="none" w:sz="0" w:space="0" w:color="auto"/>
      </w:divBdr>
    </w:div>
    <w:div w:id="1664315292">
      <w:bodyDiv w:val="1"/>
      <w:marLeft w:val="0"/>
      <w:marRight w:val="0"/>
      <w:marTop w:val="0"/>
      <w:marBottom w:val="0"/>
      <w:divBdr>
        <w:top w:val="none" w:sz="0" w:space="0" w:color="auto"/>
        <w:left w:val="none" w:sz="0" w:space="0" w:color="auto"/>
        <w:bottom w:val="none" w:sz="0" w:space="0" w:color="auto"/>
        <w:right w:val="none" w:sz="0" w:space="0" w:color="auto"/>
      </w:divBdr>
    </w:div>
    <w:div w:id="1668748914">
      <w:bodyDiv w:val="1"/>
      <w:marLeft w:val="0"/>
      <w:marRight w:val="0"/>
      <w:marTop w:val="0"/>
      <w:marBottom w:val="0"/>
      <w:divBdr>
        <w:top w:val="none" w:sz="0" w:space="0" w:color="auto"/>
        <w:left w:val="none" w:sz="0" w:space="0" w:color="auto"/>
        <w:bottom w:val="none" w:sz="0" w:space="0" w:color="auto"/>
        <w:right w:val="none" w:sz="0" w:space="0" w:color="auto"/>
      </w:divBdr>
    </w:div>
    <w:div w:id="1669022443">
      <w:bodyDiv w:val="1"/>
      <w:marLeft w:val="0"/>
      <w:marRight w:val="0"/>
      <w:marTop w:val="0"/>
      <w:marBottom w:val="0"/>
      <w:divBdr>
        <w:top w:val="none" w:sz="0" w:space="0" w:color="auto"/>
        <w:left w:val="none" w:sz="0" w:space="0" w:color="auto"/>
        <w:bottom w:val="none" w:sz="0" w:space="0" w:color="auto"/>
        <w:right w:val="none" w:sz="0" w:space="0" w:color="auto"/>
      </w:divBdr>
    </w:div>
    <w:div w:id="1671446001">
      <w:bodyDiv w:val="1"/>
      <w:marLeft w:val="0"/>
      <w:marRight w:val="0"/>
      <w:marTop w:val="0"/>
      <w:marBottom w:val="0"/>
      <w:divBdr>
        <w:top w:val="none" w:sz="0" w:space="0" w:color="auto"/>
        <w:left w:val="none" w:sz="0" w:space="0" w:color="auto"/>
        <w:bottom w:val="none" w:sz="0" w:space="0" w:color="auto"/>
        <w:right w:val="none" w:sz="0" w:space="0" w:color="auto"/>
      </w:divBdr>
    </w:div>
    <w:div w:id="1671829788">
      <w:bodyDiv w:val="1"/>
      <w:marLeft w:val="0"/>
      <w:marRight w:val="0"/>
      <w:marTop w:val="0"/>
      <w:marBottom w:val="0"/>
      <w:divBdr>
        <w:top w:val="none" w:sz="0" w:space="0" w:color="auto"/>
        <w:left w:val="none" w:sz="0" w:space="0" w:color="auto"/>
        <w:bottom w:val="none" w:sz="0" w:space="0" w:color="auto"/>
        <w:right w:val="none" w:sz="0" w:space="0" w:color="auto"/>
      </w:divBdr>
    </w:div>
    <w:div w:id="1676298772">
      <w:bodyDiv w:val="1"/>
      <w:marLeft w:val="0"/>
      <w:marRight w:val="0"/>
      <w:marTop w:val="0"/>
      <w:marBottom w:val="0"/>
      <w:divBdr>
        <w:top w:val="none" w:sz="0" w:space="0" w:color="auto"/>
        <w:left w:val="none" w:sz="0" w:space="0" w:color="auto"/>
        <w:bottom w:val="none" w:sz="0" w:space="0" w:color="auto"/>
        <w:right w:val="none" w:sz="0" w:space="0" w:color="auto"/>
      </w:divBdr>
    </w:div>
    <w:div w:id="1676685305">
      <w:bodyDiv w:val="1"/>
      <w:marLeft w:val="0"/>
      <w:marRight w:val="0"/>
      <w:marTop w:val="0"/>
      <w:marBottom w:val="0"/>
      <w:divBdr>
        <w:top w:val="none" w:sz="0" w:space="0" w:color="auto"/>
        <w:left w:val="none" w:sz="0" w:space="0" w:color="auto"/>
        <w:bottom w:val="none" w:sz="0" w:space="0" w:color="auto"/>
        <w:right w:val="none" w:sz="0" w:space="0" w:color="auto"/>
      </w:divBdr>
    </w:div>
    <w:div w:id="1681739676">
      <w:bodyDiv w:val="1"/>
      <w:marLeft w:val="0"/>
      <w:marRight w:val="0"/>
      <w:marTop w:val="0"/>
      <w:marBottom w:val="0"/>
      <w:divBdr>
        <w:top w:val="none" w:sz="0" w:space="0" w:color="auto"/>
        <w:left w:val="none" w:sz="0" w:space="0" w:color="auto"/>
        <w:bottom w:val="none" w:sz="0" w:space="0" w:color="auto"/>
        <w:right w:val="none" w:sz="0" w:space="0" w:color="auto"/>
      </w:divBdr>
    </w:div>
    <w:div w:id="1682505872">
      <w:bodyDiv w:val="1"/>
      <w:marLeft w:val="0"/>
      <w:marRight w:val="0"/>
      <w:marTop w:val="0"/>
      <w:marBottom w:val="0"/>
      <w:divBdr>
        <w:top w:val="none" w:sz="0" w:space="0" w:color="auto"/>
        <w:left w:val="none" w:sz="0" w:space="0" w:color="auto"/>
        <w:bottom w:val="none" w:sz="0" w:space="0" w:color="auto"/>
        <w:right w:val="none" w:sz="0" w:space="0" w:color="auto"/>
      </w:divBdr>
    </w:div>
    <w:div w:id="1683122695">
      <w:bodyDiv w:val="1"/>
      <w:marLeft w:val="0"/>
      <w:marRight w:val="0"/>
      <w:marTop w:val="0"/>
      <w:marBottom w:val="0"/>
      <w:divBdr>
        <w:top w:val="none" w:sz="0" w:space="0" w:color="auto"/>
        <w:left w:val="none" w:sz="0" w:space="0" w:color="auto"/>
        <w:bottom w:val="none" w:sz="0" w:space="0" w:color="auto"/>
        <w:right w:val="none" w:sz="0" w:space="0" w:color="auto"/>
      </w:divBdr>
    </w:div>
    <w:div w:id="1685938336">
      <w:bodyDiv w:val="1"/>
      <w:marLeft w:val="0"/>
      <w:marRight w:val="0"/>
      <w:marTop w:val="0"/>
      <w:marBottom w:val="0"/>
      <w:divBdr>
        <w:top w:val="none" w:sz="0" w:space="0" w:color="auto"/>
        <w:left w:val="none" w:sz="0" w:space="0" w:color="auto"/>
        <w:bottom w:val="none" w:sz="0" w:space="0" w:color="auto"/>
        <w:right w:val="none" w:sz="0" w:space="0" w:color="auto"/>
      </w:divBdr>
    </w:div>
    <w:div w:id="1686243678">
      <w:bodyDiv w:val="1"/>
      <w:marLeft w:val="0"/>
      <w:marRight w:val="0"/>
      <w:marTop w:val="0"/>
      <w:marBottom w:val="0"/>
      <w:divBdr>
        <w:top w:val="none" w:sz="0" w:space="0" w:color="auto"/>
        <w:left w:val="none" w:sz="0" w:space="0" w:color="auto"/>
        <w:bottom w:val="none" w:sz="0" w:space="0" w:color="auto"/>
        <w:right w:val="none" w:sz="0" w:space="0" w:color="auto"/>
      </w:divBdr>
    </w:div>
    <w:div w:id="1688874236">
      <w:bodyDiv w:val="1"/>
      <w:marLeft w:val="0"/>
      <w:marRight w:val="0"/>
      <w:marTop w:val="0"/>
      <w:marBottom w:val="0"/>
      <w:divBdr>
        <w:top w:val="none" w:sz="0" w:space="0" w:color="auto"/>
        <w:left w:val="none" w:sz="0" w:space="0" w:color="auto"/>
        <w:bottom w:val="none" w:sz="0" w:space="0" w:color="auto"/>
        <w:right w:val="none" w:sz="0" w:space="0" w:color="auto"/>
      </w:divBdr>
    </w:div>
    <w:div w:id="1689913786">
      <w:bodyDiv w:val="1"/>
      <w:marLeft w:val="0"/>
      <w:marRight w:val="0"/>
      <w:marTop w:val="0"/>
      <w:marBottom w:val="0"/>
      <w:divBdr>
        <w:top w:val="none" w:sz="0" w:space="0" w:color="auto"/>
        <w:left w:val="none" w:sz="0" w:space="0" w:color="auto"/>
        <w:bottom w:val="none" w:sz="0" w:space="0" w:color="auto"/>
        <w:right w:val="none" w:sz="0" w:space="0" w:color="auto"/>
      </w:divBdr>
    </w:div>
    <w:div w:id="1690567352">
      <w:bodyDiv w:val="1"/>
      <w:marLeft w:val="0"/>
      <w:marRight w:val="0"/>
      <w:marTop w:val="0"/>
      <w:marBottom w:val="0"/>
      <w:divBdr>
        <w:top w:val="none" w:sz="0" w:space="0" w:color="auto"/>
        <w:left w:val="none" w:sz="0" w:space="0" w:color="auto"/>
        <w:bottom w:val="none" w:sz="0" w:space="0" w:color="auto"/>
        <w:right w:val="none" w:sz="0" w:space="0" w:color="auto"/>
      </w:divBdr>
    </w:div>
    <w:div w:id="1695425552">
      <w:bodyDiv w:val="1"/>
      <w:marLeft w:val="0"/>
      <w:marRight w:val="0"/>
      <w:marTop w:val="0"/>
      <w:marBottom w:val="0"/>
      <w:divBdr>
        <w:top w:val="none" w:sz="0" w:space="0" w:color="auto"/>
        <w:left w:val="none" w:sz="0" w:space="0" w:color="auto"/>
        <w:bottom w:val="none" w:sz="0" w:space="0" w:color="auto"/>
        <w:right w:val="none" w:sz="0" w:space="0" w:color="auto"/>
      </w:divBdr>
    </w:div>
    <w:div w:id="1697729079">
      <w:bodyDiv w:val="1"/>
      <w:marLeft w:val="0"/>
      <w:marRight w:val="0"/>
      <w:marTop w:val="0"/>
      <w:marBottom w:val="0"/>
      <w:divBdr>
        <w:top w:val="none" w:sz="0" w:space="0" w:color="auto"/>
        <w:left w:val="none" w:sz="0" w:space="0" w:color="auto"/>
        <w:bottom w:val="none" w:sz="0" w:space="0" w:color="auto"/>
        <w:right w:val="none" w:sz="0" w:space="0" w:color="auto"/>
      </w:divBdr>
    </w:div>
    <w:div w:id="1699113349">
      <w:bodyDiv w:val="1"/>
      <w:marLeft w:val="0"/>
      <w:marRight w:val="0"/>
      <w:marTop w:val="0"/>
      <w:marBottom w:val="0"/>
      <w:divBdr>
        <w:top w:val="none" w:sz="0" w:space="0" w:color="auto"/>
        <w:left w:val="none" w:sz="0" w:space="0" w:color="auto"/>
        <w:bottom w:val="none" w:sz="0" w:space="0" w:color="auto"/>
        <w:right w:val="none" w:sz="0" w:space="0" w:color="auto"/>
      </w:divBdr>
    </w:div>
    <w:div w:id="1702590768">
      <w:bodyDiv w:val="1"/>
      <w:marLeft w:val="0"/>
      <w:marRight w:val="0"/>
      <w:marTop w:val="0"/>
      <w:marBottom w:val="0"/>
      <w:divBdr>
        <w:top w:val="none" w:sz="0" w:space="0" w:color="auto"/>
        <w:left w:val="none" w:sz="0" w:space="0" w:color="auto"/>
        <w:bottom w:val="none" w:sz="0" w:space="0" w:color="auto"/>
        <w:right w:val="none" w:sz="0" w:space="0" w:color="auto"/>
      </w:divBdr>
    </w:div>
    <w:div w:id="1703169601">
      <w:bodyDiv w:val="1"/>
      <w:marLeft w:val="0"/>
      <w:marRight w:val="0"/>
      <w:marTop w:val="0"/>
      <w:marBottom w:val="0"/>
      <w:divBdr>
        <w:top w:val="none" w:sz="0" w:space="0" w:color="auto"/>
        <w:left w:val="none" w:sz="0" w:space="0" w:color="auto"/>
        <w:bottom w:val="none" w:sz="0" w:space="0" w:color="auto"/>
        <w:right w:val="none" w:sz="0" w:space="0" w:color="auto"/>
      </w:divBdr>
    </w:div>
    <w:div w:id="1704597363">
      <w:bodyDiv w:val="1"/>
      <w:marLeft w:val="0"/>
      <w:marRight w:val="0"/>
      <w:marTop w:val="0"/>
      <w:marBottom w:val="0"/>
      <w:divBdr>
        <w:top w:val="none" w:sz="0" w:space="0" w:color="auto"/>
        <w:left w:val="none" w:sz="0" w:space="0" w:color="auto"/>
        <w:bottom w:val="none" w:sz="0" w:space="0" w:color="auto"/>
        <w:right w:val="none" w:sz="0" w:space="0" w:color="auto"/>
      </w:divBdr>
    </w:div>
    <w:div w:id="1708094647">
      <w:bodyDiv w:val="1"/>
      <w:marLeft w:val="0"/>
      <w:marRight w:val="0"/>
      <w:marTop w:val="0"/>
      <w:marBottom w:val="0"/>
      <w:divBdr>
        <w:top w:val="none" w:sz="0" w:space="0" w:color="auto"/>
        <w:left w:val="none" w:sz="0" w:space="0" w:color="auto"/>
        <w:bottom w:val="none" w:sz="0" w:space="0" w:color="auto"/>
        <w:right w:val="none" w:sz="0" w:space="0" w:color="auto"/>
      </w:divBdr>
    </w:div>
    <w:div w:id="1708720711">
      <w:bodyDiv w:val="1"/>
      <w:marLeft w:val="0"/>
      <w:marRight w:val="0"/>
      <w:marTop w:val="0"/>
      <w:marBottom w:val="0"/>
      <w:divBdr>
        <w:top w:val="none" w:sz="0" w:space="0" w:color="auto"/>
        <w:left w:val="none" w:sz="0" w:space="0" w:color="auto"/>
        <w:bottom w:val="none" w:sz="0" w:space="0" w:color="auto"/>
        <w:right w:val="none" w:sz="0" w:space="0" w:color="auto"/>
      </w:divBdr>
    </w:div>
    <w:div w:id="1716810465">
      <w:bodyDiv w:val="1"/>
      <w:marLeft w:val="0"/>
      <w:marRight w:val="0"/>
      <w:marTop w:val="0"/>
      <w:marBottom w:val="0"/>
      <w:divBdr>
        <w:top w:val="none" w:sz="0" w:space="0" w:color="auto"/>
        <w:left w:val="none" w:sz="0" w:space="0" w:color="auto"/>
        <w:bottom w:val="none" w:sz="0" w:space="0" w:color="auto"/>
        <w:right w:val="none" w:sz="0" w:space="0" w:color="auto"/>
      </w:divBdr>
      <w:divsChild>
        <w:div w:id="858590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589240">
      <w:bodyDiv w:val="1"/>
      <w:marLeft w:val="0"/>
      <w:marRight w:val="0"/>
      <w:marTop w:val="0"/>
      <w:marBottom w:val="0"/>
      <w:divBdr>
        <w:top w:val="none" w:sz="0" w:space="0" w:color="auto"/>
        <w:left w:val="none" w:sz="0" w:space="0" w:color="auto"/>
        <w:bottom w:val="none" w:sz="0" w:space="0" w:color="auto"/>
        <w:right w:val="none" w:sz="0" w:space="0" w:color="auto"/>
      </w:divBdr>
    </w:div>
    <w:div w:id="1720785292">
      <w:bodyDiv w:val="1"/>
      <w:marLeft w:val="0"/>
      <w:marRight w:val="0"/>
      <w:marTop w:val="0"/>
      <w:marBottom w:val="0"/>
      <w:divBdr>
        <w:top w:val="none" w:sz="0" w:space="0" w:color="auto"/>
        <w:left w:val="none" w:sz="0" w:space="0" w:color="auto"/>
        <w:bottom w:val="none" w:sz="0" w:space="0" w:color="auto"/>
        <w:right w:val="none" w:sz="0" w:space="0" w:color="auto"/>
      </w:divBdr>
    </w:div>
    <w:div w:id="1720931779">
      <w:bodyDiv w:val="1"/>
      <w:marLeft w:val="0"/>
      <w:marRight w:val="0"/>
      <w:marTop w:val="0"/>
      <w:marBottom w:val="0"/>
      <w:divBdr>
        <w:top w:val="none" w:sz="0" w:space="0" w:color="auto"/>
        <w:left w:val="none" w:sz="0" w:space="0" w:color="auto"/>
        <w:bottom w:val="none" w:sz="0" w:space="0" w:color="auto"/>
        <w:right w:val="none" w:sz="0" w:space="0" w:color="auto"/>
      </w:divBdr>
    </w:div>
    <w:div w:id="1722560348">
      <w:bodyDiv w:val="1"/>
      <w:marLeft w:val="0"/>
      <w:marRight w:val="0"/>
      <w:marTop w:val="0"/>
      <w:marBottom w:val="0"/>
      <w:divBdr>
        <w:top w:val="none" w:sz="0" w:space="0" w:color="auto"/>
        <w:left w:val="none" w:sz="0" w:space="0" w:color="auto"/>
        <w:bottom w:val="none" w:sz="0" w:space="0" w:color="auto"/>
        <w:right w:val="none" w:sz="0" w:space="0" w:color="auto"/>
      </w:divBdr>
    </w:div>
    <w:div w:id="1725056764">
      <w:bodyDiv w:val="1"/>
      <w:marLeft w:val="0"/>
      <w:marRight w:val="0"/>
      <w:marTop w:val="0"/>
      <w:marBottom w:val="0"/>
      <w:divBdr>
        <w:top w:val="none" w:sz="0" w:space="0" w:color="auto"/>
        <w:left w:val="none" w:sz="0" w:space="0" w:color="auto"/>
        <w:bottom w:val="none" w:sz="0" w:space="0" w:color="auto"/>
        <w:right w:val="none" w:sz="0" w:space="0" w:color="auto"/>
      </w:divBdr>
    </w:div>
    <w:div w:id="1725326515">
      <w:bodyDiv w:val="1"/>
      <w:marLeft w:val="0"/>
      <w:marRight w:val="0"/>
      <w:marTop w:val="0"/>
      <w:marBottom w:val="0"/>
      <w:divBdr>
        <w:top w:val="none" w:sz="0" w:space="0" w:color="auto"/>
        <w:left w:val="none" w:sz="0" w:space="0" w:color="auto"/>
        <w:bottom w:val="none" w:sz="0" w:space="0" w:color="auto"/>
        <w:right w:val="none" w:sz="0" w:space="0" w:color="auto"/>
      </w:divBdr>
    </w:div>
    <w:div w:id="1728336842">
      <w:bodyDiv w:val="1"/>
      <w:marLeft w:val="0"/>
      <w:marRight w:val="0"/>
      <w:marTop w:val="0"/>
      <w:marBottom w:val="0"/>
      <w:divBdr>
        <w:top w:val="none" w:sz="0" w:space="0" w:color="auto"/>
        <w:left w:val="none" w:sz="0" w:space="0" w:color="auto"/>
        <w:bottom w:val="none" w:sz="0" w:space="0" w:color="auto"/>
        <w:right w:val="none" w:sz="0" w:space="0" w:color="auto"/>
      </w:divBdr>
    </w:div>
    <w:div w:id="1731533457">
      <w:bodyDiv w:val="1"/>
      <w:marLeft w:val="0"/>
      <w:marRight w:val="0"/>
      <w:marTop w:val="0"/>
      <w:marBottom w:val="0"/>
      <w:divBdr>
        <w:top w:val="none" w:sz="0" w:space="0" w:color="auto"/>
        <w:left w:val="none" w:sz="0" w:space="0" w:color="auto"/>
        <w:bottom w:val="none" w:sz="0" w:space="0" w:color="auto"/>
        <w:right w:val="none" w:sz="0" w:space="0" w:color="auto"/>
      </w:divBdr>
    </w:div>
    <w:div w:id="1735615911">
      <w:bodyDiv w:val="1"/>
      <w:marLeft w:val="0"/>
      <w:marRight w:val="0"/>
      <w:marTop w:val="0"/>
      <w:marBottom w:val="0"/>
      <w:divBdr>
        <w:top w:val="none" w:sz="0" w:space="0" w:color="auto"/>
        <w:left w:val="none" w:sz="0" w:space="0" w:color="auto"/>
        <w:bottom w:val="none" w:sz="0" w:space="0" w:color="auto"/>
        <w:right w:val="none" w:sz="0" w:space="0" w:color="auto"/>
      </w:divBdr>
    </w:div>
    <w:div w:id="1741562332">
      <w:bodyDiv w:val="1"/>
      <w:marLeft w:val="0"/>
      <w:marRight w:val="0"/>
      <w:marTop w:val="0"/>
      <w:marBottom w:val="0"/>
      <w:divBdr>
        <w:top w:val="none" w:sz="0" w:space="0" w:color="auto"/>
        <w:left w:val="none" w:sz="0" w:space="0" w:color="auto"/>
        <w:bottom w:val="none" w:sz="0" w:space="0" w:color="auto"/>
        <w:right w:val="none" w:sz="0" w:space="0" w:color="auto"/>
      </w:divBdr>
    </w:div>
    <w:div w:id="1742562996">
      <w:bodyDiv w:val="1"/>
      <w:marLeft w:val="0"/>
      <w:marRight w:val="0"/>
      <w:marTop w:val="0"/>
      <w:marBottom w:val="0"/>
      <w:divBdr>
        <w:top w:val="none" w:sz="0" w:space="0" w:color="auto"/>
        <w:left w:val="none" w:sz="0" w:space="0" w:color="auto"/>
        <w:bottom w:val="none" w:sz="0" w:space="0" w:color="auto"/>
        <w:right w:val="none" w:sz="0" w:space="0" w:color="auto"/>
      </w:divBdr>
    </w:div>
    <w:div w:id="1743524321">
      <w:bodyDiv w:val="1"/>
      <w:marLeft w:val="0"/>
      <w:marRight w:val="0"/>
      <w:marTop w:val="0"/>
      <w:marBottom w:val="0"/>
      <w:divBdr>
        <w:top w:val="none" w:sz="0" w:space="0" w:color="auto"/>
        <w:left w:val="none" w:sz="0" w:space="0" w:color="auto"/>
        <w:bottom w:val="none" w:sz="0" w:space="0" w:color="auto"/>
        <w:right w:val="none" w:sz="0" w:space="0" w:color="auto"/>
      </w:divBdr>
    </w:div>
    <w:div w:id="1752892361">
      <w:bodyDiv w:val="1"/>
      <w:marLeft w:val="0"/>
      <w:marRight w:val="0"/>
      <w:marTop w:val="0"/>
      <w:marBottom w:val="0"/>
      <w:divBdr>
        <w:top w:val="none" w:sz="0" w:space="0" w:color="auto"/>
        <w:left w:val="none" w:sz="0" w:space="0" w:color="auto"/>
        <w:bottom w:val="none" w:sz="0" w:space="0" w:color="auto"/>
        <w:right w:val="none" w:sz="0" w:space="0" w:color="auto"/>
      </w:divBdr>
    </w:div>
    <w:div w:id="1753771072">
      <w:bodyDiv w:val="1"/>
      <w:marLeft w:val="0"/>
      <w:marRight w:val="0"/>
      <w:marTop w:val="0"/>
      <w:marBottom w:val="0"/>
      <w:divBdr>
        <w:top w:val="none" w:sz="0" w:space="0" w:color="auto"/>
        <w:left w:val="none" w:sz="0" w:space="0" w:color="auto"/>
        <w:bottom w:val="none" w:sz="0" w:space="0" w:color="auto"/>
        <w:right w:val="none" w:sz="0" w:space="0" w:color="auto"/>
      </w:divBdr>
    </w:div>
    <w:div w:id="1755204555">
      <w:bodyDiv w:val="1"/>
      <w:marLeft w:val="0"/>
      <w:marRight w:val="0"/>
      <w:marTop w:val="0"/>
      <w:marBottom w:val="0"/>
      <w:divBdr>
        <w:top w:val="none" w:sz="0" w:space="0" w:color="auto"/>
        <w:left w:val="none" w:sz="0" w:space="0" w:color="auto"/>
        <w:bottom w:val="none" w:sz="0" w:space="0" w:color="auto"/>
        <w:right w:val="none" w:sz="0" w:space="0" w:color="auto"/>
      </w:divBdr>
    </w:div>
    <w:div w:id="1757898702">
      <w:bodyDiv w:val="1"/>
      <w:marLeft w:val="0"/>
      <w:marRight w:val="0"/>
      <w:marTop w:val="0"/>
      <w:marBottom w:val="0"/>
      <w:divBdr>
        <w:top w:val="none" w:sz="0" w:space="0" w:color="auto"/>
        <w:left w:val="none" w:sz="0" w:space="0" w:color="auto"/>
        <w:bottom w:val="none" w:sz="0" w:space="0" w:color="auto"/>
        <w:right w:val="none" w:sz="0" w:space="0" w:color="auto"/>
      </w:divBdr>
    </w:div>
    <w:div w:id="1761486942">
      <w:bodyDiv w:val="1"/>
      <w:marLeft w:val="0"/>
      <w:marRight w:val="0"/>
      <w:marTop w:val="0"/>
      <w:marBottom w:val="0"/>
      <w:divBdr>
        <w:top w:val="none" w:sz="0" w:space="0" w:color="auto"/>
        <w:left w:val="none" w:sz="0" w:space="0" w:color="auto"/>
        <w:bottom w:val="none" w:sz="0" w:space="0" w:color="auto"/>
        <w:right w:val="none" w:sz="0" w:space="0" w:color="auto"/>
      </w:divBdr>
      <w:divsChild>
        <w:div w:id="1474789091">
          <w:blockQuote w:val="1"/>
          <w:marLeft w:val="720"/>
          <w:marRight w:val="720"/>
          <w:marTop w:val="100"/>
          <w:marBottom w:val="100"/>
          <w:divBdr>
            <w:top w:val="none" w:sz="0" w:space="0" w:color="auto"/>
            <w:left w:val="none" w:sz="0" w:space="0" w:color="auto"/>
            <w:bottom w:val="none" w:sz="0" w:space="0" w:color="auto"/>
            <w:right w:val="none" w:sz="0" w:space="0" w:color="auto"/>
          </w:divBdr>
        </w:div>
        <w:div w:id="5551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530862">
      <w:bodyDiv w:val="1"/>
      <w:marLeft w:val="0"/>
      <w:marRight w:val="0"/>
      <w:marTop w:val="0"/>
      <w:marBottom w:val="0"/>
      <w:divBdr>
        <w:top w:val="none" w:sz="0" w:space="0" w:color="auto"/>
        <w:left w:val="none" w:sz="0" w:space="0" w:color="auto"/>
        <w:bottom w:val="none" w:sz="0" w:space="0" w:color="auto"/>
        <w:right w:val="none" w:sz="0" w:space="0" w:color="auto"/>
      </w:divBdr>
    </w:div>
    <w:div w:id="1762867471">
      <w:bodyDiv w:val="1"/>
      <w:marLeft w:val="0"/>
      <w:marRight w:val="0"/>
      <w:marTop w:val="0"/>
      <w:marBottom w:val="0"/>
      <w:divBdr>
        <w:top w:val="none" w:sz="0" w:space="0" w:color="auto"/>
        <w:left w:val="none" w:sz="0" w:space="0" w:color="auto"/>
        <w:bottom w:val="none" w:sz="0" w:space="0" w:color="auto"/>
        <w:right w:val="none" w:sz="0" w:space="0" w:color="auto"/>
      </w:divBdr>
    </w:div>
    <w:div w:id="1765957438">
      <w:bodyDiv w:val="1"/>
      <w:marLeft w:val="0"/>
      <w:marRight w:val="0"/>
      <w:marTop w:val="0"/>
      <w:marBottom w:val="0"/>
      <w:divBdr>
        <w:top w:val="none" w:sz="0" w:space="0" w:color="auto"/>
        <w:left w:val="none" w:sz="0" w:space="0" w:color="auto"/>
        <w:bottom w:val="none" w:sz="0" w:space="0" w:color="auto"/>
        <w:right w:val="none" w:sz="0" w:space="0" w:color="auto"/>
      </w:divBdr>
    </w:div>
    <w:div w:id="1775595748">
      <w:bodyDiv w:val="1"/>
      <w:marLeft w:val="0"/>
      <w:marRight w:val="0"/>
      <w:marTop w:val="0"/>
      <w:marBottom w:val="0"/>
      <w:divBdr>
        <w:top w:val="none" w:sz="0" w:space="0" w:color="auto"/>
        <w:left w:val="none" w:sz="0" w:space="0" w:color="auto"/>
        <w:bottom w:val="none" w:sz="0" w:space="0" w:color="auto"/>
        <w:right w:val="none" w:sz="0" w:space="0" w:color="auto"/>
      </w:divBdr>
    </w:div>
    <w:div w:id="1778210727">
      <w:bodyDiv w:val="1"/>
      <w:marLeft w:val="0"/>
      <w:marRight w:val="0"/>
      <w:marTop w:val="0"/>
      <w:marBottom w:val="0"/>
      <w:divBdr>
        <w:top w:val="none" w:sz="0" w:space="0" w:color="auto"/>
        <w:left w:val="none" w:sz="0" w:space="0" w:color="auto"/>
        <w:bottom w:val="none" w:sz="0" w:space="0" w:color="auto"/>
        <w:right w:val="none" w:sz="0" w:space="0" w:color="auto"/>
      </w:divBdr>
    </w:div>
    <w:div w:id="1779324514">
      <w:bodyDiv w:val="1"/>
      <w:marLeft w:val="0"/>
      <w:marRight w:val="0"/>
      <w:marTop w:val="0"/>
      <w:marBottom w:val="0"/>
      <w:divBdr>
        <w:top w:val="none" w:sz="0" w:space="0" w:color="auto"/>
        <w:left w:val="none" w:sz="0" w:space="0" w:color="auto"/>
        <w:bottom w:val="none" w:sz="0" w:space="0" w:color="auto"/>
        <w:right w:val="none" w:sz="0" w:space="0" w:color="auto"/>
      </w:divBdr>
    </w:div>
    <w:div w:id="1785924013">
      <w:bodyDiv w:val="1"/>
      <w:marLeft w:val="0"/>
      <w:marRight w:val="0"/>
      <w:marTop w:val="0"/>
      <w:marBottom w:val="0"/>
      <w:divBdr>
        <w:top w:val="none" w:sz="0" w:space="0" w:color="auto"/>
        <w:left w:val="none" w:sz="0" w:space="0" w:color="auto"/>
        <w:bottom w:val="none" w:sz="0" w:space="0" w:color="auto"/>
        <w:right w:val="none" w:sz="0" w:space="0" w:color="auto"/>
      </w:divBdr>
    </w:div>
    <w:div w:id="1789928085">
      <w:bodyDiv w:val="1"/>
      <w:marLeft w:val="0"/>
      <w:marRight w:val="0"/>
      <w:marTop w:val="0"/>
      <w:marBottom w:val="0"/>
      <w:divBdr>
        <w:top w:val="none" w:sz="0" w:space="0" w:color="auto"/>
        <w:left w:val="none" w:sz="0" w:space="0" w:color="auto"/>
        <w:bottom w:val="none" w:sz="0" w:space="0" w:color="auto"/>
        <w:right w:val="none" w:sz="0" w:space="0" w:color="auto"/>
      </w:divBdr>
    </w:div>
    <w:div w:id="1793087320">
      <w:bodyDiv w:val="1"/>
      <w:marLeft w:val="0"/>
      <w:marRight w:val="0"/>
      <w:marTop w:val="0"/>
      <w:marBottom w:val="0"/>
      <w:divBdr>
        <w:top w:val="none" w:sz="0" w:space="0" w:color="auto"/>
        <w:left w:val="none" w:sz="0" w:space="0" w:color="auto"/>
        <w:bottom w:val="none" w:sz="0" w:space="0" w:color="auto"/>
        <w:right w:val="none" w:sz="0" w:space="0" w:color="auto"/>
      </w:divBdr>
    </w:div>
    <w:div w:id="1795369672">
      <w:bodyDiv w:val="1"/>
      <w:marLeft w:val="0"/>
      <w:marRight w:val="0"/>
      <w:marTop w:val="0"/>
      <w:marBottom w:val="0"/>
      <w:divBdr>
        <w:top w:val="none" w:sz="0" w:space="0" w:color="auto"/>
        <w:left w:val="none" w:sz="0" w:space="0" w:color="auto"/>
        <w:bottom w:val="none" w:sz="0" w:space="0" w:color="auto"/>
        <w:right w:val="none" w:sz="0" w:space="0" w:color="auto"/>
      </w:divBdr>
    </w:div>
    <w:div w:id="1800801241">
      <w:bodyDiv w:val="1"/>
      <w:marLeft w:val="0"/>
      <w:marRight w:val="0"/>
      <w:marTop w:val="0"/>
      <w:marBottom w:val="0"/>
      <w:divBdr>
        <w:top w:val="none" w:sz="0" w:space="0" w:color="auto"/>
        <w:left w:val="none" w:sz="0" w:space="0" w:color="auto"/>
        <w:bottom w:val="none" w:sz="0" w:space="0" w:color="auto"/>
        <w:right w:val="none" w:sz="0" w:space="0" w:color="auto"/>
      </w:divBdr>
    </w:div>
    <w:div w:id="1802576259">
      <w:bodyDiv w:val="1"/>
      <w:marLeft w:val="0"/>
      <w:marRight w:val="0"/>
      <w:marTop w:val="0"/>
      <w:marBottom w:val="0"/>
      <w:divBdr>
        <w:top w:val="none" w:sz="0" w:space="0" w:color="auto"/>
        <w:left w:val="none" w:sz="0" w:space="0" w:color="auto"/>
        <w:bottom w:val="none" w:sz="0" w:space="0" w:color="auto"/>
        <w:right w:val="none" w:sz="0" w:space="0" w:color="auto"/>
      </w:divBdr>
    </w:div>
    <w:div w:id="1802730292">
      <w:bodyDiv w:val="1"/>
      <w:marLeft w:val="0"/>
      <w:marRight w:val="0"/>
      <w:marTop w:val="0"/>
      <w:marBottom w:val="0"/>
      <w:divBdr>
        <w:top w:val="none" w:sz="0" w:space="0" w:color="auto"/>
        <w:left w:val="none" w:sz="0" w:space="0" w:color="auto"/>
        <w:bottom w:val="none" w:sz="0" w:space="0" w:color="auto"/>
        <w:right w:val="none" w:sz="0" w:space="0" w:color="auto"/>
      </w:divBdr>
    </w:div>
    <w:div w:id="1809203034">
      <w:bodyDiv w:val="1"/>
      <w:marLeft w:val="0"/>
      <w:marRight w:val="0"/>
      <w:marTop w:val="0"/>
      <w:marBottom w:val="0"/>
      <w:divBdr>
        <w:top w:val="none" w:sz="0" w:space="0" w:color="auto"/>
        <w:left w:val="none" w:sz="0" w:space="0" w:color="auto"/>
        <w:bottom w:val="none" w:sz="0" w:space="0" w:color="auto"/>
        <w:right w:val="none" w:sz="0" w:space="0" w:color="auto"/>
      </w:divBdr>
      <w:divsChild>
        <w:div w:id="56610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684779">
      <w:bodyDiv w:val="1"/>
      <w:marLeft w:val="0"/>
      <w:marRight w:val="0"/>
      <w:marTop w:val="0"/>
      <w:marBottom w:val="0"/>
      <w:divBdr>
        <w:top w:val="none" w:sz="0" w:space="0" w:color="auto"/>
        <w:left w:val="none" w:sz="0" w:space="0" w:color="auto"/>
        <w:bottom w:val="none" w:sz="0" w:space="0" w:color="auto"/>
        <w:right w:val="none" w:sz="0" w:space="0" w:color="auto"/>
      </w:divBdr>
    </w:div>
    <w:div w:id="1818300135">
      <w:bodyDiv w:val="1"/>
      <w:marLeft w:val="0"/>
      <w:marRight w:val="0"/>
      <w:marTop w:val="0"/>
      <w:marBottom w:val="0"/>
      <w:divBdr>
        <w:top w:val="none" w:sz="0" w:space="0" w:color="auto"/>
        <w:left w:val="none" w:sz="0" w:space="0" w:color="auto"/>
        <w:bottom w:val="none" w:sz="0" w:space="0" w:color="auto"/>
        <w:right w:val="none" w:sz="0" w:space="0" w:color="auto"/>
      </w:divBdr>
    </w:div>
    <w:div w:id="1820342631">
      <w:bodyDiv w:val="1"/>
      <w:marLeft w:val="0"/>
      <w:marRight w:val="0"/>
      <w:marTop w:val="0"/>
      <w:marBottom w:val="0"/>
      <w:divBdr>
        <w:top w:val="none" w:sz="0" w:space="0" w:color="auto"/>
        <w:left w:val="none" w:sz="0" w:space="0" w:color="auto"/>
        <w:bottom w:val="none" w:sz="0" w:space="0" w:color="auto"/>
        <w:right w:val="none" w:sz="0" w:space="0" w:color="auto"/>
      </w:divBdr>
    </w:div>
    <w:div w:id="1822693475">
      <w:bodyDiv w:val="1"/>
      <w:marLeft w:val="0"/>
      <w:marRight w:val="0"/>
      <w:marTop w:val="0"/>
      <w:marBottom w:val="0"/>
      <w:divBdr>
        <w:top w:val="none" w:sz="0" w:space="0" w:color="auto"/>
        <w:left w:val="none" w:sz="0" w:space="0" w:color="auto"/>
        <w:bottom w:val="none" w:sz="0" w:space="0" w:color="auto"/>
        <w:right w:val="none" w:sz="0" w:space="0" w:color="auto"/>
      </w:divBdr>
    </w:div>
    <w:div w:id="1824158928">
      <w:bodyDiv w:val="1"/>
      <w:marLeft w:val="0"/>
      <w:marRight w:val="0"/>
      <w:marTop w:val="0"/>
      <w:marBottom w:val="0"/>
      <w:divBdr>
        <w:top w:val="none" w:sz="0" w:space="0" w:color="auto"/>
        <w:left w:val="none" w:sz="0" w:space="0" w:color="auto"/>
        <w:bottom w:val="none" w:sz="0" w:space="0" w:color="auto"/>
        <w:right w:val="none" w:sz="0" w:space="0" w:color="auto"/>
      </w:divBdr>
    </w:div>
    <w:div w:id="1832209582">
      <w:bodyDiv w:val="1"/>
      <w:marLeft w:val="0"/>
      <w:marRight w:val="0"/>
      <w:marTop w:val="0"/>
      <w:marBottom w:val="0"/>
      <w:divBdr>
        <w:top w:val="none" w:sz="0" w:space="0" w:color="auto"/>
        <w:left w:val="none" w:sz="0" w:space="0" w:color="auto"/>
        <w:bottom w:val="none" w:sz="0" w:space="0" w:color="auto"/>
        <w:right w:val="none" w:sz="0" w:space="0" w:color="auto"/>
      </w:divBdr>
    </w:div>
    <w:div w:id="1833641154">
      <w:bodyDiv w:val="1"/>
      <w:marLeft w:val="0"/>
      <w:marRight w:val="0"/>
      <w:marTop w:val="0"/>
      <w:marBottom w:val="0"/>
      <w:divBdr>
        <w:top w:val="none" w:sz="0" w:space="0" w:color="auto"/>
        <w:left w:val="none" w:sz="0" w:space="0" w:color="auto"/>
        <w:bottom w:val="none" w:sz="0" w:space="0" w:color="auto"/>
        <w:right w:val="none" w:sz="0" w:space="0" w:color="auto"/>
      </w:divBdr>
    </w:div>
    <w:div w:id="1833789698">
      <w:bodyDiv w:val="1"/>
      <w:marLeft w:val="0"/>
      <w:marRight w:val="0"/>
      <w:marTop w:val="0"/>
      <w:marBottom w:val="0"/>
      <w:divBdr>
        <w:top w:val="none" w:sz="0" w:space="0" w:color="auto"/>
        <w:left w:val="none" w:sz="0" w:space="0" w:color="auto"/>
        <w:bottom w:val="none" w:sz="0" w:space="0" w:color="auto"/>
        <w:right w:val="none" w:sz="0" w:space="0" w:color="auto"/>
      </w:divBdr>
    </w:div>
    <w:div w:id="1836526204">
      <w:bodyDiv w:val="1"/>
      <w:marLeft w:val="0"/>
      <w:marRight w:val="0"/>
      <w:marTop w:val="0"/>
      <w:marBottom w:val="0"/>
      <w:divBdr>
        <w:top w:val="none" w:sz="0" w:space="0" w:color="auto"/>
        <w:left w:val="none" w:sz="0" w:space="0" w:color="auto"/>
        <w:bottom w:val="none" w:sz="0" w:space="0" w:color="auto"/>
        <w:right w:val="none" w:sz="0" w:space="0" w:color="auto"/>
      </w:divBdr>
    </w:div>
    <w:div w:id="1838183403">
      <w:bodyDiv w:val="1"/>
      <w:marLeft w:val="0"/>
      <w:marRight w:val="0"/>
      <w:marTop w:val="0"/>
      <w:marBottom w:val="0"/>
      <w:divBdr>
        <w:top w:val="none" w:sz="0" w:space="0" w:color="auto"/>
        <w:left w:val="none" w:sz="0" w:space="0" w:color="auto"/>
        <w:bottom w:val="none" w:sz="0" w:space="0" w:color="auto"/>
        <w:right w:val="none" w:sz="0" w:space="0" w:color="auto"/>
      </w:divBdr>
    </w:div>
    <w:div w:id="1841041342">
      <w:bodyDiv w:val="1"/>
      <w:marLeft w:val="0"/>
      <w:marRight w:val="0"/>
      <w:marTop w:val="0"/>
      <w:marBottom w:val="0"/>
      <w:divBdr>
        <w:top w:val="none" w:sz="0" w:space="0" w:color="auto"/>
        <w:left w:val="none" w:sz="0" w:space="0" w:color="auto"/>
        <w:bottom w:val="none" w:sz="0" w:space="0" w:color="auto"/>
        <w:right w:val="none" w:sz="0" w:space="0" w:color="auto"/>
      </w:divBdr>
    </w:div>
    <w:div w:id="1844976479">
      <w:bodyDiv w:val="1"/>
      <w:marLeft w:val="0"/>
      <w:marRight w:val="0"/>
      <w:marTop w:val="0"/>
      <w:marBottom w:val="0"/>
      <w:divBdr>
        <w:top w:val="none" w:sz="0" w:space="0" w:color="auto"/>
        <w:left w:val="none" w:sz="0" w:space="0" w:color="auto"/>
        <w:bottom w:val="none" w:sz="0" w:space="0" w:color="auto"/>
        <w:right w:val="none" w:sz="0" w:space="0" w:color="auto"/>
      </w:divBdr>
    </w:div>
    <w:div w:id="1845313598">
      <w:bodyDiv w:val="1"/>
      <w:marLeft w:val="0"/>
      <w:marRight w:val="0"/>
      <w:marTop w:val="0"/>
      <w:marBottom w:val="0"/>
      <w:divBdr>
        <w:top w:val="none" w:sz="0" w:space="0" w:color="auto"/>
        <w:left w:val="none" w:sz="0" w:space="0" w:color="auto"/>
        <w:bottom w:val="none" w:sz="0" w:space="0" w:color="auto"/>
        <w:right w:val="none" w:sz="0" w:space="0" w:color="auto"/>
      </w:divBdr>
    </w:div>
    <w:div w:id="1848325844">
      <w:bodyDiv w:val="1"/>
      <w:marLeft w:val="0"/>
      <w:marRight w:val="0"/>
      <w:marTop w:val="0"/>
      <w:marBottom w:val="0"/>
      <w:divBdr>
        <w:top w:val="none" w:sz="0" w:space="0" w:color="auto"/>
        <w:left w:val="none" w:sz="0" w:space="0" w:color="auto"/>
        <w:bottom w:val="none" w:sz="0" w:space="0" w:color="auto"/>
        <w:right w:val="none" w:sz="0" w:space="0" w:color="auto"/>
      </w:divBdr>
    </w:div>
    <w:div w:id="1848667677">
      <w:bodyDiv w:val="1"/>
      <w:marLeft w:val="0"/>
      <w:marRight w:val="0"/>
      <w:marTop w:val="0"/>
      <w:marBottom w:val="0"/>
      <w:divBdr>
        <w:top w:val="none" w:sz="0" w:space="0" w:color="auto"/>
        <w:left w:val="none" w:sz="0" w:space="0" w:color="auto"/>
        <w:bottom w:val="none" w:sz="0" w:space="0" w:color="auto"/>
        <w:right w:val="none" w:sz="0" w:space="0" w:color="auto"/>
      </w:divBdr>
    </w:div>
    <w:div w:id="1862086190">
      <w:bodyDiv w:val="1"/>
      <w:marLeft w:val="0"/>
      <w:marRight w:val="0"/>
      <w:marTop w:val="0"/>
      <w:marBottom w:val="0"/>
      <w:divBdr>
        <w:top w:val="none" w:sz="0" w:space="0" w:color="auto"/>
        <w:left w:val="none" w:sz="0" w:space="0" w:color="auto"/>
        <w:bottom w:val="none" w:sz="0" w:space="0" w:color="auto"/>
        <w:right w:val="none" w:sz="0" w:space="0" w:color="auto"/>
      </w:divBdr>
    </w:div>
    <w:div w:id="1862237962">
      <w:bodyDiv w:val="1"/>
      <w:marLeft w:val="0"/>
      <w:marRight w:val="0"/>
      <w:marTop w:val="0"/>
      <w:marBottom w:val="0"/>
      <w:divBdr>
        <w:top w:val="none" w:sz="0" w:space="0" w:color="auto"/>
        <w:left w:val="none" w:sz="0" w:space="0" w:color="auto"/>
        <w:bottom w:val="none" w:sz="0" w:space="0" w:color="auto"/>
        <w:right w:val="none" w:sz="0" w:space="0" w:color="auto"/>
      </w:divBdr>
    </w:div>
    <w:div w:id="1863519035">
      <w:bodyDiv w:val="1"/>
      <w:marLeft w:val="0"/>
      <w:marRight w:val="0"/>
      <w:marTop w:val="0"/>
      <w:marBottom w:val="0"/>
      <w:divBdr>
        <w:top w:val="none" w:sz="0" w:space="0" w:color="auto"/>
        <w:left w:val="none" w:sz="0" w:space="0" w:color="auto"/>
        <w:bottom w:val="none" w:sz="0" w:space="0" w:color="auto"/>
        <w:right w:val="none" w:sz="0" w:space="0" w:color="auto"/>
      </w:divBdr>
    </w:div>
    <w:div w:id="1865167887">
      <w:bodyDiv w:val="1"/>
      <w:marLeft w:val="0"/>
      <w:marRight w:val="0"/>
      <w:marTop w:val="0"/>
      <w:marBottom w:val="0"/>
      <w:divBdr>
        <w:top w:val="none" w:sz="0" w:space="0" w:color="auto"/>
        <w:left w:val="none" w:sz="0" w:space="0" w:color="auto"/>
        <w:bottom w:val="none" w:sz="0" w:space="0" w:color="auto"/>
        <w:right w:val="none" w:sz="0" w:space="0" w:color="auto"/>
      </w:divBdr>
    </w:div>
    <w:div w:id="1870793777">
      <w:bodyDiv w:val="1"/>
      <w:marLeft w:val="0"/>
      <w:marRight w:val="0"/>
      <w:marTop w:val="0"/>
      <w:marBottom w:val="0"/>
      <w:divBdr>
        <w:top w:val="none" w:sz="0" w:space="0" w:color="auto"/>
        <w:left w:val="none" w:sz="0" w:space="0" w:color="auto"/>
        <w:bottom w:val="none" w:sz="0" w:space="0" w:color="auto"/>
        <w:right w:val="none" w:sz="0" w:space="0" w:color="auto"/>
      </w:divBdr>
    </w:div>
    <w:div w:id="1874148411">
      <w:bodyDiv w:val="1"/>
      <w:marLeft w:val="0"/>
      <w:marRight w:val="0"/>
      <w:marTop w:val="0"/>
      <w:marBottom w:val="0"/>
      <w:divBdr>
        <w:top w:val="none" w:sz="0" w:space="0" w:color="auto"/>
        <w:left w:val="none" w:sz="0" w:space="0" w:color="auto"/>
        <w:bottom w:val="none" w:sz="0" w:space="0" w:color="auto"/>
        <w:right w:val="none" w:sz="0" w:space="0" w:color="auto"/>
      </w:divBdr>
    </w:div>
    <w:div w:id="1875266037">
      <w:bodyDiv w:val="1"/>
      <w:marLeft w:val="0"/>
      <w:marRight w:val="0"/>
      <w:marTop w:val="0"/>
      <w:marBottom w:val="0"/>
      <w:divBdr>
        <w:top w:val="none" w:sz="0" w:space="0" w:color="auto"/>
        <w:left w:val="none" w:sz="0" w:space="0" w:color="auto"/>
        <w:bottom w:val="none" w:sz="0" w:space="0" w:color="auto"/>
        <w:right w:val="none" w:sz="0" w:space="0" w:color="auto"/>
      </w:divBdr>
    </w:div>
    <w:div w:id="1875802027">
      <w:bodyDiv w:val="1"/>
      <w:marLeft w:val="0"/>
      <w:marRight w:val="0"/>
      <w:marTop w:val="0"/>
      <w:marBottom w:val="0"/>
      <w:divBdr>
        <w:top w:val="none" w:sz="0" w:space="0" w:color="auto"/>
        <w:left w:val="none" w:sz="0" w:space="0" w:color="auto"/>
        <w:bottom w:val="none" w:sz="0" w:space="0" w:color="auto"/>
        <w:right w:val="none" w:sz="0" w:space="0" w:color="auto"/>
      </w:divBdr>
      <w:divsChild>
        <w:div w:id="709499735">
          <w:marLeft w:val="0"/>
          <w:marRight w:val="0"/>
          <w:marTop w:val="0"/>
          <w:marBottom w:val="0"/>
          <w:divBdr>
            <w:top w:val="none" w:sz="0" w:space="0" w:color="auto"/>
            <w:left w:val="none" w:sz="0" w:space="0" w:color="auto"/>
            <w:bottom w:val="none" w:sz="0" w:space="0" w:color="auto"/>
            <w:right w:val="none" w:sz="0" w:space="0" w:color="auto"/>
          </w:divBdr>
          <w:divsChild>
            <w:div w:id="1334139281">
              <w:marLeft w:val="0"/>
              <w:marRight w:val="0"/>
              <w:marTop w:val="0"/>
              <w:marBottom w:val="0"/>
              <w:divBdr>
                <w:top w:val="none" w:sz="0" w:space="0" w:color="auto"/>
                <w:left w:val="none" w:sz="0" w:space="0" w:color="auto"/>
                <w:bottom w:val="none" w:sz="0" w:space="0" w:color="auto"/>
                <w:right w:val="none" w:sz="0" w:space="0" w:color="auto"/>
              </w:divBdr>
            </w:div>
            <w:div w:id="1457717509">
              <w:marLeft w:val="0"/>
              <w:marRight w:val="0"/>
              <w:marTop w:val="0"/>
              <w:marBottom w:val="0"/>
              <w:divBdr>
                <w:top w:val="none" w:sz="0" w:space="0" w:color="auto"/>
                <w:left w:val="none" w:sz="0" w:space="0" w:color="auto"/>
                <w:bottom w:val="none" w:sz="0" w:space="0" w:color="auto"/>
                <w:right w:val="none" w:sz="0" w:space="0" w:color="auto"/>
              </w:divBdr>
              <w:divsChild>
                <w:div w:id="6828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0799">
      <w:bodyDiv w:val="1"/>
      <w:marLeft w:val="0"/>
      <w:marRight w:val="0"/>
      <w:marTop w:val="0"/>
      <w:marBottom w:val="0"/>
      <w:divBdr>
        <w:top w:val="none" w:sz="0" w:space="0" w:color="auto"/>
        <w:left w:val="none" w:sz="0" w:space="0" w:color="auto"/>
        <w:bottom w:val="none" w:sz="0" w:space="0" w:color="auto"/>
        <w:right w:val="none" w:sz="0" w:space="0" w:color="auto"/>
      </w:divBdr>
    </w:div>
    <w:div w:id="1880631183">
      <w:bodyDiv w:val="1"/>
      <w:marLeft w:val="0"/>
      <w:marRight w:val="0"/>
      <w:marTop w:val="0"/>
      <w:marBottom w:val="0"/>
      <w:divBdr>
        <w:top w:val="none" w:sz="0" w:space="0" w:color="auto"/>
        <w:left w:val="none" w:sz="0" w:space="0" w:color="auto"/>
        <w:bottom w:val="none" w:sz="0" w:space="0" w:color="auto"/>
        <w:right w:val="none" w:sz="0" w:space="0" w:color="auto"/>
      </w:divBdr>
    </w:div>
    <w:div w:id="1881161126">
      <w:bodyDiv w:val="1"/>
      <w:marLeft w:val="0"/>
      <w:marRight w:val="0"/>
      <w:marTop w:val="0"/>
      <w:marBottom w:val="0"/>
      <w:divBdr>
        <w:top w:val="none" w:sz="0" w:space="0" w:color="auto"/>
        <w:left w:val="none" w:sz="0" w:space="0" w:color="auto"/>
        <w:bottom w:val="none" w:sz="0" w:space="0" w:color="auto"/>
        <w:right w:val="none" w:sz="0" w:space="0" w:color="auto"/>
      </w:divBdr>
    </w:div>
    <w:div w:id="1883512807">
      <w:bodyDiv w:val="1"/>
      <w:marLeft w:val="0"/>
      <w:marRight w:val="0"/>
      <w:marTop w:val="0"/>
      <w:marBottom w:val="0"/>
      <w:divBdr>
        <w:top w:val="none" w:sz="0" w:space="0" w:color="auto"/>
        <w:left w:val="none" w:sz="0" w:space="0" w:color="auto"/>
        <w:bottom w:val="none" w:sz="0" w:space="0" w:color="auto"/>
        <w:right w:val="none" w:sz="0" w:space="0" w:color="auto"/>
      </w:divBdr>
    </w:div>
    <w:div w:id="1884049637">
      <w:bodyDiv w:val="1"/>
      <w:marLeft w:val="0"/>
      <w:marRight w:val="0"/>
      <w:marTop w:val="0"/>
      <w:marBottom w:val="0"/>
      <w:divBdr>
        <w:top w:val="none" w:sz="0" w:space="0" w:color="auto"/>
        <w:left w:val="none" w:sz="0" w:space="0" w:color="auto"/>
        <w:bottom w:val="none" w:sz="0" w:space="0" w:color="auto"/>
        <w:right w:val="none" w:sz="0" w:space="0" w:color="auto"/>
      </w:divBdr>
    </w:div>
    <w:div w:id="1889411020">
      <w:bodyDiv w:val="1"/>
      <w:marLeft w:val="0"/>
      <w:marRight w:val="0"/>
      <w:marTop w:val="0"/>
      <w:marBottom w:val="0"/>
      <w:divBdr>
        <w:top w:val="none" w:sz="0" w:space="0" w:color="auto"/>
        <w:left w:val="none" w:sz="0" w:space="0" w:color="auto"/>
        <w:bottom w:val="none" w:sz="0" w:space="0" w:color="auto"/>
        <w:right w:val="none" w:sz="0" w:space="0" w:color="auto"/>
      </w:divBdr>
    </w:div>
    <w:div w:id="1889801682">
      <w:bodyDiv w:val="1"/>
      <w:marLeft w:val="0"/>
      <w:marRight w:val="0"/>
      <w:marTop w:val="0"/>
      <w:marBottom w:val="0"/>
      <w:divBdr>
        <w:top w:val="none" w:sz="0" w:space="0" w:color="auto"/>
        <w:left w:val="none" w:sz="0" w:space="0" w:color="auto"/>
        <w:bottom w:val="none" w:sz="0" w:space="0" w:color="auto"/>
        <w:right w:val="none" w:sz="0" w:space="0" w:color="auto"/>
      </w:divBdr>
    </w:div>
    <w:div w:id="1890608642">
      <w:bodyDiv w:val="1"/>
      <w:marLeft w:val="0"/>
      <w:marRight w:val="0"/>
      <w:marTop w:val="0"/>
      <w:marBottom w:val="0"/>
      <w:divBdr>
        <w:top w:val="none" w:sz="0" w:space="0" w:color="auto"/>
        <w:left w:val="none" w:sz="0" w:space="0" w:color="auto"/>
        <w:bottom w:val="none" w:sz="0" w:space="0" w:color="auto"/>
        <w:right w:val="none" w:sz="0" w:space="0" w:color="auto"/>
      </w:divBdr>
    </w:div>
    <w:div w:id="1892224295">
      <w:bodyDiv w:val="1"/>
      <w:marLeft w:val="0"/>
      <w:marRight w:val="0"/>
      <w:marTop w:val="0"/>
      <w:marBottom w:val="0"/>
      <w:divBdr>
        <w:top w:val="none" w:sz="0" w:space="0" w:color="auto"/>
        <w:left w:val="none" w:sz="0" w:space="0" w:color="auto"/>
        <w:bottom w:val="none" w:sz="0" w:space="0" w:color="auto"/>
        <w:right w:val="none" w:sz="0" w:space="0" w:color="auto"/>
      </w:divBdr>
    </w:div>
    <w:div w:id="1896088745">
      <w:bodyDiv w:val="1"/>
      <w:marLeft w:val="0"/>
      <w:marRight w:val="0"/>
      <w:marTop w:val="0"/>
      <w:marBottom w:val="0"/>
      <w:divBdr>
        <w:top w:val="none" w:sz="0" w:space="0" w:color="auto"/>
        <w:left w:val="none" w:sz="0" w:space="0" w:color="auto"/>
        <w:bottom w:val="none" w:sz="0" w:space="0" w:color="auto"/>
        <w:right w:val="none" w:sz="0" w:space="0" w:color="auto"/>
      </w:divBdr>
    </w:div>
    <w:div w:id="1906136414">
      <w:bodyDiv w:val="1"/>
      <w:marLeft w:val="0"/>
      <w:marRight w:val="0"/>
      <w:marTop w:val="0"/>
      <w:marBottom w:val="0"/>
      <w:divBdr>
        <w:top w:val="none" w:sz="0" w:space="0" w:color="auto"/>
        <w:left w:val="none" w:sz="0" w:space="0" w:color="auto"/>
        <w:bottom w:val="none" w:sz="0" w:space="0" w:color="auto"/>
        <w:right w:val="none" w:sz="0" w:space="0" w:color="auto"/>
      </w:divBdr>
    </w:div>
    <w:div w:id="1906798674">
      <w:bodyDiv w:val="1"/>
      <w:marLeft w:val="0"/>
      <w:marRight w:val="0"/>
      <w:marTop w:val="0"/>
      <w:marBottom w:val="0"/>
      <w:divBdr>
        <w:top w:val="none" w:sz="0" w:space="0" w:color="auto"/>
        <w:left w:val="none" w:sz="0" w:space="0" w:color="auto"/>
        <w:bottom w:val="none" w:sz="0" w:space="0" w:color="auto"/>
        <w:right w:val="none" w:sz="0" w:space="0" w:color="auto"/>
      </w:divBdr>
    </w:div>
    <w:div w:id="1907959803">
      <w:bodyDiv w:val="1"/>
      <w:marLeft w:val="0"/>
      <w:marRight w:val="0"/>
      <w:marTop w:val="0"/>
      <w:marBottom w:val="0"/>
      <w:divBdr>
        <w:top w:val="none" w:sz="0" w:space="0" w:color="auto"/>
        <w:left w:val="none" w:sz="0" w:space="0" w:color="auto"/>
        <w:bottom w:val="none" w:sz="0" w:space="0" w:color="auto"/>
        <w:right w:val="none" w:sz="0" w:space="0" w:color="auto"/>
      </w:divBdr>
    </w:div>
    <w:div w:id="1908030482">
      <w:bodyDiv w:val="1"/>
      <w:marLeft w:val="0"/>
      <w:marRight w:val="0"/>
      <w:marTop w:val="0"/>
      <w:marBottom w:val="0"/>
      <w:divBdr>
        <w:top w:val="none" w:sz="0" w:space="0" w:color="auto"/>
        <w:left w:val="none" w:sz="0" w:space="0" w:color="auto"/>
        <w:bottom w:val="none" w:sz="0" w:space="0" w:color="auto"/>
        <w:right w:val="none" w:sz="0" w:space="0" w:color="auto"/>
      </w:divBdr>
    </w:div>
    <w:div w:id="1908757840">
      <w:bodyDiv w:val="1"/>
      <w:marLeft w:val="0"/>
      <w:marRight w:val="0"/>
      <w:marTop w:val="0"/>
      <w:marBottom w:val="0"/>
      <w:divBdr>
        <w:top w:val="none" w:sz="0" w:space="0" w:color="auto"/>
        <w:left w:val="none" w:sz="0" w:space="0" w:color="auto"/>
        <w:bottom w:val="none" w:sz="0" w:space="0" w:color="auto"/>
        <w:right w:val="none" w:sz="0" w:space="0" w:color="auto"/>
      </w:divBdr>
    </w:div>
    <w:div w:id="1909681830">
      <w:bodyDiv w:val="1"/>
      <w:marLeft w:val="0"/>
      <w:marRight w:val="0"/>
      <w:marTop w:val="0"/>
      <w:marBottom w:val="0"/>
      <w:divBdr>
        <w:top w:val="none" w:sz="0" w:space="0" w:color="auto"/>
        <w:left w:val="none" w:sz="0" w:space="0" w:color="auto"/>
        <w:bottom w:val="none" w:sz="0" w:space="0" w:color="auto"/>
        <w:right w:val="none" w:sz="0" w:space="0" w:color="auto"/>
      </w:divBdr>
    </w:div>
    <w:div w:id="1912618641">
      <w:bodyDiv w:val="1"/>
      <w:marLeft w:val="0"/>
      <w:marRight w:val="0"/>
      <w:marTop w:val="0"/>
      <w:marBottom w:val="0"/>
      <w:divBdr>
        <w:top w:val="none" w:sz="0" w:space="0" w:color="auto"/>
        <w:left w:val="none" w:sz="0" w:space="0" w:color="auto"/>
        <w:bottom w:val="none" w:sz="0" w:space="0" w:color="auto"/>
        <w:right w:val="none" w:sz="0" w:space="0" w:color="auto"/>
      </w:divBdr>
    </w:div>
    <w:div w:id="1914311031">
      <w:bodyDiv w:val="1"/>
      <w:marLeft w:val="0"/>
      <w:marRight w:val="0"/>
      <w:marTop w:val="0"/>
      <w:marBottom w:val="0"/>
      <w:divBdr>
        <w:top w:val="none" w:sz="0" w:space="0" w:color="auto"/>
        <w:left w:val="none" w:sz="0" w:space="0" w:color="auto"/>
        <w:bottom w:val="none" w:sz="0" w:space="0" w:color="auto"/>
        <w:right w:val="none" w:sz="0" w:space="0" w:color="auto"/>
      </w:divBdr>
    </w:div>
    <w:div w:id="1916939259">
      <w:bodyDiv w:val="1"/>
      <w:marLeft w:val="0"/>
      <w:marRight w:val="0"/>
      <w:marTop w:val="0"/>
      <w:marBottom w:val="0"/>
      <w:divBdr>
        <w:top w:val="none" w:sz="0" w:space="0" w:color="auto"/>
        <w:left w:val="none" w:sz="0" w:space="0" w:color="auto"/>
        <w:bottom w:val="none" w:sz="0" w:space="0" w:color="auto"/>
        <w:right w:val="none" w:sz="0" w:space="0" w:color="auto"/>
      </w:divBdr>
    </w:div>
    <w:div w:id="1917663489">
      <w:bodyDiv w:val="1"/>
      <w:marLeft w:val="0"/>
      <w:marRight w:val="0"/>
      <w:marTop w:val="0"/>
      <w:marBottom w:val="0"/>
      <w:divBdr>
        <w:top w:val="none" w:sz="0" w:space="0" w:color="auto"/>
        <w:left w:val="none" w:sz="0" w:space="0" w:color="auto"/>
        <w:bottom w:val="none" w:sz="0" w:space="0" w:color="auto"/>
        <w:right w:val="none" w:sz="0" w:space="0" w:color="auto"/>
      </w:divBdr>
    </w:div>
    <w:div w:id="1922055673">
      <w:bodyDiv w:val="1"/>
      <w:marLeft w:val="0"/>
      <w:marRight w:val="0"/>
      <w:marTop w:val="0"/>
      <w:marBottom w:val="0"/>
      <w:divBdr>
        <w:top w:val="none" w:sz="0" w:space="0" w:color="auto"/>
        <w:left w:val="none" w:sz="0" w:space="0" w:color="auto"/>
        <w:bottom w:val="none" w:sz="0" w:space="0" w:color="auto"/>
        <w:right w:val="none" w:sz="0" w:space="0" w:color="auto"/>
      </w:divBdr>
    </w:div>
    <w:div w:id="1925145881">
      <w:bodyDiv w:val="1"/>
      <w:marLeft w:val="0"/>
      <w:marRight w:val="0"/>
      <w:marTop w:val="0"/>
      <w:marBottom w:val="0"/>
      <w:divBdr>
        <w:top w:val="none" w:sz="0" w:space="0" w:color="auto"/>
        <w:left w:val="none" w:sz="0" w:space="0" w:color="auto"/>
        <w:bottom w:val="none" w:sz="0" w:space="0" w:color="auto"/>
        <w:right w:val="none" w:sz="0" w:space="0" w:color="auto"/>
      </w:divBdr>
    </w:div>
    <w:div w:id="1926719113">
      <w:bodyDiv w:val="1"/>
      <w:marLeft w:val="0"/>
      <w:marRight w:val="0"/>
      <w:marTop w:val="0"/>
      <w:marBottom w:val="0"/>
      <w:divBdr>
        <w:top w:val="none" w:sz="0" w:space="0" w:color="auto"/>
        <w:left w:val="none" w:sz="0" w:space="0" w:color="auto"/>
        <w:bottom w:val="none" w:sz="0" w:space="0" w:color="auto"/>
        <w:right w:val="none" w:sz="0" w:space="0" w:color="auto"/>
      </w:divBdr>
    </w:div>
    <w:div w:id="1931548974">
      <w:bodyDiv w:val="1"/>
      <w:marLeft w:val="0"/>
      <w:marRight w:val="0"/>
      <w:marTop w:val="0"/>
      <w:marBottom w:val="0"/>
      <w:divBdr>
        <w:top w:val="none" w:sz="0" w:space="0" w:color="auto"/>
        <w:left w:val="none" w:sz="0" w:space="0" w:color="auto"/>
        <w:bottom w:val="none" w:sz="0" w:space="0" w:color="auto"/>
        <w:right w:val="none" w:sz="0" w:space="0" w:color="auto"/>
      </w:divBdr>
    </w:div>
    <w:div w:id="1934048166">
      <w:bodyDiv w:val="1"/>
      <w:marLeft w:val="0"/>
      <w:marRight w:val="0"/>
      <w:marTop w:val="0"/>
      <w:marBottom w:val="0"/>
      <w:divBdr>
        <w:top w:val="none" w:sz="0" w:space="0" w:color="auto"/>
        <w:left w:val="none" w:sz="0" w:space="0" w:color="auto"/>
        <w:bottom w:val="none" w:sz="0" w:space="0" w:color="auto"/>
        <w:right w:val="none" w:sz="0" w:space="0" w:color="auto"/>
      </w:divBdr>
    </w:div>
    <w:div w:id="1934245829">
      <w:bodyDiv w:val="1"/>
      <w:marLeft w:val="0"/>
      <w:marRight w:val="0"/>
      <w:marTop w:val="0"/>
      <w:marBottom w:val="0"/>
      <w:divBdr>
        <w:top w:val="none" w:sz="0" w:space="0" w:color="auto"/>
        <w:left w:val="none" w:sz="0" w:space="0" w:color="auto"/>
        <w:bottom w:val="none" w:sz="0" w:space="0" w:color="auto"/>
        <w:right w:val="none" w:sz="0" w:space="0" w:color="auto"/>
      </w:divBdr>
    </w:div>
    <w:div w:id="1934897299">
      <w:bodyDiv w:val="1"/>
      <w:marLeft w:val="0"/>
      <w:marRight w:val="0"/>
      <w:marTop w:val="0"/>
      <w:marBottom w:val="0"/>
      <w:divBdr>
        <w:top w:val="none" w:sz="0" w:space="0" w:color="auto"/>
        <w:left w:val="none" w:sz="0" w:space="0" w:color="auto"/>
        <w:bottom w:val="none" w:sz="0" w:space="0" w:color="auto"/>
        <w:right w:val="none" w:sz="0" w:space="0" w:color="auto"/>
      </w:divBdr>
    </w:div>
    <w:div w:id="1939554681">
      <w:bodyDiv w:val="1"/>
      <w:marLeft w:val="0"/>
      <w:marRight w:val="0"/>
      <w:marTop w:val="0"/>
      <w:marBottom w:val="0"/>
      <w:divBdr>
        <w:top w:val="none" w:sz="0" w:space="0" w:color="auto"/>
        <w:left w:val="none" w:sz="0" w:space="0" w:color="auto"/>
        <w:bottom w:val="none" w:sz="0" w:space="0" w:color="auto"/>
        <w:right w:val="none" w:sz="0" w:space="0" w:color="auto"/>
      </w:divBdr>
    </w:div>
    <w:div w:id="1943763510">
      <w:bodyDiv w:val="1"/>
      <w:marLeft w:val="0"/>
      <w:marRight w:val="0"/>
      <w:marTop w:val="0"/>
      <w:marBottom w:val="0"/>
      <w:divBdr>
        <w:top w:val="none" w:sz="0" w:space="0" w:color="auto"/>
        <w:left w:val="none" w:sz="0" w:space="0" w:color="auto"/>
        <w:bottom w:val="none" w:sz="0" w:space="0" w:color="auto"/>
        <w:right w:val="none" w:sz="0" w:space="0" w:color="auto"/>
      </w:divBdr>
    </w:div>
    <w:div w:id="1943997897">
      <w:bodyDiv w:val="1"/>
      <w:marLeft w:val="0"/>
      <w:marRight w:val="0"/>
      <w:marTop w:val="0"/>
      <w:marBottom w:val="0"/>
      <w:divBdr>
        <w:top w:val="none" w:sz="0" w:space="0" w:color="auto"/>
        <w:left w:val="none" w:sz="0" w:space="0" w:color="auto"/>
        <w:bottom w:val="none" w:sz="0" w:space="0" w:color="auto"/>
        <w:right w:val="none" w:sz="0" w:space="0" w:color="auto"/>
      </w:divBdr>
    </w:div>
    <w:div w:id="1946375691">
      <w:bodyDiv w:val="1"/>
      <w:marLeft w:val="0"/>
      <w:marRight w:val="0"/>
      <w:marTop w:val="0"/>
      <w:marBottom w:val="0"/>
      <w:divBdr>
        <w:top w:val="none" w:sz="0" w:space="0" w:color="auto"/>
        <w:left w:val="none" w:sz="0" w:space="0" w:color="auto"/>
        <w:bottom w:val="none" w:sz="0" w:space="0" w:color="auto"/>
        <w:right w:val="none" w:sz="0" w:space="0" w:color="auto"/>
      </w:divBdr>
    </w:div>
    <w:div w:id="1946771071">
      <w:bodyDiv w:val="1"/>
      <w:marLeft w:val="0"/>
      <w:marRight w:val="0"/>
      <w:marTop w:val="0"/>
      <w:marBottom w:val="0"/>
      <w:divBdr>
        <w:top w:val="none" w:sz="0" w:space="0" w:color="auto"/>
        <w:left w:val="none" w:sz="0" w:space="0" w:color="auto"/>
        <w:bottom w:val="none" w:sz="0" w:space="0" w:color="auto"/>
        <w:right w:val="none" w:sz="0" w:space="0" w:color="auto"/>
      </w:divBdr>
    </w:div>
    <w:div w:id="1947611041">
      <w:bodyDiv w:val="1"/>
      <w:marLeft w:val="0"/>
      <w:marRight w:val="0"/>
      <w:marTop w:val="0"/>
      <w:marBottom w:val="0"/>
      <w:divBdr>
        <w:top w:val="none" w:sz="0" w:space="0" w:color="auto"/>
        <w:left w:val="none" w:sz="0" w:space="0" w:color="auto"/>
        <w:bottom w:val="none" w:sz="0" w:space="0" w:color="auto"/>
        <w:right w:val="none" w:sz="0" w:space="0" w:color="auto"/>
      </w:divBdr>
    </w:div>
    <w:div w:id="1952593365">
      <w:bodyDiv w:val="1"/>
      <w:marLeft w:val="0"/>
      <w:marRight w:val="0"/>
      <w:marTop w:val="0"/>
      <w:marBottom w:val="0"/>
      <w:divBdr>
        <w:top w:val="none" w:sz="0" w:space="0" w:color="auto"/>
        <w:left w:val="none" w:sz="0" w:space="0" w:color="auto"/>
        <w:bottom w:val="none" w:sz="0" w:space="0" w:color="auto"/>
        <w:right w:val="none" w:sz="0" w:space="0" w:color="auto"/>
      </w:divBdr>
      <w:divsChild>
        <w:div w:id="1191140875">
          <w:marLeft w:val="0"/>
          <w:marRight w:val="0"/>
          <w:marTop w:val="0"/>
          <w:marBottom w:val="1500"/>
          <w:divBdr>
            <w:top w:val="none" w:sz="0" w:space="0" w:color="auto"/>
            <w:left w:val="none" w:sz="0" w:space="0" w:color="auto"/>
            <w:bottom w:val="none" w:sz="0" w:space="0" w:color="auto"/>
            <w:right w:val="none" w:sz="0" w:space="0" w:color="auto"/>
          </w:divBdr>
          <w:divsChild>
            <w:div w:id="1288702385">
              <w:marLeft w:val="0"/>
              <w:marRight w:val="0"/>
              <w:marTop w:val="0"/>
              <w:marBottom w:val="0"/>
              <w:divBdr>
                <w:top w:val="none" w:sz="0" w:space="0" w:color="auto"/>
                <w:left w:val="none" w:sz="0" w:space="0" w:color="auto"/>
                <w:bottom w:val="none" w:sz="0" w:space="0" w:color="auto"/>
                <w:right w:val="none" w:sz="0" w:space="0" w:color="auto"/>
              </w:divBdr>
            </w:div>
          </w:divsChild>
        </w:div>
        <w:div w:id="2090151272">
          <w:marLeft w:val="0"/>
          <w:marRight w:val="0"/>
          <w:marTop w:val="150"/>
          <w:marBottom w:val="150"/>
          <w:divBdr>
            <w:top w:val="none" w:sz="0" w:space="0" w:color="auto"/>
            <w:left w:val="none" w:sz="0" w:space="0" w:color="auto"/>
            <w:bottom w:val="none" w:sz="0" w:space="0" w:color="auto"/>
            <w:right w:val="none" w:sz="0" w:space="0" w:color="auto"/>
          </w:divBdr>
        </w:div>
      </w:divsChild>
    </w:div>
    <w:div w:id="1953200306">
      <w:bodyDiv w:val="1"/>
      <w:marLeft w:val="0"/>
      <w:marRight w:val="0"/>
      <w:marTop w:val="0"/>
      <w:marBottom w:val="0"/>
      <w:divBdr>
        <w:top w:val="none" w:sz="0" w:space="0" w:color="auto"/>
        <w:left w:val="none" w:sz="0" w:space="0" w:color="auto"/>
        <w:bottom w:val="none" w:sz="0" w:space="0" w:color="auto"/>
        <w:right w:val="none" w:sz="0" w:space="0" w:color="auto"/>
      </w:divBdr>
    </w:div>
    <w:div w:id="1953323833">
      <w:bodyDiv w:val="1"/>
      <w:marLeft w:val="0"/>
      <w:marRight w:val="0"/>
      <w:marTop w:val="0"/>
      <w:marBottom w:val="0"/>
      <w:divBdr>
        <w:top w:val="none" w:sz="0" w:space="0" w:color="auto"/>
        <w:left w:val="none" w:sz="0" w:space="0" w:color="auto"/>
        <w:bottom w:val="none" w:sz="0" w:space="0" w:color="auto"/>
        <w:right w:val="none" w:sz="0" w:space="0" w:color="auto"/>
      </w:divBdr>
    </w:div>
    <w:div w:id="1953702908">
      <w:bodyDiv w:val="1"/>
      <w:marLeft w:val="0"/>
      <w:marRight w:val="0"/>
      <w:marTop w:val="0"/>
      <w:marBottom w:val="0"/>
      <w:divBdr>
        <w:top w:val="none" w:sz="0" w:space="0" w:color="auto"/>
        <w:left w:val="none" w:sz="0" w:space="0" w:color="auto"/>
        <w:bottom w:val="none" w:sz="0" w:space="0" w:color="auto"/>
        <w:right w:val="none" w:sz="0" w:space="0" w:color="auto"/>
      </w:divBdr>
    </w:div>
    <w:div w:id="1954090590">
      <w:bodyDiv w:val="1"/>
      <w:marLeft w:val="0"/>
      <w:marRight w:val="0"/>
      <w:marTop w:val="0"/>
      <w:marBottom w:val="0"/>
      <w:divBdr>
        <w:top w:val="none" w:sz="0" w:space="0" w:color="auto"/>
        <w:left w:val="none" w:sz="0" w:space="0" w:color="auto"/>
        <w:bottom w:val="none" w:sz="0" w:space="0" w:color="auto"/>
        <w:right w:val="none" w:sz="0" w:space="0" w:color="auto"/>
      </w:divBdr>
    </w:div>
    <w:div w:id="1958832736">
      <w:bodyDiv w:val="1"/>
      <w:marLeft w:val="0"/>
      <w:marRight w:val="0"/>
      <w:marTop w:val="0"/>
      <w:marBottom w:val="0"/>
      <w:divBdr>
        <w:top w:val="none" w:sz="0" w:space="0" w:color="auto"/>
        <w:left w:val="none" w:sz="0" w:space="0" w:color="auto"/>
        <w:bottom w:val="none" w:sz="0" w:space="0" w:color="auto"/>
        <w:right w:val="none" w:sz="0" w:space="0" w:color="auto"/>
      </w:divBdr>
    </w:div>
    <w:div w:id="1965652854">
      <w:bodyDiv w:val="1"/>
      <w:marLeft w:val="0"/>
      <w:marRight w:val="0"/>
      <w:marTop w:val="0"/>
      <w:marBottom w:val="0"/>
      <w:divBdr>
        <w:top w:val="none" w:sz="0" w:space="0" w:color="auto"/>
        <w:left w:val="none" w:sz="0" w:space="0" w:color="auto"/>
        <w:bottom w:val="none" w:sz="0" w:space="0" w:color="auto"/>
        <w:right w:val="none" w:sz="0" w:space="0" w:color="auto"/>
      </w:divBdr>
    </w:div>
    <w:div w:id="1967422631">
      <w:bodyDiv w:val="1"/>
      <w:marLeft w:val="0"/>
      <w:marRight w:val="0"/>
      <w:marTop w:val="0"/>
      <w:marBottom w:val="0"/>
      <w:divBdr>
        <w:top w:val="none" w:sz="0" w:space="0" w:color="auto"/>
        <w:left w:val="none" w:sz="0" w:space="0" w:color="auto"/>
        <w:bottom w:val="none" w:sz="0" w:space="0" w:color="auto"/>
        <w:right w:val="none" w:sz="0" w:space="0" w:color="auto"/>
      </w:divBdr>
    </w:div>
    <w:div w:id="1970092038">
      <w:bodyDiv w:val="1"/>
      <w:marLeft w:val="0"/>
      <w:marRight w:val="0"/>
      <w:marTop w:val="0"/>
      <w:marBottom w:val="0"/>
      <w:divBdr>
        <w:top w:val="none" w:sz="0" w:space="0" w:color="auto"/>
        <w:left w:val="none" w:sz="0" w:space="0" w:color="auto"/>
        <w:bottom w:val="none" w:sz="0" w:space="0" w:color="auto"/>
        <w:right w:val="none" w:sz="0" w:space="0" w:color="auto"/>
      </w:divBdr>
    </w:div>
    <w:div w:id="1971590611">
      <w:bodyDiv w:val="1"/>
      <w:marLeft w:val="0"/>
      <w:marRight w:val="0"/>
      <w:marTop w:val="0"/>
      <w:marBottom w:val="0"/>
      <w:divBdr>
        <w:top w:val="none" w:sz="0" w:space="0" w:color="auto"/>
        <w:left w:val="none" w:sz="0" w:space="0" w:color="auto"/>
        <w:bottom w:val="none" w:sz="0" w:space="0" w:color="auto"/>
        <w:right w:val="none" w:sz="0" w:space="0" w:color="auto"/>
      </w:divBdr>
    </w:div>
    <w:div w:id="1972395216">
      <w:bodyDiv w:val="1"/>
      <w:marLeft w:val="0"/>
      <w:marRight w:val="0"/>
      <w:marTop w:val="0"/>
      <w:marBottom w:val="0"/>
      <w:divBdr>
        <w:top w:val="none" w:sz="0" w:space="0" w:color="auto"/>
        <w:left w:val="none" w:sz="0" w:space="0" w:color="auto"/>
        <w:bottom w:val="none" w:sz="0" w:space="0" w:color="auto"/>
        <w:right w:val="none" w:sz="0" w:space="0" w:color="auto"/>
      </w:divBdr>
    </w:div>
    <w:div w:id="1974214961">
      <w:bodyDiv w:val="1"/>
      <w:marLeft w:val="0"/>
      <w:marRight w:val="0"/>
      <w:marTop w:val="0"/>
      <w:marBottom w:val="0"/>
      <w:divBdr>
        <w:top w:val="none" w:sz="0" w:space="0" w:color="auto"/>
        <w:left w:val="none" w:sz="0" w:space="0" w:color="auto"/>
        <w:bottom w:val="none" w:sz="0" w:space="0" w:color="auto"/>
        <w:right w:val="none" w:sz="0" w:space="0" w:color="auto"/>
      </w:divBdr>
    </w:div>
    <w:div w:id="1974283771">
      <w:bodyDiv w:val="1"/>
      <w:marLeft w:val="0"/>
      <w:marRight w:val="0"/>
      <w:marTop w:val="0"/>
      <w:marBottom w:val="0"/>
      <w:divBdr>
        <w:top w:val="none" w:sz="0" w:space="0" w:color="auto"/>
        <w:left w:val="none" w:sz="0" w:space="0" w:color="auto"/>
        <w:bottom w:val="none" w:sz="0" w:space="0" w:color="auto"/>
        <w:right w:val="none" w:sz="0" w:space="0" w:color="auto"/>
      </w:divBdr>
    </w:div>
    <w:div w:id="1976829221">
      <w:bodyDiv w:val="1"/>
      <w:marLeft w:val="0"/>
      <w:marRight w:val="0"/>
      <w:marTop w:val="0"/>
      <w:marBottom w:val="0"/>
      <w:divBdr>
        <w:top w:val="none" w:sz="0" w:space="0" w:color="auto"/>
        <w:left w:val="none" w:sz="0" w:space="0" w:color="auto"/>
        <w:bottom w:val="none" w:sz="0" w:space="0" w:color="auto"/>
        <w:right w:val="none" w:sz="0" w:space="0" w:color="auto"/>
      </w:divBdr>
    </w:div>
    <w:div w:id="1977368553">
      <w:bodyDiv w:val="1"/>
      <w:marLeft w:val="0"/>
      <w:marRight w:val="0"/>
      <w:marTop w:val="0"/>
      <w:marBottom w:val="0"/>
      <w:divBdr>
        <w:top w:val="none" w:sz="0" w:space="0" w:color="auto"/>
        <w:left w:val="none" w:sz="0" w:space="0" w:color="auto"/>
        <w:bottom w:val="none" w:sz="0" w:space="0" w:color="auto"/>
        <w:right w:val="none" w:sz="0" w:space="0" w:color="auto"/>
      </w:divBdr>
    </w:div>
    <w:div w:id="1979189788">
      <w:bodyDiv w:val="1"/>
      <w:marLeft w:val="0"/>
      <w:marRight w:val="0"/>
      <w:marTop w:val="0"/>
      <w:marBottom w:val="0"/>
      <w:divBdr>
        <w:top w:val="none" w:sz="0" w:space="0" w:color="auto"/>
        <w:left w:val="none" w:sz="0" w:space="0" w:color="auto"/>
        <w:bottom w:val="none" w:sz="0" w:space="0" w:color="auto"/>
        <w:right w:val="none" w:sz="0" w:space="0" w:color="auto"/>
      </w:divBdr>
    </w:div>
    <w:div w:id="1981418513">
      <w:bodyDiv w:val="1"/>
      <w:marLeft w:val="0"/>
      <w:marRight w:val="0"/>
      <w:marTop w:val="0"/>
      <w:marBottom w:val="0"/>
      <w:divBdr>
        <w:top w:val="none" w:sz="0" w:space="0" w:color="auto"/>
        <w:left w:val="none" w:sz="0" w:space="0" w:color="auto"/>
        <w:bottom w:val="none" w:sz="0" w:space="0" w:color="auto"/>
        <w:right w:val="none" w:sz="0" w:space="0" w:color="auto"/>
      </w:divBdr>
    </w:div>
    <w:div w:id="1985892852">
      <w:bodyDiv w:val="1"/>
      <w:marLeft w:val="0"/>
      <w:marRight w:val="0"/>
      <w:marTop w:val="0"/>
      <w:marBottom w:val="0"/>
      <w:divBdr>
        <w:top w:val="none" w:sz="0" w:space="0" w:color="auto"/>
        <w:left w:val="none" w:sz="0" w:space="0" w:color="auto"/>
        <w:bottom w:val="none" w:sz="0" w:space="0" w:color="auto"/>
        <w:right w:val="none" w:sz="0" w:space="0" w:color="auto"/>
      </w:divBdr>
    </w:div>
    <w:div w:id="1986624907">
      <w:bodyDiv w:val="1"/>
      <w:marLeft w:val="0"/>
      <w:marRight w:val="0"/>
      <w:marTop w:val="0"/>
      <w:marBottom w:val="0"/>
      <w:divBdr>
        <w:top w:val="none" w:sz="0" w:space="0" w:color="auto"/>
        <w:left w:val="none" w:sz="0" w:space="0" w:color="auto"/>
        <w:bottom w:val="none" w:sz="0" w:space="0" w:color="auto"/>
        <w:right w:val="none" w:sz="0" w:space="0" w:color="auto"/>
      </w:divBdr>
    </w:div>
    <w:div w:id="1992321307">
      <w:bodyDiv w:val="1"/>
      <w:marLeft w:val="0"/>
      <w:marRight w:val="0"/>
      <w:marTop w:val="0"/>
      <w:marBottom w:val="0"/>
      <w:divBdr>
        <w:top w:val="none" w:sz="0" w:space="0" w:color="auto"/>
        <w:left w:val="none" w:sz="0" w:space="0" w:color="auto"/>
        <w:bottom w:val="none" w:sz="0" w:space="0" w:color="auto"/>
        <w:right w:val="none" w:sz="0" w:space="0" w:color="auto"/>
      </w:divBdr>
    </w:div>
    <w:div w:id="1994139608">
      <w:bodyDiv w:val="1"/>
      <w:marLeft w:val="0"/>
      <w:marRight w:val="0"/>
      <w:marTop w:val="0"/>
      <w:marBottom w:val="0"/>
      <w:divBdr>
        <w:top w:val="none" w:sz="0" w:space="0" w:color="auto"/>
        <w:left w:val="none" w:sz="0" w:space="0" w:color="auto"/>
        <w:bottom w:val="none" w:sz="0" w:space="0" w:color="auto"/>
        <w:right w:val="none" w:sz="0" w:space="0" w:color="auto"/>
      </w:divBdr>
    </w:div>
    <w:div w:id="2000305605">
      <w:bodyDiv w:val="1"/>
      <w:marLeft w:val="0"/>
      <w:marRight w:val="0"/>
      <w:marTop w:val="0"/>
      <w:marBottom w:val="0"/>
      <w:divBdr>
        <w:top w:val="none" w:sz="0" w:space="0" w:color="auto"/>
        <w:left w:val="none" w:sz="0" w:space="0" w:color="auto"/>
        <w:bottom w:val="none" w:sz="0" w:space="0" w:color="auto"/>
        <w:right w:val="none" w:sz="0" w:space="0" w:color="auto"/>
      </w:divBdr>
    </w:div>
    <w:div w:id="2002930566">
      <w:bodyDiv w:val="1"/>
      <w:marLeft w:val="0"/>
      <w:marRight w:val="0"/>
      <w:marTop w:val="0"/>
      <w:marBottom w:val="0"/>
      <w:divBdr>
        <w:top w:val="none" w:sz="0" w:space="0" w:color="auto"/>
        <w:left w:val="none" w:sz="0" w:space="0" w:color="auto"/>
        <w:bottom w:val="none" w:sz="0" w:space="0" w:color="auto"/>
        <w:right w:val="none" w:sz="0" w:space="0" w:color="auto"/>
      </w:divBdr>
    </w:div>
    <w:div w:id="2004580290">
      <w:bodyDiv w:val="1"/>
      <w:marLeft w:val="0"/>
      <w:marRight w:val="0"/>
      <w:marTop w:val="0"/>
      <w:marBottom w:val="0"/>
      <w:divBdr>
        <w:top w:val="none" w:sz="0" w:space="0" w:color="auto"/>
        <w:left w:val="none" w:sz="0" w:space="0" w:color="auto"/>
        <w:bottom w:val="none" w:sz="0" w:space="0" w:color="auto"/>
        <w:right w:val="none" w:sz="0" w:space="0" w:color="auto"/>
      </w:divBdr>
    </w:div>
    <w:div w:id="2007131723">
      <w:bodyDiv w:val="1"/>
      <w:marLeft w:val="0"/>
      <w:marRight w:val="0"/>
      <w:marTop w:val="0"/>
      <w:marBottom w:val="0"/>
      <w:divBdr>
        <w:top w:val="none" w:sz="0" w:space="0" w:color="auto"/>
        <w:left w:val="none" w:sz="0" w:space="0" w:color="auto"/>
        <w:bottom w:val="none" w:sz="0" w:space="0" w:color="auto"/>
        <w:right w:val="none" w:sz="0" w:space="0" w:color="auto"/>
      </w:divBdr>
    </w:div>
    <w:div w:id="2007780224">
      <w:bodyDiv w:val="1"/>
      <w:marLeft w:val="0"/>
      <w:marRight w:val="0"/>
      <w:marTop w:val="0"/>
      <w:marBottom w:val="0"/>
      <w:divBdr>
        <w:top w:val="none" w:sz="0" w:space="0" w:color="auto"/>
        <w:left w:val="none" w:sz="0" w:space="0" w:color="auto"/>
        <w:bottom w:val="none" w:sz="0" w:space="0" w:color="auto"/>
        <w:right w:val="none" w:sz="0" w:space="0" w:color="auto"/>
      </w:divBdr>
    </w:div>
    <w:div w:id="2008744238">
      <w:bodyDiv w:val="1"/>
      <w:marLeft w:val="0"/>
      <w:marRight w:val="0"/>
      <w:marTop w:val="0"/>
      <w:marBottom w:val="0"/>
      <w:divBdr>
        <w:top w:val="none" w:sz="0" w:space="0" w:color="auto"/>
        <w:left w:val="none" w:sz="0" w:space="0" w:color="auto"/>
        <w:bottom w:val="none" w:sz="0" w:space="0" w:color="auto"/>
        <w:right w:val="none" w:sz="0" w:space="0" w:color="auto"/>
      </w:divBdr>
      <w:divsChild>
        <w:div w:id="486478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023992">
      <w:bodyDiv w:val="1"/>
      <w:marLeft w:val="0"/>
      <w:marRight w:val="0"/>
      <w:marTop w:val="0"/>
      <w:marBottom w:val="0"/>
      <w:divBdr>
        <w:top w:val="none" w:sz="0" w:space="0" w:color="auto"/>
        <w:left w:val="none" w:sz="0" w:space="0" w:color="auto"/>
        <w:bottom w:val="none" w:sz="0" w:space="0" w:color="auto"/>
        <w:right w:val="none" w:sz="0" w:space="0" w:color="auto"/>
      </w:divBdr>
    </w:div>
    <w:div w:id="2012757890">
      <w:bodyDiv w:val="1"/>
      <w:marLeft w:val="0"/>
      <w:marRight w:val="0"/>
      <w:marTop w:val="0"/>
      <w:marBottom w:val="0"/>
      <w:divBdr>
        <w:top w:val="none" w:sz="0" w:space="0" w:color="auto"/>
        <w:left w:val="none" w:sz="0" w:space="0" w:color="auto"/>
        <w:bottom w:val="none" w:sz="0" w:space="0" w:color="auto"/>
        <w:right w:val="none" w:sz="0" w:space="0" w:color="auto"/>
      </w:divBdr>
    </w:div>
    <w:div w:id="2020085059">
      <w:bodyDiv w:val="1"/>
      <w:marLeft w:val="0"/>
      <w:marRight w:val="0"/>
      <w:marTop w:val="0"/>
      <w:marBottom w:val="0"/>
      <w:divBdr>
        <w:top w:val="none" w:sz="0" w:space="0" w:color="auto"/>
        <w:left w:val="none" w:sz="0" w:space="0" w:color="auto"/>
        <w:bottom w:val="none" w:sz="0" w:space="0" w:color="auto"/>
        <w:right w:val="none" w:sz="0" w:space="0" w:color="auto"/>
      </w:divBdr>
    </w:div>
    <w:div w:id="2020543558">
      <w:bodyDiv w:val="1"/>
      <w:marLeft w:val="0"/>
      <w:marRight w:val="0"/>
      <w:marTop w:val="0"/>
      <w:marBottom w:val="0"/>
      <w:divBdr>
        <w:top w:val="none" w:sz="0" w:space="0" w:color="auto"/>
        <w:left w:val="none" w:sz="0" w:space="0" w:color="auto"/>
        <w:bottom w:val="none" w:sz="0" w:space="0" w:color="auto"/>
        <w:right w:val="none" w:sz="0" w:space="0" w:color="auto"/>
      </w:divBdr>
    </w:div>
    <w:div w:id="2030594361">
      <w:bodyDiv w:val="1"/>
      <w:marLeft w:val="0"/>
      <w:marRight w:val="0"/>
      <w:marTop w:val="0"/>
      <w:marBottom w:val="0"/>
      <w:divBdr>
        <w:top w:val="none" w:sz="0" w:space="0" w:color="auto"/>
        <w:left w:val="none" w:sz="0" w:space="0" w:color="auto"/>
        <w:bottom w:val="none" w:sz="0" w:space="0" w:color="auto"/>
        <w:right w:val="none" w:sz="0" w:space="0" w:color="auto"/>
      </w:divBdr>
    </w:div>
    <w:div w:id="2035762797">
      <w:bodyDiv w:val="1"/>
      <w:marLeft w:val="0"/>
      <w:marRight w:val="0"/>
      <w:marTop w:val="0"/>
      <w:marBottom w:val="0"/>
      <w:divBdr>
        <w:top w:val="none" w:sz="0" w:space="0" w:color="auto"/>
        <w:left w:val="none" w:sz="0" w:space="0" w:color="auto"/>
        <w:bottom w:val="none" w:sz="0" w:space="0" w:color="auto"/>
        <w:right w:val="none" w:sz="0" w:space="0" w:color="auto"/>
      </w:divBdr>
    </w:div>
    <w:div w:id="2037075864">
      <w:bodyDiv w:val="1"/>
      <w:marLeft w:val="0"/>
      <w:marRight w:val="0"/>
      <w:marTop w:val="0"/>
      <w:marBottom w:val="0"/>
      <w:divBdr>
        <w:top w:val="none" w:sz="0" w:space="0" w:color="auto"/>
        <w:left w:val="none" w:sz="0" w:space="0" w:color="auto"/>
        <w:bottom w:val="none" w:sz="0" w:space="0" w:color="auto"/>
        <w:right w:val="none" w:sz="0" w:space="0" w:color="auto"/>
      </w:divBdr>
    </w:div>
    <w:div w:id="2037925273">
      <w:bodyDiv w:val="1"/>
      <w:marLeft w:val="0"/>
      <w:marRight w:val="0"/>
      <w:marTop w:val="0"/>
      <w:marBottom w:val="0"/>
      <w:divBdr>
        <w:top w:val="none" w:sz="0" w:space="0" w:color="auto"/>
        <w:left w:val="none" w:sz="0" w:space="0" w:color="auto"/>
        <w:bottom w:val="none" w:sz="0" w:space="0" w:color="auto"/>
        <w:right w:val="none" w:sz="0" w:space="0" w:color="auto"/>
      </w:divBdr>
    </w:div>
    <w:div w:id="2042702102">
      <w:bodyDiv w:val="1"/>
      <w:marLeft w:val="0"/>
      <w:marRight w:val="0"/>
      <w:marTop w:val="0"/>
      <w:marBottom w:val="0"/>
      <w:divBdr>
        <w:top w:val="none" w:sz="0" w:space="0" w:color="auto"/>
        <w:left w:val="none" w:sz="0" w:space="0" w:color="auto"/>
        <w:bottom w:val="none" w:sz="0" w:space="0" w:color="auto"/>
        <w:right w:val="none" w:sz="0" w:space="0" w:color="auto"/>
      </w:divBdr>
    </w:div>
    <w:div w:id="2045253528">
      <w:bodyDiv w:val="1"/>
      <w:marLeft w:val="0"/>
      <w:marRight w:val="0"/>
      <w:marTop w:val="0"/>
      <w:marBottom w:val="0"/>
      <w:divBdr>
        <w:top w:val="none" w:sz="0" w:space="0" w:color="auto"/>
        <w:left w:val="none" w:sz="0" w:space="0" w:color="auto"/>
        <w:bottom w:val="none" w:sz="0" w:space="0" w:color="auto"/>
        <w:right w:val="none" w:sz="0" w:space="0" w:color="auto"/>
      </w:divBdr>
    </w:div>
    <w:div w:id="2048484136">
      <w:bodyDiv w:val="1"/>
      <w:marLeft w:val="0"/>
      <w:marRight w:val="0"/>
      <w:marTop w:val="0"/>
      <w:marBottom w:val="0"/>
      <w:divBdr>
        <w:top w:val="none" w:sz="0" w:space="0" w:color="auto"/>
        <w:left w:val="none" w:sz="0" w:space="0" w:color="auto"/>
        <w:bottom w:val="none" w:sz="0" w:space="0" w:color="auto"/>
        <w:right w:val="none" w:sz="0" w:space="0" w:color="auto"/>
      </w:divBdr>
    </w:div>
    <w:div w:id="2052921183">
      <w:bodyDiv w:val="1"/>
      <w:marLeft w:val="0"/>
      <w:marRight w:val="0"/>
      <w:marTop w:val="0"/>
      <w:marBottom w:val="0"/>
      <w:divBdr>
        <w:top w:val="none" w:sz="0" w:space="0" w:color="auto"/>
        <w:left w:val="none" w:sz="0" w:space="0" w:color="auto"/>
        <w:bottom w:val="none" w:sz="0" w:space="0" w:color="auto"/>
        <w:right w:val="none" w:sz="0" w:space="0" w:color="auto"/>
      </w:divBdr>
    </w:div>
    <w:div w:id="2061899347">
      <w:bodyDiv w:val="1"/>
      <w:marLeft w:val="0"/>
      <w:marRight w:val="0"/>
      <w:marTop w:val="0"/>
      <w:marBottom w:val="0"/>
      <w:divBdr>
        <w:top w:val="none" w:sz="0" w:space="0" w:color="auto"/>
        <w:left w:val="none" w:sz="0" w:space="0" w:color="auto"/>
        <w:bottom w:val="none" w:sz="0" w:space="0" w:color="auto"/>
        <w:right w:val="none" w:sz="0" w:space="0" w:color="auto"/>
      </w:divBdr>
      <w:divsChild>
        <w:div w:id="41845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838">
      <w:bodyDiv w:val="1"/>
      <w:marLeft w:val="0"/>
      <w:marRight w:val="0"/>
      <w:marTop w:val="0"/>
      <w:marBottom w:val="0"/>
      <w:divBdr>
        <w:top w:val="none" w:sz="0" w:space="0" w:color="auto"/>
        <w:left w:val="none" w:sz="0" w:space="0" w:color="auto"/>
        <w:bottom w:val="none" w:sz="0" w:space="0" w:color="auto"/>
        <w:right w:val="none" w:sz="0" w:space="0" w:color="auto"/>
      </w:divBdr>
    </w:div>
    <w:div w:id="2065712830">
      <w:bodyDiv w:val="1"/>
      <w:marLeft w:val="0"/>
      <w:marRight w:val="0"/>
      <w:marTop w:val="0"/>
      <w:marBottom w:val="0"/>
      <w:divBdr>
        <w:top w:val="none" w:sz="0" w:space="0" w:color="auto"/>
        <w:left w:val="none" w:sz="0" w:space="0" w:color="auto"/>
        <w:bottom w:val="none" w:sz="0" w:space="0" w:color="auto"/>
        <w:right w:val="none" w:sz="0" w:space="0" w:color="auto"/>
      </w:divBdr>
    </w:div>
    <w:div w:id="2067407193">
      <w:bodyDiv w:val="1"/>
      <w:marLeft w:val="0"/>
      <w:marRight w:val="0"/>
      <w:marTop w:val="0"/>
      <w:marBottom w:val="0"/>
      <w:divBdr>
        <w:top w:val="none" w:sz="0" w:space="0" w:color="auto"/>
        <w:left w:val="none" w:sz="0" w:space="0" w:color="auto"/>
        <w:bottom w:val="none" w:sz="0" w:space="0" w:color="auto"/>
        <w:right w:val="none" w:sz="0" w:space="0" w:color="auto"/>
      </w:divBdr>
    </w:div>
    <w:div w:id="2068334624">
      <w:bodyDiv w:val="1"/>
      <w:marLeft w:val="0"/>
      <w:marRight w:val="0"/>
      <w:marTop w:val="0"/>
      <w:marBottom w:val="0"/>
      <w:divBdr>
        <w:top w:val="none" w:sz="0" w:space="0" w:color="auto"/>
        <w:left w:val="none" w:sz="0" w:space="0" w:color="auto"/>
        <w:bottom w:val="none" w:sz="0" w:space="0" w:color="auto"/>
        <w:right w:val="none" w:sz="0" w:space="0" w:color="auto"/>
      </w:divBdr>
    </w:div>
    <w:div w:id="2077701602">
      <w:bodyDiv w:val="1"/>
      <w:marLeft w:val="0"/>
      <w:marRight w:val="0"/>
      <w:marTop w:val="0"/>
      <w:marBottom w:val="0"/>
      <w:divBdr>
        <w:top w:val="none" w:sz="0" w:space="0" w:color="auto"/>
        <w:left w:val="none" w:sz="0" w:space="0" w:color="auto"/>
        <w:bottom w:val="none" w:sz="0" w:space="0" w:color="auto"/>
        <w:right w:val="none" w:sz="0" w:space="0" w:color="auto"/>
      </w:divBdr>
    </w:div>
    <w:div w:id="2077705527">
      <w:bodyDiv w:val="1"/>
      <w:marLeft w:val="0"/>
      <w:marRight w:val="0"/>
      <w:marTop w:val="0"/>
      <w:marBottom w:val="0"/>
      <w:divBdr>
        <w:top w:val="none" w:sz="0" w:space="0" w:color="auto"/>
        <w:left w:val="none" w:sz="0" w:space="0" w:color="auto"/>
        <w:bottom w:val="none" w:sz="0" w:space="0" w:color="auto"/>
        <w:right w:val="none" w:sz="0" w:space="0" w:color="auto"/>
      </w:divBdr>
    </w:div>
    <w:div w:id="2081319916">
      <w:bodyDiv w:val="1"/>
      <w:marLeft w:val="0"/>
      <w:marRight w:val="0"/>
      <w:marTop w:val="0"/>
      <w:marBottom w:val="0"/>
      <w:divBdr>
        <w:top w:val="none" w:sz="0" w:space="0" w:color="auto"/>
        <w:left w:val="none" w:sz="0" w:space="0" w:color="auto"/>
        <w:bottom w:val="none" w:sz="0" w:space="0" w:color="auto"/>
        <w:right w:val="none" w:sz="0" w:space="0" w:color="auto"/>
      </w:divBdr>
    </w:div>
    <w:div w:id="2082363508">
      <w:bodyDiv w:val="1"/>
      <w:marLeft w:val="0"/>
      <w:marRight w:val="0"/>
      <w:marTop w:val="0"/>
      <w:marBottom w:val="0"/>
      <w:divBdr>
        <w:top w:val="none" w:sz="0" w:space="0" w:color="auto"/>
        <w:left w:val="none" w:sz="0" w:space="0" w:color="auto"/>
        <w:bottom w:val="none" w:sz="0" w:space="0" w:color="auto"/>
        <w:right w:val="none" w:sz="0" w:space="0" w:color="auto"/>
      </w:divBdr>
    </w:div>
    <w:div w:id="2082823315">
      <w:bodyDiv w:val="1"/>
      <w:marLeft w:val="0"/>
      <w:marRight w:val="0"/>
      <w:marTop w:val="0"/>
      <w:marBottom w:val="0"/>
      <w:divBdr>
        <w:top w:val="none" w:sz="0" w:space="0" w:color="auto"/>
        <w:left w:val="none" w:sz="0" w:space="0" w:color="auto"/>
        <w:bottom w:val="none" w:sz="0" w:space="0" w:color="auto"/>
        <w:right w:val="none" w:sz="0" w:space="0" w:color="auto"/>
      </w:divBdr>
    </w:div>
    <w:div w:id="2085685250">
      <w:bodyDiv w:val="1"/>
      <w:marLeft w:val="0"/>
      <w:marRight w:val="0"/>
      <w:marTop w:val="0"/>
      <w:marBottom w:val="0"/>
      <w:divBdr>
        <w:top w:val="none" w:sz="0" w:space="0" w:color="auto"/>
        <w:left w:val="none" w:sz="0" w:space="0" w:color="auto"/>
        <w:bottom w:val="none" w:sz="0" w:space="0" w:color="auto"/>
        <w:right w:val="none" w:sz="0" w:space="0" w:color="auto"/>
      </w:divBdr>
    </w:div>
    <w:div w:id="2086563225">
      <w:bodyDiv w:val="1"/>
      <w:marLeft w:val="0"/>
      <w:marRight w:val="0"/>
      <w:marTop w:val="0"/>
      <w:marBottom w:val="0"/>
      <w:divBdr>
        <w:top w:val="none" w:sz="0" w:space="0" w:color="auto"/>
        <w:left w:val="none" w:sz="0" w:space="0" w:color="auto"/>
        <w:bottom w:val="none" w:sz="0" w:space="0" w:color="auto"/>
        <w:right w:val="none" w:sz="0" w:space="0" w:color="auto"/>
      </w:divBdr>
    </w:div>
    <w:div w:id="2087413614">
      <w:bodyDiv w:val="1"/>
      <w:marLeft w:val="0"/>
      <w:marRight w:val="0"/>
      <w:marTop w:val="0"/>
      <w:marBottom w:val="0"/>
      <w:divBdr>
        <w:top w:val="none" w:sz="0" w:space="0" w:color="auto"/>
        <w:left w:val="none" w:sz="0" w:space="0" w:color="auto"/>
        <w:bottom w:val="none" w:sz="0" w:space="0" w:color="auto"/>
        <w:right w:val="none" w:sz="0" w:space="0" w:color="auto"/>
      </w:divBdr>
    </w:div>
    <w:div w:id="2088649622">
      <w:bodyDiv w:val="1"/>
      <w:marLeft w:val="0"/>
      <w:marRight w:val="0"/>
      <w:marTop w:val="0"/>
      <w:marBottom w:val="0"/>
      <w:divBdr>
        <w:top w:val="none" w:sz="0" w:space="0" w:color="auto"/>
        <w:left w:val="none" w:sz="0" w:space="0" w:color="auto"/>
        <w:bottom w:val="none" w:sz="0" w:space="0" w:color="auto"/>
        <w:right w:val="none" w:sz="0" w:space="0" w:color="auto"/>
      </w:divBdr>
    </w:div>
    <w:div w:id="2092503385">
      <w:bodyDiv w:val="1"/>
      <w:marLeft w:val="0"/>
      <w:marRight w:val="0"/>
      <w:marTop w:val="0"/>
      <w:marBottom w:val="0"/>
      <w:divBdr>
        <w:top w:val="none" w:sz="0" w:space="0" w:color="auto"/>
        <w:left w:val="none" w:sz="0" w:space="0" w:color="auto"/>
        <w:bottom w:val="none" w:sz="0" w:space="0" w:color="auto"/>
        <w:right w:val="none" w:sz="0" w:space="0" w:color="auto"/>
      </w:divBdr>
    </w:div>
    <w:div w:id="2094155901">
      <w:bodyDiv w:val="1"/>
      <w:marLeft w:val="0"/>
      <w:marRight w:val="0"/>
      <w:marTop w:val="0"/>
      <w:marBottom w:val="0"/>
      <w:divBdr>
        <w:top w:val="none" w:sz="0" w:space="0" w:color="auto"/>
        <w:left w:val="none" w:sz="0" w:space="0" w:color="auto"/>
        <w:bottom w:val="none" w:sz="0" w:space="0" w:color="auto"/>
        <w:right w:val="none" w:sz="0" w:space="0" w:color="auto"/>
      </w:divBdr>
    </w:div>
    <w:div w:id="2099596593">
      <w:bodyDiv w:val="1"/>
      <w:marLeft w:val="0"/>
      <w:marRight w:val="0"/>
      <w:marTop w:val="0"/>
      <w:marBottom w:val="0"/>
      <w:divBdr>
        <w:top w:val="none" w:sz="0" w:space="0" w:color="auto"/>
        <w:left w:val="none" w:sz="0" w:space="0" w:color="auto"/>
        <w:bottom w:val="none" w:sz="0" w:space="0" w:color="auto"/>
        <w:right w:val="none" w:sz="0" w:space="0" w:color="auto"/>
      </w:divBdr>
    </w:div>
    <w:div w:id="2102413570">
      <w:bodyDiv w:val="1"/>
      <w:marLeft w:val="0"/>
      <w:marRight w:val="0"/>
      <w:marTop w:val="0"/>
      <w:marBottom w:val="0"/>
      <w:divBdr>
        <w:top w:val="none" w:sz="0" w:space="0" w:color="auto"/>
        <w:left w:val="none" w:sz="0" w:space="0" w:color="auto"/>
        <w:bottom w:val="none" w:sz="0" w:space="0" w:color="auto"/>
        <w:right w:val="none" w:sz="0" w:space="0" w:color="auto"/>
      </w:divBdr>
    </w:div>
    <w:div w:id="2105176965">
      <w:bodyDiv w:val="1"/>
      <w:marLeft w:val="0"/>
      <w:marRight w:val="0"/>
      <w:marTop w:val="0"/>
      <w:marBottom w:val="0"/>
      <w:divBdr>
        <w:top w:val="none" w:sz="0" w:space="0" w:color="auto"/>
        <w:left w:val="none" w:sz="0" w:space="0" w:color="auto"/>
        <w:bottom w:val="none" w:sz="0" w:space="0" w:color="auto"/>
        <w:right w:val="none" w:sz="0" w:space="0" w:color="auto"/>
      </w:divBdr>
    </w:div>
    <w:div w:id="2105682958">
      <w:bodyDiv w:val="1"/>
      <w:marLeft w:val="0"/>
      <w:marRight w:val="0"/>
      <w:marTop w:val="0"/>
      <w:marBottom w:val="0"/>
      <w:divBdr>
        <w:top w:val="none" w:sz="0" w:space="0" w:color="auto"/>
        <w:left w:val="none" w:sz="0" w:space="0" w:color="auto"/>
        <w:bottom w:val="none" w:sz="0" w:space="0" w:color="auto"/>
        <w:right w:val="none" w:sz="0" w:space="0" w:color="auto"/>
      </w:divBdr>
    </w:div>
    <w:div w:id="2105880716">
      <w:bodyDiv w:val="1"/>
      <w:marLeft w:val="0"/>
      <w:marRight w:val="0"/>
      <w:marTop w:val="0"/>
      <w:marBottom w:val="0"/>
      <w:divBdr>
        <w:top w:val="none" w:sz="0" w:space="0" w:color="auto"/>
        <w:left w:val="none" w:sz="0" w:space="0" w:color="auto"/>
        <w:bottom w:val="none" w:sz="0" w:space="0" w:color="auto"/>
        <w:right w:val="none" w:sz="0" w:space="0" w:color="auto"/>
      </w:divBdr>
    </w:div>
    <w:div w:id="2107115043">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2696682">
      <w:bodyDiv w:val="1"/>
      <w:marLeft w:val="0"/>
      <w:marRight w:val="0"/>
      <w:marTop w:val="0"/>
      <w:marBottom w:val="0"/>
      <w:divBdr>
        <w:top w:val="none" w:sz="0" w:space="0" w:color="auto"/>
        <w:left w:val="none" w:sz="0" w:space="0" w:color="auto"/>
        <w:bottom w:val="none" w:sz="0" w:space="0" w:color="auto"/>
        <w:right w:val="none" w:sz="0" w:space="0" w:color="auto"/>
      </w:divBdr>
    </w:div>
    <w:div w:id="2113426547">
      <w:bodyDiv w:val="1"/>
      <w:marLeft w:val="0"/>
      <w:marRight w:val="0"/>
      <w:marTop w:val="0"/>
      <w:marBottom w:val="0"/>
      <w:divBdr>
        <w:top w:val="none" w:sz="0" w:space="0" w:color="auto"/>
        <w:left w:val="none" w:sz="0" w:space="0" w:color="auto"/>
        <w:bottom w:val="none" w:sz="0" w:space="0" w:color="auto"/>
        <w:right w:val="none" w:sz="0" w:space="0" w:color="auto"/>
      </w:divBdr>
    </w:div>
    <w:div w:id="2117166098">
      <w:bodyDiv w:val="1"/>
      <w:marLeft w:val="0"/>
      <w:marRight w:val="0"/>
      <w:marTop w:val="0"/>
      <w:marBottom w:val="0"/>
      <w:divBdr>
        <w:top w:val="none" w:sz="0" w:space="0" w:color="auto"/>
        <w:left w:val="none" w:sz="0" w:space="0" w:color="auto"/>
        <w:bottom w:val="none" w:sz="0" w:space="0" w:color="auto"/>
        <w:right w:val="none" w:sz="0" w:space="0" w:color="auto"/>
      </w:divBdr>
    </w:div>
    <w:div w:id="2119639346">
      <w:bodyDiv w:val="1"/>
      <w:marLeft w:val="0"/>
      <w:marRight w:val="0"/>
      <w:marTop w:val="0"/>
      <w:marBottom w:val="0"/>
      <w:divBdr>
        <w:top w:val="none" w:sz="0" w:space="0" w:color="auto"/>
        <w:left w:val="none" w:sz="0" w:space="0" w:color="auto"/>
        <w:bottom w:val="none" w:sz="0" w:space="0" w:color="auto"/>
        <w:right w:val="none" w:sz="0" w:space="0" w:color="auto"/>
      </w:divBdr>
    </w:div>
    <w:div w:id="2120639977">
      <w:bodyDiv w:val="1"/>
      <w:marLeft w:val="0"/>
      <w:marRight w:val="0"/>
      <w:marTop w:val="0"/>
      <w:marBottom w:val="0"/>
      <w:divBdr>
        <w:top w:val="none" w:sz="0" w:space="0" w:color="auto"/>
        <w:left w:val="none" w:sz="0" w:space="0" w:color="auto"/>
        <w:bottom w:val="none" w:sz="0" w:space="0" w:color="auto"/>
        <w:right w:val="none" w:sz="0" w:space="0" w:color="auto"/>
      </w:divBdr>
    </w:div>
    <w:div w:id="2121366614">
      <w:bodyDiv w:val="1"/>
      <w:marLeft w:val="0"/>
      <w:marRight w:val="0"/>
      <w:marTop w:val="0"/>
      <w:marBottom w:val="0"/>
      <w:divBdr>
        <w:top w:val="none" w:sz="0" w:space="0" w:color="auto"/>
        <w:left w:val="none" w:sz="0" w:space="0" w:color="auto"/>
        <w:bottom w:val="none" w:sz="0" w:space="0" w:color="auto"/>
        <w:right w:val="none" w:sz="0" w:space="0" w:color="auto"/>
      </w:divBdr>
    </w:div>
    <w:div w:id="2126540472">
      <w:bodyDiv w:val="1"/>
      <w:marLeft w:val="0"/>
      <w:marRight w:val="0"/>
      <w:marTop w:val="0"/>
      <w:marBottom w:val="0"/>
      <w:divBdr>
        <w:top w:val="none" w:sz="0" w:space="0" w:color="auto"/>
        <w:left w:val="none" w:sz="0" w:space="0" w:color="auto"/>
        <w:bottom w:val="none" w:sz="0" w:space="0" w:color="auto"/>
        <w:right w:val="none" w:sz="0" w:space="0" w:color="auto"/>
      </w:divBdr>
    </w:div>
    <w:div w:id="2128158592">
      <w:bodyDiv w:val="1"/>
      <w:marLeft w:val="0"/>
      <w:marRight w:val="0"/>
      <w:marTop w:val="0"/>
      <w:marBottom w:val="0"/>
      <w:divBdr>
        <w:top w:val="none" w:sz="0" w:space="0" w:color="auto"/>
        <w:left w:val="none" w:sz="0" w:space="0" w:color="auto"/>
        <w:bottom w:val="none" w:sz="0" w:space="0" w:color="auto"/>
        <w:right w:val="none" w:sz="0" w:space="0" w:color="auto"/>
      </w:divBdr>
    </w:div>
    <w:div w:id="2129623376">
      <w:bodyDiv w:val="1"/>
      <w:marLeft w:val="0"/>
      <w:marRight w:val="0"/>
      <w:marTop w:val="0"/>
      <w:marBottom w:val="0"/>
      <w:divBdr>
        <w:top w:val="none" w:sz="0" w:space="0" w:color="auto"/>
        <w:left w:val="none" w:sz="0" w:space="0" w:color="auto"/>
        <w:bottom w:val="none" w:sz="0" w:space="0" w:color="auto"/>
        <w:right w:val="none" w:sz="0" w:space="0" w:color="auto"/>
      </w:divBdr>
    </w:div>
    <w:div w:id="2131049540">
      <w:bodyDiv w:val="1"/>
      <w:marLeft w:val="0"/>
      <w:marRight w:val="0"/>
      <w:marTop w:val="0"/>
      <w:marBottom w:val="0"/>
      <w:divBdr>
        <w:top w:val="none" w:sz="0" w:space="0" w:color="auto"/>
        <w:left w:val="none" w:sz="0" w:space="0" w:color="auto"/>
        <w:bottom w:val="none" w:sz="0" w:space="0" w:color="auto"/>
        <w:right w:val="none" w:sz="0" w:space="0" w:color="auto"/>
      </w:divBdr>
    </w:div>
    <w:div w:id="2131387475">
      <w:bodyDiv w:val="1"/>
      <w:marLeft w:val="0"/>
      <w:marRight w:val="0"/>
      <w:marTop w:val="0"/>
      <w:marBottom w:val="0"/>
      <w:divBdr>
        <w:top w:val="none" w:sz="0" w:space="0" w:color="auto"/>
        <w:left w:val="none" w:sz="0" w:space="0" w:color="auto"/>
        <w:bottom w:val="none" w:sz="0" w:space="0" w:color="auto"/>
        <w:right w:val="none" w:sz="0" w:space="0" w:color="auto"/>
      </w:divBdr>
    </w:div>
    <w:div w:id="2134518783">
      <w:bodyDiv w:val="1"/>
      <w:marLeft w:val="0"/>
      <w:marRight w:val="0"/>
      <w:marTop w:val="0"/>
      <w:marBottom w:val="0"/>
      <w:divBdr>
        <w:top w:val="none" w:sz="0" w:space="0" w:color="auto"/>
        <w:left w:val="none" w:sz="0" w:space="0" w:color="auto"/>
        <w:bottom w:val="none" w:sz="0" w:space="0" w:color="auto"/>
        <w:right w:val="none" w:sz="0" w:space="0" w:color="auto"/>
      </w:divBdr>
    </w:div>
    <w:div w:id="2137523532">
      <w:bodyDiv w:val="1"/>
      <w:marLeft w:val="0"/>
      <w:marRight w:val="0"/>
      <w:marTop w:val="0"/>
      <w:marBottom w:val="0"/>
      <w:divBdr>
        <w:top w:val="none" w:sz="0" w:space="0" w:color="auto"/>
        <w:left w:val="none" w:sz="0" w:space="0" w:color="auto"/>
        <w:bottom w:val="none" w:sz="0" w:space="0" w:color="auto"/>
        <w:right w:val="none" w:sz="0" w:space="0" w:color="auto"/>
      </w:divBdr>
    </w:div>
    <w:div w:id="2137750909">
      <w:bodyDiv w:val="1"/>
      <w:marLeft w:val="0"/>
      <w:marRight w:val="0"/>
      <w:marTop w:val="0"/>
      <w:marBottom w:val="0"/>
      <w:divBdr>
        <w:top w:val="none" w:sz="0" w:space="0" w:color="auto"/>
        <w:left w:val="none" w:sz="0" w:space="0" w:color="auto"/>
        <w:bottom w:val="none" w:sz="0" w:space="0" w:color="auto"/>
        <w:right w:val="none" w:sz="0" w:space="0" w:color="auto"/>
      </w:divBdr>
    </w:div>
    <w:div w:id="2138596601">
      <w:bodyDiv w:val="1"/>
      <w:marLeft w:val="0"/>
      <w:marRight w:val="0"/>
      <w:marTop w:val="0"/>
      <w:marBottom w:val="0"/>
      <w:divBdr>
        <w:top w:val="none" w:sz="0" w:space="0" w:color="auto"/>
        <w:left w:val="none" w:sz="0" w:space="0" w:color="auto"/>
        <w:bottom w:val="none" w:sz="0" w:space="0" w:color="auto"/>
        <w:right w:val="none" w:sz="0" w:space="0" w:color="auto"/>
      </w:divBdr>
    </w:div>
    <w:div w:id="2141069117">
      <w:bodyDiv w:val="1"/>
      <w:marLeft w:val="0"/>
      <w:marRight w:val="0"/>
      <w:marTop w:val="0"/>
      <w:marBottom w:val="0"/>
      <w:divBdr>
        <w:top w:val="none" w:sz="0" w:space="0" w:color="auto"/>
        <w:left w:val="none" w:sz="0" w:space="0" w:color="auto"/>
        <w:bottom w:val="none" w:sz="0" w:space="0" w:color="auto"/>
        <w:right w:val="none" w:sz="0" w:space="0" w:color="auto"/>
      </w:divBdr>
    </w:div>
    <w:div w:id="2141729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abajournal.com/magazine/article/meet_the_chief_judge_of_the_nations_most_divisive_controversial/" TargetMode="External"/><Relationship Id="rId3" Type="http://schemas.openxmlformats.org/officeDocument/2006/relationships/hyperlink" Target="https://newrepublic.com/article/67372/misjudged" TargetMode="External"/><Relationship Id="rId7" Type="http://schemas.openxmlformats.org/officeDocument/2006/relationships/hyperlink" Target="http://www.the9thcircuitwatch.com/recent.htm" TargetMode="External"/><Relationship Id="rId12" Type="http://schemas.openxmlformats.org/officeDocument/2006/relationships/hyperlink" Target="http://www.nytimes.com/2012/03/27/us/randy-barnetts-pet-cause-end-of-health-law-hits-supreme-court.html" TargetMode="External"/><Relationship Id="rId2" Type="http://schemas.openxmlformats.org/officeDocument/2006/relationships/hyperlink" Target="http://abovethelaw.com/2014/06/supreme-court-clerk-hiring-watch-looking-ahead-to-october-term-2015/" TargetMode="External"/><Relationship Id="rId1" Type="http://schemas.openxmlformats.org/officeDocument/2006/relationships/hyperlink" Target="http://www.supremecourthistory.org/timeline_burger.html" TargetMode="External"/><Relationship Id="rId6" Type="http://schemas.openxmlformats.org/officeDocument/2006/relationships/hyperlink" Target="https://www.washingtonpost.com/blogs/the-fix/post/cbs-news-john-roberts-changed-his-mind-on-health-care-mandate/2012/07/02/gJQA52JRIW_blog.html" TargetMode="External"/><Relationship Id="rId11" Type="http://schemas.openxmlformats.org/officeDocument/2006/relationships/hyperlink" Target="http://prawfsblawg.blogs.com/prawfsblawg/2011/08/healthcare-and-federalism-should-courts-strictly-scrutinize-federal-regulation-of-medical-services-.html" TargetMode="External"/><Relationship Id="rId5" Type="http://schemas.openxmlformats.org/officeDocument/2006/relationships/hyperlink" Target="http://thinkprogress.org/2010/03/31/college-debatehealth/" TargetMode="External"/><Relationship Id="rId10" Type="http://schemas.openxmlformats.org/officeDocument/2006/relationships/hyperlink" Target="http://www.theatlantic.com/national/archive/2012/06/from-off-the-wall-to-on-the-wall-how-the-mandate-challenge-went-mainstream/" TargetMode="External"/><Relationship Id="rId4" Type="http://schemas.openxmlformats.org/officeDocument/2006/relationships/hyperlink" Target="http://tpmmuckraker.talkingpointsmemo.com/2010/03/debate_planners_cant_find_anyone_to_argue_that_hea.php" TargetMode="External"/><Relationship Id="rId9" Type="http://schemas.openxmlformats.org/officeDocument/2006/relationships/hyperlink" Target="http://usatoday30.usatoday.com/news/nation/2011-02-20-circuit-courtN.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F753A-13C1-495A-A6C3-FE243DE5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18458</Words>
  <Characters>105211</Characters>
  <Application>Microsoft Office Word</Application>
  <DocSecurity>0</DocSecurity>
  <Lines>876</Lines>
  <Paragraphs>246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KİREMİTCİ</dc:creator>
  <cp:keywords/>
  <dc:description/>
  <cp:lastModifiedBy>eslem kiremitci</cp:lastModifiedBy>
  <cp:revision>5</cp:revision>
  <cp:lastPrinted>2025-01-30T17:29:00Z</cp:lastPrinted>
  <dcterms:created xsi:type="dcterms:W3CDTF">2025-02-11T12:43:00Z</dcterms:created>
  <dcterms:modified xsi:type="dcterms:W3CDTF">2025-02-22T23:46:00Z</dcterms:modified>
</cp:coreProperties>
</file>