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Free Response Questions</w:t>
      </w:r>
    </w:p>
    <w:p>
      <w:pPr>
        <w:pStyle w:val="Heading2"/>
        <w:bidi w:val="0"/>
        <w:ind w:hanging="0" w:start="0"/>
        <w:jc w:val="start"/>
        <w:rPr/>
      </w:pPr>
      <w:r>
        <w:rPr/>
        <w:t>Q1</w:t>
      </w:r>
    </w:p>
    <w:p>
      <w:pPr>
        <w:pStyle w:val="BodyText"/>
        <w:bidi w:val="0"/>
        <w:jc w:val="start"/>
        <w:rPr/>
      </w:pPr>
      <w:r>
        <w:rPr/>
        <w:t>a.</w:t>
      </w:r>
    </w:p>
    <w:p>
      <w:pPr>
        <w:pStyle w:val="Heading2"/>
        <w:bidi w:val="0"/>
        <w:ind w:hanging="0" w:start="0"/>
        <w:jc w:val="start"/>
        <w:rPr/>
      </w:pPr>
      <w:r>
        <w:rPr/>
        <w:drawing>
          <wp:anchor behindDoc="0" distT="0" distB="0" distL="0" distR="0" simplePos="0" locked="0" layoutInCell="0" allowOverlap="1" relativeHeight="2">
            <wp:simplePos x="0" y="0"/>
            <wp:positionH relativeFrom="column">
              <wp:posOffset>1497330</wp:posOffset>
            </wp:positionH>
            <wp:positionV relativeFrom="paragraph">
              <wp:posOffset>100330</wp:posOffset>
            </wp:positionV>
            <wp:extent cx="2955290" cy="246189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955290" cy="246189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lineRule="auto" w:line="276" w:before="0" w:after="140"/>
        <w:jc w:val="start"/>
        <w:rPr/>
      </w:pPr>
      <w:r>
        <w:rPr/>
      </w:r>
    </w:p>
    <w:p>
      <w:pPr>
        <w:sectPr>
          <w:type w:val="continuous"/>
          <w:pgSz w:w="11906" w:h="16838"/>
          <w:pgMar w:left="1134" w:right="1134" w:gutter="0" w:header="0" w:top="1134" w:footer="0" w:bottom="1134"/>
          <w:formProt w:val="true"/>
          <w:textDirection w:val="lrTb"/>
          <w:docGrid w:type="default" w:linePitch="600" w:charSpace="32768"/>
        </w:sectPr>
      </w:pPr>
    </w:p>
    <w:p>
      <w:pPr>
        <w:pStyle w:val="Normal"/>
        <w:bidi w:val="0"/>
        <w:jc w:val="start"/>
        <w:rPr/>
      </w:pPr>
      <w:r>
        <w:rPr/>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t>b</w:t>
      </w:r>
    </w:p>
    <w:p>
      <w:pPr>
        <w:pStyle w:val="Normal"/>
        <w:bidi w:val="0"/>
        <w:jc w:val="start"/>
        <w:rPr>
          <w:caps w:val="false"/>
          <w:smallCaps w:val="false"/>
        </w:rPr>
      </w:pPr>
      <w:r>
        <w:rPr>
          <w:caps w:val="false"/>
          <w:smallCaps w:val="false"/>
        </w:rPr>
      </w:r>
    </w:p>
    <w:p>
      <w:pPr>
        <w:pStyle w:val="Normal"/>
        <w:bidi w:val="0"/>
        <w:jc w:val="start"/>
        <w:rPr>
          <w:caps w:val="false"/>
          <w:smallCaps w:val="false"/>
        </w:rPr>
      </w:pPr>
      <w:r>
        <w:rPr>
          <w:caps w:val="false"/>
          <w:smallCaps w:val="false"/>
        </w:rPr>
      </w:r>
      <m:oMathPara xmlns:m="http://schemas.openxmlformats.org/officeDocument/2006/math">
        <m:oMathParaPr>
          <m:jc m:val="left"/>
        </m:oMathParaPr>
        <m:oMath>
          <m:eqArr>
            <m:e>
              <m:r>
                <m:t xml:space="preserve">M</m:t>
              </m:r>
              <m:r>
                <m:t xml:space="preserve">=</m:t>
              </m:r>
              <m:f>
                <m:fPr>
                  <m:type m:val="lin"/>
                </m:fPr>
                <m:num>
                  <m:r>
                    <m:t xml:space="preserve">mol</m:t>
                  </m:r>
                </m:num>
                <m:den>
                  <m:r>
                    <m:t xml:space="preserve">L</m:t>
                  </m:r>
                </m:den>
              </m:f>
            </m:e>
            <m:e/>
            <m:e>
              <m:f>
                <m:num>
                  <m:r>
                    <m:t xml:space="preserve">10.22</m:t>
                  </m:r>
                  <m:r>
                    <m:t xml:space="preserve">g</m:t>
                  </m:r>
                </m:num>
                <m:den>
                  <m:r>
                    <m:t xml:space="preserve">40.00</m:t>
                  </m:r>
                  <m:f>
                    <m:fPr>
                      <m:type m:val="lin"/>
                    </m:fPr>
                    <m:num>
                      <m:r>
                        <m:t xml:space="preserve">g</m:t>
                      </m:r>
                    </m:num>
                    <m:den>
                      <m:r>
                        <m:t xml:space="preserve">mol</m:t>
                      </m:r>
                    </m:den>
                  </m:f>
                </m:den>
              </m:f>
              <m:r>
                <m:t xml:space="preserve">=</m:t>
              </m:r>
              <m:r>
                <m:t xml:space="preserve">0.2555</m:t>
              </m:r>
              <m:r>
                <m:t xml:space="preserve">mol</m:t>
              </m:r>
            </m:e>
            <m:e/>
            <m:e>
              <m:f>
                <m:num>
                  <m:r>
                    <m:t xml:space="preserve">0.2555</m:t>
                  </m:r>
                  <m:r>
                    <m:t xml:space="preserve">mol</m:t>
                  </m:r>
                </m:num>
                <m:den>
                  <m:r>
                    <m:t xml:space="preserve">0.5</m:t>
                  </m:r>
                  <m:r>
                    <m:t xml:space="preserve">L</m:t>
                  </m:r>
                </m:den>
              </m:f>
              <m:r>
                <m:t xml:space="preserve">=</m:t>
              </m:r>
              <m:r>
                <m:t xml:space="preserve">0.511</m:t>
              </m:r>
              <m:r>
                <m:t xml:space="preserve">M</m:t>
              </m:r>
            </m:e>
          </m:eqArr>
        </m:oMath>
      </m:oMathPara>
    </w:p>
    <w:p>
      <w:pPr>
        <w:pStyle w:val="Normal"/>
        <w:bidi w:val="0"/>
        <w:jc w:val="start"/>
        <w:rPr/>
      </w:pPr>
      <w:r>
        <w:rPr/>
      </w:r>
    </w:p>
    <w:p>
      <w:pPr>
        <w:pStyle w:val="Normal"/>
        <w:bidi w:val="0"/>
        <w:jc w:val="start"/>
        <w:rPr/>
      </w:pPr>
      <w:r>
        <w:rPr/>
        <w:t>c.</w:t>
      </w:r>
    </w:p>
    <w:p>
      <w:pPr>
        <w:pStyle w:val="Normal"/>
        <w:bidi w:val="0"/>
        <w:jc w:val="start"/>
        <w:rPr/>
      </w:pPr>
      <w:r>
        <w:rPr/>
      </w:r>
    </w:p>
    <w:p>
      <w:pPr>
        <w:pStyle w:val="Normal"/>
        <w:bidi w:val="0"/>
        <w:jc w:val="start"/>
        <w:rPr/>
      </w:pPr>
      <w:r>
        <w:rPr/>
        <w:t xml:space="preserve">pKa = pH at half equivalance point. 16mL of NaOH is needed to neutralize completely so 8mL is needed to reach half equivalance point, 8mL corresponds pH of 4, therfore pKa of lactic acid is approximately 4. </w:t>
      </w:r>
    </w:p>
    <w:p>
      <w:pPr>
        <w:pStyle w:val="Normal"/>
        <w:bidi w:val="0"/>
        <w:jc w:val="start"/>
        <w:rPr/>
      </w:pPr>
      <w:r>
        <w:rPr/>
      </w:r>
    </w:p>
    <w:p>
      <w:pPr>
        <w:pStyle w:val="Normal"/>
        <w:bidi w:val="0"/>
        <w:jc w:val="start"/>
        <w:rPr/>
      </w:pPr>
      <w:r>
        <w:rPr/>
        <w:t>d.</w:t>
      </w:r>
    </w:p>
    <w:p>
      <w:pPr>
        <w:pStyle w:val="Normal"/>
        <w:bidi w:val="0"/>
        <w:jc w:val="start"/>
        <w:rPr/>
      </w:pPr>
      <w:r>
        <w:rPr/>
      </w:r>
    </w:p>
    <w:p>
      <w:pPr>
        <w:pStyle w:val="Normal"/>
        <w:bidi w:val="0"/>
        <w:jc w:val="start"/>
        <w:rPr/>
      </w:pPr>
      <w:r>
        <w:rPr/>
        <w:t>i.</w:t>
      </w:r>
    </w:p>
    <w:p>
      <w:pPr>
        <w:pStyle w:val="Normal"/>
        <w:bidi w:val="0"/>
        <w:jc w:val="start"/>
        <w:rPr/>
      </w:pPr>
      <w:r>
        <w:rPr/>
        <w:drawing>
          <wp:anchor behindDoc="0" distT="0" distB="0" distL="0" distR="0" simplePos="0" locked="0" layoutInCell="0" allowOverlap="1" relativeHeight="4">
            <wp:simplePos x="0" y="0"/>
            <wp:positionH relativeFrom="column">
              <wp:posOffset>-1270</wp:posOffset>
            </wp:positionH>
            <wp:positionV relativeFrom="paragraph">
              <wp:posOffset>68580</wp:posOffset>
            </wp:positionV>
            <wp:extent cx="3928745" cy="162496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928745" cy="162496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0" distB="0" distL="0" distR="0" simplePos="0" locked="0" layoutInCell="1" allowOverlap="1" relativeHeight="5">
                <wp:simplePos x="0" y="0"/>
                <wp:positionH relativeFrom="column">
                  <wp:posOffset>908050</wp:posOffset>
                </wp:positionH>
                <wp:positionV relativeFrom="paragraph">
                  <wp:posOffset>99060</wp:posOffset>
                </wp:positionV>
                <wp:extent cx="107315" cy="229870"/>
                <wp:effectExtent l="0" t="0" r="0" b="0"/>
                <wp:wrapNone/>
                <wp:docPr id="3" name="Text Frame 1"/>
                <a:graphic xmlns:a="http://schemas.openxmlformats.org/drawingml/2006/main">
                  <a:graphicData uri="http://schemas.microsoft.com/office/word/2010/wordprocessingShape">
                    <wps:wsp>
                      <wps:cNvSpPr txBox="1"/>
                      <wps:spPr>
                        <a:xfrm>
                          <a:off x="0" y="0"/>
                          <a:ext cx="107280" cy="230040"/>
                        </a:xfrm>
                        <a:prstGeom prst="rect">
                          <a:avLst/>
                        </a:prstGeom>
                        <a:noFill/>
                        <a:ln w="0">
                          <a:noFill/>
                        </a:ln>
                      </wps:spPr>
                      <wps:txbx>
                        <w:txbxContent>
                          <w:p>
                            <w:pPr>
                              <w:bidi w:val="0"/>
                              <w:rPr/>
                            </w:pPr>
                            <w:r>
                              <w:rPr>
                                <w:sz w:val="24"/>
                                <w:color w:val="C9211E"/>
                              </w:rPr>
                              <w:t>X</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71.5pt;margin-top:7.8pt;width:8.4pt;height:18.05pt;mso-wrap-style:square;v-text-anchor:top" type="_x0000_t202">
                <v:textbox>
                  <w:txbxContent>
                    <w:p>
                      <w:pPr>
                        <w:bidi w:val="0"/>
                        <w:rPr/>
                      </w:pPr>
                      <w:r>
                        <w:rPr>
                          <w:sz w:val="24"/>
                          <w:color w:val="C9211E"/>
                        </w:rPr>
                        <w:t>X</w:t>
                      </w:r>
                    </w:p>
                  </w:txbxContent>
                </v:textbox>
                <v:fill o:detectmouseclick="t" on="false"/>
                <v:stroke color="#3465a4" joinstyle="round" endcap="flat"/>
                <w10:wrap type="none"/>
              </v:shap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ii.</w:t>
      </w:r>
    </w:p>
    <w:p>
      <w:pPr>
        <w:pStyle w:val="Normal"/>
        <w:bidi w:val="0"/>
        <w:jc w:val="start"/>
        <w:rPr/>
      </w:pPr>
      <w:r>
        <w:rPr/>
      </w:r>
    </w:p>
    <w:p>
      <w:pPr>
        <w:pStyle w:val="Normal"/>
        <w:bidi w:val="0"/>
        <w:jc w:val="start"/>
        <w:rPr/>
      </w:pPr>
      <w:r>
        <w:rPr/>
        <w:t xml:space="preserve">In diagram, 1/3 of lactic acid is neutralized. If it was completely neutralized, the volume of NaOH added would be 16 mL as it is seen at equivalence point on the plot. 1/3 of 16mL is about 5.3mL. </w:t>
      </w:r>
    </w:p>
    <w:p>
      <w:pPr>
        <w:pStyle w:val="Normal"/>
        <w:bidi w:val="0"/>
        <w:jc w:val="start"/>
        <w:rPr/>
      </w:pPr>
      <w:r>
        <w:rPr/>
      </w:r>
    </w:p>
    <w:p>
      <w:pPr>
        <w:pStyle w:val="Normal"/>
        <w:bidi w:val="0"/>
        <w:jc w:val="start"/>
        <w:rPr/>
      </w:pPr>
      <w:r>
        <w:rPr/>
        <w:t>iii.</w:t>
      </w:r>
    </w:p>
    <w:p>
      <w:pPr>
        <w:pStyle w:val="Normal"/>
        <w:bidi w:val="0"/>
        <w:jc w:val="start"/>
        <w:rPr/>
      </w:pPr>
      <w:r>
        <w:rPr/>
        <w:t xml:space="preserve">Amount of solute NaOH is </w:t>
      </w:r>
      <w:r>
        <w:rPr/>
        <w:t>doubled</w:t>
      </w:r>
      <w:r>
        <w:rPr/>
        <w:t xml:space="preserve">, </w:t>
      </w:r>
      <w:r>
        <w:rPr/>
        <w:t>molar</w:t>
      </w:r>
      <w:r>
        <w:rPr/>
        <w:t xml:space="preserve"> concentration of NaOH is doubled. </w:t>
      </w:r>
      <w:r>
        <w:rPr/>
        <w:t>Half</w:t>
      </w:r>
      <w:r>
        <w:rPr/>
        <w:t xml:space="preserve"> volume of more concentrared NaOH solution is </w:t>
      </w:r>
      <w:r>
        <w:rPr/>
        <w:t xml:space="preserve">needed to reach equivalance point.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posOffset>302260</wp:posOffset>
            </wp:positionH>
            <wp:positionV relativeFrom="paragraph">
              <wp:posOffset>29845</wp:posOffset>
            </wp:positionV>
            <wp:extent cx="4512310" cy="1917700"/>
            <wp:effectExtent l="0" t="0" r="0" b="0"/>
            <wp:wrapSquare wrapText="largest"/>
            <wp:docPr id="4"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descr="" title=""/>
                    <pic:cNvPicPr>
                      <a:picLocks noChangeAspect="1" noChangeArrowheads="1"/>
                    </pic:cNvPicPr>
                  </pic:nvPicPr>
                  <pic:blipFill>
                    <a:blip r:embed="rId4"/>
                    <a:srcRect l="4589" t="4770" r="2712" b="0"/>
                    <a:stretch>
                      <a:fillRect/>
                    </a:stretch>
                  </pic:blipFill>
                  <pic:spPr bwMode="auto">
                    <a:xfrm>
                      <a:off x="0" y="0"/>
                      <a:ext cx="4512310" cy="1917700"/>
                    </a:xfrm>
                    <a:prstGeom prst="rect">
                      <a:avLst/>
                    </a:prstGeom>
                  </pic:spPr>
                </pic:pic>
              </a:graphicData>
            </a:graphic>
          </wp:anchor>
        </w:drawing>
      </w:r>
    </w:p>
    <w:p>
      <w:pPr>
        <w:pStyle w:val="Normal"/>
        <w:bidi w:val="0"/>
        <w:jc w:val="start"/>
        <w:rPr/>
      </w:pPr>
      <w:r>
        <w:rPr/>
        <mc:AlternateContent>
          <mc:Choice Requires="wps">
            <w:drawing>
              <wp:anchor behindDoc="0" distT="0" distB="0" distL="0" distR="0" simplePos="0" locked="0" layoutInCell="1" allowOverlap="1" relativeHeight="9">
                <wp:simplePos x="0" y="0"/>
                <wp:positionH relativeFrom="column">
                  <wp:posOffset>653415</wp:posOffset>
                </wp:positionH>
                <wp:positionV relativeFrom="paragraph">
                  <wp:posOffset>76200</wp:posOffset>
                </wp:positionV>
                <wp:extent cx="2055495" cy="1080770"/>
                <wp:effectExtent l="9525" t="9525" r="9525" b="9525"/>
                <wp:wrapNone/>
                <wp:docPr id="5" name="Bézier curve 1"/>
                <a:graphic xmlns:a="http://schemas.openxmlformats.org/drawingml/2006/main">
                  <a:graphicData uri="http://schemas.microsoft.com/office/word/2010/wordprocessingShape">
                    <wps:wsp>
                      <wps:cNvSpPr/>
                      <wps:spPr>
                        <a:xfrm>
                          <a:off x="0" y="0"/>
                          <a:ext cx="2055600" cy="1080720"/>
                        </a:xfrm>
                        <a:custGeom>
                          <a:avLst/>
                          <a:gdLst/>
                          <a:ahLst/>
                          <a:rect l="0" t="0" r="r" b="b"/>
                          <a:pathLst>
                            <a:path fill="none" w="5710" h="3002">
                              <a:moveTo>
                                <a:pt x="0" y="3001"/>
                              </a:moveTo>
                              <a:cubicBezTo>
                                <a:pt x="157" y="2827"/>
                                <a:pt x="380" y="2719"/>
                                <a:pt x="600" y="2682"/>
                              </a:cubicBezTo>
                              <a:cubicBezTo>
                                <a:pt x="833" y="2643"/>
                                <a:pt x="1054" y="2626"/>
                                <a:pt x="1269" y="2555"/>
                              </a:cubicBezTo>
                              <a:cubicBezTo>
                                <a:pt x="1436" y="2500"/>
                                <a:pt x="1608" y="2526"/>
                                <a:pt x="1783" y="2501"/>
                              </a:cubicBezTo>
                              <a:cubicBezTo>
                                <a:pt x="1942" y="2477"/>
                                <a:pt x="2094" y="2453"/>
                                <a:pt x="2256" y="2444"/>
                              </a:cubicBezTo>
                              <a:cubicBezTo>
                                <a:pt x="2464" y="2432"/>
                                <a:pt x="2632" y="2262"/>
                                <a:pt x="2731" y="2096"/>
                              </a:cubicBezTo>
                              <a:cubicBezTo>
                                <a:pt x="2809" y="1966"/>
                                <a:pt x="2740" y="1797"/>
                                <a:pt x="2758" y="1650"/>
                              </a:cubicBezTo>
                              <a:cubicBezTo>
                                <a:pt x="2775" y="1498"/>
                                <a:pt x="2719" y="1357"/>
                                <a:pt x="2731" y="1206"/>
                              </a:cubicBezTo>
                              <a:cubicBezTo>
                                <a:pt x="2744" y="1047"/>
                                <a:pt x="2774" y="892"/>
                                <a:pt x="2772" y="731"/>
                              </a:cubicBezTo>
                              <a:cubicBezTo>
                                <a:pt x="2770" y="539"/>
                                <a:pt x="2711" y="345"/>
                                <a:pt x="2757" y="161"/>
                              </a:cubicBezTo>
                              <a:cubicBezTo>
                                <a:pt x="2821" y="-91"/>
                                <a:pt x="3092" y="30"/>
                                <a:pt x="3272" y="22"/>
                              </a:cubicBezTo>
                              <a:cubicBezTo>
                                <a:pt x="3477" y="13"/>
                                <a:pt x="3681" y="15"/>
                                <a:pt x="3886" y="8"/>
                              </a:cubicBezTo>
                              <a:cubicBezTo>
                                <a:pt x="4077" y="1"/>
                                <a:pt x="4267" y="31"/>
                                <a:pt x="4456" y="22"/>
                              </a:cubicBezTo>
                              <a:cubicBezTo>
                                <a:pt x="4691" y="11"/>
                                <a:pt x="4916" y="89"/>
                                <a:pt x="5153" y="63"/>
                              </a:cubicBezTo>
                              <a:lnTo>
                                <a:pt x="5349" y="91"/>
                              </a:lnTo>
                              <a:lnTo>
                                <a:pt x="5613" y="105"/>
                              </a:lnTo>
                              <a:lnTo>
                                <a:pt x="5710" y="105"/>
                              </a:lnTo>
                            </a:path>
                          </a:pathLst>
                        </a:custGeom>
                        <a:ln w="18360">
                          <a:solidFill>
                            <a:srgbClr val="ff0000"/>
                          </a:solidFill>
                          <a:round/>
                        </a:ln>
                      </wps:spPr>
                      <wps:bodyPr/>
                    </wps:wsp>
                  </a:graphicData>
                </a:graphic>
              </wp:anchor>
            </w:drawing>
          </mc:Choice>
          <mc:Fallback>
            <w:pict>
              <v:shape id="shape_0" ID="Bézier curve 1" coordsize="5711,3093" path="m0,3092c157,2918,380,2810,600,2773c833,2734,1054,2717,1269,2646c1436,2591,1608,2617,1783,2592c1942,2568,2094,2544,2256,2535c2464,2523,2632,2353,2731,2187c2809,2057,2740,1888,2758,1741c2775,1589,2719,1448,2731,1297c2744,1138,2774,983,2772,822c2770,630,2711,436,2757,252c2821,0,3092,121,3272,113c3477,104,3681,106,3886,99c4077,92,4267,122,4456,113c4691,102,4916,180,5153,154l5349,182l5613,196l5710,196e" stroked="t" o:allowincell="f" style="position:absolute;margin-left:51.45pt;margin-top:6pt;width:161.8pt;height:85.05pt">
                <v:stroke color="red" weight="18360" joinstyle="round" endcap="flat"/>
                <v:fill o:detectmouseclick="t" on="false"/>
                <w10:wrap type="none"/>
              </v:shap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e.</w:t>
      </w:r>
    </w:p>
    <w:p>
      <w:pPr>
        <w:pStyle w:val="Normal"/>
        <w:bidi w:val="0"/>
        <w:jc w:val="start"/>
        <w:rPr/>
      </w:pPr>
      <w:r>
        <w:rPr/>
      </w:r>
    </w:p>
    <w:p>
      <w:pPr>
        <w:pStyle w:val="Normal"/>
        <w:bidi w:val="0"/>
        <w:jc w:val="start"/>
        <w:rPr/>
      </w:pPr>
      <w:r>
        <w:rPr/>
        <w:t>i.</w:t>
      </w:r>
    </w:p>
    <w:p>
      <w:pPr>
        <w:pStyle w:val="Normal"/>
        <w:bidi w:val="0"/>
        <w:jc w:val="start"/>
        <w:rPr/>
      </w:pPr>
      <w:r>
        <w:rPr/>
      </w:r>
    </w:p>
    <w:p>
      <w:pPr>
        <w:pStyle w:val="Normal"/>
        <w:bidi w:val="0"/>
        <w:jc w:val="start"/>
        <w:rPr/>
      </w:pPr>
      <w:r>
        <w:rPr/>
      </w:r>
      <m:oMathPara xmlns:m="http://schemas.openxmlformats.org/officeDocument/2006/math">
        <m:oMathParaPr>
          <m:jc m:val="left"/>
        </m:oMathParaPr>
        <m:oMath>
          <m:eqArr>
            <m:e>
              <m:r>
                <m:t xml:space="preserve">q</m:t>
              </m:r>
              <m:r>
                <m:t xml:space="preserve">=</m:t>
              </m:r>
              <m:r>
                <m:t xml:space="preserve">c</m:t>
              </m:r>
              <m:r>
                <m:t xml:space="preserve">∗</m:t>
              </m:r>
              <m:r>
                <m:t xml:space="preserve">m</m:t>
              </m:r>
              <m:r>
                <m:t xml:space="preserve">∗</m:t>
              </m:r>
              <m:r>
                <m:t xml:space="preserve">Δ</m:t>
              </m:r>
              <m:r>
                <m:t xml:space="preserve">T</m:t>
              </m:r>
            </m:e>
            <m:e/>
            <m:e>
              <m:r>
                <m:t xml:space="preserve">m</m:t>
              </m:r>
              <m:r>
                <m:t xml:space="preserve">=</m:t>
              </m:r>
              <m:r>
                <m:t xml:space="preserve">200</m:t>
              </m:r>
              <m:r>
                <m:t xml:space="preserve">mL</m:t>
              </m:r>
              <m:r>
                <m:t xml:space="preserve">∗</m:t>
              </m:r>
              <m:r>
                <m:t xml:space="preserve">1.00</m:t>
              </m:r>
              <m:f>
                <m:num>
                  <m:r>
                    <m:t xml:space="preserve">g</m:t>
                  </m:r>
                </m:num>
                <m:den>
                  <m:r>
                    <m:t xml:space="preserve">mL</m:t>
                  </m:r>
                </m:den>
              </m:f>
              <m:r>
                <m:t xml:space="preserve">=</m:t>
              </m:r>
              <m:r>
                <m:t xml:space="preserve">200</m:t>
              </m:r>
              <m:r>
                <m:t xml:space="preserve">g</m:t>
              </m:r>
            </m:e>
            <m:e/>
            <m:e>
              <m:r>
                <m:t xml:space="preserve">q</m:t>
              </m:r>
              <m:r>
                <m:t xml:space="preserve">=</m:t>
              </m:r>
              <m:r>
                <m:t xml:space="preserve">4.2</m:t>
              </m:r>
              <m:f>
                <m:num>
                  <m:r>
                    <m:t xml:space="preserve">J</m:t>
                  </m:r>
                </m:num>
                <m:den>
                  <m:r>
                    <m:t xml:space="preserve">g</m:t>
                  </m:r>
                  <m:r>
                    <m:t xml:space="preserve">∗</m:t>
                  </m:r>
                </m:den>
              </m:f>
              <m:r>
                <m:t xml:space="preserve">∗</m:t>
              </m:r>
              <m:r>
                <m:t xml:space="preserve">200</m:t>
              </m:r>
              <m:r>
                <m:t xml:space="preserve">g</m:t>
              </m:r>
              <m:r>
                <m:t xml:space="preserve">∗</m:t>
              </m:r>
              <m:d>
                <m:dPr>
                  <m:begChr m:val="("/>
                  <m:endChr m:val=")"/>
                </m:dPr>
                <m:e>
                  <m:r>
                    <m:t xml:space="preserve">23.2</m:t>
                  </m:r>
                  <m:r>
                    <m:t xml:space="preserve">−</m:t>
                  </m:r>
                  <m:r>
                    <m:t xml:space="preserve">20</m:t>
                  </m:r>
                </m:e>
              </m:d>
              <m:r>
                <m:t xml:space="preserve">=</m:t>
              </m:r>
              <m:r>
                <m:t xml:space="preserve">2.688</m:t>
              </m:r>
              <m:r>
                <m:t xml:space="preserve">×</m:t>
              </m:r>
              <m:sSup>
                <m:e>
                  <m:r>
                    <m:t xml:space="preserve">10</m:t>
                  </m:r>
                </m:e>
                <m:sup>
                  <m:r>
                    <m:t xml:space="preserve">3</m:t>
                  </m:r>
                </m:sup>
              </m:sSup>
              <m:r>
                <m:t xml:space="preserve">J</m:t>
              </m:r>
            </m:e>
          </m:eqArr>
        </m:oMath>
      </m:oMathPara>
    </w:p>
    <w:p>
      <w:pPr>
        <w:pStyle w:val="Normal"/>
        <w:bidi w:val="0"/>
        <w:jc w:val="start"/>
        <w:rPr/>
      </w:pPr>
      <w:r>
        <w:rPr/>
      </w:r>
    </w:p>
    <w:p>
      <w:pPr>
        <w:pStyle w:val="Normal"/>
        <w:bidi w:val="0"/>
        <w:jc w:val="start"/>
        <w:rPr/>
      </w:pPr>
      <w:r>
        <w:rPr/>
      </w:r>
    </w:p>
    <w:p>
      <w:pPr>
        <w:pStyle w:val="Normal"/>
        <w:bidi w:val="0"/>
        <w:jc w:val="start"/>
        <w:rPr/>
      </w:pPr>
      <w:r>
        <w:rPr/>
        <w:t>ii.</w:t>
      </w:r>
    </w:p>
    <w:p>
      <w:pPr>
        <w:pStyle w:val="Normal"/>
        <w:bidi w:val="0"/>
        <w:jc w:val="start"/>
        <w:rPr/>
      </w:pPr>
      <w:r>
        <w:rPr/>
      </w:r>
    </w:p>
    <w:p>
      <w:pPr>
        <w:pStyle w:val="Normal"/>
        <w:bidi w:val="0"/>
        <w:jc w:val="start"/>
        <w:rPr/>
      </w:pPr>
      <w:r>
        <w:rPr/>
        <w:t>C₃H₆O₃(aq) + NaOH(aq) → NaC₃H₅O₃(aq) + H₂O(l)</w:t>
      </w:r>
    </w:p>
    <w:p>
      <w:pPr>
        <w:pStyle w:val="Normal"/>
        <w:bidi w:val="0"/>
        <w:jc w:val="start"/>
        <w:rPr/>
      </w:pPr>
      <w:r>
        <w:rPr/>
      </w:r>
    </w:p>
    <w:p>
      <w:pPr>
        <w:pStyle w:val="Normal"/>
        <w:bidi w:val="0"/>
        <w:jc w:val="start"/>
        <w:rPr/>
      </w:pPr>
      <w:r>
        <w:rPr/>
        <w:t>Balanced reaction</w:t>
      </w:r>
    </w:p>
    <w:p>
      <w:pPr>
        <w:pStyle w:val="Normal"/>
        <w:bidi w:val="0"/>
        <w:jc w:val="start"/>
        <w:rPr/>
      </w:pPr>
      <w:r>
        <w:rPr/>
      </w:r>
    </w:p>
    <w:p>
      <w:pPr>
        <w:pStyle w:val="Normal"/>
        <w:bidi w:val="0"/>
        <w:jc w:val="start"/>
        <w:rPr/>
      </w:pPr>
      <w:r>
        <w:rPr/>
      </w:r>
      <m:oMathPara xmlns:m="http://schemas.openxmlformats.org/officeDocument/2006/math">
        <m:oMathParaPr>
          <m:jc m:val="left"/>
        </m:oMathParaPr>
        <m:oMath>
          <m:eqArr>
            <m:e>
              <m:r>
                <m:t xml:space="preserve">0.1</m:t>
              </m:r>
              <m:r>
                <m:t xml:space="preserve">L</m:t>
              </m:r>
              <m:r>
                <m:t xml:space="preserve">∗</m:t>
              </m:r>
              <m:r>
                <m:t xml:space="preserve">0.500</m:t>
              </m:r>
              <m:r>
                <m:t xml:space="preserve">M</m:t>
              </m:r>
              <m:r>
                <m:t xml:space="preserve">=</m:t>
              </m:r>
              <m:r>
                <m:t xml:space="preserve">0.0500</m:t>
              </m:r>
              <m:r>
                <m:t xml:space="preserve">mol</m:t>
              </m:r>
              <m:r>
                <m:t xml:space="preserve">lactic</m:t>
              </m:r>
              <m:r>
                <m:t xml:space="preserve">acid</m:t>
              </m:r>
            </m:e>
            <m:e>
              <m:r>
                <m:t xml:space="preserve">0.0500</m:t>
              </m:r>
              <m:r>
                <m:t xml:space="preserve">mol</m:t>
              </m:r>
              <m:r>
                <m:t xml:space="preserve"> </m:t>
              </m:r>
              <m:r>
                <m:t xml:space="preserve">2.688</m:t>
              </m:r>
              <m:r>
                <m:t xml:space="preserve">×</m:t>
              </m:r>
              <m:r>
                <m:t xml:space="preserve">10³</m:t>
              </m:r>
              <m:r>
                <m:t xml:space="preserve">J</m:t>
              </m:r>
            </m:e>
            <m:e>
              <m:f>
                <m:num>
                  <m:r>
                    <m:t xml:space="preserve">2.688</m:t>
                  </m:r>
                  <m:r>
                    <m:t xml:space="preserve">×</m:t>
                  </m:r>
                  <m:r>
                    <m:t xml:space="preserve">10³</m:t>
                  </m:r>
                  <m:r>
                    <m:t xml:space="preserve">J</m:t>
                  </m:r>
                </m:num>
                <m:den>
                  <m:r>
                    <m:t xml:space="preserve">0.0500</m:t>
                  </m:r>
                  <m:r>
                    <m:t xml:space="preserve">mol</m:t>
                  </m:r>
                </m:den>
              </m:f>
              <m:r>
                <m:t xml:space="preserve">=</m:t>
              </m:r>
              <m:r>
                <m:t xml:space="preserve">5.376</m:t>
              </m:r>
              <m:r>
                <m:t xml:space="preserve">×</m:t>
              </m:r>
              <m:r>
                <m:t xml:space="preserve">10⁴</m:t>
              </m:r>
              <m:f>
                <m:num>
                  <m:r>
                    <m:t xml:space="preserve">J</m:t>
                  </m:r>
                </m:num>
                <m:den>
                  <m:r>
                    <m:t xml:space="preserve">mol</m:t>
                  </m:r>
                </m:den>
              </m:f>
              <m:r>
                <m:t xml:space="preserve">=</m:t>
              </m:r>
              <m:r>
                <m:t xml:space="preserve">−</m:t>
              </m:r>
              <m:r>
                <m:t xml:space="preserve">50.376</m:t>
              </m:r>
              <m:f>
                <m:num>
                  <m:r>
                    <m:t xml:space="preserve">kJ</m:t>
                  </m:r>
                </m:num>
                <m:den>
                  <m:r>
                    <m:t xml:space="preserve">mol</m:t>
                  </m:r>
                </m:den>
              </m:f>
            </m:e>
          </m:eqArr>
        </m:oMath>
      </m:oMathPara>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iii.</w:t>
      </w:r>
    </w:p>
    <w:p>
      <w:pPr>
        <w:pStyle w:val="Normal"/>
        <w:bidi w:val="0"/>
        <w:jc w:val="start"/>
        <w:rPr/>
      </w:pPr>
      <w:r>
        <w:rPr/>
        <w:t xml:space="preserve">Agree.  </w:t>
      </w:r>
      <w:r>
        <w:rPr/>
        <w:t xml:space="preserve">Some of heat is lost to surrounding air, final temperature will be lower than expected, therefore it will result lower temperature change,  lower heat of reaction and lower molar enthalpy. </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169</Words>
  <Characters>732</Characters>
  <CharactersWithSpaces>874</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2026-01-13T18:51:37Z</dcterms:created>
  <dc:creator/>
  <dc:description/>
  <dc:language>en-US</dc:language>
  <cp:lastModifiedBy/>
  <dcterms:modified xsi:type="dcterms:W3CDTF">2026-01-13T23:00:34Z</dcterms:modified>
  <cp:revision>2</cp:revision>
  <dc:subject/>
  <dc:title/>
</cp:coreProperties>
</file>