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b/>
          <w:bCs/>
          <w:color w:val="1F3864"/>
          <w:sz w:val="36"/>
          <w:szCs w:val="36"/>
        </w:rPr>
        <w:t xml:space="preserve">atares</w:t>
      </w:r>
      <w:r>
        <w:rPr>
          <w:color w:val="595959"/>
          <w:sz w:val="20"/>
          <w:szCs w:val="20"/>
        </w:rPr>
        <w:t xml:space="preserve">  ·  pitchbook fill guide</w:t>
      </w:r>
    </w:p>
    <w:p>
      <w:pPr>
        <w:pBdr>
          <w:bottom w:val="single" w:color="1F3864" w:sz="12" w:space="8"/>
        </w:pBdr>
        <w:spacing w:after="0" w:before="20"/>
      </w:pPr>
    </w:p>
    <w:p>
      <w:pPr>
        <w:spacing w:after="40" w:before="500"/>
      </w:pPr>
      <w:r>
        <w:rPr>
          <w:b/>
          <w:bCs/>
          <w:color w:val="1F3864"/>
          <w:sz w:val="54"/>
          <w:szCs w:val="54"/>
        </w:rPr>
        <w:t xml:space="preserve">Project Vision</w:t>
      </w:r>
    </w:p>
    <w:p>
      <w:pPr>
        <w:spacing w:after="30"/>
      </w:pPr>
      <w:r>
        <w:rPr>
          <w:color w:val="2E5496"/>
          <w:sz w:val="30"/>
          <w:szCs w:val="30"/>
        </w:rPr>
        <w:t xml:space="preserve">Pitchbook — slide-by-slide fill guide</w:t>
      </w:r>
    </w:p>
    <w:p>
      <w:pPr>
        <w:spacing w:after="260"/>
      </w:pPr>
      <w:r>
        <w:rPr>
          <w:i/>
          <w:iCs/>
          <w:color w:val="595959"/>
          <w:sz w:val="22"/>
          <w:szCs w:val="22"/>
        </w:rPr>
        <w:t xml:space="preserve">Sell-side pitch to EnBW for the 100% divestment of WTT CampusOne GmbH</w:t>
      </w:r>
    </w:p>
    <w:p>
      <w:pPr>
        <w:spacing w:after="20" w:line="272"/>
      </w:pPr>
      <w:r>
        <w:rPr>
          <w:b/>
          <w:bCs/>
          <w:sz w:val="21"/>
          <w:szCs w:val="21"/>
        </w:rPr>
        <w:t xml:space="preserve">For: </w:t>
      </w:r>
      <w:r>
        <w:rPr>
          <w:sz w:val="21"/>
          <w:szCs w:val="21"/>
        </w:rPr>
        <w:t xml:space="preserve">Esma Xibri, atares — to type into </w:t>
      </w:r>
      <w:r>
        <w:rPr>
          <w:i/>
          <w:iCs/>
          <w:sz w:val="21"/>
          <w:szCs w:val="21"/>
        </w:rPr>
        <w:t xml:space="preserve">20260807_ Project Vision_Pitchbook.pptx</w:t>
      </w:r>
      <w:r>
        <w:rPr>
          <w:sz w:val="21"/>
          <w:szCs w:val="21"/>
        </w:rPr>
        <w:t xml:space="preserve"> in PowerPoint.</w:t>
      </w:r>
    </w:p>
    <w:p>
      <w:pPr>
        <w:spacing w:after="20" w:line="272"/>
      </w:pPr>
      <w:r>
        <w:rPr>
          <w:b/>
          <w:bCs/>
          <w:sz w:val="21"/>
          <w:szCs w:val="21"/>
        </w:rPr>
        <w:t xml:space="preserve">Scope: </w:t>
      </w:r>
      <w:r>
        <w:rPr>
          <w:sz w:val="21"/>
          <w:szCs w:val="21"/>
        </w:rPr>
        <w:t xml:space="preserve">Sections 2–6. Section 1 (atares at a glance) and the internal guidance pages are left as-is per your instruction.</w:t>
      </w:r>
    </w:p>
    <w:p>
      <w:pPr>
        <w:spacing w:after="20" w:line="272"/>
      </w:pPr>
      <w:r>
        <w:rPr>
          <w:b/>
          <w:bCs/>
          <w:sz w:val="21"/>
          <w:szCs w:val="21"/>
        </w:rPr>
        <w:t xml:space="preserve">Date: </w:t>
      </w:r>
      <w:r>
        <w:rPr>
          <w:sz w:val="21"/>
          <w:szCs w:val="21"/>
        </w:rPr>
        <w:t xml:space="preserve">7 August 2026  ·  Language: English  ·  Mandate: sell-side</w:t>
      </w:r>
    </w:p>
    <w:p>
      <w:pPr>
        <w:spacing w:after="110" w:line="272"/>
      </w:pPr>
      <w:r>
        <w:rPr>
          <w:i/>
          <w:iCs/>
          <w:color w:val="C55A11"/>
          <w:sz w:val="20"/>
          <w:szCs w:val="20"/>
        </w:rPr>
        <w:t xml:space="preserve">Orange italic = a decision or a gap you must confirm before this goes to EnBW. ILLUSTRATIVE = replace with sourced figures from the valuation workbook.</w:t>
      </w:r>
    </w:p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864"/>
          <w:sz w:val="29"/>
          <w:szCs w:val="29"/>
        </w:rPr>
        <w:t xml:space="preserve">Read this first — six things that apply to the whole deck</w:t>
      </w:r>
    </w:p>
    <w:p>
      <w:pPr>
        <w:spacing w:after="110" w:line="272"/>
      </w:pPr>
      <w:r>
        <w:rPr>
          <w:b/>
          <w:bCs/>
          <w:sz w:val="21"/>
          <w:szCs w:val="21"/>
        </w:rPr>
        <w:t xml:space="preserve">1. The deck is a Michelscom clone. </w:t>
      </w:r>
      <w:r>
        <w:rPr>
          <w:sz w:val="21"/>
          <w:szCs w:val="21"/>
        </w:rPr>
        <w:t xml:space="preserve">Every slide still carries Michelscom’s content and the template’s example industries (battery storage, logistics, supply-chain tech, an IoT provider) plus XX / XXX / XYZ stand-ins and a sample contact card. Sweep all of it out — leftovers are unmissable to EnBW.</w:t>
      </w:r>
    </w:p>
    <w:p>
      <w:pPr>
        <w:spacing w:after="110" w:line="272"/>
      </w:pPr>
      <w:r>
        <w:rPr>
          <w:b/>
          <w:bCs/>
          <w:sz w:val="21"/>
          <w:szCs w:val="21"/>
        </w:rPr>
        <w:t xml:space="preserve">2. Delete the internal guidance pages before sending. </w:t>
      </w:r>
      <w:r>
        <w:rPr>
          <w:sz w:val="21"/>
          <w:szCs w:val="21"/>
        </w:rPr>
        <w:t xml:space="preserve">On the template these are the seven pages (2–8) that talk about the template itself — how to update it, the master, typography and consistency rules, how to write an action title, and the design-elements page. Keep the design-elements page handy while building; delete all seven only at the end.</w:t>
      </w:r>
    </w:p>
    <w:p>
      <w:pPr>
        <w:spacing w:after="110" w:line="272"/>
      </w:pPr>
      <w:r>
        <w:rPr>
          <w:b/>
          <w:bCs/>
          <w:sz w:val="21"/>
          <w:szCs w:val="21"/>
        </w:rPr>
        <w:t xml:space="preserve">3. Fix the agenda page numbers on all six dividers. </w:t>
      </w:r>
      <w:r>
        <w:rPr>
          <w:sz w:val="21"/>
          <w:szCs w:val="21"/>
        </w:rPr>
        <w:t xml:space="preserve">After you delete the guidance pages and add/remove any slides, recompute the six section start-pages and write the same corrected list onto every divider. Check each divider still bolds only its own row. The agenda is a table, so edit the table cells.</w:t>
      </w:r>
    </w:p>
    <w:p>
      <w:pPr>
        <w:spacing w:after="110" w:line="272"/>
      </w:pPr>
      <w:r>
        <w:rPr>
          <w:b/>
          <w:bCs/>
          <w:sz w:val="21"/>
          <w:szCs w:val="21"/>
        </w:rPr>
        <w:t xml:space="preserve">4. The two workbooks gate Section 5. </w:t>
      </w:r>
      <w:r>
        <w:rPr>
          <w:sz w:val="21"/>
          <w:szCs w:val="21"/>
        </w:rPr>
        <w:t xml:space="preserve">Roughly 15 slides (valuation + buyer universe) pull from a valuation workbook and a longlist that don’t yet exist in 03 Output. Build them via the </w:t>
      </w:r>
      <w:r>
        <w:rPr>
          <w:i/>
          <w:iCs/>
          <w:sz w:val="21"/>
          <w:szCs w:val="21"/>
        </w:rPr>
        <w:t xml:space="preserve">atares-valuation</w:t>
      </w:r>
      <w:r>
        <w:rPr>
          <w:sz w:val="21"/>
          <w:szCs w:val="21"/>
        </w:rPr>
        <w:t xml:space="preserve"> and </w:t>
      </w:r>
      <w:r>
        <w:rPr>
          <w:i/>
          <w:iCs/>
          <w:sz w:val="21"/>
          <w:szCs w:val="21"/>
        </w:rPr>
        <w:t xml:space="preserve">atares-longlist</w:t>
      </w:r>
      <w:r>
        <w:rPr>
          <w:sz w:val="21"/>
          <w:szCs w:val="21"/>
        </w:rPr>
        <w:t xml:space="preserve"> skills in Claude online and save into </w:t>
      </w:r>
      <w:r>
        <w:rPr>
          <w:i/>
          <w:iCs/>
          <w:sz w:val="21"/>
          <w:szCs w:val="21"/>
        </w:rPr>
        <w:t xml:space="preserve">EnBW Vision/03 Output</w:t>
      </w:r>
      <w:r>
        <w:rPr>
          <w:sz w:val="21"/>
          <w:szCs w:val="21"/>
        </w:rPr>
        <w:t xml:space="preserve">. Until then, those slides carry ILLUSTRATIVE figures — do not let an unsourced multiple reach EnBW looking real.</w:t>
      </w:r>
    </w:p>
    <w:p>
      <w:pPr>
        <w:spacing w:after="110" w:line="272"/>
      </w:pPr>
      <w:r>
        <w:rPr>
          <w:b/>
          <w:bCs/>
          <w:sz w:val="21"/>
          <w:szCs w:val="21"/>
        </w:rPr>
        <w:t xml:space="preserve">5. Action titles. </w:t>
      </w:r>
      <w:r>
        <w:rPr>
          <w:sz w:val="21"/>
          <w:szCs w:val="21"/>
        </w:rPr>
        <w:t xml:space="preserve">Each slide’s title states its one takeaway as a sentence (sentence case, Aptos Bold 18 pt). I’ve drafted one for every content slide below — tighten to taste.</w:t>
      </w:r>
    </w:p>
    <w:p>
      <w:pPr>
        <w:spacing w:after="110" w:line="272"/>
      </w:pPr>
      <w:r>
        <w:rPr>
          <w:b/>
          <w:bCs/>
          <w:sz w:val="21"/>
          <w:szCs w:val="21"/>
        </w:rPr>
        <w:t xml:space="preserve">6. Label every figure by how solid it is. </w:t>
      </w:r>
      <w:r>
        <w:rPr>
          <w:sz w:val="21"/>
          <w:szCs w:val="21"/>
        </w:rPr>
        <w:t xml:space="preserve">The 2022–25 revenue/EBITDA are management figures from EnBW’s RFP (audited status to confirm); 2026–28E are the management plan; market sizes name their research house; valuation multiples are ILLUSTRATIVE until the workbook is sourced.</w:t>
      </w:r>
    </w:p>
    <w:p>
      <w:pPr>
        <w:spacing w:after="40"/>
      </w:pPr>
    </w:p>
    <w:tbl>
      <w:tblPr>
        <w:tblW w:type="dxa" w:w="9360"/>
        <w:tblBorders>
          <w:top w:val="single" w:color="C55A11" w:sz="4"/>
          <w:left w:val="single" w:color="C55A11" w:sz="14"/>
          <w:bottom w:val="single" w:color="C55A11" w:sz="4"/>
          <w:right w:val="single" w:color="C55A11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3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Two data points to reconcile before you build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• Employees: the RFP says ~50; WTT’s website/earlier research suggests 70+. Use ~50 (EnBW’s own figure) on the slide and confirm the exact headcount. Do not blend the two.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• Customers: RFP says “more than 600”; EnBW’s public page says ~200 utilities specifically. Present “600+ customers, incl. ~200 energy/utility companies” so both are true.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864"/>
          <w:sz w:val="29"/>
          <w:szCs w:val="29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864"/>
          <w:sz w:val="29"/>
          <w:szCs w:val="29"/>
        </w:rPr>
        <w:t xml:space="preserve">Section 2 — Transaction team &amp; expertise</w:t>
      </w:r>
    </w:p>
    <w:p>
      <w:pPr>
        <w:spacing w:after="110" w:line="272"/>
      </w:pPr>
      <w:r>
        <w:rPr>
          <w:sz w:val="21"/>
          <w:szCs w:val="21"/>
        </w:rPr>
        <w:t xml:space="preserve">Mostly standard atares credentials (leave as-is), but three slides need to be made mandate-specific for Project Vision:</w:t>
      </w: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§2 · Team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Team layout — photo cards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A senior-led, unchanged team with EdTech, EnergyTech and public-sector-software track record leads Project Vision.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Lead: </w:t>
      </w:r>
      <w:r>
        <w:rPr>
          <w:sz w:val="21"/>
          <w:szCs w:val="21"/>
        </w:rPr>
        <w:t xml:space="preserve">Jan Pörschmann, Managing Partner (25+ yrs; 100+ transactions; IT/MarTech/supply-chain/EMS/EdTech). Owns the EnBW relationship, equity story and negotiations.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Core team: </w:t>
      </w:r>
      <w:r>
        <w:rPr>
          <w:i/>
          <w:iCs/>
          <w:color w:val="C55A11"/>
          <w:sz w:val="20"/>
          <w:szCs w:val="20"/>
        </w:rPr>
        <w:t xml:space="preserve">[insert the named Director/VP/Analyst with photos + one-line bios; state each person’s % time commitment; commit the team stays unchanged — EnBW asks for this explicitly].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atares.team team pages. Replace Michelscom’s team + sample contact card.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§2 · References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Logo grid / reference cards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atares has advised comparable recurring-revenue software and public-sector/energy assets to strategic and PE buyers.</w:t>
            </w:r>
          </w:p>
        </w:tc>
      </w:tr>
    </w:tbl>
    <w:p>
      <w:pPr>
        <w:spacing w:after="40"/>
      </w:pPr>
    </w:p>
    <w:p>
      <w:pPr>
        <w:spacing w:after="110" w:line="272"/>
      </w:pPr>
      <w:r>
        <w:rPr>
          <w:sz w:val="21"/>
          <w:szCs w:val="21"/>
        </w:rPr>
        <w:t xml:space="preserve">Surface the most analogous references for THIS pitch (pull real logos): 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H&amp;H → Visma</w:t>
      </w:r>
      <w:r>
        <w:rPr>
          <w:sz w:val="21"/>
          <w:szCs w:val="21"/>
        </w:rPr>
        <w:t xml:space="preserve"> — municipal finance software → strategic (closest analogue: public-sector SaaS).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Adaptricity → strategic investors</w:t>
      </w:r>
      <w:r>
        <w:rPr>
          <w:sz w:val="21"/>
          <w:szCs w:val="21"/>
        </w:rPr>
        <w:t xml:space="preserve"> — grid/network-analysis (EnergyTech, cross-border).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mobileX → Solvares; DC-Software → FRILO; cadis → Valsoft; Flexicode → EOS Partners; Trivium → NetRom &amp; Investcorp; Enwendo → IceLake Capital.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atares.team/en/transactions/. Never show a deal atares did not advise.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§2 · Deal stats &amp; case studies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Stat tiles + case-study 4-box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200+ tech transactions and a deep DACH software network underpin delivery certainty.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Stat tiles: 200+ tech transactions; 21 professionals; ~4,000 PE relationships; ~30,000 corporate-finance contacts across Europe, Americas, Asia.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Case studies: </w:t>
      </w:r>
      <w:r>
        <w:rPr>
          <w:sz w:val="21"/>
          <w:szCs w:val="21"/>
        </w:rPr>
        <w:t xml:space="preserve">use the real atares case-study slides (Summary / Initial situation / Challenge / Key results). Pick 2–3 software/EnergyTech/public-sector ones — e.g. H&amp;H, Adaptricity, mobileX.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atares firm data (atares.team). Purge Michelscom stats.</w:t>
      </w:r>
    </w:p>
    <w:p>
      <w:pPr>
        <w:spacing w:after="140"/>
      </w:pPr>
    </w:p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864"/>
          <w:sz w:val="29"/>
          <w:szCs w:val="29"/>
        </w:rPr>
        <w:t xml:space="preserve">Section 3 — Understanding the initial situation (WTT)</w:t>
      </w: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§3 · Key facts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1 — key-facts panel + icon circles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WTT is a profitable, highly recurring EdTech platform serving 600+ DACH customers in energy, utilities and the public sector.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Legal entity: WTT CampusOne GmbH, Ludwigsburg (Amtsgericht Stuttgart HRB 751926).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Business: cloud LMS “eCampus” + 700+ digital learning modules; B2B SaaS for corporate compliance &amp; professional training.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Customers: 600+ across DACH (incl. ~200 energy/utility companies); verticals — energy/utilities, municipalities/Stadtwerke, public administration, industry.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Employees: ~50. </w:t>
      </w:r>
      <w:r>
        <w:rPr>
          <w:i/>
          <w:iCs/>
          <w:color w:val="C55A11"/>
          <w:sz w:val="20"/>
          <w:szCs w:val="20"/>
        </w:rPr>
        <w:t xml:space="preserve">[confirm; website suggests 70+].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Owner: EKB EnBW Kommunale Beteiligungen GmbH (100%), a subsidiary of EnBW AG. Structure: 100% share sale.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EnBW RFP (06 Aug 2026); Handelsregister; wtt-campusone.com. Icons: Lucide only.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§3 · The company / business model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2 — split 2 (model | proof)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Regulation-driven, contracted subscriptions give WTT a resilient, &gt;80% recurring revenue base.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Model: tiered SaaS subscriptions (eCampus Basic/Smart/Premium) + content subscriptions; content also SCORM-deliverable into customers’ own LMS.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&gt;80% recurring revenue</w:t>
      </w:r>
      <w:r>
        <w:rPr>
          <w:sz w:val="21"/>
          <w:szCs w:val="21"/>
        </w:rPr>
        <w:t xml:space="preserve"> — contracted, renewing; driven by legally-mandated training (occupational safety, DSGVO, information security/NIS2, compliance, energy-specific).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Stickiness proof points: statutory annual refresh cycles; audit-trail/certification; Gesetze-Radar keeps content current; in-house Fellbach studio for moderated video.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EnBW RFP (recurring share is a management estimate — label as such on the slide). wtt-campusone.com for product detail.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§3 · Financial key figures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4 — column+line chart + KPI row (native PowerPoint chart)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WTT has compounded revenue ~22% p.a. while expanding EBITDA margin past 45% — a rare Rule-of-40 profile.</w:t>
            </w:r>
          </w:p>
        </w:tc>
      </w:tr>
    </w:tbl>
    <w:p>
      <w:pPr>
        <w:spacing w:after="40"/>
      </w:pPr>
    </w:p>
    <w:p>
      <w:pPr>
        <w:spacing w:after="110" w:line="272"/>
      </w:pPr>
      <w:r>
        <w:rPr>
          <w:sz w:val="21"/>
          <w:szCs w:val="21"/>
        </w:rPr>
        <w:t xml:space="preserve">Chart data (build a native clustered-column chart, revenue vs EBITDA, with margin as a line; €m):</w:t>
      </w:r>
    </w:p>
    <w:tbl>
      <w:tblPr>
        <w:tblW w:type="dxa" w:w="899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750"/>
        <w:gridCol w:w="1000"/>
        <w:gridCol w:w="1000"/>
        <w:gridCol w:w="1000"/>
        <w:gridCol w:w="1000"/>
        <w:gridCol w:w="1080"/>
        <w:gridCol w:w="1080"/>
        <w:gridCol w:w="1080"/>
      </w:tblGrid>
      <w:tr>
        <w:trPr>
          <w:tblHeader/>
        </w:trPr>
        <w:tc>
          <w:tcPr>
            <w:tcW w:type="dxa" w:w="17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€m</w:t>
            </w:r>
          </w:p>
        </w:tc>
        <w:tc>
          <w:tcPr>
            <w:tcW w:type="dxa" w:w="1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2022</w:t>
            </w:r>
          </w:p>
        </w:tc>
        <w:tc>
          <w:tcPr>
            <w:tcW w:type="dxa" w:w="1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1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2025</w:t>
            </w:r>
          </w:p>
        </w:tc>
        <w:tc>
          <w:tcPr>
            <w:tcW w:type="dxa" w:w="10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2026E</w:t>
            </w:r>
          </w:p>
        </w:tc>
        <w:tc>
          <w:tcPr>
            <w:tcW w:type="dxa" w:w="10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2027E</w:t>
            </w:r>
          </w:p>
        </w:tc>
        <w:tc>
          <w:tcPr>
            <w:tcW w:type="dxa" w:w="10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2028E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Revenue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7.0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8.5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</w:t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</w:t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</w:t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</w:t>
            </w:r>
          </w:p>
        </w:tc>
      </w:tr>
      <w:tr>
        <w:trPr>
          <w:tblHeader w:val="false"/>
        </w:trPr>
        <w:tc>
          <w:tcPr>
            <w:tcW w:type="dxa" w:w="175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EBITDA</w:t>
            </w:r>
          </w:p>
        </w:tc>
        <w:tc>
          <w:tcPr>
            <w:tcW w:type="dxa" w:w="100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100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100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4.8</w:t>
            </w:r>
          </w:p>
        </w:tc>
        <w:tc>
          <w:tcPr>
            <w:tcW w:type="dxa" w:w="100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08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7.0</w:t>
            </w:r>
          </w:p>
        </w:tc>
        <w:tc>
          <w:tcPr>
            <w:tcW w:type="dxa" w:w="108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</w:t>
            </w:r>
          </w:p>
        </w:tc>
        <w:tc>
          <w:tcPr>
            <w:tcW w:type="dxa" w:w="108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31%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39%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44%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47%</w:t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48%</w:t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51%</w:t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54%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KPI row: Revenue CAGR ’22–’25 ≈ 22%; plan CAGR ’25–’28E ≈ 15%; 2025 EBITDA margin ~47%; Rule of 40 (2025) ≈ 65.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EnBW RFP: 2022–25 actuals (management figures — confirm audited); 2026–28E management plan. Format as mEUR.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§3 · Recurring revenue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2 — donut + callouts (native donut)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More than 80% of revenue is contracted and recurring, underpinning earnings visibility.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Donut: recurring &gt;80% vs non-recurring &lt;20%.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i/>
          <w:iCs/>
          <w:color w:val="C55A11"/>
          <w:sz w:val="20"/>
          <w:szCs w:val="20"/>
        </w:rPr>
        <w:t xml:space="preserve">[Ask management to split recurring into: SaaS platform vs content subscriptions; and give contract length, gross vs net churn, NRR — each proven point lifts the valuation. Mark any not-yet-verified figure as management-provided.]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EnBW RFP (management estimate). Churn/NRR = [TBC] from data room.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§3 · Shareholder structure &amp; carve-out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2 — org tree + carve-out note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A clean 100% carve-out from EnBW, with the founders already bought out.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Structure: EnBW AG → EKB EnBW Kommunale Beteiligungen GmbH → 100% WTT CampusOne GmbH.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History: origin as an EnBW spin-off; founders/former MDs bought out; EnBW consolidated to 100% ~6 months ago; now divesting to focus on the regulated core.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Carve-out / TSA: </w:t>
      </w:r>
      <w:r>
        <w:rPr>
          <w:sz w:val="21"/>
          <w:szCs w:val="21"/>
        </w:rPr>
        <w:t xml:space="preserve">flag early — IT, brand, shared services and intercompany separation, and a defined TSA set, drive deal certainty and price (a core Scope-of-Work item).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EnBW RFP; call notes 05 Aug. Keep management-continuity as a value/process point, not commentary.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§3 · SWOT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4 — 4-quadrant SWOT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WTT’s regulatory moat and margins outweigh a manageable concentration and carve-out risk.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Strengths: </w:t>
      </w:r>
      <w:r>
        <w:rPr>
          <w:sz w:val="21"/>
          <w:szCs w:val="21"/>
        </w:rPr>
        <w:t xml:space="preserve">&gt;80% recurring; ~47% EBITDA margin; vertical content moat; 600+ loyal customers; own studio; DSGVO-native.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Weaknesses: </w:t>
      </w:r>
      <w:r>
        <w:rPr>
          <w:sz w:val="21"/>
          <w:szCs w:val="21"/>
        </w:rPr>
        <w:t xml:space="preserve">dependence on the EnBW relationship/channel; key-person reliance; DACH-only footprint; ~50 staff scale.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Opportunities: </w:t>
      </w:r>
      <w:r>
        <w:rPr>
          <w:sz w:val="21"/>
          <w:szCs w:val="21"/>
        </w:rPr>
        <w:t xml:space="preserve">EU AI Act &amp; NIS2 add mandatory topics; public-sector expansion; internationalisation; AI-enabled content; M&amp;A add-ons.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Threats: </w:t>
      </w:r>
      <w:r>
        <w:rPr>
          <w:sz w:val="21"/>
          <w:szCs w:val="21"/>
        </w:rPr>
        <w:t xml:space="preserve">AI-commoditised content; horizontal LMS entrants; association players (BDEW/EW Medien) going digital; budget cycles in public sector.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atares analysis on RFP + market research. No unsourced superlatives.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§3 · Investment highlights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5 — 6 icon cards (Lucide icons)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Six reasons WTT is a scarce, premium DACH software asset.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1. Non-discretionary, &gt;80% recurring, regulation-driven revenue.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2. Defensible vertical leadership in energy/utility &amp; public-sector learning.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3. Profitable, compounding growth (~22% CAGR at ~47% EBITDA margin).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4. Multiple fundable growth levers (see next slide).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5. Blue-chip, granular customer base (600+; ~200 utilities).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6. AI-enabled next chapter + clean 100% carve-out.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Derived from RFP + research. One distinct Lucide glyph per card; never repeat a glyph.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§3 · Portfolio &amp; positioning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4 — product portfolio + positioning map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One platform spans mandatory compliance to energy-specific expertise, positioning WTT as the DACH reference for regulated-sector learning.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Portfolio: eCampus LMS (3 tiers); 700+ modules across 13 categories; StudioTalks; Gesetze-Radar; phishing simulation / ISMS; Trainingsschmiede (bespoke); ENERWEEK TV.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Positioning: German-language, DSGVO-native, compliance-first, energy/public-sector vertical — distinct from global enterprise suites (Cornerstone/SAP) and generic soft-skills libraries.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wtt-campusone.com. Purge Michelscom product content.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§3 · Growth levers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5 — 5 arrow/lever cards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Five levers can sustain double-digit growth without changing the model.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1. Cross-/up-sell into the installed base (more seats, more modules).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2. New mandatory topics: EU AI Act, NIS2, evolving energy regulation.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3. Public-administration expansion (Kommunen/Landkreise).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4. Geographic: DACH → wider European public/energy sector.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5. AI-enabled authoring/personalisation + price realisation; optional M&amp;A add-ons.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atares analysis; align with management’s business case in the model.</w:t>
      </w:r>
    </w:p>
    <w:p>
      <w:pPr>
        <w:spacing w:after="140"/>
      </w:pPr>
    </w:p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864"/>
          <w:sz w:val="29"/>
          <w:szCs w:val="29"/>
        </w:rPr>
        <w:t xml:space="preserve">Section 4 — Market environment</w:t>
      </w: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§4 · Market size &amp; growth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4 — market chart + trend callouts (native column)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WTT rides a German corporate e-learning market growing ~20% p.a. towards ~USD 11bn by 2030.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4600"/>
        <w:gridCol w:w="1550"/>
        <w:gridCol w:w="1650"/>
        <w:gridCol w:w="1560"/>
      </w:tblGrid>
      <w:tr>
        <w:trPr>
          <w:tblHeader/>
        </w:trPr>
        <w:tc>
          <w:tcPr>
            <w:tcW w:type="dxa" w:w="4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5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6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2030E</w:t>
            </w:r>
          </w:p>
        </w:tc>
        <w:tc>
          <w:tcPr>
            <w:tcW w:type="dxa" w:w="15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CAGR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Germany — corporate e-learning</w:t>
            </w:r>
          </w:p>
        </w:tc>
        <w:tc>
          <w:tcPr>
            <w:tcW w:type="dxa" w:w="1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USD 3.75bn</w:t>
            </w:r>
          </w:p>
        </w:tc>
        <w:tc>
          <w:tcPr>
            <w:tcW w:type="dxa" w:w="16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USD 11.3bn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~20%</w:t>
            </w:r>
          </w:p>
        </w:tc>
      </w:tr>
      <w:tr>
        <w:trPr>
          <w:tblHeader w:val="false"/>
        </w:trPr>
        <w:tc>
          <w:tcPr>
            <w:tcW w:type="dxa" w:w="460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Germany — e-learning services</w:t>
            </w:r>
          </w:p>
        </w:tc>
        <w:tc>
          <w:tcPr>
            <w:tcW w:type="dxa" w:w="155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USD 9.6bn</w:t>
            </w:r>
          </w:p>
        </w:tc>
        <w:tc>
          <w:tcPr>
            <w:tcW w:type="dxa" w:w="165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USD 25.6bn</w:t>
            </w:r>
          </w:p>
        </w:tc>
        <w:tc>
          <w:tcPr>
            <w:tcW w:type="dxa" w:w="156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~18%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Germany — LMS</w:t>
            </w:r>
          </w:p>
        </w:tc>
        <w:tc>
          <w:tcPr>
            <w:tcW w:type="dxa" w:w="1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~USD 1.6bn</w:t>
            </w:r>
          </w:p>
        </w:tc>
        <w:tc>
          <w:tcPr>
            <w:tcW w:type="dxa" w:w="16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~USD 5bn (’33)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~18%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Trend callouts: low penetration (~14% of DACH firms roll out to all staff); microlearning &amp; mobile rising; AI mainstreaming; compliance the #1 buying criterion (92% cite GDPR).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Grand View Research (Germany corporate e-learning / LMS); Memberspot DACH E-Learning Report 2026; German EdTech ~€17bn by 2030 (Amadeus Fire). Name the house on the slide.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§4 · Sector structure (five forces)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5 — Porter’s five forces (5 cards)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High switching costs and regulatory barriers make WTT’s niche structurally attractive.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Rivalry: </w:t>
      </w:r>
      <w:r>
        <w:rPr>
          <w:sz w:val="21"/>
          <w:szCs w:val="21"/>
        </w:rPr>
        <w:t xml:space="preserve">moderate; fragmented, few full-stack vertical players in energy/public sector.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New entrants: </w:t>
      </w:r>
      <w:r>
        <w:rPr>
          <w:sz w:val="21"/>
          <w:szCs w:val="21"/>
        </w:rPr>
        <w:t xml:space="preserve">barriers from content depth, compliance/DSGVO, references and audit trails.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Substitutes: </w:t>
      </w:r>
      <w:r>
        <w:rPr>
          <w:sz w:val="21"/>
          <w:szCs w:val="21"/>
        </w:rPr>
        <w:t xml:space="preserve">classroom/seminars and AI-generated content — countered by studio quality + vertical depth.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Buyer power: </w:t>
      </w:r>
      <w:r>
        <w:rPr>
          <w:sz w:val="21"/>
          <w:szCs w:val="21"/>
        </w:rPr>
        <w:t xml:space="preserve">moderate; mandatory training is non-discretionary; granular base of 600+.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Supplier power: </w:t>
      </w:r>
      <w:r>
        <w:rPr>
          <w:sz w:val="21"/>
          <w:szCs w:val="21"/>
        </w:rPr>
        <w:t xml:space="preserve">low; content produced in-house.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atares analysis. Show five cards; do not pad.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§4 · Competitive analysis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2 — positioning matrix + competitor table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WTT occupies a defensible niche horizontal players and generalist libraries cannot easily enter.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3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33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Relation to WTT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German compliance/L&amp;D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Haufe Akademie, imc AG (Scheer)</w:t>
            </w:r>
          </w:p>
        </w:tc>
        <w:tc>
          <w:tcPr>
            <w:tcW w:type="dxa" w:w="3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 content competitors; larger/broader</w:t>
            </w:r>
          </w:p>
        </w:tc>
      </w:tr>
      <w:tr>
        <w:trPr>
          <w:tblHeader w:val="false"/>
        </w:trPr>
        <w:tc>
          <w:tcPr>
            <w:tcW w:type="dxa" w:w="260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B2B video/soft-skills</w:t>
            </w:r>
          </w:p>
        </w:tc>
        <w:tc>
          <w:tcPr>
            <w:tcW w:type="dxa" w:w="340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Masterplan, Pink University, Lecturio</w:t>
            </w:r>
          </w:p>
        </w:tc>
        <w:tc>
          <w:tcPr>
            <w:tcW w:type="dxa" w:w="336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Adjacent; not compliance-vertical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SME/mid-market LMS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keeunit, reteach</w:t>
            </w:r>
          </w:p>
        </w:tc>
        <w:tc>
          <w:tcPr>
            <w:tcW w:type="dxa" w:w="3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Smaller, horizontal</w:t>
            </w:r>
          </w:p>
        </w:tc>
      </w:tr>
      <w:tr>
        <w:trPr>
          <w:tblHeader w:val="false"/>
        </w:trPr>
        <w:tc>
          <w:tcPr>
            <w:tcW w:type="dxa" w:w="260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Energy-sector training</w:t>
            </w:r>
          </w:p>
        </w:tc>
        <w:tc>
          <w:tcPr>
            <w:tcW w:type="dxa" w:w="340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BDEW Akademie / EW Medien, Campus-EW</w:t>
            </w:r>
          </w:p>
        </w:tc>
        <w:tc>
          <w:tcPr>
            <w:tcW w:type="dxa" w:w="336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Mostly classroom, not SaaS-LMS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Global enterprise LMS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Cornerstone, SAP SF, Docebo</w:t>
            </w:r>
          </w:p>
        </w:tc>
        <w:tc>
          <w:tcPr>
            <w:tcW w:type="dxa" w:w="3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Different segment; not vertical content</w:t>
            </w:r>
          </w:p>
        </w:tc>
      </w:tr>
    </w:tbl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Market research + company sites. Real logos at native aspect ratio.</w:t>
      </w:r>
    </w:p>
    <w:p>
      <w:pPr>
        <w:spacing w:after="140"/>
      </w:pPr>
    </w:p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864"/>
          <w:sz w:val="29"/>
          <w:szCs w:val="29"/>
        </w:rPr>
        <w:t xml:space="preserve">Section 5 — Valuation &amp; buyer universe</w:t>
      </w:r>
    </w:p>
    <w:p>
      <w:pPr>
        <w:spacing w:after="110" w:line="272"/>
      </w:pPr>
      <w:r>
        <w:rPr>
          <w:b/>
          <w:bCs/>
          <w:color w:val="C55A11"/>
          <w:sz w:val="21"/>
          <w:szCs w:val="21"/>
        </w:rPr>
        <w:t xml:space="preserve">Gate: </w:t>
      </w:r>
      <w:r>
        <w:rPr>
          <w:i/>
          <w:iCs/>
          <w:color w:val="C55A11"/>
          <w:sz w:val="20"/>
          <w:szCs w:val="20"/>
        </w:rPr>
        <w:t xml:space="preserve">build the valuation workbook (atares-valuation) and the longlist (atares-longlist) first. The figures below are ILLUSTRATIVE, anchored on the RFP financials, to hold the layout until sourced comps replace them.</w:t>
      </w: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§5 · Valuation method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2 — method overview + assumptions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We triangulate value across DCF, trading comps, and precedent transactions.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Methods: DCF (own WACC build), trading comparables (EV/EBITDA, EV/Revenue), precedent transactions; football field summarises the range.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i/>
          <w:iCs/>
          <w:color w:val="C55A11"/>
          <w:sz w:val="20"/>
          <w:szCs w:val="20"/>
        </w:rPr>
        <w:t xml:space="preserve">[State WACC, terminal growth, tax, capex and comp-set date once the workbook exists.]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atares-valuation workbook (to be built). Every multiple must be real, dated, sourced.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§5 · Football field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4 — football-field bar chart (native shapes / Ampler)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Triangulation points to an indicative enterprise value of roughly €65–110m.</w:t>
            </w:r>
          </w:p>
        </w:tc>
      </w:tr>
    </w:tbl>
    <w:p>
      <w:pPr>
        <w:spacing w:after="40"/>
      </w:pPr>
    </w:p>
    <w:p>
      <w:pPr>
        <w:spacing w:after="110" w:line="272"/>
      </w:pPr>
      <w:r>
        <w:rPr>
          <w:sz w:val="21"/>
          <w:szCs w:val="21"/>
        </w:rPr>
        <w:t xml:space="preserve">One bar per method (EV, €m) — </w:t>
      </w:r>
      <w:r>
        <w:rPr>
          <w:b/>
          <w:bCs/>
          <w:color w:val="C55A11"/>
          <w:sz w:val="21"/>
          <w:szCs w:val="21"/>
        </w:rPr>
        <w:t xml:space="preserve">ILLUSTRATIVE until workbook-sourced: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 range (€m)</w:t>
            </w:r>
          </w:p>
        </w:tc>
        <w:tc>
          <w:tcPr>
            <w:tcW w:type="dxa" w:w="3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 (illustrative)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EV/EBITDA (2026E €7.0m)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63–112</w:t>
            </w:r>
          </w:p>
        </w:tc>
        <w:tc>
          <w:tcPr>
            <w:tcW w:type="dxa" w:w="3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~9–16x</w:t>
            </w:r>
          </w:p>
        </w:tc>
      </w:tr>
      <w:tr>
        <w:trPr>
          <w:tblHeader w:val="false"/>
        </w:trPr>
        <w:tc>
          <w:tcPr>
            <w:tcW w:type="dxa" w:w="320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EV/Revenue (2026E €14.7m)</w:t>
            </w:r>
          </w:p>
        </w:tc>
        <w:tc>
          <w:tcPr>
            <w:tcW w:type="dxa" w:w="240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59–103</w:t>
            </w:r>
          </w:p>
        </w:tc>
        <w:tc>
          <w:tcPr>
            <w:tcW w:type="dxa" w:w="376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~4.0–7.0x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Precedent transactions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[TBC]</w:t>
            </w:r>
          </w:p>
        </w:tc>
        <w:tc>
          <w:tcPr>
            <w:tcW w:type="dxa" w:w="3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From atares-valuation</w:t>
            </w:r>
          </w:p>
        </w:tc>
      </w:tr>
      <w:tr>
        <w:trPr>
          <w:tblHeader w:val="false"/>
        </w:trPr>
        <w:tc>
          <w:tcPr>
            <w:tcW w:type="dxa" w:w="320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DCF</w:t>
            </w:r>
          </w:p>
        </w:tc>
        <w:tc>
          <w:tcPr>
            <w:tcW w:type="dxa" w:w="240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[TBC]</w:t>
            </w:r>
          </w:p>
        </w:tc>
        <w:tc>
          <w:tcPr>
            <w:tcW w:type="dxa" w:w="376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From atares-valuation</w:t>
            </w:r>
          </w:p>
        </w:tc>
      </w:tr>
      <w:tr>
        <w:trPr>
          <w:tblHeader w:val="false"/>
        </w:trPr>
        <w:tc>
          <w:tcPr>
            <w:tcW w:type="dxa" w:w="320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Indicative range</w:t>
            </w:r>
          </w:p>
        </w:tc>
        <w:tc>
          <w:tcPr>
            <w:tcW w:type="dxa" w:w="240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~65–110</w:t>
            </w:r>
          </w:p>
        </w:tc>
        <w:tc>
          <w:tcPr>
            <w:tcW w:type="dxa" w:w="376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Midpoint ~€85–95m</w:t>
            </w:r>
          </w:p>
        </w:tc>
      </w:tr>
    </w:tbl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ILLUSTRATIVE, anchored on RFP financials; replace with atares-valuation outputs. Never paste an Excel screenshot — rebuild native or in Ampler.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§5 · Comparable companies &amp; multiples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2 — comps table + multiples bars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Listed LMS/EdTech peers frame the multiple; WTT’s margin and growth argue the premium end.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Peer set to source &amp; date: Docebo, Instructure, Cornerstone (hist.), Skillsoft, IU/imc, Thinkific; DACH small-cap software band.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Reference points (illustrative): Docebo ~2.1x rev / ~10.7x EBITDA; DACH small-cap software ~7.7–9.7x EBITDA; Masterplan/Amadeus Fire ~2.5x rev (2025).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ILLUSTRATIVE — replace with the workbook’s dated comps. Sources: Aventis Advisors; dealorigination.de; Multiples.vc.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§5 · Precedent transactions &amp; equity bridge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2 — transactions table + bridge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Recent EdTech/LMS deals support a double-digit EBITDA multiple; the equity bridge nets debt and cash.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Precedent transactions: [TBC from atares-valuation] — real, dated, sourced only.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Equity bridge: </w:t>
      </w:r>
      <w:r>
        <w:rPr>
          <w:sz w:val="21"/>
          <w:szCs w:val="21"/>
        </w:rPr>
        <w:t xml:space="preserve">EV − net debt +/− working-capital &amp; other adjustments = equity value. </w:t>
      </w:r>
      <w:r>
        <w:rPr>
          <w:i/>
          <w:iCs/>
          <w:color w:val="C55A11"/>
          <w:sz w:val="20"/>
          <w:szCs w:val="20"/>
        </w:rPr>
        <w:t xml:space="preserve">[net debt / cash-free-debt-free position = TBC from data room].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atares-valuation workbook. mEUR; negatives in red parentheses.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§5 · Buyer universe — segmentation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Divider/intro for buyer section — 4 segment cards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The universe splits into three strategic logics plus financial sponsors, each with a defined rationale.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1. Learning &amp; HR-software consolidators — </w:t>
      </w:r>
      <w:r>
        <w:rPr>
          <w:sz w:val="21"/>
          <w:szCs w:val="21"/>
        </w:rPr>
        <w:t xml:space="preserve">LMS/content platforms adding compliance depth and a DACH base. Pay for content + installed base.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2. Publishing / compliance-content houses — </w:t>
      </w:r>
      <w:r>
        <w:rPr>
          <w:sz w:val="21"/>
          <w:szCs w:val="21"/>
        </w:rPr>
        <w:t xml:space="preserve">regulatory-content players extending into digital delivery. Pay for the recurring compliance franchise.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3. Energy / utility-software players — </w:t>
      </w:r>
      <w:r>
        <w:rPr>
          <w:sz w:val="21"/>
          <w:szCs w:val="21"/>
        </w:rPr>
        <w:t xml:space="preserve">buyers wanting the ~200-utility Stadtwerke channel. Pay for cross-sell into their base.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4. Financial sponsors — </w:t>
      </w:r>
      <w:r>
        <w:rPr>
          <w:sz w:val="21"/>
          <w:szCs w:val="21"/>
        </w:rPr>
        <w:t xml:space="preserve">software/EdTech PE for a platform or bolt-on; defined by ticket, sector focus and relevant portfolio.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Confirm segments first — the next slides depend on them. Definitions + rationale on the slide, not just logos.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§5 · Buyer universe — the map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4 — logo grid grouped by segment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~30 credible acquirers span the four segments, giving genuine competitive tension.</w:t>
            </w:r>
          </w:p>
        </w:tc>
      </w:tr>
    </w:tbl>
    <w:p>
      <w:pPr>
        <w:spacing w:after="40"/>
      </w:pPr>
    </w:p>
    <w:p>
      <w:pPr>
        <w:spacing w:after="110" w:line="272"/>
      </w:pPr>
      <w:r>
        <w:rPr>
          <w:sz w:val="21"/>
          <w:szCs w:val="21"/>
        </w:rPr>
        <w:t xml:space="preserve">~15 strategic + ~15 financial (candidates — verify names, financials and Affinity in the longlist):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550"/>
        <w:gridCol w:w="6810"/>
      </w:tblGrid>
      <w:tr>
        <w:trPr>
          <w:tblHeader/>
        </w:trPr>
        <w:tc>
          <w:tcPr>
            <w:tcW w:type="dxa" w:w="25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68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Candidate names (to verify in longlist)</w:t>
            </w:r>
          </w:p>
        </w:tc>
      </w:tr>
      <w:tr>
        <w:trPr>
          <w:tblHeader w:val="false"/>
        </w:trPr>
        <w:tc>
          <w:tcPr>
            <w:tcW w:type="dxa" w:w="2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Learning &amp; HR software</w:t>
            </w:r>
          </w:p>
        </w:tc>
        <w:tc>
          <w:tcPr>
            <w:tcW w:type="dxa" w:w="68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Haufe, imc (Scheer), IU Group, Docebo, Skillsoft, GoodHabitz, Speexx, 360Learning</w:t>
            </w:r>
          </w:p>
        </w:tc>
      </w:tr>
      <w:tr>
        <w:trPr>
          <w:tblHeader w:val="false"/>
        </w:trPr>
        <w:tc>
          <w:tcPr>
            <w:tcW w:type="dxa" w:w="255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Publishing / compliance</w:t>
            </w:r>
          </w:p>
        </w:tc>
        <w:tc>
          <w:tcPr>
            <w:tcW w:type="dxa" w:w="681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Klett, Cornelsen, WEKA, Vogel, Forum Verlag, Reguvis</w:t>
            </w:r>
          </w:p>
        </w:tc>
      </w:tr>
      <w:tr>
        <w:trPr>
          <w:tblHeader w:val="false"/>
        </w:trPr>
        <w:tc>
          <w:tcPr>
            <w:tcW w:type="dxa" w:w="2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Energy / utility software</w:t>
            </w:r>
          </w:p>
        </w:tc>
        <w:tc>
          <w:tcPr>
            <w:tcW w:type="dxa" w:w="68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Schleupen, items, powercloud-type vendors, Somentec, Getec-adjacent</w:t>
            </w:r>
          </w:p>
        </w:tc>
      </w:tr>
      <w:tr>
        <w:trPr>
          <w:tblHeader w:val="false"/>
        </w:trPr>
        <w:tc>
          <w:tcPr>
            <w:tcW w:type="dxa" w:w="255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 sponsors</w:t>
            </w:r>
          </w:p>
        </w:tc>
        <w:tc>
          <w:tcPr>
            <w:tcW w:type="dxa" w:w="681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Hg, Main Capital, Nordic Capital, IK Partners, Verdane, Bregal, Maxburg, DPE, Armira, Keensight, Five Arrows, PSG, TA, Great Hill</w:t>
            </w:r>
          </w:p>
        </w:tc>
      </w:tr>
    </w:tbl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Candidates from atares research; every name must be real &amp; sourced in the longlist (Inven/Apollo/Bundesanzeiger/Affinity). Real logos; labelled placeholder box if a logo can’t be sourced — never a gap.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§5 · Existing relationships &amp; platform option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2 — Affinity relationships + platform note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atares holds warm paths to priority buyers and can identify platform fits for sponsors.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i/>
          <w:iCs/>
          <w:color w:val="C55A11"/>
          <w:sz w:val="20"/>
          <w:szCs w:val="20"/>
        </w:rPr>
        <w:t xml:space="preserve">[From Affinity: which priority buyers atares already knows, the owner, and the warm path. TBC in this session — pull from Affinity.]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Platform option: name sponsors with a relevant portfolio company WTT could bolt onto (the real reason a PE engages).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Affinity (relationship intelligence). Mark yes/no + owner per buyer.</w:t>
      </w:r>
    </w:p>
    <w:p>
      <w:pPr>
        <w:spacing w:after="140"/>
      </w:pPr>
    </w:p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864"/>
          <w:sz w:val="29"/>
          <w:szCs w:val="29"/>
        </w:rPr>
        <w:t xml:space="preserve">Section 6 — Transaction process</w:t>
      </w: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§6 · Seller objectives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5 — objective cards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EnBW’s goals: maximise value through a competitive, professionally-managed process with deal certainty.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Maximise shareholder value; efficient, competitive, professionally-run process; deal certainty; clean carve-out; management continuity; confidentiality.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EnBW RFP (objectives stated verbatim there).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§6 · Process at a glance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4 — 4-phase process bar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A controlled dual-track of strategics and sponsors maximises tension and optionality.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Phase 1 Preparation → Phase 2 Marketing (indicative offers) → Phase 3 Due diligence &amp; mgmt presentations (binding offers) → Phase 4 Negotiation, signing, closing.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atares process methodology; aligns to the RFP Scope of Work.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§6 · Project management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2 — governance chart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A senior atares team runs all workstreams with in-person steering-committee gates.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Governance: EnBW M&amp;A (lead) + tax/legal/accounting; atares runs coordination, model, materials, buyer dialogue, DD/Q&amp;A, negotiation.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Cadence: weekly project calls; in-person steerco at each gate; management workshops.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RFP Scope of Work + atares delivery model.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§6 · Timeline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4 — Gantt (lay out; build in Ampler)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Kick-off in Sep/Oct 2026 targets signing around mid-2027.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450"/>
        <w:gridCol w:w="3350"/>
        <w:gridCol w:w="3560"/>
      </w:tblGrid>
      <w:tr>
        <w:trPr>
          <w:tblHeader/>
        </w:trPr>
        <w:tc>
          <w:tcPr>
            <w:tcW w:type="dxa" w:w="24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33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35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In-person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Sep/Oct 2026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Kick-off; preparation</w:t>
            </w:r>
          </w:p>
        </w:tc>
        <w:tc>
          <w:tcPr>
            <w:tcW w:type="dxa" w:w="3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Kick-off &amp; equity-story workshop (Stuttgart)</w:t>
            </w:r>
          </w:p>
        </w:tc>
      </w:tr>
      <w:tr>
        <w:trPr>
          <w:tblHeader w:val="false"/>
        </w:trPr>
        <w:tc>
          <w:tcPr>
            <w:tcW w:type="dxa" w:w="245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Oct–Dec 2026</w:t>
            </w:r>
          </w:p>
        </w:tc>
        <w:tc>
          <w:tcPr>
            <w:tcW w:type="dxa" w:w="335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Model, IM, buyer list, data room; carve-out scoping</w:t>
            </w:r>
          </w:p>
        </w:tc>
        <w:tc>
          <w:tcPr>
            <w:tcW w:type="dxa" w:w="356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Mgmt workshops; steerco #1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Jan–Feb 2027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1: outreach, NDAs, IM, indicative offers</w:t>
            </w:r>
          </w:p>
        </w:tc>
        <w:tc>
          <w:tcPr>
            <w:tcW w:type="dxa" w:w="3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Steerco #2</w:t>
            </w:r>
          </w:p>
        </w:tc>
      </w:tr>
      <w:tr>
        <w:trPr>
          <w:tblHeader w:val="false"/>
        </w:trPr>
        <w:tc>
          <w:tcPr>
            <w:tcW w:type="dxa" w:w="245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Mar–May 2027</w:t>
            </w:r>
          </w:p>
        </w:tc>
        <w:tc>
          <w:tcPr>
            <w:tcW w:type="dxa" w:w="335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2: DD, mgmt presentations, binding offers</w:t>
            </w:r>
          </w:p>
        </w:tc>
        <w:tc>
          <w:tcPr>
            <w:tcW w:type="dxa" w:w="3560"/>
            <w:shd w:fill="EA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Mgmt presentations &amp; site visits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Jun–Jul 2027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SPA negotiation; signing</w:t>
            </w:r>
          </w:p>
        </w:tc>
        <w:tc>
          <w:tcPr>
            <w:tcW w:type="dxa" w:w="3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Negotiation sessions; steerco #3</w:t>
            </w:r>
          </w:p>
        </w:tc>
      </w:tr>
    </w:tbl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Indicative; kick-off per RFP. Confirm gate dates with EnBW. Waterfall/Gantt → Ampler, not faked bars.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2E7D83" w:sz="16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E7D83"/>
                <w:sz w:val="18"/>
                <w:szCs w:val="18"/>
              </w:rPr>
              <w:t xml:space="preserve">§6 · Process documentation &amp; atares value-add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  ·   Content 2 — doc list + value-add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 title:  </w:t>
            </w:r>
            <w:r>
              <w:rPr>
                <w:i/>
                <w:iCs/>
                <w:color w:val="1F3864"/>
                <w:sz w:val="20"/>
                <w:szCs w:val="20"/>
              </w:rPr>
              <w:t xml:space="preserve">A complete document set and hands-on execution de-risk the process and protect value.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Documents: teaser, information memorandum, management presentation, process letter, financial model + assumptions book, data-room rules, Q&amp;A tracker, committee/board papers.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atares value-add: senior attention throughout; the deal floor for control/transparency; international buyer reach; carve-out/TSA support; negotiation leadership; full model handover to EnBW.</w:t>
      </w:r>
    </w:p>
    <w:p>
      <w:pPr>
        <w:spacing w:after="90" w:line="262"/>
      </w:pPr>
      <w:r>
        <w:rPr>
          <w:b/>
          <w:bCs/>
          <w:color w:val="595959"/>
          <w:sz w:val="17"/>
          <w:szCs w:val="17"/>
        </w:rPr>
        <w:t xml:space="preserve">Source / provenance: </w:t>
      </w:r>
      <w:r>
        <w:rPr>
          <w:i/>
          <w:iCs/>
          <w:color w:val="595959"/>
          <w:sz w:val="17"/>
          <w:szCs w:val="17"/>
        </w:rPr>
        <w:t xml:space="preserve">RFP Scope of Work; atares deal floor. Delete Michelscom value-add copy.</w:t>
      </w:r>
    </w:p>
    <w:p>
      <w:pPr>
        <w:spacing w:after="140"/>
      </w:pPr>
    </w:p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864"/>
          <w:sz w:val="29"/>
          <w:szCs w:val="29"/>
        </w:rPr>
        <w:t xml:space="preserve">Appendix — data provenance &amp; open items</w:t>
      </w:r>
    </w:p>
    <w:p>
      <w:pPr>
        <w:pStyle w:val="Heading2"/>
        <w:spacing w:after="80" w:before="200"/>
      </w:pPr>
      <w:r>
        <w:rPr>
          <w:b/>
          <w:bCs/>
          <w:color w:val="2E5496"/>
          <w:sz w:val="24"/>
          <w:szCs w:val="24"/>
        </w:rPr>
        <w:t xml:space="preserve">Provenance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Financials 2022–2025: EnBW RFP (management figures; audited status to confirm). 2026–2028E: management plan.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Company facts: EnBW RFP; Handelsregister (HRB 751926); wtt-campusone.com; EnBW.com.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Market sizes: Grand View Research; Memberspot DACH E-Learning Report 2026; Amadeus Fire (German EdTech ~€17bn by 2030).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Comps/precedents: ILLUSTRATIVE here; to be sourced &amp; dated in the atares-valuation workbook (Aventis Advisors, dealorigination.de, Multiples.vc, Amadeus Fire/Masterplan).</w:t>
      </w:r>
    </w:p>
    <w:p>
      <w:pPr>
        <w:pStyle w:val="Heading2"/>
        <w:spacing w:after="80" w:before="200"/>
      </w:pPr>
      <w:r>
        <w:rPr>
          <w:b/>
          <w:bCs/>
          <w:color w:val="2E5496"/>
          <w:sz w:val="24"/>
          <w:szCs w:val="24"/>
        </w:rPr>
        <w:t xml:space="preserve">Open items to close before sending to EnBW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[ ] Named core team + % time commitments (Section 2).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[ ] Confirm headcount (~50 vs 70+) and audited status of historicals.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[ ] Recurring-revenue split, contract length, churn/NRR from data room (Section 3).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[ ] Build valuation workbook + longlist; replace all ILLUSTRATIVE / [TBC] in Section 5.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[ ] Affinity relationships &amp; warm paths per priority buyer.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[ ] Purge all Michelscom / example-industry / XX-XXX-XYZ dummy content; delete guidance pages; fix divider agenda numbers.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0"/>
          <w:szCs w:val="20"/>
        </w:rPr>
        <w:t xml:space="preserve">[ ] Conflict check confirmed (RFP section H).</w:t>
      </w:r>
    </w:p>
    <w:p>
      <w:pPr>
        <w:pStyle w:val="Heading2"/>
        <w:spacing w:after="80" w:before="200"/>
      </w:pPr>
      <w:r>
        <w:rPr>
          <w:b/>
          <w:bCs/>
          <w:color w:val="2E5496"/>
          <w:sz w:val="24"/>
          <w:szCs w:val="24"/>
        </w:rPr>
        <w:t xml:space="preserve">Sources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i/>
          <w:iCs/>
          <w:color w:val="595959"/>
          <w:sz w:val="18"/>
          <w:szCs w:val="18"/>
        </w:rPr>
        <w:t xml:space="preserve">EnBW RFP — Project Vision (06 Aug 2026) (internal)</w:t>
      </w:r>
    </w:p>
    <w:p>
      <w:pPr>
        <w:pStyle w:val="ListParagraph"/>
        <w:numPr>
          <w:ilvl w:val="0"/>
          <w:numId w:val="1"/>
        </w:numPr>
        <w:spacing w:after="40"/>
      </w:pPr>
      <w:hyperlink w:history="1" r:id="rIdkr3fqoxxtvgerxmj-ebyb">
        <w:r>
          <w:rPr>
            <w:rStyle w:val="Hyperlink"/>
            <w:sz w:val="18"/>
            <w:szCs w:val="18"/>
          </w:rPr>
          <w:t xml:space="preserve">WTT CampusOne</w:t>
        </w:r>
      </w:hyperlink>
    </w:p>
    <w:p>
      <w:pPr>
        <w:pStyle w:val="ListParagraph"/>
        <w:numPr>
          <w:ilvl w:val="0"/>
          <w:numId w:val="1"/>
        </w:numPr>
        <w:spacing w:after="40"/>
      </w:pPr>
      <w:hyperlink w:history="1" r:id="rIdlyvaouj7mwnkpko4bxhp5">
        <w:r>
          <w:rPr>
            <w:rStyle w:val="Hyperlink"/>
            <w:sz w:val="18"/>
            <w:szCs w:val="18"/>
          </w:rPr>
          <w:t xml:space="preserve">Grand View — Germany corporate e-learning</w:t>
        </w:r>
      </w:hyperlink>
    </w:p>
    <w:p>
      <w:pPr>
        <w:pStyle w:val="ListParagraph"/>
        <w:numPr>
          <w:ilvl w:val="0"/>
          <w:numId w:val="1"/>
        </w:numPr>
        <w:spacing w:after="40"/>
      </w:pPr>
      <w:hyperlink w:history="1" r:id="rIdbzq6m7wgz68ssl5qztgje">
        <w:r>
          <w:rPr>
            <w:rStyle w:val="Hyperlink"/>
            <w:sz w:val="18"/>
            <w:szCs w:val="18"/>
          </w:rPr>
          <w:t xml:space="preserve">Amadeus Fire / Masterplan</w:t>
        </w:r>
      </w:hyperlink>
    </w:p>
    <w:p>
      <w:pPr>
        <w:pStyle w:val="ListParagraph"/>
        <w:numPr>
          <w:ilvl w:val="0"/>
          <w:numId w:val="1"/>
        </w:numPr>
        <w:spacing w:after="40"/>
      </w:pPr>
      <w:hyperlink w:history="1" r:id="rIdl3sozb0j7chp1tbpfddun">
        <w:r>
          <w:rPr>
            <w:rStyle w:val="Hyperlink"/>
            <w:sz w:val="18"/>
            <w:szCs w:val="18"/>
          </w:rPr>
          <w:t xml:space="preserve">Aventis Advisors — SaaS multiples</w:t>
        </w:r>
      </w:hyperlink>
    </w:p>
    <w:p>
      <w:pPr>
        <w:pStyle w:val="ListParagraph"/>
        <w:numPr>
          <w:ilvl w:val="0"/>
          <w:numId w:val="1"/>
        </w:numPr>
        <w:spacing w:after="40"/>
      </w:pPr>
      <w:hyperlink w:history="1" r:id="rId_4fa_0plndmmlkaauawxh">
        <w:r>
          <w:rPr>
            <w:rStyle w:val="Hyperlink"/>
            <w:sz w:val="18"/>
            <w:szCs w:val="18"/>
          </w:rPr>
          <w:t xml:space="preserve">atares — transactions</w:t>
        </w:r>
      </w:hyperlink>
    </w:p>
    <w:sectPr>
      <w:headerReference w:type="default" r:id="rId7"/>
      <w:footerReference w:type="default" r:id="rId8"/>
      <w:pgSz w:w="12240" w:h="15840" w:orient="portrait"/>
      <w:pgMar w:top="118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atares · </w:t>
    </w:r>
    <w:r>
      <w:rPr>
        <w:color w:val="595959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5"/>
        <w:szCs w:val="15"/>
      </w:rPr>
      <w:t xml:space="preserve">Project Vision · Pitchbook fill guide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  <w:lvl w:ilvl="1" w15:tentative="1">
      <w:start w:val="1"/>
      <w:numFmt w:val="bullet"/>
      <w:lvlText w:val="–"/>
      <w:lvlJc w:val="left"/>
      <w:pPr>
        <w:ind w:left="86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DefaultParagraphFont"/>
    <w:rPr>
      <w:color w:val="2E5496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r3fqoxxtvgerxmj-ebyb" Type="http://schemas.openxmlformats.org/officeDocument/2006/relationships/hyperlink" Target="https://wtt-campusone.com/" TargetMode="External"/><Relationship Id="rIdlyvaouj7mwnkpko4bxhp5" Type="http://schemas.openxmlformats.org/officeDocument/2006/relationships/hyperlink" Target="https://www.grandviewresearch.com/horizon/outlook/corporate-e-learning-market/germany" TargetMode="External"/><Relationship Id="rIdbzq6m7wgz68ssl5qztgje" Type="http://schemas.openxmlformats.org/officeDocument/2006/relationships/hyperlink" Target="https://group.amadeus-fire.de/en/pressemitteilung/amadeus-fire-group-acquires-e-learning-platform-masterplan-strategic-investment-in-the-digital-b2b-training-market/" TargetMode="External"/><Relationship Id="rIdl3sozb0j7chp1tbpfddun" Type="http://schemas.openxmlformats.org/officeDocument/2006/relationships/hyperlink" Target="https://aventis-advisors.com/saas-valuation-multiples/" TargetMode="External"/><Relationship Id="rId_4fa_0plndmmlkaauawxh" Type="http://schemas.openxmlformats.org/officeDocument/2006/relationships/hyperlink" Target="https://atares.team/en/transactions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Vision — Pitchbook Slide-by-Slide Fill Guide</dc:title>
  <dc:creator>atares</dc:creator>
  <cp:lastModifiedBy>Un-named</cp:lastModifiedBy>
  <cp:revision>1</cp:revision>
  <dcterms:created xsi:type="dcterms:W3CDTF">2026-08-07T12:52:26.039Z</dcterms:created>
  <dcterms:modified xsi:type="dcterms:W3CDTF">2026-08-07T12:52:26.054Z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