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864"/>
          <w:sz w:val="40"/>
          <w:szCs w:val="40"/>
        </w:rPr>
        <w:t xml:space="preserve">atares</w:t>
      </w:r>
      <w:r>
        <w:rPr>
          <w:color w:val="595959"/>
          <w:sz w:val="20"/>
          <w:szCs w:val="20"/>
        </w:rPr>
        <w:t xml:space="preserve">  ·  the digital M&amp;A manufactory</w:t>
      </w:r>
    </w:p>
    <w:p>
      <w:pPr>
        <w:pBdr>
          <w:bottom w:val="single" w:color="1F3864" w:sz="12" w:space="8"/>
        </w:pBdr>
        <w:spacing w:after="0" w:before="20"/>
      </w:pPr>
    </w:p>
    <w:p>
      <w:pPr>
        <w:spacing w:after="0" w:before="900"/>
      </w:pPr>
      <w:r>
        <w:rPr>
          <w:b/>
          <w:bCs/>
          <w:color w:val="C55A11"/>
          <w:sz w:val="20"/>
          <w:szCs w:val="20"/>
        </w:rPr>
        <w:t xml:space="preserve">STRICTLY CONFIDENTIAL</w:t>
      </w:r>
    </w:p>
    <w:p>
      <w:pPr>
        <w:spacing w:after="60" w:before="220"/>
      </w:pPr>
      <w:r>
        <w:rPr>
          <w:b/>
          <w:bCs/>
          <w:color w:val="1F3864"/>
          <w:sz w:val="60"/>
          <w:szCs w:val="60"/>
        </w:rPr>
        <w:t xml:space="preserve">Project Vision</w:t>
      </w:r>
    </w:p>
    <w:p>
      <w:pPr>
        <w:spacing w:after="40"/>
      </w:pPr>
      <w:r>
        <w:rPr>
          <w:color w:val="2E5496"/>
          <w:sz w:val="32"/>
          <w:szCs w:val="32"/>
        </w:rPr>
        <w:t xml:space="preserve">Proposal for Transaction Advisory Services</w:t>
      </w:r>
    </w:p>
    <w:p>
      <w:pPr>
        <w:spacing w:after="300"/>
      </w:pPr>
      <w:r>
        <w:rPr>
          <w:i/>
          <w:iCs/>
          <w:color w:val="595959"/>
          <w:sz w:val="23"/>
          <w:szCs w:val="23"/>
        </w:rPr>
        <w:t xml:space="preserve">Sell-side advisory on the 100% divestment of WTT CampusOne GmbH</w:t>
      </w:r>
    </w:p>
    <w:p>
      <w:pPr>
        <w:spacing w:after="40" w:before="700"/>
      </w:pPr>
      <w:r>
        <w:rPr>
          <w:b/>
          <w:bCs/>
          <w:sz w:val="21"/>
          <w:szCs w:val="21"/>
        </w:rPr>
        <w:t xml:space="preserve">Submitted to:</w:t>
      </w:r>
    </w:p>
    <w:p>
      <w:pPr>
        <w:spacing w:after="20" w:line="276"/>
      </w:pPr>
      <w:r>
        <w:rPr>
          <w:sz w:val="21"/>
          <w:szCs w:val="21"/>
        </w:rPr>
        <w:t xml:space="preserve">EnBW Energie Baden-Württemberg AG — EKB EnBW Kommunale Beteiligungen GmbH</w:t>
      </w:r>
    </w:p>
    <w:p>
      <w:pPr>
        <w:spacing w:after="220" w:line="276"/>
      </w:pPr>
      <w:r>
        <w:rPr>
          <w:sz w:val="21"/>
          <w:szCs w:val="21"/>
        </w:rPr>
        <w:t xml:space="preserve">Attn. Patrick Saporito, Strategic Procurement / Mergers &amp; Acquisitions (cc: Barbara Kuchenmüller)</w:t>
      </w:r>
    </w:p>
    <w:p>
      <w:pPr>
        <w:spacing w:after="40"/>
      </w:pPr>
      <w:r>
        <w:rPr>
          <w:b/>
          <w:bCs/>
          <w:sz w:val="21"/>
          <w:szCs w:val="21"/>
        </w:rPr>
        <w:t xml:space="preserve">Submitted by:</w:t>
      </w:r>
    </w:p>
    <w:p>
      <w:pPr>
        <w:spacing w:after="220" w:line="276"/>
      </w:pPr>
      <w:r>
        <w:rPr>
          <w:sz w:val="21"/>
          <w:szCs w:val="21"/>
        </w:rPr>
        <w:t xml:space="preserve">Atares GmbH · Prinz-Ludwig-Str. 7 · 80333 München · Jan Pörschmann, Managing Partner</w:t>
      </w:r>
    </w:p>
    <w:p>
      <w:pPr>
        <w:spacing w:after="20" w:line="276"/>
      </w:pPr>
      <w:r>
        <w:rPr>
          <w:b/>
          <w:bCs/>
          <w:sz w:val="21"/>
          <w:szCs w:val="21"/>
        </w:rPr>
        <w:t xml:space="preserve">Date: </w:t>
      </w:r>
      <w:r>
        <w:rPr>
          <w:sz w:val="21"/>
          <w:szCs w:val="21"/>
        </w:rPr>
        <w:t xml:space="preserve">14 August 2026</w:t>
      </w:r>
    </w:p>
    <w:p>
      <w:pPr>
        <w:spacing w:after="20" w:line="276"/>
      </w:pPr>
      <w:r>
        <w:rPr>
          <w:b/>
          <w:bCs/>
          <w:sz w:val="21"/>
          <w:szCs w:val="21"/>
        </w:rPr>
        <w:t xml:space="preserve">Submission deadline: </w:t>
      </w:r>
      <w:r>
        <w:rPr>
          <w:sz w:val="21"/>
          <w:szCs w:val="21"/>
        </w:rPr>
        <w:t xml:space="preserve">17 August 2026</w:t>
      </w:r>
    </w:p>
    <w:p>
      <w:pPr>
        <w:spacing w:after="120" w:line="276"/>
      </w:pPr>
      <w:r>
        <w:rPr>
          <w:b/>
          <w:bCs/>
          <w:sz w:val="21"/>
          <w:szCs w:val="21"/>
        </w:rPr>
        <w:t xml:space="preserve">Status: </w:t>
      </w:r>
      <w:r>
        <w:rPr>
          <w:i/>
          <w:iCs/>
          <w:color w:val="C55A11"/>
          <w:sz w:val="20"/>
          <w:szCs w:val="20"/>
        </w:rPr>
        <w:t xml:space="preserve">Draft for atares internal review — placeholders marked in orange to be confirmed before submission</w:t>
      </w:r>
    </w:p>
    <w:p>
      <w:r>
        <w:br w:type="page"/>
      </w:r>
    </w:p>
    <w:p>
      <w:pPr>
        <w:pStyle w:val="Heading1"/>
        <w:spacing w:after="140" w:before="320"/>
      </w:pPr>
      <w:r>
        <w:rPr>
          <w:b/>
          <w:bCs/>
          <w:color w:val="1F3864"/>
          <w:sz w:val="29"/>
          <w:szCs w:val="29"/>
        </w:rPr>
        <w:t xml:space="preserve">Cover letter</w:t>
      </w:r>
    </w:p>
    <w:p>
      <w:pPr>
        <w:spacing w:after="120" w:line="276"/>
      </w:pPr>
      <w:r>
        <w:rPr>
          <w:sz w:val="21"/>
          <w:szCs w:val="21"/>
        </w:rPr>
        <w:t xml:space="preserve">Dear Mr. Saporito, dear Ms. Kuchenmüller,</w:t>
      </w:r>
    </w:p>
    <w:p>
      <w:pPr>
        <w:spacing w:after="120" w:line="276"/>
      </w:pPr>
      <w:r>
        <w:rPr>
          <w:sz w:val="21"/>
          <w:szCs w:val="21"/>
        </w:rPr>
        <w:t xml:space="preserve">thank you for inviting atares to submit a proposal for Project Vision — the sell-side mandate for EnBW’s 100% divestment of WTT CampusOne GmbH. We would be delighted to act as your Transaction Advisor, and we believe this is a mandate we are exceptionally well suited to lead.</w:t>
      </w:r>
    </w:p>
    <w:p>
      <w:pPr>
        <w:spacing w:after="120" w:line="276"/>
      </w:pPr>
      <w:r>
        <w:rPr>
          <w:sz w:val="21"/>
          <w:szCs w:val="21"/>
        </w:rPr>
        <w:t xml:space="preserve">WTT sits at the exact intersection of what atares does best: it is a </w:t>
      </w:r>
      <w:r>
        <w:rPr>
          <w:b/>
          <w:bCs/>
          <w:sz w:val="21"/>
          <w:szCs w:val="21"/>
        </w:rPr>
        <w:t xml:space="preserve">high-margin, highly recurring, technology-driven B2B software business</w:t>
      </w:r>
      <w:r>
        <w:rPr>
          <w:sz w:val="21"/>
          <w:szCs w:val="21"/>
        </w:rPr>
        <w:t xml:space="preserve"> in the DACH midcap segment, with a defensible position in the energy, utility and municipal markets. As the digital M&amp;A manufactory for technology-driven midcap companies in Germany, we advise almost exclusively on the sell-side of tech transactions, we have completed more than 200 of them, and our EdTech, EnergyTech and public-sector-software credentials map directly onto WTT’s profile.</w:t>
      </w:r>
    </w:p>
    <w:p>
      <w:pPr>
        <w:spacing w:after="120" w:line="276"/>
      </w:pPr>
      <w:r>
        <w:rPr>
          <w:sz w:val="21"/>
          <w:szCs w:val="21"/>
        </w:rPr>
        <w:t xml:space="preserve">We have read the RFP carefully and confirm we can deliver the full Scope of Work end-to-end, from preparation through signing and closing. This document responds to each of your points A–J. Where we have made assumptions ahead of data-room access — most importantly on valuation — we have said so clearly. Our preliminary, outside-in view is that WTT’s combination of ~15–20% revenue growth and a ~47% EBITDA margin (a “Rule of 40” score above 60) positions it as a </w:t>
      </w:r>
      <w:r>
        <w:rPr>
          <w:b/>
          <w:bCs/>
          <w:sz w:val="21"/>
          <w:szCs w:val="21"/>
        </w:rPr>
        <w:t xml:space="preserve">premium, scarcity asset</w:t>
      </w:r>
      <w:r>
        <w:rPr>
          <w:sz w:val="21"/>
          <w:szCs w:val="21"/>
        </w:rPr>
        <w:t xml:space="preserve"> that should attract strong competitive tension from both strategics and financial investors.</w:t>
      </w:r>
    </w:p>
    <w:p>
      <w:pPr>
        <w:spacing w:after="120" w:line="276"/>
      </w:pPr>
      <w:r>
        <w:rPr>
          <w:sz w:val="21"/>
          <w:szCs w:val="21"/>
        </w:rPr>
        <w:t xml:space="preserve">We look forward to presenting our proposal in person at your Stuttgart office.</w:t>
      </w:r>
    </w:p>
    <w:p>
      <w:pPr>
        <w:spacing w:after="120"/>
      </w:pPr>
    </w:p>
    <w:p>
      <w:pPr>
        <w:spacing w:after="200" w:line="276"/>
      </w:pPr>
      <w:r>
        <w:rPr>
          <w:sz w:val="21"/>
          <w:szCs w:val="21"/>
        </w:rPr>
        <w:t xml:space="preserve">With kind regards,</w:t>
      </w:r>
    </w:p>
    <w:p>
      <w:pPr>
        <w:spacing w:after="10" w:line="276"/>
      </w:pPr>
      <w:r>
        <w:rPr>
          <w:b/>
          <w:bCs/>
          <w:sz w:val="21"/>
          <w:szCs w:val="21"/>
        </w:rPr>
        <w:t xml:space="preserve">Jan Pörschmann</w:t>
      </w:r>
    </w:p>
    <w:p>
      <w:pPr>
        <w:spacing w:after="120" w:line="276"/>
      </w:pPr>
      <w:r>
        <w:rPr>
          <w:i/>
          <w:iCs/>
          <w:color w:val="595959"/>
          <w:sz w:val="21"/>
          <w:szCs w:val="21"/>
        </w:rPr>
        <w:t xml:space="preserve">Managing Partner · Atares GmbH</w:t>
      </w:r>
    </w:p>
    <w:p>
      <w:r>
        <w:br w:type="page"/>
      </w:r>
    </w:p>
    <w:p>
      <w:pPr>
        <w:pStyle w:val="Heading1"/>
        <w:spacing w:after="140" w:before="320"/>
      </w:pPr>
      <w:r>
        <w:rPr>
          <w:b/>
          <w:bCs/>
          <w:color w:val="1F3864"/>
          <w:sz w:val="29"/>
          <w:szCs w:val="2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29"/>
          <w:szCs w:val="29"/>
        </w:rPr>
        <w:t xml:space="preserve">Executive summary — why atares for Project Vision</w:t>
      </w:r>
    </w:p>
    <w:tbl>
      <w:tblPr>
        <w:tblW w:type="dxa" w:w="9360"/>
        <w:tblBorders>
          <w:top w:val="single" w:color="1F3864" w:sz="4"/>
          <w:left w:val="single" w:color="1F3864" w:sz="14"/>
          <w:bottom w:val="single" w:color="1F3864" w:sz="4"/>
          <w:right w:val="single" w:color="1F3864" w:sz="4"/>
          <w:insideH w:val="none"/>
          <w:insideV w:val="none"/>
        </w:tblBorders>
      </w:tblPr>
      <w:tblGrid>
        <w:gridCol w:w="9360"/>
      </w:tblGrid>
      <w:tr>
        <w:tc>
          <w:tcPr>
            <w:tcW w:type="dxa" w:w="9360"/>
            <w:shd w:fill="EAF0F7" w:color="auto" w:val="clear"/>
            <w:tcMar>
              <w:top w:type="dxa" w:w="120"/>
              <w:left w:type="dxa" w:w="160"/>
              <w:bottom w:type="dxa" w:w="120"/>
              <w:right w:type="dxa" w:w="160"/>
            </w:tcMar>
          </w:tcPr>
          <w:p>
            <w:pPr>
              <w:spacing w:after="60"/>
            </w:pPr>
            <w:r>
              <w:rPr>
                <w:b/>
                <w:bCs/>
                <w:color w:val="1F3864"/>
                <w:sz w:val="21"/>
                <w:szCs w:val="21"/>
              </w:rPr>
              <w:t xml:space="preserve">Five reasons atares wins this for EnBW</w:t>
            </w:r>
          </w:p>
          <w:p>
            <w:pPr>
              <w:spacing w:after="40" w:line="268"/>
            </w:pPr>
            <w:r>
              <w:rPr>
                <w:b/>
                <w:bCs/>
                <w:sz w:val="21"/>
                <w:szCs w:val="21"/>
              </w:rPr>
              <w:t xml:space="preserve">1. Perfect sector fit. </w:t>
            </w:r>
            <w:r>
              <w:rPr>
                <w:sz w:val="21"/>
                <w:szCs w:val="21"/>
              </w:rPr>
              <w:t xml:space="preserve">EdTech + EnergyTech + public-sector software — all core atares verticals, with directly relevant sell-side references (H&amp;H → Visma; Adaptricity; mobileX; DC-Software; cadis).</w:t>
            </w:r>
          </w:p>
          <w:p>
            <w:pPr>
              <w:spacing w:after="40" w:line="268"/>
            </w:pPr>
            <w:r>
              <w:rPr>
                <w:b/>
                <w:bCs/>
                <w:sz w:val="21"/>
                <w:szCs w:val="21"/>
              </w:rPr>
              <w:t xml:space="preserve">2. A premium asset, priced as one. </w:t>
            </w:r>
            <w:r>
              <w:rPr>
                <w:sz w:val="21"/>
                <w:szCs w:val="21"/>
              </w:rPr>
              <w:t xml:space="preserve">~47% EBITDA margin, ~15–20% growth, &gt;80% recurring revenue → Rule of 40 &gt; 60. We will build the process to capture a double-digit EBITDA multiple.</w:t>
            </w:r>
          </w:p>
          <w:p>
            <w:pPr>
              <w:spacing w:after="40" w:line="268"/>
            </w:pPr>
            <w:r>
              <w:rPr>
                <w:b/>
                <w:bCs/>
                <w:sz w:val="21"/>
                <w:szCs w:val="21"/>
              </w:rPr>
              <w:t xml:space="preserve">3. Senior-led, stable team. </w:t>
            </w:r>
            <w:r>
              <w:rPr>
                <w:sz w:val="21"/>
                <w:szCs w:val="21"/>
              </w:rPr>
              <w:t xml:space="preserve">Managing Partner Jan Pörschmann leads throughout, with a dedicated, unchanged core team — exactly as EnBW requires.</w:t>
            </w:r>
          </w:p>
          <w:p>
            <w:pPr>
              <w:spacing w:after="40" w:line="268"/>
            </w:pPr>
            <w:r>
              <w:rPr>
                <w:b/>
                <w:bCs/>
                <w:sz w:val="21"/>
                <w:szCs w:val="21"/>
              </w:rPr>
              <w:t xml:space="preserve">4. Unmatched investor access. </w:t>
            </w:r>
            <w:r>
              <w:rPr>
                <w:sz w:val="21"/>
                <w:szCs w:val="21"/>
              </w:rPr>
              <w:t xml:space="preserve">~4,000 registered PE funds and ~30,000 corporate-finance contacts across Europe, the Americas and Asia — the reach to run a genuinely international, competitive process.</w:t>
            </w:r>
          </w:p>
          <w:p>
            <w:pPr>
              <w:spacing w:after="40" w:line="268"/>
            </w:pPr>
            <w:r>
              <w:rPr>
                <w:b/>
                <w:bCs/>
                <w:sz w:val="21"/>
                <w:szCs w:val="21"/>
              </w:rPr>
              <w:t xml:space="preserve">5. Digital execution edge. </w:t>
            </w:r>
            <w:r>
              <w:rPr>
                <w:sz w:val="21"/>
                <w:szCs w:val="21"/>
              </w:rPr>
              <w:t xml:space="preserve">The atares deal floor keeps every workstream, document and bidder interaction in one secure, auditable place — speed and control for a carve-out from a listed group.</w:t>
            </w:r>
          </w:p>
        </w:tc>
      </w:tr>
    </w:tbl>
    <w:p>
      <w:pPr>
        <w:spacing w:after="120"/>
      </w:pPr>
    </w:p>
    <w:p>
      <w:pPr>
        <w:spacing w:after="120" w:line="276"/>
      </w:pPr>
      <w:r>
        <w:rPr>
          <w:sz w:val="21"/>
          <w:szCs w:val="21"/>
        </w:rPr>
        <w:t xml:space="preserve">The remainder of this proposal follows the structure of your RFP (sections A–J), confirms the Scope of Work, and sets out our work plan, indicative timetable and a fully performance-based, capped remuneration model.</w:t>
      </w:r>
    </w:p>
    <w:p>
      <w:r>
        <w:br w:type="page"/>
      </w:r>
    </w:p>
    <w:p>
      <w:pPr>
        <w:pStyle w:val="Heading1"/>
        <w:spacing w:after="140" w:before="320"/>
      </w:pPr>
      <w:r>
        <w:rPr>
          <w:b/>
          <w:bCs/>
          <w:color w:val="1F3864"/>
          <w:sz w:val="29"/>
          <w:szCs w:val="29"/>
        </w:rPr>
        <w:t xml:space="preserve">A.  Sector experience &amp; understanding of the business segment</w:t>
      </w:r>
    </w:p>
    <w:p>
      <w:pPr>
        <w:pStyle w:val="Heading2"/>
        <w:spacing w:after="90" w:before="220"/>
      </w:pPr>
      <w:r>
        <w:rPr>
          <w:b/>
          <w:bCs/>
          <w:color w:val="2E5496"/>
          <w:sz w:val="24"/>
          <w:szCs w:val="24"/>
        </w:rPr>
        <w:t xml:space="preserve">A.1  Our understanding of WTT and its segment</w:t>
      </w:r>
    </w:p>
    <w:p>
      <w:pPr>
        <w:spacing w:after="120" w:line="276"/>
      </w:pPr>
      <w:r>
        <w:rPr>
          <w:sz w:val="21"/>
          <w:szCs w:val="21"/>
        </w:rPr>
        <w:t xml:space="preserve">WTT CampusOne is a leading German EdTech provider of digital learning solutions, headquartered in Ludwigsburg, serving 600+ customers across the DACH region — predominantly Stadtwerke (municipal utilities), energy suppliers and the public sector. Through a proprietary cloud LMS (“eCampus”) it delivers 700+ digital learning modules, with a </w:t>
      </w:r>
      <w:r>
        <w:rPr>
          <w:b/>
          <w:bCs/>
          <w:sz w:val="21"/>
          <w:szCs w:val="21"/>
        </w:rPr>
        <w:t xml:space="preserve">highly recurring revenue base, strong retention and significant scalability</w:t>
      </w:r>
      <w:r>
        <w:rPr>
          <w:sz w:val="21"/>
          <w:szCs w:val="21"/>
        </w:rPr>
        <w:t xml:space="preserve">. We understand the segment intimately:</w:t>
      </w:r>
    </w:p>
    <w:p>
      <w:pPr>
        <w:pStyle w:val="ListParagraph"/>
        <w:numPr>
          <w:ilvl w:val="0"/>
          <w:numId w:val="2"/>
        </w:numPr>
        <w:spacing w:after="70" w:line="272"/>
      </w:pPr>
      <w:r>
        <w:rPr>
          <w:b/>
          <w:bCs/>
          <w:sz w:val="21"/>
          <w:szCs w:val="21"/>
        </w:rPr>
        <w:t xml:space="preserve">Regulation is the demand engine. </w:t>
      </w:r>
      <w:r>
        <w:rPr>
          <w:sz w:val="21"/>
          <w:szCs w:val="21"/>
        </w:rPr>
        <w:t xml:space="preserve">Mandatory, annually-recurring training — occupational safety (ArbSchG/DGUV), data protection (DSGVO), information security (incl. NIS2), compliance and energy-specific obligations — makes revenue non-discretionary and cycle-resilient. The EU AI Act and NIS2 are net-new recurring topics that expand the mandatory catalogue.</w:t>
      </w:r>
    </w:p>
    <w:p>
      <w:pPr>
        <w:pStyle w:val="ListParagraph"/>
        <w:numPr>
          <w:ilvl w:val="0"/>
          <w:numId w:val="2"/>
        </w:numPr>
        <w:spacing w:after="70" w:line="272"/>
      </w:pPr>
      <w:r>
        <w:rPr>
          <w:b/>
          <w:bCs/>
          <w:sz w:val="21"/>
          <w:szCs w:val="21"/>
        </w:rPr>
        <w:t xml:space="preserve">Vertical depth is the moat. </w:t>
      </w:r>
      <w:r>
        <w:rPr>
          <w:sz w:val="21"/>
          <w:szCs w:val="21"/>
        </w:rPr>
        <w:t xml:space="preserve">Energy- and public-sector-specific content (e.g. Marktkommunikation, grid/metering, §14a EnWG) is content horizontal LMS vendors cannot easily replicate; combined with DSGVO-native data residency, this drives high switching costs in a risk-averse buyer set.</w:t>
      </w:r>
    </w:p>
    <w:p>
      <w:pPr>
        <w:pStyle w:val="ListParagraph"/>
        <w:numPr>
          <w:ilvl w:val="0"/>
          <w:numId w:val="2"/>
        </w:numPr>
        <w:spacing w:after="70" w:line="272"/>
      </w:pPr>
      <w:r>
        <w:rPr>
          <w:b/>
          <w:bCs/>
          <w:sz w:val="21"/>
          <w:szCs w:val="21"/>
        </w:rPr>
        <w:t xml:space="preserve">The market is structurally attractive. </w:t>
      </w:r>
      <w:r>
        <w:rPr>
          <w:sz w:val="21"/>
          <w:szCs w:val="21"/>
        </w:rPr>
        <w:t xml:space="preserve">German corporate e-learning is growing ~20% p.a. towards ~USD 11bn by 2030, on still-low penetration — a favourable backdrop for the equity story.</w:t>
      </w:r>
    </w:p>
    <w:p>
      <w:pPr>
        <w:pStyle w:val="Heading2"/>
        <w:spacing w:after="90" w:before="220"/>
      </w:pPr>
      <w:r>
        <w:rPr>
          <w:b/>
          <w:bCs/>
          <w:color w:val="2E5496"/>
          <w:sz w:val="24"/>
          <w:szCs w:val="24"/>
        </w:rPr>
        <w:t xml:space="preserve">A.2  Relevant atares sell-side transactions</w:t>
      </w:r>
    </w:p>
    <w:p>
      <w:pPr>
        <w:spacing w:after="120" w:line="276"/>
      </w:pPr>
      <w:r>
        <w:rPr>
          <w:sz w:val="21"/>
          <w:szCs w:val="21"/>
        </w:rPr>
        <w:t xml:space="preserve">atares has advised on 200+ technology transactions. The references below are directly analogous to Project Vision — recurring-revenue software, public-sector/municipal software, and EnergyTech — spanning both strategic and private-equity acquirers: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50"/>
        <w:gridCol w:w="2550"/>
        <w:gridCol w:w="2450"/>
        <w:gridCol w:w="1710"/>
      </w:tblGrid>
      <w:tr>
        <w:trPr>
          <w:tblHeader/>
        </w:trPr>
        <w:tc>
          <w:tcPr>
            <w:tcW w:type="dxa" w:w="2650"/>
            <w:shd w:fill="1F3864" w:color="auto" w:val="clear"/>
            <w:tcMar>
              <w:top w:type="dxa" w:w="55"/>
              <w:left w:type="dxa" w:w="85"/>
              <w:bottom w:type="dxa" w:w="55"/>
              <w:right w:type="dxa" w:w="85"/>
            </w:tcMar>
          </w:tcPr>
          <w:p>
            <w:pPr>
              <w:spacing w:after="30" w:line="256"/>
            </w:pPr>
            <w:r>
              <w:rPr>
                <w:b/>
                <w:bCs/>
                <w:color w:val="FFFFFF"/>
                <w:sz w:val="18"/>
                <w:szCs w:val="18"/>
              </w:rPr>
              <w:t xml:space="preserve">Target (atares sell-side)</w:t>
            </w:r>
          </w:p>
        </w:tc>
        <w:tc>
          <w:tcPr>
            <w:tcW w:type="dxa" w:w="2550"/>
            <w:shd w:fill="1F3864" w:color="auto" w:val="clear"/>
            <w:tcMar>
              <w:top w:type="dxa" w:w="55"/>
              <w:left w:type="dxa" w:w="85"/>
              <w:bottom w:type="dxa" w:w="55"/>
              <w:right w:type="dxa" w:w="85"/>
            </w:tcMar>
          </w:tcPr>
          <w:p>
            <w:pPr>
              <w:spacing w:after="30" w:line="256"/>
            </w:pPr>
            <w:r>
              <w:rPr>
                <w:b/>
                <w:bCs/>
                <w:color w:val="FFFFFF"/>
                <w:sz w:val="18"/>
                <w:szCs w:val="18"/>
              </w:rPr>
              <w:t xml:space="preserve">Acquirer</w:t>
            </w:r>
          </w:p>
        </w:tc>
        <w:tc>
          <w:tcPr>
            <w:tcW w:type="dxa" w:w="2450"/>
            <w:shd w:fill="1F3864" w:color="auto" w:val="clear"/>
            <w:tcMar>
              <w:top w:type="dxa" w:w="55"/>
              <w:left w:type="dxa" w:w="85"/>
              <w:bottom w:type="dxa" w:w="55"/>
              <w:right w:type="dxa" w:w="85"/>
            </w:tcMar>
          </w:tcPr>
          <w:p>
            <w:pPr>
              <w:spacing w:after="30" w:line="256"/>
            </w:pPr>
            <w:r>
              <w:rPr>
                <w:b/>
                <w:bCs/>
                <w:color w:val="FFFFFF"/>
                <w:sz w:val="18"/>
                <w:szCs w:val="18"/>
              </w:rPr>
              <w:t xml:space="preserve">Segment</w:t>
            </w:r>
          </w:p>
        </w:tc>
        <w:tc>
          <w:tcPr>
            <w:tcW w:type="dxa" w:w="1710"/>
            <w:shd w:fill="1F3864" w:color="auto" w:val="clear"/>
            <w:tcMar>
              <w:top w:type="dxa" w:w="55"/>
              <w:left w:type="dxa" w:w="85"/>
              <w:bottom w:type="dxa" w:w="55"/>
              <w:right w:type="dxa" w:w="85"/>
            </w:tcMar>
          </w:tcPr>
          <w:p>
            <w:pPr>
              <w:spacing w:after="30" w:line="256"/>
            </w:pPr>
            <w:r>
              <w:rPr>
                <w:b/>
                <w:bCs/>
                <w:color w:val="FFFFFF"/>
                <w:sz w:val="18"/>
                <w:szCs w:val="18"/>
              </w:rPr>
              <w:t xml:space="preserve">Relevance</w:t>
            </w:r>
          </w:p>
        </w:tc>
      </w:tr>
      <w:tr>
        <w:trPr>
          <w:tblHeader w:val="false"/>
        </w:trPr>
        <w:tc>
          <w:tcPr>
            <w:tcW w:type="dxa" w:w="2650"/>
            <w:tcMar>
              <w:top w:type="dxa" w:w="55"/>
              <w:left w:type="dxa" w:w="85"/>
              <w:bottom w:type="dxa" w:w="55"/>
              <w:right w:type="dxa" w:w="85"/>
            </w:tcMar>
          </w:tcPr>
          <w:p>
            <w:pPr>
              <w:spacing w:after="30" w:line="256"/>
            </w:pPr>
            <w:r>
              <w:rPr>
                <w:b w:val="false"/>
                <w:bCs w:val="false"/>
                <w:sz w:val="18"/>
                <w:szCs w:val="18"/>
              </w:rPr>
              <w:t xml:space="preserve">H&amp;H</w:t>
            </w:r>
          </w:p>
        </w:tc>
        <w:tc>
          <w:tcPr>
            <w:tcW w:type="dxa" w:w="2550"/>
            <w:tcMar>
              <w:top w:type="dxa" w:w="55"/>
              <w:left w:type="dxa" w:w="85"/>
              <w:bottom w:type="dxa" w:w="55"/>
              <w:right w:type="dxa" w:w="85"/>
            </w:tcMar>
          </w:tcPr>
          <w:p>
            <w:pPr>
              <w:spacing w:after="30" w:line="256"/>
            </w:pPr>
            <w:r>
              <w:rPr>
                <w:b w:val="false"/>
                <w:bCs w:val="false"/>
                <w:sz w:val="18"/>
                <w:szCs w:val="18"/>
              </w:rPr>
              <w:t xml:space="preserve">Visma</w:t>
            </w:r>
          </w:p>
        </w:tc>
        <w:tc>
          <w:tcPr>
            <w:tcW w:type="dxa" w:w="2450"/>
            <w:tcMar>
              <w:top w:type="dxa" w:w="55"/>
              <w:left w:type="dxa" w:w="85"/>
              <w:bottom w:type="dxa" w:w="55"/>
              <w:right w:type="dxa" w:w="85"/>
            </w:tcMar>
          </w:tcPr>
          <w:p>
            <w:pPr>
              <w:spacing w:after="30" w:line="256"/>
            </w:pPr>
            <w:r>
              <w:rPr>
                <w:b w:val="false"/>
                <w:bCs w:val="false"/>
                <w:sz w:val="18"/>
                <w:szCs w:val="18"/>
              </w:rPr>
              <w:t xml:space="preserve">Municipal finance software</w:t>
            </w:r>
          </w:p>
        </w:tc>
        <w:tc>
          <w:tcPr>
            <w:tcW w:type="dxa" w:w="1710"/>
            <w:tcMar>
              <w:top w:type="dxa" w:w="55"/>
              <w:left w:type="dxa" w:w="85"/>
              <w:bottom w:type="dxa" w:w="55"/>
              <w:right w:type="dxa" w:w="85"/>
            </w:tcMar>
          </w:tcPr>
          <w:p>
            <w:pPr>
              <w:spacing w:after="30" w:line="256"/>
            </w:pPr>
            <w:r>
              <w:rPr>
                <w:b w:val="false"/>
                <w:bCs w:val="false"/>
                <w:sz w:val="18"/>
                <w:szCs w:val="18"/>
              </w:rPr>
              <w:t xml:space="preserve">Public-sector SaaS → strategic</w:t>
            </w:r>
          </w:p>
        </w:tc>
      </w:tr>
      <w:tr>
        <w:trPr>
          <w:tblHeader w:val="false"/>
        </w:trPr>
        <w:tc>
          <w:tcPr>
            <w:tcW w:type="dxa" w:w="2650"/>
            <w:shd w:fill="EAF0F7" w:color="auto" w:val="clear"/>
            <w:tcMar>
              <w:top w:type="dxa" w:w="55"/>
              <w:left w:type="dxa" w:w="85"/>
              <w:bottom w:type="dxa" w:w="55"/>
              <w:right w:type="dxa" w:w="85"/>
            </w:tcMar>
          </w:tcPr>
          <w:p>
            <w:pPr>
              <w:spacing w:after="30" w:line="256"/>
            </w:pPr>
            <w:r>
              <w:rPr>
                <w:b w:val="false"/>
                <w:bCs w:val="false"/>
                <w:sz w:val="18"/>
                <w:szCs w:val="18"/>
              </w:rPr>
              <w:t xml:space="preserve">Adaptricity</w:t>
            </w:r>
          </w:p>
        </w:tc>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Strategic investors (India)</w:t>
            </w:r>
          </w:p>
        </w:tc>
        <w:tc>
          <w:tcPr>
            <w:tcW w:type="dxa" w:w="2450"/>
            <w:shd w:fill="EAF0F7" w:color="auto" w:val="clear"/>
            <w:tcMar>
              <w:top w:type="dxa" w:w="55"/>
              <w:left w:type="dxa" w:w="85"/>
              <w:bottom w:type="dxa" w:w="55"/>
              <w:right w:type="dxa" w:w="85"/>
            </w:tcMar>
          </w:tcPr>
          <w:p>
            <w:pPr>
              <w:spacing w:after="30" w:line="256"/>
            </w:pPr>
            <w:r>
              <w:rPr>
                <w:b w:val="false"/>
                <w:bCs w:val="false"/>
                <w:sz w:val="18"/>
                <w:szCs w:val="18"/>
              </w:rPr>
              <w:t xml:space="preserve">Grid/network-analysis platform</w:t>
            </w:r>
          </w:p>
        </w:tc>
        <w:tc>
          <w:tcPr>
            <w:tcW w:type="dxa" w:w="1710"/>
            <w:shd w:fill="EAF0F7" w:color="auto" w:val="clear"/>
            <w:tcMar>
              <w:top w:type="dxa" w:w="55"/>
              <w:left w:type="dxa" w:w="85"/>
              <w:bottom w:type="dxa" w:w="55"/>
              <w:right w:type="dxa" w:w="85"/>
            </w:tcMar>
          </w:tcPr>
          <w:p>
            <w:pPr>
              <w:spacing w:after="30" w:line="256"/>
            </w:pPr>
            <w:r>
              <w:rPr>
                <w:b w:val="false"/>
                <w:bCs w:val="false"/>
                <w:sz w:val="18"/>
                <w:szCs w:val="18"/>
              </w:rPr>
              <w:t xml:space="preserve">EnergyTech, cross-border</w:t>
            </w:r>
          </w:p>
        </w:tc>
      </w:tr>
      <w:tr>
        <w:trPr>
          <w:tblHeader w:val="false"/>
        </w:trPr>
        <w:tc>
          <w:tcPr>
            <w:tcW w:type="dxa" w:w="2650"/>
            <w:tcMar>
              <w:top w:type="dxa" w:w="55"/>
              <w:left w:type="dxa" w:w="85"/>
              <w:bottom w:type="dxa" w:w="55"/>
              <w:right w:type="dxa" w:w="85"/>
            </w:tcMar>
          </w:tcPr>
          <w:p>
            <w:pPr>
              <w:spacing w:after="30" w:line="256"/>
            </w:pPr>
            <w:r>
              <w:rPr>
                <w:b w:val="false"/>
                <w:bCs w:val="false"/>
                <w:sz w:val="18"/>
                <w:szCs w:val="18"/>
              </w:rPr>
              <w:t xml:space="preserve">mobileX AG</w:t>
            </w:r>
          </w:p>
        </w:tc>
        <w:tc>
          <w:tcPr>
            <w:tcW w:type="dxa" w:w="2550"/>
            <w:tcMar>
              <w:top w:type="dxa" w:w="55"/>
              <w:left w:type="dxa" w:w="85"/>
              <w:bottom w:type="dxa" w:w="55"/>
              <w:right w:type="dxa" w:w="85"/>
            </w:tcMar>
          </w:tcPr>
          <w:p>
            <w:pPr>
              <w:spacing w:after="30" w:line="256"/>
            </w:pPr>
            <w:r>
              <w:rPr>
                <w:b w:val="false"/>
                <w:bCs w:val="false"/>
                <w:sz w:val="18"/>
                <w:szCs w:val="18"/>
              </w:rPr>
              <w:t xml:space="preserve">Solvares Group</w:t>
            </w:r>
          </w:p>
        </w:tc>
        <w:tc>
          <w:tcPr>
            <w:tcW w:type="dxa" w:w="2450"/>
            <w:tcMar>
              <w:top w:type="dxa" w:w="55"/>
              <w:left w:type="dxa" w:w="85"/>
              <w:bottom w:type="dxa" w:w="55"/>
              <w:right w:type="dxa" w:w="85"/>
            </w:tcMar>
          </w:tcPr>
          <w:p>
            <w:pPr>
              <w:spacing w:after="30" w:line="256"/>
            </w:pPr>
            <w:r>
              <w:rPr>
                <w:b w:val="false"/>
                <w:bCs w:val="false"/>
                <w:sz w:val="18"/>
                <w:szCs w:val="18"/>
              </w:rPr>
              <w:t xml:space="preserve">Field-service mgmt software</w:t>
            </w:r>
          </w:p>
        </w:tc>
        <w:tc>
          <w:tcPr>
            <w:tcW w:type="dxa" w:w="1710"/>
            <w:tcMar>
              <w:top w:type="dxa" w:w="55"/>
              <w:left w:type="dxa" w:w="85"/>
              <w:bottom w:type="dxa" w:w="55"/>
              <w:right w:type="dxa" w:w="85"/>
            </w:tcMar>
          </w:tcPr>
          <w:p>
            <w:pPr>
              <w:spacing w:after="30" w:line="256"/>
            </w:pPr>
            <w:r>
              <w:rPr>
                <w:b w:val="false"/>
                <w:bCs w:val="false"/>
                <w:sz w:val="18"/>
                <w:szCs w:val="18"/>
              </w:rPr>
              <w:t xml:space="preserve">Recurring B2B software</w:t>
            </w:r>
          </w:p>
        </w:tc>
      </w:tr>
      <w:tr>
        <w:trPr>
          <w:tblHeader w:val="false"/>
        </w:trPr>
        <w:tc>
          <w:tcPr>
            <w:tcW w:type="dxa" w:w="2650"/>
            <w:shd w:fill="EAF0F7" w:color="auto" w:val="clear"/>
            <w:tcMar>
              <w:top w:type="dxa" w:w="55"/>
              <w:left w:type="dxa" w:w="85"/>
              <w:bottom w:type="dxa" w:w="55"/>
              <w:right w:type="dxa" w:w="85"/>
            </w:tcMar>
          </w:tcPr>
          <w:p>
            <w:pPr>
              <w:spacing w:after="30" w:line="256"/>
            </w:pPr>
            <w:r>
              <w:rPr>
                <w:b w:val="false"/>
                <w:bCs w:val="false"/>
                <w:sz w:val="18"/>
                <w:szCs w:val="18"/>
              </w:rPr>
              <w:t xml:space="preserve">DC-Software</w:t>
            </w:r>
          </w:p>
        </w:tc>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FRILO Software</w:t>
            </w:r>
          </w:p>
        </w:tc>
        <w:tc>
          <w:tcPr>
            <w:tcW w:type="dxa" w:w="2450"/>
            <w:shd w:fill="EAF0F7" w:color="auto" w:val="clear"/>
            <w:tcMar>
              <w:top w:type="dxa" w:w="55"/>
              <w:left w:type="dxa" w:w="85"/>
              <w:bottom w:type="dxa" w:w="55"/>
              <w:right w:type="dxa" w:w="85"/>
            </w:tcMar>
          </w:tcPr>
          <w:p>
            <w:pPr>
              <w:spacing w:after="30" w:line="256"/>
            </w:pPr>
            <w:r>
              <w:rPr>
                <w:b w:val="false"/>
                <w:bCs w:val="false"/>
                <w:sz w:val="18"/>
                <w:szCs w:val="18"/>
              </w:rPr>
              <w:t xml:space="preserve">Engineering software</w:t>
            </w:r>
          </w:p>
        </w:tc>
        <w:tc>
          <w:tcPr>
            <w:tcW w:type="dxa" w:w="1710"/>
            <w:shd w:fill="EAF0F7" w:color="auto" w:val="clear"/>
            <w:tcMar>
              <w:top w:type="dxa" w:w="55"/>
              <w:left w:type="dxa" w:w="85"/>
              <w:bottom w:type="dxa" w:w="55"/>
              <w:right w:type="dxa" w:w="85"/>
            </w:tcMar>
          </w:tcPr>
          <w:p>
            <w:pPr>
              <w:spacing w:after="30" w:line="256"/>
            </w:pPr>
            <w:r>
              <w:rPr>
                <w:b w:val="false"/>
                <w:bCs w:val="false"/>
                <w:sz w:val="18"/>
                <w:szCs w:val="18"/>
              </w:rPr>
              <w:t xml:space="preserve">Software buy-and-build</w:t>
            </w:r>
          </w:p>
        </w:tc>
      </w:tr>
      <w:tr>
        <w:trPr>
          <w:tblHeader w:val="false"/>
        </w:trPr>
        <w:tc>
          <w:tcPr>
            <w:tcW w:type="dxa" w:w="2650"/>
            <w:tcMar>
              <w:top w:type="dxa" w:w="55"/>
              <w:left w:type="dxa" w:w="85"/>
              <w:bottom w:type="dxa" w:w="55"/>
              <w:right w:type="dxa" w:w="85"/>
            </w:tcMar>
          </w:tcPr>
          <w:p>
            <w:pPr>
              <w:spacing w:after="30" w:line="256"/>
            </w:pPr>
            <w:r>
              <w:rPr>
                <w:b w:val="false"/>
                <w:bCs w:val="false"/>
                <w:sz w:val="18"/>
                <w:szCs w:val="18"/>
              </w:rPr>
              <w:t xml:space="preserve">cadis® (TMS)</w:t>
            </w:r>
          </w:p>
        </w:tc>
        <w:tc>
          <w:tcPr>
            <w:tcW w:type="dxa" w:w="2550"/>
            <w:tcMar>
              <w:top w:type="dxa" w:w="55"/>
              <w:left w:type="dxa" w:w="85"/>
              <w:bottom w:type="dxa" w:w="55"/>
              <w:right w:type="dxa" w:w="85"/>
            </w:tcMar>
          </w:tcPr>
          <w:p>
            <w:pPr>
              <w:spacing w:after="30" w:line="256"/>
            </w:pPr>
            <w:r>
              <w:rPr>
                <w:b w:val="false"/>
                <w:bCs w:val="false"/>
                <w:sz w:val="18"/>
                <w:szCs w:val="18"/>
              </w:rPr>
              <w:t xml:space="preserve">Valsoft Corporation</w:t>
            </w:r>
          </w:p>
        </w:tc>
        <w:tc>
          <w:tcPr>
            <w:tcW w:type="dxa" w:w="2450"/>
            <w:tcMar>
              <w:top w:type="dxa" w:w="55"/>
              <w:left w:type="dxa" w:w="85"/>
              <w:bottom w:type="dxa" w:w="55"/>
              <w:right w:type="dxa" w:w="85"/>
            </w:tcMar>
          </w:tcPr>
          <w:p>
            <w:pPr>
              <w:spacing w:after="30" w:line="256"/>
            </w:pPr>
            <w:r>
              <w:rPr>
                <w:b w:val="false"/>
                <w:bCs w:val="false"/>
                <w:sz w:val="18"/>
                <w:szCs w:val="18"/>
              </w:rPr>
              <w:t xml:space="preserve">Vertical SaaS</w:t>
            </w:r>
          </w:p>
        </w:tc>
        <w:tc>
          <w:tcPr>
            <w:tcW w:type="dxa" w:w="1710"/>
            <w:tcMar>
              <w:top w:type="dxa" w:w="55"/>
              <w:left w:type="dxa" w:w="85"/>
              <w:bottom w:type="dxa" w:w="55"/>
              <w:right w:type="dxa" w:w="85"/>
            </w:tcMar>
          </w:tcPr>
          <w:p>
            <w:pPr>
              <w:spacing w:after="30" w:line="256"/>
            </w:pPr>
            <w:r>
              <w:rPr>
                <w:b w:val="false"/>
                <w:bCs w:val="false"/>
                <w:sz w:val="18"/>
                <w:szCs w:val="18"/>
              </w:rPr>
              <w:t xml:space="preserve">SaaS → serial acquirer</w:t>
            </w:r>
          </w:p>
        </w:tc>
      </w:tr>
      <w:tr>
        <w:trPr>
          <w:tblHeader w:val="false"/>
        </w:trPr>
        <w:tc>
          <w:tcPr>
            <w:tcW w:type="dxa" w:w="2650"/>
            <w:shd w:fill="EAF0F7" w:color="auto" w:val="clear"/>
            <w:tcMar>
              <w:top w:type="dxa" w:w="55"/>
              <w:left w:type="dxa" w:w="85"/>
              <w:bottom w:type="dxa" w:w="55"/>
              <w:right w:type="dxa" w:w="85"/>
            </w:tcMar>
          </w:tcPr>
          <w:p>
            <w:pPr>
              <w:spacing w:after="30" w:line="256"/>
            </w:pPr>
            <w:r>
              <w:rPr>
                <w:b w:val="false"/>
                <w:bCs w:val="false"/>
                <w:sz w:val="18"/>
                <w:szCs w:val="18"/>
              </w:rPr>
              <w:t xml:space="preserve">Flexicode</w:t>
            </w:r>
          </w:p>
        </w:tc>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EOS Partners</w:t>
            </w:r>
          </w:p>
        </w:tc>
        <w:tc>
          <w:tcPr>
            <w:tcW w:type="dxa" w:w="2450"/>
            <w:shd w:fill="EAF0F7" w:color="auto" w:val="clear"/>
            <w:tcMar>
              <w:top w:type="dxa" w:w="55"/>
              <w:left w:type="dxa" w:w="85"/>
              <w:bottom w:type="dxa" w:w="55"/>
              <w:right w:type="dxa" w:w="85"/>
            </w:tcMar>
          </w:tcPr>
          <w:p>
            <w:pPr>
              <w:spacing w:after="30" w:line="256"/>
            </w:pPr>
            <w:r>
              <w:rPr>
                <w:b w:val="false"/>
                <w:bCs w:val="false"/>
                <w:sz w:val="18"/>
                <w:szCs w:val="18"/>
              </w:rPr>
              <w:t xml:space="preserve">Software</w:t>
            </w:r>
          </w:p>
        </w:tc>
        <w:tc>
          <w:tcPr>
            <w:tcW w:type="dxa" w:w="1710"/>
            <w:shd w:fill="EAF0F7" w:color="auto" w:val="clear"/>
            <w:tcMar>
              <w:top w:type="dxa" w:w="55"/>
              <w:left w:type="dxa" w:w="85"/>
              <w:bottom w:type="dxa" w:w="55"/>
              <w:right w:type="dxa" w:w="85"/>
            </w:tcMar>
          </w:tcPr>
          <w:p>
            <w:pPr>
              <w:spacing w:after="30" w:line="256"/>
            </w:pPr>
            <w:r>
              <w:rPr>
                <w:b w:val="false"/>
                <w:bCs w:val="false"/>
                <w:sz w:val="18"/>
                <w:szCs w:val="18"/>
              </w:rPr>
              <w:t xml:space="preserve">Software → PE</w:t>
            </w:r>
          </w:p>
        </w:tc>
      </w:tr>
      <w:tr>
        <w:trPr>
          <w:tblHeader w:val="false"/>
        </w:trPr>
        <w:tc>
          <w:tcPr>
            <w:tcW w:type="dxa" w:w="2650"/>
            <w:tcMar>
              <w:top w:type="dxa" w:w="55"/>
              <w:left w:type="dxa" w:w="85"/>
              <w:bottom w:type="dxa" w:w="55"/>
              <w:right w:type="dxa" w:w="85"/>
            </w:tcMar>
          </w:tcPr>
          <w:p>
            <w:pPr>
              <w:spacing w:after="30" w:line="256"/>
            </w:pPr>
            <w:r>
              <w:rPr>
                <w:b w:val="false"/>
                <w:bCs w:val="false"/>
                <w:sz w:val="18"/>
                <w:szCs w:val="18"/>
              </w:rPr>
              <w:t xml:space="preserve">Trivium eSolutions</w:t>
            </w:r>
          </w:p>
        </w:tc>
        <w:tc>
          <w:tcPr>
            <w:tcW w:type="dxa" w:w="2550"/>
            <w:tcMar>
              <w:top w:type="dxa" w:w="55"/>
              <w:left w:type="dxa" w:w="85"/>
              <w:bottom w:type="dxa" w:w="55"/>
              <w:right w:type="dxa" w:w="85"/>
            </w:tcMar>
          </w:tcPr>
          <w:p>
            <w:pPr>
              <w:spacing w:after="30" w:line="256"/>
            </w:pPr>
            <w:r>
              <w:rPr>
                <w:b w:val="false"/>
                <w:bCs w:val="false"/>
                <w:sz w:val="18"/>
                <w:szCs w:val="18"/>
              </w:rPr>
              <w:t xml:space="preserve">NetRom &amp; Investcorp</w:t>
            </w:r>
          </w:p>
        </w:tc>
        <w:tc>
          <w:tcPr>
            <w:tcW w:type="dxa" w:w="2450"/>
            <w:tcMar>
              <w:top w:type="dxa" w:w="55"/>
              <w:left w:type="dxa" w:w="85"/>
              <w:bottom w:type="dxa" w:w="55"/>
              <w:right w:type="dxa" w:w="85"/>
            </w:tcMar>
          </w:tcPr>
          <w:p>
            <w:pPr>
              <w:spacing w:after="30" w:line="256"/>
            </w:pPr>
            <w:r>
              <w:rPr>
                <w:b w:val="false"/>
                <w:bCs w:val="false"/>
                <w:sz w:val="18"/>
                <w:szCs w:val="18"/>
              </w:rPr>
              <w:t xml:space="preserve">Software engineering</w:t>
            </w:r>
          </w:p>
        </w:tc>
        <w:tc>
          <w:tcPr>
            <w:tcW w:type="dxa" w:w="1710"/>
            <w:tcMar>
              <w:top w:type="dxa" w:w="55"/>
              <w:left w:type="dxa" w:w="85"/>
              <w:bottom w:type="dxa" w:w="55"/>
              <w:right w:type="dxa" w:w="85"/>
            </w:tcMar>
          </w:tcPr>
          <w:p>
            <w:pPr>
              <w:spacing w:after="30" w:line="256"/>
            </w:pPr>
            <w:r>
              <w:rPr>
                <w:b w:val="false"/>
                <w:bCs w:val="false"/>
                <w:sz w:val="18"/>
                <w:szCs w:val="18"/>
              </w:rPr>
              <w:t xml:space="preserve">Software → PE-backed</w:t>
            </w:r>
          </w:p>
        </w:tc>
      </w:tr>
      <w:tr>
        <w:trPr>
          <w:tblHeader w:val="false"/>
        </w:trPr>
        <w:tc>
          <w:tcPr>
            <w:tcW w:type="dxa" w:w="2650"/>
            <w:shd w:fill="EAF0F7" w:color="auto" w:val="clear"/>
            <w:tcMar>
              <w:top w:type="dxa" w:w="55"/>
              <w:left w:type="dxa" w:w="85"/>
              <w:bottom w:type="dxa" w:w="55"/>
              <w:right w:type="dxa" w:w="85"/>
            </w:tcMar>
          </w:tcPr>
          <w:p>
            <w:pPr>
              <w:spacing w:after="30" w:line="256"/>
            </w:pPr>
            <w:r>
              <w:rPr>
                <w:b w:val="false"/>
                <w:bCs w:val="false"/>
                <w:sz w:val="18"/>
                <w:szCs w:val="18"/>
              </w:rPr>
              <w:t xml:space="preserve">Enwendo</w:t>
            </w:r>
          </w:p>
        </w:tc>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Studibo (IceLake Capital)</w:t>
            </w:r>
          </w:p>
        </w:tc>
        <w:tc>
          <w:tcPr>
            <w:tcW w:type="dxa" w:w="2450"/>
            <w:shd w:fill="EAF0F7" w:color="auto" w:val="clear"/>
            <w:tcMar>
              <w:top w:type="dxa" w:w="55"/>
              <w:left w:type="dxa" w:w="85"/>
              <w:bottom w:type="dxa" w:w="55"/>
              <w:right w:type="dxa" w:w="85"/>
            </w:tcMar>
          </w:tcPr>
          <w:p>
            <w:pPr>
              <w:spacing w:after="30" w:line="256"/>
            </w:pPr>
            <w:r>
              <w:rPr>
                <w:b w:val="false"/>
                <w:bCs w:val="false"/>
                <w:sz w:val="18"/>
                <w:szCs w:val="18"/>
              </w:rPr>
              <w:t xml:space="preserve">Tech</w:t>
            </w:r>
          </w:p>
        </w:tc>
        <w:tc>
          <w:tcPr>
            <w:tcW w:type="dxa" w:w="1710"/>
            <w:shd w:fill="EAF0F7" w:color="auto" w:val="clear"/>
            <w:tcMar>
              <w:top w:type="dxa" w:w="55"/>
              <w:left w:type="dxa" w:w="85"/>
              <w:bottom w:type="dxa" w:w="55"/>
              <w:right w:type="dxa" w:w="85"/>
            </w:tcMar>
          </w:tcPr>
          <w:p>
            <w:pPr>
              <w:spacing w:after="30" w:line="256"/>
            </w:pPr>
            <w:r>
              <w:rPr>
                <w:b w:val="false"/>
                <w:bCs w:val="false"/>
                <w:sz w:val="18"/>
                <w:szCs w:val="18"/>
              </w:rPr>
              <w:t xml:space="preserve">Tech → PE</w:t>
            </w:r>
          </w:p>
        </w:tc>
      </w:tr>
    </w:tbl>
    <w:p>
      <w:pPr>
        <w:spacing w:after="60"/>
      </w:pPr>
    </w:p>
    <w:p>
      <w:pPr>
        <w:spacing w:after="120" w:line="276"/>
      </w:pPr>
      <w:r>
        <w:rPr>
          <w:i/>
          <w:iCs/>
          <w:color w:val="C55A11"/>
          <w:sz w:val="20"/>
          <w:szCs w:val="20"/>
        </w:rPr>
        <w:t xml:space="preserve">[atares to confirm which references may be disclosed to EnBW and add anonymised deal metrics (EV, multiple, process length) where permissible — quantified proof points materially strengthen this section.]</w:t>
      </w:r>
    </w:p>
    <w:p>
      <w:r>
        <w:br w:type="page"/>
      </w:r>
    </w:p>
    <w:p>
      <w:pPr>
        <w:pStyle w:val="Heading1"/>
        <w:spacing w:after="140" w:before="320"/>
      </w:pPr>
      <w:r>
        <w:rPr>
          <w:b/>
          <w:bCs/>
          <w:color w:val="1F3864"/>
          <w:sz w:val="29"/>
          <w:szCs w:val="29"/>
        </w:rPr>
        <w:t xml:space="preserve">B.  Project manager &amp; core team</w:t>
      </w:r>
    </w:p>
    <w:p>
      <w:pPr>
        <w:spacing w:after="120" w:line="276"/>
      </w:pPr>
      <w:r>
        <w:rPr>
          <w:sz w:val="21"/>
          <w:szCs w:val="21"/>
        </w:rPr>
        <w:t xml:space="preserve">EnBW will have a </w:t>
      </w:r>
      <w:r>
        <w:rPr>
          <w:b/>
          <w:bCs/>
          <w:sz w:val="21"/>
          <w:szCs w:val="21"/>
        </w:rPr>
        <w:t xml:space="preserve">senior-led, commercially oriented and stable team</w:t>
      </w:r>
      <w:r>
        <w:rPr>
          <w:sz w:val="21"/>
          <w:szCs w:val="21"/>
        </w:rPr>
        <w:t xml:space="preserve">, experienced in the EdTech environment. The mandate is led throughout — preparation, execution and completion — by Managing Partner Jan Pörschmann, in line with your requirement that a senior manager of the firm leads. We commit that the core team will remain unchanged for the duration of the Project.</w:t>
      </w:r>
    </w:p>
    <w:p>
      <w:pPr>
        <w:pStyle w:val="Heading2"/>
        <w:spacing w:after="90" w:before="220"/>
      </w:pPr>
      <w:r>
        <w:rPr>
          <w:b/>
          <w:bCs/>
          <w:color w:val="2E5496"/>
          <w:sz w:val="24"/>
          <w:szCs w:val="24"/>
        </w:rPr>
        <w:t xml:space="preserve">B.1  Mandate lead</w:t>
      </w:r>
    </w:p>
    <w:p>
      <w:pPr>
        <w:spacing w:after="120" w:line="276"/>
      </w:pPr>
      <w:r>
        <w:rPr>
          <w:b/>
          <w:bCs/>
          <w:sz w:val="21"/>
          <w:szCs w:val="21"/>
        </w:rPr>
        <w:t xml:space="preserve">Jan Pörschmann — Managing Partner. </w:t>
      </w:r>
      <w:r>
        <w:rPr>
          <w:sz w:val="21"/>
          <w:szCs w:val="21"/>
        </w:rPr>
        <w:t xml:space="preserve">25+ years as entrepreneur, investor, board member and M&amp;A advisor; 100+ successfully advised transactions over 20 years. Core sector expertise spans IT, media, MarTech, supply-chain tech, EMS, </w:t>
      </w:r>
      <w:r>
        <w:rPr>
          <w:b/>
          <w:bCs/>
          <w:sz w:val="21"/>
          <w:szCs w:val="21"/>
        </w:rPr>
        <w:t xml:space="preserve">EdTech</w:t>
      </w:r>
      <w:r>
        <w:rPr>
          <w:sz w:val="21"/>
          <w:szCs w:val="21"/>
        </w:rPr>
        <w:t xml:space="preserve"> and business services — a precise match for WTT. EBS alumnus; Munich-based. Jan will personally own the EnBW relationship, the equity story, investor engagement at partner level and the negotiation phase.</w:t>
      </w:r>
    </w:p>
    <w:p>
      <w:pPr>
        <w:pStyle w:val="Heading2"/>
        <w:spacing w:after="90" w:before="220"/>
      </w:pPr>
      <w:r>
        <w:rPr>
          <w:b/>
          <w:bCs/>
          <w:color w:val="2E5496"/>
          <w:sz w:val="24"/>
          <w:szCs w:val="24"/>
        </w:rPr>
        <w:t xml:space="preserve">B.2  Proposed core team &amp; time commitment</w:t>
      </w:r>
    </w:p>
    <w:p>
      <w:pPr>
        <w:spacing w:after="120" w:line="276"/>
      </w:pPr>
      <w:r>
        <w:rPr>
          <w:sz w:val="21"/>
          <w:szCs w:val="21"/>
        </w:rPr>
        <w:t xml:space="preserve">We propose a lean, senior-heavy team of four, supported by atares’ central research and deal-floor functions. Indicative time commitments reflect a ~9–12 month process: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400"/>
        <w:gridCol w:w="1600"/>
        <w:gridCol w:w="1760"/>
      </w:tblGrid>
      <w:tr>
        <w:trPr>
          <w:tblHeader/>
        </w:trPr>
        <w:tc>
          <w:tcPr>
            <w:tcW w:type="dxa" w:w="2600"/>
            <w:shd w:fill="1F3864" w:color="auto" w:val="clear"/>
            <w:tcMar>
              <w:top w:type="dxa" w:w="55"/>
              <w:left w:type="dxa" w:w="85"/>
              <w:bottom w:type="dxa" w:w="55"/>
              <w:right w:type="dxa" w:w="85"/>
            </w:tcMar>
          </w:tcPr>
          <w:p>
            <w:pPr>
              <w:spacing w:after="30" w:line="256"/>
            </w:pPr>
            <w:r>
              <w:rPr>
                <w:b/>
                <w:bCs/>
                <w:color w:val="FFFFFF"/>
                <w:sz w:val="18"/>
                <w:szCs w:val="18"/>
              </w:rPr>
              <w:t xml:space="preserve">Role</w:t>
            </w:r>
          </w:p>
        </w:tc>
        <w:tc>
          <w:tcPr>
            <w:tcW w:type="dxa" w:w="3400"/>
            <w:shd w:fill="1F3864" w:color="auto" w:val="clear"/>
            <w:tcMar>
              <w:top w:type="dxa" w:w="55"/>
              <w:left w:type="dxa" w:w="85"/>
              <w:bottom w:type="dxa" w:w="55"/>
              <w:right w:type="dxa" w:w="85"/>
            </w:tcMar>
          </w:tcPr>
          <w:p>
            <w:pPr>
              <w:spacing w:after="30" w:line="256"/>
            </w:pPr>
            <w:r>
              <w:rPr>
                <w:b/>
                <w:bCs/>
                <w:color w:val="FFFFFF"/>
                <w:sz w:val="18"/>
                <w:szCs w:val="18"/>
              </w:rPr>
              <w:t xml:space="preserve">Responsibility</w:t>
            </w:r>
          </w:p>
        </w:tc>
        <w:tc>
          <w:tcPr>
            <w:tcW w:type="dxa" w:w="1600"/>
            <w:shd w:fill="1F3864" w:color="auto" w:val="clear"/>
            <w:tcMar>
              <w:top w:type="dxa" w:w="55"/>
              <w:left w:type="dxa" w:w="85"/>
              <w:bottom w:type="dxa" w:w="55"/>
              <w:right w:type="dxa" w:w="85"/>
            </w:tcMar>
          </w:tcPr>
          <w:p>
            <w:pPr>
              <w:spacing w:after="30" w:line="256"/>
              <w:jc w:val="center"/>
            </w:pPr>
            <w:r>
              <w:rPr>
                <w:b/>
                <w:bCs/>
                <w:color w:val="FFFFFF"/>
                <w:sz w:val="18"/>
                <w:szCs w:val="18"/>
              </w:rPr>
              <w:t xml:space="preserve">Commitment</w:t>
            </w:r>
          </w:p>
        </w:tc>
        <w:tc>
          <w:tcPr>
            <w:tcW w:type="dxa" w:w="1760"/>
            <w:shd w:fill="1F3864" w:color="auto" w:val="clear"/>
            <w:tcMar>
              <w:top w:type="dxa" w:w="55"/>
              <w:left w:type="dxa" w:w="85"/>
              <w:bottom w:type="dxa" w:w="55"/>
              <w:right w:type="dxa" w:w="85"/>
            </w:tcMar>
          </w:tcPr>
          <w:p>
            <w:pPr>
              <w:spacing w:after="30" w:line="256"/>
            </w:pPr>
            <w:r>
              <w:rPr>
                <w:b/>
                <w:bCs/>
                <w:color w:val="FFFFFF"/>
                <w:sz w:val="18"/>
                <w:szCs w:val="18"/>
              </w:rPr>
              <w:t xml:space="preserve">Phase peak</w:t>
            </w:r>
          </w:p>
        </w:tc>
      </w:tr>
      <w:tr>
        <w:trPr>
          <w:tblHeader w:val="false"/>
        </w:trPr>
        <w:tc>
          <w:tcPr>
            <w:tcW w:type="dxa" w:w="2600"/>
            <w:tcMar>
              <w:top w:type="dxa" w:w="55"/>
              <w:left w:type="dxa" w:w="85"/>
              <w:bottom w:type="dxa" w:w="55"/>
              <w:right w:type="dxa" w:w="85"/>
            </w:tcMar>
          </w:tcPr>
          <w:p>
            <w:pPr>
              <w:spacing w:after="30" w:line="256"/>
            </w:pPr>
            <w:r>
              <w:rPr>
                <w:b w:val="false"/>
                <w:bCs w:val="false"/>
                <w:sz w:val="18"/>
                <w:szCs w:val="18"/>
              </w:rPr>
              <w:t xml:space="preserve">Managing Partner — J. Pörschmann</w:t>
            </w:r>
          </w:p>
        </w:tc>
        <w:tc>
          <w:tcPr>
            <w:tcW w:type="dxa" w:w="3400"/>
            <w:tcMar>
              <w:top w:type="dxa" w:w="55"/>
              <w:left w:type="dxa" w:w="85"/>
              <w:bottom w:type="dxa" w:w="55"/>
              <w:right w:type="dxa" w:w="85"/>
            </w:tcMar>
          </w:tcPr>
          <w:p>
            <w:pPr>
              <w:spacing w:after="30" w:line="256"/>
            </w:pPr>
            <w:r>
              <w:rPr>
                <w:b w:val="false"/>
                <w:bCs w:val="false"/>
                <w:sz w:val="18"/>
                <w:szCs w:val="18"/>
              </w:rPr>
              <w:t xml:space="preserve">Overall lead, EnBW/steerco, equity story, negotiations</w:t>
            </w:r>
          </w:p>
        </w:tc>
        <w:tc>
          <w:tcPr>
            <w:tcW w:type="dxa" w:w="1600"/>
            <w:tcMar>
              <w:top w:type="dxa" w:w="55"/>
              <w:left w:type="dxa" w:w="85"/>
              <w:bottom w:type="dxa" w:w="55"/>
              <w:right w:type="dxa" w:w="85"/>
            </w:tcMar>
          </w:tcPr>
          <w:p>
            <w:pPr>
              <w:spacing w:after="30" w:line="256"/>
              <w:jc w:val="center"/>
            </w:pPr>
            <w:r>
              <w:rPr>
                <w:b w:val="false"/>
                <w:bCs w:val="false"/>
                <w:sz w:val="18"/>
                <w:szCs w:val="18"/>
              </w:rPr>
              <w:t xml:space="preserve">~30–40%</w:t>
            </w:r>
          </w:p>
        </w:tc>
        <w:tc>
          <w:tcPr>
            <w:tcW w:type="dxa" w:w="1760"/>
            <w:tcMar>
              <w:top w:type="dxa" w:w="55"/>
              <w:left w:type="dxa" w:w="85"/>
              <w:bottom w:type="dxa" w:w="55"/>
              <w:right w:type="dxa" w:w="85"/>
            </w:tcMar>
          </w:tcPr>
          <w:p>
            <w:pPr>
              <w:spacing w:after="30" w:line="256"/>
            </w:pPr>
            <w:r>
              <w:rPr>
                <w:b w:val="false"/>
                <w:bCs w:val="false"/>
                <w:sz w:val="18"/>
                <w:szCs w:val="18"/>
              </w:rPr>
              <w:t xml:space="preserve">Throughout</w:t>
            </w:r>
          </w:p>
        </w:tc>
      </w:tr>
      <w:tr>
        <w:trPr>
          <w:tblHeader w:val="false"/>
        </w:trPr>
        <w:tc>
          <w:tcPr>
            <w:tcW w:type="dxa" w:w="2600"/>
            <w:shd w:fill="EAF0F7" w:color="auto" w:val="clear"/>
            <w:tcMar>
              <w:top w:type="dxa" w:w="55"/>
              <w:left w:type="dxa" w:w="85"/>
              <w:bottom w:type="dxa" w:w="55"/>
              <w:right w:type="dxa" w:w="85"/>
            </w:tcMar>
          </w:tcPr>
          <w:p>
            <w:pPr>
              <w:spacing w:after="30" w:line="256"/>
            </w:pPr>
            <w:r>
              <w:rPr>
                <w:b w:val="false"/>
                <w:bCs w:val="false"/>
                <w:sz w:val="18"/>
                <w:szCs w:val="18"/>
              </w:rPr>
              <w:t xml:space="preserve">Project Director / Partner — [name]</w:t>
            </w:r>
          </w:p>
        </w:tc>
        <w:tc>
          <w:tcPr>
            <w:tcW w:type="dxa" w:w="3400"/>
            <w:shd w:fill="EAF0F7" w:color="auto" w:val="clear"/>
            <w:tcMar>
              <w:top w:type="dxa" w:w="55"/>
              <w:left w:type="dxa" w:w="85"/>
              <w:bottom w:type="dxa" w:w="55"/>
              <w:right w:type="dxa" w:w="85"/>
            </w:tcMar>
          </w:tcPr>
          <w:p>
            <w:pPr>
              <w:spacing w:after="30" w:line="256"/>
            </w:pPr>
            <w:r>
              <w:rPr>
                <w:b w:val="false"/>
                <w:bCs w:val="false"/>
                <w:sz w:val="18"/>
                <w:szCs w:val="18"/>
              </w:rPr>
              <w:t xml:space="preserve">Day-to-day process lead, investor dialogue, DD/Q&amp;A oversight</w:t>
            </w:r>
          </w:p>
        </w:tc>
        <w:tc>
          <w:tcPr>
            <w:tcW w:type="dxa" w:w="160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~60–70%</w:t>
            </w:r>
          </w:p>
        </w:tc>
        <w:tc>
          <w:tcPr>
            <w:tcW w:type="dxa" w:w="1760"/>
            <w:shd w:fill="EAF0F7" w:color="auto" w:val="clear"/>
            <w:tcMar>
              <w:top w:type="dxa" w:w="55"/>
              <w:left w:type="dxa" w:w="85"/>
              <w:bottom w:type="dxa" w:w="55"/>
              <w:right w:type="dxa" w:w="85"/>
            </w:tcMar>
          </w:tcPr>
          <w:p>
            <w:pPr>
              <w:spacing w:after="30" w:line="256"/>
            </w:pPr>
            <w:r>
              <w:rPr>
                <w:b w:val="false"/>
                <w:bCs w:val="false"/>
                <w:sz w:val="18"/>
                <w:szCs w:val="18"/>
              </w:rPr>
              <w:t xml:space="preserve">Throughout</w:t>
            </w:r>
          </w:p>
        </w:tc>
      </w:tr>
      <w:tr>
        <w:trPr>
          <w:tblHeader w:val="false"/>
        </w:trPr>
        <w:tc>
          <w:tcPr>
            <w:tcW w:type="dxa" w:w="2600"/>
            <w:tcMar>
              <w:top w:type="dxa" w:w="55"/>
              <w:left w:type="dxa" w:w="85"/>
              <w:bottom w:type="dxa" w:w="55"/>
              <w:right w:type="dxa" w:w="85"/>
            </w:tcMar>
          </w:tcPr>
          <w:p>
            <w:pPr>
              <w:spacing w:after="30" w:line="256"/>
            </w:pPr>
            <w:r>
              <w:rPr>
                <w:b w:val="false"/>
                <w:bCs w:val="false"/>
                <w:sz w:val="18"/>
                <w:szCs w:val="18"/>
              </w:rPr>
              <w:t xml:space="preserve">Senior Associate / VP — [name]</w:t>
            </w:r>
          </w:p>
        </w:tc>
        <w:tc>
          <w:tcPr>
            <w:tcW w:type="dxa" w:w="3400"/>
            <w:tcMar>
              <w:top w:type="dxa" w:w="55"/>
              <w:left w:type="dxa" w:w="85"/>
              <w:bottom w:type="dxa" w:w="55"/>
              <w:right w:type="dxa" w:w="85"/>
            </w:tcMar>
          </w:tcPr>
          <w:p>
            <w:pPr>
              <w:spacing w:after="30" w:line="256"/>
            </w:pPr>
            <w:r>
              <w:rPr>
                <w:b w:val="false"/>
                <w:bCs w:val="false"/>
                <w:sz w:val="18"/>
                <w:szCs w:val="18"/>
              </w:rPr>
              <w:t xml:space="preserve">Financial model, IM, management presentation, analyses</w:t>
            </w:r>
          </w:p>
        </w:tc>
        <w:tc>
          <w:tcPr>
            <w:tcW w:type="dxa" w:w="1600"/>
            <w:tcMar>
              <w:top w:type="dxa" w:w="55"/>
              <w:left w:type="dxa" w:w="85"/>
              <w:bottom w:type="dxa" w:w="55"/>
              <w:right w:type="dxa" w:w="85"/>
            </w:tcMar>
          </w:tcPr>
          <w:p>
            <w:pPr>
              <w:spacing w:after="30" w:line="256"/>
              <w:jc w:val="center"/>
            </w:pPr>
            <w:r>
              <w:rPr>
                <w:b w:val="false"/>
                <w:bCs w:val="false"/>
                <w:sz w:val="18"/>
                <w:szCs w:val="18"/>
              </w:rPr>
              <w:t xml:space="preserve">~80–100%</w:t>
            </w:r>
          </w:p>
        </w:tc>
        <w:tc>
          <w:tcPr>
            <w:tcW w:type="dxa" w:w="1760"/>
            <w:tcMar>
              <w:top w:type="dxa" w:w="55"/>
              <w:left w:type="dxa" w:w="85"/>
              <w:bottom w:type="dxa" w:w="55"/>
              <w:right w:type="dxa" w:w="85"/>
            </w:tcMar>
          </w:tcPr>
          <w:p>
            <w:pPr>
              <w:spacing w:after="30" w:line="256"/>
            </w:pPr>
            <w:r>
              <w:rPr>
                <w:b w:val="false"/>
                <w:bCs w:val="false"/>
                <w:sz w:val="18"/>
                <w:szCs w:val="18"/>
              </w:rPr>
              <w:t xml:space="preserve">Prep + DD</w:t>
            </w:r>
          </w:p>
        </w:tc>
      </w:tr>
      <w:tr>
        <w:trPr>
          <w:tblHeader w:val="false"/>
        </w:trPr>
        <w:tc>
          <w:tcPr>
            <w:tcW w:type="dxa" w:w="2600"/>
            <w:shd w:fill="EAF0F7" w:color="auto" w:val="clear"/>
            <w:tcMar>
              <w:top w:type="dxa" w:w="55"/>
              <w:left w:type="dxa" w:w="85"/>
              <w:bottom w:type="dxa" w:w="55"/>
              <w:right w:type="dxa" w:w="85"/>
            </w:tcMar>
          </w:tcPr>
          <w:p>
            <w:pPr>
              <w:spacing w:after="30" w:line="256"/>
            </w:pPr>
            <w:r>
              <w:rPr>
                <w:b w:val="false"/>
                <w:bCs w:val="false"/>
                <w:sz w:val="18"/>
                <w:szCs w:val="18"/>
              </w:rPr>
              <w:t xml:space="preserve">Analyst — [name]</w:t>
            </w:r>
          </w:p>
        </w:tc>
        <w:tc>
          <w:tcPr>
            <w:tcW w:type="dxa" w:w="3400"/>
            <w:shd w:fill="EAF0F7" w:color="auto" w:val="clear"/>
            <w:tcMar>
              <w:top w:type="dxa" w:w="55"/>
              <w:left w:type="dxa" w:w="85"/>
              <w:bottom w:type="dxa" w:w="55"/>
              <w:right w:type="dxa" w:w="85"/>
            </w:tcMar>
          </w:tcPr>
          <w:p>
            <w:pPr>
              <w:spacing w:after="30" w:line="256"/>
            </w:pPr>
            <w:r>
              <w:rPr>
                <w:b w:val="false"/>
                <w:bCs w:val="false"/>
                <w:sz w:val="18"/>
                <w:szCs w:val="18"/>
              </w:rPr>
              <w:t xml:space="preserve">Model support, buyer research, data-room, Q&amp;A tracker</w:t>
            </w:r>
          </w:p>
        </w:tc>
        <w:tc>
          <w:tcPr>
            <w:tcW w:type="dxa" w:w="160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~80–100%</w:t>
            </w:r>
          </w:p>
        </w:tc>
        <w:tc>
          <w:tcPr>
            <w:tcW w:type="dxa" w:w="1760"/>
            <w:shd w:fill="EAF0F7" w:color="auto" w:val="clear"/>
            <w:tcMar>
              <w:top w:type="dxa" w:w="55"/>
              <w:left w:type="dxa" w:w="85"/>
              <w:bottom w:type="dxa" w:w="55"/>
              <w:right w:type="dxa" w:w="85"/>
            </w:tcMar>
          </w:tcPr>
          <w:p>
            <w:pPr>
              <w:spacing w:after="30" w:line="256"/>
            </w:pPr>
            <w:r>
              <w:rPr>
                <w:b w:val="false"/>
                <w:bCs w:val="false"/>
                <w:sz w:val="18"/>
                <w:szCs w:val="18"/>
              </w:rPr>
              <w:t xml:space="preserve">Prep + DD</w:t>
            </w:r>
          </w:p>
        </w:tc>
      </w:tr>
      <w:tr>
        <w:trPr>
          <w:tblHeader w:val="false"/>
        </w:trPr>
        <w:tc>
          <w:tcPr>
            <w:tcW w:type="dxa" w:w="2600"/>
            <w:tcMar>
              <w:top w:type="dxa" w:w="55"/>
              <w:left w:type="dxa" w:w="85"/>
              <w:bottom w:type="dxa" w:w="55"/>
              <w:right w:type="dxa" w:w="85"/>
            </w:tcMar>
          </w:tcPr>
          <w:p>
            <w:pPr>
              <w:spacing w:after="30" w:line="256"/>
            </w:pPr>
            <w:r>
              <w:rPr>
                <w:b w:val="false"/>
                <w:bCs w:val="false"/>
                <w:sz w:val="18"/>
                <w:szCs w:val="18"/>
              </w:rPr>
              <w:t xml:space="preserve">Deal-floor / research (central)</w:t>
            </w:r>
          </w:p>
        </w:tc>
        <w:tc>
          <w:tcPr>
            <w:tcW w:type="dxa" w:w="3400"/>
            <w:tcMar>
              <w:top w:type="dxa" w:w="55"/>
              <w:left w:type="dxa" w:w="85"/>
              <w:bottom w:type="dxa" w:w="55"/>
              <w:right w:type="dxa" w:w="85"/>
            </w:tcMar>
          </w:tcPr>
          <w:p>
            <w:pPr>
              <w:spacing w:after="30" w:line="256"/>
            </w:pPr>
            <w:r>
              <w:rPr>
                <w:b w:val="false"/>
                <w:bCs w:val="false"/>
                <w:sz w:val="18"/>
                <w:szCs w:val="18"/>
              </w:rPr>
              <w:t xml:space="preserve">Buyer-universe sourcing (4,000 PE funds), CRM, document control</w:t>
            </w:r>
          </w:p>
        </w:tc>
        <w:tc>
          <w:tcPr>
            <w:tcW w:type="dxa" w:w="1600"/>
            <w:tcMar>
              <w:top w:type="dxa" w:w="55"/>
              <w:left w:type="dxa" w:w="85"/>
              <w:bottom w:type="dxa" w:w="55"/>
              <w:right w:type="dxa" w:w="85"/>
            </w:tcMar>
          </w:tcPr>
          <w:p>
            <w:pPr>
              <w:spacing w:after="30" w:line="256"/>
              <w:jc w:val="center"/>
            </w:pPr>
            <w:r>
              <w:rPr>
                <w:b w:val="false"/>
                <w:bCs w:val="false"/>
                <w:sz w:val="18"/>
                <w:szCs w:val="18"/>
              </w:rPr>
              <w:t xml:space="preserve">As needed</w:t>
            </w:r>
          </w:p>
        </w:tc>
        <w:tc>
          <w:tcPr>
            <w:tcW w:type="dxa" w:w="1760"/>
            <w:tcMar>
              <w:top w:type="dxa" w:w="55"/>
              <w:left w:type="dxa" w:w="85"/>
              <w:bottom w:type="dxa" w:w="55"/>
              <w:right w:type="dxa" w:w="85"/>
            </w:tcMar>
          </w:tcPr>
          <w:p>
            <w:pPr>
              <w:spacing w:after="30" w:line="256"/>
            </w:pPr>
            <w:r>
              <w:rPr>
                <w:b w:val="false"/>
                <w:bCs w:val="false"/>
                <w:sz w:val="18"/>
                <w:szCs w:val="18"/>
              </w:rPr>
              <w:t xml:space="preserve">Prep + marketing</w:t>
            </w:r>
          </w:p>
        </w:tc>
      </w:tr>
    </w:tbl>
    <w:p>
      <w:pPr>
        <w:spacing w:after="60"/>
      </w:pPr>
    </w:p>
    <w:p>
      <w:pPr>
        <w:spacing w:after="120" w:line="276"/>
      </w:pPr>
      <w:r>
        <w:rPr>
          <w:i/>
          <w:iCs/>
          <w:color w:val="C55A11"/>
          <w:sz w:val="20"/>
          <w:szCs w:val="20"/>
        </w:rPr>
        <w:t xml:space="preserve">[atares to insert the specific named Director, VP and Analyst with one-line bios and photos, confirm % allocations, and add a named EdTech/EnergyTech sector expert if not already on the core team — EnBW explicitly asks for EdTech experience and unchanged staffing.]</w:t>
      </w:r>
    </w:p>
    <w:tbl>
      <w:tblPr>
        <w:tblW w:type="dxa" w:w="9360"/>
        <w:tblBorders>
          <w:top w:val="single" w:color="C55A11" w:sz="4"/>
          <w:left w:val="single" w:color="C55A11" w:sz="14"/>
          <w:bottom w:val="single" w:color="C55A11" w:sz="4"/>
          <w:right w:val="single" w:color="C55A11" w:sz="4"/>
          <w:insideH w:val="none"/>
          <w:insideV w:val="none"/>
        </w:tblBorders>
      </w:tblPr>
      <w:tblGrid>
        <w:gridCol w:w="9360"/>
      </w:tblGrid>
      <w:tr>
        <w:tc>
          <w:tcPr>
            <w:tcW w:type="dxa" w:w="9360"/>
            <w:shd w:fill="FBF3EC" w:color="auto" w:val="clear"/>
            <w:tcMar>
              <w:top w:type="dxa" w:w="120"/>
              <w:left w:type="dxa" w:w="160"/>
              <w:bottom w:type="dxa" w:w="120"/>
              <w:right w:type="dxa" w:w="160"/>
            </w:tcMar>
          </w:tcPr>
          <w:p>
            <w:pPr>
              <w:spacing w:after="60"/>
            </w:pPr>
            <w:r>
              <w:rPr>
                <w:b/>
                <w:bCs/>
                <w:color w:val="1F3864"/>
                <w:sz w:val="21"/>
                <w:szCs w:val="21"/>
              </w:rPr>
              <w:t xml:space="preserve">Team continuity commitment</w:t>
            </w:r>
          </w:p>
          <w:p>
            <w:pPr>
              <w:spacing w:after="40" w:line="268"/>
            </w:pPr>
            <w:r>
              <w:rPr>
                <w:sz w:val="20"/>
                <w:szCs w:val="20"/>
              </w:rPr>
              <w:t xml:space="preserve">atares commits that the named core team will remain unchanged throughout the Project, save for reasons outside our control, in which case we will replace like-for-like at equal or greater seniority with EnBW’s prior agreement.</w:t>
            </w:r>
          </w:p>
        </w:tc>
      </w:tr>
    </w:tbl>
    <w:p>
      <w:r>
        <w:br w:type="page"/>
      </w:r>
    </w:p>
    <w:p>
      <w:pPr>
        <w:pStyle w:val="Heading1"/>
        <w:spacing w:after="140" w:before="320"/>
      </w:pPr>
      <w:r>
        <w:rPr>
          <w:b/>
          <w:bCs/>
          <w:color w:val="1F3864"/>
          <w:sz w:val="29"/>
          <w:szCs w:val="29"/>
        </w:rPr>
        <w:t xml:space="preserve">C.  Current market environment for comparable transactions</w:t>
      </w:r>
    </w:p>
    <w:p>
      <w:pPr>
        <w:spacing w:after="120" w:line="276"/>
      </w:pPr>
      <w:r>
        <w:rPr>
          <w:sz w:val="21"/>
          <w:szCs w:val="21"/>
        </w:rPr>
        <w:t xml:space="preserve">The market for high-quality, recurring-revenue B2B software and EdTech assets is active and well-capitalised, on both the strategic and financial-sponsor side. After the 2021 peak and 2022–23 reset, 2024–26 has re-accelerated, driven by AI, buy-and-build consolidation and abundant PE dry powder. Key reference points: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050"/>
        <w:gridCol w:w="2100"/>
        <w:gridCol w:w="2100"/>
        <w:gridCol w:w="2110"/>
      </w:tblGrid>
      <w:tr>
        <w:trPr>
          <w:tblHeader/>
        </w:trPr>
        <w:tc>
          <w:tcPr>
            <w:tcW w:type="dxa" w:w="3050"/>
            <w:shd w:fill="1F3864" w:color="auto" w:val="clear"/>
            <w:tcMar>
              <w:top w:type="dxa" w:w="55"/>
              <w:left w:type="dxa" w:w="85"/>
              <w:bottom w:type="dxa" w:w="55"/>
              <w:right w:type="dxa" w:w="85"/>
            </w:tcMar>
          </w:tcPr>
          <w:p>
            <w:pPr>
              <w:spacing w:after="30" w:line="256"/>
            </w:pPr>
            <w:r>
              <w:rPr>
                <w:b/>
                <w:bCs/>
                <w:color w:val="FFFFFF"/>
                <w:sz w:val="18"/>
                <w:szCs w:val="18"/>
              </w:rPr>
              <w:t xml:space="preserve">Reference</w:t>
            </w:r>
          </w:p>
        </w:tc>
        <w:tc>
          <w:tcPr>
            <w:tcW w:type="dxa" w:w="2100"/>
            <w:shd w:fill="1F3864" w:color="auto" w:val="clear"/>
            <w:tcMar>
              <w:top w:type="dxa" w:w="55"/>
              <w:left w:type="dxa" w:w="85"/>
              <w:bottom w:type="dxa" w:w="55"/>
              <w:right w:type="dxa" w:w="85"/>
            </w:tcMar>
          </w:tcPr>
          <w:p>
            <w:pPr>
              <w:spacing w:after="30" w:line="256"/>
            </w:pPr>
            <w:r>
              <w:rPr>
                <w:b/>
                <w:bCs/>
                <w:color w:val="FFFFFF"/>
                <w:sz w:val="18"/>
                <w:szCs w:val="18"/>
              </w:rPr>
              <w:t xml:space="preserve">EV/Revenue</w:t>
            </w:r>
          </w:p>
        </w:tc>
        <w:tc>
          <w:tcPr>
            <w:tcW w:type="dxa" w:w="2100"/>
            <w:shd w:fill="1F3864" w:color="auto" w:val="clear"/>
            <w:tcMar>
              <w:top w:type="dxa" w:w="55"/>
              <w:left w:type="dxa" w:w="85"/>
              <w:bottom w:type="dxa" w:w="55"/>
              <w:right w:type="dxa" w:w="85"/>
            </w:tcMar>
          </w:tcPr>
          <w:p>
            <w:pPr>
              <w:spacing w:after="30" w:line="256"/>
            </w:pPr>
            <w:r>
              <w:rPr>
                <w:b/>
                <w:bCs/>
                <w:color w:val="FFFFFF"/>
                <w:sz w:val="18"/>
                <w:szCs w:val="18"/>
              </w:rPr>
              <w:t xml:space="preserve">EV/EBITDA</w:t>
            </w:r>
          </w:p>
        </w:tc>
        <w:tc>
          <w:tcPr>
            <w:tcW w:type="dxa" w:w="2110"/>
            <w:shd w:fill="1F3864" w:color="auto" w:val="clear"/>
            <w:tcMar>
              <w:top w:type="dxa" w:w="55"/>
              <w:left w:type="dxa" w:w="85"/>
              <w:bottom w:type="dxa" w:w="55"/>
              <w:right w:type="dxa" w:w="85"/>
            </w:tcMar>
          </w:tcPr>
          <w:p>
            <w:pPr>
              <w:spacing w:after="30" w:line="256"/>
            </w:pPr>
            <w:r>
              <w:rPr>
                <w:b/>
                <w:bCs/>
                <w:color w:val="FFFFFF"/>
                <w:sz w:val="18"/>
                <w:szCs w:val="18"/>
              </w:rPr>
              <w:t xml:space="preserve">Type</w:t>
            </w:r>
          </w:p>
        </w:tc>
      </w:tr>
      <w:tr>
        <w:trPr>
          <w:tblHeader w:val="false"/>
        </w:trPr>
        <w:tc>
          <w:tcPr>
            <w:tcW w:type="dxa" w:w="3050"/>
            <w:tcMar>
              <w:top w:type="dxa" w:w="55"/>
              <w:left w:type="dxa" w:w="85"/>
              <w:bottom w:type="dxa" w:w="55"/>
              <w:right w:type="dxa" w:w="85"/>
            </w:tcMar>
          </w:tcPr>
          <w:p>
            <w:pPr>
              <w:spacing w:after="30" w:line="256"/>
            </w:pPr>
            <w:r>
              <w:rPr>
                <w:b w:val="false"/>
                <w:bCs w:val="false"/>
                <w:sz w:val="18"/>
                <w:szCs w:val="18"/>
              </w:rPr>
              <w:t xml:space="preserve">Amadeus Fire / Masterplan (09/2025)</w:t>
            </w:r>
          </w:p>
        </w:tc>
        <w:tc>
          <w:tcPr>
            <w:tcW w:type="dxa" w:w="2100"/>
            <w:tcMar>
              <w:top w:type="dxa" w:w="55"/>
              <w:left w:type="dxa" w:w="85"/>
              <w:bottom w:type="dxa" w:w="55"/>
              <w:right w:type="dxa" w:w="85"/>
            </w:tcMar>
          </w:tcPr>
          <w:p>
            <w:pPr>
              <w:spacing w:after="30" w:line="256"/>
            </w:pPr>
            <w:r>
              <w:rPr>
                <w:b w:val="false"/>
                <w:bCs w:val="false"/>
                <w:sz w:val="18"/>
                <w:szCs w:val="18"/>
              </w:rPr>
              <w:t xml:space="preserve">~2.5x</w:t>
            </w:r>
          </w:p>
        </w:tc>
        <w:tc>
          <w:tcPr>
            <w:tcW w:type="dxa" w:w="2100"/>
            <w:tcMar>
              <w:top w:type="dxa" w:w="55"/>
              <w:left w:type="dxa" w:w="85"/>
              <w:bottom w:type="dxa" w:w="55"/>
              <w:right w:type="dxa" w:w="85"/>
            </w:tcMar>
          </w:tcPr>
          <w:p>
            <w:pPr>
              <w:spacing w:after="30" w:line="256"/>
            </w:pPr>
            <w:r>
              <w:rPr>
                <w:b w:val="false"/>
                <w:bCs w:val="false"/>
                <w:sz w:val="18"/>
                <w:szCs w:val="18"/>
              </w:rPr>
              <w:t xml:space="preserve">n/a</w:t>
            </w:r>
          </w:p>
        </w:tc>
        <w:tc>
          <w:tcPr>
            <w:tcW w:type="dxa" w:w="2110"/>
            <w:tcMar>
              <w:top w:type="dxa" w:w="55"/>
              <w:left w:type="dxa" w:w="85"/>
              <w:bottom w:type="dxa" w:w="55"/>
              <w:right w:type="dxa" w:w="85"/>
            </w:tcMar>
          </w:tcPr>
          <w:p>
            <w:pPr>
              <w:spacing w:after="30" w:line="256"/>
            </w:pPr>
            <w:r>
              <w:rPr>
                <w:b w:val="false"/>
                <w:bCs w:val="false"/>
                <w:sz w:val="18"/>
                <w:szCs w:val="18"/>
              </w:rPr>
              <w:t xml:space="preserve">DE B2B learning, strategic</w:t>
            </w:r>
          </w:p>
        </w:tc>
      </w:tr>
      <w:tr>
        <w:trPr>
          <w:tblHeader w:val="false"/>
        </w:trPr>
        <w:tc>
          <w:tcPr>
            <w:tcW w:type="dxa" w:w="3050"/>
            <w:shd w:fill="EAF0F7" w:color="auto" w:val="clear"/>
            <w:tcMar>
              <w:top w:type="dxa" w:w="55"/>
              <w:left w:type="dxa" w:w="85"/>
              <w:bottom w:type="dxa" w:w="55"/>
              <w:right w:type="dxa" w:w="85"/>
            </w:tcMar>
          </w:tcPr>
          <w:p>
            <w:pPr>
              <w:spacing w:after="30" w:line="256"/>
            </w:pPr>
            <w:r>
              <w:rPr>
                <w:b w:val="false"/>
                <w:bCs w:val="false"/>
                <w:sz w:val="18"/>
                <w:szCs w:val="18"/>
              </w:rPr>
              <w:t xml:space="preserve">Docebo (listed pure-play LMS)</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~2.1x</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~10.7x</w:t>
            </w:r>
          </w:p>
        </w:tc>
        <w:tc>
          <w:tcPr>
            <w:tcW w:type="dxa" w:w="2110"/>
            <w:shd w:fill="EAF0F7" w:color="auto" w:val="clear"/>
            <w:tcMar>
              <w:top w:type="dxa" w:w="55"/>
              <w:left w:type="dxa" w:w="85"/>
              <w:bottom w:type="dxa" w:w="55"/>
              <w:right w:type="dxa" w:w="85"/>
            </w:tcMar>
          </w:tcPr>
          <w:p>
            <w:pPr>
              <w:spacing w:after="30" w:line="256"/>
            </w:pPr>
            <w:r>
              <w:rPr>
                <w:b w:val="false"/>
                <w:bCs w:val="false"/>
                <w:sz w:val="18"/>
                <w:szCs w:val="18"/>
              </w:rPr>
              <w:t xml:space="preserve">Public comp</w:t>
            </w:r>
          </w:p>
        </w:tc>
      </w:tr>
      <w:tr>
        <w:trPr>
          <w:tblHeader w:val="false"/>
        </w:trPr>
        <w:tc>
          <w:tcPr>
            <w:tcW w:type="dxa" w:w="3050"/>
            <w:tcMar>
              <w:top w:type="dxa" w:w="55"/>
              <w:left w:type="dxa" w:w="85"/>
              <w:bottom w:type="dxa" w:w="55"/>
              <w:right w:type="dxa" w:w="85"/>
            </w:tcMar>
          </w:tcPr>
          <w:p>
            <w:pPr>
              <w:spacing w:after="30" w:line="256"/>
            </w:pPr>
            <w:r>
              <w:rPr>
                <w:b w:val="false"/>
                <w:bCs w:val="false"/>
                <w:sz w:val="18"/>
                <w:szCs w:val="18"/>
              </w:rPr>
              <w:t xml:space="preserve">Instructure / KKR (2024)</w:t>
            </w:r>
          </w:p>
        </w:tc>
        <w:tc>
          <w:tcPr>
            <w:tcW w:type="dxa" w:w="2100"/>
            <w:tcMar>
              <w:top w:type="dxa" w:w="55"/>
              <w:left w:type="dxa" w:w="85"/>
              <w:bottom w:type="dxa" w:w="55"/>
              <w:right w:type="dxa" w:w="85"/>
            </w:tcMar>
          </w:tcPr>
          <w:p>
            <w:pPr>
              <w:spacing w:after="30" w:line="256"/>
            </w:pPr>
            <w:r>
              <w:rPr>
                <w:b w:val="false"/>
                <w:bCs w:val="false"/>
                <w:sz w:val="18"/>
                <w:szCs w:val="18"/>
              </w:rPr>
              <w:t xml:space="preserve">~9x</w:t>
            </w:r>
          </w:p>
        </w:tc>
        <w:tc>
          <w:tcPr>
            <w:tcW w:type="dxa" w:w="2100"/>
            <w:tcMar>
              <w:top w:type="dxa" w:w="55"/>
              <w:left w:type="dxa" w:w="85"/>
              <w:bottom w:type="dxa" w:w="55"/>
              <w:right w:type="dxa" w:w="85"/>
            </w:tcMar>
          </w:tcPr>
          <w:p>
            <w:pPr>
              <w:spacing w:after="30" w:line="256"/>
            </w:pPr>
            <w:r>
              <w:rPr>
                <w:b w:val="false"/>
                <w:bCs w:val="false"/>
                <w:sz w:val="18"/>
                <w:szCs w:val="18"/>
              </w:rPr>
              <w:t xml:space="preserve">~33x</w:t>
            </w:r>
          </w:p>
        </w:tc>
        <w:tc>
          <w:tcPr>
            <w:tcW w:type="dxa" w:w="2110"/>
            <w:tcMar>
              <w:top w:type="dxa" w:w="55"/>
              <w:left w:type="dxa" w:w="85"/>
              <w:bottom w:type="dxa" w:w="55"/>
              <w:right w:type="dxa" w:w="85"/>
            </w:tcMar>
          </w:tcPr>
          <w:p>
            <w:pPr>
              <w:spacing w:after="30" w:line="256"/>
            </w:pPr>
            <w:r>
              <w:rPr>
                <w:b w:val="false"/>
                <w:bCs w:val="false"/>
                <w:sz w:val="18"/>
                <w:szCs w:val="18"/>
              </w:rPr>
              <w:t xml:space="preserve">Scale take-private</w:t>
            </w:r>
          </w:p>
        </w:tc>
      </w:tr>
      <w:tr>
        <w:trPr>
          <w:tblHeader w:val="false"/>
        </w:trPr>
        <w:tc>
          <w:tcPr>
            <w:tcW w:type="dxa" w:w="3050"/>
            <w:shd w:fill="EAF0F7" w:color="auto" w:val="clear"/>
            <w:tcMar>
              <w:top w:type="dxa" w:w="55"/>
              <w:left w:type="dxa" w:w="85"/>
              <w:bottom w:type="dxa" w:w="55"/>
              <w:right w:type="dxa" w:w="85"/>
            </w:tcMar>
          </w:tcPr>
          <w:p>
            <w:pPr>
              <w:spacing w:after="30" w:line="256"/>
            </w:pPr>
            <w:r>
              <w:rPr>
                <w:b w:val="false"/>
                <w:bCs w:val="false"/>
                <w:sz w:val="18"/>
                <w:szCs w:val="18"/>
              </w:rPr>
              <w:t xml:space="preserve">Cornerstone / Clearlake (2021)</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~5x</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n/a</w:t>
            </w:r>
          </w:p>
        </w:tc>
        <w:tc>
          <w:tcPr>
            <w:tcW w:type="dxa" w:w="2110"/>
            <w:shd w:fill="EAF0F7" w:color="auto" w:val="clear"/>
            <w:tcMar>
              <w:top w:type="dxa" w:w="55"/>
              <w:left w:type="dxa" w:w="85"/>
              <w:bottom w:type="dxa" w:w="55"/>
              <w:right w:type="dxa" w:w="85"/>
            </w:tcMar>
          </w:tcPr>
          <w:p>
            <w:pPr>
              <w:spacing w:after="30" w:line="256"/>
            </w:pPr>
            <w:r>
              <w:rPr>
                <w:b w:val="false"/>
                <w:bCs w:val="false"/>
                <w:sz w:val="18"/>
                <w:szCs w:val="18"/>
              </w:rPr>
              <w:t xml:space="preserve">PE take-private</w:t>
            </w:r>
          </w:p>
        </w:tc>
      </w:tr>
      <w:tr>
        <w:trPr>
          <w:tblHeader w:val="false"/>
        </w:trPr>
        <w:tc>
          <w:tcPr>
            <w:tcW w:type="dxa" w:w="3050"/>
            <w:tcMar>
              <w:top w:type="dxa" w:w="55"/>
              <w:left w:type="dxa" w:w="85"/>
              <w:bottom w:type="dxa" w:w="55"/>
              <w:right w:type="dxa" w:w="85"/>
            </w:tcMar>
          </w:tcPr>
          <w:p>
            <w:pPr>
              <w:spacing w:after="30" w:line="256"/>
            </w:pPr>
            <w:r>
              <w:rPr>
                <w:b w:val="false"/>
                <w:bCs w:val="false"/>
                <w:sz w:val="18"/>
                <w:szCs w:val="18"/>
              </w:rPr>
              <w:t xml:space="preserve">DACH small-cap software (€5–50m rev)</w:t>
            </w:r>
          </w:p>
        </w:tc>
        <w:tc>
          <w:tcPr>
            <w:tcW w:type="dxa" w:w="2100"/>
            <w:tcMar>
              <w:top w:type="dxa" w:w="55"/>
              <w:left w:type="dxa" w:w="85"/>
              <w:bottom w:type="dxa" w:w="55"/>
              <w:right w:type="dxa" w:w="85"/>
            </w:tcMar>
          </w:tcPr>
          <w:p>
            <w:pPr>
              <w:spacing w:after="30" w:line="256"/>
            </w:pPr>
            <w:r>
              <w:rPr>
                <w:b w:val="false"/>
                <w:bCs w:val="false"/>
                <w:sz w:val="18"/>
                <w:szCs w:val="18"/>
              </w:rPr>
              <w:t xml:space="preserve">—</w:t>
            </w:r>
          </w:p>
        </w:tc>
        <w:tc>
          <w:tcPr>
            <w:tcW w:type="dxa" w:w="2100"/>
            <w:tcMar>
              <w:top w:type="dxa" w:w="55"/>
              <w:left w:type="dxa" w:w="85"/>
              <w:bottom w:type="dxa" w:w="55"/>
              <w:right w:type="dxa" w:w="85"/>
            </w:tcMar>
          </w:tcPr>
          <w:p>
            <w:pPr>
              <w:spacing w:after="30" w:line="256"/>
            </w:pPr>
            <w:r>
              <w:rPr>
                <w:b w:val="false"/>
                <w:bCs w:val="false"/>
                <w:sz w:val="18"/>
                <w:szCs w:val="18"/>
              </w:rPr>
              <w:t xml:space="preserve">~7.7–9.7x</w:t>
            </w:r>
          </w:p>
        </w:tc>
        <w:tc>
          <w:tcPr>
            <w:tcW w:type="dxa" w:w="2110"/>
            <w:tcMar>
              <w:top w:type="dxa" w:w="55"/>
              <w:left w:type="dxa" w:w="85"/>
              <w:bottom w:type="dxa" w:w="55"/>
              <w:right w:type="dxa" w:w="85"/>
            </w:tcMar>
          </w:tcPr>
          <w:p>
            <w:pPr>
              <w:spacing w:after="30" w:line="256"/>
            </w:pPr>
            <w:r>
              <w:rPr>
                <w:b w:val="false"/>
                <w:bCs w:val="false"/>
                <w:sz w:val="18"/>
                <w:szCs w:val="18"/>
              </w:rPr>
              <w:t xml:space="preserve">Mittelstand band</w:t>
            </w:r>
          </w:p>
        </w:tc>
      </w:tr>
      <w:tr>
        <w:trPr>
          <w:tblHeader w:val="false"/>
        </w:trPr>
        <w:tc>
          <w:tcPr>
            <w:tcW w:type="dxa" w:w="3050"/>
            <w:shd w:fill="EAF0F7" w:color="auto" w:val="clear"/>
            <w:tcMar>
              <w:top w:type="dxa" w:w="55"/>
              <w:left w:type="dxa" w:w="85"/>
              <w:bottom w:type="dxa" w:w="55"/>
              <w:right w:type="dxa" w:w="85"/>
            </w:tcMar>
          </w:tcPr>
          <w:p>
            <w:pPr>
              <w:spacing w:after="30" w:line="256"/>
            </w:pPr>
            <w:r>
              <w:rPr>
                <w:b w:val="false"/>
                <w:bCs w:val="false"/>
                <w:sz w:val="18"/>
                <w:szCs w:val="18"/>
              </w:rPr>
              <w:t xml:space="preserve">SumTotal / Cornerstone (2022)</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~1.6x</w:t>
            </w:r>
          </w:p>
        </w:tc>
        <w:tc>
          <w:tcPr>
            <w:tcW w:type="dxa" w:w="2100"/>
            <w:shd w:fill="EAF0F7" w:color="auto" w:val="clear"/>
            <w:tcMar>
              <w:top w:type="dxa" w:w="55"/>
              <w:left w:type="dxa" w:w="85"/>
              <w:bottom w:type="dxa" w:w="55"/>
              <w:right w:type="dxa" w:w="85"/>
            </w:tcMar>
          </w:tcPr>
          <w:p>
            <w:pPr>
              <w:spacing w:after="30" w:line="256"/>
            </w:pPr>
            <w:r>
              <w:rPr>
                <w:b w:val="false"/>
                <w:bCs w:val="false"/>
                <w:sz w:val="18"/>
                <w:szCs w:val="18"/>
              </w:rPr>
              <w:t xml:space="preserve">~5.4x</w:t>
            </w:r>
          </w:p>
        </w:tc>
        <w:tc>
          <w:tcPr>
            <w:tcW w:type="dxa" w:w="2110"/>
            <w:shd w:fill="EAF0F7" w:color="auto" w:val="clear"/>
            <w:tcMar>
              <w:top w:type="dxa" w:w="55"/>
              <w:left w:type="dxa" w:w="85"/>
              <w:bottom w:type="dxa" w:w="55"/>
              <w:right w:type="dxa" w:w="85"/>
            </w:tcMar>
          </w:tcPr>
          <w:p>
            <w:pPr>
              <w:spacing w:after="30" w:line="256"/>
            </w:pPr>
            <w:r>
              <w:rPr>
                <w:b w:val="false"/>
                <w:bCs w:val="false"/>
                <w:sz w:val="18"/>
                <w:szCs w:val="18"/>
              </w:rPr>
              <w:t xml:space="preserve">Mature/low comp</w:t>
            </w:r>
          </w:p>
        </w:tc>
      </w:tr>
    </w:tbl>
    <w:p>
      <w:pPr>
        <w:spacing w:after="60"/>
      </w:pPr>
    </w:p>
    <w:p>
      <w:pPr>
        <w:spacing w:after="120" w:line="276"/>
      </w:pPr>
      <w:r>
        <w:rPr>
          <w:b/>
          <w:bCs/>
          <w:sz w:val="21"/>
          <w:szCs w:val="21"/>
        </w:rPr>
        <w:t xml:space="preserve">Read-across for WTT. </w:t>
      </w:r>
      <w:r>
        <w:rPr>
          <w:sz w:val="21"/>
          <w:szCs w:val="21"/>
        </w:rPr>
        <w:t xml:space="preserve">Listed LMS pure-plays and low-growth assets anchor the bottom of the range; scaled, high-quality take-privates reach 5–9x revenue and 30x+ EBITDA. WTT’s ~47% EBITDA margin and mid-teens growth place it well above the distressed/mature comps and toward the premium end of the DACH software band — the essence of our valuation view in Section E. We will refine the comp set and precedent transactions in the financial model and challenge the internal business case against them, as required by the Scope of Work.</w:t>
      </w:r>
    </w:p>
    <w:p>
      <w:pPr>
        <w:spacing w:after="60"/>
      </w:pPr>
      <w:r>
        <w:rPr>
          <w:i/>
          <w:iCs/>
          <w:color w:val="595959"/>
          <w:sz w:val="16"/>
          <w:szCs w:val="16"/>
        </w:rPr>
        <w:t xml:space="preserve">Sources: Aventis Advisors; dealorigination.de (DACH EBITDA multiples 2026); Multiples.vc (Docebo); Amadeus Fire press release; LMS deal debriefs. Full links in the accompanying dossier.</w:t>
      </w:r>
    </w:p>
    <w:p>
      <w:r>
        <w:br w:type="page"/>
      </w:r>
    </w:p>
    <w:p>
      <w:pPr>
        <w:pStyle w:val="Heading1"/>
        <w:spacing w:after="140" w:before="320"/>
      </w:pPr>
      <w:r>
        <w:rPr>
          <w:b/>
          <w:bCs/>
          <w:color w:val="1F3864"/>
          <w:sz w:val="29"/>
          <w:szCs w:val="29"/>
        </w:rPr>
        <w:t xml:space="preserve">D.  Equity story &amp; potential investors</w:t>
      </w:r>
    </w:p>
    <w:p>
      <w:pPr>
        <w:pStyle w:val="Heading2"/>
        <w:spacing w:after="90" w:before="220"/>
      </w:pPr>
      <w:r>
        <w:rPr>
          <w:b/>
          <w:bCs/>
          <w:color w:val="2E5496"/>
          <w:sz w:val="24"/>
          <w:szCs w:val="24"/>
        </w:rPr>
        <w:t xml:space="preserve">D.1  The equity story</w:t>
      </w:r>
    </w:p>
    <w:p>
      <w:pPr>
        <w:spacing w:after="120" w:line="276"/>
      </w:pPr>
      <w:r>
        <w:rPr>
          <w:sz w:val="21"/>
          <w:szCs w:val="21"/>
        </w:rPr>
        <w:t xml:space="preserve">We would develop the equity story with management and EnBW around five pillars, each evidenced by data-room facts:</w:t>
      </w:r>
    </w:p>
    <w:p>
      <w:pPr>
        <w:pStyle w:val="ListParagraph"/>
        <w:numPr>
          <w:ilvl w:val="0"/>
          <w:numId w:val="3"/>
        </w:numPr>
        <w:spacing w:after="80" w:line="272"/>
      </w:pPr>
      <w:r>
        <w:rPr>
          <w:b/>
          <w:bCs/>
          <w:sz w:val="21"/>
          <w:szCs w:val="21"/>
        </w:rPr>
        <w:t xml:space="preserve">Non-discretionary, recurring revenue. </w:t>
      </w:r>
      <w:r>
        <w:rPr>
          <w:sz w:val="21"/>
          <w:szCs w:val="21"/>
        </w:rPr>
        <w:t xml:space="preserve">&gt;80% recurring, regulation-driven demand with high retention — an annuity-like base that compounds.</w:t>
      </w:r>
    </w:p>
    <w:p>
      <w:pPr>
        <w:pStyle w:val="ListParagraph"/>
        <w:numPr>
          <w:ilvl w:val="0"/>
          <w:numId w:val="3"/>
        </w:numPr>
        <w:spacing w:after="80" w:line="272"/>
      </w:pPr>
      <w:r>
        <w:rPr>
          <w:b/>
          <w:bCs/>
          <w:sz w:val="21"/>
          <w:szCs w:val="21"/>
        </w:rPr>
        <w:t xml:space="preserve">Defensible vertical leadership. </w:t>
      </w:r>
      <w:r>
        <w:rPr>
          <w:sz w:val="21"/>
          <w:szCs w:val="21"/>
        </w:rPr>
        <w:t xml:space="preserve">The reference platform for energy/utility and municipal learning in DACH, with content and compliance moats horizontal players cannot replicate.</w:t>
      </w:r>
    </w:p>
    <w:p>
      <w:pPr>
        <w:pStyle w:val="ListParagraph"/>
        <w:numPr>
          <w:ilvl w:val="0"/>
          <w:numId w:val="3"/>
        </w:numPr>
        <w:spacing w:after="80" w:line="272"/>
      </w:pPr>
      <w:r>
        <w:rPr>
          <w:b/>
          <w:bCs/>
          <w:sz w:val="21"/>
          <w:szCs w:val="21"/>
        </w:rPr>
        <w:t xml:space="preserve">Proven, profitable growth. </w:t>
      </w:r>
      <w:r>
        <w:rPr>
          <w:sz w:val="21"/>
          <w:szCs w:val="21"/>
        </w:rPr>
        <w:t xml:space="preserve">~22% revenue CAGR 2022–25 at an expanding ~47% EBITDA margin — a rare Rule-of-40-plus profile in the midcap.</w:t>
      </w:r>
    </w:p>
    <w:p>
      <w:pPr>
        <w:pStyle w:val="ListParagraph"/>
        <w:numPr>
          <w:ilvl w:val="0"/>
          <w:numId w:val="3"/>
        </w:numPr>
        <w:spacing w:after="80" w:line="272"/>
      </w:pPr>
      <w:r>
        <w:rPr>
          <w:b/>
          <w:bCs/>
          <w:sz w:val="21"/>
          <w:szCs w:val="21"/>
        </w:rPr>
        <w:t xml:space="preserve">Multiple, fundable growth vectors. </w:t>
      </w:r>
      <w:r>
        <w:rPr>
          <w:sz w:val="21"/>
          <w:szCs w:val="21"/>
        </w:rPr>
        <w:t xml:space="preserve">Cross-/up-sell into the installed base, new compliance topics (EU AI Act, NIS2), adjacent verticals and public administration, DACH-to-international, and price realisation.</w:t>
      </w:r>
    </w:p>
    <w:p>
      <w:pPr>
        <w:pStyle w:val="ListParagraph"/>
        <w:numPr>
          <w:ilvl w:val="0"/>
          <w:numId w:val="3"/>
        </w:numPr>
        <w:spacing w:after="80" w:line="272"/>
      </w:pPr>
      <w:r>
        <w:rPr>
          <w:b/>
          <w:bCs/>
          <w:sz w:val="21"/>
          <w:szCs w:val="21"/>
        </w:rPr>
        <w:t xml:space="preserve">An AI-enabled next chapter. </w:t>
      </w:r>
      <w:r>
        <w:rPr>
          <w:sz w:val="21"/>
          <w:szCs w:val="21"/>
        </w:rPr>
        <w:t xml:space="preserve">AI in authoring, personalisation and the in-house studio pipeline — converting the sector’s “AI-disruption” narrative into a defensible-AI premium.</w:t>
      </w:r>
    </w:p>
    <w:p>
      <w:pPr>
        <w:pStyle w:val="Heading2"/>
        <w:spacing w:after="90" w:before="220"/>
      </w:pPr>
      <w:r>
        <w:rPr>
          <w:b/>
          <w:bCs/>
          <w:color w:val="2E5496"/>
          <w:sz w:val="24"/>
          <w:szCs w:val="24"/>
        </w:rPr>
        <w:t xml:space="preserve">D.2  Buyer universe &amp; atares network</w:t>
      </w:r>
    </w:p>
    <w:p>
      <w:pPr>
        <w:spacing w:after="120" w:line="276"/>
      </w:pPr>
      <w:r>
        <w:rPr>
          <w:sz w:val="21"/>
          <w:szCs w:val="21"/>
        </w:rPr>
        <w:t xml:space="preserve">atares maintains direct access to </w:t>
      </w:r>
      <w:r>
        <w:rPr>
          <w:b/>
          <w:bCs/>
          <w:sz w:val="21"/>
          <w:szCs w:val="21"/>
        </w:rPr>
        <w:t xml:space="preserve">~4,000 registered PE funds and ~30,000 corporate-finance contacts</w:t>
      </w:r>
      <w:r>
        <w:rPr>
          <w:sz w:val="21"/>
          <w:szCs w:val="21"/>
        </w:rPr>
        <w:t xml:space="preserve"> across Europe, the Americas and Asia — enabling a genuinely international, competitive process. We would prioritise: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350"/>
        <w:gridCol w:w="7010"/>
      </w:tblGrid>
      <w:tr>
        <w:trPr>
          <w:tblHeader/>
        </w:trPr>
        <w:tc>
          <w:tcPr>
            <w:tcW w:type="dxa" w:w="2350"/>
            <w:shd w:fill="1F3864" w:color="auto" w:val="clear"/>
            <w:tcMar>
              <w:top w:type="dxa" w:w="55"/>
              <w:left w:type="dxa" w:w="85"/>
              <w:bottom w:type="dxa" w:w="55"/>
              <w:right w:type="dxa" w:w="85"/>
            </w:tcMar>
          </w:tcPr>
          <w:p>
            <w:pPr>
              <w:spacing w:after="30" w:line="256"/>
            </w:pPr>
            <w:r>
              <w:rPr>
                <w:b/>
                <w:bCs/>
                <w:color w:val="FFFFFF"/>
                <w:sz w:val="18"/>
                <w:szCs w:val="18"/>
              </w:rPr>
              <w:t xml:space="preserve">Pool</w:t>
            </w:r>
          </w:p>
        </w:tc>
        <w:tc>
          <w:tcPr>
            <w:tcW w:type="dxa" w:w="7010"/>
            <w:shd w:fill="1F3864" w:color="auto" w:val="clear"/>
            <w:tcMar>
              <w:top w:type="dxa" w:w="55"/>
              <w:left w:type="dxa" w:w="85"/>
              <w:bottom w:type="dxa" w:w="55"/>
              <w:right w:type="dxa" w:w="85"/>
            </w:tcMar>
          </w:tcPr>
          <w:p>
            <w:pPr>
              <w:spacing w:after="30" w:line="256"/>
            </w:pPr>
            <w:r>
              <w:rPr>
                <w:b/>
                <w:bCs/>
                <w:color w:val="FFFFFF"/>
                <w:sz w:val="18"/>
                <w:szCs w:val="18"/>
              </w:rPr>
              <w:t xml:space="preserve">Illustrative targets (to be refined and prioritised in the buyer long-list)</w:t>
            </w:r>
          </w:p>
        </w:tc>
      </w:tr>
      <w:tr>
        <w:trPr>
          <w:tblHeader w:val="false"/>
        </w:trPr>
        <w:tc>
          <w:tcPr>
            <w:tcW w:type="dxa" w:w="2350"/>
            <w:tcMar>
              <w:top w:type="dxa" w:w="55"/>
              <w:left w:type="dxa" w:w="85"/>
              <w:bottom w:type="dxa" w:w="55"/>
              <w:right w:type="dxa" w:w="85"/>
            </w:tcMar>
          </w:tcPr>
          <w:p>
            <w:pPr>
              <w:spacing w:after="30" w:line="256"/>
            </w:pPr>
            <w:r>
              <w:rPr>
                <w:b w:val="false"/>
                <w:bCs w:val="false"/>
                <w:sz w:val="18"/>
                <w:szCs w:val="18"/>
              </w:rPr>
              <w:t xml:space="preserve">Strategics — learning / HR software</w:t>
            </w:r>
          </w:p>
        </w:tc>
        <w:tc>
          <w:tcPr>
            <w:tcW w:type="dxa" w:w="7010"/>
            <w:tcMar>
              <w:top w:type="dxa" w:w="55"/>
              <w:left w:type="dxa" w:w="85"/>
              <w:bottom w:type="dxa" w:w="55"/>
              <w:right w:type="dxa" w:w="85"/>
            </w:tcMar>
          </w:tcPr>
          <w:p>
            <w:pPr>
              <w:spacing w:after="30" w:line="256"/>
            </w:pPr>
            <w:r>
              <w:rPr>
                <w:b w:val="false"/>
                <w:bCs w:val="false"/>
                <w:sz w:val="18"/>
                <w:szCs w:val="18"/>
              </w:rPr>
              <w:t xml:space="preserve">Haufe Group, imc AG (Scheer), IU Group, Cornerstone, Docebo, Skillsoft, GoodHabitz, Speexx, 360Learning</w:t>
            </w:r>
          </w:p>
        </w:tc>
      </w:tr>
      <w:tr>
        <w:trPr>
          <w:tblHeader w:val="false"/>
        </w:trPr>
        <w:tc>
          <w:tcPr>
            <w:tcW w:type="dxa" w:w="2350"/>
            <w:shd w:fill="EAF0F7" w:color="auto" w:val="clear"/>
            <w:tcMar>
              <w:top w:type="dxa" w:w="55"/>
              <w:left w:type="dxa" w:w="85"/>
              <w:bottom w:type="dxa" w:w="55"/>
              <w:right w:type="dxa" w:w="85"/>
            </w:tcMar>
          </w:tcPr>
          <w:p>
            <w:pPr>
              <w:spacing w:after="30" w:line="256"/>
            </w:pPr>
            <w:r>
              <w:rPr>
                <w:b w:val="false"/>
                <w:bCs w:val="false"/>
                <w:sz w:val="18"/>
                <w:szCs w:val="18"/>
              </w:rPr>
              <w:t xml:space="preserve">Strategics — media / publishing / compliance</w:t>
            </w:r>
          </w:p>
        </w:tc>
        <w:tc>
          <w:tcPr>
            <w:tcW w:type="dxa" w:w="7010"/>
            <w:shd w:fill="EAF0F7" w:color="auto" w:val="clear"/>
            <w:tcMar>
              <w:top w:type="dxa" w:w="55"/>
              <w:left w:type="dxa" w:w="85"/>
              <w:bottom w:type="dxa" w:w="55"/>
              <w:right w:type="dxa" w:w="85"/>
            </w:tcMar>
          </w:tcPr>
          <w:p>
            <w:pPr>
              <w:spacing w:after="30" w:line="256"/>
            </w:pPr>
            <w:r>
              <w:rPr>
                <w:b w:val="false"/>
                <w:bCs w:val="false"/>
                <w:sz w:val="18"/>
                <w:szCs w:val="18"/>
              </w:rPr>
              <w:t xml:space="preserve">Klett, Cornelsen, WEKA, Vogel, Forum Verlag, Reguvis, and GRC/compliance-content consolidators</w:t>
            </w:r>
          </w:p>
        </w:tc>
      </w:tr>
      <w:tr>
        <w:trPr>
          <w:tblHeader w:val="false"/>
        </w:trPr>
        <w:tc>
          <w:tcPr>
            <w:tcW w:type="dxa" w:w="2350"/>
            <w:tcMar>
              <w:top w:type="dxa" w:w="55"/>
              <w:left w:type="dxa" w:w="85"/>
              <w:bottom w:type="dxa" w:w="55"/>
              <w:right w:type="dxa" w:w="85"/>
            </w:tcMar>
          </w:tcPr>
          <w:p>
            <w:pPr>
              <w:spacing w:after="30" w:line="256"/>
            </w:pPr>
            <w:r>
              <w:rPr>
                <w:b w:val="false"/>
                <w:bCs w:val="false"/>
                <w:sz w:val="18"/>
                <w:szCs w:val="18"/>
              </w:rPr>
              <w:t xml:space="preserve">Strategics — energy / utility software</w:t>
            </w:r>
          </w:p>
        </w:tc>
        <w:tc>
          <w:tcPr>
            <w:tcW w:type="dxa" w:w="7010"/>
            <w:tcMar>
              <w:top w:type="dxa" w:w="55"/>
              <w:left w:type="dxa" w:w="85"/>
              <w:bottom w:type="dxa" w:w="55"/>
              <w:right w:type="dxa" w:w="85"/>
            </w:tcMar>
          </w:tcPr>
          <w:p>
            <w:pPr>
              <w:spacing w:after="30" w:line="256"/>
            </w:pPr>
            <w:r>
              <w:rPr>
                <w:b w:val="false"/>
                <w:bCs w:val="false"/>
                <w:sz w:val="18"/>
                <w:szCs w:val="18"/>
              </w:rPr>
              <w:t xml:space="preserve">Utility-software &amp; services players wanting the Stadtwerke channel (e.g. Schleupen-, items-, powercloud-type buyers)</w:t>
            </w:r>
          </w:p>
        </w:tc>
      </w:tr>
      <w:tr>
        <w:trPr>
          <w:tblHeader w:val="false"/>
        </w:trPr>
        <w:tc>
          <w:tcPr>
            <w:tcW w:type="dxa" w:w="2350"/>
            <w:shd w:fill="EAF0F7" w:color="auto" w:val="clear"/>
            <w:tcMar>
              <w:top w:type="dxa" w:w="55"/>
              <w:left w:type="dxa" w:w="85"/>
              <w:bottom w:type="dxa" w:w="55"/>
              <w:right w:type="dxa" w:w="85"/>
            </w:tcMar>
          </w:tcPr>
          <w:p>
            <w:pPr>
              <w:spacing w:after="30" w:line="256"/>
            </w:pPr>
            <w:r>
              <w:rPr>
                <w:b w:val="false"/>
                <w:bCs w:val="false"/>
                <w:sz w:val="18"/>
                <w:szCs w:val="18"/>
              </w:rPr>
              <w:t xml:space="preserve">Financial — software/EdTech-focused PE</w:t>
            </w:r>
          </w:p>
        </w:tc>
        <w:tc>
          <w:tcPr>
            <w:tcW w:type="dxa" w:w="7010"/>
            <w:shd w:fill="EAF0F7" w:color="auto" w:val="clear"/>
            <w:tcMar>
              <w:top w:type="dxa" w:w="55"/>
              <w:left w:type="dxa" w:w="85"/>
              <w:bottom w:type="dxa" w:w="55"/>
              <w:right w:type="dxa" w:w="85"/>
            </w:tcMar>
          </w:tcPr>
          <w:p>
            <w:pPr>
              <w:spacing w:after="30" w:line="256"/>
            </w:pPr>
            <w:r>
              <w:rPr>
                <w:b w:val="false"/>
                <w:bCs w:val="false"/>
                <w:sz w:val="18"/>
                <w:szCs w:val="18"/>
              </w:rPr>
              <w:t xml:space="preserve">Hg, Main Capital, Nordic Capital, IK Partners, Verdane, Bregal (Milestone/Unternehmerkapital), Maxburg, DPE, Armira, Keensight, Five Arrows, PSG, TA Associates, Great Hill</w:t>
            </w:r>
          </w:p>
        </w:tc>
      </w:tr>
      <w:tr>
        <w:trPr>
          <w:tblHeader w:val="false"/>
        </w:trPr>
        <w:tc>
          <w:tcPr>
            <w:tcW w:type="dxa" w:w="2350"/>
            <w:tcMar>
              <w:top w:type="dxa" w:w="55"/>
              <w:left w:type="dxa" w:w="85"/>
              <w:bottom w:type="dxa" w:w="55"/>
              <w:right w:type="dxa" w:w="85"/>
            </w:tcMar>
          </w:tcPr>
          <w:p>
            <w:pPr>
              <w:spacing w:after="30" w:line="256"/>
            </w:pPr>
            <w:r>
              <w:rPr>
                <w:b w:val="false"/>
                <w:bCs w:val="false"/>
                <w:sz w:val="18"/>
                <w:szCs w:val="18"/>
              </w:rPr>
              <w:t xml:space="preserve">Financial — buy-and-build platforms</w:t>
            </w:r>
          </w:p>
        </w:tc>
        <w:tc>
          <w:tcPr>
            <w:tcW w:type="dxa" w:w="7010"/>
            <w:tcMar>
              <w:top w:type="dxa" w:w="55"/>
              <w:left w:type="dxa" w:w="85"/>
              <w:bottom w:type="dxa" w:w="55"/>
              <w:right w:type="dxa" w:w="85"/>
            </w:tcMar>
          </w:tcPr>
          <w:p>
            <w:pPr>
              <w:spacing w:after="30" w:line="256"/>
            </w:pPr>
            <w:r>
              <w:rPr>
                <w:b w:val="false"/>
                <w:bCs w:val="false"/>
                <w:sz w:val="18"/>
                <w:szCs w:val="18"/>
              </w:rPr>
              <w:t xml:space="preserve">Existing PE-backed learning/compliance platforms seeking a DACH bolt-on</w:t>
            </w:r>
          </w:p>
        </w:tc>
      </w:tr>
    </w:tbl>
    <w:p>
      <w:pPr>
        <w:spacing w:after="60"/>
      </w:pPr>
    </w:p>
    <w:p>
      <w:pPr>
        <w:spacing w:after="120" w:line="276"/>
      </w:pPr>
      <w:r>
        <w:rPr>
          <w:i/>
          <w:iCs/>
          <w:color w:val="C55A11"/>
          <w:sz w:val="20"/>
          <w:szCs w:val="20"/>
        </w:rPr>
        <w:t xml:space="preserve">[atares to convert this into a tiered long-list with specific fund/strategic names, current mandates and warm contacts, and to flag any pre-cleared conflicts — see Section H.]</w:t>
      </w:r>
    </w:p>
    <w:p>
      <w:r>
        <w:br w:type="page"/>
      </w:r>
    </w:p>
    <w:p>
      <w:pPr>
        <w:pStyle w:val="Heading1"/>
        <w:spacing w:after="140" w:before="320"/>
      </w:pPr>
      <w:r>
        <w:rPr>
          <w:b/>
          <w:bCs/>
          <w:color w:val="1F3864"/>
          <w:sz w:val="29"/>
          <w:szCs w:val="29"/>
        </w:rPr>
        <w:t xml:space="preserve">E.  Preliminary valuation, value drivers &amp; investor interest</w:t>
      </w:r>
    </w:p>
    <w:p>
      <w:pPr>
        <w:spacing w:after="120" w:line="276"/>
      </w:pPr>
      <w:r>
        <w:rPr>
          <w:sz w:val="21"/>
          <w:szCs w:val="21"/>
        </w:rPr>
        <w:t xml:space="preserve">The view below is </w:t>
      </w:r>
      <w:r>
        <w:rPr>
          <w:b/>
          <w:bCs/>
          <w:color w:val="C55A11"/>
          <w:sz w:val="21"/>
          <w:szCs w:val="21"/>
        </w:rPr>
        <w:t xml:space="preserve">preliminary and outside-in</w:t>
      </w:r>
      <w:r>
        <w:rPr>
          <w:sz w:val="21"/>
          <w:szCs w:val="21"/>
        </w:rPr>
        <w:t xml:space="preserve">, based solely on the summary financials in the RFP and public information. It will be replaced by the integrated financial model and confirmed via due diligence. It is intended to frame ranges and support a slider-based discussion in the meeting.</w:t>
      </w:r>
    </w:p>
    <w:p>
      <w:pPr>
        <w:pStyle w:val="Heading2"/>
        <w:spacing w:after="90" w:before="220"/>
      </w:pPr>
      <w:r>
        <w:rPr>
          <w:b/>
          <w:bCs/>
          <w:color w:val="2E5496"/>
          <w:sz w:val="24"/>
          <w:szCs w:val="24"/>
        </w:rPr>
        <w:t xml:space="preserve">E.1  The financials point to a premium asset</w:t>
      </w:r>
    </w:p>
    <w:tbl>
      <w:tblPr>
        <w:tblW w:type="dxa" w:w="834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1050"/>
        <w:gridCol w:w="1050"/>
        <w:gridCol w:w="1050"/>
        <w:gridCol w:w="1050"/>
        <w:gridCol w:w="1120"/>
        <w:gridCol w:w="1120"/>
      </w:tblGrid>
      <w:tr>
        <w:trPr>
          <w:tblHeader/>
        </w:trPr>
        <w:tc>
          <w:tcPr>
            <w:tcW w:type="dxa" w:w="1900"/>
            <w:shd w:fill="1F3864" w:color="auto" w:val="clear"/>
            <w:tcMar>
              <w:top w:type="dxa" w:w="55"/>
              <w:left w:type="dxa" w:w="85"/>
              <w:bottom w:type="dxa" w:w="55"/>
              <w:right w:type="dxa" w:w="85"/>
            </w:tcMar>
          </w:tcPr>
          <w:p>
            <w:pPr>
              <w:spacing w:after="30" w:line="256"/>
            </w:pPr>
            <w:r>
              <w:rPr>
                <w:b/>
                <w:bCs/>
                <w:color w:val="FFFFFF"/>
                <w:sz w:val="18"/>
                <w:szCs w:val="18"/>
              </w:rPr>
              <w:t xml:space="preserve">€m</w:t>
            </w:r>
          </w:p>
        </w:tc>
        <w:tc>
          <w:tcPr>
            <w:tcW w:type="dxa" w:w="1050"/>
            <w:shd w:fill="1F3864" w:color="auto" w:val="clear"/>
            <w:tcMar>
              <w:top w:type="dxa" w:w="55"/>
              <w:left w:type="dxa" w:w="85"/>
              <w:bottom w:type="dxa" w:w="55"/>
              <w:right w:type="dxa" w:w="85"/>
            </w:tcMar>
          </w:tcPr>
          <w:p>
            <w:pPr>
              <w:spacing w:after="30" w:line="256"/>
            </w:pPr>
            <w:r>
              <w:rPr>
                <w:b/>
                <w:bCs/>
                <w:color w:val="FFFFFF"/>
                <w:sz w:val="18"/>
                <w:szCs w:val="18"/>
              </w:rPr>
              <w:t xml:space="preserve">2022</w:t>
            </w:r>
          </w:p>
        </w:tc>
        <w:tc>
          <w:tcPr>
            <w:tcW w:type="dxa" w:w="1050"/>
            <w:shd w:fill="1F3864" w:color="auto" w:val="clear"/>
            <w:tcMar>
              <w:top w:type="dxa" w:w="55"/>
              <w:left w:type="dxa" w:w="85"/>
              <w:bottom w:type="dxa" w:w="55"/>
              <w:right w:type="dxa" w:w="85"/>
            </w:tcMar>
          </w:tcPr>
          <w:p>
            <w:pPr>
              <w:spacing w:after="30" w:line="256"/>
            </w:pPr>
            <w:r>
              <w:rPr>
                <w:b/>
                <w:bCs/>
                <w:color w:val="FFFFFF"/>
                <w:sz w:val="18"/>
                <w:szCs w:val="18"/>
              </w:rPr>
              <w:t xml:space="preserve">2023</w:t>
            </w:r>
          </w:p>
        </w:tc>
        <w:tc>
          <w:tcPr>
            <w:tcW w:type="dxa" w:w="1050"/>
            <w:shd w:fill="1F3864" w:color="auto" w:val="clear"/>
            <w:tcMar>
              <w:top w:type="dxa" w:w="55"/>
              <w:left w:type="dxa" w:w="85"/>
              <w:bottom w:type="dxa" w:w="55"/>
              <w:right w:type="dxa" w:w="85"/>
            </w:tcMar>
          </w:tcPr>
          <w:p>
            <w:pPr>
              <w:spacing w:after="30" w:line="256"/>
            </w:pPr>
            <w:r>
              <w:rPr>
                <w:b/>
                <w:bCs/>
                <w:color w:val="FFFFFF"/>
                <w:sz w:val="18"/>
                <w:szCs w:val="18"/>
              </w:rPr>
              <w:t xml:space="preserve">2024</w:t>
            </w:r>
          </w:p>
        </w:tc>
        <w:tc>
          <w:tcPr>
            <w:tcW w:type="dxa" w:w="1050"/>
            <w:shd w:fill="1F3864" w:color="auto" w:val="clear"/>
            <w:tcMar>
              <w:top w:type="dxa" w:w="55"/>
              <w:left w:type="dxa" w:w="85"/>
              <w:bottom w:type="dxa" w:w="55"/>
              <w:right w:type="dxa" w:w="85"/>
            </w:tcMar>
          </w:tcPr>
          <w:p>
            <w:pPr>
              <w:spacing w:after="30" w:line="256"/>
            </w:pPr>
            <w:r>
              <w:rPr>
                <w:b/>
                <w:bCs/>
                <w:color w:val="FFFFFF"/>
                <w:sz w:val="18"/>
                <w:szCs w:val="18"/>
              </w:rPr>
              <w:t xml:space="preserve">2025</w:t>
            </w:r>
          </w:p>
        </w:tc>
        <w:tc>
          <w:tcPr>
            <w:tcW w:type="dxa" w:w="1120"/>
            <w:shd w:fill="1F3864" w:color="auto" w:val="clear"/>
            <w:tcMar>
              <w:top w:type="dxa" w:w="55"/>
              <w:left w:type="dxa" w:w="85"/>
              <w:bottom w:type="dxa" w:w="55"/>
              <w:right w:type="dxa" w:w="85"/>
            </w:tcMar>
          </w:tcPr>
          <w:p>
            <w:pPr>
              <w:spacing w:after="30" w:line="256"/>
            </w:pPr>
            <w:r>
              <w:rPr>
                <w:b/>
                <w:bCs/>
                <w:color w:val="FFFFFF"/>
                <w:sz w:val="18"/>
                <w:szCs w:val="18"/>
              </w:rPr>
              <w:t xml:space="preserve">2026E</w:t>
            </w:r>
          </w:p>
        </w:tc>
        <w:tc>
          <w:tcPr>
            <w:tcW w:type="dxa" w:w="1120"/>
            <w:shd w:fill="1F3864" w:color="auto" w:val="clear"/>
            <w:tcMar>
              <w:top w:type="dxa" w:w="55"/>
              <w:left w:type="dxa" w:w="85"/>
              <w:bottom w:type="dxa" w:w="55"/>
              <w:right w:type="dxa" w:w="85"/>
            </w:tcMar>
          </w:tcPr>
          <w:p>
            <w:pPr>
              <w:spacing w:after="30" w:line="256"/>
            </w:pPr>
            <w:r>
              <w:rPr>
                <w:b/>
                <w:bCs/>
                <w:color w:val="FFFFFF"/>
                <w:sz w:val="18"/>
                <w:szCs w:val="18"/>
              </w:rPr>
              <w:t xml:space="preserve">2028E</w:t>
            </w:r>
          </w:p>
        </w:tc>
      </w:tr>
      <w:tr>
        <w:trPr>
          <w:tblHeader w:val="false"/>
        </w:trPr>
        <w:tc>
          <w:tcPr>
            <w:tcW w:type="dxa" w:w="1900"/>
            <w:tcMar>
              <w:top w:type="dxa" w:w="55"/>
              <w:left w:type="dxa" w:w="85"/>
              <w:bottom w:type="dxa" w:w="55"/>
              <w:right w:type="dxa" w:w="85"/>
            </w:tcMar>
          </w:tcPr>
          <w:p>
            <w:pPr>
              <w:spacing w:after="30" w:line="256"/>
            </w:pPr>
            <w:r>
              <w:rPr>
                <w:b w:val="false"/>
                <w:bCs w:val="false"/>
                <w:sz w:val="18"/>
                <w:szCs w:val="18"/>
              </w:rPr>
              <w:t xml:space="preserve">Revenue</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7.0</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8.5</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10.8</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12.8</w:t>
            </w:r>
          </w:p>
        </w:tc>
        <w:tc>
          <w:tcPr>
            <w:tcW w:type="dxa" w:w="1120"/>
            <w:tcMar>
              <w:top w:type="dxa" w:w="55"/>
              <w:left w:type="dxa" w:w="85"/>
              <w:bottom w:type="dxa" w:w="55"/>
              <w:right w:type="dxa" w:w="85"/>
            </w:tcMar>
          </w:tcPr>
          <w:p>
            <w:pPr>
              <w:spacing w:after="30" w:line="256"/>
              <w:jc w:val="center"/>
            </w:pPr>
            <w:r>
              <w:rPr>
                <w:b w:val="false"/>
                <w:bCs w:val="false"/>
                <w:sz w:val="18"/>
                <w:szCs w:val="18"/>
              </w:rPr>
              <w:t xml:space="preserve">14.7</w:t>
            </w:r>
          </w:p>
        </w:tc>
        <w:tc>
          <w:tcPr>
            <w:tcW w:type="dxa" w:w="1120"/>
            <w:tcMar>
              <w:top w:type="dxa" w:w="55"/>
              <w:left w:type="dxa" w:w="85"/>
              <w:bottom w:type="dxa" w:w="55"/>
              <w:right w:type="dxa" w:w="85"/>
            </w:tcMar>
          </w:tcPr>
          <w:p>
            <w:pPr>
              <w:spacing w:after="30" w:line="256"/>
              <w:jc w:val="center"/>
            </w:pPr>
            <w:r>
              <w:rPr>
                <w:b w:val="false"/>
                <w:bCs w:val="false"/>
                <w:sz w:val="18"/>
                <w:szCs w:val="18"/>
              </w:rPr>
              <w:t xml:space="preserve">19.5</w:t>
            </w:r>
          </w:p>
        </w:tc>
      </w:tr>
      <w:tr>
        <w:trPr>
          <w:tblHeader w:val="false"/>
        </w:trPr>
        <w:tc>
          <w:tcPr>
            <w:tcW w:type="dxa" w:w="1900"/>
            <w:shd w:fill="EAF0F7" w:color="auto" w:val="clear"/>
            <w:tcMar>
              <w:top w:type="dxa" w:w="55"/>
              <w:left w:type="dxa" w:w="85"/>
              <w:bottom w:type="dxa" w:w="55"/>
              <w:right w:type="dxa" w:w="85"/>
            </w:tcMar>
          </w:tcPr>
          <w:p>
            <w:pPr>
              <w:spacing w:after="30" w:line="256"/>
            </w:pPr>
            <w:r>
              <w:rPr>
                <w:b w:val="false"/>
                <w:bCs w:val="false"/>
                <w:sz w:val="18"/>
                <w:szCs w:val="18"/>
              </w:rPr>
              <w:t xml:space="preserve">EBITDA</w:t>
            </w:r>
          </w:p>
        </w:tc>
        <w:tc>
          <w:tcPr>
            <w:tcW w:type="dxa" w:w="1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2.2</w:t>
            </w:r>
          </w:p>
        </w:tc>
        <w:tc>
          <w:tcPr>
            <w:tcW w:type="dxa" w:w="1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3.3</w:t>
            </w:r>
          </w:p>
        </w:tc>
        <w:tc>
          <w:tcPr>
            <w:tcW w:type="dxa" w:w="1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4.8</w:t>
            </w:r>
          </w:p>
        </w:tc>
        <w:tc>
          <w:tcPr>
            <w:tcW w:type="dxa" w:w="1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6.0</w:t>
            </w:r>
          </w:p>
        </w:tc>
        <w:tc>
          <w:tcPr>
            <w:tcW w:type="dxa" w:w="112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7.0</w:t>
            </w:r>
          </w:p>
        </w:tc>
        <w:tc>
          <w:tcPr>
            <w:tcW w:type="dxa" w:w="112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10.5</w:t>
            </w:r>
          </w:p>
        </w:tc>
      </w:tr>
      <w:tr>
        <w:trPr>
          <w:tblHeader w:val="false"/>
        </w:trPr>
        <w:tc>
          <w:tcPr>
            <w:tcW w:type="dxa" w:w="1900"/>
            <w:tcMar>
              <w:top w:type="dxa" w:w="55"/>
              <w:left w:type="dxa" w:w="85"/>
              <w:bottom w:type="dxa" w:w="55"/>
              <w:right w:type="dxa" w:w="85"/>
            </w:tcMar>
          </w:tcPr>
          <w:p>
            <w:pPr>
              <w:spacing w:after="30" w:line="256"/>
            </w:pPr>
            <w:r>
              <w:rPr>
                <w:b w:val="false"/>
                <w:bCs w:val="false"/>
                <w:sz w:val="18"/>
                <w:szCs w:val="18"/>
              </w:rPr>
              <w:t xml:space="preserve">EBITDA margin</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31%</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39%</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44%</w:t>
            </w:r>
          </w:p>
        </w:tc>
        <w:tc>
          <w:tcPr>
            <w:tcW w:type="dxa" w:w="1050"/>
            <w:tcMar>
              <w:top w:type="dxa" w:w="55"/>
              <w:left w:type="dxa" w:w="85"/>
              <w:bottom w:type="dxa" w:w="55"/>
              <w:right w:type="dxa" w:w="85"/>
            </w:tcMar>
          </w:tcPr>
          <w:p>
            <w:pPr>
              <w:spacing w:after="30" w:line="256"/>
              <w:jc w:val="center"/>
            </w:pPr>
            <w:r>
              <w:rPr>
                <w:b w:val="false"/>
                <w:bCs w:val="false"/>
                <w:sz w:val="18"/>
                <w:szCs w:val="18"/>
              </w:rPr>
              <w:t xml:space="preserve">47%</w:t>
            </w:r>
          </w:p>
        </w:tc>
        <w:tc>
          <w:tcPr>
            <w:tcW w:type="dxa" w:w="1120"/>
            <w:tcMar>
              <w:top w:type="dxa" w:w="55"/>
              <w:left w:type="dxa" w:w="85"/>
              <w:bottom w:type="dxa" w:w="55"/>
              <w:right w:type="dxa" w:w="85"/>
            </w:tcMar>
          </w:tcPr>
          <w:p>
            <w:pPr>
              <w:spacing w:after="30" w:line="256"/>
              <w:jc w:val="center"/>
            </w:pPr>
            <w:r>
              <w:rPr>
                <w:b w:val="false"/>
                <w:bCs w:val="false"/>
                <w:sz w:val="18"/>
                <w:szCs w:val="18"/>
              </w:rPr>
              <w:t xml:space="preserve">48%</w:t>
            </w:r>
          </w:p>
        </w:tc>
        <w:tc>
          <w:tcPr>
            <w:tcW w:type="dxa" w:w="1120"/>
            <w:tcMar>
              <w:top w:type="dxa" w:w="55"/>
              <w:left w:type="dxa" w:w="85"/>
              <w:bottom w:type="dxa" w:w="55"/>
              <w:right w:type="dxa" w:w="85"/>
            </w:tcMar>
          </w:tcPr>
          <w:p>
            <w:pPr>
              <w:spacing w:after="30" w:line="256"/>
              <w:jc w:val="center"/>
            </w:pPr>
            <w:r>
              <w:rPr>
                <w:b w:val="false"/>
                <w:bCs w:val="false"/>
                <w:sz w:val="18"/>
                <w:szCs w:val="18"/>
              </w:rPr>
              <w:t xml:space="preserve">54%</w:t>
            </w:r>
          </w:p>
        </w:tc>
      </w:tr>
    </w:tbl>
    <w:p>
      <w:pPr>
        <w:spacing w:after="60"/>
      </w:pPr>
    </w:p>
    <w:p>
      <w:pPr>
        <w:spacing w:after="120" w:line="276"/>
      </w:pPr>
      <w:r>
        <w:rPr>
          <w:sz w:val="21"/>
          <w:szCs w:val="21"/>
        </w:rPr>
        <w:t xml:space="preserve">Revenue CAGR 2022–25 ≈ 22%; forecast 2025–28E ≈ 15%; EBITDA margin expanding from 31% to a projected ~54%. A </w:t>
      </w:r>
      <w:r>
        <w:rPr>
          <w:b/>
          <w:bCs/>
          <w:sz w:val="21"/>
          <w:szCs w:val="21"/>
        </w:rPr>
        <w:t xml:space="preserve">Rule of 40 score above 60</w:t>
      </w:r>
      <w:r>
        <w:rPr>
          <w:sz w:val="21"/>
          <w:szCs w:val="21"/>
        </w:rPr>
        <w:t xml:space="preserve"> (≈18% growth + 47% margin in 2025) places WTT in the top decile of software assets — the single strongest argument for a premium multiple.</w:t>
      </w:r>
    </w:p>
    <w:p>
      <w:pPr>
        <w:pStyle w:val="Heading2"/>
        <w:spacing w:after="90" w:before="220"/>
      </w:pPr>
      <w:r>
        <w:rPr>
          <w:b/>
          <w:bCs/>
          <w:color w:val="2E5496"/>
          <w:sz w:val="24"/>
          <w:szCs w:val="24"/>
        </w:rPr>
        <w:t xml:space="preserve">E.2  Illustrative enterprise-value ranges</w:t>
      </w:r>
    </w:p>
    <w:p>
      <w:pPr>
        <w:spacing w:after="120" w:line="276"/>
      </w:pPr>
      <w:r>
        <w:rPr>
          <w:sz w:val="21"/>
          <w:szCs w:val="21"/>
        </w:rPr>
        <w:t xml:space="preserve">Anchored on 2026E EBITDA of €7.0m and 2026E revenue of €14.7m, cross-checked on 2025A: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50"/>
        <w:gridCol w:w="2050"/>
        <w:gridCol w:w="2760"/>
      </w:tblGrid>
      <w:tr>
        <w:trPr>
          <w:tblHeader/>
        </w:trPr>
        <w:tc>
          <w:tcPr>
            <w:tcW w:type="dxa" w:w="2500"/>
            <w:shd w:fill="1F3864" w:color="auto" w:val="clear"/>
            <w:tcMar>
              <w:top w:type="dxa" w:w="55"/>
              <w:left w:type="dxa" w:w="85"/>
              <w:bottom w:type="dxa" w:w="55"/>
              <w:right w:type="dxa" w:w="85"/>
            </w:tcMar>
          </w:tcPr>
          <w:p>
            <w:pPr>
              <w:spacing w:after="30" w:line="256"/>
            </w:pPr>
            <w:r>
              <w:rPr>
                <w:b/>
                <w:bCs/>
                <w:color w:val="FFFFFF"/>
                <w:sz w:val="18"/>
                <w:szCs w:val="18"/>
              </w:rPr>
              <w:t xml:space="preserve">Scenario</w:t>
            </w:r>
          </w:p>
        </w:tc>
        <w:tc>
          <w:tcPr>
            <w:tcW w:type="dxa" w:w="2050"/>
            <w:shd w:fill="1F3864" w:color="auto" w:val="clear"/>
            <w:tcMar>
              <w:top w:type="dxa" w:w="55"/>
              <w:left w:type="dxa" w:w="85"/>
              <w:bottom w:type="dxa" w:w="55"/>
              <w:right w:type="dxa" w:w="85"/>
            </w:tcMar>
          </w:tcPr>
          <w:p>
            <w:pPr>
              <w:spacing w:after="30" w:line="256"/>
            </w:pPr>
            <w:r>
              <w:rPr>
                <w:b/>
                <w:bCs/>
                <w:color w:val="FFFFFF"/>
                <w:sz w:val="18"/>
                <w:szCs w:val="18"/>
              </w:rPr>
              <w:t xml:space="preserve">EV/EBITDA (2026E)</w:t>
            </w:r>
          </w:p>
        </w:tc>
        <w:tc>
          <w:tcPr>
            <w:tcW w:type="dxa" w:w="2050"/>
            <w:shd w:fill="1F3864" w:color="auto" w:val="clear"/>
            <w:tcMar>
              <w:top w:type="dxa" w:w="55"/>
              <w:left w:type="dxa" w:w="85"/>
              <w:bottom w:type="dxa" w:w="55"/>
              <w:right w:type="dxa" w:w="85"/>
            </w:tcMar>
          </w:tcPr>
          <w:p>
            <w:pPr>
              <w:spacing w:after="30" w:line="256"/>
            </w:pPr>
            <w:r>
              <w:rPr>
                <w:b/>
                <w:bCs/>
                <w:color w:val="FFFFFF"/>
                <w:sz w:val="18"/>
                <w:szCs w:val="18"/>
              </w:rPr>
              <w:t xml:space="preserve">EV/Revenue (2026E)</w:t>
            </w:r>
          </w:p>
        </w:tc>
        <w:tc>
          <w:tcPr>
            <w:tcW w:type="dxa" w:w="2760"/>
            <w:shd w:fill="1F3864" w:color="auto" w:val="clear"/>
            <w:tcMar>
              <w:top w:type="dxa" w:w="55"/>
              <w:left w:type="dxa" w:w="85"/>
              <w:bottom w:type="dxa" w:w="55"/>
              <w:right w:type="dxa" w:w="85"/>
            </w:tcMar>
          </w:tcPr>
          <w:p>
            <w:pPr>
              <w:spacing w:after="30" w:line="256"/>
            </w:pPr>
            <w:r>
              <w:rPr>
                <w:b/>
                <w:bCs/>
                <w:color w:val="FFFFFF"/>
                <w:sz w:val="18"/>
                <w:szCs w:val="18"/>
              </w:rPr>
              <w:t xml:space="preserve">Illustrative EV</w:t>
            </w:r>
          </w:p>
        </w:tc>
      </w:tr>
      <w:tr>
        <w:trPr>
          <w:tblHeader w:val="false"/>
        </w:trPr>
        <w:tc>
          <w:tcPr>
            <w:tcW w:type="dxa" w:w="2500"/>
            <w:tcMar>
              <w:top w:type="dxa" w:w="55"/>
              <w:left w:type="dxa" w:w="85"/>
              <w:bottom w:type="dxa" w:w="55"/>
              <w:right w:type="dxa" w:w="85"/>
            </w:tcMar>
          </w:tcPr>
          <w:p>
            <w:pPr>
              <w:spacing w:after="30" w:line="256"/>
            </w:pPr>
            <w:r>
              <w:rPr>
                <w:b w:val="false"/>
                <w:bCs w:val="false"/>
                <w:sz w:val="18"/>
                <w:szCs w:val="18"/>
              </w:rPr>
              <w:t xml:space="preserve">Conservative</w:t>
            </w:r>
          </w:p>
        </w:tc>
        <w:tc>
          <w:tcPr>
            <w:tcW w:type="dxa" w:w="2050"/>
            <w:tcMar>
              <w:top w:type="dxa" w:w="55"/>
              <w:left w:type="dxa" w:w="85"/>
              <w:bottom w:type="dxa" w:w="55"/>
              <w:right w:type="dxa" w:w="85"/>
            </w:tcMar>
          </w:tcPr>
          <w:p>
            <w:pPr>
              <w:spacing w:after="30" w:line="256"/>
              <w:jc w:val="center"/>
            </w:pPr>
            <w:r>
              <w:rPr>
                <w:b w:val="false"/>
                <w:bCs w:val="false"/>
                <w:sz w:val="18"/>
                <w:szCs w:val="18"/>
              </w:rPr>
              <w:t xml:space="preserve">~9–10x</w:t>
            </w:r>
          </w:p>
        </w:tc>
        <w:tc>
          <w:tcPr>
            <w:tcW w:type="dxa" w:w="2050"/>
            <w:tcMar>
              <w:top w:type="dxa" w:w="55"/>
              <w:left w:type="dxa" w:w="85"/>
              <w:bottom w:type="dxa" w:w="55"/>
              <w:right w:type="dxa" w:w="85"/>
            </w:tcMar>
          </w:tcPr>
          <w:p>
            <w:pPr>
              <w:spacing w:after="30" w:line="256"/>
              <w:jc w:val="center"/>
            </w:pPr>
            <w:r>
              <w:rPr>
                <w:b w:val="false"/>
                <w:bCs w:val="false"/>
                <w:sz w:val="18"/>
                <w:szCs w:val="18"/>
              </w:rPr>
              <w:t xml:space="preserve">~4.0–4.5x</w:t>
            </w:r>
          </w:p>
        </w:tc>
        <w:tc>
          <w:tcPr>
            <w:tcW w:type="dxa" w:w="2760"/>
            <w:tcMar>
              <w:top w:type="dxa" w:w="55"/>
              <w:left w:type="dxa" w:w="85"/>
              <w:bottom w:type="dxa" w:w="55"/>
              <w:right w:type="dxa" w:w="85"/>
            </w:tcMar>
          </w:tcPr>
          <w:p>
            <w:pPr>
              <w:spacing w:after="30" w:line="256"/>
            </w:pPr>
            <w:r>
              <w:rPr>
                <w:b w:val="false"/>
                <w:bCs w:val="false"/>
                <w:sz w:val="18"/>
                <w:szCs w:val="18"/>
              </w:rPr>
              <w:t xml:space="preserve">~€63–70m</w:t>
            </w:r>
          </w:p>
        </w:tc>
      </w:tr>
      <w:tr>
        <w:trPr>
          <w:tblHeader w:val="false"/>
        </w:trPr>
        <w:tc>
          <w:tcPr>
            <w:tcW w:type="dxa" w:w="2500"/>
            <w:shd w:fill="EAF0F7" w:color="auto" w:val="clear"/>
            <w:tcMar>
              <w:top w:type="dxa" w:w="55"/>
              <w:left w:type="dxa" w:w="85"/>
              <w:bottom w:type="dxa" w:w="55"/>
              <w:right w:type="dxa" w:w="85"/>
            </w:tcMar>
          </w:tcPr>
          <w:p>
            <w:pPr>
              <w:spacing w:after="30" w:line="256"/>
            </w:pPr>
            <w:r>
              <w:rPr>
                <w:b w:val="false"/>
                <w:bCs w:val="false"/>
                <w:sz w:val="18"/>
                <w:szCs w:val="18"/>
              </w:rPr>
              <w:t xml:space="preserve">Base (Rule-of-40 premium)</w:t>
            </w:r>
          </w:p>
        </w:tc>
        <w:tc>
          <w:tcPr>
            <w:tcW w:type="dxa" w:w="2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~12–13x</w:t>
            </w:r>
          </w:p>
        </w:tc>
        <w:tc>
          <w:tcPr>
            <w:tcW w:type="dxa" w:w="2050"/>
            <w:shd w:fill="EAF0F7" w:color="auto" w:val="clear"/>
            <w:tcMar>
              <w:top w:type="dxa" w:w="55"/>
              <w:left w:type="dxa" w:w="85"/>
              <w:bottom w:type="dxa" w:w="55"/>
              <w:right w:type="dxa" w:w="85"/>
            </w:tcMar>
          </w:tcPr>
          <w:p>
            <w:pPr>
              <w:spacing w:after="30" w:line="256"/>
              <w:jc w:val="center"/>
            </w:pPr>
            <w:r>
              <w:rPr>
                <w:b w:val="false"/>
                <w:bCs w:val="false"/>
                <w:sz w:val="18"/>
                <w:szCs w:val="18"/>
              </w:rPr>
              <w:t xml:space="preserve">~5.5–6.0x</w:t>
            </w:r>
          </w:p>
        </w:tc>
        <w:tc>
          <w:tcPr>
            <w:tcW w:type="dxa" w:w="2760"/>
            <w:shd w:fill="EAF0F7" w:color="auto" w:val="clear"/>
            <w:tcMar>
              <w:top w:type="dxa" w:w="55"/>
              <w:left w:type="dxa" w:w="85"/>
              <w:bottom w:type="dxa" w:w="55"/>
              <w:right w:type="dxa" w:w="85"/>
            </w:tcMar>
          </w:tcPr>
          <w:p>
            <w:pPr>
              <w:spacing w:after="30" w:line="256"/>
            </w:pPr>
            <w:r>
              <w:rPr>
                <w:b w:val="false"/>
                <w:bCs w:val="false"/>
                <w:sz w:val="18"/>
                <w:szCs w:val="18"/>
              </w:rPr>
              <w:t xml:space="preserve">~€84–91m</w:t>
            </w:r>
          </w:p>
        </w:tc>
      </w:tr>
      <w:tr>
        <w:trPr>
          <w:tblHeader w:val="false"/>
        </w:trPr>
        <w:tc>
          <w:tcPr>
            <w:tcW w:type="dxa" w:w="2500"/>
            <w:tcMar>
              <w:top w:type="dxa" w:w="55"/>
              <w:left w:type="dxa" w:w="85"/>
              <w:bottom w:type="dxa" w:w="55"/>
              <w:right w:type="dxa" w:w="85"/>
            </w:tcMar>
          </w:tcPr>
          <w:p>
            <w:pPr>
              <w:spacing w:after="30" w:line="256"/>
            </w:pPr>
            <w:r>
              <w:rPr>
                <w:b w:val="false"/>
                <w:bCs w:val="false"/>
                <w:sz w:val="18"/>
                <w:szCs w:val="18"/>
              </w:rPr>
              <w:t xml:space="preserve">Upside (strategic synergy / scarcity)</w:t>
            </w:r>
          </w:p>
        </w:tc>
        <w:tc>
          <w:tcPr>
            <w:tcW w:type="dxa" w:w="2050"/>
            <w:tcMar>
              <w:top w:type="dxa" w:w="55"/>
              <w:left w:type="dxa" w:w="85"/>
              <w:bottom w:type="dxa" w:w="55"/>
              <w:right w:type="dxa" w:w="85"/>
            </w:tcMar>
          </w:tcPr>
          <w:p>
            <w:pPr>
              <w:spacing w:after="30" w:line="256"/>
              <w:jc w:val="center"/>
            </w:pPr>
            <w:r>
              <w:rPr>
                <w:b w:val="false"/>
                <w:bCs w:val="false"/>
                <w:sz w:val="18"/>
                <w:szCs w:val="18"/>
              </w:rPr>
              <w:t xml:space="preserve">~15–16x</w:t>
            </w:r>
          </w:p>
        </w:tc>
        <w:tc>
          <w:tcPr>
            <w:tcW w:type="dxa" w:w="2050"/>
            <w:tcMar>
              <w:top w:type="dxa" w:w="55"/>
              <w:left w:type="dxa" w:w="85"/>
              <w:bottom w:type="dxa" w:w="55"/>
              <w:right w:type="dxa" w:w="85"/>
            </w:tcMar>
          </w:tcPr>
          <w:p>
            <w:pPr>
              <w:spacing w:after="30" w:line="256"/>
              <w:jc w:val="center"/>
            </w:pPr>
            <w:r>
              <w:rPr>
                <w:b w:val="false"/>
                <w:bCs w:val="false"/>
                <w:sz w:val="18"/>
                <w:szCs w:val="18"/>
              </w:rPr>
              <w:t xml:space="preserve">~7.0–7.5x</w:t>
            </w:r>
          </w:p>
        </w:tc>
        <w:tc>
          <w:tcPr>
            <w:tcW w:type="dxa" w:w="2760"/>
            <w:tcMar>
              <w:top w:type="dxa" w:w="55"/>
              <w:left w:type="dxa" w:w="85"/>
              <w:bottom w:type="dxa" w:w="55"/>
              <w:right w:type="dxa" w:w="85"/>
            </w:tcMar>
          </w:tcPr>
          <w:p>
            <w:pPr>
              <w:spacing w:after="30" w:line="256"/>
            </w:pPr>
            <w:r>
              <w:rPr>
                <w:b w:val="false"/>
                <w:bCs w:val="false"/>
                <w:sz w:val="18"/>
                <w:szCs w:val="18"/>
              </w:rPr>
              <w:t xml:space="preserve">~€105–112m</w:t>
            </w:r>
          </w:p>
        </w:tc>
      </w:tr>
    </w:tbl>
    <w:p>
      <w:pPr>
        <w:spacing w:after="60"/>
      </w:pPr>
    </w:p>
    <w:p>
      <w:pPr>
        <w:spacing w:after="120" w:line="276"/>
      </w:pPr>
      <w:r>
        <w:rPr>
          <w:sz w:val="21"/>
          <w:szCs w:val="21"/>
        </w:rPr>
        <w:t xml:space="preserve">Indicative EV range ≈ </w:t>
      </w:r>
      <w:r>
        <w:rPr>
          <w:b/>
          <w:bCs/>
          <w:sz w:val="21"/>
          <w:szCs w:val="21"/>
        </w:rPr>
        <w:t xml:space="preserve">€65–110m, with a base-case centre of gravity around €85–95m</w:t>
      </w:r>
      <w:r>
        <w:rPr>
          <w:sz w:val="21"/>
          <w:szCs w:val="21"/>
        </w:rPr>
        <w:t xml:space="preserve">. A forward-looking strategic could justify the upper end on 2027–28E earnings and synergies. These figures are illustrative pending the model, normalised (carve-out-adjusted, standalone) EBITDA, net-debt/cash-free and working-capital positions, and confirmed recurring-revenue and churn metrics.</w:t>
      </w:r>
    </w:p>
    <w:p>
      <w:pPr>
        <w:pStyle w:val="Heading2"/>
        <w:spacing w:after="90" w:before="220"/>
      </w:pPr>
      <w:r>
        <w:rPr>
          <w:b/>
          <w:bCs/>
          <w:color w:val="2E5496"/>
          <w:sz w:val="24"/>
          <w:szCs w:val="24"/>
        </w:rPr>
        <w:t xml:space="preserve">E.3  Key value drivers (and the diligence that proves them)</w:t>
      </w:r>
    </w:p>
    <w:p>
      <w:pPr>
        <w:pStyle w:val="ListParagraph"/>
        <w:numPr>
          <w:ilvl w:val="0"/>
          <w:numId w:val="2"/>
        </w:numPr>
        <w:spacing w:after="70" w:line="272"/>
      </w:pPr>
      <w:r>
        <w:rPr>
          <w:b/>
          <w:bCs/>
          <w:sz w:val="21"/>
          <w:szCs w:val="21"/>
        </w:rPr>
        <w:t xml:space="preserve">Recurring-revenue quality — </w:t>
      </w:r>
      <w:r>
        <w:rPr>
          <w:sz w:val="21"/>
          <w:szCs w:val="21"/>
        </w:rPr>
        <w:t xml:space="preserve">contract length, gross vs. net churn, net revenue retention; each point of proven retention supports the multiple.</w:t>
      </w:r>
    </w:p>
    <w:p>
      <w:pPr>
        <w:pStyle w:val="ListParagraph"/>
        <w:numPr>
          <w:ilvl w:val="0"/>
          <w:numId w:val="2"/>
        </w:numPr>
        <w:spacing w:after="70" w:line="272"/>
      </w:pPr>
      <w:r>
        <w:rPr>
          <w:b/>
          <w:bCs/>
          <w:sz w:val="21"/>
          <w:szCs w:val="21"/>
        </w:rPr>
        <w:t xml:space="preserve">Growth durability — </w:t>
      </w:r>
      <w:r>
        <w:rPr>
          <w:sz w:val="21"/>
          <w:szCs w:val="21"/>
        </w:rPr>
        <w:t xml:space="preserve">new-logo vs. upsell mix, pipeline, price realisation, backlog/ARR bridge.</w:t>
      </w:r>
    </w:p>
    <w:p>
      <w:pPr>
        <w:pStyle w:val="ListParagraph"/>
        <w:numPr>
          <w:ilvl w:val="0"/>
          <w:numId w:val="2"/>
        </w:numPr>
        <w:spacing w:after="70" w:line="272"/>
      </w:pPr>
      <w:r>
        <w:rPr>
          <w:b/>
          <w:bCs/>
          <w:sz w:val="21"/>
          <w:szCs w:val="21"/>
        </w:rPr>
        <w:t xml:space="preserve">Standalone, carve-out-adjusted margin — </w:t>
      </w:r>
      <w:r>
        <w:rPr>
          <w:sz w:val="21"/>
          <w:szCs w:val="21"/>
        </w:rPr>
        <w:t xml:space="preserve">EBITDA re-based for EnBW shared services, brand and any intercompany terms — decisive for the EBITDA multiple.</w:t>
      </w:r>
    </w:p>
    <w:p>
      <w:pPr>
        <w:pStyle w:val="ListParagraph"/>
        <w:numPr>
          <w:ilvl w:val="0"/>
          <w:numId w:val="2"/>
        </w:numPr>
        <w:spacing w:after="70" w:line="272"/>
      </w:pPr>
      <w:r>
        <w:rPr>
          <w:b/>
          <w:bCs/>
          <w:sz w:val="21"/>
          <w:szCs w:val="21"/>
        </w:rPr>
        <w:t xml:space="preserve">Customer concentration — </w:t>
      </w:r>
      <w:r>
        <w:rPr>
          <w:sz w:val="21"/>
          <w:szCs w:val="21"/>
        </w:rPr>
        <w:t xml:space="preserve">top-10/20 ARR share; granularity de-risks and lifts value.</w:t>
      </w:r>
    </w:p>
    <w:p>
      <w:pPr>
        <w:pStyle w:val="ListParagraph"/>
        <w:numPr>
          <w:ilvl w:val="0"/>
          <w:numId w:val="2"/>
        </w:numPr>
        <w:spacing w:after="70" w:line="272"/>
      </w:pPr>
      <w:r>
        <w:rPr>
          <w:b/>
          <w:bCs/>
          <w:sz w:val="21"/>
          <w:szCs w:val="21"/>
        </w:rPr>
        <w:t xml:space="preserve">EnBW-independence — </w:t>
      </w:r>
      <w:r>
        <w:rPr>
          <w:sz w:val="21"/>
          <w:szCs w:val="21"/>
        </w:rPr>
        <w:t xml:space="preserve">the extent to which revenue and channel survive the carve-out (a core diligence and TSA topic).</w:t>
      </w:r>
    </w:p>
    <w:p>
      <w:pPr>
        <w:pStyle w:val="ListParagraph"/>
        <w:numPr>
          <w:ilvl w:val="0"/>
          <w:numId w:val="2"/>
        </w:numPr>
        <w:spacing w:after="70" w:line="272"/>
      </w:pPr>
      <w:r>
        <w:rPr>
          <w:b/>
          <w:bCs/>
          <w:sz w:val="21"/>
          <w:szCs w:val="21"/>
        </w:rPr>
        <w:t xml:space="preserve">Scalability &amp; AI roadmap — </w:t>
      </w:r>
      <w:r>
        <w:rPr>
          <w:sz w:val="21"/>
          <w:szCs w:val="21"/>
        </w:rPr>
        <w:t xml:space="preserve">gross margin, platform leverage and a credible AI product story.</w:t>
      </w:r>
    </w:p>
    <w:p>
      <w:pPr>
        <w:pStyle w:val="Heading2"/>
        <w:spacing w:after="90" w:before="220"/>
      </w:pPr>
      <w:r>
        <w:rPr>
          <w:b/>
          <w:bCs/>
          <w:color w:val="2E5496"/>
          <w:sz w:val="24"/>
          <w:szCs w:val="24"/>
        </w:rPr>
        <w:t xml:space="preserve">E.4  Likely investor interest</w:t>
      </w:r>
    </w:p>
    <w:p>
      <w:pPr>
        <w:spacing w:after="120" w:line="276"/>
      </w:pPr>
      <w:r>
        <w:rPr>
          <w:sz w:val="21"/>
          <w:szCs w:val="21"/>
        </w:rPr>
        <w:t xml:space="preserve">We expect strong, two-sided interest. Financial sponsors will be drawn to the recurring, high-margin, regulation-driven cash generation and buy-and-build angle; strategics (learning-software, publishing/compliance, and utility-software players) will value the content moat, the ~600-customer installed base and the Stadtwerke channel. A competitive dual-track of strategics and PE is the best route to maximise value and optionality — and to manage the carve-out and management-continuity considerations.</w:t>
      </w:r>
    </w:p>
    <w:p>
      <w:r>
        <w:br w:type="page"/>
      </w:r>
    </w:p>
    <w:p>
      <w:pPr>
        <w:pStyle w:val="Heading1"/>
        <w:spacing w:after="140" w:before="320"/>
      </w:pPr>
      <w:r>
        <w:rPr>
          <w:b/>
          <w:bCs/>
          <w:color w:val="1F3864"/>
          <w:sz w:val="29"/>
          <w:szCs w:val="29"/>
        </w:rPr>
        <w:t xml:space="preserve">F.  Confirmation of Scope of Work, observations &amp; work plan</w:t>
      </w:r>
    </w:p>
    <w:p>
      <w:pPr>
        <w:spacing w:after="120" w:line="276"/>
      </w:pPr>
      <w:r>
        <w:rPr>
          <w:sz w:val="21"/>
          <w:szCs w:val="21"/>
        </w:rPr>
        <w:t xml:space="preserve">We confirm we can deliver the full Scope of Work as set out in the RFP — Transaction Structuring &amp; Process Management, the integrated Financial Model, Market Approach, Due Diligence, and Negotiation &amp; Closing support — on an </w:t>
      </w:r>
      <w:r>
        <w:rPr>
          <w:b/>
          <w:bCs/>
          <w:sz w:val="21"/>
          <w:szCs w:val="21"/>
        </w:rPr>
        <w:t xml:space="preserve">end-to-end basis from preparation through closing</w:t>
      </w:r>
      <w:r>
        <w:rPr>
          <w:sz w:val="21"/>
          <w:szCs w:val="21"/>
        </w:rPr>
        <w:t xml:space="preserve">, with full transfer of the financial model to EnBW. We accept the 100% share-sale structure and the lead of EnBW’s M&amp;A department supported by internal tax, legal and accounting experts.</w:t>
      </w:r>
    </w:p>
    <w:p>
      <w:pPr>
        <w:pStyle w:val="Heading2"/>
        <w:spacing w:after="90" w:before="220"/>
      </w:pPr>
      <w:r>
        <w:rPr>
          <w:b/>
          <w:bCs/>
          <w:color w:val="2E5496"/>
          <w:sz w:val="24"/>
          <w:szCs w:val="24"/>
        </w:rPr>
        <w:t xml:space="preserve">F.1  Work plan (four phases)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750"/>
        <w:gridCol w:w="4050"/>
        <w:gridCol w:w="3560"/>
      </w:tblGrid>
      <w:tr>
        <w:trPr>
          <w:tblHeader/>
        </w:trPr>
        <w:tc>
          <w:tcPr>
            <w:tcW w:type="dxa" w:w="1750"/>
            <w:shd w:fill="1F3864" w:color="auto" w:val="clear"/>
            <w:tcMar>
              <w:top w:type="dxa" w:w="55"/>
              <w:left w:type="dxa" w:w="85"/>
              <w:bottom w:type="dxa" w:w="55"/>
              <w:right w:type="dxa" w:w="85"/>
            </w:tcMar>
          </w:tcPr>
          <w:p>
            <w:pPr>
              <w:spacing w:after="30" w:line="256"/>
            </w:pPr>
            <w:r>
              <w:rPr>
                <w:b/>
                <w:bCs/>
                <w:color w:val="FFFFFF"/>
                <w:sz w:val="18"/>
                <w:szCs w:val="18"/>
              </w:rPr>
              <w:t xml:space="preserve">Phase</w:t>
            </w:r>
          </w:p>
        </w:tc>
        <w:tc>
          <w:tcPr>
            <w:tcW w:type="dxa" w:w="4050"/>
            <w:shd w:fill="1F3864" w:color="auto" w:val="clear"/>
            <w:tcMar>
              <w:top w:type="dxa" w:w="55"/>
              <w:left w:type="dxa" w:w="85"/>
              <w:bottom w:type="dxa" w:w="55"/>
              <w:right w:type="dxa" w:w="85"/>
            </w:tcMar>
          </w:tcPr>
          <w:p>
            <w:pPr>
              <w:spacing w:after="30" w:line="256"/>
            </w:pPr>
            <w:r>
              <w:rPr>
                <w:b/>
                <w:bCs/>
                <w:color w:val="FFFFFF"/>
                <w:sz w:val="18"/>
                <w:szCs w:val="18"/>
              </w:rPr>
              <w:t xml:space="preserve">Key workstreams</w:t>
            </w:r>
          </w:p>
        </w:tc>
        <w:tc>
          <w:tcPr>
            <w:tcW w:type="dxa" w:w="3560"/>
            <w:shd w:fill="1F3864" w:color="auto" w:val="clear"/>
            <w:tcMar>
              <w:top w:type="dxa" w:w="55"/>
              <w:left w:type="dxa" w:w="85"/>
              <w:bottom w:type="dxa" w:w="55"/>
              <w:right w:type="dxa" w:w="85"/>
            </w:tcMar>
          </w:tcPr>
          <w:p>
            <w:pPr>
              <w:spacing w:after="30" w:line="256"/>
            </w:pPr>
            <w:r>
              <w:rPr>
                <w:b/>
                <w:bCs/>
                <w:color w:val="FFFFFF"/>
                <w:sz w:val="18"/>
                <w:szCs w:val="18"/>
              </w:rPr>
              <w:t xml:space="preserve">Deliverables</w:t>
            </w:r>
          </w:p>
        </w:tc>
      </w:tr>
      <w:tr>
        <w:trPr>
          <w:tblHeader w:val="false"/>
        </w:trPr>
        <w:tc>
          <w:tcPr>
            <w:tcW w:type="dxa" w:w="1750"/>
            <w:tcMar>
              <w:top w:type="dxa" w:w="55"/>
              <w:left w:type="dxa" w:w="85"/>
              <w:bottom w:type="dxa" w:w="55"/>
              <w:right w:type="dxa" w:w="85"/>
            </w:tcMar>
          </w:tcPr>
          <w:p>
            <w:pPr>
              <w:spacing w:after="30" w:line="256"/>
            </w:pPr>
            <w:r>
              <w:rPr>
                <w:b w:val="false"/>
                <w:bCs w:val="false"/>
                <w:sz w:val="18"/>
                <w:szCs w:val="18"/>
              </w:rPr>
              <w:t xml:space="preserve">1. Preparation (Kick-off + ~8–10 wks)</w:t>
            </w:r>
          </w:p>
        </w:tc>
        <w:tc>
          <w:tcPr>
            <w:tcW w:type="dxa" w:w="4050"/>
            <w:tcMar>
              <w:top w:type="dxa" w:w="55"/>
              <w:left w:type="dxa" w:w="85"/>
              <w:bottom w:type="dxa" w:w="55"/>
              <w:right w:type="dxa" w:w="85"/>
            </w:tcMar>
          </w:tcPr>
          <w:p>
            <w:pPr>
              <w:spacing w:after="30" w:line="256"/>
            </w:pPr>
            <w:r>
              <w:rPr>
                <w:b w:val="false"/>
                <w:bCs w:val="false"/>
                <w:sz w:val="18"/>
                <w:szCs w:val="18"/>
              </w:rPr>
              <w:t xml:space="preserve">Commercial assessment; equity story with mgmt; integrated financial model &amp; assumptions book; carve-out/TSA scoping; buyer long-list; marketing materials</w:t>
            </w:r>
          </w:p>
        </w:tc>
        <w:tc>
          <w:tcPr>
            <w:tcW w:type="dxa" w:w="3560"/>
            <w:tcMar>
              <w:top w:type="dxa" w:w="55"/>
              <w:left w:type="dxa" w:w="85"/>
              <w:bottom w:type="dxa" w:w="55"/>
              <w:right w:type="dxa" w:w="85"/>
            </w:tcMar>
          </w:tcPr>
          <w:p>
            <w:pPr>
              <w:spacing w:after="30" w:line="256"/>
            </w:pPr>
            <w:r>
              <w:rPr>
                <w:b w:val="false"/>
                <w:bCs w:val="false"/>
                <w:sz w:val="18"/>
                <w:szCs w:val="18"/>
              </w:rPr>
              <w:t xml:space="preserve">Model, teaser, IM, mgmt presentation, process letter, buyer list, data-room setup</w:t>
            </w:r>
          </w:p>
        </w:tc>
      </w:tr>
      <w:tr>
        <w:trPr>
          <w:tblHeader w:val="false"/>
        </w:trPr>
        <w:tc>
          <w:tcPr>
            <w:tcW w:type="dxa" w:w="1750"/>
            <w:shd w:fill="EAF0F7" w:color="auto" w:val="clear"/>
            <w:tcMar>
              <w:top w:type="dxa" w:w="55"/>
              <w:left w:type="dxa" w:w="85"/>
              <w:bottom w:type="dxa" w:w="55"/>
              <w:right w:type="dxa" w:w="85"/>
            </w:tcMar>
          </w:tcPr>
          <w:p>
            <w:pPr>
              <w:spacing w:after="30" w:line="256"/>
            </w:pPr>
            <w:r>
              <w:rPr>
                <w:b w:val="false"/>
                <w:bCs w:val="false"/>
                <w:sz w:val="18"/>
                <w:szCs w:val="18"/>
              </w:rPr>
              <w:t xml:space="preserve">2. Marketing / Phase 1</w:t>
            </w:r>
          </w:p>
        </w:tc>
        <w:tc>
          <w:tcPr>
            <w:tcW w:type="dxa" w:w="4050"/>
            <w:shd w:fill="EAF0F7" w:color="auto" w:val="clear"/>
            <w:tcMar>
              <w:top w:type="dxa" w:w="55"/>
              <w:left w:type="dxa" w:w="85"/>
              <w:bottom w:type="dxa" w:w="55"/>
              <w:right w:type="dxa" w:w="85"/>
            </w:tcMar>
          </w:tcPr>
          <w:p>
            <w:pPr>
              <w:spacing w:after="30" w:line="256"/>
            </w:pPr>
            <w:r>
              <w:rPr>
                <w:b w:val="false"/>
                <w:bCs w:val="false"/>
                <w:sz w:val="18"/>
                <w:szCs w:val="18"/>
              </w:rPr>
              <w:t xml:space="preserve">Investor outreach &amp; soundings; NDAs; teaser/IM distribution; Q&amp;A; indicative offers</w:t>
            </w:r>
          </w:p>
        </w:tc>
        <w:tc>
          <w:tcPr>
            <w:tcW w:type="dxa" w:w="3560"/>
            <w:shd w:fill="EAF0F7" w:color="auto" w:val="clear"/>
            <w:tcMar>
              <w:top w:type="dxa" w:w="55"/>
              <w:left w:type="dxa" w:w="85"/>
              <w:bottom w:type="dxa" w:w="55"/>
              <w:right w:type="dxa" w:w="85"/>
            </w:tcMar>
          </w:tcPr>
          <w:p>
            <w:pPr>
              <w:spacing w:after="30" w:line="256"/>
            </w:pPr>
            <w:r>
              <w:rPr>
                <w:b w:val="false"/>
                <w:bCs w:val="false"/>
                <w:sz w:val="18"/>
                <w:szCs w:val="18"/>
              </w:rPr>
              <w:t xml:space="preserve">NDA log, indicative-bid analysis &amp; recommendation</w:t>
            </w:r>
          </w:p>
        </w:tc>
      </w:tr>
      <w:tr>
        <w:trPr>
          <w:tblHeader w:val="false"/>
        </w:trPr>
        <w:tc>
          <w:tcPr>
            <w:tcW w:type="dxa" w:w="1750"/>
            <w:tcMar>
              <w:top w:type="dxa" w:w="55"/>
              <w:left w:type="dxa" w:w="85"/>
              <w:bottom w:type="dxa" w:w="55"/>
              <w:right w:type="dxa" w:w="85"/>
            </w:tcMar>
          </w:tcPr>
          <w:p>
            <w:pPr>
              <w:spacing w:after="30" w:line="256"/>
            </w:pPr>
            <w:r>
              <w:rPr>
                <w:b w:val="false"/>
                <w:bCs w:val="false"/>
                <w:sz w:val="18"/>
                <w:szCs w:val="18"/>
              </w:rPr>
              <w:t xml:space="preserve">3. Due diligence / Phase 2</w:t>
            </w:r>
          </w:p>
        </w:tc>
        <w:tc>
          <w:tcPr>
            <w:tcW w:type="dxa" w:w="4050"/>
            <w:tcMar>
              <w:top w:type="dxa" w:w="55"/>
              <w:left w:type="dxa" w:w="85"/>
              <w:bottom w:type="dxa" w:w="55"/>
              <w:right w:type="dxa" w:w="85"/>
            </w:tcMar>
          </w:tcPr>
          <w:p>
            <w:pPr>
              <w:spacing w:after="30" w:line="256"/>
            </w:pPr>
            <w:r>
              <w:rPr>
                <w:b w:val="false"/>
                <w:bCs w:val="false"/>
                <w:sz w:val="18"/>
                <w:szCs w:val="18"/>
              </w:rPr>
              <w:t xml:space="preserve">Data room &amp; Q&amp;A management; management presentations (dry runs/coaching); expert sessions; binding offers</w:t>
            </w:r>
          </w:p>
        </w:tc>
        <w:tc>
          <w:tcPr>
            <w:tcW w:type="dxa" w:w="3560"/>
            <w:tcMar>
              <w:top w:type="dxa" w:w="55"/>
              <w:left w:type="dxa" w:w="85"/>
              <w:bottom w:type="dxa" w:w="55"/>
              <w:right w:type="dxa" w:w="85"/>
            </w:tcMar>
          </w:tcPr>
          <w:p>
            <w:pPr>
              <w:spacing w:after="30" w:line="256"/>
            </w:pPr>
            <w:r>
              <w:rPr>
                <w:b w:val="false"/>
                <w:bCs w:val="false"/>
                <w:sz w:val="18"/>
                <w:szCs w:val="18"/>
              </w:rPr>
              <w:t xml:space="preserve">DD Q&amp;A, binding-bid comparison, steerco papers</w:t>
            </w:r>
          </w:p>
        </w:tc>
      </w:tr>
      <w:tr>
        <w:trPr>
          <w:tblHeader w:val="false"/>
        </w:trPr>
        <w:tc>
          <w:tcPr>
            <w:tcW w:type="dxa" w:w="1750"/>
            <w:shd w:fill="EAF0F7" w:color="auto" w:val="clear"/>
            <w:tcMar>
              <w:top w:type="dxa" w:w="55"/>
              <w:left w:type="dxa" w:w="85"/>
              <w:bottom w:type="dxa" w:w="55"/>
              <w:right w:type="dxa" w:w="85"/>
            </w:tcMar>
          </w:tcPr>
          <w:p>
            <w:pPr>
              <w:spacing w:after="30" w:line="256"/>
            </w:pPr>
            <w:r>
              <w:rPr>
                <w:b w:val="false"/>
                <w:bCs w:val="false"/>
                <w:sz w:val="18"/>
                <w:szCs w:val="18"/>
              </w:rPr>
              <w:t xml:space="preserve">4. Negotiation &amp; closing</w:t>
            </w:r>
          </w:p>
        </w:tc>
        <w:tc>
          <w:tcPr>
            <w:tcW w:type="dxa" w:w="4050"/>
            <w:shd w:fill="EAF0F7" w:color="auto" w:val="clear"/>
            <w:tcMar>
              <w:top w:type="dxa" w:w="55"/>
              <w:left w:type="dxa" w:w="85"/>
              <w:bottom w:type="dxa" w:w="55"/>
              <w:right w:type="dxa" w:w="85"/>
            </w:tcMar>
          </w:tcPr>
          <w:p>
            <w:pPr>
              <w:spacing w:after="30" w:line="256"/>
            </w:pPr>
            <w:r>
              <w:rPr>
                <w:b w:val="false"/>
                <w:bCs w:val="false"/>
                <w:sz w:val="18"/>
                <w:szCs w:val="18"/>
              </w:rPr>
              <w:t xml:space="preserve">SPA negotiation support; final bidder management; signing &amp; closing</w:t>
            </w:r>
          </w:p>
        </w:tc>
        <w:tc>
          <w:tcPr>
            <w:tcW w:type="dxa" w:w="3560"/>
            <w:shd w:fill="EAF0F7" w:color="auto" w:val="clear"/>
            <w:tcMar>
              <w:top w:type="dxa" w:w="55"/>
              <w:left w:type="dxa" w:w="85"/>
              <w:bottom w:type="dxa" w:w="55"/>
              <w:right w:type="dxa" w:w="85"/>
            </w:tcMar>
          </w:tcPr>
          <w:p>
            <w:pPr>
              <w:spacing w:after="30" w:line="256"/>
            </w:pPr>
            <w:r>
              <w:rPr>
                <w:b w:val="false"/>
                <w:bCs w:val="false"/>
                <w:sz w:val="18"/>
                <w:szCs w:val="18"/>
              </w:rPr>
              <w:t xml:space="preserve">Signed SPA, closing checklist, committee/board docs</w:t>
            </w:r>
          </w:p>
        </w:tc>
      </w:tr>
    </w:tbl>
    <w:p>
      <w:pPr>
        <w:spacing w:after="60"/>
      </w:pPr>
    </w:p>
    <w:p>
      <w:pPr>
        <w:pStyle w:val="Heading2"/>
        <w:spacing w:after="90" w:before="220"/>
      </w:pPr>
      <w:r>
        <w:rPr>
          <w:b/>
          <w:bCs/>
          <w:color w:val="2E5496"/>
          <w:sz w:val="24"/>
          <w:szCs w:val="24"/>
        </w:rPr>
        <w:t xml:space="preserve">F.2  Observations &amp; additional work we recommend</w:t>
      </w:r>
    </w:p>
    <w:p>
      <w:pPr>
        <w:pStyle w:val="ListParagraph"/>
        <w:numPr>
          <w:ilvl w:val="0"/>
          <w:numId w:val="2"/>
        </w:numPr>
        <w:spacing w:after="70" w:line="272"/>
      </w:pPr>
      <w:r>
        <w:rPr>
          <w:b/>
          <w:bCs/>
          <w:sz w:val="21"/>
          <w:szCs w:val="21"/>
        </w:rPr>
        <w:t xml:space="preserve">Carve-out &amp; TSA readiness is on the critical path. </w:t>
      </w:r>
      <w:r>
        <w:rPr>
          <w:sz w:val="21"/>
          <w:szCs w:val="21"/>
        </w:rPr>
        <w:t xml:space="preserve">As a divestment from a listed group, clean separation (IT, brand, shared services, intercompany) and a well-defined TSA set materially affect deal certainty and price. We recommend an early carve-out/standalone-cost (“clean EBITDA”) workstream — flagged as additional scope worth resourcing up front.</w:t>
      </w:r>
    </w:p>
    <w:p>
      <w:pPr>
        <w:pStyle w:val="ListParagraph"/>
        <w:numPr>
          <w:ilvl w:val="0"/>
          <w:numId w:val="2"/>
        </w:numPr>
        <w:spacing w:after="70" w:line="272"/>
      </w:pPr>
      <w:r>
        <w:rPr>
          <w:b/>
          <w:bCs/>
          <w:sz w:val="21"/>
          <w:szCs w:val="21"/>
        </w:rPr>
        <w:t xml:space="preserve">Vendor due diligence &amp; fact book. </w:t>
      </w:r>
      <w:r>
        <w:rPr>
          <w:sz w:val="21"/>
          <w:szCs w:val="21"/>
        </w:rPr>
        <w:t xml:space="preserve">Given the quality of the asset and likely PE interest, a light commercial/financial VDD (or at minimum a vendor fact book and quality-of-earnings support) would accelerate the process and protect value. Not explicitly in scope — we recommend it as an option.</w:t>
      </w:r>
    </w:p>
    <w:p>
      <w:pPr>
        <w:pStyle w:val="ListParagraph"/>
        <w:numPr>
          <w:ilvl w:val="0"/>
          <w:numId w:val="2"/>
        </w:numPr>
        <w:spacing w:after="70" w:line="272"/>
      </w:pPr>
      <w:r>
        <w:rPr>
          <w:b/>
          <w:bCs/>
          <w:sz w:val="21"/>
          <w:szCs w:val="21"/>
        </w:rPr>
        <w:t xml:space="preserve">Management incentivisation &amp; continuity. </w:t>
      </w:r>
      <w:r>
        <w:rPr>
          <w:sz w:val="21"/>
          <w:szCs w:val="21"/>
        </w:rPr>
        <w:t xml:space="preserve">With the founder-management having largely exited economically, a management-continuity and incentivisation concept (retention, earn-out, and — for PE — new management equity) should be designed early, as buyers price key-person risk into structure. We will support EnBW and management on this.</w:t>
      </w:r>
    </w:p>
    <w:p>
      <w:pPr>
        <w:pStyle w:val="ListParagraph"/>
        <w:numPr>
          <w:ilvl w:val="0"/>
          <w:numId w:val="2"/>
        </w:numPr>
        <w:spacing w:after="70" w:line="272"/>
      </w:pPr>
      <w:r>
        <w:rPr>
          <w:b/>
          <w:bCs/>
          <w:sz w:val="21"/>
          <w:szCs w:val="21"/>
        </w:rPr>
        <w:t xml:space="preserve">Equity-story evidence pack. </w:t>
      </w:r>
      <w:r>
        <w:rPr>
          <w:sz w:val="21"/>
          <w:szCs w:val="21"/>
        </w:rPr>
        <w:t xml:space="preserve">We will translate the qualitative story into a defensible KPI pack (ARR bridge, cohort retention, pipeline) that survives diligence.</w:t>
      </w:r>
    </w:p>
    <w:p>
      <w:pPr>
        <w:pStyle w:val="Heading2"/>
        <w:spacing w:after="90" w:before="220"/>
      </w:pPr>
      <w:r>
        <w:rPr>
          <w:b/>
          <w:bCs/>
          <w:color w:val="2E5496"/>
          <w:sz w:val="24"/>
          <w:szCs w:val="24"/>
        </w:rPr>
        <w:t xml:space="preserve">F.3  Key issues &amp; challenges</w:t>
      </w:r>
    </w:p>
    <w:p>
      <w:pPr>
        <w:pStyle w:val="ListParagraph"/>
        <w:numPr>
          <w:ilvl w:val="0"/>
          <w:numId w:val="2"/>
        </w:numPr>
        <w:spacing w:after="70" w:line="272"/>
      </w:pPr>
      <w:r>
        <w:rPr>
          <w:sz w:val="21"/>
          <w:szCs w:val="21"/>
        </w:rPr>
        <w:t xml:space="preserve">Establishing a credible standalone (post-carve-out) cost base and “clean” EBITDA — the number every buyer will anchor on.</w:t>
      </w:r>
    </w:p>
    <w:p>
      <w:pPr>
        <w:pStyle w:val="ListParagraph"/>
        <w:numPr>
          <w:ilvl w:val="0"/>
          <w:numId w:val="2"/>
        </w:numPr>
        <w:spacing w:after="70" w:line="272"/>
      </w:pPr>
      <w:r>
        <w:rPr>
          <w:sz w:val="21"/>
          <w:szCs w:val="21"/>
        </w:rPr>
        <w:t xml:space="preserve">Demonstrating EnBW-independence of revenue and the Stadtwerke channel post-separation.</w:t>
      </w:r>
    </w:p>
    <w:p>
      <w:pPr>
        <w:pStyle w:val="ListParagraph"/>
        <w:numPr>
          <w:ilvl w:val="0"/>
          <w:numId w:val="2"/>
        </w:numPr>
        <w:spacing w:after="70" w:line="272"/>
      </w:pPr>
      <w:r>
        <w:rPr>
          <w:sz w:val="21"/>
          <w:szCs w:val="21"/>
        </w:rPr>
        <w:t xml:space="preserve">Managing a compressed, high-quality process to sustain competitive tension across an international buyer pool.</w:t>
      </w:r>
    </w:p>
    <w:p>
      <w:pPr>
        <w:pStyle w:val="ListParagraph"/>
        <w:numPr>
          <w:ilvl w:val="0"/>
          <w:numId w:val="2"/>
        </w:numPr>
        <w:spacing w:after="70" w:line="272"/>
      </w:pPr>
      <w:r>
        <w:rPr>
          <w:sz w:val="21"/>
          <w:szCs w:val="21"/>
        </w:rPr>
        <w:t xml:space="preserve">Management availability and readiness for presentations while running the business.</w:t>
      </w:r>
    </w:p>
    <w:p>
      <w:r>
        <w:br w:type="page"/>
      </w:r>
    </w:p>
    <w:p>
      <w:pPr>
        <w:pStyle w:val="Heading1"/>
        <w:spacing w:after="140" w:before="320"/>
      </w:pPr>
      <w:r>
        <w:rPr>
          <w:b/>
          <w:bCs/>
          <w:color w:val="1F3864"/>
          <w:sz w:val="29"/>
          <w:szCs w:val="29"/>
        </w:rPr>
        <w:t xml:space="preserve">G.  Process set-up &amp; indicative timetable</w:t>
      </w:r>
    </w:p>
    <w:p>
      <w:pPr>
        <w:spacing w:after="120" w:line="276"/>
      </w:pPr>
      <w:r>
        <w:rPr>
          <w:sz w:val="21"/>
          <w:szCs w:val="21"/>
        </w:rPr>
        <w:t xml:space="preserve">We propose a controlled, competitive dual-track (strategics + financial sponsors) process, kicking off end September/October per the RFP, targeting signing around mid-2027. Indicative timeline (to be confirmed at kick-off):</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50"/>
        <w:gridCol w:w="3350"/>
        <w:gridCol w:w="3460"/>
      </w:tblGrid>
      <w:tr>
        <w:trPr>
          <w:tblHeader/>
        </w:trPr>
        <w:tc>
          <w:tcPr>
            <w:tcW w:type="dxa" w:w="2550"/>
            <w:shd w:fill="1F3864" w:color="auto" w:val="clear"/>
            <w:tcMar>
              <w:top w:type="dxa" w:w="55"/>
              <w:left w:type="dxa" w:w="85"/>
              <w:bottom w:type="dxa" w:w="55"/>
              <w:right w:type="dxa" w:w="85"/>
            </w:tcMar>
          </w:tcPr>
          <w:p>
            <w:pPr>
              <w:spacing w:after="30" w:line="256"/>
            </w:pPr>
            <w:r>
              <w:rPr>
                <w:b/>
                <w:bCs/>
                <w:color w:val="FFFFFF"/>
                <w:sz w:val="18"/>
                <w:szCs w:val="18"/>
              </w:rPr>
              <w:t xml:space="preserve">Period</w:t>
            </w:r>
          </w:p>
        </w:tc>
        <w:tc>
          <w:tcPr>
            <w:tcW w:type="dxa" w:w="3350"/>
            <w:shd w:fill="1F3864" w:color="auto" w:val="clear"/>
            <w:tcMar>
              <w:top w:type="dxa" w:w="55"/>
              <w:left w:type="dxa" w:w="85"/>
              <w:bottom w:type="dxa" w:w="55"/>
              <w:right w:type="dxa" w:w="85"/>
            </w:tcMar>
          </w:tcPr>
          <w:p>
            <w:pPr>
              <w:spacing w:after="30" w:line="256"/>
            </w:pPr>
            <w:r>
              <w:rPr>
                <w:b/>
                <w:bCs/>
                <w:color w:val="FFFFFF"/>
                <w:sz w:val="18"/>
                <w:szCs w:val="18"/>
              </w:rPr>
              <w:t xml:space="preserve">Milestone</w:t>
            </w:r>
          </w:p>
        </w:tc>
        <w:tc>
          <w:tcPr>
            <w:tcW w:type="dxa" w:w="3460"/>
            <w:shd w:fill="1F3864" w:color="auto" w:val="clear"/>
            <w:tcMar>
              <w:top w:type="dxa" w:w="55"/>
              <w:left w:type="dxa" w:w="85"/>
              <w:bottom w:type="dxa" w:w="55"/>
              <w:right w:type="dxa" w:w="85"/>
            </w:tcMar>
          </w:tcPr>
          <w:p>
            <w:pPr>
              <w:spacing w:after="30" w:line="256"/>
            </w:pPr>
            <w:r>
              <w:rPr>
                <w:b/>
                <w:bCs/>
                <w:color w:val="FFFFFF"/>
                <w:sz w:val="18"/>
                <w:szCs w:val="18"/>
              </w:rPr>
              <w:t xml:space="preserve">In-person / workshops</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Late Sep / Oct 2026</w:t>
            </w:r>
          </w:p>
        </w:tc>
        <w:tc>
          <w:tcPr>
            <w:tcW w:type="dxa" w:w="3350"/>
            <w:tcMar>
              <w:top w:type="dxa" w:w="55"/>
              <w:left w:type="dxa" w:w="85"/>
              <w:bottom w:type="dxa" w:w="55"/>
              <w:right w:type="dxa" w:w="85"/>
            </w:tcMar>
          </w:tcPr>
          <w:p>
            <w:pPr>
              <w:spacing w:after="30" w:line="256"/>
            </w:pPr>
            <w:r>
              <w:rPr>
                <w:b w:val="false"/>
                <w:bCs w:val="false"/>
                <w:sz w:val="18"/>
                <w:szCs w:val="18"/>
              </w:rPr>
              <w:t xml:space="preserve">Kick-off; preparation phase begins</w:t>
            </w:r>
          </w:p>
        </w:tc>
        <w:tc>
          <w:tcPr>
            <w:tcW w:type="dxa" w:w="3460"/>
            <w:tcMar>
              <w:top w:type="dxa" w:w="55"/>
              <w:left w:type="dxa" w:w="85"/>
              <w:bottom w:type="dxa" w:w="55"/>
              <w:right w:type="dxa" w:w="85"/>
            </w:tcMar>
          </w:tcPr>
          <w:p>
            <w:pPr>
              <w:spacing w:after="30" w:line="256"/>
            </w:pPr>
            <w:r>
              <w:rPr>
                <w:b w:val="false"/>
                <w:bCs w:val="false"/>
                <w:sz w:val="18"/>
                <w:szCs w:val="18"/>
              </w:rPr>
              <w:t xml:space="preserve">Kick-off &amp; equity-story workshop (Stuttgart)</w:t>
            </w:r>
          </w:p>
        </w:tc>
      </w:tr>
      <w:tr>
        <w:trPr>
          <w:tblHeader w:val="false"/>
        </w:trPr>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Oct–Dec 2026</w:t>
            </w:r>
          </w:p>
        </w:tc>
        <w:tc>
          <w:tcPr>
            <w:tcW w:type="dxa" w:w="3350"/>
            <w:shd w:fill="EAF0F7" w:color="auto" w:val="clear"/>
            <w:tcMar>
              <w:top w:type="dxa" w:w="55"/>
              <w:left w:type="dxa" w:w="85"/>
              <w:bottom w:type="dxa" w:w="55"/>
              <w:right w:type="dxa" w:w="85"/>
            </w:tcMar>
          </w:tcPr>
          <w:p>
            <w:pPr>
              <w:spacing w:after="30" w:line="256"/>
            </w:pPr>
            <w:r>
              <w:rPr>
                <w:b w:val="false"/>
                <w:bCs w:val="false"/>
                <w:sz w:val="18"/>
                <w:szCs w:val="18"/>
              </w:rPr>
              <w:t xml:space="preserve">Model, IM, buyer list, data-room build; carve-out scoping</w:t>
            </w:r>
          </w:p>
        </w:tc>
        <w:tc>
          <w:tcPr>
            <w:tcW w:type="dxa" w:w="3460"/>
            <w:shd w:fill="EAF0F7" w:color="auto" w:val="clear"/>
            <w:tcMar>
              <w:top w:type="dxa" w:w="55"/>
              <w:left w:type="dxa" w:w="85"/>
              <w:bottom w:type="dxa" w:w="55"/>
              <w:right w:type="dxa" w:w="85"/>
            </w:tcMar>
          </w:tcPr>
          <w:p>
            <w:pPr>
              <w:spacing w:after="30" w:line="256"/>
            </w:pPr>
            <w:r>
              <w:rPr>
                <w:b w:val="false"/>
                <w:bCs w:val="false"/>
                <w:sz w:val="18"/>
                <w:szCs w:val="18"/>
              </w:rPr>
              <w:t xml:space="preserve">Management workshops; steerco #1</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Jan–Feb 2027</w:t>
            </w:r>
          </w:p>
        </w:tc>
        <w:tc>
          <w:tcPr>
            <w:tcW w:type="dxa" w:w="3350"/>
            <w:tcMar>
              <w:top w:type="dxa" w:w="55"/>
              <w:left w:type="dxa" w:w="85"/>
              <w:bottom w:type="dxa" w:w="55"/>
              <w:right w:type="dxa" w:w="85"/>
            </w:tcMar>
          </w:tcPr>
          <w:p>
            <w:pPr>
              <w:spacing w:after="30" w:line="256"/>
            </w:pPr>
            <w:r>
              <w:rPr>
                <w:b w:val="false"/>
                <w:bCs w:val="false"/>
                <w:sz w:val="18"/>
                <w:szCs w:val="18"/>
              </w:rPr>
              <w:t xml:space="preserve">Phase 1 launch: outreach, NDAs, IM, indicative offers</w:t>
            </w:r>
          </w:p>
        </w:tc>
        <w:tc>
          <w:tcPr>
            <w:tcW w:type="dxa" w:w="3460"/>
            <w:tcMar>
              <w:top w:type="dxa" w:w="55"/>
              <w:left w:type="dxa" w:w="85"/>
              <w:bottom w:type="dxa" w:w="55"/>
              <w:right w:type="dxa" w:w="85"/>
            </w:tcMar>
          </w:tcPr>
          <w:p>
            <w:pPr>
              <w:spacing w:after="30" w:line="256"/>
            </w:pPr>
            <w:r>
              <w:rPr>
                <w:b w:val="false"/>
                <w:bCs w:val="false"/>
                <w:sz w:val="18"/>
                <w:szCs w:val="18"/>
              </w:rPr>
              <w:t xml:space="preserve">Steerco #2 (bid review)</w:t>
            </w:r>
          </w:p>
        </w:tc>
      </w:tr>
      <w:tr>
        <w:trPr>
          <w:tblHeader w:val="false"/>
        </w:trPr>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Mar–May 2027</w:t>
            </w:r>
          </w:p>
        </w:tc>
        <w:tc>
          <w:tcPr>
            <w:tcW w:type="dxa" w:w="3350"/>
            <w:shd w:fill="EAF0F7" w:color="auto" w:val="clear"/>
            <w:tcMar>
              <w:top w:type="dxa" w:w="55"/>
              <w:left w:type="dxa" w:w="85"/>
              <w:bottom w:type="dxa" w:w="55"/>
              <w:right w:type="dxa" w:w="85"/>
            </w:tcMar>
          </w:tcPr>
          <w:p>
            <w:pPr>
              <w:spacing w:after="30" w:line="256"/>
            </w:pPr>
            <w:r>
              <w:rPr>
                <w:b w:val="false"/>
                <w:bCs w:val="false"/>
                <w:sz w:val="18"/>
                <w:szCs w:val="18"/>
              </w:rPr>
              <w:t xml:space="preserve">Phase 2: due diligence, mgmt presentations, binding offers</w:t>
            </w:r>
          </w:p>
        </w:tc>
        <w:tc>
          <w:tcPr>
            <w:tcW w:type="dxa" w:w="3460"/>
            <w:shd w:fill="EAF0F7" w:color="auto" w:val="clear"/>
            <w:tcMar>
              <w:top w:type="dxa" w:w="55"/>
              <w:left w:type="dxa" w:w="85"/>
              <w:bottom w:type="dxa" w:w="55"/>
              <w:right w:type="dxa" w:w="85"/>
            </w:tcMar>
          </w:tcPr>
          <w:p>
            <w:pPr>
              <w:spacing w:after="30" w:line="256"/>
            </w:pPr>
            <w:r>
              <w:rPr>
                <w:b w:val="false"/>
                <w:bCs w:val="false"/>
                <w:sz w:val="18"/>
                <w:szCs w:val="18"/>
              </w:rPr>
              <w:t xml:space="preserve">In-person management presentations &amp; site visits; dry runs</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Jun–Jul 2027</w:t>
            </w:r>
          </w:p>
        </w:tc>
        <w:tc>
          <w:tcPr>
            <w:tcW w:type="dxa" w:w="3350"/>
            <w:tcMar>
              <w:top w:type="dxa" w:w="55"/>
              <w:left w:type="dxa" w:w="85"/>
              <w:bottom w:type="dxa" w:w="55"/>
              <w:right w:type="dxa" w:w="85"/>
            </w:tcMar>
          </w:tcPr>
          <w:p>
            <w:pPr>
              <w:spacing w:after="30" w:line="256"/>
            </w:pPr>
            <w:r>
              <w:rPr>
                <w:b w:val="false"/>
                <w:bCs w:val="false"/>
                <w:sz w:val="18"/>
                <w:szCs w:val="18"/>
              </w:rPr>
              <w:t xml:space="preserve">SPA negotiation; signing</w:t>
            </w:r>
          </w:p>
        </w:tc>
        <w:tc>
          <w:tcPr>
            <w:tcW w:type="dxa" w:w="3460"/>
            <w:tcMar>
              <w:top w:type="dxa" w:w="55"/>
              <w:left w:type="dxa" w:w="85"/>
              <w:bottom w:type="dxa" w:w="55"/>
              <w:right w:type="dxa" w:w="85"/>
            </w:tcMar>
          </w:tcPr>
          <w:p>
            <w:pPr>
              <w:spacing w:after="30" w:line="256"/>
            </w:pPr>
            <w:r>
              <w:rPr>
                <w:b w:val="false"/>
                <w:bCs w:val="false"/>
                <w:sz w:val="18"/>
                <w:szCs w:val="18"/>
              </w:rPr>
              <w:t xml:space="preserve">Negotiation sessions; steerco #3</w:t>
            </w:r>
          </w:p>
        </w:tc>
      </w:tr>
      <w:tr>
        <w:trPr>
          <w:tblHeader w:val="false"/>
        </w:trPr>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Thereafter</w:t>
            </w:r>
          </w:p>
        </w:tc>
        <w:tc>
          <w:tcPr>
            <w:tcW w:type="dxa" w:w="3350"/>
            <w:shd w:fill="EAF0F7" w:color="auto" w:val="clear"/>
            <w:tcMar>
              <w:top w:type="dxa" w:w="55"/>
              <w:left w:type="dxa" w:w="85"/>
              <w:bottom w:type="dxa" w:w="55"/>
              <w:right w:type="dxa" w:w="85"/>
            </w:tcMar>
          </w:tcPr>
          <w:p>
            <w:pPr>
              <w:spacing w:after="30" w:line="256"/>
            </w:pPr>
            <w:r>
              <w:rPr>
                <w:b w:val="false"/>
                <w:bCs w:val="false"/>
                <w:sz w:val="18"/>
                <w:szCs w:val="18"/>
              </w:rPr>
              <w:t xml:space="preserve">Closing (conditions precedent)</w:t>
            </w:r>
          </w:p>
        </w:tc>
        <w:tc>
          <w:tcPr>
            <w:tcW w:type="dxa" w:w="3460"/>
            <w:shd w:fill="EAF0F7" w:color="auto" w:val="clear"/>
            <w:tcMar>
              <w:top w:type="dxa" w:w="55"/>
              <w:left w:type="dxa" w:w="85"/>
              <w:bottom w:type="dxa" w:w="55"/>
              <w:right w:type="dxa" w:w="85"/>
            </w:tcMar>
          </w:tcPr>
          <w:p>
            <w:pPr>
              <w:spacing w:after="30" w:line="256"/>
            </w:pPr>
            <w:r>
              <w:rPr>
                <w:b w:val="false"/>
                <w:bCs w:val="false"/>
                <w:sz w:val="18"/>
                <w:szCs w:val="18"/>
              </w:rPr>
              <w:t xml:space="preserve">Closing</w:t>
            </w:r>
          </w:p>
        </w:tc>
      </w:tr>
    </w:tbl>
    <w:p>
      <w:pPr>
        <w:spacing w:after="60"/>
      </w:pPr>
    </w:p>
    <w:p>
      <w:pPr>
        <w:spacing w:after="120" w:line="276"/>
      </w:pPr>
      <w:r>
        <w:rPr>
          <w:b/>
          <w:bCs/>
          <w:sz w:val="21"/>
          <w:szCs w:val="21"/>
        </w:rPr>
        <w:t xml:space="preserve">In-person cadence. </w:t>
      </w:r>
      <w:r>
        <w:rPr>
          <w:sz w:val="21"/>
          <w:szCs w:val="21"/>
        </w:rPr>
        <w:t xml:space="preserve">We favour face-to-face working: a kick-off/equity-story workshop and management workshops in the preparation phase, in-person steering-committee meetings at each decision gate, and in-person management presentations and negotiation sessions in Phase 2 — with our lead team present throughout. We are happy to base key sessions at EnBW’s Stuttgart office.</w:t>
      </w:r>
    </w:p>
    <w:p>
      <w:pPr>
        <w:spacing w:after="120" w:line="276"/>
      </w:pPr>
      <w:r>
        <w:rPr>
          <w:i/>
          <w:iCs/>
          <w:color w:val="C55A11"/>
          <w:sz w:val="20"/>
          <w:szCs w:val="20"/>
        </w:rPr>
        <w:t xml:space="preserve">[Timetable is indicative; overall duration (~9–12 months to signing) and gate dates to be confirmed with EnBW at kick-off.]</w:t>
      </w:r>
    </w:p>
    <w:p>
      <w:r>
        <w:br w:type="page"/>
      </w:r>
    </w:p>
    <w:p>
      <w:pPr>
        <w:pStyle w:val="Heading1"/>
        <w:spacing w:after="140" w:before="320"/>
      </w:pPr>
      <w:r>
        <w:rPr>
          <w:b/>
          <w:bCs/>
          <w:color w:val="1F3864"/>
          <w:sz w:val="29"/>
          <w:szCs w:val="29"/>
        </w:rPr>
        <w:t xml:space="preserve">H.  Confirmation of no conflict of interest</w:t>
      </w:r>
    </w:p>
    <w:p>
      <w:pPr>
        <w:spacing w:after="120" w:line="276"/>
      </w:pPr>
      <w:r>
        <w:rPr>
          <w:sz w:val="21"/>
          <w:szCs w:val="21"/>
        </w:rPr>
        <w:t xml:space="preserve">atares confirms that, to the best of its knowledge, it has </w:t>
      </w:r>
      <w:r>
        <w:rPr>
          <w:b/>
          <w:bCs/>
          <w:sz w:val="21"/>
          <w:szCs w:val="21"/>
        </w:rPr>
        <w:t xml:space="preserve">no conflict of interest</w:t>
      </w:r>
      <w:r>
        <w:rPr>
          <w:sz w:val="21"/>
          <w:szCs w:val="21"/>
        </w:rPr>
        <w:t xml:space="preserve"> that would impair its ability to act as Transaction Advisor to EnBW on Project Vision. We do not currently act for WTT CampusOne, for any party we would expect to be a bidder in a capacity that conflicts with this mandate, nor do we hold any interest in the target.</w:t>
      </w:r>
    </w:p>
    <w:p>
      <w:pPr>
        <w:spacing w:after="120" w:line="276"/>
      </w:pPr>
      <w:r>
        <w:rPr>
          <w:sz w:val="21"/>
          <w:szCs w:val="21"/>
        </w:rPr>
        <w:t xml:space="preserve">We operate strict confidentiality and information-barrier procedures, will treat all RFP and Project information as strictly confidential, and will run a documented conflict check against the final buyer long-list before any outreach, disclosing and clearing any potential conflict with EnBW in advance.</w:t>
      </w:r>
    </w:p>
    <w:tbl>
      <w:tblPr>
        <w:tblW w:type="dxa" w:w="9360"/>
        <w:tblBorders>
          <w:top w:val="single" w:color="C55A11" w:sz="4"/>
          <w:left w:val="single" w:color="C55A11" w:sz="14"/>
          <w:bottom w:val="single" w:color="C55A11" w:sz="4"/>
          <w:right w:val="single" w:color="C55A11" w:sz="4"/>
          <w:insideH w:val="none"/>
          <w:insideV w:val="none"/>
        </w:tblBorders>
      </w:tblPr>
      <w:tblGrid>
        <w:gridCol w:w="9360"/>
      </w:tblGrid>
      <w:tr>
        <w:tc>
          <w:tcPr>
            <w:tcW w:type="dxa" w:w="9360"/>
            <w:shd w:fill="FBF3EC" w:color="auto" w:val="clear"/>
            <w:tcMar>
              <w:top w:type="dxa" w:w="120"/>
              <w:left w:type="dxa" w:w="160"/>
              <w:bottom w:type="dxa" w:w="120"/>
              <w:right w:type="dxa" w:w="160"/>
            </w:tcMar>
          </w:tcPr>
          <w:p>
            <w:pPr>
              <w:spacing w:after="60"/>
            </w:pPr>
            <w:r>
              <w:rPr>
                <w:b/>
                <w:bCs/>
                <w:color w:val="1F3864"/>
                <w:sz w:val="21"/>
                <w:szCs w:val="21"/>
              </w:rPr>
              <w:t xml:space="preserve">Action before submission</w:t>
            </w:r>
          </w:p>
          <w:p>
            <w:pPr>
              <w:spacing w:after="40" w:line="268"/>
            </w:pPr>
            <w:r>
              <w:rPr>
                <w:i/>
                <w:iCs/>
                <w:color w:val="C55A11"/>
                <w:sz w:val="20"/>
                <w:szCs w:val="20"/>
              </w:rPr>
              <w:t xml:space="preserve">[atares compliance to run a formal conflict check against WTT, EnBW/EKB and the draft buyer universe, and confirm this statement — or disclose and ring-fence any specific relationship — prior to sending the proposal.]</w:t>
            </w:r>
          </w:p>
        </w:tc>
      </w:tr>
    </w:tbl>
    <w:p>
      <w:r>
        <w:br w:type="page"/>
      </w:r>
    </w:p>
    <w:p>
      <w:pPr>
        <w:pStyle w:val="Heading1"/>
        <w:spacing w:after="140" w:before="320"/>
      </w:pPr>
      <w:r>
        <w:rPr>
          <w:b/>
          <w:bCs/>
          <w:color w:val="1F3864"/>
          <w:sz w:val="29"/>
          <w:szCs w:val="29"/>
        </w:rPr>
        <w:t xml:space="preserve">I.  Remuneration model</w:t>
      </w:r>
    </w:p>
    <w:p>
      <w:pPr>
        <w:spacing w:after="120" w:line="276"/>
      </w:pPr>
      <w:r>
        <w:rPr>
          <w:sz w:val="21"/>
          <w:szCs w:val="21"/>
        </w:rPr>
        <w:t xml:space="preserve">Our proposal is </w:t>
      </w:r>
      <w:r>
        <w:rPr>
          <w:b/>
          <w:bCs/>
          <w:sz w:val="21"/>
          <w:szCs w:val="21"/>
        </w:rPr>
        <w:t xml:space="preserve">performance-based and capped</w:t>
      </w:r>
      <w:r>
        <w:rPr>
          <w:sz w:val="21"/>
          <w:szCs w:val="21"/>
        </w:rPr>
        <w:t xml:space="preserve">, fully aligned with EnBW’s objective of maximising value, with any retainer fully creditable against the success fee — exactly as requested.</w:t>
      </w:r>
    </w:p>
    <w:p>
      <w:pPr>
        <w:pStyle w:val="Heading2"/>
        <w:spacing w:after="90" w:before="220"/>
      </w:pPr>
      <w:r>
        <w:rPr>
          <w:b/>
          <w:bCs/>
          <w:color w:val="2E5496"/>
          <w:sz w:val="24"/>
          <w:szCs w:val="24"/>
        </w:rPr>
        <w:t xml:space="preserve">I.1  Structure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50"/>
        <w:gridCol w:w="6810"/>
      </w:tblGrid>
      <w:tr>
        <w:trPr>
          <w:tblHeader/>
        </w:trPr>
        <w:tc>
          <w:tcPr>
            <w:tcW w:type="dxa" w:w="2550"/>
            <w:shd w:fill="1F3864" w:color="auto" w:val="clear"/>
            <w:tcMar>
              <w:top w:type="dxa" w:w="55"/>
              <w:left w:type="dxa" w:w="85"/>
              <w:bottom w:type="dxa" w:w="55"/>
              <w:right w:type="dxa" w:w="85"/>
            </w:tcMar>
          </w:tcPr>
          <w:p>
            <w:pPr>
              <w:spacing w:after="30" w:line="256"/>
            </w:pPr>
            <w:r>
              <w:rPr>
                <w:b/>
                <w:bCs/>
                <w:color w:val="FFFFFF"/>
                <w:sz w:val="18"/>
                <w:szCs w:val="18"/>
              </w:rPr>
              <w:t xml:space="preserve">Component</w:t>
            </w:r>
          </w:p>
        </w:tc>
        <w:tc>
          <w:tcPr>
            <w:tcW w:type="dxa" w:w="6810"/>
            <w:shd w:fill="1F3864" w:color="auto" w:val="clear"/>
            <w:tcMar>
              <w:top w:type="dxa" w:w="55"/>
              <w:left w:type="dxa" w:w="85"/>
              <w:bottom w:type="dxa" w:w="55"/>
              <w:right w:type="dxa" w:w="85"/>
            </w:tcMar>
          </w:tcPr>
          <w:p>
            <w:pPr>
              <w:spacing w:after="30" w:line="256"/>
            </w:pPr>
            <w:r>
              <w:rPr>
                <w:b/>
                <w:bCs/>
                <w:color w:val="FFFFFF"/>
                <w:sz w:val="18"/>
                <w:szCs w:val="18"/>
              </w:rPr>
              <w:t xml:space="preserve">Proposal (indicative — to be finalised)</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Retainer</w:t>
            </w:r>
          </w:p>
        </w:tc>
        <w:tc>
          <w:tcPr>
            <w:tcW w:type="dxa" w:w="6810"/>
            <w:tcMar>
              <w:top w:type="dxa" w:w="55"/>
              <w:left w:type="dxa" w:w="85"/>
              <w:bottom w:type="dxa" w:w="55"/>
              <w:right w:type="dxa" w:w="85"/>
            </w:tcMar>
          </w:tcPr>
          <w:p>
            <w:pPr>
              <w:spacing w:after="30" w:line="256"/>
            </w:pPr>
            <w:r>
              <w:rPr>
                <w:b w:val="false"/>
                <w:bCs w:val="false"/>
                <w:sz w:val="18"/>
                <w:szCs w:val="18"/>
              </w:rPr>
              <w:t xml:space="preserve">Modest monthly retainer for a defined period, FULLY CREDITABLE against the success fee (i.e. deducted from it at closing). Covers preparation-phase resourcing only.</w:t>
            </w:r>
          </w:p>
        </w:tc>
      </w:tr>
      <w:tr>
        <w:trPr>
          <w:tblHeader w:val="false"/>
        </w:trPr>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Base success fee</w:t>
            </w:r>
          </w:p>
        </w:tc>
        <w:tc>
          <w:tcPr>
            <w:tcW w:type="dxa" w:w="6810"/>
            <w:shd w:fill="EAF0F7" w:color="auto" w:val="clear"/>
            <w:tcMar>
              <w:top w:type="dxa" w:w="55"/>
              <w:left w:type="dxa" w:w="85"/>
              <w:bottom w:type="dxa" w:w="55"/>
              <w:right w:type="dxa" w:w="85"/>
            </w:tcMar>
          </w:tcPr>
          <w:p>
            <w:pPr>
              <w:spacing w:after="30" w:line="256"/>
            </w:pPr>
            <w:r>
              <w:rPr>
                <w:b w:val="false"/>
                <w:bCs w:val="false"/>
                <w:sz w:val="18"/>
                <w:szCs w:val="18"/>
              </w:rPr>
              <w:t xml:space="preserve">A percentage of transaction enterprise value, payable only on a successful closing.</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Incentive ratchet</w:t>
            </w:r>
          </w:p>
        </w:tc>
        <w:tc>
          <w:tcPr>
            <w:tcW w:type="dxa" w:w="6810"/>
            <w:tcMar>
              <w:top w:type="dxa" w:w="55"/>
              <w:left w:type="dxa" w:w="85"/>
              <w:bottom w:type="dxa" w:w="55"/>
              <w:right w:type="dxa" w:w="85"/>
            </w:tcMar>
          </w:tcPr>
          <w:p>
            <w:pPr>
              <w:spacing w:after="30" w:line="256"/>
            </w:pPr>
            <w:r>
              <w:rPr>
                <w:b w:val="false"/>
                <w:bCs w:val="false"/>
                <w:sz w:val="18"/>
                <w:szCs w:val="18"/>
              </w:rPr>
              <w:t xml:space="preserve">An increased marginal fee rate on value achieved ABOVE an agreed threshold EV — so atares is rewarded specifically for out-performance.</w:t>
            </w:r>
          </w:p>
        </w:tc>
      </w:tr>
      <w:tr>
        <w:trPr>
          <w:tblHeader w:val="false"/>
        </w:trPr>
        <w:tc>
          <w:tcPr>
            <w:tcW w:type="dxa" w:w="2550"/>
            <w:shd w:fill="EAF0F7" w:color="auto" w:val="clear"/>
            <w:tcMar>
              <w:top w:type="dxa" w:w="55"/>
              <w:left w:type="dxa" w:w="85"/>
              <w:bottom w:type="dxa" w:w="55"/>
              <w:right w:type="dxa" w:w="85"/>
            </w:tcMar>
          </w:tcPr>
          <w:p>
            <w:pPr>
              <w:spacing w:after="30" w:line="256"/>
            </w:pPr>
            <w:r>
              <w:rPr>
                <w:b w:val="false"/>
                <w:bCs w:val="false"/>
                <w:sz w:val="18"/>
                <w:szCs w:val="18"/>
              </w:rPr>
              <w:t xml:space="preserve">Cap</w:t>
            </w:r>
          </w:p>
        </w:tc>
        <w:tc>
          <w:tcPr>
            <w:tcW w:type="dxa" w:w="6810"/>
            <w:shd w:fill="EAF0F7" w:color="auto" w:val="clear"/>
            <w:tcMar>
              <w:top w:type="dxa" w:w="55"/>
              <w:left w:type="dxa" w:w="85"/>
              <w:bottom w:type="dxa" w:w="55"/>
              <w:right w:type="dxa" w:w="85"/>
            </w:tcMar>
          </w:tcPr>
          <w:p>
            <w:pPr>
              <w:spacing w:after="30" w:line="256"/>
            </w:pPr>
            <w:r>
              <w:rPr>
                <w:b w:val="false"/>
                <w:bCs w:val="false"/>
                <w:sz w:val="18"/>
                <w:szCs w:val="18"/>
              </w:rPr>
              <w:t xml:space="preserve">Total fees capped at an agreed maximum amount, giving EnBW certainty.</w:t>
            </w:r>
          </w:p>
        </w:tc>
      </w:tr>
      <w:tr>
        <w:trPr>
          <w:tblHeader w:val="false"/>
        </w:trPr>
        <w:tc>
          <w:tcPr>
            <w:tcW w:type="dxa" w:w="2550"/>
            <w:tcMar>
              <w:top w:type="dxa" w:w="55"/>
              <w:left w:type="dxa" w:w="85"/>
              <w:bottom w:type="dxa" w:w="55"/>
              <w:right w:type="dxa" w:w="85"/>
            </w:tcMar>
          </w:tcPr>
          <w:p>
            <w:pPr>
              <w:spacing w:after="30" w:line="256"/>
            </w:pPr>
            <w:r>
              <w:rPr>
                <w:b w:val="false"/>
                <w:bCs w:val="false"/>
                <w:sz w:val="18"/>
                <w:szCs w:val="18"/>
              </w:rPr>
              <w:t xml:space="preserve">Expenses</w:t>
            </w:r>
          </w:p>
        </w:tc>
        <w:tc>
          <w:tcPr>
            <w:tcW w:type="dxa" w:w="6810"/>
            <w:tcMar>
              <w:top w:type="dxa" w:w="55"/>
              <w:left w:type="dxa" w:w="85"/>
              <w:bottom w:type="dxa" w:w="55"/>
              <w:right w:type="dxa" w:w="85"/>
            </w:tcMar>
          </w:tcPr>
          <w:p>
            <w:pPr>
              <w:spacing w:after="30" w:line="256"/>
            </w:pPr>
            <w:r>
              <w:rPr>
                <w:b w:val="false"/>
                <w:bCs w:val="false"/>
                <w:sz w:val="18"/>
                <w:szCs w:val="18"/>
              </w:rPr>
              <w:t xml:space="preserve">Reasonable, pre-agreed out-of-pocket expenses at cost; EnBW bears no RFP-response costs.</w:t>
            </w:r>
          </w:p>
        </w:tc>
      </w:tr>
    </w:tbl>
    <w:p>
      <w:pPr>
        <w:spacing w:after="60"/>
      </w:pPr>
    </w:p>
    <w:p>
      <w:pPr>
        <w:pStyle w:val="Heading2"/>
        <w:spacing w:after="90" w:before="220"/>
      </w:pPr>
      <w:r>
        <w:rPr>
          <w:b/>
          <w:bCs/>
          <w:color w:val="2E5496"/>
          <w:sz w:val="24"/>
          <w:szCs w:val="24"/>
        </w:rPr>
        <w:t xml:space="preserve">I.2  Illustrative scale</w:t>
      </w:r>
    </w:p>
    <w:p>
      <w:pPr>
        <w:spacing w:after="120" w:line="276"/>
      </w:pPr>
      <w:r>
        <w:rPr>
          <w:i/>
          <w:iCs/>
          <w:color w:val="C55A11"/>
          <w:sz w:val="20"/>
          <w:szCs w:val="20"/>
        </w:rPr>
        <w:t xml:space="preserve">[atares to insert firm-approved figures. Typical shape for a mandate of this size, purely illustrative: retainer €[15–25]k/month for [4–6] months (creditable); base success fee ≈ [1.5–2.5]% of EV; ratchet of ≈ [3–5]% on EV above €[90–95]m; overall cap €[•]. Confirm all numbers with atares management before submission.]</w:t>
      </w:r>
    </w:p>
    <w:tbl>
      <w:tblPr>
        <w:tblW w:type="dxa" w:w="9360"/>
        <w:tblBorders>
          <w:top w:val="single" w:color="2E7D32" w:sz="4"/>
          <w:left w:val="single" w:color="2E7D32" w:sz="14"/>
          <w:bottom w:val="single" w:color="2E7D32" w:sz="4"/>
          <w:right w:val="single" w:color="2E7D32" w:sz="4"/>
          <w:insideH w:val="none"/>
          <w:insideV w:val="none"/>
        </w:tblBorders>
      </w:tblPr>
      <w:tblGrid>
        <w:gridCol w:w="9360"/>
      </w:tblGrid>
      <w:tr>
        <w:tc>
          <w:tcPr>
            <w:tcW w:type="dxa" w:w="9360"/>
            <w:shd w:fill="EEF5EE" w:color="auto" w:val="clear"/>
            <w:tcMar>
              <w:top w:type="dxa" w:w="120"/>
              <w:left w:type="dxa" w:w="160"/>
              <w:bottom w:type="dxa" w:w="120"/>
              <w:right w:type="dxa" w:w="160"/>
            </w:tcMar>
          </w:tcPr>
          <w:p>
            <w:pPr>
              <w:spacing w:after="60"/>
            </w:pPr>
            <w:r>
              <w:rPr>
                <w:b/>
                <w:bCs/>
                <w:color w:val="1F3864"/>
                <w:sz w:val="21"/>
                <w:szCs w:val="21"/>
              </w:rPr>
              <w:t xml:space="preserve">Alignment</w:t>
            </w:r>
          </w:p>
          <w:p>
            <w:pPr>
              <w:spacing w:after="40" w:line="268"/>
            </w:pPr>
            <w:r>
              <w:rPr>
                <w:sz w:val="20"/>
                <w:szCs w:val="20"/>
              </w:rPr>
              <w:t xml:space="preserve">Because the retainer is fully creditable and the upside is concentrated in the ratchet above a threshold, atares only earns materially when EnBW achieves an above-expectation outcome — a clean alignment of interests, with a cap for budget certainty.</w:t>
            </w:r>
          </w:p>
        </w:tc>
      </w:tr>
    </w:tbl>
    <w:p>
      <w:r>
        <w:br w:type="page"/>
      </w:r>
    </w:p>
    <w:p>
      <w:pPr>
        <w:pStyle w:val="Heading1"/>
        <w:spacing w:after="140" w:before="320"/>
      </w:pPr>
      <w:r>
        <w:rPr>
          <w:b/>
          <w:bCs/>
          <w:color w:val="1F3864"/>
          <w:sz w:val="29"/>
          <w:szCs w:val="29"/>
        </w:rPr>
        <w:t xml:space="preserve">J.  Other relevant information</w:t>
      </w:r>
    </w:p>
    <w:p>
      <w:pPr>
        <w:pStyle w:val="ListParagraph"/>
        <w:numPr>
          <w:ilvl w:val="0"/>
          <w:numId w:val="2"/>
        </w:numPr>
        <w:spacing w:after="70" w:line="272"/>
      </w:pPr>
      <w:r>
        <w:rPr>
          <w:b/>
          <w:bCs/>
          <w:sz w:val="21"/>
          <w:szCs w:val="21"/>
        </w:rPr>
        <w:t xml:space="preserve">The atares deal floor. </w:t>
      </w:r>
      <w:r>
        <w:rPr>
          <w:sz w:val="21"/>
          <w:szCs w:val="21"/>
        </w:rPr>
        <w:t xml:space="preserve">Our cloud platform holds all processes, leads, documents and deal content securely and auditably in one place — giving EnBW real-time transparency and tight control, valuable for a listed-group carve-out.</w:t>
      </w:r>
    </w:p>
    <w:p>
      <w:pPr>
        <w:pStyle w:val="ListParagraph"/>
        <w:numPr>
          <w:ilvl w:val="0"/>
          <w:numId w:val="2"/>
        </w:numPr>
        <w:spacing w:after="70" w:line="272"/>
      </w:pPr>
      <w:r>
        <w:rPr>
          <w:b/>
          <w:bCs/>
          <w:sz w:val="21"/>
          <w:szCs w:val="21"/>
        </w:rPr>
        <w:t xml:space="preserve">International reach, local delivery. </w:t>
      </w:r>
      <w:r>
        <w:rPr>
          <w:sz w:val="21"/>
          <w:szCs w:val="21"/>
        </w:rPr>
        <w:t xml:space="preserve">Munich-based senior team, ~30,000 corporate-finance contacts and ~4,000 PE relationships across Europe, the Americas and Asia — the network to reach international buyers while running the process in German and English.</w:t>
      </w:r>
    </w:p>
    <w:p>
      <w:pPr>
        <w:pStyle w:val="ListParagraph"/>
        <w:numPr>
          <w:ilvl w:val="0"/>
          <w:numId w:val="2"/>
        </w:numPr>
        <w:spacing w:after="70" w:line="272"/>
      </w:pPr>
      <w:r>
        <w:rPr>
          <w:b/>
          <w:bCs/>
          <w:sz w:val="21"/>
          <w:szCs w:val="21"/>
        </w:rPr>
        <w:t xml:space="preserve">Bilingual materials. </w:t>
      </w:r>
      <w:r>
        <w:rPr>
          <w:sz w:val="21"/>
          <w:szCs w:val="21"/>
        </w:rPr>
        <w:t xml:space="preserve">All external documents and the financial model will be prepared to be suitable for both German and international investors.</w:t>
      </w:r>
    </w:p>
    <w:p>
      <w:pPr>
        <w:pStyle w:val="ListParagraph"/>
        <w:numPr>
          <w:ilvl w:val="0"/>
          <w:numId w:val="2"/>
        </w:numPr>
        <w:spacing w:after="70" w:line="272"/>
      </w:pPr>
      <w:r>
        <w:rPr>
          <w:b/>
          <w:bCs/>
          <w:sz w:val="21"/>
          <w:szCs w:val="21"/>
        </w:rPr>
        <w:t xml:space="preserve">References. </w:t>
      </w:r>
      <w:r>
        <w:rPr>
          <w:sz w:val="21"/>
          <w:szCs w:val="21"/>
        </w:rPr>
        <w:t xml:space="preserve">We are happy to provide client references from comparable sell-side software/EdTech mandates on request.</w:t>
      </w:r>
    </w:p>
    <w:p>
      <w:pPr>
        <w:pStyle w:val="ListParagraph"/>
        <w:numPr>
          <w:ilvl w:val="0"/>
          <w:numId w:val="2"/>
        </w:numPr>
        <w:spacing w:after="70" w:line="272"/>
      </w:pPr>
      <w:r>
        <w:rPr>
          <w:i/>
          <w:iCs/>
          <w:color w:val="C55A11"/>
          <w:sz w:val="20"/>
          <w:szCs w:val="20"/>
        </w:rPr>
        <w:t xml:space="preserve">[atares to add: any energy-sector / Stadtwerke relationships that aid buyer access; ESG/《Made in Germany》 angle for the equity story; and named case studies with permission.]</w:t>
      </w:r>
    </w:p>
    <w:p>
      <w:pPr>
        <w:spacing w:after="120"/>
      </w:pPr>
    </w:p>
    <w:p>
      <w:pPr>
        <w:pStyle w:val="Heading1"/>
        <w:spacing w:after="140" w:before="320"/>
      </w:pPr>
      <w:r>
        <w:rPr>
          <w:b/>
          <w:bCs/>
          <w:color w:val="1F3864"/>
          <w:sz w:val="29"/>
          <w:szCs w:val="29"/>
        </w:rPr>
        <w:t xml:space="preserve">Important notice &amp; caveats</w:t>
      </w:r>
    </w:p>
    <w:p>
      <w:pPr>
        <w:spacing w:after="120" w:line="276"/>
      </w:pPr>
      <w:r>
        <w:rPr>
          <w:sz w:val="21"/>
          <w:szCs w:val="21"/>
        </w:rPr>
        <w:t xml:space="preserve">This proposal is a </w:t>
      </w:r>
      <w:r>
        <w:rPr>
          <w:i/>
          <w:iCs/>
          <w:sz w:val="21"/>
          <w:szCs w:val="21"/>
        </w:rPr>
        <w:t xml:space="preserve">draft prepared for atares’ internal review</w:t>
      </w:r>
      <w:r>
        <w:rPr>
          <w:sz w:val="21"/>
          <w:szCs w:val="21"/>
        </w:rPr>
        <w:t xml:space="preserve">. Items marked in orange require confirmation by atares before submission (team names, fee figures, conflict check, disclosable references). Financials are taken from EnBW’s RFP; all valuation figures are preliminary, outside-in and illustrative, to be replaced by the integrated financial model and confirmed in due diligence. Nothing herein constitutes a binding offer. All EnBW information is treated as strictly confidential.</w:t>
      </w:r>
    </w:p>
    <w:p>
      <w:pPr>
        <w:spacing w:after="80"/>
      </w:pPr>
    </w:p>
    <w:p>
      <w:pPr>
        <w:pStyle w:val="Heading3"/>
        <w:spacing w:after="60" w:before="150"/>
      </w:pPr>
      <w:r>
        <w:rPr>
          <w:b/>
          <w:bCs/>
          <w:color w:val="C55A11"/>
          <w:sz w:val="21"/>
          <w:szCs w:val="21"/>
        </w:rPr>
        <w:t xml:space="preserve">Selected sources</w:t>
      </w:r>
    </w:p>
    <w:p>
      <w:pPr>
        <w:pStyle w:val="ListParagraph"/>
        <w:numPr>
          <w:ilvl w:val="0"/>
          <w:numId w:val="1"/>
        </w:numPr>
        <w:spacing w:after="40"/>
      </w:pPr>
      <w:hyperlink w:history="1" r:id="rId3yyys6ktrudxw95_jrxvq">
        <w:r>
          <w:rPr>
            <w:rStyle w:val="Hyperlink"/>
            <w:sz w:val="19"/>
            <w:szCs w:val="19"/>
          </w:rPr>
          <w:t xml:space="preserve">atares — firm &amp; team</w:t>
        </w:r>
      </w:hyperlink>
    </w:p>
    <w:p>
      <w:pPr>
        <w:pStyle w:val="ListParagraph"/>
        <w:numPr>
          <w:ilvl w:val="0"/>
          <w:numId w:val="1"/>
        </w:numPr>
        <w:spacing w:after="40"/>
      </w:pPr>
      <w:hyperlink w:history="1" r:id="rIdmtj0r0hskbspvr9pkdh9d">
        <w:r>
          <w:rPr>
            <w:rStyle w:val="Hyperlink"/>
            <w:sz w:val="19"/>
            <w:szCs w:val="19"/>
          </w:rPr>
          <w:t xml:space="preserve">Jan Pörschmann — atares</w:t>
        </w:r>
      </w:hyperlink>
    </w:p>
    <w:p>
      <w:pPr>
        <w:pStyle w:val="ListParagraph"/>
        <w:numPr>
          <w:ilvl w:val="0"/>
          <w:numId w:val="1"/>
        </w:numPr>
        <w:spacing w:after="40"/>
      </w:pPr>
      <w:hyperlink w:history="1" r:id="rIdnq-c46qvls17swtspm6zi">
        <w:r>
          <w:rPr>
            <w:rStyle w:val="Hyperlink"/>
            <w:sz w:val="19"/>
            <w:szCs w:val="19"/>
          </w:rPr>
          <w:t xml:space="preserve">atares — transactions</w:t>
        </w:r>
      </w:hyperlink>
    </w:p>
    <w:p>
      <w:pPr>
        <w:pStyle w:val="ListParagraph"/>
        <w:numPr>
          <w:ilvl w:val="0"/>
          <w:numId w:val="1"/>
        </w:numPr>
        <w:spacing w:after="40"/>
      </w:pPr>
      <w:hyperlink w:history="1" r:id="rIdf_8x_nb-kiyif5cachefj">
        <w:r>
          <w:rPr>
            <w:rStyle w:val="Hyperlink"/>
            <w:sz w:val="19"/>
            <w:szCs w:val="19"/>
          </w:rPr>
          <w:t xml:space="preserve">Aventis Advisors — SaaS multiples</w:t>
        </w:r>
      </w:hyperlink>
    </w:p>
    <w:p>
      <w:pPr>
        <w:pStyle w:val="ListParagraph"/>
        <w:numPr>
          <w:ilvl w:val="0"/>
          <w:numId w:val="1"/>
        </w:numPr>
        <w:spacing w:after="40"/>
      </w:pPr>
      <w:hyperlink w:history="1" r:id="rIdyre8inqk3ipkawebsqd5y">
        <w:r>
          <w:rPr>
            <w:rStyle w:val="Hyperlink"/>
            <w:sz w:val="19"/>
            <w:szCs w:val="19"/>
          </w:rPr>
          <w:t xml:space="preserve">dealorigination.de — DACH EBITDA multiples 2026</w:t>
        </w:r>
      </w:hyperlink>
    </w:p>
    <w:p>
      <w:pPr>
        <w:pStyle w:val="ListParagraph"/>
        <w:numPr>
          <w:ilvl w:val="0"/>
          <w:numId w:val="1"/>
        </w:numPr>
        <w:spacing w:after="40"/>
      </w:pPr>
      <w:hyperlink w:history="1" r:id="rIdyfpekmsagrnootu469twg">
        <w:r>
          <w:rPr>
            <w:rStyle w:val="Hyperlink"/>
            <w:sz w:val="19"/>
            <w:szCs w:val="19"/>
          </w:rPr>
          <w:t xml:space="preserve">Amadeus Fire / Masterplan</w:t>
        </w:r>
      </w:hyperlink>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Atares GmbH  ·  </w:t>
    </w:r>
    <w:r>
      <w:rPr>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5"/>
        <w:szCs w:val="15"/>
      </w:rPr>
      <w:t xml:space="preserve">Project Vision  ·  Proposal for Transaction Advisory Services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DefaultParagraphFont"/>
    <w:rPr>
      <w:color w:val="2E549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yyys6ktrudxw95_jrxvq" Type="http://schemas.openxmlformats.org/officeDocument/2006/relationships/hyperlink" Target="https://atares.team/en/" TargetMode="External"/><Relationship Id="rIdmtj0r0hskbspvr9pkdh9d" Type="http://schemas.openxmlformats.org/officeDocument/2006/relationships/hyperlink" Target="https://atares.team/en/team/jan-poerschmann/" TargetMode="External"/><Relationship Id="rIdnq-c46qvls17swtspm6zi" Type="http://schemas.openxmlformats.org/officeDocument/2006/relationships/hyperlink" Target="https://atares.team/en/transactions/" TargetMode="External"/><Relationship Id="rIdf_8x_nb-kiyif5cachefj" Type="http://schemas.openxmlformats.org/officeDocument/2006/relationships/hyperlink" Target="https://aventis-advisors.com/saas-valuation-multiples/" TargetMode="External"/><Relationship Id="rIdyre8inqk3ipkawebsqd5y" Type="http://schemas.openxmlformats.org/officeDocument/2006/relationships/hyperlink" Target="https://dealorigination.de/en/ebitda-multiples-dach" TargetMode="External"/><Relationship Id="rIdyfpekmsagrnootu469twg" Type="http://schemas.openxmlformats.org/officeDocument/2006/relationships/hyperlink" Target="https://group.amadeus-fire.de/en/pressemitteilung/amadeus-fire-group-acquires-e-learning-platform-masterplan-strategic-investment-in-the-digital-b2b-training-marke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Vision — Proposal for Transaction Advisory Services</dc:title>
  <dc:creator>Atares GmbH</dc:creator>
  <dc:description>atares sell-side proposal to EnBW for the divestment of WTT CampusOne GmbH</dc:description>
  <cp:lastModifiedBy>Un-named</cp:lastModifiedBy>
  <cp:revision>1</cp:revision>
  <dcterms:created xsi:type="dcterms:W3CDTF">2026-08-07T08:45:18.800Z</dcterms:created>
  <dcterms:modified xsi:type="dcterms:W3CDTF">2026-08-07T08:45:18.815Z</dcterms:modified>
</cp:coreProperties>
</file>

<file path=docProps/custom.xml><?xml version="1.0" encoding="utf-8"?>
<Properties xmlns="http://schemas.openxmlformats.org/officeDocument/2006/custom-properties" xmlns:vt="http://schemas.openxmlformats.org/officeDocument/2006/docPropsVTypes"/>
</file>