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Pedido de dados — Valorsul, S.A.</w:t>
      </w:r>
    </w:p>
    <w:p>
      <w:pPr>
        <w:spacing w:after="60" w:before="0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Data request — selective collection operator</w:t>
      </w:r>
    </w:p>
    <w:p>
      <w:pPr>
        <w:pBdr>
          <w:bottom w:val="single" w:color="2f6bd8" w:sz="6"/>
        </w:pBdr>
        <w:spacing w:after="160"/>
      </w:pPr>
      <w:r>
        <w:rPr>
          <w:rFonts w:ascii="Calibri" w:cs="Calibri" w:eastAsia="Calibri" w:hAnsi="Calibri"/>
          <w:color w:val="6b6b66"/>
          <w:sz w:val="19"/>
          <w:szCs w:val="19"/>
        </w:rPr>
        <w:t xml:space="preserve">Projeto de doutoramento — planeamento da recolha de recicláveis com sensores · caso de estudo: Rio Maior</w:t>
      </w:r>
    </w:p>
    <w:p>
      <w:pPr>
        <w:spacing w:after="40" w:before="0"/>
      </w:pPr>
      <w:r>
        <w:rPr>
          <w:rFonts w:ascii="Calibri" w:cs="Calibri" w:eastAsia="Calibri" w:hAnsi="Calibri"/>
          <w:color w:val="6b6b66"/>
          <w:sz w:val="19"/>
          <w:szCs w:val="19"/>
        </w:rPr>
        <w:t xml:space="preserve">Investigador: Esmaeil Keyvanloo · mojikoneai@gmail.com · agosto de 2026</w:t>
      </w:r>
    </w:p>
    <w:p>
      <w:pPr>
        <w:spacing w:after="60" w:before="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minha tese usa os dois ficheiros que a Valorsul já forneceu (registos de recolha 2020–2024 e leituras de sensores). Faltam as sete peças abaixo. Qualquer formato serve; CSV ou acesso à base de dados é o ideal.</w:t>
      </w:r>
    </w:p>
    <w:p>
      <w:pPr>
        <w:spacing w:after="140" w:before="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My thesis builds on the two files Valorsul already provided (collection records 2020–2024 and sensor readings). The seven items below are missing. Any format works; CSV or database access is ideal.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33"/>
        <w:gridCol w:w="4233"/>
      </w:tblGrid>
      <w:tr>
        <w:trPr>
          <w:tblHeader/>
        </w:trPr>
        <w:tc>
          <w:tcPr>
            <w:tcW w:type="dxa" w:w="560"/>
            <w:shd w:fill="eef0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N.º</w:t>
            </w:r>
          </w:p>
        </w:tc>
        <w:tc>
          <w:tcPr>
            <w:tcW w:type="dxa" w:w="4233"/>
            <w:shd w:fill="eef0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Pedido (português)</w:t>
            </w:r>
          </w:p>
        </w:tc>
        <w:tc>
          <w:tcPr>
            <w:tcW w:type="dxa" w:w="4233"/>
            <w:shd w:fill="eef0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Request (English)</w:t>
            </w:r>
          </w:p>
        </w:tc>
      </w:tr>
      <w:t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1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Cadastro de contentores — lista atual com ID (idcontentor), coordenadas GPS reais, material, volume e agrupamento por ecoponto.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Datas de instalação, remoção e mudança de local desde 2020.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1"/>
                <w:szCs w:val="21"/>
              </w:rPr>
              <w:t xml:space="preserve">Container register — current list with ID, real GPS position, material, volume and ecoponto grouping.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Installation, removal and relocation dates since 2020.</w:t>
            </w:r>
          </w:p>
        </w:tc>
      </w:tr>
      <w:t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2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Sensores — que contentores têm sensor; registo de instalações, substituições e reparações; marca, modelo e ficha técnica do equipamento.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1"/>
                <w:szCs w:val="21"/>
              </w:rPr>
              <w:t xml:space="preserve">Sensors — which bins carry one; log of installs, swaps and repairs; make, model and datasheet.</w:t>
            </w:r>
          </w:p>
        </w:tc>
      </w:tr>
      <w:t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Significado das leituras — o que mede o valor de enchimento (percentagem ou centímetros?); tabela dos códigos negativos (−1 a −9, −89 a −116); procedimento de calibração.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1"/>
                <w:szCs w:val="21"/>
              </w:rPr>
              <w:t xml:space="preserve">Meaning of the readings — what the fill value measures (percent or centimetres?); table of the negative codes; calibration procedure.</w:t>
            </w:r>
          </w:p>
        </w:tc>
      </w:tr>
      <w:t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4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Exportação completa — leituras dos sensores de 2020 até hoje em CSV ou base de dados (o Excel corta em 1.048.575 linhas).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Registos de recolha de abril de 2024 até hoje.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1"/>
                <w:szCs w:val="21"/>
              </w:rPr>
              <w:t xml:space="preserve">Full export — sensor readings 2020 to date as CSV or database (Excel truncates at 1,048,575 rows).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Collection records from April 2024 to date.</w:t>
            </w:r>
          </w:p>
        </w:tc>
      </w:tr>
      <w:t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5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Planos de circuito — sequência planeada de locais por código de rota (CE11, CP07, …) e dia da semana.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Como e quando os motoristas registam os contentores (equipamento, momento) e o que mudou entre 2022 e 2024.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1"/>
                <w:szCs w:val="21"/>
              </w:rPr>
              <w:t xml:space="preserve">Circuit plans — planned site sequence per rota code and weekday.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How and when drivers stamp bins (device, moment) and what changed between 2022 and 2024.</w:t>
            </w:r>
          </w:p>
        </w:tc>
      </w:tr>
      <w:t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6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Pesagens — talões de pesagem por viagem na estação de transferência.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Definição de um registo idrecolha.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1"/>
                <w:szCs w:val="21"/>
              </w:rPr>
              <w:t xml:space="preserve">Weighbridge — per-trip tickets at the transfer station.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Definition of one idrecolha record.</w:t>
            </w:r>
          </w:p>
        </w:tc>
      </w:tr>
      <w:t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7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Percursos GPS — trajetos AVL/GPS dos camiões, em qualquer período disponível.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Lista de veículos (capacidade, compactação).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1"/>
                <w:szCs w:val="21"/>
              </w:rPr>
              <w:t xml:space="preserve">GPS tracks — AVL/GPS traces of the trucks, any period available.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Vehicle list (capacity, compaction).</w:t>
            </w:r>
          </w:p>
        </w:tc>
      </w:tr>
    </w:tbl>
    <w:p>
      <w:pPr>
        <w:spacing w:after="80" w:before="0"/>
      </w:pPr>
      <w:r>
        <w:br w:type="page"/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Pedido de dados — Câmara Municipal de Rio Maior</w:t>
      </w:r>
    </w:p>
    <w:p>
      <w:pPr>
        <w:spacing w:after="60" w:before="0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Data request — municipality</w:t>
      </w:r>
    </w:p>
    <w:p>
      <w:pPr>
        <w:pBdr>
          <w:bottom w:val="single" w:color="2f6bd8" w:sz="6"/>
        </w:pBdr>
        <w:spacing w:after="160"/>
      </w:pPr>
      <w:r>
        <w:rPr>
          <w:rFonts w:ascii="Calibri" w:cs="Calibri" w:eastAsia="Calibri" w:hAnsi="Calibri"/>
          <w:color w:val="6b6b66"/>
          <w:sz w:val="19"/>
          <w:szCs w:val="19"/>
        </w:rPr>
        <w:t xml:space="preserve">Projeto de doutoramento — planeamento da recolha de recicláveis com sensores · caso de estudo: Rio Maior</w:t>
      </w:r>
    </w:p>
    <w:p>
      <w:pPr>
        <w:spacing w:after="40" w:before="0"/>
      </w:pPr>
      <w:r>
        <w:rPr>
          <w:rFonts w:ascii="Calibri" w:cs="Calibri" w:eastAsia="Calibri" w:hAnsi="Calibri"/>
          <w:color w:val="6b6b66"/>
          <w:sz w:val="19"/>
          <w:szCs w:val="19"/>
        </w:rPr>
        <w:t xml:space="preserve">Investigador: Esmaeil Keyvanloo · mojikoneai@gmail.com · agosto de 2026</w:t>
      </w:r>
    </w:p>
    <w:p>
      <w:pPr>
        <w:spacing w:after="60" w:before="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Estudo a rede de ecopontos do concelho com dados de sensores de enchimento. Para ligar a recolha à procura real, peço os cinco elementos abaixo.</w:t>
      </w:r>
    </w:p>
    <w:p>
      <w:pPr>
        <w:spacing w:after="140" w:before="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I study the municipality's ecoponto network using fill-sensor data. To connect collection with real demand, I ask for the five items below.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233"/>
        <w:gridCol w:w="4233"/>
      </w:tblGrid>
      <w:tr>
        <w:trPr>
          <w:tblHeader/>
        </w:trPr>
        <w:tc>
          <w:tcPr>
            <w:tcW w:type="dxa" w:w="560"/>
            <w:shd w:fill="eef0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N.º</w:t>
            </w:r>
          </w:p>
        </w:tc>
        <w:tc>
          <w:tcPr>
            <w:tcW w:type="dxa" w:w="4233"/>
            <w:shd w:fill="eef0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Pedido (português)</w:t>
            </w:r>
          </w:p>
        </w:tc>
        <w:tc>
          <w:tcPr>
            <w:tcW w:type="dxa" w:w="4233"/>
            <w:shd w:fill="eef0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Request (English)</w:t>
            </w:r>
          </w:p>
        </w:tc>
      </w:tr>
      <w:t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1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Divisão de responsabilidades — contrato ou protocolo entre o Município e a Valorsul para a recolha seletiva; pessoa de contacto na Valorsul.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1"/>
                <w:szCs w:val="21"/>
              </w:rPr>
              <w:t xml:space="preserve">Responsibility split — contract or protocol between the municipality and Valorsul for selective collection; a named contact at Valorsul.</w:t>
            </w:r>
          </w:p>
        </w:tc>
      </w:tr>
      <w:t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2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Reclamações — registo de queixas por contentores cheios ou transbordos, por local, de 2020 até hoje.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1"/>
                <w:szCs w:val="21"/>
              </w:rPr>
              <w:t xml:space="preserve">Complaints — register of full-bin and overflow complaints, by site, 2020 to date.</w:t>
            </w:r>
          </w:p>
        </w:tc>
      </w:tr>
      <w:t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Eventos — calendário de feiras, festivais e épocas que alteram a produção de resíduos.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1"/>
                <w:szCs w:val="21"/>
              </w:rPr>
              <w:t xml:space="preserve">Events — calendar of fairs, festivals and seasons that change waste production.</w:t>
            </w:r>
          </w:p>
        </w:tc>
      </w:tr>
      <w:t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4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Crescimento urbano — áreas de expansão previstas no PDM; novos loteamentos desde 2020.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1"/>
                <w:szCs w:val="21"/>
              </w:rPr>
              <w:t xml:space="preserve">Urban growth — expansion areas in the municipal master plan; new developments since 2020.</w:t>
            </w:r>
          </w:p>
        </w:tc>
      </w:tr>
      <w:tr>
        <w:tc>
          <w:tcPr>
            <w:tcW w:type="dxa" w:w="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5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Estabelecimentos — número de restaurantes, bares e cafés licenciados por freguesia.</w:t>
            </w:r>
          </w:p>
        </w:tc>
        <w:tc>
          <w:tcPr>
            <w:tcW w:type="dxa" w:w="42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21"/>
                <w:szCs w:val="21"/>
              </w:rPr>
              <w:t xml:space="preserve">Licensed premises — number of restaurants, bars and cafés per freguesia.</w:t>
            </w:r>
          </w:p>
        </w:tc>
      </w:tr>
    </w:tbl>
    <w:p>
      <w:pPr>
        <w:spacing w:after="80" w:before="0"/>
      </w:pPr>
      <w:r>
        <w:br w:type="page"/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Outras organizações — plano de visitas</w:t>
      </w:r>
    </w:p>
    <w:p>
      <w:pPr>
        <w:spacing w:after="60" w:before="0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Other organizations — for my own use</w:t>
      </w:r>
    </w:p>
    <w:p>
      <w:pPr>
        <w:pBdr>
          <w:bottom w:val="single" w:color="2f6bd8" w:sz="6"/>
        </w:pBdr>
        <w:spacing w:after="160"/>
      </w:pPr>
      <w:r>
        <w:rPr>
          <w:rFonts w:ascii="Calibri" w:cs="Calibri" w:eastAsia="Calibri" w:hAnsi="Calibri"/>
          <w:color w:val="6b6b66"/>
          <w:sz w:val="19"/>
          <w:szCs w:val="19"/>
        </w:rPr>
        <w:t xml:space="preserve">Projeto de doutoramento — planeamento da recolha de recicláveis com sensores · caso de estudo: Rio Maior</w:t>
      </w:r>
    </w:p>
    <w:p>
      <w:pPr>
        <w:spacing w:after="40" w:before="0"/>
      </w:pPr>
      <w:r>
        <w:rPr>
          <w:rFonts w:ascii="Calibri" w:cs="Calibri" w:eastAsia="Calibri" w:hAnsi="Calibri"/>
          <w:color w:val="6b6b66"/>
          <w:sz w:val="19"/>
          <w:szCs w:val="19"/>
        </w:rPr>
        <w:t xml:space="preserve">Investigador: Esmaeil Keyvanloo · mojikoneai@gmail.com · agosto de 2026</w:t>
      </w:r>
    </w:p>
    <w:p>
      <w:pPr>
        <w:spacing w:after="140" w:before="0"/>
      </w:pPr>
      <w:r>
        <w:rPr>
          <w:rFonts w:ascii="Calibri" w:cs="Calibri" w:eastAsia="Calibri" w:hAnsi="Calibri"/>
          <w:i/>
          <w:iCs/>
          <w:color w:val="6b6b66"/>
          <w:sz w:val="21"/>
          <w:szCs w:val="21"/>
        </w:rPr>
        <w:t xml:space="preserve">Not a leave-behind: this page is the visit plan.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shd w:fill="eef0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Organização</w:t>
            </w:r>
          </w:p>
        </w:tc>
        <w:tc>
          <w:tcPr>
            <w:tcW w:type="dxa" w:w="5426"/>
            <w:shd w:fill="eef0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Ask for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ERSAR — regulador dos serviços de águas e resíduos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Yearly service-quality indicators for Rio Maior, 2020–2025: coverage, tonnes collected, cost.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APA — Agência Portuguesa do Ambiente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Waste movement records (e-GAR) registered for Rio Maior recyclables.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Sociedade Ponto Verde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Per-municipality packaging tonnage and payment statistics.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Fabricante dos sensores (nome: perguntar à Valorsul)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Measurement method, accuracy, error-code table, firmware change history.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Juntas de freguesia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Problem sites, seasonal patterns, complaints as locals see them.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Valorsul CTRO, Cadaval — central de triagem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Sorting and rejection rates for loads arriving from Rio Maior.</w:t>
            </w:r>
          </w:p>
        </w:tc>
      </w:tr>
    </w:tbl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2026-08-26T13:50:26.624Z</dcterms:created>
  <dcterms:modified xsi:type="dcterms:W3CDTF">2026-08-26T13:50:26.625Z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