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8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8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выполнение заданий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</w:p>
    <w:p>
      <w:pPr>
        <w:pStyle w:val="BodyText"/>
      </w:pP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</w:p>
    <w:p>
      <w:pPr>
        <w:pStyle w:val="BodyText"/>
      </w:pPr>
      <w:r>
        <w:t xml:space="preserve">Можно выделить следующие типы ошибок:</w:t>
      </w:r>
    </w:p>
    <w:p>
      <w:pPr>
        <w:pStyle w:val="BodyText"/>
      </w:pP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</w:p>
    <w:p>
      <w:pPr>
        <w:pStyle w:val="BodyText"/>
      </w:pP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</w:p>
    <w:p>
      <w:pPr>
        <w:pStyle w:val="BodyText"/>
      </w:pP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2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87" w:name="релази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Релазиация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№9 (рис. -fig. 1).</w:t>
      </w:r>
    </w:p>
    <w:p>
      <w:pPr>
        <w:pStyle w:val="CaptionedFigure"/>
      </w:pPr>
      <w:r>
        <w:drawing>
          <wp:inline>
            <wp:extent cx="3733800" cy="683550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Копирую в файл код из листинга, компилирую и запускаю его, данная программа выполняет вычисление функции (рис. -fig. 2).</w:t>
      </w:r>
    </w:p>
    <w:p>
      <w:pPr>
        <w:pStyle w:val="CaptionedFigure"/>
      </w:pPr>
      <w:r>
        <w:drawing>
          <wp:inline>
            <wp:extent cx="3733800" cy="683550"/>
            <wp:effectExtent b="0" l="0" r="0" t="0"/>
            <wp:docPr descr="Запуск программы из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из листинга</w:t>
      </w:r>
    </w:p>
    <w:p>
      <w:pPr>
        <w:pStyle w:val="BodyText"/>
      </w:pPr>
      <w:r>
        <w:t xml:space="preserve">Изменяю текст программы, добавив в нее подпрограмму, теперь она вычисляет значение функции для выражения f(g(x)) (рис. -fig. 3).</w:t>
      </w:r>
    </w:p>
    <w:p>
      <w:pPr>
        <w:pStyle w:val="CaptionedFigure"/>
      </w:pPr>
      <w:r>
        <w:drawing>
          <wp:inline>
            <wp:extent cx="3733800" cy="683550"/>
            <wp:effectExtent b="0" l="0" r="0" t="0"/>
            <wp:docPr descr="Изменение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программы первого листинга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'2(3x-1)+7='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ret</w:t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ret</w:t>
      </w:r>
    </w:p>
    <w:bookmarkStart w:id="47" w:name="отладка-программ-с-помощью-gdb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Отладка программ с помощью GDB</w:t>
      </w:r>
    </w:p>
    <w:p>
      <w:pPr>
        <w:pStyle w:val="FirstParagraph"/>
      </w:pPr>
      <w:r>
        <w:t xml:space="preserve">В созданный файл копирую программу второго листинга, транслирую с созданием файла листинга и отладки, компоную и запускаю в отладчике (рис. -fig. 4).</w:t>
      </w:r>
    </w:p>
    <w:p>
      <w:pPr>
        <w:pStyle w:val="CaptionedFigure"/>
      </w:pPr>
      <w:r>
        <w:drawing>
          <wp:inline>
            <wp:extent cx="3733800" cy="1920975"/>
            <wp:effectExtent b="0" l="0" r="0" t="0"/>
            <wp:docPr descr="Запуск программы в отладчик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в отладчике</w:t>
      </w:r>
    </w:p>
    <w:p>
      <w:pPr>
        <w:pStyle w:val="BodyText"/>
      </w:pPr>
      <w:r>
        <w:t xml:space="preserve">Запустив программу командой run, я убедился в том, что она работает исправно (рис. -fig. 5).</w:t>
      </w:r>
    </w:p>
    <w:p>
      <w:pPr>
        <w:pStyle w:val="CaptionedFigure"/>
      </w:pPr>
      <w:r>
        <w:drawing>
          <wp:inline>
            <wp:extent cx="3733800" cy="1920975"/>
            <wp:effectExtent b="0" l="0" r="0" t="0"/>
            <wp:docPr descr="Проверка программы отладчиком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программы отладчиком</w:t>
      </w:r>
    </w:p>
    <w:p>
      <w:pPr>
        <w:pStyle w:val="BodyText"/>
      </w:pPr>
      <w:r>
        <w:t xml:space="preserve">Для более подробного анализа программы добавляю брейкпоинт на метку _start и снова запускаю отладку (рис. -fig. 6).</w:t>
      </w:r>
    </w:p>
    <w:p>
      <w:pPr>
        <w:pStyle w:val="CaptionedFigure"/>
      </w:pPr>
      <w:r>
        <w:drawing>
          <wp:inline>
            <wp:extent cx="3733800" cy="1920975"/>
            <wp:effectExtent b="0" l="0" r="0" t="0"/>
            <wp:docPr descr="Запуск отладичка с брейкпоинтом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отладичка с брейкпоинтом</w:t>
      </w:r>
    </w:p>
    <w:p>
      <w:pPr>
        <w:pStyle w:val="BodyText"/>
      </w:pPr>
      <w:r>
        <w:t xml:space="preserve">Далее смотрю дисассимилированный код программы, перевожу на команд с синтаксисом Intel</w:t>
      </w:r>
      <w:r>
        <w:t xml:space="preserve"> </w:t>
      </w:r>
      <w:r>
        <w:rPr>
          <w:iCs/>
          <w:i/>
        </w:rPr>
        <w:t xml:space="preserve">амд топчик</w:t>
      </w:r>
      <w:r>
        <w:t xml:space="preserve"> </w:t>
      </w:r>
      <w:r>
        <w:t xml:space="preserve">(рис. -fig. 7).</w:t>
      </w:r>
    </w:p>
    <w:p>
      <w:pPr>
        <w:pStyle w:val="BodyText"/>
      </w:pPr>
      <w:r>
        <w:t xml:space="preserve">Различия между синтаксисом ATT и Intel заключаются в порядке операндов (ATT - Операнд источника указан первым. Intel - Операнд назначения указан первым), их размере (ATT - pазмер операндов указывается явно с помощью суффиксов, непосредственные операнды предваряются символом $; Intel - Размер операндов неявно определяется контекстом, как ax, eax, непосредственные операнды пишутся напрямую), именах регистров(ATT - имена регистров предваряются символом %, Intel - имена регистров пишутся без префиксов).</w:t>
      </w:r>
    </w:p>
    <w:p>
      <w:pPr>
        <w:pStyle w:val="CaptionedFigure"/>
      </w:pPr>
      <w:r>
        <w:drawing>
          <wp:inline>
            <wp:extent cx="3733800" cy="3163668"/>
            <wp:effectExtent b="0" l="0" r="0" t="0"/>
            <wp:docPr descr="Дисассимил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Дисассимилирование программы</w:t>
      </w:r>
    </w:p>
    <w:p>
      <w:pPr>
        <w:pStyle w:val="BodyText"/>
      </w:pPr>
      <w:r>
        <w:t xml:space="preserve">Включаю режим псевдографики для более удобного анализа программы (рис. -fig. 8).</w:t>
      </w:r>
    </w:p>
    <w:p>
      <w:pPr>
        <w:pStyle w:val="CaptionedFigure"/>
      </w:pPr>
      <w:r>
        <w:drawing>
          <wp:inline>
            <wp:extent cx="3733800" cy="2107922"/>
            <wp:effectExtent b="0" l="0" r="0" t="0"/>
            <wp:docPr descr="Режим псевдографик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Режим псевдографики</w:t>
      </w:r>
    </w:p>
    <w:bookmarkEnd w:id="47"/>
    <w:bookmarkStart w:id="53" w:name="добавление-точек-останова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Проверяю в режиме псевдографики, что брейкпоинт сохранился (рис. -fig. 9).</w:t>
      </w:r>
    </w:p>
    <w:p>
      <w:pPr>
        <w:pStyle w:val="CaptionedFigure"/>
      </w:pPr>
      <w:r>
        <w:drawing>
          <wp:inline>
            <wp:extent cx="3733800" cy="2107922"/>
            <wp:effectExtent b="0" l="0" r="0" t="0"/>
            <wp:docPr descr="Список брейкпоинтов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Список брейкпоинтов</w:t>
      </w:r>
    </w:p>
    <w:p>
      <w:pPr>
        <w:pStyle w:val="BodyText"/>
      </w:pPr>
      <w:r>
        <w:t xml:space="preserve">Устаналиваю еще одну точку останова по адресу инструкции (рис. -fig. 10).</w:t>
      </w:r>
    </w:p>
    <w:p>
      <w:pPr>
        <w:pStyle w:val="CaptionedFigure"/>
      </w:pPr>
      <w:r>
        <w:drawing>
          <wp:inline>
            <wp:extent cx="3733800" cy="2107922"/>
            <wp:effectExtent b="0" l="0" r="0" t="0"/>
            <wp:docPr descr="Добавление второй точки останов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второй точки останова</w:t>
      </w:r>
    </w:p>
    <w:bookmarkEnd w:id="53"/>
    <w:bookmarkStart w:id="69" w:name="работа-с-данными-программы-в-gdb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Просматриваю содержимое регистров командой info registers (рис. -fig. 11).</w:t>
      </w:r>
    </w:p>
    <w:p>
      <w:pPr>
        <w:pStyle w:val="CaptionedFigure"/>
      </w:pPr>
      <w:r>
        <w:drawing>
          <wp:inline>
            <wp:extent cx="3733800" cy="2107922"/>
            <wp:effectExtent b="0" l="0" r="0" t="0"/>
            <wp:docPr descr="Просмотр содержимого регистров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содержимого регистров</w:t>
      </w:r>
    </w:p>
    <w:p>
      <w:pPr>
        <w:pStyle w:val="BodyText"/>
      </w:pPr>
      <w:r>
        <w:t xml:space="preserve">Смотрю содержимое переменных по имени и по адресу (рис. -fig. 12).</w:t>
      </w:r>
    </w:p>
    <w:p>
      <w:pPr>
        <w:pStyle w:val="CaptionedFigure"/>
      </w:pPr>
      <w:r>
        <w:drawing>
          <wp:inline>
            <wp:extent cx="3733800" cy="2039397"/>
            <wp:effectExtent b="0" l="0" r="0" t="0"/>
            <wp:docPr descr="Просмотр содержимого переменных двумя способами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содержимого переменных двумя способами</w:t>
      </w:r>
    </w:p>
    <w:p>
      <w:pPr>
        <w:pStyle w:val="BodyText"/>
      </w:pPr>
      <w:r>
        <w:t xml:space="preserve">Меняю содержимое переменных по имени и по адресу (рис. -fig. 13).</w:t>
      </w:r>
    </w:p>
    <w:p>
      <w:pPr>
        <w:pStyle w:val="CaptionedFigure"/>
      </w:pPr>
      <w:r>
        <w:drawing>
          <wp:inline>
            <wp:extent cx="3733800" cy="2039397"/>
            <wp:effectExtent b="0" l="0" r="0" t="0"/>
            <wp:docPr descr="Изменение содержимого переменных двумя способами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содержимого переменных двумя способами</w:t>
      </w:r>
    </w:p>
    <w:p>
      <w:pPr>
        <w:pStyle w:val="BodyText"/>
      </w:pPr>
      <w:r>
        <w:t xml:space="preserve">Вывожу в различных форматах значение регистра edx (рис. -fig. 14).</w:t>
      </w:r>
    </w:p>
    <w:p>
      <w:pPr>
        <w:pStyle w:val="CaptionedFigure"/>
      </w:pPr>
      <w:r>
        <w:drawing>
          <wp:inline>
            <wp:extent cx="3733800" cy="2039397"/>
            <wp:effectExtent b="0" l="0" r="0" t="0"/>
            <wp:docPr descr="Просмотр значения регистра разными представлениями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значения регистра разными представлениями</w:t>
      </w:r>
    </w:p>
    <w:p>
      <w:pPr>
        <w:pStyle w:val="BodyText"/>
      </w:pPr>
      <w:r>
        <w:t xml:space="preserve">С помощью команды set меняю содержимое регистра ebx (рис. -fig. 15).</w:t>
      </w:r>
    </w:p>
    <w:p>
      <w:pPr>
        <w:pStyle w:val="CaptionedFigure"/>
      </w:pPr>
      <w:r>
        <w:drawing>
          <wp:inline>
            <wp:extent cx="3733800" cy="2039397"/>
            <wp:effectExtent b="0" l="0" r="0" t="0"/>
            <wp:docPr descr="Примеры использования команды set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Примеры использования команды set</w:t>
      </w:r>
    </w:p>
    <w:bookmarkEnd w:id="69"/>
    <w:bookmarkStart w:id="86" w:name="X34484a9d02dddcc072527afae661c9b27116987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программу из предыдущей лабораторной работы в текущий каталог и и создаю исполняемый файл с файлом листинга и отладки (рис. -fig. 16).</w:t>
      </w:r>
    </w:p>
    <w:p>
      <w:pPr>
        <w:pStyle w:val="CaptionedFigure"/>
      </w:pPr>
      <w:r>
        <w:drawing>
          <wp:inline>
            <wp:extent cx="3733800" cy="503106"/>
            <wp:effectExtent b="0" l="0" r="0" t="0"/>
            <wp:docPr descr="Подготовка новой программы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Подготовка новой программы</w:t>
      </w:r>
    </w:p>
    <w:p>
      <w:pPr>
        <w:pStyle w:val="BodyText"/>
      </w:pPr>
      <w:r>
        <w:t xml:space="preserve">Запускаю программу с режиме отладки с указанием аргументов, указываю брейкпопнт и запускаю отладку. Проверяю работу стека,</w:t>
      </w:r>
      <w:r>
        <w:t xml:space="preserve"> </w:t>
      </w:r>
      <w:r>
        <w:t xml:space="preserve">изменяя аргумент команды просмотра регистра esp на +4, число обусловлено разрядностью системы, а указатель void занимает как раз 4 байта,</w:t>
      </w:r>
      <w:r>
        <w:t xml:space="preserve"> </w:t>
      </w:r>
      <w:r>
        <w:t xml:space="preserve">ошибка при аргументе +24 означает, что аргументы на вход программы закончились. (рис. -fig. </w:t>
      </w:r>
      <w:r>
        <w:rPr>
          <w:bCs/>
          <w:b/>
        </w:rPr>
        <w:t xml:space="preserve">¿fig:017?</w:t>
      </w:r>
      <w:r>
        <w:t xml:space="preserve">).</w:t>
      </w:r>
    </w:p>
    <w:p>
      <w:pPr>
        <w:pStyle w:val="BodyText"/>
      </w:pPr>
      <w:bookmarkStart w:id="76" w:name="fig:017"/>
      <w:r>
        <w:drawing>
          <wp:inline>
            <wp:extent cx="3733800" cy="3054507"/>
            <wp:effectExtent b="0" l="0" r="0" t="0"/>
            <wp:docPr descr="Проверка работы стека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t xml:space="preserve"> </w:t>
      </w:r>
      <w:r>
        <w:t xml:space="preserve">## 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Меняю программу самостоятельной части предыдущей лабораторной работы с использованием подпрограммы (рис. -fig. 17).</w:t>
      </w:r>
    </w:p>
    <w:p>
      <w:pPr>
        <w:pStyle w:val="CaptionedFigure"/>
      </w:pPr>
      <w:r>
        <w:drawing>
          <wp:inline>
            <wp:extent cx="3733800" cy="3505293"/>
            <wp:effectExtent b="0" l="0" r="0" t="0"/>
            <wp:docPr descr="Измененная программа предыдущей лабораторной работы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Измененная программа предыдущей лабораторной работы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'2x+7='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CommentTok"/>
        </w:rPr>
        <w:t xml:space="preserve">; Основная программа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 </w:t>
      </w:r>
      <w:r>
        <w:rPr>
          <w:rStyle w:val="CommentTok"/>
        </w:rPr>
        <w:t xml:space="preserve">; Вызов подпрограммы _calcul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CommentTok"/>
        </w:rPr>
        <w:t xml:space="preserve">; Подпрограмма вычисления f(g(x)) = 2 * g(x) + 7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CommentTok"/>
        </w:rPr>
        <w:t xml:space="preserve">; Вызов подпрограммы _subcalcul для вычисления g(x)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загружаем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     </w:t>
      </w:r>
      <w:r>
        <w:rPr>
          <w:rStyle w:val="CommentTok"/>
        </w:rPr>
        <w:t xml:space="preserve">; eax = g(x)</w:t>
      </w:r>
      <w:r>
        <w:br/>
      </w:r>
      <w:r>
        <w:br/>
      </w:r>
      <w:r>
        <w:rPr>
          <w:rStyle w:val="CommentTok"/>
        </w:rPr>
        <w:t xml:space="preserve">; Теперь вычисляем f(g(x)) = 2 * g(x) + 7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; eax = 2 * g(x)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eax = 2 * g(x) + 7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сохраняем результат в переменной res</w:t>
      </w:r>
      <w:r>
        <w:br/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CommentTok"/>
        </w:rPr>
        <w:t xml:space="preserve">; Подпрограмма вычисления g(x) = 3 * x - 1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загружаем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; eax = 3 * 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eax = 3 * x - 1</w:t>
      </w:r>
      <w:r>
        <w:br/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NormalTok"/>
        </w:rPr>
        <w:t xml:space="preserve">mi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FloatTok"/>
        </w:rPr>
        <w:t xml:space="preserve">07.12</w:t>
      </w:r>
      <w:r>
        <w:rPr>
          <w:rStyle w:val="FunctionTok"/>
        </w:rPr>
        <w:t xml:space="preserve">.2024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]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2x + 15"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Выводим описание функции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Подготовка для чтения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В ecx количество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В edx адрес списка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Уменьшаем на 1, так как первый элемент - это количество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Инициализируем сумму в 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Сумма, которая будет накапливать результат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          </w:t>
      </w:r>
      <w:r>
        <w:rPr>
          <w:rStyle w:val="CommentTok"/>
        </w:rPr>
        <w:t xml:space="preserve">; Если нет, переходим к выводу результата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Получаем следующий аргумент (x_i)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 </w:t>
      </w:r>
      <w:r>
        <w:rPr>
          <w:rStyle w:val="CommentTok"/>
        </w:rPr>
        <w:t xml:space="preserve">; Преобразуем строку в число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Вызов подпрограммы для вычисления f(x)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Сохраняем аргумент x в стеке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_calculate_fx </w:t>
      </w:r>
      <w:r>
        <w:rPr>
          <w:rStyle w:val="CommentTok"/>
        </w:rPr>
        <w:t xml:space="preserve">; Вычисляем f(x)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Добавляем результат в сумму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Восстанавливаем x (необходимо для следующего вызова)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        </w:t>
      </w:r>
      <w:r>
        <w:rPr>
          <w:rStyle w:val="CommentTok"/>
        </w:rPr>
        <w:t xml:space="preserve">; Переходим к следующему аргументу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Выводим результат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Результат суммы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    </w:t>
      </w:r>
      <w:r>
        <w:rPr>
          <w:rStyle w:val="CommentTok"/>
        </w:rPr>
        <w:t xml:space="preserve">; Выводим результат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Завершаем программу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CommentTok"/>
        </w:rPr>
        <w:t xml:space="preserve">; Подпрограмма для вычисления f(x) = 2x + 15</w:t>
      </w:r>
      <w:r>
        <w:br/>
      </w:r>
      <w:r>
        <w:rPr>
          <w:rStyle w:val="FunctionTok"/>
        </w:rPr>
        <w:t xml:space="preserve">_calculate_fx: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На входе в eax - аргумент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Загружаем 2 в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; eax = eax * ebx (2 * x)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eax = eax + 15 (2x + 15)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; Возвращаем результат в eax</w:t>
      </w:r>
    </w:p>
    <w:p>
      <w:pPr>
        <w:numPr>
          <w:ilvl w:val="0"/>
          <w:numId w:val="1003"/>
        </w:numPr>
        <w:pStyle w:val="Compact"/>
      </w:pPr>
      <w:r>
        <w:t xml:space="preserve">Запускаю программу в режике отладичка и пошагово через si просматриваю изменение значений регистров через i r.</w:t>
      </w:r>
      <w:r>
        <w:t xml:space="preserve"> </w:t>
      </w:r>
      <w:r>
        <w:t xml:space="preserve">При выполнении инструкции mul ecx можно заметить, что результат умножения записывается в регистр eax, но также меняет и edx.</w:t>
      </w:r>
      <w:r>
        <w:t xml:space="preserve"> </w:t>
      </w:r>
      <w:r>
        <w:t xml:space="preserve">Значение регистра ebx не обновляется напрямую, поэтому результат программа неверно подсчитывает функцию (рис. -fig. 18).</w:t>
      </w:r>
    </w:p>
    <w:p>
      <w:pPr>
        <w:pStyle w:val="CaptionedFigure"/>
      </w:pPr>
      <w:r>
        <w:drawing>
          <wp:inline>
            <wp:extent cx="3733800" cy="2516901"/>
            <wp:effectExtent b="0" l="0" r="0" t="0"/>
            <wp:docPr descr="Поиск ошибки в программе через пошаговую отладку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Поиск ошибки в программе через пошаговую отладку</w:t>
      </w:r>
    </w:p>
    <w:p>
      <w:pPr>
        <w:pStyle w:val="BodyText"/>
      </w:pPr>
      <w:r>
        <w:t xml:space="preserve">Исправляю найденную ошибку, теперь программа верно считает значение функции (рис. -fig. 19).</w:t>
      </w:r>
    </w:p>
    <w:p>
      <w:pPr>
        <w:pStyle w:val="CaptionedFigure"/>
      </w:pPr>
      <w:r>
        <w:drawing>
          <wp:inline>
            <wp:extent cx="3733800" cy="2516901"/>
            <wp:effectExtent b="0" l="0" r="0" t="0"/>
            <wp:docPr descr="Проверка корректировок в программме" title="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корректировок в программме</w:t>
      </w:r>
    </w:p>
    <w:p>
      <w:pPr>
        <w:pStyle w:val="BodyText"/>
      </w:pPr>
      <w:r>
        <w:t xml:space="preserve">Код измененной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6"/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подпрограмм, а так же познакомился с методами отладки</w:t>
      </w:r>
      <w:r>
        <w:t xml:space="preserve"> </w:t>
      </w:r>
      <w:r>
        <w:t xml:space="preserve">при поомщи GDB и его основными возможностями.</w:t>
      </w:r>
    </w:p>
    <w:bookmarkEnd w:id="89"/>
    <w:bookmarkStart w:id="9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90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4"/>
        </w:numPr>
        <w:pStyle w:val="Compact"/>
      </w:pPr>
      <w:hyperlink r:id="rId91">
        <w:r>
          <w:rPr>
            <w:rStyle w:val="Hyperlink"/>
          </w:rPr>
          <w:t xml:space="preserve">Лабораторная работа №9</w:t>
        </w:r>
      </w:hyperlink>
    </w:p>
    <w:p>
      <w:pPr>
        <w:numPr>
          <w:ilvl w:val="0"/>
          <w:numId w:val="1004"/>
        </w:numPr>
        <w:pStyle w:val="Compact"/>
      </w:pPr>
      <w:hyperlink r:id="rId92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83" Target="media/rId8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90" Target="https://esystem.rudn.ru/course/view.php?id=112" TargetMode="External" /><Relationship Type="http://schemas.openxmlformats.org/officeDocument/2006/relationships/hyperlink" Id="rId9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1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s://esystem.rudn.ru/course/view.php?id=112" TargetMode="External" /><Relationship Type="http://schemas.openxmlformats.org/officeDocument/2006/relationships/hyperlink" Id="rId9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1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Гашимова Эсма Эльшан кызы</dc:creator>
  <dc:language>ru-RU</dc:language>
  <cp:keywords/>
  <dcterms:created xsi:type="dcterms:W3CDTF">2024-12-07T18:38:28Z</dcterms:created>
  <dcterms:modified xsi:type="dcterms:W3CDTF">2024-12-07T18:38:28Z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