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Практическая работа 2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TestCase и BugReport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«Тестирование мобильных и сетевых приложений»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практической работы: закрепление теоретического материала и формирование навыка создания тестового случая, его проверки и написания формализованного отчета об ошибке, исходя из имеющихся требований к разрабатываемому ПО.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1069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Сформулируйте разницу между контролем качества (QC) и обеспечением качества (QA).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Не копипаст, своими словами.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1069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Составьте не менее 3х TestCase по Практической работе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1069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не менее 3х BugReport, исходя из проведенного тестирования (по TestCase).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1069" w:firstLine="709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выводе необходимо привести обоснование установленным значениям Приоритет и Серьезность дефекта.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Zmk0BpouI2Dtp1jd/FNjXvHpaQ==">CgMxLjA4AHIhMXlsVUlYWko4eU92czdMR2lOZXFjam1YMERDS09kbHA0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