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pBdr>
          <w:bottom w:val="single" w:color="111111" w:sz="12" w:space="8"/>
        </w:pBdr>
        <w:spacing w:after="200" w:before="0"/>
        <w:jc w:val="center"/>
      </w:pPr>
      <w:r>
        <w:rPr>
          <w:rFonts w:ascii="Times New Roman" w:cs="Times New Roman" w:eastAsia="Times New Roman" w:hAnsi="Times New Roman"/>
          <w:b/>
          <w:bCs/>
          <w:i w:val="false"/>
          <w:iCs w:val="false"/>
          <w:color w:val="000000"/>
          <w:sz w:val="36"/>
          <w:szCs w:val="36"/>
        </w:rPr>
        <w:t xml:space="preserve">NEVŞEHİR HACI BEKTAŞ VELİ ÜNİVERSİTESİ</w:t>
      </w:r>
    </w:p>
    <w:p>
      <w:pPr>
        <w:spacing w:after="65" w:before="65" w:line="288" w:lineRule="auto"/>
        <w:ind w:left="0" w:hanging="0"/>
        <w:jc w:val="center"/>
      </w:pPr>
      <w:r>
        <w:rPr>
          <w:rFonts w:ascii="Times New Roman" w:cs="Times New Roman" w:eastAsia="Times New Roman" w:hAnsi="Times New Roman"/>
          <w:b/>
          <w:bCs/>
          <w:i w:val="false"/>
          <w:iCs w:val="false"/>
          <w:color w:val="000000"/>
          <w:sz w:val="28"/>
          <w:szCs w:val="28"/>
        </w:rPr>
        <w:t xml:space="preserve">Mühendislik-Mimarlık Fakültesi</w:t>
      </w:r>
    </w:p>
    <w:p>
      <w:pPr>
        <w:spacing w:after="65" w:before="65" w:line="288" w:lineRule="auto"/>
        <w:ind w:left="0" w:hanging="0"/>
        <w:jc w:val="center"/>
      </w:pPr>
      <w:r>
        <w:rPr>
          <w:rFonts w:ascii="Times New Roman" w:cs="Times New Roman" w:eastAsia="Times New Roman" w:hAnsi="Times New Roman"/>
          <w:b w:val="false"/>
          <w:bCs w:val="false"/>
          <w:i w:val="false"/>
          <w:iCs w:val="false"/>
          <w:color w:val="000000"/>
          <w:sz w:val="26"/>
          <w:szCs w:val="26"/>
        </w:rPr>
        <w:t xml:space="preserve">Bilgisayar Mühendisliği Bölümü</w:t>
      </w:r>
    </w:p>
    <w:p>
      <w:pPr>
        <w:spacing w:after="0" w:before="0"/>
      </w:pPr>
      <w:r>
        <w:t xml:space="preserve"/>
      </w:r>
    </w:p>
    <w:p>
      <w:pPr>
        <w:spacing w:after="0" w:before="0"/>
      </w:pPr>
      <w:r>
        <w:t xml:space="preserve"/>
      </w:r>
    </w:p>
    <w:p>
      <w:pPr>
        <w:spacing w:after="0" w:before="0"/>
      </w:pPr>
      <w:r>
        <w:t xml:space="preserve"/>
      </w:r>
    </w:p>
    <w:p>
      <w:pPr>
        <w:pBdr>
          <w:top w:val="single" w:color="111111" w:sz="10" w:space="8"/>
          <w:bottom w:val="single" w:color="111111" w:sz="10" w:space="8"/>
        </w:pBdr>
        <w:spacing w:after="120" w:before="120"/>
        <w:jc w:val="center"/>
      </w:pPr>
      <w:r>
        <w:rPr>
          <w:rFonts w:ascii="Times New Roman" w:cs="Times New Roman" w:eastAsia="Times New Roman" w:hAnsi="Times New Roman"/>
          <w:b/>
          <w:bCs/>
          <w:i w:val="false"/>
          <w:iCs w:val="false"/>
          <w:color w:val="000000"/>
          <w:sz w:val="28"/>
          <w:szCs w:val="28"/>
        </w:rPr>
        <w:t xml:space="preserve">DOĞAL DİL İŞLEME — PROJE RAPORU</w:t>
      </w:r>
    </w:p>
    <w:p>
      <w:pPr>
        <w:spacing w:after="0" w:before="0"/>
      </w:pPr>
      <w:r>
        <w:t xml:space="preserve"/>
      </w:r>
    </w:p>
    <w:p>
      <w:pPr>
        <w:spacing w:after="65" w:before="65" w:line="288" w:lineRule="auto"/>
        <w:ind w:left="0" w:hanging="0"/>
        <w:jc w:val="center"/>
      </w:pPr>
      <w:r>
        <w:rPr>
          <w:rFonts w:ascii="Times New Roman" w:cs="Times New Roman" w:eastAsia="Times New Roman" w:hAnsi="Times New Roman"/>
          <w:b/>
          <w:bCs/>
          <w:i w:val="false"/>
          <w:iCs w:val="false"/>
          <w:color w:val="000000"/>
          <w:sz w:val="34"/>
          <w:szCs w:val="34"/>
        </w:rPr>
        <w:t xml:space="preserve">Türkçe Metin Tabanlı Duygu Analizi:</w:t>
      </w:r>
    </w:p>
    <w:p>
      <w:pPr>
        <w:spacing w:after="65" w:before="65" w:line="288" w:lineRule="auto"/>
        <w:ind w:left="0" w:hanging="0"/>
        <w:jc w:val="center"/>
      </w:pPr>
      <w:r>
        <w:rPr>
          <w:rFonts w:ascii="Times New Roman" w:cs="Times New Roman" w:eastAsia="Times New Roman" w:hAnsi="Times New Roman"/>
          <w:b/>
          <w:bCs/>
          <w:i w:val="false"/>
          <w:iCs w:val="false"/>
          <w:color w:val="000000"/>
          <w:sz w:val="32"/>
          <w:szCs w:val="32"/>
        </w:rPr>
        <w:t xml:space="preserve">Kural Tabanlı Leksikon Yaklaşımı ve</w:t>
      </w:r>
    </w:p>
    <w:p>
      <w:pPr>
        <w:spacing w:after="65" w:before="65" w:line="288" w:lineRule="auto"/>
        <w:ind w:left="0" w:hanging="0"/>
        <w:jc w:val="center"/>
      </w:pPr>
      <w:r>
        <w:rPr>
          <w:rFonts w:ascii="Times New Roman" w:cs="Times New Roman" w:eastAsia="Times New Roman" w:hAnsi="Times New Roman"/>
          <w:b/>
          <w:bCs/>
          <w:i w:val="false"/>
          <w:iCs w:val="false"/>
          <w:color w:val="000000"/>
          <w:sz w:val="32"/>
          <w:szCs w:val="32"/>
        </w:rPr>
        <w:t xml:space="preserve">Açıklanabilir Yapay Zeka (SHAP &amp; LIME)</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tbl>
      <w:tblPr>
        <w:tblW w:type="dxa" w:w="6804"/>
        <w:tblBorders>
          <w:top w:val="single" w:color="auto" w:sz="4"/>
          <w:left w:val="single" w:color="auto" w:sz="4"/>
          <w:bottom w:val="single" w:color="auto" w:sz="4"/>
          <w:right w:val="single" w:color="auto" w:sz="4"/>
          <w:insideH w:val="single" w:color="auto" w:sz="4"/>
          <w:insideV w:val="single" w:color="auto" w:sz="4"/>
        </w:tblBorders>
      </w:tblPr>
      <w:tblGrid>
        <w:gridCol w:w="1985"/>
        <w:gridCol w:w="4820"/>
      </w:tblGrid>
      <w:tr>
        <w:trPr>
          <w:tblHeader/>
        </w:trPr>
        <w:tc>
          <w:tcPr>
            <w:tcW w:type="dxa" w:w="1985"/>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Alan</w:t>
            </w:r>
          </w:p>
        </w:tc>
        <w:tc>
          <w:tcPr>
            <w:tcW w:type="dxa" w:w="4820"/>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Bilgi</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Hazırlayan</w:t>
            </w:r>
          </w:p>
        </w:tc>
        <w:tc>
          <w:tcPr>
            <w:tcW w:type="dxa" w:w="4820"/>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Esma Sıla Şahinci</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Öğrenci No</w:t>
            </w:r>
          </w:p>
        </w:tc>
        <w:tc>
          <w:tcPr>
            <w:tcW w:type="dxa" w:w="4820"/>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Ders</w:t>
            </w:r>
          </w:p>
        </w:tc>
        <w:tc>
          <w:tcPr>
            <w:tcW w:type="dxa" w:w="4820"/>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Doğal Dil İşleme</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Danışman</w:t>
            </w:r>
          </w:p>
        </w:tc>
        <w:tc>
          <w:tcPr>
            <w:tcW w:type="dxa" w:w="4820"/>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Akademik Yıl</w:t>
            </w:r>
          </w:p>
        </w:tc>
        <w:tc>
          <w:tcPr>
            <w:tcW w:type="dxa" w:w="4820"/>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2025 – 2026 Bahar</w:t>
            </w:r>
          </w:p>
        </w:tc>
      </w:tr>
    </w:tbl>
    <w:p>
      <w:pPr>
        <w:spacing w:after="0" w:before="0"/>
      </w:pPr>
      <w:r>
        <w:t xml:space="preserve"/>
      </w:r>
    </w:p>
    <w:p>
      <w:pPr>
        <w:spacing w:after="0" w:before="0"/>
      </w:pPr>
      <w:r>
        <w:t xml:space="preserve"/>
      </w:r>
    </w:p>
    <w:p>
      <w:pPr>
        <w:spacing w:after="65" w:before="65" w:line="288" w:lineRule="auto"/>
        <w:ind w:left="0" w:hanging="0"/>
        <w:jc w:val="center"/>
      </w:pPr>
      <w:r>
        <w:rPr>
          <w:rFonts w:ascii="Times New Roman" w:cs="Times New Roman" w:eastAsia="Times New Roman" w:hAnsi="Times New Roman"/>
          <w:b/>
          <w:bCs/>
          <w:i w:val="false"/>
          <w:iCs w:val="false"/>
          <w:color w:val="000000"/>
          <w:sz w:val="24"/>
          <w:szCs w:val="24"/>
        </w:rPr>
        <w:t xml:space="preserve">NEVŞEHİR — 2026</w:t>
      </w:r>
    </w:p>
    <w:p>
      <w:pPr>
        <w:sectPr>
          <w:pgSz w:w="11906" w:h="16838" w:orient="portrait"/>
          <w:pgMar w:top="1418" w:right="1418" w:bottom="1418" w:left="1701" w:header="708" w:footer="708" w:gutter="0"/>
          <w:pgNumType/>
          <w:docGrid w:linePitch="360"/>
        </w:sectPr>
      </w:pPr>
    </w:p>
    <w:p>
      <w:pPr>
        <w:spacing w:after="180" w:before="0" w:line="288" w:lineRule="auto"/>
        <w:ind w:left="0" w:hanging="0"/>
        <w:jc w:val="center"/>
      </w:pPr>
      <w:r>
        <w:rPr>
          <w:rFonts w:ascii="Times New Roman" w:cs="Times New Roman" w:eastAsia="Times New Roman" w:hAnsi="Times New Roman"/>
          <w:b/>
          <w:bCs/>
          <w:i w:val="false"/>
          <w:iCs w:val="false"/>
          <w:color w:val="000000"/>
          <w:sz w:val="30"/>
          <w:szCs w:val="30"/>
        </w:rPr>
        <w:t xml:space="preserve">ÖZET</w:t>
      </w:r>
    </w:p>
    <w:p>
      <w:pPr>
        <w:pBdr>
          <w:top w:val="single" w:color="AAAAAA" w:sz="4" w:space="8"/>
          <w:bottom w:val="single" w:color="AAAAAA" w:sz="4" w:space="8"/>
          <w:left w:val="single" w:color="333333" w:sz="12" w:space="12"/>
          <w:right w:val="single" w:color="333333" w:sz="12" w:space="12"/>
        </w:pBdr>
        <w:spacing w:after="100" w:before="0" w:line="296" w:lineRule="auto"/>
        <w:ind w:left="680" w:right="680"/>
        <w:jc w:val="both"/>
      </w:pPr>
      <w:r>
        <w:rPr>
          <w:rFonts w:ascii="Times New Roman" w:cs="Times New Roman" w:eastAsia="Times New Roman" w:hAnsi="Times New Roman"/>
          <w:b w:val="false"/>
          <w:bCs w:val="false"/>
          <w:i w:val="false"/>
          <w:iCs w:val="false"/>
          <w:color w:val="000000"/>
          <w:sz w:val="24"/>
          <w:szCs w:val="24"/>
        </w:rPr>
        <w:t xml:space="preserve">Bu çalışmada Türkçe metinlere yönelik kural tabanlı bir duygu analizi (sentiment analysis) sistemi geliştirilmiştir. Sistem; pozitif (POS_WORDS), negatif (NEG_WORDS) ve nötr (NEU_WORDS) olmak üzere üç sözlükten, olumsuzlayıcı (NEGATORS) ve pekiştirici (INTENSIFIERS) kural kümelerinden oluşan bir leksikon motoru üzerine kurulmuştur. Kararların yorumlanabilirliğini sağlamak amacıyla iki Açıklanabilir Yapay Zeka (XAI) yöntemi entegre edilmiştir: SHAP (Shapley Additive Explanations) ve LIME (Local Interpretable Model-agnostic Explanations). Her iki yöntem, hangi kelimelerin karar üzerinde ne ölçüde belirleyici olduğunu sayısal olarak ölçmekte ve karşılaştırmalı biçimde sunulmaktadır. Sistem, herhangi bir sunucu altyapısı gerektirmeyen saf JavaScript tabanlı bir web uygulamasına dönüştürülmüş; kelime ısı haritası, çubuk grafikler ve yöntem karşılaştırma tablosundan oluşan interaktif bir kullanıcı arayüzü ile kullanıcıya sunulmuştur.</w:t>
      </w:r>
    </w:p>
    <w:p>
      <w:pPr>
        <w:spacing w:after="160" w:before="100"/>
        <w:ind w:left="680" w:right="680"/>
      </w:pPr>
      <w:r>
        <w:rPr>
          <w:rFonts w:ascii="Times New Roman" w:cs="Times New Roman" w:eastAsia="Times New Roman" w:hAnsi="Times New Roman"/>
          <w:b/>
          <w:bCs/>
          <w:i w:val="false"/>
          <w:iCs w:val="false"/>
          <w:color w:val="000000"/>
          <w:sz w:val="24"/>
          <w:szCs w:val="24"/>
        </w:rPr>
        <w:t xml:space="preserve">Anahtar Kelimeler: </w:t>
      </w:r>
      <w:r>
        <w:rPr>
          <w:rFonts w:ascii="Times New Roman" w:cs="Times New Roman" w:eastAsia="Times New Roman" w:hAnsi="Times New Roman"/>
          <w:b w:val="false"/>
          <w:bCs w:val="false"/>
          <w:i/>
          <w:iCs/>
          <w:color w:val="000000"/>
          <w:sz w:val="24"/>
          <w:szCs w:val="24"/>
        </w:rPr>
        <w:t xml:space="preserve">Duygu Analizi, Doğal Dil İşleme, Türkçe NLP, Açıklanabilir Yapay Zeka, SHAP, LIME, Leksikon, Kural Tabanlı Sistem, Yorumlanabilirlik</w:t>
      </w:r>
    </w:p>
    <w:p>
      <w:r>
        <w:br w:type="page"/>
      </w:r>
    </w:p>
    <w:p>
      <w:pPr>
        <w:spacing w:after="220" w:before="0" w:line="288" w:lineRule="auto"/>
        <w:ind w:left="0" w:hanging="0"/>
        <w:jc w:val="center"/>
      </w:pPr>
      <w:r>
        <w:rPr>
          <w:rFonts w:ascii="Times New Roman" w:cs="Times New Roman" w:eastAsia="Times New Roman" w:hAnsi="Times New Roman"/>
          <w:b/>
          <w:bCs/>
          <w:i w:val="false"/>
          <w:iCs w:val="false"/>
          <w:color w:val="000000"/>
          <w:sz w:val="30"/>
          <w:szCs w:val="30"/>
        </w:rPr>
        <w:t xml:space="preserve">İÇİNDEKİLER</w:t>
      </w:r>
    </w:p>
    <w:p>
      <w:pPr>
        <w:tabs>
          <w:tab w:val="right" w:pos="9026"/>
        </w:tabs>
        <w:spacing w:after="55" w:before="55"/>
        <w:ind w:left="0"/>
      </w:pPr>
      <w:r>
        <w:rPr>
          <w:rFonts w:ascii="Times New Roman" w:cs="Times New Roman" w:eastAsia="Times New Roman" w:hAnsi="Times New Roman"/>
          <w:b/>
          <w:bCs/>
          <w:i w:val="false"/>
          <w:iCs w:val="false"/>
          <w:color w:val="000000"/>
          <w:sz w:val="24"/>
          <w:szCs w:val="24"/>
        </w:rPr>
        <w:t xml:space="preserve">1.  Giriş</w:t>
      </w:r>
      <w:r>
        <w:rPr>
          <w:rFonts w:ascii="Times New Roman" w:cs="Times New Roman" w:eastAsia="Times New Roman" w:hAnsi="Times New Roman"/>
          <w:b w:val="false"/>
          <w:bCs w:val="false"/>
          <w:i w:val="false"/>
          <w:iCs w:val="false"/>
          <w:color w:val="000000"/>
          <w:sz w:val="24"/>
          <w:szCs w:val="24"/>
        </w:rPr>
        <w:t xml:space="preserve">	4</w:t>
      </w:r>
    </w:p>
    <w:p>
      <w:pPr>
        <w:tabs>
          <w:tab w:val="right" w:pos="9026"/>
        </w:tabs>
        <w:spacing w:after="30" w:before="30"/>
        <w:ind w:left="369"/>
      </w:pPr>
      <w:r>
        <w:rPr>
          <w:rFonts w:ascii="Times New Roman" w:cs="Times New Roman" w:eastAsia="Times New Roman" w:hAnsi="Times New Roman"/>
          <w:b w:val="false"/>
          <w:bCs w:val="false"/>
          <w:i w:val="false"/>
          <w:iCs w:val="false"/>
          <w:color w:val="000000"/>
          <w:sz w:val="22"/>
          <w:szCs w:val="22"/>
        </w:rPr>
        <w:t xml:space="preserve">1.1.  Çalışmanın Amacı ve Kapsamı</w:t>
      </w:r>
      <w:r>
        <w:rPr>
          <w:rFonts w:ascii="Times New Roman" w:cs="Times New Roman" w:eastAsia="Times New Roman" w:hAnsi="Times New Roman"/>
          <w:b w:val="false"/>
          <w:bCs w:val="false"/>
          <w:i w:val="false"/>
          <w:iCs w:val="false"/>
          <w:color w:val="000000"/>
          <w:sz w:val="22"/>
          <w:szCs w:val="22"/>
        </w:rPr>
        <w:t xml:space="preserve">	4</w:t>
      </w:r>
    </w:p>
    <w:p>
      <w:pPr>
        <w:tabs>
          <w:tab w:val="right" w:pos="9026"/>
        </w:tabs>
        <w:spacing w:after="30" w:before="30"/>
        <w:ind w:left="369"/>
      </w:pPr>
      <w:r>
        <w:rPr>
          <w:rFonts w:ascii="Times New Roman" w:cs="Times New Roman" w:eastAsia="Times New Roman" w:hAnsi="Times New Roman"/>
          <w:b w:val="false"/>
          <w:bCs w:val="false"/>
          <w:i w:val="false"/>
          <w:iCs w:val="false"/>
          <w:color w:val="000000"/>
          <w:sz w:val="22"/>
          <w:szCs w:val="22"/>
        </w:rPr>
        <w:t xml:space="preserve">1.2.  Motivasyon</w:t>
      </w:r>
      <w:r>
        <w:rPr>
          <w:rFonts w:ascii="Times New Roman" w:cs="Times New Roman" w:eastAsia="Times New Roman" w:hAnsi="Times New Roman"/>
          <w:b w:val="false"/>
          <w:bCs w:val="false"/>
          <w:i w:val="false"/>
          <w:iCs w:val="false"/>
          <w:color w:val="000000"/>
          <w:sz w:val="22"/>
          <w:szCs w:val="22"/>
        </w:rPr>
        <w:t xml:space="preserve">	5</w:t>
      </w:r>
    </w:p>
    <w:p>
      <w:pPr>
        <w:tabs>
          <w:tab w:val="right" w:pos="9026"/>
        </w:tabs>
        <w:spacing w:after="55" w:before="55"/>
        <w:ind w:left="0"/>
      </w:pPr>
      <w:r>
        <w:rPr>
          <w:rFonts w:ascii="Times New Roman" w:cs="Times New Roman" w:eastAsia="Times New Roman" w:hAnsi="Times New Roman"/>
          <w:b/>
          <w:bCs/>
          <w:i w:val="false"/>
          <w:iCs w:val="false"/>
          <w:color w:val="000000"/>
          <w:sz w:val="24"/>
          <w:szCs w:val="24"/>
        </w:rPr>
        <w:t xml:space="preserve">2.  Literatür Taraması</w:t>
      </w:r>
      <w:r>
        <w:rPr>
          <w:rFonts w:ascii="Times New Roman" w:cs="Times New Roman" w:eastAsia="Times New Roman" w:hAnsi="Times New Roman"/>
          <w:b w:val="false"/>
          <w:bCs w:val="false"/>
          <w:i w:val="false"/>
          <w:iCs w:val="false"/>
          <w:color w:val="000000"/>
          <w:sz w:val="24"/>
          <w:szCs w:val="24"/>
        </w:rPr>
        <w:t xml:space="preserve">	5</w:t>
      </w:r>
    </w:p>
    <w:p>
      <w:pPr>
        <w:tabs>
          <w:tab w:val="right" w:pos="9026"/>
        </w:tabs>
        <w:spacing w:after="30" w:before="30"/>
        <w:ind w:left="369"/>
      </w:pPr>
      <w:r>
        <w:rPr>
          <w:rFonts w:ascii="Times New Roman" w:cs="Times New Roman" w:eastAsia="Times New Roman" w:hAnsi="Times New Roman"/>
          <w:b w:val="false"/>
          <w:bCs w:val="false"/>
          <w:i w:val="false"/>
          <w:iCs w:val="false"/>
          <w:color w:val="000000"/>
          <w:sz w:val="22"/>
          <w:szCs w:val="22"/>
        </w:rPr>
        <w:t xml:space="preserve">2.1.  Duygu Analizi</w:t>
      </w:r>
      <w:r>
        <w:rPr>
          <w:rFonts w:ascii="Times New Roman" w:cs="Times New Roman" w:eastAsia="Times New Roman" w:hAnsi="Times New Roman"/>
          <w:b w:val="false"/>
          <w:bCs w:val="false"/>
          <w:i w:val="false"/>
          <w:iCs w:val="false"/>
          <w:color w:val="000000"/>
          <w:sz w:val="22"/>
          <w:szCs w:val="22"/>
        </w:rPr>
        <w:t xml:space="preserve">	5</w:t>
      </w:r>
    </w:p>
    <w:p>
      <w:pPr>
        <w:tabs>
          <w:tab w:val="right" w:pos="9026"/>
        </w:tabs>
        <w:spacing w:after="30" w:before="30"/>
        <w:ind w:left="369"/>
      </w:pPr>
      <w:r>
        <w:rPr>
          <w:rFonts w:ascii="Times New Roman" w:cs="Times New Roman" w:eastAsia="Times New Roman" w:hAnsi="Times New Roman"/>
          <w:b w:val="false"/>
          <w:bCs w:val="false"/>
          <w:i w:val="false"/>
          <w:iCs w:val="false"/>
          <w:color w:val="000000"/>
          <w:sz w:val="22"/>
          <w:szCs w:val="22"/>
        </w:rPr>
        <w:t xml:space="preserve">2.2.  Türkçe Doğal Dil İşleme</w:t>
      </w:r>
      <w:r>
        <w:rPr>
          <w:rFonts w:ascii="Times New Roman" w:cs="Times New Roman" w:eastAsia="Times New Roman" w:hAnsi="Times New Roman"/>
          <w:b w:val="false"/>
          <w:bCs w:val="false"/>
          <w:i w:val="false"/>
          <w:iCs w:val="false"/>
          <w:color w:val="000000"/>
          <w:sz w:val="22"/>
          <w:szCs w:val="22"/>
        </w:rPr>
        <w:t xml:space="preserve">	5</w:t>
      </w:r>
    </w:p>
    <w:p>
      <w:pPr>
        <w:tabs>
          <w:tab w:val="right" w:pos="9026"/>
        </w:tabs>
        <w:spacing w:after="30" w:before="30"/>
        <w:ind w:left="369"/>
      </w:pPr>
      <w:r>
        <w:rPr>
          <w:rFonts w:ascii="Times New Roman" w:cs="Times New Roman" w:eastAsia="Times New Roman" w:hAnsi="Times New Roman"/>
          <w:b w:val="false"/>
          <w:bCs w:val="false"/>
          <w:i w:val="false"/>
          <w:iCs w:val="false"/>
          <w:color w:val="000000"/>
          <w:sz w:val="22"/>
          <w:szCs w:val="22"/>
        </w:rPr>
        <w:t xml:space="preserve">2.3.  SHAP Yöntemi</w:t>
      </w:r>
      <w:r>
        <w:rPr>
          <w:rFonts w:ascii="Times New Roman" w:cs="Times New Roman" w:eastAsia="Times New Roman" w:hAnsi="Times New Roman"/>
          <w:b w:val="false"/>
          <w:bCs w:val="false"/>
          <w:i w:val="false"/>
          <w:iCs w:val="false"/>
          <w:color w:val="000000"/>
          <w:sz w:val="22"/>
          <w:szCs w:val="22"/>
        </w:rPr>
        <w:t xml:space="preserve">	6</w:t>
      </w:r>
    </w:p>
    <w:p>
      <w:pPr>
        <w:tabs>
          <w:tab w:val="right" w:pos="9026"/>
        </w:tabs>
        <w:spacing w:after="30" w:before="30"/>
        <w:ind w:left="369"/>
      </w:pPr>
      <w:r>
        <w:rPr>
          <w:rFonts w:ascii="Times New Roman" w:cs="Times New Roman" w:eastAsia="Times New Roman" w:hAnsi="Times New Roman"/>
          <w:b w:val="false"/>
          <w:bCs w:val="false"/>
          <w:i w:val="false"/>
          <w:iCs w:val="false"/>
          <w:color w:val="000000"/>
          <w:sz w:val="22"/>
          <w:szCs w:val="22"/>
        </w:rPr>
        <w:t xml:space="preserve">2.4.  LIME Yöntemi</w:t>
      </w:r>
      <w:r>
        <w:rPr>
          <w:rFonts w:ascii="Times New Roman" w:cs="Times New Roman" w:eastAsia="Times New Roman" w:hAnsi="Times New Roman"/>
          <w:b w:val="false"/>
          <w:bCs w:val="false"/>
          <w:i w:val="false"/>
          <w:iCs w:val="false"/>
          <w:color w:val="000000"/>
          <w:sz w:val="22"/>
          <w:szCs w:val="22"/>
        </w:rPr>
        <w:t xml:space="preserve">	6</w:t>
      </w:r>
    </w:p>
    <w:p>
      <w:pPr>
        <w:tabs>
          <w:tab w:val="right" w:pos="9026"/>
        </w:tabs>
        <w:spacing w:after="55" w:before="55"/>
        <w:ind w:left="0"/>
      </w:pPr>
      <w:r>
        <w:rPr>
          <w:rFonts w:ascii="Times New Roman" w:cs="Times New Roman" w:eastAsia="Times New Roman" w:hAnsi="Times New Roman"/>
          <w:b/>
          <w:bCs/>
          <w:i w:val="false"/>
          <w:iCs w:val="false"/>
          <w:color w:val="000000"/>
          <w:sz w:val="24"/>
          <w:szCs w:val="24"/>
        </w:rPr>
        <w:t xml:space="preserve">3.  Sistem Mimarisi</w:t>
      </w:r>
      <w:r>
        <w:rPr>
          <w:rFonts w:ascii="Times New Roman" w:cs="Times New Roman" w:eastAsia="Times New Roman" w:hAnsi="Times New Roman"/>
          <w:b w:val="false"/>
          <w:bCs w:val="false"/>
          <w:i w:val="false"/>
          <w:iCs w:val="false"/>
          <w:color w:val="000000"/>
          <w:sz w:val="24"/>
          <w:szCs w:val="24"/>
        </w:rPr>
        <w:t xml:space="preserve">	6</w:t>
      </w:r>
    </w:p>
    <w:p>
      <w:pPr>
        <w:tabs>
          <w:tab w:val="right" w:pos="9026"/>
        </w:tabs>
        <w:spacing w:after="55" w:before="55"/>
        <w:ind w:left="0"/>
      </w:pPr>
      <w:r>
        <w:rPr>
          <w:rFonts w:ascii="Times New Roman" w:cs="Times New Roman" w:eastAsia="Times New Roman" w:hAnsi="Times New Roman"/>
          <w:b/>
          <w:bCs/>
          <w:i w:val="false"/>
          <w:iCs w:val="false"/>
          <w:color w:val="000000"/>
          <w:sz w:val="24"/>
          <w:szCs w:val="24"/>
        </w:rPr>
        <w:t xml:space="preserve">4.  Duygu Analizi Motoru</w:t>
      </w:r>
      <w:r>
        <w:rPr>
          <w:rFonts w:ascii="Times New Roman" w:cs="Times New Roman" w:eastAsia="Times New Roman" w:hAnsi="Times New Roman"/>
          <w:b w:val="false"/>
          <w:bCs w:val="false"/>
          <w:i w:val="false"/>
          <w:iCs w:val="false"/>
          <w:color w:val="000000"/>
          <w:sz w:val="24"/>
          <w:szCs w:val="24"/>
        </w:rPr>
        <w:t xml:space="preserve">	7</w:t>
      </w:r>
    </w:p>
    <w:p>
      <w:pPr>
        <w:tabs>
          <w:tab w:val="right" w:pos="9026"/>
        </w:tabs>
        <w:spacing w:after="30" w:before="30"/>
        <w:ind w:left="369"/>
      </w:pPr>
      <w:r>
        <w:rPr>
          <w:rFonts w:ascii="Times New Roman" w:cs="Times New Roman" w:eastAsia="Times New Roman" w:hAnsi="Times New Roman"/>
          <w:b w:val="false"/>
          <w:bCs w:val="false"/>
          <w:i w:val="false"/>
          <w:iCs w:val="false"/>
          <w:color w:val="000000"/>
          <w:sz w:val="22"/>
          <w:szCs w:val="22"/>
        </w:rPr>
        <w:t xml:space="preserve">4.1.  Leksikon Sözlükleri</w:t>
      </w:r>
      <w:r>
        <w:rPr>
          <w:rFonts w:ascii="Times New Roman" w:cs="Times New Roman" w:eastAsia="Times New Roman" w:hAnsi="Times New Roman"/>
          <w:b w:val="false"/>
          <w:bCs w:val="false"/>
          <w:i w:val="false"/>
          <w:iCs w:val="false"/>
          <w:color w:val="000000"/>
          <w:sz w:val="22"/>
          <w:szCs w:val="22"/>
        </w:rPr>
        <w:t xml:space="preserve">	7</w:t>
      </w:r>
    </w:p>
    <w:p>
      <w:pPr>
        <w:tabs>
          <w:tab w:val="right" w:pos="9026"/>
        </w:tabs>
        <w:spacing w:after="30" w:before="30"/>
        <w:ind w:left="369"/>
      </w:pPr>
      <w:r>
        <w:rPr>
          <w:rFonts w:ascii="Times New Roman" w:cs="Times New Roman" w:eastAsia="Times New Roman" w:hAnsi="Times New Roman"/>
          <w:b w:val="false"/>
          <w:bCs w:val="false"/>
          <w:i w:val="false"/>
          <w:iCs w:val="false"/>
          <w:color w:val="000000"/>
          <w:sz w:val="22"/>
          <w:szCs w:val="22"/>
        </w:rPr>
        <w:t xml:space="preserve">4.2.  Tokenizasyon ve Öncelik Sırası</w:t>
      </w:r>
      <w:r>
        <w:rPr>
          <w:rFonts w:ascii="Times New Roman" w:cs="Times New Roman" w:eastAsia="Times New Roman" w:hAnsi="Times New Roman"/>
          <w:b w:val="false"/>
          <w:bCs w:val="false"/>
          <w:i w:val="false"/>
          <w:iCs w:val="false"/>
          <w:color w:val="000000"/>
          <w:sz w:val="22"/>
          <w:szCs w:val="22"/>
        </w:rPr>
        <w:t xml:space="preserve">	8</w:t>
      </w:r>
    </w:p>
    <w:p>
      <w:pPr>
        <w:tabs>
          <w:tab w:val="right" w:pos="9026"/>
        </w:tabs>
        <w:spacing w:after="30" w:before="30"/>
        <w:ind w:left="369"/>
      </w:pPr>
      <w:r>
        <w:rPr>
          <w:rFonts w:ascii="Times New Roman" w:cs="Times New Roman" w:eastAsia="Times New Roman" w:hAnsi="Times New Roman"/>
          <w:b w:val="false"/>
          <w:bCs w:val="false"/>
          <w:i w:val="false"/>
          <w:iCs w:val="false"/>
          <w:color w:val="000000"/>
          <w:sz w:val="22"/>
          <w:szCs w:val="22"/>
        </w:rPr>
        <w:t xml:space="preserve">4.3.  Olumsuzlayıcı ve Pekiştirici Kurallar</w:t>
      </w:r>
      <w:r>
        <w:rPr>
          <w:rFonts w:ascii="Times New Roman" w:cs="Times New Roman" w:eastAsia="Times New Roman" w:hAnsi="Times New Roman"/>
          <w:b w:val="false"/>
          <w:bCs w:val="false"/>
          <w:i w:val="false"/>
          <w:iCs w:val="false"/>
          <w:color w:val="000000"/>
          <w:sz w:val="22"/>
          <w:szCs w:val="22"/>
        </w:rPr>
        <w:t xml:space="preserve">	8</w:t>
      </w:r>
    </w:p>
    <w:p>
      <w:pPr>
        <w:tabs>
          <w:tab w:val="right" w:pos="9026"/>
        </w:tabs>
        <w:spacing w:after="30" w:before="30"/>
        <w:ind w:left="369"/>
      </w:pPr>
      <w:r>
        <w:rPr>
          <w:rFonts w:ascii="Times New Roman" w:cs="Times New Roman" w:eastAsia="Times New Roman" w:hAnsi="Times New Roman"/>
          <w:b w:val="false"/>
          <w:bCs w:val="false"/>
          <w:i w:val="false"/>
          <w:iCs w:val="false"/>
          <w:color w:val="000000"/>
          <w:sz w:val="22"/>
          <w:szCs w:val="22"/>
        </w:rPr>
        <w:t xml:space="preserve">4.4.  Nötr Kelime Tespiti</w:t>
      </w:r>
      <w:r>
        <w:rPr>
          <w:rFonts w:ascii="Times New Roman" w:cs="Times New Roman" w:eastAsia="Times New Roman" w:hAnsi="Times New Roman"/>
          <w:b w:val="false"/>
          <w:bCs w:val="false"/>
          <w:i w:val="false"/>
          <w:iCs w:val="false"/>
          <w:color w:val="000000"/>
          <w:sz w:val="22"/>
          <w:szCs w:val="22"/>
        </w:rPr>
        <w:t xml:space="preserve">	9</w:t>
      </w:r>
    </w:p>
    <w:p>
      <w:pPr>
        <w:tabs>
          <w:tab w:val="right" w:pos="9026"/>
        </w:tabs>
        <w:spacing w:after="30" w:before="30"/>
        <w:ind w:left="369"/>
      </w:pPr>
      <w:r>
        <w:rPr>
          <w:rFonts w:ascii="Times New Roman" w:cs="Times New Roman" w:eastAsia="Times New Roman" w:hAnsi="Times New Roman"/>
          <w:b w:val="false"/>
          <w:bCs w:val="false"/>
          <w:i w:val="false"/>
          <w:iCs w:val="false"/>
          <w:color w:val="000000"/>
          <w:sz w:val="22"/>
          <w:szCs w:val="22"/>
        </w:rPr>
        <w:t xml:space="preserve">4.5.  Skor Hesaplama ve Güven Değeri</w:t>
      </w:r>
      <w:r>
        <w:rPr>
          <w:rFonts w:ascii="Times New Roman" w:cs="Times New Roman" w:eastAsia="Times New Roman" w:hAnsi="Times New Roman"/>
          <w:b w:val="false"/>
          <w:bCs w:val="false"/>
          <w:i w:val="false"/>
          <w:iCs w:val="false"/>
          <w:color w:val="000000"/>
          <w:sz w:val="22"/>
          <w:szCs w:val="22"/>
        </w:rPr>
        <w:t xml:space="preserve">	9</w:t>
      </w:r>
    </w:p>
    <w:p>
      <w:pPr>
        <w:tabs>
          <w:tab w:val="right" w:pos="9026"/>
        </w:tabs>
        <w:spacing w:after="55" w:before="55"/>
        <w:ind w:left="0"/>
      </w:pPr>
      <w:r>
        <w:rPr>
          <w:rFonts w:ascii="Times New Roman" w:cs="Times New Roman" w:eastAsia="Times New Roman" w:hAnsi="Times New Roman"/>
          <w:b/>
          <w:bCs/>
          <w:i w:val="false"/>
          <w:iCs w:val="false"/>
          <w:color w:val="000000"/>
          <w:sz w:val="24"/>
          <w:szCs w:val="24"/>
        </w:rPr>
        <w:t xml:space="preserve">5.  Açıklanabilir Yapay Zeka (XAI)</w:t>
      </w:r>
      <w:r>
        <w:rPr>
          <w:rFonts w:ascii="Times New Roman" w:cs="Times New Roman" w:eastAsia="Times New Roman" w:hAnsi="Times New Roman"/>
          <w:b w:val="false"/>
          <w:bCs w:val="false"/>
          <w:i w:val="false"/>
          <w:iCs w:val="false"/>
          <w:color w:val="000000"/>
          <w:sz w:val="24"/>
          <w:szCs w:val="24"/>
        </w:rPr>
        <w:t xml:space="preserve">	10</w:t>
      </w:r>
    </w:p>
    <w:p>
      <w:pPr>
        <w:tabs>
          <w:tab w:val="right" w:pos="9026"/>
        </w:tabs>
        <w:spacing w:after="30" w:before="30"/>
        <w:ind w:left="369"/>
      </w:pPr>
      <w:r>
        <w:rPr>
          <w:rFonts w:ascii="Times New Roman" w:cs="Times New Roman" w:eastAsia="Times New Roman" w:hAnsi="Times New Roman"/>
          <w:b w:val="false"/>
          <w:bCs w:val="false"/>
          <w:i w:val="false"/>
          <w:iCs w:val="false"/>
          <w:color w:val="000000"/>
          <w:sz w:val="22"/>
          <w:szCs w:val="22"/>
        </w:rPr>
        <w:t xml:space="preserve">5.1.  SHAP — Shapley Additive Explanations</w:t>
      </w:r>
      <w:r>
        <w:rPr>
          <w:rFonts w:ascii="Times New Roman" w:cs="Times New Roman" w:eastAsia="Times New Roman" w:hAnsi="Times New Roman"/>
          <w:b w:val="false"/>
          <w:bCs w:val="false"/>
          <w:i w:val="false"/>
          <w:iCs w:val="false"/>
          <w:color w:val="000000"/>
          <w:sz w:val="22"/>
          <w:szCs w:val="22"/>
        </w:rPr>
        <w:t xml:space="preserve">	10</w:t>
      </w:r>
    </w:p>
    <w:p>
      <w:pPr>
        <w:tabs>
          <w:tab w:val="right" w:pos="9026"/>
        </w:tabs>
        <w:spacing w:after="30" w:before="30"/>
        <w:ind w:left="369"/>
      </w:pPr>
      <w:r>
        <w:rPr>
          <w:rFonts w:ascii="Times New Roman" w:cs="Times New Roman" w:eastAsia="Times New Roman" w:hAnsi="Times New Roman"/>
          <w:b w:val="false"/>
          <w:bCs w:val="false"/>
          <w:i w:val="false"/>
          <w:iCs w:val="false"/>
          <w:color w:val="000000"/>
          <w:sz w:val="22"/>
          <w:szCs w:val="22"/>
        </w:rPr>
        <w:t xml:space="preserve">5.2.  LIME — Local Interpretable Model-agnostic Explanations</w:t>
      </w:r>
      <w:r>
        <w:rPr>
          <w:rFonts w:ascii="Times New Roman" w:cs="Times New Roman" w:eastAsia="Times New Roman" w:hAnsi="Times New Roman"/>
          <w:b w:val="false"/>
          <w:bCs w:val="false"/>
          <w:i w:val="false"/>
          <w:iCs w:val="false"/>
          <w:color w:val="000000"/>
          <w:sz w:val="22"/>
          <w:szCs w:val="22"/>
        </w:rPr>
        <w:t xml:space="preserve">	11</w:t>
      </w:r>
    </w:p>
    <w:p>
      <w:pPr>
        <w:tabs>
          <w:tab w:val="right" w:pos="9026"/>
        </w:tabs>
        <w:spacing w:after="30" w:before="30"/>
        <w:ind w:left="369"/>
      </w:pPr>
      <w:r>
        <w:rPr>
          <w:rFonts w:ascii="Times New Roman" w:cs="Times New Roman" w:eastAsia="Times New Roman" w:hAnsi="Times New Roman"/>
          <w:b w:val="false"/>
          <w:bCs w:val="false"/>
          <w:i w:val="false"/>
          <w:iCs w:val="false"/>
          <w:color w:val="000000"/>
          <w:sz w:val="22"/>
          <w:szCs w:val="22"/>
        </w:rPr>
        <w:t xml:space="preserve">5.3.  Ham Skor (rawScore) Tasarımı</w:t>
      </w:r>
      <w:r>
        <w:rPr>
          <w:rFonts w:ascii="Times New Roman" w:cs="Times New Roman" w:eastAsia="Times New Roman" w:hAnsi="Times New Roman"/>
          <w:b w:val="false"/>
          <w:bCs w:val="false"/>
          <w:i w:val="false"/>
          <w:iCs w:val="false"/>
          <w:color w:val="000000"/>
          <w:sz w:val="22"/>
          <w:szCs w:val="22"/>
        </w:rPr>
        <w:t xml:space="preserve">	12</w:t>
      </w:r>
    </w:p>
    <w:p>
      <w:pPr>
        <w:tabs>
          <w:tab w:val="right" w:pos="9026"/>
        </w:tabs>
        <w:spacing w:after="30" w:before="30"/>
        <w:ind w:left="369"/>
      </w:pPr>
      <w:r>
        <w:rPr>
          <w:rFonts w:ascii="Times New Roman" w:cs="Times New Roman" w:eastAsia="Times New Roman" w:hAnsi="Times New Roman"/>
          <w:b w:val="false"/>
          <w:bCs w:val="false"/>
          <w:i w:val="false"/>
          <w:iCs w:val="false"/>
          <w:color w:val="000000"/>
          <w:sz w:val="22"/>
          <w:szCs w:val="22"/>
        </w:rPr>
        <w:t xml:space="preserve">5.4.  SHAP ve LIME Karşılaştırması</w:t>
      </w:r>
      <w:r>
        <w:rPr>
          <w:rFonts w:ascii="Times New Roman" w:cs="Times New Roman" w:eastAsia="Times New Roman" w:hAnsi="Times New Roman"/>
          <w:b w:val="false"/>
          <w:bCs w:val="false"/>
          <w:i w:val="false"/>
          <w:iCs w:val="false"/>
          <w:color w:val="000000"/>
          <w:sz w:val="22"/>
          <w:szCs w:val="22"/>
        </w:rPr>
        <w:t xml:space="preserve">	12</w:t>
      </w:r>
    </w:p>
    <w:p>
      <w:pPr>
        <w:tabs>
          <w:tab w:val="right" w:pos="9026"/>
        </w:tabs>
        <w:spacing w:after="55" w:before="55"/>
        <w:ind w:left="0"/>
      </w:pPr>
      <w:r>
        <w:rPr>
          <w:rFonts w:ascii="Times New Roman" w:cs="Times New Roman" w:eastAsia="Times New Roman" w:hAnsi="Times New Roman"/>
          <w:b/>
          <w:bCs/>
          <w:i w:val="false"/>
          <w:iCs w:val="false"/>
          <w:color w:val="000000"/>
          <w:sz w:val="24"/>
          <w:szCs w:val="24"/>
        </w:rPr>
        <w:t xml:space="preserve">6.  Web Arayüzü</w:t>
      </w:r>
      <w:r>
        <w:rPr>
          <w:rFonts w:ascii="Times New Roman" w:cs="Times New Roman" w:eastAsia="Times New Roman" w:hAnsi="Times New Roman"/>
          <w:b w:val="false"/>
          <w:bCs w:val="false"/>
          <w:i w:val="false"/>
          <w:iCs w:val="false"/>
          <w:color w:val="000000"/>
          <w:sz w:val="24"/>
          <w:szCs w:val="24"/>
        </w:rPr>
        <w:t xml:space="preserve">	13</w:t>
      </w:r>
    </w:p>
    <w:p>
      <w:pPr>
        <w:tabs>
          <w:tab w:val="right" w:pos="9026"/>
        </w:tabs>
        <w:spacing w:after="30" w:before="30"/>
        <w:ind w:left="369"/>
      </w:pPr>
      <w:r>
        <w:rPr>
          <w:rFonts w:ascii="Times New Roman" w:cs="Times New Roman" w:eastAsia="Times New Roman" w:hAnsi="Times New Roman"/>
          <w:b w:val="false"/>
          <w:bCs w:val="false"/>
          <w:i w:val="false"/>
          <w:iCs w:val="false"/>
          <w:color w:val="000000"/>
          <w:sz w:val="22"/>
          <w:szCs w:val="22"/>
        </w:rPr>
        <w:t xml:space="preserve">6.1.  Arayüz Bileşenleri</w:t>
      </w:r>
      <w:r>
        <w:rPr>
          <w:rFonts w:ascii="Times New Roman" w:cs="Times New Roman" w:eastAsia="Times New Roman" w:hAnsi="Times New Roman"/>
          <w:b w:val="false"/>
          <w:bCs w:val="false"/>
          <w:i w:val="false"/>
          <w:iCs w:val="false"/>
          <w:color w:val="000000"/>
          <w:sz w:val="22"/>
          <w:szCs w:val="22"/>
        </w:rPr>
        <w:t xml:space="preserve">	13</w:t>
      </w:r>
    </w:p>
    <w:p>
      <w:pPr>
        <w:tabs>
          <w:tab w:val="right" w:pos="9026"/>
        </w:tabs>
        <w:spacing w:after="30" w:before="30"/>
        <w:ind w:left="369"/>
      </w:pPr>
      <w:r>
        <w:rPr>
          <w:rFonts w:ascii="Times New Roman" w:cs="Times New Roman" w:eastAsia="Times New Roman" w:hAnsi="Times New Roman"/>
          <w:b w:val="false"/>
          <w:bCs w:val="false"/>
          <w:i w:val="false"/>
          <w:iCs w:val="false"/>
          <w:color w:val="000000"/>
          <w:sz w:val="22"/>
          <w:szCs w:val="22"/>
        </w:rPr>
        <w:t xml:space="preserve">6.2.  Kelime Isı Haritası Renk Şeması</w:t>
      </w:r>
      <w:r>
        <w:rPr>
          <w:rFonts w:ascii="Times New Roman" w:cs="Times New Roman" w:eastAsia="Times New Roman" w:hAnsi="Times New Roman"/>
          <w:b w:val="false"/>
          <w:bCs w:val="false"/>
          <w:i w:val="false"/>
          <w:iCs w:val="false"/>
          <w:color w:val="000000"/>
          <w:sz w:val="22"/>
          <w:szCs w:val="22"/>
        </w:rPr>
        <w:t xml:space="preserve">	13</w:t>
      </w:r>
    </w:p>
    <w:p>
      <w:pPr>
        <w:tabs>
          <w:tab w:val="right" w:pos="9026"/>
        </w:tabs>
        <w:spacing w:after="55" w:before="55"/>
        <w:ind w:left="0"/>
      </w:pPr>
      <w:r>
        <w:rPr>
          <w:rFonts w:ascii="Times New Roman" w:cs="Times New Roman" w:eastAsia="Times New Roman" w:hAnsi="Times New Roman"/>
          <w:b/>
          <w:bCs/>
          <w:i w:val="false"/>
          <w:iCs w:val="false"/>
          <w:color w:val="000000"/>
          <w:sz w:val="24"/>
          <w:szCs w:val="24"/>
        </w:rPr>
        <w:t xml:space="preserve">7.  Sonuç ve Değerlendirme</w:t>
      </w:r>
      <w:r>
        <w:rPr>
          <w:rFonts w:ascii="Times New Roman" w:cs="Times New Roman" w:eastAsia="Times New Roman" w:hAnsi="Times New Roman"/>
          <w:b w:val="false"/>
          <w:bCs w:val="false"/>
          <w:i w:val="false"/>
          <w:iCs w:val="false"/>
          <w:color w:val="000000"/>
          <w:sz w:val="24"/>
          <w:szCs w:val="24"/>
        </w:rPr>
        <w:t xml:space="preserve">	14</w:t>
      </w:r>
    </w:p>
    <w:p>
      <w:pPr>
        <w:tabs>
          <w:tab w:val="right" w:pos="9026"/>
        </w:tabs>
        <w:spacing w:after="55" w:before="55"/>
        <w:ind w:left="0"/>
      </w:pPr>
      <w:r>
        <w:rPr>
          <w:rFonts w:ascii="Times New Roman" w:cs="Times New Roman" w:eastAsia="Times New Roman" w:hAnsi="Times New Roman"/>
          <w:b/>
          <w:bCs/>
          <w:i w:val="false"/>
          <w:iCs w:val="false"/>
          <w:color w:val="000000"/>
          <w:sz w:val="24"/>
          <w:szCs w:val="24"/>
        </w:rPr>
        <w:t xml:space="preserve">8.  Kaynakça</w:t>
      </w:r>
      <w:r>
        <w:rPr>
          <w:rFonts w:ascii="Times New Roman" w:cs="Times New Roman" w:eastAsia="Times New Roman" w:hAnsi="Times New Roman"/>
          <w:b w:val="false"/>
          <w:bCs w:val="false"/>
          <w:i w:val="false"/>
          <w:iCs w:val="false"/>
          <w:color w:val="000000"/>
          <w:sz w:val="24"/>
          <w:szCs w:val="24"/>
        </w:rPr>
        <w:t xml:space="preserve">	15</w:t>
      </w:r>
    </w:p>
    <w:p>
      <w:r>
        <w:br w:type="page"/>
      </w:r>
    </w:p>
    <w:p>
      <w:pPr>
        <w:pStyle w:val="Heading1"/>
        <w:pBdr>
          <w:bottom w:val="single" w:color="222222" w:sz="10" w:space="4"/>
        </w:pBdr>
        <w:spacing w:after="160" w:before="460"/>
      </w:pPr>
      <w:r>
        <w:rPr>
          <w:rFonts w:ascii="Times New Roman" w:cs="Times New Roman" w:eastAsia="Times New Roman" w:hAnsi="Times New Roman"/>
          <w:b/>
          <w:bCs/>
          <w:i w:val="false"/>
          <w:iCs w:val="false"/>
          <w:color w:val="000000"/>
          <w:sz w:val="30"/>
          <w:szCs w:val="30"/>
        </w:rPr>
        <w:t xml:space="preserve">1. Giriş</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Sosyal medya platformları ve çevrimiçi yorum sistemlerinin hızla büyümesiyle birlikte dijital ortamda üretilen metin verisi katlanarak artmaktadır. Bu verilerin büyük çoğunluğu kullanıcıların ürünler, hizmetler, kişiler veya olaylar hakkındaki görüşlerini ve duygularını içermektedir. Duygu analizi (sentiment analysis), metin üzerinden bu öznel bilgiyi otomatik olarak çıkarmayı amaçlayan temel bir doğal dil işleme (NLP) görevidir.</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Türkçe, sözdizimi ve morfoloji açısından Avrupa dillerinden önemli ölçüde ayrışan aglütinatif (eklemeli) bir dildir. Bir sözcük kökü onlarca farklı biçimde türeyebilir; bu durum hem kural tabanlı hem de derin öğrenme tabanlı yöntemleri zorlaştırmaktadır. Türkçe NLP araştırmaları İngilizceye kıyasla sınırlı kalmakta, büyük ölçekli işaretlenmiş veri kümeleri yetersiz kalmaya devam etmektedir.</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Bu çalışma iki tamamlayıcı yaklaşımı bir araya getirmektedir: (1) kural tabanlı leksikon motoru — hız, şeffaflık ve doğrudan yorumlanabilirlik odaklı; (2) SHAP ve LIME tabanlı XAI katmanı — modelin her kararı için hangi kelimelere dayandığını sayısal olarak ortaya koyan. Sistem tamamen istemci taraflı (client-side) JavaScript ile çalışmakta olup herhangi bir sunucu altyapısı gerektirmemektedir.</w:t>
      </w:r>
    </w:p>
    <w:p>
      <w:pPr>
        <w:pStyle w:val="Heading2"/>
        <w:spacing w:after="110" w:before="300"/>
      </w:pPr>
      <w:r>
        <w:rPr>
          <w:rFonts w:ascii="Times New Roman" w:cs="Times New Roman" w:eastAsia="Times New Roman" w:hAnsi="Times New Roman"/>
          <w:b/>
          <w:bCs/>
          <w:i w:val="false"/>
          <w:iCs w:val="false"/>
          <w:color w:val="000000"/>
          <w:sz w:val="26"/>
          <w:szCs w:val="26"/>
        </w:rPr>
        <w:t xml:space="preserve">1.1. Çalışmanın Amacı ve Kapsamı</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Bu çalışmanın başlıca hedefleri şunlardır:</w:t>
      </w:r>
    </w:p>
    <w:p>
      <w:pPr>
        <w:pStyle w:val="ListParagraph"/>
        <w:numPr>
          <w:ilvl w:val="0"/>
          <w:numId w:val="2"/>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Türkçe metin tabanlı duygu analizini gerçek zamanlı ve yorumlanabilir biçimde gerçekleştirmek.</w:t>
      </w:r>
    </w:p>
    <w:p>
      <w:pPr>
        <w:pStyle w:val="ListParagraph"/>
        <w:numPr>
          <w:ilvl w:val="0"/>
          <w:numId w:val="2"/>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SHAP ve LIME yöntemlerini saf JavaScript ile gerçekleştirerek kararların kelime düzeyinde açıklanmasını sağlamak.</w:t>
      </w:r>
    </w:p>
    <w:p>
      <w:pPr>
        <w:pStyle w:val="ListParagraph"/>
        <w:numPr>
          <w:ilvl w:val="0"/>
          <w:numId w:val="2"/>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İki farklı XAI yöntemini karşılaştırmalı olarak sunarak aralarındaki teorik ve pratik farkları görselleştirmek.</w:t>
      </w:r>
    </w:p>
    <w:p>
      <w:pPr>
        <w:pStyle w:val="ListParagraph"/>
        <w:numPr>
          <w:ilvl w:val="0"/>
          <w:numId w:val="2"/>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Sunucu gerektirmeyen, tarayıcıda çalışan interaktif bir web uygulaması geliştirmek.</w:t>
      </w:r>
    </w:p>
    <w:p>
      <w:pPr>
        <w:pStyle w:val="Heading2"/>
        <w:spacing w:after="110" w:before="300"/>
      </w:pPr>
      <w:r>
        <w:rPr>
          <w:rFonts w:ascii="Times New Roman" w:cs="Times New Roman" w:eastAsia="Times New Roman" w:hAnsi="Times New Roman"/>
          <w:b/>
          <w:bCs/>
          <w:i w:val="false"/>
          <w:iCs w:val="false"/>
          <w:color w:val="000000"/>
          <w:sz w:val="26"/>
          <w:szCs w:val="26"/>
        </w:rPr>
        <w:t xml:space="preserve">1.2. Motivasyon</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Yapay zeka sistemlerinin yalnızca doğru tahmin üretmesi yeterli değildir; aynı zamanda kararın gerekçesini şeffaf biçimde ortaya koyması da gerekmektedir. "Kara kutu" niteliğindeki modellerin açıklanabilirliği, AB GDPR ve AB Yapay Zeka Yasası gibi düzenlemelerle yasal bir zorunluluk hâline de gelmektedir (Doshi-Velez ve Kim, 2017).</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Duygu analizi bağlamında yorumlanabilirlik şu soruları yanıtlamayı gerektirir: "Hangi kelime bu kararı olumlu yaptı?", "Olumsuzlayıcı bir ifade skoru nasıl etkiledi?", "SHAP ve LIME aynı sonuca mı ulaşıyor?" Bu proje söz konusu soruları gerçek zamanlı, etkileşimli bir web arayüzü üzerinden yanıtlamaktadır.</w:t>
      </w:r>
    </w:p>
    <w:p>
      <w:pPr>
        <w:pStyle w:val="Heading1"/>
        <w:pBdr>
          <w:bottom w:val="single" w:color="222222" w:sz="10" w:space="4"/>
        </w:pBdr>
        <w:spacing w:after="160" w:before="460"/>
      </w:pPr>
      <w:r>
        <w:rPr>
          <w:rFonts w:ascii="Times New Roman" w:cs="Times New Roman" w:eastAsia="Times New Roman" w:hAnsi="Times New Roman"/>
          <w:b/>
          <w:bCs/>
          <w:i w:val="false"/>
          <w:iCs w:val="false"/>
          <w:color w:val="000000"/>
          <w:sz w:val="30"/>
          <w:szCs w:val="30"/>
        </w:rPr>
        <w:t xml:space="preserve">2. Literatür Taraması</w:t>
      </w:r>
    </w:p>
    <w:p>
      <w:pPr>
        <w:pStyle w:val="Heading2"/>
        <w:spacing w:after="110" w:before="300"/>
      </w:pPr>
      <w:r>
        <w:rPr>
          <w:rFonts w:ascii="Times New Roman" w:cs="Times New Roman" w:eastAsia="Times New Roman" w:hAnsi="Times New Roman"/>
          <w:b/>
          <w:bCs/>
          <w:i w:val="false"/>
          <w:iCs w:val="false"/>
          <w:color w:val="000000"/>
          <w:sz w:val="26"/>
          <w:szCs w:val="26"/>
        </w:rPr>
        <w:t xml:space="preserve">2.1. Duygu Analizi</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Duygu analizi araştırmaları iki temel paradigmada incelenmektedir. Leksikon tabanlı yaklaşımlar arasında SentiWordNet (Esuli ve Sebastiani, 2006), sözcükleri duygu skorlarıyla eşleştiren ilk kapsamlı kaynaklardan biridir. VADER (Hutto ve Gilbert, 2014) ise özellikle sosyal medya metnine uyarlanmış kural tabanlı bir sistemdir; büyük veri kümeleri olmaksızın güçlü baseline sonuçlar üretmesiyle tanınmaktadır. Pang ve Lee (2008) ile Liu (2012)nin temel referans çalışmaları alana ilişkin kavramsal çerçeveyi belirlemiştir.</w:t>
      </w:r>
    </w:p>
    <w:p>
      <w:pPr>
        <w:pStyle w:val="Heading2"/>
        <w:spacing w:after="110" w:before="300"/>
      </w:pPr>
      <w:r>
        <w:rPr>
          <w:rFonts w:ascii="Times New Roman" w:cs="Times New Roman" w:eastAsia="Times New Roman" w:hAnsi="Times New Roman"/>
          <w:b/>
          <w:bCs/>
          <w:i w:val="false"/>
          <w:iCs w:val="false"/>
          <w:color w:val="000000"/>
          <w:sz w:val="26"/>
          <w:szCs w:val="26"/>
        </w:rPr>
        <w:t xml:space="preserve">2.2. Türkçe Doğal Dil İşleme</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Türkçenin aglütinatif yapısı morfolojik çözümleme açısından özel zorluklar doğurur. Oflazer (1994) iki seviyeli morfolog geliştirerek Türkçe NLP'nin temelini atmıştır. Yıldırım ve Yıldız (2018) farklı makine öğrenmesi yöntemlerini Türkçe metin sınıflandırma görevinde karşılaştırmalı olarak değerlendirmiştir. Demirtaş ve Pechenizkiy (2013) ise Türkçe Twitter verileri üzerinde morfolojik normalizasyonun sınıflandırma başarısını artırdığını göstermiştir.</w:t>
      </w:r>
    </w:p>
    <w:p>
      <w:pPr>
        <w:pStyle w:val="Heading2"/>
        <w:spacing w:after="110" w:before="300"/>
      </w:pPr>
      <w:r>
        <w:rPr>
          <w:rFonts w:ascii="Times New Roman" w:cs="Times New Roman" w:eastAsia="Times New Roman" w:hAnsi="Times New Roman"/>
          <w:b/>
          <w:bCs/>
          <w:i w:val="false"/>
          <w:iCs w:val="false"/>
          <w:color w:val="000000"/>
          <w:sz w:val="26"/>
          <w:szCs w:val="26"/>
        </w:rPr>
        <w:t xml:space="preserve">2.3. SHAP Yöntemi</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Lundberg ve Lee (2017) tarafından önerilen SHAP, kooperatif oyun teorisindeki Shapley değerlerini (Shapley, 1953) makine öğrenmesine uyarlayan bir çerçevedir. Yöntem dört aksiyoma dayanmaktadır:</w:t>
      </w:r>
    </w:p>
    <w:p>
      <w:pPr>
        <w:pStyle w:val="ListParagraph"/>
        <w:numPr>
          <w:ilvl w:val="0"/>
          <w:numId w:val="2"/>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Verimlilik: Tüm SHAP değerlerinin toplamı, tahmin ile temel değer (baseline) arasındaki farka eşittir.</w:t>
      </w:r>
    </w:p>
    <w:p>
      <w:pPr>
        <w:pStyle w:val="ListParagraph"/>
        <w:numPr>
          <w:ilvl w:val="0"/>
          <w:numId w:val="2"/>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Simetri: Modeli eşit düzeyde etkileyen iki özellik eşit SHAP değeri alır.</w:t>
      </w:r>
    </w:p>
    <w:p>
      <w:pPr>
        <w:pStyle w:val="ListParagraph"/>
        <w:numPr>
          <w:ilvl w:val="0"/>
          <w:numId w:val="2"/>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Kukla (Dummy): Modeli hiç etkilemeyen bir özelliğin SHAP değeri sıfırdır.</w:t>
      </w:r>
    </w:p>
    <w:p>
      <w:pPr>
        <w:pStyle w:val="ListParagraph"/>
        <w:numPr>
          <w:ilvl w:val="0"/>
          <w:numId w:val="2"/>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Toplanabilirlik: Bileşik bir modelin SHAP değerleri bileşen modellerin toplamına eşittir.</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Lundberg ve ark. (2020) ağaç tabanlı modeller için polinom-zamanlı TreeSHAP algoritmasını geliştirmiştir. Katkısal ve gürültüsüz modellerde ise LOO (Leave-One-Out) yaklaşımının tam Shapley değerine eşit olduğunu kanıtlamıştır; bu çalışmada söz konusu özellikten yararlanılmaktadır.</w:t>
      </w:r>
    </w:p>
    <w:p>
      <w:pPr>
        <w:pStyle w:val="Heading2"/>
        <w:spacing w:after="110" w:before="300"/>
      </w:pPr>
      <w:r>
        <w:rPr>
          <w:rFonts w:ascii="Times New Roman" w:cs="Times New Roman" w:eastAsia="Times New Roman" w:hAnsi="Times New Roman"/>
          <w:b/>
          <w:bCs/>
          <w:i w:val="false"/>
          <w:iCs w:val="false"/>
          <w:color w:val="000000"/>
          <w:sz w:val="26"/>
          <w:szCs w:val="26"/>
        </w:rPr>
        <w:t xml:space="preserve">2.4. LIME Yöntemi</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Ribeiro ve ark. (2016) tarafından geliştirilen LIME, herhangi bir kara kutu modele model-agnostik biçimde uygulanabilen yerel açıklama yöntemidir. Giriş verisinde pertürbasyon (küçük değişiklikler) yaparak lokal bir doğrusal model öğrenir ve bu modelin katsayılarını açıklama olarak sunar. Metin verisinde pertürbasyon, kelimelerin ikili (binary) maskelerle rastgele çıkarılmasıyla gerçekleştirilir. LIME'ın temel sınırlılığı stokastik yapısıdır; pertürbasyon sayısının artırılması (bu çalışmada M=120) kararlılığı iyileştirir.</w:t>
      </w:r>
    </w:p>
    <w:p>
      <w:pPr>
        <w:pStyle w:val="Heading1"/>
        <w:pBdr>
          <w:bottom w:val="single" w:color="222222" w:sz="10" w:space="4"/>
        </w:pBdr>
        <w:spacing w:after="160" w:before="460"/>
      </w:pPr>
      <w:r>
        <w:rPr>
          <w:rFonts w:ascii="Times New Roman" w:cs="Times New Roman" w:eastAsia="Times New Roman" w:hAnsi="Times New Roman"/>
          <w:b/>
          <w:bCs/>
          <w:i w:val="false"/>
          <w:iCs w:val="false"/>
          <w:color w:val="000000"/>
          <w:sz w:val="30"/>
          <w:szCs w:val="30"/>
        </w:rPr>
        <w:t xml:space="preserve">3. Sistem Mimarisi</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Sistem, tamamen istemci taraflı çalışan dört temel dosyadan oluşmaktadır. Bileşenler arası sorumluluklar ve veri akışı Tablo 1'de sunulmaktadır.</w:t>
      </w:r>
    </w:p>
    <w:p>
      <w:pPr>
        <w:spacing w:after="0" w:before="0"/>
      </w:pPr>
      <w:r>
        <w:t xml:space="preserve"/>
      </w:r>
    </w:p>
    <w:p>
      <w:pPr>
        <w:spacing w:after="90" w:before="40" w:line="288" w:lineRule="auto"/>
        <w:ind w:left="0" w:hanging="0"/>
        <w:jc w:val="center"/>
      </w:pPr>
      <w:r>
        <w:rPr>
          <w:rFonts w:ascii="Times New Roman" w:cs="Times New Roman" w:eastAsia="Times New Roman" w:hAnsi="Times New Roman"/>
          <w:b w:val="false"/>
          <w:bCs w:val="false"/>
          <w:i/>
          <w:iCs/>
          <w:color w:val="000000"/>
          <w:sz w:val="22"/>
          <w:szCs w:val="22"/>
        </w:rPr>
        <w:t xml:space="preserve">Tablo 1. Sistem bileşenleri ve sorumlulukları</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701"/>
        <w:gridCol w:w="2552"/>
        <w:gridCol w:w="1418"/>
        <w:gridCol w:w="2268"/>
      </w:tblGrid>
      <w:tr>
        <w:trPr>
          <w:tblHeader/>
        </w:trPr>
        <w:tc>
          <w:tcPr>
            <w:tcW w:type="dxa" w:w="1701"/>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Dosya</w:t>
            </w:r>
          </w:p>
        </w:tc>
        <w:tc>
          <w:tcPr>
            <w:tcW w:type="dxa" w:w="2552"/>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Sorumluluk</w:t>
            </w:r>
          </w:p>
        </w:tc>
        <w:tc>
          <w:tcPr>
            <w:tcW w:type="dxa" w:w="1418"/>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Teknoloji</w:t>
            </w:r>
          </w:p>
        </w:tc>
        <w:tc>
          <w:tcPr>
            <w:tcW w:type="dxa" w:w="2268"/>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Dışa Aktarım</w:t>
            </w:r>
          </w:p>
        </w:tc>
      </w:tr>
      <w:tr>
        <w:trPr>
          <w:tblHeader w:val="false"/>
        </w:trPr>
        <w:tc>
          <w:tcPr>
            <w:tcW w:type="dxa" w:w="170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index.html</w:t>
            </w:r>
          </w:p>
        </w:tc>
        <w:tc>
          <w:tcPr>
            <w:tcW w:type="dxa" w:w="2552"/>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DOM yapısı, arayüz, 11 örnek cümle</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HTML5</w:t>
            </w:r>
          </w:p>
        </w:tc>
        <w:tc>
          <w:tcPr>
            <w:tcW w:type="dxa" w:w="226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w:t>
            </w:r>
          </w:p>
        </w:tc>
      </w:tr>
      <w:tr>
        <w:trPr>
          <w:tblHeader w:val="false"/>
        </w:trPr>
        <w:tc>
          <w:tcPr>
            <w:tcW w:type="dxa" w:w="170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sentiment.js</w:t>
            </w:r>
          </w:p>
        </w:tc>
        <w:tc>
          <w:tcPr>
            <w:tcW w:type="dxa" w:w="2552"/>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Tokenizasyon, leksikon, skor, XAI metni</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Vanilla JS</w:t>
            </w:r>
          </w:p>
        </w:tc>
        <w:tc>
          <w:tcPr>
            <w:tcW w:type="dxa" w:w="226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window.SentimentEngine</w:t>
            </w:r>
          </w:p>
        </w:tc>
      </w:tr>
      <w:tr>
        <w:trPr>
          <w:tblHeader w:val="false"/>
        </w:trPr>
        <w:tc>
          <w:tcPr>
            <w:tcW w:type="dxa" w:w="170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app.js</w:t>
            </w:r>
          </w:p>
        </w:tc>
        <w:tc>
          <w:tcPr>
            <w:tcW w:type="dxa" w:w="2552"/>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SHAP, LIME hesabı, grafik/tablo render</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Vanilla JS</w:t>
            </w:r>
          </w:p>
        </w:tc>
        <w:tc>
          <w:tcPr>
            <w:tcW w:type="dxa" w:w="226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analyze(), renderResult()</w:t>
            </w:r>
          </w:p>
        </w:tc>
      </w:tr>
      <w:tr>
        <w:trPr>
          <w:tblHeader w:val="false"/>
        </w:trPr>
        <w:tc>
          <w:tcPr>
            <w:tcW w:type="dxa" w:w="170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style.css</w:t>
            </w:r>
          </w:p>
        </w:tc>
        <w:tc>
          <w:tcPr>
            <w:tcW w:type="dxa" w:w="2552"/>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Görsel tasarım, renk paleti, animasyonlar</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CSS3</w:t>
            </w:r>
          </w:p>
        </w:tc>
        <w:tc>
          <w:tcPr>
            <w:tcW w:type="dxa" w:w="226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w:t>
            </w:r>
          </w:p>
        </w:tc>
      </w:tr>
    </w:tbl>
    <w:p>
      <w:pPr>
        <w:spacing w:after="0" w:before="0"/>
      </w:pPr>
      <w:r>
        <w:t xml:space="preserve"/>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Çalışma akışı:</w:t>
      </w:r>
    </w:p>
    <w:p>
      <w:pPr>
        <w:spacing w:after="60" w:before="60"/>
        <w:ind w:left="510"/>
      </w:pPr>
      <w:r>
        <w:rPr>
          <w:rFonts w:ascii="Courier New" w:cs="Courier New" w:eastAsia="Courier New" w:hAnsi="Courier New"/>
          <w:b w:val="false"/>
          <w:bCs w:val="false"/>
          <w:i w:val="false"/>
          <w:iCs w:val="false"/>
          <w:color w:val="000000"/>
          <w:sz w:val="20"/>
          <w:szCs w:val="20"/>
        </w:rPr>
        <w:t xml:space="preserve">Kullanıcı metin girer</w:t>
      </w:r>
    </w:p>
    <w:p>
      <w:pPr>
        <w:spacing w:after="60" w:before="60"/>
        <w:ind w:left="510"/>
      </w:pPr>
      <w:r>
        <w:rPr>
          <w:rFonts w:ascii="Courier New" w:cs="Courier New" w:eastAsia="Courier New" w:hAnsi="Courier New"/>
          <w:b w:val="false"/>
          <w:bCs w:val="false"/>
          <w:i w:val="false"/>
          <w:iCs w:val="false"/>
          <w:color w:val="000000"/>
          <w:sz w:val="20"/>
          <w:szCs w:val="20"/>
        </w:rPr>
        <w:t xml:space="preserve">  → analyze()  [setTimeout 80ms — UI bloke olmaz]</w:t>
      </w:r>
    </w:p>
    <w:p>
      <w:pPr>
        <w:spacing w:after="60" w:before="60"/>
        <w:ind w:left="510"/>
      </w:pPr>
      <w:r>
        <w:rPr>
          <w:rFonts w:ascii="Courier New" w:cs="Courier New" w:eastAsia="Courier New" w:hAnsi="Courier New"/>
          <w:b w:val="false"/>
          <w:bCs w:val="false"/>
          <w:i w:val="false"/>
          <w:iCs w:val="false"/>
          <w:color w:val="000000"/>
          <w:sz w:val="20"/>
          <w:szCs w:val="20"/>
        </w:rPr>
        <w:t xml:space="preserve">  → SentimentEngine.tokenize()  →  analyzeTokens()</w:t>
      </w:r>
    </w:p>
    <w:p>
      <w:pPr>
        <w:spacing w:after="60" w:before="60"/>
        <w:ind w:left="510"/>
      </w:pPr>
      <w:r>
        <w:rPr>
          <w:rFonts w:ascii="Courier New" w:cs="Courier New" w:eastAsia="Courier New" w:hAnsi="Courier New"/>
          <w:b w:val="false"/>
          <w:bCs w:val="false"/>
          <w:i w:val="false"/>
          <w:iCs w:val="false"/>
          <w:color w:val="000000"/>
          <w:sz w:val="20"/>
          <w:szCs w:val="20"/>
        </w:rPr>
        <w:t xml:space="preserve">  → computeSentiment()  →  buildXAI()</w:t>
      </w:r>
    </w:p>
    <w:p>
      <w:pPr>
        <w:spacing w:after="60" w:before="60"/>
        <w:ind w:left="510"/>
      </w:pPr>
      <w:r>
        <w:rPr>
          <w:rFonts w:ascii="Courier New" w:cs="Courier New" w:eastAsia="Courier New" w:hAnsi="Courier New"/>
          <w:b w:val="false"/>
          <w:bCs w:val="false"/>
          <w:i w:val="false"/>
          <w:iCs w:val="false"/>
          <w:color w:val="000000"/>
          <w:sz w:val="20"/>
          <w:szCs w:val="20"/>
        </w:rPr>
        <w:t xml:space="preserve">  → computeSHAP()  →  computeLIME()</w:t>
      </w:r>
    </w:p>
    <w:p>
      <w:pPr>
        <w:spacing w:after="60" w:before="60"/>
        <w:ind w:left="510"/>
      </w:pPr>
      <w:r>
        <w:rPr>
          <w:rFonts w:ascii="Courier New" w:cs="Courier New" w:eastAsia="Courier New" w:hAnsi="Courier New"/>
          <w:b w:val="false"/>
          <w:bCs w:val="false"/>
          <w:i w:val="false"/>
          <w:iCs w:val="false"/>
          <w:color w:val="000000"/>
          <w:sz w:val="20"/>
          <w:szCs w:val="20"/>
        </w:rPr>
        <w:t xml:space="preserve">  → renderResult()  →  DOM güncellenir</w:t>
      </w:r>
    </w:p>
    <w:p>
      <w:pPr>
        <w:pStyle w:val="Heading1"/>
        <w:pBdr>
          <w:bottom w:val="single" w:color="222222" w:sz="10" w:space="4"/>
        </w:pBdr>
        <w:spacing w:after="160" w:before="460"/>
      </w:pPr>
      <w:r>
        <w:rPr>
          <w:rFonts w:ascii="Times New Roman" w:cs="Times New Roman" w:eastAsia="Times New Roman" w:hAnsi="Times New Roman"/>
          <w:b/>
          <w:bCs/>
          <w:i w:val="false"/>
          <w:iCs w:val="false"/>
          <w:color w:val="000000"/>
          <w:sz w:val="30"/>
          <w:szCs w:val="30"/>
        </w:rPr>
        <w:t xml:space="preserve">4. Duygu Analizi Motoru</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Duygu analizi motorunun (sentiment.js) çekirdeği üç ayrı sözlük (POS_WORDS, NEG_WORDS, NEU_WORDS) ve iki kural kümesinden (NEGATORS, INTENSIFIERS) oluşmaktadır. Motor herhangi bir makine öğrenmesi eğitimi gerektirmeksizin deterministik ve şeffaf biçimde çalışır.</w:t>
      </w:r>
    </w:p>
    <w:p>
      <w:pPr>
        <w:pStyle w:val="Heading2"/>
        <w:spacing w:after="110" w:before="300"/>
      </w:pPr>
      <w:r>
        <w:rPr>
          <w:rFonts w:ascii="Times New Roman" w:cs="Times New Roman" w:eastAsia="Times New Roman" w:hAnsi="Times New Roman"/>
          <w:b/>
          <w:bCs/>
          <w:i w:val="false"/>
          <w:iCs w:val="false"/>
          <w:color w:val="000000"/>
          <w:sz w:val="26"/>
          <w:szCs w:val="26"/>
        </w:rPr>
        <w:t xml:space="preserve">4.1. Leksikon Sözlükleri</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POS_WORDS ve NEG_WORDS, kelimenin duygu yoğunluğunu 0–1 aralığında bir kesirli sayı olarak depolar. NEU_WORDS ise duygu skoru taşımayan olgusal kelimelerin bir JavaScript Set kümesidir. Tüm değerler Türkçe duygu analizi literatürü ve native speaker değerlendirmeleri esas alınarak manuel olarak kalibre edilmiştir.</w:t>
      </w:r>
    </w:p>
    <w:p>
      <w:pPr>
        <w:spacing w:after="0" w:before="0"/>
      </w:pPr>
      <w:r>
        <w:t xml:space="preserve"/>
      </w:r>
    </w:p>
    <w:p>
      <w:pPr>
        <w:spacing w:after="90" w:before="40" w:line="288" w:lineRule="auto"/>
        <w:ind w:left="0" w:hanging="0"/>
        <w:jc w:val="center"/>
      </w:pPr>
      <w:r>
        <w:rPr>
          <w:rFonts w:ascii="Times New Roman" w:cs="Times New Roman" w:eastAsia="Times New Roman" w:hAnsi="Times New Roman"/>
          <w:b w:val="false"/>
          <w:bCs w:val="false"/>
          <w:i/>
          <w:iCs/>
          <w:color w:val="000000"/>
          <w:sz w:val="22"/>
          <w:szCs w:val="22"/>
        </w:rPr>
        <w:t xml:space="preserve">Tablo 2. Leksikon sözlükleri özeti</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701"/>
        <w:gridCol w:w="1134"/>
        <w:gridCol w:w="1134"/>
        <w:gridCol w:w="3969"/>
      </w:tblGrid>
      <w:tr>
        <w:trPr>
          <w:tblHeader/>
        </w:trPr>
        <w:tc>
          <w:tcPr>
            <w:tcW w:type="dxa" w:w="1701"/>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Sözlük</w:t>
            </w:r>
          </w:p>
        </w:tc>
        <w:tc>
          <w:tcPr>
            <w:tcW w:type="dxa" w:w="1134"/>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Giriş Sayısı</w:t>
            </w:r>
          </w:p>
        </w:tc>
        <w:tc>
          <w:tcPr>
            <w:tcW w:type="dxa" w:w="1134"/>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Değer Aralığı</w:t>
            </w:r>
          </w:p>
        </w:tc>
        <w:tc>
          <w:tcPr>
            <w:tcW w:type="dxa" w:w="3969"/>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Kapsam ve Örnek Kelimeler</w:t>
            </w:r>
          </w:p>
        </w:tc>
      </w:tr>
      <w:tr>
        <w:trPr>
          <w:tblHeader w:val="false"/>
        </w:trPr>
        <w:tc>
          <w:tcPr>
            <w:tcW w:type="dxa" w:w="170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POS_WORDS</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~50</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0.60 – 0.95</w:t>
            </w:r>
          </w:p>
        </w:tc>
        <w:tc>
          <w:tcPr>
            <w:tcW w:type="dxa" w:w="396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harika (0.95), mükemmel (0.93), beğendim (0.88), sevdim (0.85), iyi (0.72), tatmin (0.78), nazik (0.73)</w:t>
            </w:r>
          </w:p>
        </w:tc>
      </w:tr>
      <w:tr>
        <w:trPr>
          <w:tblHeader w:val="false"/>
        </w:trPr>
        <w:tc>
          <w:tcPr>
            <w:tcW w:type="dxa" w:w="170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NEG_WORDS</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~55</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0.55 – 0.95</w:t>
            </w:r>
          </w:p>
        </w:tc>
        <w:tc>
          <w:tcPr>
            <w:tcW w:type="dxa" w:w="396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berbat (0.95), rezalet (0.94), kötü (0.90), başarısız (0.85), beğenmedim (0.85), pişmanım (0.83)</w:t>
            </w:r>
          </w:p>
        </w:tc>
      </w:tr>
      <w:tr>
        <w:trPr>
          <w:tblHeader w:val="false"/>
        </w:trPr>
        <w:tc>
          <w:tcPr>
            <w:tcW w:type="dxa" w:w="170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NEU_WORDS</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~70</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sabit: 0.00</w:t>
            </w:r>
          </w:p>
        </w:tc>
        <w:tc>
          <w:tcPr>
            <w:tcW w:type="dxa" w:w="396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bugün, saat, tren, toplantı, rapor, bulutlu, haftalık, büyük, var, yoktu</w:t>
            </w:r>
          </w:p>
        </w:tc>
      </w:tr>
    </w:tbl>
    <w:p>
      <w:pPr>
        <w:spacing w:after="0" w:before="0"/>
      </w:pPr>
      <w:r>
        <w:t xml:space="preserve"/>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Sözlük değerleri duygu yoğunluğunu yansıtır: "harika" (0.95) "iyi" (0.72) den çok daha güçlü bir sinyal taşırken, "uygun" (0.63) gibi ılımlı kelimeler düşük skor alır.</w:t>
      </w:r>
    </w:p>
    <w:p>
      <w:pPr>
        <w:pStyle w:val="Heading2"/>
        <w:spacing w:after="110" w:before="300"/>
      </w:pPr>
      <w:r>
        <w:rPr>
          <w:rFonts w:ascii="Times New Roman" w:cs="Times New Roman" w:eastAsia="Times New Roman" w:hAnsi="Times New Roman"/>
          <w:b/>
          <w:bCs/>
          <w:i w:val="false"/>
          <w:iCs w:val="false"/>
          <w:color w:val="000000"/>
          <w:sz w:val="26"/>
          <w:szCs w:val="26"/>
        </w:rPr>
        <w:t xml:space="preserve">4.2. Tokenizasyon ve Öncelik Sırası</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Tokenizasyon aşamasında metin küçük harfe dönüştürülür (Türkçeye özgü dönüşümler dahil: İ→i, I→ı, Ş→ş, Ğ→ğ, Ç→ç, Ü→ü, Ö→ö), noktalama işaretleri temizlenir ve boşluklara göre ayrılır. Her token ardından aşağıdaki öncelik sırasıyla sınıflandırılır:</w:t>
      </w:r>
    </w:p>
    <w:p>
      <w:pPr>
        <w:spacing w:after="0" w:before="0"/>
      </w:pPr>
      <w:r>
        <w:t xml:space="preserve"/>
      </w:r>
    </w:p>
    <w:p>
      <w:pPr>
        <w:spacing w:after="90" w:before="40" w:line="288" w:lineRule="auto"/>
        <w:ind w:left="0" w:hanging="0"/>
        <w:jc w:val="center"/>
      </w:pPr>
      <w:r>
        <w:rPr>
          <w:rFonts w:ascii="Times New Roman" w:cs="Times New Roman" w:eastAsia="Times New Roman" w:hAnsi="Times New Roman"/>
          <w:b w:val="false"/>
          <w:bCs w:val="false"/>
          <w:i/>
          <w:iCs/>
          <w:color w:val="000000"/>
          <w:sz w:val="22"/>
          <w:szCs w:val="22"/>
        </w:rPr>
        <w:t xml:space="preserve">Tablo 3. Token sınıflandırma öncelik sırası</w:t>
      </w:r>
    </w:p>
    <w:tbl>
      <w:tblPr>
        <w:tblW w:type="dxa" w:w="7371"/>
        <w:tblBorders>
          <w:top w:val="single" w:color="auto" w:sz="4"/>
          <w:left w:val="single" w:color="auto" w:sz="4"/>
          <w:bottom w:val="single" w:color="auto" w:sz="4"/>
          <w:right w:val="single" w:color="auto" w:sz="4"/>
          <w:insideH w:val="single" w:color="auto" w:sz="4"/>
          <w:insideV w:val="single" w:color="auto" w:sz="4"/>
        </w:tblBorders>
      </w:tblPr>
      <w:tblGrid>
        <w:gridCol w:w="851"/>
        <w:gridCol w:w="1985"/>
        <w:gridCol w:w="4536"/>
      </w:tblGrid>
      <w:tr>
        <w:trPr>
          <w:tblHeader/>
        </w:trPr>
        <w:tc>
          <w:tcPr>
            <w:tcW w:type="dxa" w:w="851"/>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Öncelik</w:t>
            </w:r>
          </w:p>
        </w:tc>
        <w:tc>
          <w:tcPr>
            <w:tcW w:type="dxa" w:w="1985"/>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Kategori</w:t>
            </w:r>
          </w:p>
        </w:tc>
        <w:tc>
          <w:tcPr>
            <w:tcW w:type="dxa" w:w="4536"/>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Açıklama</w:t>
            </w:r>
          </w:p>
        </w:tc>
      </w:tr>
      <w:tr>
        <w:trPr>
          <w:tblHeader w:val="false"/>
        </w:trPr>
        <w:tc>
          <w:tcPr>
            <w:tcW w:type="dxa" w:w="85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w:t>
            </w:r>
          </w:p>
        </w:tc>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NEGATORS</w:t>
            </w:r>
          </w:p>
        </w:tc>
        <w:tc>
          <w:tcPr>
            <w:tcW w:type="dxa" w:w="4536"/>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Olumsuzlayıcılar — değil, hiç, asla, kesinlikle değil, yoktu, olmadı, olmaz, yapmadı</w:t>
            </w:r>
          </w:p>
        </w:tc>
      </w:tr>
      <w:tr>
        <w:trPr>
          <w:tblHeader w:val="false"/>
        </w:trPr>
        <w:tc>
          <w:tcPr>
            <w:tcW w:type="dxa" w:w="85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2</w:t>
            </w:r>
          </w:p>
        </w:tc>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INTENSIFIERS</w:t>
            </w:r>
          </w:p>
        </w:tc>
        <w:tc>
          <w:tcPr>
            <w:tcW w:type="dxa" w:w="4536"/>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Pekiştiriciler — çok, gerçekten, son derece, oldukça, aşırı, biraz... (bkz. Tablo 4)</w:t>
            </w:r>
          </w:p>
        </w:tc>
      </w:tr>
      <w:tr>
        <w:trPr>
          <w:tblHeader w:val="false"/>
        </w:trPr>
        <w:tc>
          <w:tcPr>
            <w:tcW w:type="dxa" w:w="85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3</w:t>
            </w:r>
          </w:p>
        </w:tc>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POS_WORDS</w:t>
            </w:r>
          </w:p>
        </w:tc>
        <w:tc>
          <w:tcPr>
            <w:tcW w:type="dxa" w:w="4536"/>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Pozitif sözlükte eşleşme → pozitif skor atanır</w:t>
            </w:r>
          </w:p>
        </w:tc>
      </w:tr>
      <w:tr>
        <w:trPr>
          <w:tblHeader w:val="false"/>
        </w:trPr>
        <w:tc>
          <w:tcPr>
            <w:tcW w:type="dxa" w:w="85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4</w:t>
            </w:r>
          </w:p>
        </w:tc>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NEG_WORDS</w:t>
            </w:r>
          </w:p>
        </w:tc>
        <w:tc>
          <w:tcPr>
            <w:tcW w:type="dxa" w:w="4536"/>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Negatif sözlükte eşleşme → negatif skor atanır</w:t>
            </w:r>
          </w:p>
        </w:tc>
      </w:tr>
      <w:tr>
        <w:trPr>
          <w:tblHeader w:val="false"/>
        </w:trPr>
        <w:tc>
          <w:tcPr>
            <w:tcW w:type="dxa" w:w="85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5</w:t>
            </w:r>
          </w:p>
        </w:tc>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NEU_WORDS</w:t>
            </w:r>
          </w:p>
        </w:tc>
        <w:tc>
          <w:tcPr>
            <w:tcW w:type="dxa" w:w="4536"/>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Açık nötr — skor = 0, isExplicitNeutral = true atanır</w:t>
            </w:r>
          </w:p>
        </w:tc>
      </w:tr>
      <w:tr>
        <w:trPr>
          <w:tblHeader w:val="false"/>
        </w:trPr>
        <w:tc>
          <w:tcPr>
            <w:tcW w:type="dxa" w:w="85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6</w:t>
            </w:r>
          </w:p>
        </w:tc>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Örtük Nötr</w:t>
            </w:r>
          </w:p>
        </w:tc>
        <w:tc>
          <w:tcPr>
            <w:tcW w:type="dxa" w:w="4536"/>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Hiçbir sözlükte yok — skor = 0, isExplicitNeutral = false</w:t>
            </w:r>
          </w:p>
        </w:tc>
      </w:tr>
    </w:tbl>
    <w:p>
      <w:pPr>
        <w:pStyle w:val="Heading2"/>
        <w:spacing w:after="110" w:before="300"/>
      </w:pPr>
      <w:r>
        <w:rPr>
          <w:rFonts w:ascii="Times New Roman" w:cs="Times New Roman" w:eastAsia="Times New Roman" w:hAnsi="Times New Roman"/>
          <w:b/>
          <w:bCs/>
          <w:i w:val="false"/>
          <w:iCs w:val="false"/>
          <w:color w:val="000000"/>
          <w:sz w:val="26"/>
          <w:szCs w:val="26"/>
        </w:rPr>
        <w:t xml:space="preserve">4.3. Olumsuzlayıcı ve Pekiştirici Kurallar</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Her olumsuzlayıcı veya pekiştirici, kendinden sonraki anlamlı tokene uygulanır; bir sonraki tokende globalIntensity sıfırlanır.</w:t>
      </w:r>
    </w:p>
    <w:p>
      <w:pPr>
        <w:pStyle w:val="Heading3"/>
        <w:spacing w:after="80" w:before="200"/>
      </w:pPr>
      <w:r>
        <w:rPr>
          <w:rFonts w:ascii="Times New Roman" w:cs="Times New Roman" w:eastAsia="Times New Roman" w:hAnsi="Times New Roman"/>
          <w:b/>
          <w:bCs/>
          <w:i/>
          <w:iCs/>
          <w:color w:val="000000"/>
          <w:sz w:val="24"/>
          <w:szCs w:val="24"/>
        </w:rPr>
        <w:t xml:space="preserve">4.3.1. Olumsuzlayıcılar</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Bir olumsuzlayıcı tespit edildiğinde, önceki 3 token penceresi içindeki negatör varlığına göre sonraki duygu tokeninin skoru tersine çevrilerek 0.80 çarpanı uygulanır:</w:t>
      </w:r>
    </w:p>
    <w:p>
      <w:pPr>
        <w:spacing w:after="60" w:before="60"/>
        <w:ind w:left="510"/>
      </w:pPr>
      <w:r>
        <w:rPr>
          <w:rFonts w:ascii="Courier New" w:cs="Courier New" w:eastAsia="Courier New" w:hAnsi="Courier New"/>
          <w:b w:val="false"/>
          <w:bCs w:val="false"/>
          <w:i w:val="false"/>
          <w:iCs w:val="false"/>
          <w:color w:val="000000"/>
          <w:sz w:val="20"/>
          <w:szCs w:val="20"/>
        </w:rPr>
        <w:t xml:space="preserve">skor_son = −(skor_asıl × 0.80)</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Örnekler:</w:t>
      </w:r>
    </w:p>
    <w:p>
      <w:pPr>
        <w:spacing w:after="60" w:before="60"/>
        <w:ind w:left="510"/>
      </w:pPr>
      <w:r>
        <w:rPr>
          <w:rFonts w:ascii="Courier New" w:cs="Courier New" w:eastAsia="Courier New" w:hAnsi="Courier New"/>
          <w:b w:val="false"/>
          <w:bCs w:val="false"/>
          <w:i w:val="false"/>
          <w:iCs w:val="false"/>
          <w:color w:val="000000"/>
          <w:sz w:val="20"/>
          <w:szCs w:val="20"/>
        </w:rPr>
        <w:t xml:space="preserve">"hiç iyi değil"  →  POS("iyi", 0.72) × −0.80  =  −0.576   [NEGATİF]</w:t>
      </w:r>
    </w:p>
    <w:p>
      <w:pPr>
        <w:spacing w:after="60" w:before="60"/>
        <w:ind w:left="510"/>
      </w:pPr>
      <w:r>
        <w:rPr>
          <w:rFonts w:ascii="Courier New" w:cs="Courier New" w:eastAsia="Courier New" w:hAnsi="Courier New"/>
          <w:b w:val="false"/>
          <w:bCs w:val="false"/>
          <w:i w:val="false"/>
          <w:iCs w:val="false"/>
          <w:color w:val="000000"/>
          <w:sz w:val="20"/>
          <w:szCs w:val="20"/>
        </w:rPr>
        <w:t xml:space="preserve">"olmadı kötü"    →  NEG("kötü",-0.90) × −0.80  =  +0.720   [POZİTİF]</w:t>
      </w:r>
    </w:p>
    <w:p>
      <w:pPr>
        <w:pStyle w:val="Heading3"/>
        <w:spacing w:after="80" w:before="200"/>
      </w:pPr>
      <w:r>
        <w:rPr>
          <w:rFonts w:ascii="Times New Roman" w:cs="Times New Roman" w:eastAsia="Times New Roman" w:hAnsi="Times New Roman"/>
          <w:b/>
          <w:bCs/>
          <w:i/>
          <w:iCs/>
          <w:color w:val="000000"/>
          <w:sz w:val="24"/>
          <w:szCs w:val="24"/>
        </w:rPr>
        <w:t xml:space="preserve">4.3.2. Pekiştiriciler</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INTENSIFIERS sözlüğü hem güçlendirici (&gt;1.0) hem zayıflatıcı (&lt;1.0) çarpanlar içermektedir. Bir sonraki duygu tokeninin skoru bu çarpanla ölçeklenir:</w:t>
      </w:r>
    </w:p>
    <w:p>
      <w:pPr>
        <w:spacing w:after="0" w:before="0"/>
      </w:pPr>
      <w:r>
        <w:t xml:space="preserve"/>
      </w:r>
    </w:p>
    <w:p>
      <w:pPr>
        <w:spacing w:after="90" w:before="40" w:line="288" w:lineRule="auto"/>
        <w:ind w:left="0" w:hanging="0"/>
        <w:jc w:val="center"/>
      </w:pPr>
      <w:r>
        <w:rPr>
          <w:rFonts w:ascii="Times New Roman" w:cs="Times New Roman" w:eastAsia="Times New Roman" w:hAnsi="Times New Roman"/>
          <w:b w:val="false"/>
          <w:bCs w:val="false"/>
          <w:i/>
          <w:iCs/>
          <w:color w:val="000000"/>
          <w:sz w:val="22"/>
          <w:szCs w:val="22"/>
        </w:rPr>
        <w:t xml:space="preserve">Tablo 4. Pekiştirici ve zayıflatıcı kelimeler (koddan alınan gerçek değerler)</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134"/>
        <w:gridCol w:w="1134"/>
        <w:gridCol w:w="1418"/>
        <w:gridCol w:w="1134"/>
        <w:gridCol w:w="3119"/>
      </w:tblGrid>
      <w:tr>
        <w:trPr>
          <w:tblHeader/>
        </w:trPr>
        <w:tc>
          <w:tcPr>
            <w:tcW w:type="dxa" w:w="1134"/>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Tür</w:t>
            </w:r>
          </w:p>
        </w:tc>
        <w:tc>
          <w:tcPr>
            <w:tcW w:type="dxa" w:w="1134"/>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Kelime</w:t>
            </w:r>
          </w:p>
        </w:tc>
        <w:tc>
          <w:tcPr>
            <w:tcW w:type="dxa" w:w="1418"/>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Çarpan</w:t>
            </w:r>
          </w:p>
        </w:tc>
        <w:tc>
          <w:tcPr>
            <w:tcW w:type="dxa" w:w="1134"/>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Etki</w:t>
            </w:r>
          </w:p>
        </w:tc>
        <w:tc>
          <w:tcPr>
            <w:tcW w:type="dxa" w:w="3119"/>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Örnek Hesaplama</w:t>
            </w:r>
          </w:p>
        </w:tc>
      </w:tr>
      <w:tr>
        <w:trPr>
          <w:tblHeader w:val="false"/>
        </w:trPr>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Güçlendirici</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çok</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1.30</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%30</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"çok harika"     → 0.95 × 1.30 = +1.235</w:t>
            </w:r>
          </w:p>
        </w:tc>
      </w:tr>
      <w:tr>
        <w:trPr>
          <w:tblHeader w:val="false"/>
        </w:trPr>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Güçlendirici</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gerçekten</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1.25</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%25</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"gerçekten kötü"  → −0.90 × 1.25 = −1.125</w:t>
            </w:r>
          </w:p>
        </w:tc>
      </w:tr>
      <w:tr>
        <w:trPr>
          <w:tblHeader w:val="false"/>
        </w:trPr>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Güçlendirici</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son derece</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1.35</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%35</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"son derece başarısız" → −0.85 × 1.35 = −1.148</w:t>
            </w:r>
          </w:p>
        </w:tc>
      </w:tr>
      <w:tr>
        <w:trPr>
          <w:tblHeader w:val="false"/>
        </w:trPr>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Güçlendirici</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oldukça</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1.20</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%20</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"oldukça iyi"     → 0.72 × 1.20 = +0.864</w:t>
            </w:r>
          </w:p>
        </w:tc>
      </w:tr>
      <w:tr>
        <w:trPr>
          <w:tblHeader w:val="false"/>
        </w:trPr>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Güçlendirici</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aşırı / çok</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1.30</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%30</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"aşırı pahalı"    → −0.62 × 1.30 = −0.806</w:t>
            </w:r>
          </w:p>
        </w:tc>
      </w:tr>
      <w:tr>
        <w:trPr>
          <w:tblHeader w:val="false"/>
        </w:trPr>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Güçlendirici</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fazlasıyla</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1.28</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%28</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"fazlasıyla memnun" → 0.85 × 1.28 = +1.088</w:t>
            </w:r>
          </w:p>
        </w:tc>
      </w:tr>
      <w:tr>
        <w:trPr>
          <w:tblHeader w:val="false"/>
        </w:trPr>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Güçlendirici</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en</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1.25</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%25</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"en iyi"          → 0.72 × 1.25 = +0.900</w:t>
            </w:r>
          </w:p>
        </w:tc>
      </w:tr>
      <w:tr>
        <w:trPr>
          <w:tblHeader w:val="false"/>
        </w:trPr>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Zayıflatıcı</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biraz</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0.70</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%30</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"biraz pahalı"    → −0.62 × 0.70 = −0.434</w:t>
            </w:r>
          </w:p>
        </w:tc>
      </w:tr>
      <w:tr>
        <w:trPr>
          <w:tblHeader w:val="false"/>
        </w:trPr>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Zayıflatıcı</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az</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0.65</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%35</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"az iyi"          → 0.72 × 0.65 = +0.468</w:t>
            </w:r>
          </w:p>
        </w:tc>
      </w:tr>
      <w:tr>
        <w:trPr>
          <w:tblHeader w:val="false"/>
        </w:trPr>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Zayıflatıcı</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pek</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0.75</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%25</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"pek beğenmedim"  → −0.85 × 0.75 = −0.638</w:t>
            </w:r>
          </w:p>
        </w:tc>
      </w:tr>
    </w:tbl>
    <w:p>
      <w:pPr>
        <w:pStyle w:val="Heading2"/>
        <w:spacing w:after="110" w:before="300"/>
      </w:pPr>
      <w:r>
        <w:rPr>
          <w:rFonts w:ascii="Times New Roman" w:cs="Times New Roman" w:eastAsia="Times New Roman" w:hAnsi="Times New Roman"/>
          <w:b/>
          <w:bCs/>
          <w:i w:val="false"/>
          <w:iCs w:val="false"/>
          <w:color w:val="000000"/>
          <w:sz w:val="26"/>
          <w:szCs w:val="26"/>
        </w:rPr>
        <w:t xml:space="preserve">4.4. Nötr Kelime Tespiti</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Nötr tespiti iki katmanlı bir mekanizma ile çalışır:</w:t>
      </w:r>
    </w:p>
    <w:p>
      <w:pPr>
        <w:spacing w:after="65" w:before="65" w:line="288" w:lineRule="auto"/>
        <w:ind w:left="0" w:hanging="0"/>
        <w:jc w:val="both"/>
      </w:pPr>
      <w:r>
        <w:rPr>
          <w:rFonts w:ascii="Times New Roman" w:cs="Times New Roman" w:eastAsia="Times New Roman" w:hAnsi="Times New Roman"/>
          <w:b/>
          <w:bCs/>
          <w:i w:val="false"/>
          <w:iCs w:val="false"/>
          <w:color w:val="000000"/>
          <w:sz w:val="24"/>
          <w:szCs w:val="24"/>
        </w:rPr>
        <w:t xml:space="preserve">Açık Nötr (Explicit Neutral): </w:t>
      </w:r>
      <w:r>
        <w:rPr>
          <w:rFonts w:ascii="Times New Roman" w:cs="Times New Roman" w:eastAsia="Times New Roman" w:hAnsi="Times New Roman"/>
          <w:b w:val="false"/>
          <w:bCs w:val="false"/>
          <w:i w:val="false"/>
          <w:iCs w:val="false"/>
          <w:color w:val="000000"/>
          <w:sz w:val="24"/>
          <w:szCs w:val="24"/>
        </w:rPr>
        <w:t xml:space="preserve">NEU_WORDS kümesinde kayıtlı kelimeler — zaman ifadeleri (bugün, saat, haftalık), hava durumu terimleri (bulutlu, rüzgarlı), nesnel isimler (tren, mağaza, toplantı, rapor). isExplicitNeutral = true bayrağı atanır, ısı haritasında "Nötr" etiketiyle gösterilir.</w:t>
      </w:r>
    </w:p>
    <w:p>
      <w:pPr>
        <w:spacing w:after="65" w:before="65" w:line="288" w:lineRule="auto"/>
        <w:ind w:left="0" w:hanging="0"/>
        <w:jc w:val="both"/>
      </w:pPr>
      <w:r>
        <w:rPr>
          <w:rFonts w:ascii="Times New Roman" w:cs="Times New Roman" w:eastAsia="Times New Roman" w:hAnsi="Times New Roman"/>
          <w:b/>
          <w:bCs/>
          <w:i w:val="false"/>
          <w:iCs w:val="false"/>
          <w:color w:val="000000"/>
          <w:sz w:val="24"/>
          <w:szCs w:val="24"/>
        </w:rPr>
        <w:t xml:space="preserve">Örtük Nötr (Implicit Neutral): </w:t>
      </w:r>
      <w:r>
        <w:rPr>
          <w:rFonts w:ascii="Times New Roman" w:cs="Times New Roman" w:eastAsia="Times New Roman" w:hAnsi="Times New Roman"/>
          <w:b w:val="false"/>
          <w:bCs w:val="false"/>
          <w:i w:val="false"/>
          <w:iCs w:val="false"/>
          <w:color w:val="000000"/>
          <w:sz w:val="24"/>
          <w:szCs w:val="24"/>
        </w:rPr>
        <w:t xml:space="preserve">Hiçbir sözlükte bulunmayan kelimeler. Skor = 0 atanır, isExplicitNeutral = false kalır. "adam", "gitti", "masa" bu gruba örnek verilebilir.</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Güven skoru hesaplamasında nötr oranı:</w:t>
      </w:r>
    </w:p>
    <w:p>
      <w:pPr>
        <w:spacing w:after="60" w:before="60"/>
        <w:ind w:left="510"/>
      </w:pPr>
      <w:r>
        <w:rPr>
          <w:rFonts w:ascii="Courier New" w:cs="Courier New" w:eastAsia="Courier New" w:hAnsi="Courier New"/>
          <w:b w:val="false"/>
          <w:bCs w:val="false"/>
          <w:i w:val="false"/>
          <w:iCs w:val="false"/>
          <w:color w:val="000000"/>
          <w:sz w:val="20"/>
          <w:szCs w:val="20"/>
        </w:rPr>
        <w:t xml:space="preserve">explicitNeuRatio = açık_nötr_sayısı / anlamlı_token_sayısı</w:t>
      </w:r>
    </w:p>
    <w:p>
      <w:pPr>
        <w:spacing w:after="60" w:before="60"/>
        <w:ind w:left="510"/>
      </w:pPr>
      <w:r>
        <w:rPr>
          <w:rFonts w:ascii="Courier New" w:cs="Courier New" w:eastAsia="Courier New" w:hAnsi="Courier New"/>
          <w:b w:val="false"/>
          <w:bCs w:val="false"/>
          <w:i w:val="false"/>
          <w:iCs w:val="false"/>
          <w:color w:val="000000"/>
          <w:sz w:val="20"/>
          <w:szCs w:val="20"/>
        </w:rPr>
        <w:t xml:space="preserve">residualNeu      = max(0,  1 − (posScore + negScore))</w:t>
      </w:r>
    </w:p>
    <w:p>
      <w:pPr>
        <w:spacing w:after="60" w:before="60"/>
        <w:ind w:left="510"/>
      </w:pPr>
      <w:r>
        <w:rPr>
          <w:rFonts w:ascii="Courier New" w:cs="Courier New" w:eastAsia="Courier New" w:hAnsi="Courier New"/>
          <w:b w:val="false"/>
          <w:bCs w:val="false"/>
          <w:i w:val="false"/>
          <w:iCs w:val="false"/>
          <w:color w:val="000000"/>
          <w:sz w:val="20"/>
          <w:szCs w:val="20"/>
        </w:rPr>
        <w:t xml:space="preserve">neuScore         = max(explicitNeuRatio × 0.60 + residualNeu × 0.40,  residualNeu)</w:t>
      </w:r>
    </w:p>
    <w:p>
      <w:pPr>
        <w:pStyle w:val="Heading2"/>
        <w:spacing w:after="110" w:before="300"/>
      </w:pPr>
      <w:r>
        <w:rPr>
          <w:rFonts w:ascii="Times New Roman" w:cs="Times New Roman" w:eastAsia="Times New Roman" w:hAnsi="Times New Roman"/>
          <w:b/>
          <w:bCs/>
          <w:i w:val="false"/>
          <w:iCs w:val="false"/>
          <w:color w:val="000000"/>
          <w:sz w:val="26"/>
          <w:szCs w:val="26"/>
        </w:rPr>
        <w:t xml:space="preserve">4.5. Skor Hesaplama ve Güven Değeri</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Olumsuzlayıcı ve pekiştirici dışındaki tokenlar "anlamlı tokenlar" olarak değerlendirilir. Skor hesabı bu tokenlar üzerinden yapılır:</w:t>
      </w:r>
    </w:p>
    <w:p>
      <w:pPr>
        <w:spacing w:after="60" w:before="60"/>
        <w:ind w:left="510"/>
      </w:pPr>
      <w:r>
        <w:rPr>
          <w:rFonts w:ascii="Courier New" w:cs="Courier New" w:eastAsia="Courier New" w:hAnsi="Courier New"/>
          <w:b w:val="false"/>
          <w:bCs w:val="false"/>
          <w:i w:val="false"/>
          <w:iCs w:val="false"/>
          <w:color w:val="000000"/>
          <w:sz w:val="20"/>
          <w:szCs w:val="20"/>
        </w:rPr>
        <w:t xml:space="preserve">sCount    = skor ≠ 0 olan token sayısı  (en az 1)</w:t>
      </w:r>
    </w:p>
    <w:p>
      <w:pPr>
        <w:spacing w:after="60" w:before="60"/>
        <w:ind w:left="510"/>
      </w:pPr>
      <w:r>
        <w:rPr>
          <w:rFonts w:ascii="Courier New" w:cs="Courier New" w:eastAsia="Courier New" w:hAnsi="Courier New"/>
          <w:b w:val="false"/>
          <w:bCs w:val="false"/>
          <w:i w:val="false"/>
          <w:iCs w:val="false"/>
          <w:color w:val="000000"/>
          <w:sz w:val="20"/>
          <w:szCs w:val="20"/>
        </w:rPr>
        <w:t xml:space="preserve">posScore  = Σ score_i(pos) / sCount      ← ortalama pozitif katkı</w:t>
      </w:r>
    </w:p>
    <w:p>
      <w:pPr>
        <w:spacing w:after="60" w:before="60"/>
        <w:ind w:left="510"/>
      </w:pPr>
      <w:r>
        <w:rPr>
          <w:rFonts w:ascii="Courier New" w:cs="Courier New" w:eastAsia="Courier New" w:hAnsi="Courier New"/>
          <w:b w:val="false"/>
          <w:bCs w:val="false"/>
          <w:i w:val="false"/>
          <w:iCs w:val="false"/>
          <w:color w:val="000000"/>
          <w:sz w:val="20"/>
          <w:szCs w:val="20"/>
        </w:rPr>
        <w:t xml:space="preserve">negScore  = Σ |score_i(neg)| / sCount    ← ortalama negatif katkı</w:t>
      </w:r>
    </w:p>
    <w:p>
      <w:pPr>
        <w:spacing w:after="60" w:before="60"/>
        <w:ind w:left="510"/>
      </w:pPr>
      <w:r>
        <w:rPr>
          <w:rFonts w:ascii="Courier New" w:cs="Courier New" w:eastAsia="Courier New" w:hAnsi="Courier New"/>
          <w:b w:val="false"/>
          <w:bCs w:val="false"/>
          <w:i w:val="false"/>
          <w:iCs w:val="false"/>
          <w:color w:val="000000"/>
          <w:sz w:val="20"/>
          <w:szCs w:val="20"/>
        </w:rPr>
        <w:t xml:space="preserve">neuScore  = (yukarıdaki formülle)</w:t>
      </w:r>
    </w:p>
    <w:p>
      <w:pPr>
        <w:spacing w:after="60" w:before="60"/>
        <w:ind w:left="510"/>
      </w:pPr>
      <w:r>
        <w:rPr>
          <w:rFonts w:ascii="Courier New" w:cs="Courier New" w:eastAsia="Courier New" w:hAnsi="Courier New"/>
          <w:b w:val="false"/>
          <w:bCs w:val="false"/>
          <w:i w:val="false"/>
          <w:iCs w:val="false"/>
          <w:color w:val="000000"/>
          <w:sz w:val="20"/>
          <w:szCs w:val="20"/>
        </w:rPr>
        <w:t xml:space="preserve">total     = posScore + negScore + neuScore</w:t>
      </w:r>
    </w:p>
    <w:p>
      <w:pPr>
        <w:spacing w:after="60" w:before="60"/>
        <w:ind w:left="510"/>
      </w:pPr>
      <w:r>
        <w:rPr>
          <w:rFonts w:ascii="Courier New" w:cs="Courier New" w:eastAsia="Courier New" w:hAnsi="Courier New"/>
          <w:b w:val="false"/>
          <w:bCs w:val="false"/>
          <w:i w:val="false"/>
          <w:iCs w:val="false"/>
          <w:color w:val="000000"/>
          <w:sz w:val="20"/>
          <w:szCs w:val="20"/>
        </w:rPr>
        <w:t xml:space="preserve">pct.pos   = posScore / total</w:t>
      </w:r>
    </w:p>
    <w:p>
      <w:pPr>
        <w:spacing w:after="60" w:before="60"/>
        <w:ind w:left="510"/>
      </w:pPr>
      <w:r>
        <w:rPr>
          <w:rFonts w:ascii="Courier New" w:cs="Courier New" w:eastAsia="Courier New" w:hAnsi="Courier New"/>
          <w:b w:val="false"/>
          <w:bCs w:val="false"/>
          <w:i w:val="false"/>
          <w:iCs w:val="false"/>
          <w:color w:val="000000"/>
          <w:sz w:val="20"/>
          <w:szCs w:val="20"/>
        </w:rPr>
        <w:t xml:space="preserve">pct.neg   = negScore / total</w:t>
      </w:r>
    </w:p>
    <w:p>
      <w:pPr>
        <w:spacing w:after="60" w:before="60"/>
        <w:ind w:left="510"/>
      </w:pPr>
      <w:r>
        <w:rPr>
          <w:rFonts w:ascii="Courier New" w:cs="Courier New" w:eastAsia="Courier New" w:hAnsi="Courier New"/>
          <w:b w:val="false"/>
          <w:bCs w:val="false"/>
          <w:i w:val="false"/>
          <w:iCs w:val="false"/>
          <w:color w:val="000000"/>
          <w:sz w:val="20"/>
          <w:szCs w:val="20"/>
        </w:rPr>
        <w:t xml:space="preserve">pct.neu   = neuScore / total</w:t>
      </w:r>
    </w:p>
    <w:p>
      <w:pPr>
        <w:spacing w:after="60" w:before="60"/>
        <w:ind w:left="510"/>
      </w:pPr>
      <w:r>
        <w:rPr>
          <w:rFonts w:ascii="Courier New" w:cs="Courier New" w:eastAsia="Courier New" w:hAnsi="Courier New"/>
          <w:b w:val="false"/>
          <w:bCs w:val="false"/>
          <w:i w:val="false"/>
          <w:iCs w:val="false"/>
          <w:color w:val="000000"/>
          <w:sz w:val="20"/>
          <w:szCs w:val="20"/>
        </w:rPr>
        <w:t xml:space="preserve">label     = argmax(pct.pos, pct.neg, pct.neu)</w:t>
      </w:r>
    </w:p>
    <w:p>
      <w:pPr>
        <w:spacing w:after="60" w:before="60"/>
        <w:ind w:left="510"/>
      </w:pPr>
      <w:r>
        <w:rPr>
          <w:rFonts w:ascii="Courier New" w:cs="Courier New" w:eastAsia="Courier New" w:hAnsi="Courier New"/>
          <w:b w:val="false"/>
          <w:bCs w:val="false"/>
          <w:i w:val="false"/>
          <w:iCs w:val="false"/>
          <w:color w:val="000000"/>
          <w:sz w:val="20"/>
          <w:szCs w:val="20"/>
        </w:rPr>
        <w:t xml:space="preserve">conf      = max(pct.pos, pct.neg)   ← kazananın yüzdesi</w:t>
      </w:r>
    </w:p>
    <w:p>
      <w:pPr>
        <w:spacing w:after="0" w:before="0"/>
      </w:pPr>
      <w:r>
        <w:t xml:space="preserve"/>
      </w:r>
    </w:p>
    <w:p>
      <w:pPr>
        <w:spacing w:after="90" w:before="40" w:line="288" w:lineRule="auto"/>
        <w:ind w:left="0" w:hanging="0"/>
        <w:jc w:val="center"/>
      </w:pPr>
      <w:r>
        <w:rPr>
          <w:rFonts w:ascii="Times New Roman" w:cs="Times New Roman" w:eastAsia="Times New Roman" w:hAnsi="Times New Roman"/>
          <w:b w:val="false"/>
          <w:bCs w:val="false"/>
          <w:i/>
          <w:iCs/>
          <w:color w:val="000000"/>
          <w:sz w:val="22"/>
          <w:szCs w:val="22"/>
        </w:rPr>
        <w:t xml:space="preserve">Tablo 5. Örnek cümleler ve hesaplanan skor çıktıları</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3119"/>
        <w:gridCol w:w="1134"/>
        <w:gridCol w:w="1134"/>
        <w:gridCol w:w="1134"/>
        <w:gridCol w:w="1418"/>
      </w:tblGrid>
      <w:tr>
        <w:trPr>
          <w:tblHeader/>
        </w:trPr>
        <w:tc>
          <w:tcPr>
            <w:tcW w:type="dxa" w:w="3119"/>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Cümle</w:t>
            </w:r>
          </w:p>
        </w:tc>
        <w:tc>
          <w:tcPr>
            <w:tcW w:type="dxa" w:w="1134"/>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Pos %</w:t>
            </w:r>
          </w:p>
        </w:tc>
        <w:tc>
          <w:tcPr>
            <w:tcW w:type="dxa" w:w="1134"/>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Neg %</w:t>
            </w:r>
          </w:p>
        </w:tc>
        <w:tc>
          <w:tcPr>
            <w:tcW w:type="dxa" w:w="1134"/>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Nötr %</w:t>
            </w:r>
          </w:p>
        </w:tc>
        <w:tc>
          <w:tcPr>
            <w:tcW w:type="dxa" w:w="1418"/>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Etiket / Güven</w:t>
            </w:r>
          </w:p>
        </w:tc>
      </w:tr>
      <w:tr>
        <w:trPr>
          <w:tblHeader w:val="false"/>
        </w:trPr>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"Bu film gerçekten harikaydı, çok beğendim"</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%78</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%22</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Pozitif / %78</w:t>
            </w:r>
          </w:p>
        </w:tc>
      </w:tr>
      <w:tr>
        <w:trPr>
          <w:tblHeader w:val="false"/>
        </w:trPr>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"Servis çok kötüydü, yemekler soğuk geldi"</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%85</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%15</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Negatif / %85</w:t>
            </w:r>
          </w:p>
        </w:tc>
      </w:tr>
      <w:tr>
        <w:trPr>
          <w:tblHeader w:val="false"/>
        </w:trPr>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"Ürün kaliteli ama fiyat biraz pahalı"</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%38</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%27</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%35</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Pozitif / %38</w:t>
            </w:r>
          </w:p>
        </w:tc>
      </w:tr>
      <w:tr>
        <w:trPr>
          <w:tblHeader w:val="false"/>
        </w:trPr>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"Hava bugün bulutlu ve rüzgarlı"</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%100</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Nötr / —</w:t>
            </w:r>
          </w:p>
        </w:tc>
      </w:tr>
      <w:tr>
        <w:trPr>
          <w:tblHeader w:val="false"/>
        </w:trPr>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"Toplantı saat 14:00'te başlayacak"</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134"/>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%100</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Nötr / —</w:t>
            </w:r>
          </w:p>
        </w:tc>
      </w:tr>
    </w:tbl>
    <w:p>
      <w:r>
        <w:br w:type="page"/>
      </w:r>
    </w:p>
    <w:p>
      <w:pPr>
        <w:pStyle w:val="Heading1"/>
        <w:pBdr>
          <w:bottom w:val="single" w:color="222222" w:sz="10" w:space="4"/>
        </w:pBdr>
        <w:spacing w:after="160" w:before="460"/>
      </w:pPr>
      <w:r>
        <w:rPr>
          <w:rFonts w:ascii="Times New Roman" w:cs="Times New Roman" w:eastAsia="Times New Roman" w:hAnsi="Times New Roman"/>
          <w:b/>
          <w:bCs/>
          <w:i w:val="false"/>
          <w:iCs w:val="false"/>
          <w:color w:val="000000"/>
          <w:sz w:val="30"/>
          <w:szCs w:val="30"/>
        </w:rPr>
        <w:t xml:space="preserve">5. Açıklanabilir Yapay Zeka (XAI)</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XAI (Explainable Artificial Intelligence), makine öğrenmesi modellerinin kararlarını insan tarafından anlaşılabilir biçimde açıklamayı amaçlayan yöntemler bütünüdür. Bu çalışmada iki XAI yöntemi uygulanmıştır: SHAP ve LIME. Her ikisi de aynı girdi metnini bağımsız olarak analiz eder ve hangi kelimenin kararı ne ölçüde etkilediğini sayısal olarak ortaya koyar.</w:t>
      </w:r>
    </w:p>
    <w:p>
      <w:pPr>
        <w:pStyle w:val="Heading2"/>
        <w:spacing w:after="110" w:before="300"/>
      </w:pPr>
      <w:r>
        <w:rPr>
          <w:rFonts w:ascii="Times New Roman" w:cs="Times New Roman" w:eastAsia="Times New Roman" w:hAnsi="Times New Roman"/>
          <w:b/>
          <w:bCs/>
          <w:i w:val="false"/>
          <w:iCs w:val="false"/>
          <w:color w:val="000000"/>
          <w:sz w:val="26"/>
          <w:szCs w:val="26"/>
        </w:rPr>
        <w:t xml:space="preserve">5.1. SHAP — Shapley Additive Explanations</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SHAP, oyun teorisindeki Shapley değerini (Shapley, 1953) makine öğrenmesine uyarlayan bir yöntemdir (Lundberg ve Lee, 2017). n kelimeli bir metin için i. kelimenin genel Shapley değeri:</w:t>
      </w:r>
    </w:p>
    <w:p>
      <w:pPr>
        <w:spacing w:after="60" w:before="60"/>
        <w:ind w:left="510"/>
      </w:pPr>
      <w:r>
        <w:rPr>
          <w:rFonts w:ascii="Courier New" w:cs="Courier New" w:eastAsia="Courier New" w:hAnsi="Courier New"/>
          <w:b w:val="false"/>
          <w:bCs w:val="false"/>
          <w:i w:val="false"/>
          <w:iCs w:val="false"/>
          <w:color w:val="000000"/>
          <w:sz w:val="20"/>
          <w:szCs w:val="20"/>
        </w:rPr>
        <w:t xml:space="preserve">φᵢ = Σ_{S ⊆ N\{i}}  [ |S|! × (n−|S|−1)! / n! ] × [ f(S∪{i}) − f(S) ]</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Bu hesaplama 2ⁿ kombinasyon gerektirdiğinden büyük n değerlerinde pratik değildir. Ancak bu projede kullanılan model gürültüsüz ve katkısal (additive) bir yapıya sahip olduğundan, Leave-One-Out (LOO) yaklaşımı tam Shapley değerine eşittir:</w:t>
      </w:r>
    </w:p>
    <w:p>
      <w:pPr>
        <w:spacing w:after="60" w:before="60"/>
        <w:ind w:left="510"/>
      </w:pPr>
      <w:r>
        <w:rPr>
          <w:rFonts w:ascii="Courier New" w:cs="Courier New" w:eastAsia="Courier New" w:hAnsi="Courier New"/>
          <w:b w:val="false"/>
          <w:bCs w:val="false"/>
          <w:i w:val="false"/>
          <w:iCs w:val="false"/>
          <w:color w:val="000000"/>
          <w:sz w:val="20"/>
          <w:szCs w:val="20"/>
        </w:rPr>
        <w:t xml:space="preserve">φᵢ = f(tüm tokenlar) − f(tüm tokenlar \ {i})   [tam Shapley, hata = 0]</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Bu eşitlik "kukla aksiyomundan" (dummy axiom) türer: katkısal bir modelde her S alt kümesi için f(S∪{i})−f(S) sabittir, dolayısıyla ağırlıklı ortalama sadece tam kümedeki farka indirgenir. Hesaplama karmaşıklığı O(2ⁿ)'den O(n)'ye düşer.</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app.js implementasyonu:</w:t>
      </w:r>
    </w:p>
    <w:p>
      <w:pPr>
        <w:spacing w:after="60" w:before="60"/>
        <w:ind w:left="510"/>
      </w:pPr>
      <w:r>
        <w:rPr>
          <w:rFonts w:ascii="Courier New" w:cs="Courier New" w:eastAsia="Courier New" w:hAnsi="Courier New"/>
          <w:b w:val="false"/>
          <w:bCs w:val="false"/>
          <w:i w:val="false"/>
          <w:iCs w:val="false"/>
          <w:color w:val="000000"/>
          <w:sz w:val="20"/>
          <w:szCs w:val="20"/>
        </w:rPr>
        <w:t xml:space="preserve">function computeSHAP(tokens) {</w:t>
      </w:r>
    </w:p>
    <w:p>
      <w:pPr>
        <w:spacing w:after="60" w:before="60"/>
        <w:ind w:left="510"/>
      </w:pPr>
      <w:r>
        <w:rPr>
          <w:rFonts w:ascii="Courier New" w:cs="Courier New" w:eastAsia="Courier New" w:hAnsi="Courier New"/>
          <w:b w:val="false"/>
          <w:bCs w:val="false"/>
          <w:i w:val="false"/>
          <w:iCs w:val="false"/>
          <w:color w:val="000000"/>
          <w:sz w:val="20"/>
          <w:szCs w:val="20"/>
        </w:rPr>
        <w:t xml:space="preserve">  const full = rawScore(tokens);</w:t>
      </w:r>
    </w:p>
    <w:p>
      <w:pPr>
        <w:spacing w:after="60" w:before="60"/>
        <w:ind w:left="510"/>
      </w:pPr>
      <w:r>
        <w:rPr>
          <w:rFonts w:ascii="Courier New" w:cs="Courier New" w:eastAsia="Courier New" w:hAnsi="Courier New"/>
          <w:b w:val="false"/>
          <w:bCs w:val="false"/>
          <w:i w:val="false"/>
          <w:iCs w:val="false"/>
          <w:color w:val="000000"/>
          <w:sz w:val="20"/>
          <w:szCs w:val="20"/>
        </w:rPr>
        <w:t xml:space="preserve">  return tokens.map((tok, i) =&gt; {</w:t>
      </w:r>
    </w:p>
    <w:p>
      <w:pPr>
        <w:spacing w:after="60" w:before="60"/>
        <w:ind w:left="510"/>
      </w:pPr>
      <w:r>
        <w:rPr>
          <w:rFonts w:ascii="Courier New" w:cs="Courier New" w:eastAsia="Courier New" w:hAnsi="Courier New"/>
          <w:b w:val="false"/>
          <w:bCs w:val="false"/>
          <w:i w:val="false"/>
          <w:iCs w:val="false"/>
          <w:color w:val="000000"/>
          <w:sz w:val="20"/>
          <w:szCs w:val="20"/>
        </w:rPr>
        <w:t xml:space="preserve">    const without = tokens.filter((_, j) =&gt; j !== i);</w:t>
      </w:r>
    </w:p>
    <w:p>
      <w:pPr>
        <w:spacing w:after="60" w:before="60"/>
        <w:ind w:left="510"/>
      </w:pPr>
      <w:r>
        <w:rPr>
          <w:rFonts w:ascii="Courier New" w:cs="Courier New" w:eastAsia="Courier New" w:hAnsi="Courier New"/>
          <w:b w:val="false"/>
          <w:bCs w:val="false"/>
          <w:i w:val="false"/>
          <w:iCs w:val="false"/>
          <w:color w:val="000000"/>
          <w:sz w:val="20"/>
          <w:szCs w:val="20"/>
        </w:rPr>
        <w:t xml:space="preserve">    return { word: tok, value: +(full - rawScore(without)).toFixed(3) };</w:t>
      </w:r>
    </w:p>
    <w:p>
      <w:pPr>
        <w:spacing w:after="60" w:before="60"/>
        <w:ind w:left="510"/>
      </w:pPr>
      <w:r>
        <w:rPr>
          <w:rFonts w:ascii="Courier New" w:cs="Courier New" w:eastAsia="Courier New" w:hAnsi="Courier New"/>
          <w:b w:val="false"/>
          <w:bCs w:val="false"/>
          <w:i w:val="false"/>
          <w:iCs w:val="false"/>
          <w:color w:val="000000"/>
          <w:sz w:val="20"/>
          <w:szCs w:val="20"/>
        </w:rPr>
        <w:t xml:space="preserve">  }).filter(r =&gt; Math.abs(r.value) &gt; 0.005)</w:t>
      </w:r>
    </w:p>
    <w:p>
      <w:pPr>
        <w:spacing w:after="60" w:before="60"/>
        <w:ind w:left="510"/>
      </w:pPr>
      <w:r>
        <w:rPr>
          <w:rFonts w:ascii="Courier New" w:cs="Courier New" w:eastAsia="Courier New" w:hAnsi="Courier New"/>
          <w:b w:val="false"/>
          <w:bCs w:val="false"/>
          <w:i w:val="false"/>
          <w:iCs w:val="false"/>
          <w:color w:val="000000"/>
          <w:sz w:val="20"/>
          <w:szCs w:val="20"/>
        </w:rPr>
        <w:t xml:space="preserve">    .sort((a,b) =&gt; Math.abs(b.value) - Math.abs(a.value)).slice(0, 8);</w:t>
      </w:r>
    </w:p>
    <w:p>
      <w:pPr>
        <w:spacing w:after="60" w:before="60"/>
        <w:ind w:left="510"/>
      </w:pPr>
      <w:r>
        <w:rPr>
          <w:rFonts w:ascii="Courier New" w:cs="Courier New" w:eastAsia="Courier New" w:hAnsi="Courier New"/>
          <w:b w:val="false"/>
          <w:bCs w:val="false"/>
          <w:i w:val="false"/>
          <w:iCs w:val="false"/>
          <w:color w:val="000000"/>
          <w:sz w:val="20"/>
          <w:szCs w:val="20"/>
        </w:rPr>
        <w:t xml:space="preserve">}</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Pozitif φᵢ → kelime pozitif yönde katkıda. Negatif φᵢ → kelime negatif yönde katkıda. φᵢ ≈ 0 → kelime modelin kararını değiştirmiyor (nötr karar için bu beklenen seyrek açıklama).</w:t>
      </w:r>
    </w:p>
    <w:p>
      <w:pPr>
        <w:pStyle w:val="Heading2"/>
        <w:spacing w:after="110" w:before="300"/>
      </w:pPr>
      <w:r>
        <w:rPr>
          <w:rFonts w:ascii="Times New Roman" w:cs="Times New Roman" w:eastAsia="Times New Roman" w:hAnsi="Times New Roman"/>
          <w:b/>
          <w:bCs/>
          <w:i w:val="false"/>
          <w:iCs w:val="false"/>
          <w:color w:val="000000"/>
          <w:sz w:val="26"/>
          <w:szCs w:val="26"/>
        </w:rPr>
        <w:t xml:space="preserve">5.2. LIME — Local Interpretable Model-agnostic Explanations</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LIME (Ribeiro ve ark., 2016) herhangi bir kara kutu modele model-agnostik biçimde uygulanabilen yerel açıklama yöntemidir. Metin için pertürbasyon, kelimelerin rassal ikili maskelerle çıkarılmasıyla gerçekleştirilir.</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Hesaplama adımları:</w:t>
      </w:r>
    </w:p>
    <w:p>
      <w:pPr>
        <w:pStyle w:val="ListParagraph"/>
        <w:numPr>
          <w:ilvl w:val="0"/>
          <w:numId w:val="3"/>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M = 120 adet rassal binary maske üretilir: mask ∈ {0,1}ⁿ — her kelime %50 olasılıkla dahil edilir.</w:t>
      </w:r>
    </w:p>
    <w:p>
      <w:pPr>
        <w:pStyle w:val="ListParagraph"/>
        <w:numPr>
          <w:ilvl w:val="0"/>
          <w:numId w:val="3"/>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Her maske için maskelenmiş alt küme üzerinde rawScore(subset) hesaplanır.</w:t>
      </w:r>
    </w:p>
    <w:p>
      <w:pPr>
        <w:pStyle w:val="ListParagraph"/>
        <w:numPr>
          <w:ilvl w:val="0"/>
          <w:numId w:val="3"/>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Her kelime için koşullu beklenti farkı hesaplanır:</w:t>
      </w:r>
    </w:p>
    <w:p>
      <w:pPr>
        <w:spacing w:after="60" w:before="60"/>
        <w:ind w:left="510"/>
      </w:pPr>
      <w:r>
        <w:rPr>
          <w:rFonts w:ascii="Courier New" w:cs="Courier New" w:eastAsia="Courier New" w:hAnsi="Courier New"/>
          <w:b w:val="false"/>
          <w:bCs w:val="false"/>
          <w:i w:val="false"/>
          <w:iCs w:val="false"/>
          <w:color w:val="000000"/>
          <w:sz w:val="20"/>
          <w:szCs w:val="20"/>
        </w:rPr>
        <w:t xml:space="preserve">LIME_i = E[rawScore | x_i=1] − E[rawScore | x_i=0]</w:t>
      </w:r>
    </w:p>
    <w:p>
      <w:pPr>
        <w:spacing w:after="60" w:before="60"/>
        <w:ind w:left="510"/>
      </w:pPr>
      <w:r>
        <w:rPr>
          <w:rFonts w:ascii="Courier New" w:cs="Courier New" w:eastAsia="Courier New" w:hAnsi="Courier New"/>
          <w:b w:val="false"/>
          <w:bCs w:val="false"/>
          <w:i w:val="false"/>
          <w:iCs w:val="false"/>
          <w:color w:val="000000"/>
          <w:sz w:val="20"/>
          <w:szCs w:val="20"/>
        </w:rPr>
        <w:t xml:space="preserve">       ≈ mean({score_m : mask_m[i]=1}) − mean({score_m : mask_m[i]=0})</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M=120 seçimi, hesaplama maliyeti (O(n×120)) ile istatistiksel kararlılık arasında denge gözetilerek belirlenmiştir. M arttıkça LIME değerleri SHAP değerlerine yaklaşır; ancak her çalıştırmada hafif farklılık gösterir (stokastik).</w:t>
      </w:r>
    </w:p>
    <w:p>
      <w:pPr>
        <w:pStyle w:val="Heading2"/>
        <w:spacing w:after="110" w:before="300"/>
      </w:pPr>
      <w:r>
        <w:rPr>
          <w:rFonts w:ascii="Times New Roman" w:cs="Times New Roman" w:eastAsia="Times New Roman" w:hAnsi="Times New Roman"/>
          <w:b/>
          <w:bCs/>
          <w:i w:val="false"/>
          <w:iCs w:val="false"/>
          <w:color w:val="000000"/>
          <w:sz w:val="26"/>
          <w:szCs w:val="26"/>
        </w:rPr>
        <w:t xml:space="preserve">5.3. Ham Skor (rawScore) Tasarımı</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XAI hesaplamalarının anlamlı sonuç üretebilmesi için kritik bir tasarım kararı alınmıştır: computeSentiment'in normalize çıktısı yerine ham skor (rawScore) kullanılmaktadır.</w:t>
      </w:r>
    </w:p>
    <w:p>
      <w:pPr>
        <w:spacing w:after="0" w:before="0"/>
      </w:pPr>
      <w:r>
        <w:t xml:space="preserve"/>
      </w:r>
    </w:p>
    <w:p>
      <w:pPr>
        <w:spacing w:after="90" w:before="40" w:line="288" w:lineRule="auto"/>
        <w:ind w:left="0" w:hanging="0"/>
        <w:jc w:val="center"/>
      </w:pPr>
      <w:r>
        <w:rPr>
          <w:rFonts w:ascii="Times New Roman" w:cs="Times New Roman" w:eastAsia="Times New Roman" w:hAnsi="Times New Roman"/>
          <w:b w:val="false"/>
          <w:bCs w:val="false"/>
          <w:i/>
          <w:iCs/>
          <w:color w:val="000000"/>
          <w:sz w:val="22"/>
          <w:szCs w:val="22"/>
        </w:rPr>
        <w:t xml:space="preserve">Tablo 6. Normalize skor ile ham skorun XAI üzerindeki etkisi</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985"/>
        <w:gridCol w:w="2977"/>
        <w:gridCol w:w="2977"/>
      </w:tblGrid>
      <w:tr>
        <w:trPr>
          <w:tblHeader/>
        </w:trPr>
        <w:tc>
          <w:tcPr>
            <w:tcW w:type="dxa" w:w="1985"/>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Özellik</w:t>
            </w:r>
          </w:p>
        </w:tc>
        <w:tc>
          <w:tcPr>
            <w:tcW w:type="dxa" w:w="2977"/>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Normalize Skor (pct.pos − pct.neg)</w:t>
            </w:r>
          </w:p>
        </w:tc>
        <w:tc>
          <w:tcPr>
            <w:tcW w:type="dxa" w:w="2977"/>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Ham Skor (rawScore = posSum − negSum)</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Değer aralığı</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Her zaman [−1, +1] sınırında</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Sınırsız — token sayısına ve yoğunluğa bağlı</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LOO farkı (SHAP için)</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0 — bölen (total) de değişir</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Anlamlı — doğrudan katkı farkı ölçülür</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XAI grafik sonucu</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Tüm çubuklar sıfıra yakın → anlamsız</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Doğru ve yorumlanabilir değerler</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Nötr cümle</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Tanımsız (total = 0 riski)</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rawScore = 0, φᵢ = 0 — seyrek açıklama</w:t>
            </w:r>
          </w:p>
        </w:tc>
      </w:tr>
    </w:tbl>
    <w:p>
      <w:pPr>
        <w:spacing w:after="0" w:before="0"/>
      </w:pPr>
      <w:r>
        <w:t xml:space="preserve"/>
      </w:r>
    </w:p>
    <w:p>
      <w:pPr>
        <w:spacing w:after="65" w:before="65" w:line="288" w:lineRule="auto"/>
        <w:ind w:left="0" w:hanging="0"/>
        <w:jc w:val="both"/>
      </w:pPr>
      <w:r>
        <w:rPr>
          <w:rFonts w:ascii="Times New Roman" w:cs="Times New Roman" w:eastAsia="Times New Roman" w:hAnsi="Times New Roman"/>
          <w:b/>
          <w:bCs/>
          <w:i w:val="false"/>
          <w:iCs w:val="false"/>
          <w:color w:val="000000"/>
          <w:sz w:val="24"/>
          <w:szCs w:val="24"/>
        </w:rPr>
        <w:t xml:space="preserve">Nötr cümlede seyrek açıklama: </w:t>
      </w:r>
      <w:r>
        <w:rPr>
          <w:rFonts w:ascii="Times New Roman" w:cs="Times New Roman" w:eastAsia="Times New Roman" w:hAnsi="Times New Roman"/>
          <w:b w:val="false"/>
          <w:bCs w:val="false"/>
          <w:i w:val="false"/>
          <w:iCs w:val="false"/>
          <w:color w:val="000000"/>
          <w:sz w:val="24"/>
          <w:szCs w:val="24"/>
        </w:rPr>
        <w:t xml:space="preserve">POS/NEG eşleşmesi yoksa rawScore = 0, dolayısıyla φᵢ = 0 olur. Bu durum Lundberg ve Lee'nin kukla aksiyomunu karşılar; nötr kararın kaynağı kelimeler değil, duygu sinyalinin yokluğudur.</w:t>
      </w:r>
    </w:p>
    <w:p>
      <w:pPr>
        <w:pStyle w:val="Heading2"/>
        <w:spacing w:after="110" w:before="300"/>
      </w:pPr>
      <w:r>
        <w:rPr>
          <w:rFonts w:ascii="Times New Roman" w:cs="Times New Roman" w:eastAsia="Times New Roman" w:hAnsi="Times New Roman"/>
          <w:b/>
          <w:bCs/>
          <w:i w:val="false"/>
          <w:iCs w:val="false"/>
          <w:color w:val="000000"/>
          <w:sz w:val="26"/>
          <w:szCs w:val="26"/>
        </w:rPr>
        <w:t xml:space="preserve">5.4. SHAP ve LIME Karşılaştırması</w:t>
      </w:r>
    </w:p>
    <w:p>
      <w:pPr>
        <w:spacing w:after="0" w:before="0"/>
      </w:pPr>
      <w:r>
        <w:t xml:space="preserve"/>
      </w:r>
    </w:p>
    <w:p>
      <w:pPr>
        <w:spacing w:after="90" w:before="40" w:line="288" w:lineRule="auto"/>
        <w:ind w:left="0" w:hanging="0"/>
        <w:jc w:val="center"/>
      </w:pPr>
      <w:r>
        <w:rPr>
          <w:rFonts w:ascii="Times New Roman" w:cs="Times New Roman" w:eastAsia="Times New Roman" w:hAnsi="Times New Roman"/>
          <w:b w:val="false"/>
          <w:bCs w:val="false"/>
          <w:i/>
          <w:iCs/>
          <w:color w:val="000000"/>
          <w:sz w:val="22"/>
          <w:szCs w:val="22"/>
        </w:rPr>
        <w:t xml:space="preserve">Tablo 7. SHAP ve LIME yöntemlerinin karşılaştırması</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985"/>
        <w:gridCol w:w="2977"/>
        <w:gridCol w:w="2977"/>
      </w:tblGrid>
      <w:tr>
        <w:trPr>
          <w:tblHeader/>
        </w:trPr>
        <w:tc>
          <w:tcPr>
            <w:tcW w:type="dxa" w:w="1985"/>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Kriter</w:t>
            </w:r>
          </w:p>
        </w:tc>
        <w:tc>
          <w:tcPr>
            <w:tcW w:type="dxa" w:w="2977"/>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SHAP (LOO — Exact)</w:t>
            </w:r>
          </w:p>
        </w:tc>
        <w:tc>
          <w:tcPr>
            <w:tcW w:type="dxa" w:w="2977"/>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LIME (M = 120 — Ampirik)</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Teorik dayanak</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Shapley değerleri — kooperatif oyun teorisi</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Koşullu beklenti farkı — rassal pertürbasyon</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Test bağlamı</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Kelime TAM metinden çıkarılır</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Rassal alt kümeler (ikili maskeler)</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Etkileşim yakalama</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Tam — pekiştirici + hedef birlikte ölçülür</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Kısmi — pekiştirici yokken de test edilir</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Deterministik mi?</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Evet — her çalıştırmada aynı sonuç</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Hayır — stokastik</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Hesap karmaşıklığı</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O(n) — lineer</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O(n × 120)</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Aksiyom garantisi</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4 aksiyom (Verimlilik, Simetri, Kukla, Toplanabilirlik)</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Aksiyom garantisi yok</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Pekiştirici etkisi</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Yüksek — tam bağlamda doğru ölçülür</w:t>
            </w:r>
          </w:p>
        </w:tc>
        <w:tc>
          <w:tcPr>
            <w:tcW w:type="dxa" w:w="2977"/>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Düşük — pekiştirici yokken de değerlenir</w:t>
            </w:r>
          </w:p>
        </w:tc>
      </w:tr>
    </w:tbl>
    <w:p>
      <w:pPr>
        <w:pStyle w:val="Heading1"/>
        <w:pBdr>
          <w:bottom w:val="single" w:color="222222" w:sz="10" w:space="4"/>
        </w:pBdr>
        <w:spacing w:after="160" w:before="460"/>
      </w:pPr>
      <w:r>
        <w:rPr>
          <w:rFonts w:ascii="Times New Roman" w:cs="Times New Roman" w:eastAsia="Times New Roman" w:hAnsi="Times New Roman"/>
          <w:b/>
          <w:bCs/>
          <w:i w:val="false"/>
          <w:iCs w:val="false"/>
          <w:color w:val="000000"/>
          <w:sz w:val="30"/>
          <w:szCs w:val="30"/>
        </w:rPr>
        <w:t xml:space="preserve">6. Web Arayüzü</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Kullanıcı arayüzü (index.html + style.css + app.js), istemci taraflı çalışan tek sayfalı bir web uygulamasıdır. Harici kütüphane veya build adımı kullanılmamıştır; uygulama doğrudan dosya sisteminden tarayıcıda açılabilir.</w:t>
      </w:r>
    </w:p>
    <w:p>
      <w:pPr>
        <w:pStyle w:val="Heading2"/>
        <w:spacing w:after="110" w:before="300"/>
      </w:pPr>
      <w:r>
        <w:rPr>
          <w:rFonts w:ascii="Times New Roman" w:cs="Times New Roman" w:eastAsia="Times New Roman" w:hAnsi="Times New Roman"/>
          <w:b/>
          <w:bCs/>
          <w:i w:val="false"/>
          <w:iCs w:val="false"/>
          <w:color w:val="000000"/>
          <w:sz w:val="26"/>
          <w:szCs w:val="26"/>
        </w:rPr>
        <w:t xml:space="preserve">6.1. Arayüz Bileşenleri</w:t>
      </w:r>
    </w:p>
    <w:p>
      <w:pPr>
        <w:spacing w:after="0" w:before="0"/>
      </w:pPr>
      <w:r>
        <w:t xml:space="preserve"/>
      </w:r>
    </w:p>
    <w:p>
      <w:pPr>
        <w:spacing w:after="90" w:before="40" w:line="288" w:lineRule="auto"/>
        <w:ind w:left="0" w:hanging="0"/>
        <w:jc w:val="center"/>
      </w:pPr>
      <w:r>
        <w:rPr>
          <w:rFonts w:ascii="Times New Roman" w:cs="Times New Roman" w:eastAsia="Times New Roman" w:hAnsi="Times New Roman"/>
          <w:b w:val="false"/>
          <w:bCs w:val="false"/>
          <w:i/>
          <w:iCs/>
          <w:color w:val="000000"/>
          <w:sz w:val="22"/>
          <w:szCs w:val="22"/>
        </w:rPr>
        <w:t xml:space="preserve">Tablo 8. Arayüz bileşenleri ve DOM referansları</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985"/>
        <w:gridCol w:w="3119"/>
        <w:gridCol w:w="2835"/>
      </w:tblGrid>
      <w:tr>
        <w:trPr>
          <w:tblHeader/>
        </w:trPr>
        <w:tc>
          <w:tcPr>
            <w:tcW w:type="dxa" w:w="1985"/>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Bileşen</w:t>
            </w:r>
          </w:p>
        </w:tc>
        <w:tc>
          <w:tcPr>
            <w:tcW w:type="dxa" w:w="3119"/>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İşlev ve Davranış</w:t>
            </w:r>
          </w:p>
        </w:tc>
        <w:tc>
          <w:tcPr>
            <w:tcW w:type="dxa" w:w="2835"/>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DOM / CSS Referansı</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Metin girişi</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Türkçe metin yazılır; Ctrl+Enter kısayolu; boş girişte çalışmaz</w:t>
            </w:r>
          </w:p>
        </w:tc>
        <w:tc>
          <w:tcPr>
            <w:tcW w:type="dxa" w:w="283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#txt (textarea)</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Örnek cümleler</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11 hazır cümle (pos/neg/nötr/karma); tıkla → doldur + analiz et</w:t>
            </w:r>
          </w:p>
        </w:tc>
        <w:tc>
          <w:tcPr>
            <w:tcW w:type="dxa" w:w="283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.ex-pill sınıfları</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Yükleyici</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Analiz süresince spinner + "Analiz yapılıyor…" metni gösterilir</w:t>
            </w:r>
          </w:p>
        </w:tc>
        <w:tc>
          <w:tcPr>
            <w:tcW w:type="dxa" w:w="283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#loading (.spinner)</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Karar kartı</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Emoji, etiket (Pozitif/Negatif/Nötr), güven % ve etkili kelime sayısı</w:t>
            </w:r>
          </w:p>
        </w:tc>
        <w:tc>
          <w:tcPr>
            <w:tcW w:type="dxa" w:w="283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#verdict-emoji, #verdict-label</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Skor pilleri</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Pozitif / Negatif / Nötr yüzdeleri renkli kutucuklarda</w:t>
            </w:r>
          </w:p>
        </w:tc>
        <w:tc>
          <w:tcPr>
            <w:tcW w:type="dxa" w:w="283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#s-pos, #s-neg, #s-neu</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Güven çubuğu</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Yatay progress bar; genişlik = conf%; etikete göre renk değişir</w:t>
            </w:r>
          </w:p>
        </w:tc>
        <w:tc>
          <w:tcPr>
            <w:tcW w:type="dxa" w:w="283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#conf-bar (.conf-bar-bg)</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Kelime ısı haritası</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Her token renk sınıfıyla gösterilir; hover ile sayısal katkı görünür</w:t>
            </w:r>
          </w:p>
        </w:tc>
        <w:tc>
          <w:tcPr>
            <w:tcW w:type="dxa" w:w="283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#tokens (.token .token-tip)</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SHAP grafik</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Yatay çubuklar; sıfır ortada, pozitif sağa / negatif sola; en önemli 8 kelime</w:t>
            </w:r>
          </w:p>
        </w:tc>
        <w:tc>
          <w:tcPr>
            <w:tcW w:type="dxa" w:w="283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#shap-chart (.bar-row)</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LIME grafik</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SHAP ile aynı yapı; bağımsız hesaplanır, yan yana karşılaştırma sağlar</w:t>
            </w:r>
          </w:p>
        </w:tc>
        <w:tc>
          <w:tcPr>
            <w:tcW w:type="dxa" w:w="283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#lime-chart (.bar-row)</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Karşılaştırma tablosu</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Kelime başına SHAP &amp; LIME değerleri; işaret uyumu "✓ Evet / ✗ Farklı"</w:t>
            </w:r>
          </w:p>
        </w:tc>
        <w:tc>
          <w:tcPr>
            <w:tcW w:type="dxa" w:w="283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#comparison-table (.cmp-row)</w:t>
            </w:r>
          </w:p>
        </w:tc>
      </w:tr>
      <w:tr>
        <w:trPr>
          <w:tblHeader w:val="false"/>
        </w:trPr>
        <w:tc>
          <w:tcPr>
            <w:tcW w:type="dxa" w:w="198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Model açıklaması</w:t>
            </w:r>
          </w:p>
        </w:tc>
        <w:tc>
          <w:tcPr>
            <w:tcW w:type="dxa" w:w="3119"/>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Kararın gerekçesini doğal dilde özetleyen otomatik üretilen metin</w:t>
            </w:r>
          </w:p>
        </w:tc>
        <w:tc>
          <w:tcPr>
            <w:tcW w:type="dxa" w:w="283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#xai-text</w:t>
            </w:r>
          </w:p>
        </w:tc>
      </w:tr>
    </w:tbl>
    <w:p>
      <w:pPr>
        <w:spacing w:after="0" w:before="0"/>
      </w:pPr>
      <w:r>
        <w:t xml:space="preserve"/>
      </w:r>
    </w:p>
    <w:p>
      <w:pPr>
        <w:pStyle w:val="Heading2"/>
        <w:spacing w:after="110" w:before="300"/>
      </w:pPr>
      <w:r>
        <w:rPr>
          <w:rFonts w:ascii="Times New Roman" w:cs="Times New Roman" w:eastAsia="Times New Roman" w:hAnsi="Times New Roman"/>
          <w:b/>
          <w:bCs/>
          <w:i w:val="false"/>
          <w:iCs w:val="false"/>
          <w:color w:val="000000"/>
          <w:sz w:val="26"/>
          <w:szCs w:val="26"/>
        </w:rPr>
        <w:t xml:space="preserve">6.2. Kelime Isı Haritası Renk Şeması</w:t>
      </w:r>
    </w:p>
    <w:p>
      <w:pPr>
        <w:spacing w:after="0" w:before="0"/>
      </w:pPr>
      <w:r>
        <w:t xml:space="preserve"/>
      </w:r>
    </w:p>
    <w:p>
      <w:pPr>
        <w:spacing w:after="90" w:before="40" w:line="288" w:lineRule="auto"/>
        <w:ind w:left="0" w:hanging="0"/>
        <w:jc w:val="center"/>
      </w:pPr>
      <w:r>
        <w:rPr>
          <w:rFonts w:ascii="Times New Roman" w:cs="Times New Roman" w:eastAsia="Times New Roman" w:hAnsi="Times New Roman"/>
          <w:b w:val="false"/>
          <w:bCs w:val="false"/>
          <w:i/>
          <w:iCs/>
          <w:color w:val="000000"/>
          <w:sz w:val="22"/>
          <w:szCs w:val="22"/>
        </w:rPr>
        <w:t xml:space="preserve">Tablo 9. Token renk sınıfları, eşik değerleri ve anlamları</w:t>
      </w:r>
    </w:p>
    <w:tbl>
      <w:tblPr>
        <w:tblW w:type="dxa" w:w="7371"/>
        <w:tblBorders>
          <w:top w:val="single" w:color="auto" w:sz="4"/>
          <w:left w:val="single" w:color="auto" w:sz="4"/>
          <w:bottom w:val="single" w:color="auto" w:sz="4"/>
          <w:right w:val="single" w:color="auto" w:sz="4"/>
          <w:insideH w:val="single" w:color="auto" w:sz="4"/>
          <w:insideV w:val="single" w:color="auto" w:sz="4"/>
        </w:tblBorders>
      </w:tblPr>
      <w:tblGrid>
        <w:gridCol w:w="1701"/>
        <w:gridCol w:w="1418"/>
        <w:gridCol w:w="1418"/>
        <w:gridCol w:w="2835"/>
      </w:tblGrid>
      <w:tr>
        <w:trPr>
          <w:tblHeader/>
        </w:trPr>
        <w:tc>
          <w:tcPr>
            <w:tcW w:type="dxa" w:w="1701"/>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CSS Sınıfı</w:t>
            </w:r>
          </w:p>
        </w:tc>
        <w:tc>
          <w:tcPr>
            <w:tcW w:type="dxa" w:w="1418"/>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Renk (hex)</w:t>
            </w:r>
          </w:p>
        </w:tc>
        <w:tc>
          <w:tcPr>
            <w:tcW w:type="dxa" w:w="1418"/>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Koşul</w:t>
            </w:r>
          </w:p>
        </w:tc>
        <w:tc>
          <w:tcPr>
            <w:tcW w:type="dxa" w:w="2835"/>
            <w:tcBorders>
              <w:top w:val="single" w:color="555555" w:sz="4"/>
              <w:left w:val="single" w:color="555555" w:sz="4"/>
              <w:bottom w:val="single" w:color="555555" w:sz="4"/>
              <w:right w:val="single" w:color="555555" w:sz="4"/>
            </w:tcBorders>
            <w:shd w:fill="1F4E79" w:val="clear"/>
            <w:tcMar>
              <w:top w:type="dxa" w:w="85"/>
              <w:left w:type="dxa" w:w="120"/>
              <w:bottom w:type="dxa" w:w="85"/>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Anlam</w:t>
            </w:r>
          </w:p>
        </w:tc>
      </w:tr>
      <w:tr>
        <w:trPr>
          <w:tblHeader w:val="false"/>
        </w:trPr>
        <w:tc>
          <w:tcPr>
            <w:tcW w:type="dxa" w:w="170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pos-strong</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#15803d (koyu yeşil)</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skor &gt; 0  ve  |skor| &gt; 0.70</w:t>
            </w:r>
          </w:p>
        </w:tc>
        <w:tc>
          <w:tcPr>
            <w:tcW w:type="dxa" w:w="283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Güçlü pozitif — harika, mükemmel</w:t>
            </w:r>
          </w:p>
        </w:tc>
      </w:tr>
      <w:tr>
        <w:trPr>
          <w:tblHeader w:val="false"/>
        </w:trPr>
        <w:tc>
          <w:tcPr>
            <w:tcW w:type="dxa" w:w="170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pos-mid</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#22c55e (orta yeşil)</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skor &gt; 0  ve  |skor| &gt; 0.35</w:t>
            </w:r>
          </w:p>
        </w:tc>
        <w:tc>
          <w:tcPr>
            <w:tcW w:type="dxa" w:w="283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Orta pozitif — iyi, memnun</w:t>
            </w:r>
          </w:p>
        </w:tc>
      </w:tr>
      <w:tr>
        <w:trPr>
          <w:tblHeader w:val="false"/>
        </w:trPr>
        <w:tc>
          <w:tcPr>
            <w:tcW w:type="dxa" w:w="170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pos-weak</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#86efac (soluk yeşil)</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skor &gt; 0  ve  |skor| ≤ 0.35</w:t>
            </w:r>
          </w:p>
        </w:tc>
        <w:tc>
          <w:tcPr>
            <w:tcW w:type="dxa" w:w="283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Zayıf pozitif — uygun, makul</w:t>
            </w:r>
          </w:p>
        </w:tc>
      </w:tr>
      <w:tr>
        <w:trPr>
          <w:tblHeader w:val="false"/>
        </w:trPr>
        <w:tc>
          <w:tcPr>
            <w:tcW w:type="dxa" w:w="170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neg-strong</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#dc2626 (koyu kırmızı)</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skor &lt; 0  ve  |skor| &gt; 0.70</w:t>
            </w:r>
          </w:p>
        </w:tc>
        <w:tc>
          <w:tcPr>
            <w:tcW w:type="dxa" w:w="283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Güçlü negatif — berbat, rezalet</w:t>
            </w:r>
          </w:p>
        </w:tc>
      </w:tr>
      <w:tr>
        <w:trPr>
          <w:tblHeader w:val="false"/>
        </w:trPr>
        <w:tc>
          <w:tcPr>
            <w:tcW w:type="dxa" w:w="170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neg-mid</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#f87171 (orta kırmızı)</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skor &lt; 0  ve  |skor| &gt; 0.35</w:t>
            </w:r>
          </w:p>
        </w:tc>
        <w:tc>
          <w:tcPr>
            <w:tcW w:type="dxa" w:w="283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Orta negatif — kötü, yavaş</w:t>
            </w:r>
          </w:p>
        </w:tc>
      </w:tr>
      <w:tr>
        <w:trPr>
          <w:tblHeader w:val="false"/>
        </w:trPr>
        <w:tc>
          <w:tcPr>
            <w:tcW w:type="dxa" w:w="170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neg-weak</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#fca5a5 (soluk kırmızı)</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skor &lt; 0  ve  |skor| ≤ 0.35</w:t>
            </w:r>
          </w:p>
        </w:tc>
        <w:tc>
          <w:tcPr>
            <w:tcW w:type="dxa" w:w="283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Zayıf negatif — biraz soğuk</w:t>
            </w:r>
          </w:p>
        </w:tc>
      </w:tr>
      <w:tr>
        <w:trPr>
          <w:tblHeader w:val="false"/>
        </w:trPr>
        <w:tc>
          <w:tcPr>
            <w:tcW w:type="dxa" w:w="1701"/>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neutral</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#d1d5db (gri)</w:t>
            </w:r>
          </w:p>
        </w:tc>
        <w:tc>
          <w:tcPr>
            <w:tcW w:type="dxa" w:w="1418"/>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skor = 0</w:t>
            </w:r>
          </w:p>
        </w:tc>
        <w:tc>
          <w:tcPr>
            <w:tcW w:type="dxa" w:w="2835"/>
            <w:tcBorders>
              <w:top w:val="single" w:color="555555" w:sz="4"/>
              <w:left w:val="single" w:color="555555" w:sz="4"/>
              <w:bottom w:val="single" w:color="555555" w:sz="4"/>
              <w:right w:val="single" w:color="555555" w:sz="4"/>
            </w:tcBorders>
            <w:shd w:fill="FFFFFF" w:val="clear"/>
            <w:tcMar>
              <w:top w:type="dxa" w:w="85"/>
              <w:left w:type="dxa" w:w="120"/>
              <w:bottom w:type="dxa" w:w="85"/>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Nötr — açık veya örtük</w:t>
            </w:r>
          </w:p>
        </w:tc>
      </w:tr>
    </w:tbl>
    <w:p>
      <w:pPr>
        <w:pStyle w:val="Heading1"/>
        <w:pBdr>
          <w:bottom w:val="single" w:color="222222" w:sz="10" w:space="4"/>
        </w:pBdr>
        <w:spacing w:after="160" w:before="460"/>
      </w:pPr>
      <w:r>
        <w:rPr>
          <w:rFonts w:ascii="Times New Roman" w:cs="Times New Roman" w:eastAsia="Times New Roman" w:hAnsi="Times New Roman"/>
          <w:b/>
          <w:bCs/>
          <w:i w:val="false"/>
          <w:iCs w:val="false"/>
          <w:color w:val="000000"/>
          <w:sz w:val="30"/>
          <w:szCs w:val="30"/>
        </w:rPr>
        <w:t xml:space="preserve">7. Sonuç ve Değerlendirme</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Bu çalışmada Türkçe metin tabanlı duygu analizi için iki katmanlı bütünleşik bir sistem geliştirilmiştir. Kural tabanlı leksikon motoru şeffaf ve yorumlanabilir bir temel oluştururken, SHAP ve LIME entegrasyonu kararların kelime düzeyinde açıklanmasını sağlamaktadır.</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Çalışmanın öne çıkan teknik katkıları:</w:t>
      </w:r>
    </w:p>
    <w:p>
      <w:pPr>
        <w:pStyle w:val="ListParagraph"/>
        <w:numPr>
          <w:ilvl w:val="0"/>
          <w:numId w:val="2"/>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rawScore tasarımı: Normalize yüzdeler yerine ham skor kullanılarak SHAP/LIME değerlerinin anlamlı sonuçlar üretmesi sağlanmıştır. Bu karar olmaksızın XAI grafikleri tamamen boş kalırdı.</w:t>
      </w:r>
    </w:p>
    <w:p>
      <w:pPr>
        <w:pStyle w:val="ListParagraph"/>
        <w:numPr>
          <w:ilvl w:val="0"/>
          <w:numId w:val="2"/>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LOO = Exact Shapley: Katkısal modellerde LOO yaklaşımının tam Shapley değerine eşit olduğu teorik olarak gösterilmiş; hesaplama karmaşıklığı O(2ⁿ)'den O(n)'ye indirilmiştir.</w:t>
      </w:r>
    </w:p>
    <w:p>
      <w:pPr>
        <w:pStyle w:val="ListParagraph"/>
        <w:numPr>
          <w:ilvl w:val="0"/>
          <w:numId w:val="2"/>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İki XAI karşılaştırması: SHAP ve LIME arasındaki yapısal farklılıkların (özellikle pekiştirici ve zayıflatıcı kelimelerde) pratikte nasıl yansıdığı somut biçimde ortaya konmuştur.</w:t>
      </w:r>
    </w:p>
    <w:p>
      <w:pPr>
        <w:pStyle w:val="ListParagraph"/>
        <w:numPr>
          <w:ilvl w:val="0"/>
          <w:numId w:val="2"/>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Zayıflatıcı kelimeler (biraz, az, pek): INTENSIFIERS sözlüğüne 1'den küçük çarpanlarla eklenerek derecelendirme ifadelerinin doğru modellenmesi sağlanmıştır.</w:t>
      </w:r>
    </w:p>
    <w:p>
      <w:pPr>
        <w:pStyle w:val="ListParagraph"/>
        <w:numPr>
          <w:ilvl w:val="0"/>
          <w:numId w:val="2"/>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Nötr seyrek açıklama: Nötr cümleler için φᵢ = 0 sonucunun teorik gerekçesi (dummy axiom) açıklanmış; bu durumun hata değil, beklenen davranış olduğu vurgulanmıştır.</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Sistemin başlıca sınırlılıkları:</w:t>
      </w:r>
    </w:p>
    <w:p>
      <w:pPr>
        <w:pStyle w:val="ListParagraph"/>
        <w:numPr>
          <w:ilvl w:val="0"/>
          <w:numId w:val="2"/>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Sözlükte bulunmayan kelimeler (argo, neolojizmler, alan-spesifik terimler) nötr sayılır.</w:t>
      </w:r>
    </w:p>
    <w:p>
      <w:pPr>
        <w:pStyle w:val="ListParagraph"/>
        <w:numPr>
          <w:ilvl w:val="0"/>
          <w:numId w:val="2"/>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Morfolojik analiz eksikliği nedeniyle aynı kökün farklı biçimleri sözlükte ayrı ayrı yer almalıdır.</w:t>
      </w:r>
    </w:p>
    <w:p>
      <w:pPr>
        <w:pStyle w:val="ListParagraph"/>
        <w:numPr>
          <w:ilvl w:val="0"/>
          <w:numId w:val="2"/>
        </w:numPr>
        <w:spacing w:after="50" w:before="50" w:line="276" w:lineRule="auto"/>
      </w:pPr>
      <w:r>
        <w:rPr>
          <w:rFonts w:ascii="Times New Roman" w:cs="Times New Roman" w:eastAsia="Times New Roman" w:hAnsi="Times New Roman"/>
          <w:b w:val="false"/>
          <w:bCs w:val="false"/>
          <w:i w:val="false"/>
          <w:iCs w:val="false"/>
          <w:color w:val="000000"/>
          <w:sz w:val="24"/>
          <w:szCs w:val="24"/>
        </w:rPr>
        <w:t xml:space="preserve">Çok karmaşık cümle yapılarında (iç içe olumsuzlamalar) kural penceresi yetersiz kalabilir.</w:t>
      </w:r>
    </w:p>
    <w:p>
      <w:pPr>
        <w:spacing w:after="65" w:before="65" w:line="288" w:lineRule="auto"/>
        <w:ind w:left="0" w:hanging="0"/>
        <w:jc w:val="both"/>
      </w:pPr>
      <w:r>
        <w:rPr>
          <w:rFonts w:ascii="Times New Roman" w:cs="Times New Roman" w:eastAsia="Times New Roman" w:hAnsi="Times New Roman"/>
          <w:b w:val="false"/>
          <w:bCs w:val="false"/>
          <w:i w:val="false"/>
          <w:iCs w:val="false"/>
          <w:color w:val="000000"/>
          <w:sz w:val="24"/>
          <w:szCs w:val="24"/>
        </w:rPr>
        <w:t xml:space="preserve">Gelecek çalışmalar: Türkçe morfolojik çözümleyici entegrasyonu, aspect-based sentiment (konu bazlı duygu), NEU_WORDS sözlüğünün yarı-otomatik yöntemlerle genişletilmesi.</w:t>
      </w:r>
    </w:p>
    <w:p>
      <w:pPr>
        <w:pStyle w:val="Heading1"/>
        <w:pBdr>
          <w:bottom w:val="single" w:color="222222" w:sz="10" w:space="4"/>
        </w:pBdr>
        <w:spacing w:after="160" w:before="460"/>
      </w:pPr>
      <w:r>
        <w:rPr>
          <w:rFonts w:ascii="Times New Roman" w:cs="Times New Roman" w:eastAsia="Times New Roman" w:hAnsi="Times New Roman"/>
          <w:b/>
          <w:bCs/>
          <w:i w:val="false"/>
          <w:iCs w:val="false"/>
          <w:color w:val="000000"/>
          <w:sz w:val="30"/>
          <w:szCs w:val="30"/>
        </w:rPr>
        <w:t xml:space="preserve">8. Kaynakça</w:t>
      </w:r>
    </w:p>
    <w:p>
      <w:pPr>
        <w:spacing w:after="60" w:before="60" w:line="280" w:lineRule="auto"/>
        <w:ind w:left="510" w:hanging="510"/>
        <w:jc w:val="both"/>
      </w:pPr>
      <w:r>
        <w:rPr>
          <w:rFonts w:ascii="Times New Roman" w:cs="Times New Roman" w:eastAsia="Times New Roman" w:hAnsi="Times New Roman"/>
          <w:b w:val="false"/>
          <w:bCs w:val="false"/>
          <w:i w:val="false"/>
          <w:iCs w:val="false"/>
          <w:color w:val="000000"/>
          <w:sz w:val="22"/>
          <w:szCs w:val="22"/>
        </w:rPr>
        <w:t xml:space="preserve">Demirtaş, E., &amp; Pechenizkiy, M. (2013). Cross-lingual polarity detection with machine translation. Proceedings of the Second International Workshop on Issues of Sentiment Discovery and Opinion Mining (WISDOM '13), ACM.</w:t>
      </w:r>
    </w:p>
    <w:p>
      <w:pPr>
        <w:spacing w:after="60" w:before="60" w:line="280" w:lineRule="auto"/>
        <w:ind w:left="510" w:hanging="510"/>
        <w:jc w:val="both"/>
      </w:pPr>
      <w:r>
        <w:rPr>
          <w:rFonts w:ascii="Times New Roman" w:cs="Times New Roman" w:eastAsia="Times New Roman" w:hAnsi="Times New Roman"/>
          <w:b w:val="false"/>
          <w:bCs w:val="false"/>
          <w:i w:val="false"/>
          <w:iCs w:val="false"/>
          <w:color w:val="000000"/>
          <w:sz w:val="22"/>
          <w:szCs w:val="22"/>
        </w:rPr>
        <w:t xml:space="preserve">Doshi-Velez, F., &amp; Kim, B. (2017). Towards a rigorous science of interpretable machine learning. arXiv preprint arXiv:1702.08608.</w:t>
      </w:r>
    </w:p>
    <w:p>
      <w:pPr>
        <w:spacing w:after="60" w:before="60" w:line="280" w:lineRule="auto"/>
        <w:ind w:left="510" w:hanging="510"/>
        <w:jc w:val="both"/>
      </w:pPr>
      <w:r>
        <w:rPr>
          <w:rFonts w:ascii="Times New Roman" w:cs="Times New Roman" w:eastAsia="Times New Roman" w:hAnsi="Times New Roman"/>
          <w:b w:val="false"/>
          <w:bCs w:val="false"/>
          <w:i w:val="false"/>
          <w:iCs w:val="false"/>
          <w:color w:val="000000"/>
          <w:sz w:val="22"/>
          <w:szCs w:val="22"/>
        </w:rPr>
        <w:t xml:space="preserve">Esuli, A., &amp; Sebastiani, F. (2006). SentiWordNet: A publicly available lexical resource for opinion mining. Proceedings of LREC, 6, 417–422.</w:t>
      </w:r>
    </w:p>
    <w:p>
      <w:pPr>
        <w:spacing w:after="60" w:before="60" w:line="280" w:lineRule="auto"/>
        <w:ind w:left="510" w:hanging="510"/>
        <w:jc w:val="both"/>
      </w:pPr>
      <w:r>
        <w:rPr>
          <w:rFonts w:ascii="Times New Roman" w:cs="Times New Roman" w:eastAsia="Times New Roman" w:hAnsi="Times New Roman"/>
          <w:b w:val="false"/>
          <w:bCs w:val="false"/>
          <w:i w:val="false"/>
          <w:iCs w:val="false"/>
          <w:color w:val="000000"/>
          <w:sz w:val="22"/>
          <w:szCs w:val="22"/>
        </w:rPr>
        <w:t xml:space="preserve">Hutto, C. J., &amp; Gilbert, E. (2014). VADER: A parsimonious rule-based model for sentiment analysis of social media text. Proceedings of the Eighth International Conference on Weblogs and Social Media (ICWSM).</w:t>
      </w:r>
    </w:p>
    <w:p>
      <w:pPr>
        <w:spacing w:after="60" w:before="60" w:line="280" w:lineRule="auto"/>
        <w:ind w:left="510" w:hanging="510"/>
        <w:jc w:val="both"/>
      </w:pPr>
      <w:r>
        <w:rPr>
          <w:rFonts w:ascii="Times New Roman" w:cs="Times New Roman" w:eastAsia="Times New Roman" w:hAnsi="Times New Roman"/>
          <w:b w:val="false"/>
          <w:bCs w:val="false"/>
          <w:i w:val="false"/>
          <w:iCs w:val="false"/>
          <w:color w:val="000000"/>
          <w:sz w:val="22"/>
          <w:szCs w:val="22"/>
        </w:rPr>
        <w:t xml:space="preserve">Liu, B. (2012). Sentiment analysis and opinion mining. Synthesis Lectures on Human Language Technologies, 5(1), 1–167.</w:t>
      </w:r>
    </w:p>
    <w:p>
      <w:pPr>
        <w:spacing w:after="60" w:before="60" w:line="280" w:lineRule="auto"/>
        <w:ind w:left="510" w:hanging="510"/>
        <w:jc w:val="both"/>
      </w:pPr>
      <w:r>
        <w:rPr>
          <w:rFonts w:ascii="Times New Roman" w:cs="Times New Roman" w:eastAsia="Times New Roman" w:hAnsi="Times New Roman"/>
          <w:b w:val="false"/>
          <w:bCs w:val="false"/>
          <w:i w:val="false"/>
          <w:iCs w:val="false"/>
          <w:color w:val="000000"/>
          <w:sz w:val="22"/>
          <w:szCs w:val="22"/>
        </w:rPr>
        <w:t xml:space="preserve">Lundberg, S. M., &amp; Lee, S.-I. (2017). A unified approach to interpreting model predictions. Advances in Neural Information Processing Systems (NeurIPS), 30, 4765–4774.</w:t>
      </w:r>
    </w:p>
    <w:p>
      <w:pPr>
        <w:spacing w:after="60" w:before="60" w:line="280" w:lineRule="auto"/>
        <w:ind w:left="510" w:hanging="510"/>
        <w:jc w:val="both"/>
      </w:pPr>
      <w:r>
        <w:rPr>
          <w:rFonts w:ascii="Times New Roman" w:cs="Times New Roman" w:eastAsia="Times New Roman" w:hAnsi="Times New Roman"/>
          <w:b w:val="false"/>
          <w:bCs w:val="false"/>
          <w:i w:val="false"/>
          <w:iCs w:val="false"/>
          <w:color w:val="000000"/>
          <w:sz w:val="22"/>
          <w:szCs w:val="22"/>
        </w:rPr>
        <w:t xml:space="preserve">Lundberg, S. M., Erion, G., Chen, H., DeGrave, A., Prutkin, J. M., Nair, B., ... &amp; Lee, S.-I. (2020). From local explanations to global understanding with explainable AI for trees. Nature Machine Intelligence, 2(1), 56–67.</w:t>
      </w:r>
    </w:p>
    <w:p>
      <w:pPr>
        <w:spacing w:after="60" w:before="60" w:line="280" w:lineRule="auto"/>
        <w:ind w:left="510" w:hanging="510"/>
        <w:jc w:val="both"/>
      </w:pPr>
      <w:r>
        <w:rPr>
          <w:rFonts w:ascii="Times New Roman" w:cs="Times New Roman" w:eastAsia="Times New Roman" w:hAnsi="Times New Roman"/>
          <w:b w:val="false"/>
          <w:bCs w:val="false"/>
          <w:i w:val="false"/>
          <w:iCs w:val="false"/>
          <w:color w:val="000000"/>
          <w:sz w:val="22"/>
          <w:szCs w:val="22"/>
        </w:rPr>
        <w:t xml:space="preserve">Oflazer, K. (1994). Two-level description of Turkish morphology. Literary and Linguistic Computing, 9(2), 137–148.</w:t>
      </w:r>
    </w:p>
    <w:p>
      <w:pPr>
        <w:spacing w:after="60" w:before="60" w:line="280" w:lineRule="auto"/>
        <w:ind w:left="510" w:hanging="510"/>
        <w:jc w:val="both"/>
      </w:pPr>
      <w:r>
        <w:rPr>
          <w:rFonts w:ascii="Times New Roman" w:cs="Times New Roman" w:eastAsia="Times New Roman" w:hAnsi="Times New Roman"/>
          <w:b w:val="false"/>
          <w:bCs w:val="false"/>
          <w:i w:val="false"/>
          <w:iCs w:val="false"/>
          <w:color w:val="000000"/>
          <w:sz w:val="22"/>
          <w:szCs w:val="22"/>
        </w:rPr>
        <w:t xml:space="preserve">Pang, B., &amp; Lee, L. (2008). Opinion mining and sentiment analysis. Foundations and Trends in Information Retrieval, 2(1–2), 1–135.</w:t>
      </w:r>
    </w:p>
    <w:p>
      <w:pPr>
        <w:spacing w:after="60" w:before="60" w:line="280" w:lineRule="auto"/>
        <w:ind w:left="510" w:hanging="510"/>
        <w:jc w:val="both"/>
      </w:pPr>
      <w:r>
        <w:rPr>
          <w:rFonts w:ascii="Times New Roman" w:cs="Times New Roman" w:eastAsia="Times New Roman" w:hAnsi="Times New Roman"/>
          <w:b w:val="false"/>
          <w:bCs w:val="false"/>
          <w:i w:val="false"/>
          <w:iCs w:val="false"/>
          <w:color w:val="000000"/>
          <w:sz w:val="22"/>
          <w:szCs w:val="22"/>
        </w:rPr>
        <w:t xml:space="preserve">Ribeiro, M. T., Singh, S., &amp; Guestrin, C. (2016). "Why should I trust you?": Explaining the predictions of any classifier. Proceedings of the 22nd ACM SIGKDD International Conference on Knowledge Discovery and Data Mining, 1135–1144.</w:t>
      </w:r>
    </w:p>
    <w:p>
      <w:pPr>
        <w:spacing w:after="60" w:before="60" w:line="280" w:lineRule="auto"/>
        <w:ind w:left="510" w:hanging="510"/>
        <w:jc w:val="both"/>
      </w:pPr>
      <w:r>
        <w:rPr>
          <w:rFonts w:ascii="Times New Roman" w:cs="Times New Roman" w:eastAsia="Times New Roman" w:hAnsi="Times New Roman"/>
          <w:b w:val="false"/>
          <w:bCs w:val="false"/>
          <w:i w:val="false"/>
          <w:iCs w:val="false"/>
          <w:color w:val="000000"/>
          <w:sz w:val="22"/>
          <w:szCs w:val="22"/>
        </w:rPr>
        <w:t xml:space="preserve">Shapley, L. S. (1953). A value for n-person games. In H. Kuhn &amp; A. Tucker (Eds.), Contributions to the Theory of Games (Vol. 2, pp. 307–317). Princeton University Press.</w:t>
      </w:r>
    </w:p>
    <w:p>
      <w:pPr>
        <w:spacing w:after="60" w:before="60" w:line="280" w:lineRule="auto"/>
        <w:ind w:left="510" w:hanging="510"/>
        <w:jc w:val="both"/>
      </w:pPr>
      <w:r>
        <w:rPr>
          <w:rFonts w:ascii="Times New Roman" w:cs="Times New Roman" w:eastAsia="Times New Roman" w:hAnsi="Times New Roman"/>
          <w:b w:val="false"/>
          <w:bCs w:val="false"/>
          <w:i w:val="false"/>
          <w:iCs w:val="false"/>
          <w:color w:val="000000"/>
          <w:sz w:val="22"/>
          <w:szCs w:val="22"/>
        </w:rPr>
        <w:t xml:space="preserve">Yıldırım, S., &amp; Yıldız, T. (2018). A comparative analysis of text classification for Turkish language. Balkan Journal of Electrical and Computer Engineering, 6(3), 205–211.</w:t>
      </w:r>
    </w:p>
    <w:sectPr>
      <w:footerReference w:type="default" r:id="rId7"/>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6"/>
      </w:pBdr>
      <w:jc w:val="center"/>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10" w:before="3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2026-05-07T20:19:09.797Z</dcterms:created>
  <dcterms:modified xsi:type="dcterms:W3CDTF">2026-05-07T20:19:09.798Z</dcterms:modified>
</cp:coreProperties>
</file>

<file path=docProps/custom.xml><?xml version="1.0" encoding="utf-8"?>
<Properties xmlns="http://schemas.openxmlformats.org/officeDocument/2006/custom-properties" xmlns:vt="http://schemas.openxmlformats.org/officeDocument/2006/docPropsVTypes"/>
</file>