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Эллина</w:t>
      </w:r>
      <w:r>
        <w:t xml:space="preserve"> </w:t>
      </w:r>
      <w:r>
        <w:t xml:space="preserve">Майзингер</w:t>
      </w:r>
      <w:r>
        <w:t xml:space="preserve"> </w:t>
      </w:r>
      <w:r>
        <w:t xml:space="preserve">НММбд-02-22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Изучите примеры реализации подпрограмм</w:t>
      </w:r>
    </w:p>
    <w:p>
      <w:pPr>
        <w:numPr>
          <w:ilvl w:val="0"/>
          <w:numId w:val="1001"/>
        </w:numPr>
      </w:pPr>
      <w:r>
        <w:t xml:space="preserve">Изучите работу с отладчиком GDB</w:t>
      </w:r>
    </w:p>
    <w:p>
      <w:pPr>
        <w:numPr>
          <w:ilvl w:val="0"/>
          <w:numId w:val="1001"/>
        </w:numPr>
      </w:pPr>
      <w:r>
        <w:t xml:space="preserve">Выполните самостоятеьное задание</w:t>
      </w:r>
    </w:p>
    <w:p>
      <w:pPr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Создадим каталог для выполнения лабораторной работы № 10, перейдем</w:t>
      </w:r>
      <w:r>
        <w:t xml:space="preserve"> </w:t>
      </w:r>
      <w:r>
        <w:t xml:space="preserve">в него и создадим файл lab10-1.asm:</w:t>
      </w:r>
    </w:p>
    <w:p>
      <w:pPr>
        <w:numPr>
          <w:ilvl w:val="0"/>
          <w:numId w:val="1002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(рис. 1, 2)</w:t>
      </w:r>
    </w:p>
    <w:p>
      <w:pPr>
        <w:pStyle w:val="CaptionedFigure"/>
      </w:pPr>
      <w:bookmarkStart w:id="25" w:name="fig:001"/>
      <w:r>
        <w:drawing>
          <wp:inline>
            <wp:extent cx="5188016" cy="6420050"/>
            <wp:effectExtent b="0" l="0" r="0" t="0"/>
            <wp:docPr descr="Рис. 1: Файл lab10-1.asm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642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Файл lab10-1.asm</w:t>
      </w:r>
    </w:p>
    <w:p>
      <w:pPr>
        <w:pStyle w:val="CaptionedFigure"/>
      </w:pPr>
      <w:bookmarkStart w:id="29" w:name="fig:002"/>
      <w:r>
        <w:drawing>
          <wp:inline>
            <wp:extent cx="5334000" cy="1476132"/>
            <wp:effectExtent b="0" l="0" r="0" t="0"/>
            <wp:docPr descr="Рис. 2: Работа программы lab10-1.asm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Работа программы lab10-1.asm</w:t>
      </w:r>
    </w:p>
    <w:p>
      <w:pPr>
        <w:numPr>
          <w:ilvl w:val="0"/>
          <w:numId w:val="1003"/>
        </w:numPr>
        <w:pStyle w:val="Compact"/>
      </w:pPr>
      <w:r>
        <w:t xml:space="preserve">Изменим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3, 4)</w:t>
      </w:r>
    </w:p>
    <w:p>
      <w:pPr>
        <w:pStyle w:val="CaptionedFigure"/>
      </w:pPr>
      <w:bookmarkStart w:id="33" w:name="fig:003"/>
      <w:r>
        <w:drawing>
          <wp:inline>
            <wp:extent cx="5334000" cy="5918200"/>
            <wp:effectExtent b="0" l="0" r="0" t="0"/>
            <wp:docPr descr="Рис. 3: Файл lab10-1.asm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Файл lab10-1.asm</w:t>
      </w:r>
    </w:p>
    <w:p>
      <w:pPr>
        <w:pStyle w:val="CaptionedFigure"/>
      </w:pPr>
      <w:bookmarkStart w:id="37" w:name="fig:004"/>
      <w:r>
        <w:drawing>
          <wp:inline>
            <wp:extent cx="5265018" cy="1645920"/>
            <wp:effectExtent b="0" l="0" r="0" t="0"/>
            <wp:docPr descr="Рис. 4: Работа программы lab10-1.asm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Работа программы lab10-1.asm</w:t>
      </w:r>
    </w:p>
    <w:p>
      <w:pPr>
        <w:numPr>
          <w:ilvl w:val="0"/>
          <w:numId w:val="1004"/>
        </w:numPr>
        <w:pStyle w:val="Compact"/>
      </w:pPr>
      <w:r>
        <w:t xml:space="preserve">Создадим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41" w:name="fig:005"/>
      <w:r>
        <w:drawing>
          <wp:inline>
            <wp:extent cx="5334000" cy="4557346"/>
            <wp:effectExtent b="0" l="0" r="0" t="0"/>
            <wp:docPr descr="Рис. 5: Файл lab10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Файл lab10-2.asm</w:t>
      </w:r>
    </w:p>
    <w:p>
      <w:pPr>
        <w:pStyle w:val="BodyText"/>
      </w:pPr>
      <w:r>
        <w:t xml:space="preserve">Получим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Затем загрузим исполняемый файл в отладчик gdb:</w:t>
      </w:r>
      <w:r>
        <w:t xml:space="preserve"> </w:t>
      </w:r>
      <w:r>
        <w:t xml:space="preserve">Проверим работу программы, запустив ее в оболочке GDB с помощью команды run (сокращённо r):(рис. 6)</w:t>
      </w:r>
    </w:p>
    <w:p>
      <w:pPr>
        <w:pStyle w:val="CaptionedFigure"/>
      </w:pPr>
      <w:bookmarkStart w:id="45" w:name="fig:006"/>
      <w:r>
        <w:drawing>
          <wp:inline>
            <wp:extent cx="5334000" cy="2050914"/>
            <wp:effectExtent b="0" l="0" r="0" t="0"/>
            <wp:docPr descr="Рис. 6: Работа программы lab10-2.asm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Работа программы lab10-2.asm в отладчике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запустим её.</w:t>
      </w:r>
      <w:r>
        <w:t xml:space="preserve"> </w:t>
      </w:r>
      <w:r>
        <w:t xml:space="preserve">Посмотрим дисассимилированный код программы (рис. 7, 8)</w:t>
      </w:r>
    </w:p>
    <w:p>
      <w:pPr>
        <w:pStyle w:val="CaptionedFigure"/>
      </w:pPr>
      <w:bookmarkStart w:id="49" w:name="fig:007"/>
      <w:r>
        <w:drawing>
          <wp:inline>
            <wp:extent cx="5245768" cy="4706753"/>
            <wp:effectExtent b="0" l="0" r="0" t="0"/>
            <wp:docPr descr="Рис. 7: дисассими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70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дисассимилированный код</w:t>
      </w:r>
    </w:p>
    <w:p>
      <w:pPr>
        <w:pStyle w:val="CaptionedFigure"/>
      </w:pPr>
      <w:bookmarkStart w:id="53" w:name="fig:008"/>
      <w:r>
        <w:drawing>
          <wp:inline>
            <wp:extent cx="4177364" cy="3301465"/>
            <wp:effectExtent b="0" l="0" r="0" t="0"/>
            <wp:docPr descr="Рис. 8: дисассимилированный код в режиме интел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64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дисассимилированный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Определим адрес предпоследней инструкции (mov ebx,0x0) и установим точку.(рис. 9)</w:t>
      </w:r>
    </w:p>
    <w:p>
      <w:pPr>
        <w:pStyle w:val="CaptionedFigure"/>
      </w:pPr>
      <w:bookmarkStart w:id="57" w:name="fig:009"/>
      <w:r>
        <w:drawing>
          <wp:inline>
            <wp:extent cx="5082138" cy="5573027"/>
            <wp:effectExtent b="0" l="0" r="0" t="0"/>
            <wp:docPr descr="Рис. 9: точка остановки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5573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Выполним 5 инструкций с помощью команды stepi (или si) и проследим за</w:t>
      </w:r>
      <w:r>
        <w:t xml:space="preserve"> </w:t>
      </w:r>
      <w:r>
        <w:t xml:space="preserve">изменением значений регистров. (рис. 11 12)</w:t>
      </w:r>
    </w:p>
    <w:p>
      <w:pPr>
        <w:pStyle w:val="CaptionedFigure"/>
      </w:pPr>
      <w:bookmarkStart w:id="61" w:name="fig:010"/>
      <w:r>
        <w:drawing>
          <wp:inline>
            <wp:extent cx="5334000" cy="4560956"/>
            <wp:effectExtent b="0" l="0" r="0" t="0"/>
            <wp:docPr descr="Рис. 10: изменение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5" w:name="fig:011"/>
      <w:r>
        <w:drawing>
          <wp:inline>
            <wp:extent cx="5334000" cy="4822520"/>
            <wp:effectExtent b="0" l="0" r="0" t="0"/>
            <wp:docPr descr="Рис. 11: изменение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Посмотрим значение переменной msg1 по имени</w:t>
      </w:r>
      <w:r>
        <w:t xml:space="preserve"> </w:t>
      </w:r>
      <w:r>
        <w:t xml:space="preserve">Посмотрим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Изменим первый символ переменной msg1</w:t>
      </w:r>
      <w:r>
        <w:t xml:space="preserve"> </w:t>
      </w:r>
      <w:r>
        <w:t xml:space="preserve">Заменим любой символ во второй переменной msg2. (рис. 12)</w:t>
      </w:r>
    </w:p>
    <w:p>
      <w:pPr>
        <w:pStyle w:val="CaptionedFigure"/>
      </w:pPr>
      <w:bookmarkStart w:id="69" w:name="fig:012"/>
      <w:r>
        <w:drawing>
          <wp:inline>
            <wp:extent cx="5334000" cy="2667000"/>
            <wp:effectExtent b="0" l="0" r="0" t="0"/>
            <wp:docPr descr="Рис. 12: изменение значения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Выведем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изменим значение регистра ebx:(рис. 13)</w:t>
      </w:r>
    </w:p>
    <w:p>
      <w:pPr>
        <w:pStyle w:val="CaptionedFigure"/>
      </w:pPr>
      <w:bookmarkStart w:id="73" w:name="fig:013"/>
      <w:r>
        <w:drawing>
          <wp:inline>
            <wp:extent cx="2839452" cy="2868328"/>
            <wp:effectExtent b="0" l="0" r="0" t="0"/>
            <wp:docPr descr="Рис. 13: вывод значения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2" cy="2868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изменим значение регистра ebx:(рис. 14)</w:t>
      </w:r>
    </w:p>
    <w:p>
      <w:pPr>
        <w:pStyle w:val="CaptionedFigure"/>
      </w:pPr>
      <w:bookmarkStart w:id="77" w:name="fig:014"/>
      <w:r>
        <w:drawing>
          <wp:inline>
            <wp:extent cx="2926080" cy="2752825"/>
            <wp:effectExtent b="0" l="0" r="0" t="0"/>
            <wp:docPr descr="Рис. 14: вывод значения регистр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7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5"/>
        </w:numPr>
        <w:pStyle w:val="Compact"/>
      </w:pPr>
      <w:r>
        <w:t xml:space="preserve">Скопируем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Создадим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Загрузим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Посмотрим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находится имя программы, по адесу [esp+8] хранится адрес</w:t>
      </w:r>
      <w:r>
        <w:t xml:space="preserve"> </w:t>
      </w:r>
      <w:r>
        <w:t xml:space="preserve">первого аргумента, по аресу [esp+12] – второго и т.д. (рис. 15)</w:t>
      </w:r>
    </w:p>
    <w:p>
      <w:pPr>
        <w:pStyle w:val="CaptionedFigure"/>
      </w:pPr>
      <w:bookmarkStart w:id="81" w:name="fig:015"/>
      <w:r>
        <w:drawing>
          <wp:inline>
            <wp:extent cx="5334000" cy="5391443"/>
            <wp:effectExtent b="0" l="0" r="0" t="0"/>
            <wp:docPr descr="Рис. 15: вывод значения регистр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потому что шаг равен размеру переменной - 4 байтам.</w:t>
      </w:r>
    </w:p>
    <w:p>
      <w:pPr>
        <w:numPr>
          <w:ilvl w:val="0"/>
          <w:numId w:val="1006"/>
        </w:numPr>
        <w:pStyle w:val="Compact"/>
      </w:pPr>
      <w:r>
        <w:t xml:space="preserve">Преобразуем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 17)</w:t>
      </w:r>
    </w:p>
    <w:p>
      <w:pPr>
        <w:pStyle w:val="CaptionedFigure"/>
      </w:pPr>
      <w:bookmarkStart w:id="85" w:name="fig:016"/>
      <w:r>
        <w:drawing>
          <wp:inline>
            <wp:extent cx="4004109" cy="6468176"/>
            <wp:effectExtent b="0" l="0" r="0" t="0"/>
            <wp:docPr descr="Рис. 16: Файл lab10-4.asm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646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Файл lab10-4.asm</w:t>
      </w:r>
    </w:p>
    <w:p>
      <w:pPr>
        <w:pStyle w:val="CaptionedFigure"/>
      </w:pPr>
      <w:bookmarkStart w:id="89" w:name="fig:017"/>
      <w:r>
        <w:drawing>
          <wp:inline>
            <wp:extent cx="5334000" cy="2307554"/>
            <wp:effectExtent b="0" l="0" r="0" t="0"/>
            <wp:docPr descr="Рис. 17: Работа программы lab10-4.asm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7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Работа программы lab10-4.asm</w:t>
      </w:r>
    </w:p>
    <w:p>
      <w:pPr>
        <w:numPr>
          <w:ilvl w:val="0"/>
          <w:numId w:val="1007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Проверим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определим ошибку и исправим ее.(рис. 18 19 20 21)</w:t>
      </w:r>
    </w:p>
    <w:p>
      <w:pPr>
        <w:pStyle w:val="CaptionedFigure"/>
      </w:pPr>
      <w:bookmarkStart w:id="93" w:name="fig:018"/>
      <w:r>
        <w:drawing>
          <wp:inline>
            <wp:extent cx="4899258" cy="5072513"/>
            <wp:effectExtent b="0" l="0" r="0" t="0"/>
            <wp:docPr descr="Рис. 18: код с ошибкой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5072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7" w:name="fig:019"/>
      <w:r>
        <w:drawing>
          <wp:inline>
            <wp:extent cx="5334000" cy="6042546"/>
            <wp:effectExtent b="0" l="0" r="0" t="0"/>
            <wp:docPr descr="Рис. 19: отладк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2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CaptionedFigure"/>
      </w:pPr>
      <w:bookmarkStart w:id="101" w:name="fig:020"/>
      <w:r>
        <w:drawing>
          <wp:inline>
            <wp:extent cx="4437246" cy="5313145"/>
            <wp:effectExtent b="0" l="0" r="0" t="0"/>
            <wp:docPr descr="Рис. 20: код исправлен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5313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5" w:name="fig:021"/>
      <w:r>
        <w:drawing>
          <wp:inline>
            <wp:extent cx="5332395" cy="1289785"/>
            <wp:effectExtent b="0" l="0" r="0" t="0"/>
            <wp:docPr descr="Рис. 21: проверка работы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128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проверка работы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 была освоена работа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Эллина Майзингер НММбд-02-22</dc:creator>
  <dc:language>ru-RU</dc:language>
  <cp:keywords/>
  <dcterms:created xsi:type="dcterms:W3CDTF">2023-01-05T07:59:27Z</dcterms:created>
  <dcterms:modified xsi:type="dcterms:W3CDTF">2023-01-05T07:59:27Z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Отладчик GDB.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