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3325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aceholde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325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920"/>
        <w:gridCol w:w="2160"/>
      </w:tblGrid>
      <w:tr>
        <w:tc>
          <w:tcPr>
            <w:tcW w:type="dxa" w:w="4320"/>
          </w:tcPr>
          <w:p>
            <w:r>
              <w:t>Ref. No.: CUIET/MED/SAL/&lt;&lt;year&gt;&gt;/&lt;&lt;semester&gt;&gt;/&lt;&lt;notice11&gt;&gt;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Date: &lt;&lt;date st1&gt;&gt;</w:t>
            </w:r>
          </w:p>
        </w:tc>
      </w:tr>
    </w:tbl>
    <w:p>
      <w:pPr>
        <w:jc w:val="center"/>
      </w:pPr>
      <w:r>
        <w:br/>
        <w:t>Department of &lt;&lt;department&gt;&gt;</w:t>
      </w:r>
    </w:p>
    <w:p>
      <w:pPr>
        <w:jc w:val="center"/>
      </w:pPr>
      <w:r>
        <w:t>CUIET – Applied Engineering</w:t>
      </w:r>
    </w:p>
    <w:p>
      <w:pPr>
        <w:jc w:val="center"/>
      </w:pPr>
      <w:r>
        <w:br/>
        <w:t>Notice</w:t>
      </w:r>
    </w:p>
    <w:p>
      <w:r>
        <w:br/>
        <w:t>Subject: Identification of Slow and Advanced Learners</w:t>
      </w:r>
    </w:p>
    <w:p>
      <w:r>
        <w:br/>
        <w:t>The below mentioned students of &lt;&lt;Branch&gt;&gt; &lt;&lt;session&gt;&gt;session July –Dec 2023 were classified into the Slow and Advanced learners' categories based upon the observations and feedback from the mentors, teachers and academic performance in &lt;&lt;st&gt;&gt; ST-I. Students, who score marks below &lt;&lt;slow threshold&gt;&gt; 40% are categorized as slow learners and above &lt;advanced threshold&gt;&gt; 75% are categorized as advanced learners. These distinguished parameters enabled in identification of advanced learners and slow learners. The details of slow and advanced learners is available in Annexure A1.</w:t>
      </w:r>
    </w:p>
    <w:p>
      <w:r>
        <w:br/>
        <w:t>Note: Mentors are requested to inform the above students.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320"/>
          </w:tcPr>
          <w:p>
            <w:r>
              <w:br/>
              <w:br/>
              <w:t>Dean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br/>
              <w:br/>
              <w:t>Mentor</w:t>
            </w:r>
          </w:p>
        </w:tc>
      </w:tr>
    </w:tbl>
    <w:p>
      <w:r>
        <w:br/>
        <w:t>cc:</w:t>
        <w:br/>
        <w:br/>
        <w:t>-Notice Board</w:t>
        <w:br/>
        <w:br/>
        <w:t>-Departmental File</w:t>
        <w:br/>
        <w:br/>
        <w:t>-Mentoring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