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9BC88" w14:textId="3BF9F746" w:rsidR="00CD17B2" w:rsidRPr="004E4F56" w:rsidRDefault="00CD17B2">
      <w:pPr>
        <w:rPr>
          <w:b/>
          <w:bCs/>
        </w:rPr>
      </w:pPr>
      <w:r w:rsidRPr="004E4F56">
        <w:rPr>
          <w:b/>
          <w:bCs/>
        </w:rPr>
        <w:t xml:space="preserve">Differences between </w:t>
      </w:r>
      <w:r w:rsidR="00276478">
        <w:rPr>
          <w:b/>
          <w:bCs/>
        </w:rPr>
        <w:t>this</w:t>
      </w:r>
      <w:r w:rsidRPr="004E4F56">
        <w:rPr>
          <w:b/>
          <w:bCs/>
        </w:rPr>
        <w:t xml:space="preserve"> model and Ferrario et al. 2020.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CD17B2" w14:paraId="37391868" w14:textId="77777777" w:rsidTr="00E615E1">
        <w:tc>
          <w:tcPr>
            <w:tcW w:w="2263" w:type="dxa"/>
          </w:tcPr>
          <w:p w14:paraId="11D266C8" w14:textId="7B4C329E" w:rsidR="00CD17B2" w:rsidRDefault="00E615E1">
            <w:r>
              <w:t>Item</w:t>
            </w:r>
          </w:p>
        </w:tc>
        <w:tc>
          <w:tcPr>
            <w:tcW w:w="3402" w:type="dxa"/>
          </w:tcPr>
          <w:p w14:paraId="4FBDAE98" w14:textId="06FF834B" w:rsidR="00CD17B2" w:rsidRDefault="00E615E1">
            <w:r>
              <w:t>Description</w:t>
            </w:r>
          </w:p>
        </w:tc>
        <w:tc>
          <w:tcPr>
            <w:tcW w:w="3351" w:type="dxa"/>
          </w:tcPr>
          <w:p w14:paraId="3ADFCFF1" w14:textId="77DB32BF" w:rsidR="00CD17B2" w:rsidRDefault="00CD17B2">
            <w:r>
              <w:t>Reason</w:t>
            </w:r>
          </w:p>
        </w:tc>
      </w:tr>
      <w:tr w:rsidR="00CD17B2" w14:paraId="5DC43DC7" w14:textId="77777777" w:rsidTr="00E615E1">
        <w:tc>
          <w:tcPr>
            <w:tcW w:w="2263" w:type="dxa"/>
          </w:tcPr>
          <w:p w14:paraId="246A2F0A" w14:textId="7A749506" w:rsidR="00CD17B2" w:rsidRDefault="00CD17B2">
            <w:r>
              <w:t xml:space="preserve">Solar irradiance </w:t>
            </w:r>
          </w:p>
        </w:tc>
        <w:tc>
          <w:tcPr>
            <w:tcW w:w="3402" w:type="dxa"/>
          </w:tcPr>
          <w:p w14:paraId="189B63A2" w14:textId="2A561875" w:rsidR="00CD17B2" w:rsidRDefault="00276478">
            <w:r>
              <w:t>Ferrario</w:t>
            </w:r>
            <w:r w:rsidR="001F4084">
              <w:t xml:space="preserve"> </w:t>
            </w:r>
            <w:r w:rsidR="00E615E1">
              <w:t xml:space="preserve">uses </w:t>
            </w:r>
            <w:r w:rsidR="00CD17B2">
              <w:t xml:space="preserve">2016 </w:t>
            </w:r>
            <w:r w:rsidR="00E615E1">
              <w:t xml:space="preserve">PVGIS </w:t>
            </w:r>
            <w:r w:rsidR="00CD17B2">
              <w:t xml:space="preserve">data. I </w:t>
            </w:r>
            <w:r>
              <w:t>had</w:t>
            </w:r>
            <w:r w:rsidR="001D2CC7">
              <w:t xml:space="preserve"> to </w:t>
            </w:r>
            <w:r w:rsidR="00CD17B2">
              <w:t>use 2005.</w:t>
            </w:r>
          </w:p>
        </w:tc>
        <w:tc>
          <w:tcPr>
            <w:tcW w:w="3351" w:type="dxa"/>
          </w:tcPr>
          <w:p w14:paraId="1C49FEE4" w14:textId="561A3DD4" w:rsidR="00CD17B2" w:rsidRDefault="00CD17B2">
            <w:r>
              <w:t>PVGIS (as suggested by author) does not have data available for anything other than 2005.</w:t>
            </w:r>
          </w:p>
        </w:tc>
      </w:tr>
      <w:tr w:rsidR="0081236C" w14:paraId="340CCF5B" w14:textId="77777777" w:rsidTr="00E615E1">
        <w:tc>
          <w:tcPr>
            <w:tcW w:w="2263" w:type="dxa"/>
          </w:tcPr>
          <w:p w14:paraId="31F85CB3" w14:textId="068BB4DC" w:rsidR="0081236C" w:rsidRDefault="0081236C" w:rsidP="0081236C">
            <w:r>
              <w:t>Wind speed</w:t>
            </w:r>
          </w:p>
        </w:tc>
        <w:tc>
          <w:tcPr>
            <w:tcW w:w="3402" w:type="dxa"/>
          </w:tcPr>
          <w:p w14:paraId="20090430" w14:textId="656E71A0" w:rsidR="0081236C" w:rsidRDefault="0081236C" w:rsidP="0081236C">
            <w:r>
              <w:t>As above</w:t>
            </w:r>
          </w:p>
        </w:tc>
        <w:tc>
          <w:tcPr>
            <w:tcW w:w="3351" w:type="dxa"/>
          </w:tcPr>
          <w:p w14:paraId="14F27204" w14:textId="404D6844" w:rsidR="0081236C" w:rsidRDefault="0081236C" w:rsidP="0081236C">
            <w:r>
              <w:t>As above</w:t>
            </w:r>
          </w:p>
        </w:tc>
      </w:tr>
      <w:tr w:rsidR="0081236C" w14:paraId="666F5DD6" w14:textId="77777777" w:rsidTr="00E615E1">
        <w:tc>
          <w:tcPr>
            <w:tcW w:w="2263" w:type="dxa"/>
          </w:tcPr>
          <w:p w14:paraId="4C82EA09" w14:textId="22153615" w:rsidR="0081236C" w:rsidRDefault="0081236C" w:rsidP="0081236C">
            <w:r>
              <w:t>Temperature</w:t>
            </w:r>
          </w:p>
        </w:tc>
        <w:tc>
          <w:tcPr>
            <w:tcW w:w="3402" w:type="dxa"/>
          </w:tcPr>
          <w:p w14:paraId="555946F1" w14:textId="63670CB1" w:rsidR="0081236C" w:rsidRDefault="0081236C" w:rsidP="0081236C">
            <w:r>
              <w:t>Ferrario uses 2016 PVGIS. I’m using 2016 European commission PVGIS</w:t>
            </w:r>
            <w:r w:rsidR="001E644F">
              <w:t xml:space="preserve"> because it’s a better fit </w:t>
            </w:r>
            <w:r w:rsidR="00023297">
              <w:t>than 2005’s PVGIS data.</w:t>
            </w:r>
          </w:p>
        </w:tc>
        <w:tc>
          <w:tcPr>
            <w:tcW w:w="3351" w:type="dxa"/>
          </w:tcPr>
          <w:p w14:paraId="5D036610" w14:textId="6ECFC44C" w:rsidR="0081236C" w:rsidRDefault="0081236C" w:rsidP="0081236C">
            <w:r>
              <w:t>Unable to access 2016 normal PVGIS data.</w:t>
            </w:r>
          </w:p>
        </w:tc>
      </w:tr>
      <w:tr w:rsidR="0081236C" w14:paraId="6EEE6B4E" w14:textId="77777777" w:rsidTr="00E615E1">
        <w:tc>
          <w:tcPr>
            <w:tcW w:w="2263" w:type="dxa"/>
          </w:tcPr>
          <w:p w14:paraId="2F5A3A71" w14:textId="349241E9" w:rsidR="0081236C" w:rsidRDefault="00E615E1" w:rsidP="0081236C">
            <w:r>
              <w:t>Electrolyser model</w:t>
            </w:r>
          </w:p>
        </w:tc>
        <w:tc>
          <w:tcPr>
            <w:tcW w:w="3402" w:type="dxa"/>
          </w:tcPr>
          <w:p w14:paraId="3380D053" w14:textId="7B69C034" w:rsidR="0081236C" w:rsidRDefault="004C0528" w:rsidP="0081236C">
            <w:r>
              <w:t>Model may be slightly inaccurate</w:t>
            </w:r>
            <w:r w:rsidR="00D461A3">
              <w:t>.</w:t>
            </w:r>
          </w:p>
        </w:tc>
        <w:tc>
          <w:tcPr>
            <w:tcW w:w="3351" w:type="dxa"/>
          </w:tcPr>
          <w:p w14:paraId="6FC4E0BB" w14:textId="49863BC8" w:rsidR="0081236C" w:rsidRDefault="001F4084" w:rsidP="0081236C">
            <w:r>
              <w:t>Author did not provide electrolyser data, only a graph.</w:t>
            </w:r>
            <w:r w:rsidR="00ED19B0">
              <w:t xml:space="preserve"> I used the power vs current graph to extrapolate points</w:t>
            </w:r>
            <w:r w:rsidR="00734FF6">
              <w:t>.</w:t>
            </w:r>
          </w:p>
        </w:tc>
      </w:tr>
      <w:tr w:rsidR="0081236C" w14:paraId="51869CBD" w14:textId="77777777" w:rsidTr="00E615E1">
        <w:tc>
          <w:tcPr>
            <w:tcW w:w="2263" w:type="dxa"/>
          </w:tcPr>
          <w:p w14:paraId="596FB567" w14:textId="7A52236F" w:rsidR="0081236C" w:rsidRDefault="0081236C" w:rsidP="0081236C">
            <w:r>
              <w:t>EMS logic</w:t>
            </w:r>
          </w:p>
        </w:tc>
        <w:tc>
          <w:tcPr>
            <w:tcW w:w="3402" w:type="dxa"/>
          </w:tcPr>
          <w:p w14:paraId="2D8F2861" w14:textId="0F94B810" w:rsidR="0081236C" w:rsidRDefault="0081236C" w:rsidP="0081236C">
            <w:r>
              <w:t>Battery strategy has some guess work in terms of upper and lower limits of SOC.</w:t>
            </w:r>
          </w:p>
        </w:tc>
        <w:tc>
          <w:tcPr>
            <w:tcW w:w="3351" w:type="dxa"/>
          </w:tcPr>
          <w:p w14:paraId="680CE3A8" w14:textId="2C979FD4" w:rsidR="0081236C" w:rsidRDefault="0081236C" w:rsidP="0081236C">
            <w:r>
              <w:t>Logic presented in figure 17b. Hydrogen systems in battery priority utilises “SOC” instead of “</w:t>
            </w:r>
            <w:proofErr w:type="spellStart"/>
            <w:r>
              <w:t>p_tank</w:t>
            </w:r>
            <w:proofErr w:type="spellEnd"/>
            <w:r>
              <w:t>”. See next section for more info.</w:t>
            </w:r>
          </w:p>
        </w:tc>
      </w:tr>
    </w:tbl>
    <w:p w14:paraId="2614E1AE" w14:textId="77777777" w:rsidR="00CD17B2" w:rsidRDefault="00CD17B2"/>
    <w:p w14:paraId="50B3A3D9" w14:textId="79949718" w:rsidR="00CD689D" w:rsidRPr="000F4763" w:rsidRDefault="00276478">
      <w:pPr>
        <w:rPr>
          <w:b/>
          <w:bCs/>
        </w:rPr>
      </w:pPr>
      <w:r>
        <w:rPr>
          <w:b/>
          <w:bCs/>
        </w:rPr>
        <w:t>Discrepancies in</w:t>
      </w:r>
      <w:r w:rsidR="00F04948" w:rsidRPr="000F4763">
        <w:rPr>
          <w:b/>
          <w:bCs/>
        </w:rPr>
        <w:t xml:space="preserve"> the paper</w:t>
      </w:r>
    </w:p>
    <w:p w14:paraId="46051A4E" w14:textId="1044B5CE" w:rsidR="0091259B" w:rsidRDefault="000B35F9" w:rsidP="0091259B">
      <w:pPr>
        <w:pStyle w:val="ListParagraph"/>
        <w:numPr>
          <w:ilvl w:val="0"/>
          <w:numId w:val="1"/>
        </w:numPr>
      </w:pPr>
      <w:r>
        <w:t>Input</w:t>
      </w:r>
    </w:p>
    <w:p w14:paraId="2F2315FA" w14:textId="4DDF5031" w:rsidR="00CD689D" w:rsidRDefault="000E3D21" w:rsidP="00CD689D">
      <w:pPr>
        <w:pStyle w:val="ListParagraph"/>
        <w:numPr>
          <w:ilvl w:val="1"/>
          <w:numId w:val="1"/>
        </w:numPr>
      </w:pPr>
      <w:r w:rsidRPr="00915968">
        <w:rPr>
          <w:u w:val="single"/>
        </w:rPr>
        <w:t>Timing</w:t>
      </w:r>
      <w:r w:rsidRPr="00915968">
        <w:rPr>
          <w:i/>
          <w:iCs/>
        </w:rPr>
        <w:t>:</w:t>
      </w:r>
      <w:r>
        <w:t xml:space="preserve"> Author</w:t>
      </w:r>
      <w:r w:rsidR="00134792" w:rsidRPr="00134792">
        <w:t xml:space="preserve"> assumed that the first three months of the year is winter</w:t>
      </w:r>
      <w:r w:rsidR="00134792">
        <w:t>, when it</w:t>
      </w:r>
      <w:r w:rsidR="00134792" w:rsidRPr="00134792">
        <w:t xml:space="preserve"> should be the first two months</w:t>
      </w:r>
      <w:r w:rsidR="00134792">
        <w:t>.</w:t>
      </w:r>
    </w:p>
    <w:p w14:paraId="6A038A26" w14:textId="5211D874" w:rsidR="00915968" w:rsidRDefault="000E3D21" w:rsidP="00D12C1E">
      <w:pPr>
        <w:pStyle w:val="ListParagraph"/>
        <w:numPr>
          <w:ilvl w:val="1"/>
          <w:numId w:val="1"/>
        </w:numPr>
      </w:pPr>
      <w:r w:rsidRPr="00915968">
        <w:rPr>
          <w:u w:val="single"/>
        </w:rPr>
        <w:t>Solar panels</w:t>
      </w:r>
      <w:r>
        <w:t>: Author did not provide total number of panels, only</w:t>
      </w:r>
      <w:r w:rsidR="00840F39">
        <w:t xml:space="preserve"> max power output. </w:t>
      </w:r>
      <w:r w:rsidR="00D01A9A">
        <w:t xml:space="preserve">With this information, </w:t>
      </w:r>
      <w:r w:rsidR="00840F39">
        <w:t xml:space="preserve">I assumed </w:t>
      </w:r>
      <w:r w:rsidR="00D01A9A">
        <w:t>there are 21 poli-</w:t>
      </w:r>
      <w:proofErr w:type="spellStart"/>
      <w:r w:rsidR="00D01A9A">
        <w:t>si</w:t>
      </w:r>
      <w:proofErr w:type="spellEnd"/>
      <w:r w:rsidR="00D01A9A">
        <w:t xml:space="preserve"> panels, but there could be 22.</w:t>
      </w:r>
    </w:p>
    <w:p w14:paraId="62A9AD72" w14:textId="63D57AC9" w:rsidR="0016312E" w:rsidRDefault="0016312E" w:rsidP="00D12C1E">
      <w:pPr>
        <w:pStyle w:val="ListParagraph"/>
        <w:numPr>
          <w:ilvl w:val="1"/>
          <w:numId w:val="1"/>
        </w:numPr>
      </w:pPr>
      <w:r>
        <w:rPr>
          <w:u w:val="single"/>
        </w:rPr>
        <w:t>Load data</w:t>
      </w:r>
      <w:r w:rsidRPr="0016312E">
        <w:t>:</w:t>
      </w:r>
      <w:r>
        <w:t xml:space="preserve"> 35 kWh per day for a university building is quite low, even for a</w:t>
      </w:r>
      <w:r w:rsidR="004F4919">
        <w:t xml:space="preserve"> small</w:t>
      </w:r>
      <w:r>
        <w:t xml:space="preserve"> </w:t>
      </w:r>
      <w:r w:rsidR="004F4919">
        <w:t>standalone b</w:t>
      </w:r>
      <w:r>
        <w:t xml:space="preserve">uilding  </w:t>
      </w:r>
    </w:p>
    <w:p w14:paraId="6D64DA7B" w14:textId="10F04D8C" w:rsidR="00C66297" w:rsidRDefault="00C66297" w:rsidP="00C66297">
      <w:pPr>
        <w:pStyle w:val="ListParagraph"/>
        <w:numPr>
          <w:ilvl w:val="0"/>
          <w:numId w:val="1"/>
        </w:numPr>
      </w:pPr>
      <w:r>
        <w:t>Model</w:t>
      </w:r>
    </w:p>
    <w:p w14:paraId="3EDCD5CF" w14:textId="1F9F29B9" w:rsidR="0044188C" w:rsidRDefault="00C66297" w:rsidP="0044188C">
      <w:pPr>
        <w:pStyle w:val="ListParagraph"/>
        <w:numPr>
          <w:ilvl w:val="1"/>
          <w:numId w:val="1"/>
        </w:numPr>
      </w:pPr>
      <w:r w:rsidRPr="00601C93">
        <w:rPr>
          <w:u w:val="single"/>
        </w:rPr>
        <w:t>Wind turbine</w:t>
      </w:r>
      <w:r w:rsidR="00D712A5">
        <w:t xml:space="preserve">: author </w:t>
      </w:r>
      <w:r w:rsidR="00B725C0">
        <w:t xml:space="preserve">developed an equation </w:t>
      </w:r>
      <w:r w:rsidR="00D712A5">
        <w:t>that does not work</w:t>
      </w:r>
      <w:r w:rsidR="0018557B">
        <w:t xml:space="preserve">. Power generated at windspeeds between 3-4m/s is less than that generated at 2m/s.  </w:t>
      </w:r>
      <w:r w:rsidR="00822A73">
        <w:t xml:space="preserve">Instead, </w:t>
      </w:r>
      <w:r w:rsidR="00F73B29">
        <w:t>separate equations should be derived for</w:t>
      </w:r>
      <w:r w:rsidR="00CD7071">
        <w:t xml:space="preserve"> each wind speed, such as a piece wise function</w:t>
      </w:r>
      <w:r w:rsidR="00F73B29">
        <w:t xml:space="preserve">, </w:t>
      </w:r>
      <w:r w:rsidR="00E52AF8">
        <w:t>for</w:t>
      </w:r>
      <w:r w:rsidR="00F73B29">
        <w:t xml:space="preserve"> </w:t>
      </w:r>
      <w:r w:rsidR="000C2B8D">
        <w:t xml:space="preserve">higher accuracy and less computational </w:t>
      </w:r>
      <w:r w:rsidR="00E52AF8">
        <w:t>time.</w:t>
      </w:r>
    </w:p>
    <w:p w14:paraId="7D42C930" w14:textId="30789A72" w:rsidR="000B35F9" w:rsidRDefault="000B35F9" w:rsidP="000B35F9">
      <w:pPr>
        <w:pStyle w:val="ListParagraph"/>
        <w:numPr>
          <w:ilvl w:val="0"/>
          <w:numId w:val="1"/>
        </w:numPr>
      </w:pPr>
      <w:r>
        <w:t>Logic</w:t>
      </w:r>
    </w:p>
    <w:p w14:paraId="65B941F0" w14:textId="5A955145" w:rsidR="000B35F9" w:rsidRDefault="00684BB3" w:rsidP="000B35F9">
      <w:pPr>
        <w:pStyle w:val="ListParagraph"/>
        <w:numPr>
          <w:ilvl w:val="1"/>
          <w:numId w:val="1"/>
        </w:numPr>
      </w:pPr>
      <w:r w:rsidRPr="00601C93">
        <w:rPr>
          <w:u w:val="single"/>
        </w:rPr>
        <w:t>Hysteresis</w:t>
      </w:r>
      <w:r>
        <w:t>:</w:t>
      </w:r>
      <w:r w:rsidR="00FC70A0">
        <w:t xml:space="preserve"> </w:t>
      </w:r>
      <w:r w:rsidR="005961AC">
        <w:t>There are 4</w:t>
      </w:r>
      <w:r w:rsidR="00AE7BF9">
        <w:t xml:space="preserve"> state of charge</w:t>
      </w:r>
      <w:r w:rsidR="005961AC">
        <w:t xml:space="preserve"> values (min, max, low, high) and 2 tank pressure values (min, high). </w:t>
      </w:r>
      <w:r w:rsidR="0016401E">
        <w:t xml:space="preserve">During hydrogen strategy, the backup battery has a range from </w:t>
      </w:r>
      <w:proofErr w:type="spellStart"/>
      <w:r w:rsidR="0016401E">
        <w:t>SOC_</w:t>
      </w:r>
      <w:r w:rsidR="00FD1D2A">
        <w:t>min</w:t>
      </w:r>
      <w:proofErr w:type="spellEnd"/>
      <w:r w:rsidR="0016401E">
        <w:t xml:space="preserve"> to </w:t>
      </w:r>
      <w:proofErr w:type="spellStart"/>
      <w:r w:rsidR="0016401E">
        <w:t>SOC_</w:t>
      </w:r>
      <w:r w:rsidR="00FD1D2A">
        <w:t>max</w:t>
      </w:r>
      <w:proofErr w:type="spellEnd"/>
      <w:r w:rsidR="00432E40">
        <w:t xml:space="preserve"> (20-80%)</w:t>
      </w:r>
      <w:r w:rsidR="0016401E">
        <w:t>.</w:t>
      </w:r>
      <w:r w:rsidR="00432E40">
        <w:t xml:space="preserve"> However,</w:t>
      </w:r>
      <w:r w:rsidR="0016401E">
        <w:t xml:space="preserve"> </w:t>
      </w:r>
      <w:r w:rsidR="00FD1D2A">
        <w:lastRenderedPageBreak/>
        <w:t xml:space="preserve">during battery strategy, the battery range is utilised from </w:t>
      </w:r>
      <w:proofErr w:type="spellStart"/>
      <w:r w:rsidR="00FD1D2A">
        <w:t>SOC_low</w:t>
      </w:r>
      <w:proofErr w:type="spellEnd"/>
      <w:r w:rsidR="00FD1D2A">
        <w:t xml:space="preserve"> to </w:t>
      </w:r>
      <w:proofErr w:type="spellStart"/>
      <w:r w:rsidR="00FD1D2A">
        <w:t>SOC_high</w:t>
      </w:r>
      <w:proofErr w:type="spellEnd"/>
      <w:r w:rsidR="00FD1D2A">
        <w:t xml:space="preserve"> (30-70%) instead. </w:t>
      </w:r>
      <w:r w:rsidR="00CE41C1">
        <w:t>Unsure why</w:t>
      </w:r>
      <w:r w:rsidR="00337078">
        <w:t xml:space="preserve"> hydrogen strategy use min-max</w:t>
      </w:r>
      <w:r w:rsidR="004252FB">
        <w:t xml:space="preserve"> and not low-high</w:t>
      </w:r>
      <w:r w:rsidR="00CE41C1">
        <w:t>. Also, unsure if</w:t>
      </w:r>
      <w:r w:rsidR="00DE1C75">
        <w:t xml:space="preserve"> both cases </w:t>
      </w:r>
      <w:r w:rsidR="00CE41C1">
        <w:t xml:space="preserve">should </w:t>
      </w:r>
      <w:r w:rsidR="00DE1C75">
        <w:t>use low-high to preserve battery health</w:t>
      </w:r>
      <w:r w:rsidR="00CE41C1">
        <w:t>?</w:t>
      </w:r>
    </w:p>
    <w:p w14:paraId="424EAC3A" w14:textId="4A238C6C" w:rsidR="004F7752" w:rsidRDefault="00B74443" w:rsidP="000B35F9">
      <w:pPr>
        <w:pStyle w:val="ListParagraph"/>
        <w:numPr>
          <w:ilvl w:val="1"/>
          <w:numId w:val="1"/>
        </w:numPr>
      </w:pPr>
      <w:r w:rsidRPr="00601C93">
        <w:rPr>
          <w:u w:val="single"/>
        </w:rPr>
        <w:t>Error in battery strategy</w:t>
      </w:r>
      <w:r w:rsidR="00601C93">
        <w:t xml:space="preserve">: </w:t>
      </w:r>
      <w:r w:rsidR="00C00404">
        <w:t xml:space="preserve">Author made a mistake </w:t>
      </w:r>
      <w:r w:rsidR="006B05A4">
        <w:t xml:space="preserve">when showing us the logic. </w:t>
      </w:r>
      <w:r w:rsidR="00F01073">
        <w:t xml:space="preserve">“SOC” </w:t>
      </w:r>
      <w:r w:rsidR="00C16E27">
        <w:t xml:space="preserve">(battery) parameters </w:t>
      </w:r>
      <w:r w:rsidR="003455B0">
        <w:t xml:space="preserve">are </w:t>
      </w:r>
      <w:r w:rsidR="00F01073">
        <w:t>used for hydrogen tank</w:t>
      </w:r>
      <w:r>
        <w:t>, when it should only be used for the battery.</w:t>
      </w:r>
      <w:r w:rsidR="00475005">
        <w:t xml:space="preserve"> Instead, “</w:t>
      </w:r>
      <w:proofErr w:type="spellStart"/>
      <w:r w:rsidR="00475005">
        <w:t>p_tank</w:t>
      </w:r>
      <w:proofErr w:type="spellEnd"/>
      <w:r w:rsidR="00475005">
        <w:t>” should be used for hydrogen.</w:t>
      </w:r>
    </w:p>
    <w:p w14:paraId="2217B48C" w14:textId="2B826836" w:rsidR="006508F3" w:rsidRDefault="006508F3" w:rsidP="006508F3">
      <w:pPr>
        <w:pStyle w:val="ListParagraph"/>
        <w:ind w:left="1440"/>
      </w:pPr>
      <w:r>
        <w:rPr>
          <w:noProof/>
        </w:rPr>
        <w:drawing>
          <wp:inline distT="0" distB="0" distL="0" distR="0" wp14:anchorId="44E4A12E" wp14:editId="66FE3DB3">
            <wp:extent cx="4505325" cy="2071210"/>
            <wp:effectExtent l="19050" t="19050" r="9525" b="24765"/>
            <wp:docPr id="6580221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2215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34" cy="20723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1E457" w14:textId="79655E90" w:rsidR="00082394" w:rsidRDefault="00B83213" w:rsidP="006508F3">
      <w:pPr>
        <w:pStyle w:val="ListParagraph"/>
        <w:ind w:left="1440"/>
      </w:pPr>
      <w:r>
        <w:rPr>
          <w:noProof/>
        </w:rPr>
        <w:drawing>
          <wp:inline distT="0" distB="0" distL="0" distR="0" wp14:anchorId="40E9AC17" wp14:editId="340299C9">
            <wp:extent cx="4419600" cy="1923728"/>
            <wp:effectExtent l="19050" t="19050" r="19050" b="19685"/>
            <wp:docPr id="10293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760" cy="19285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8ABB6" w14:textId="228E1EF2" w:rsidR="00082394" w:rsidRDefault="00082394" w:rsidP="006508F3">
      <w:pPr>
        <w:pStyle w:val="ListParagraph"/>
        <w:ind w:left="1440"/>
      </w:pPr>
      <w:r>
        <w:t>First image, h2 system parameters</w:t>
      </w:r>
      <w:r w:rsidR="00620342">
        <w:t xml:space="preserve"> in hydrogen strategy</w:t>
      </w:r>
      <w:r>
        <w:t xml:space="preserve">. Second image, </w:t>
      </w:r>
      <w:r w:rsidR="00620342">
        <w:t>h2 system parameters in battery strategy.</w:t>
      </w:r>
    </w:p>
    <w:p w14:paraId="19A8C730" w14:textId="22CAD4A9" w:rsidR="00684BB3" w:rsidRDefault="00FF1C21" w:rsidP="00FF1C21">
      <w:pPr>
        <w:pStyle w:val="ListParagraph"/>
        <w:numPr>
          <w:ilvl w:val="0"/>
          <w:numId w:val="1"/>
        </w:numPr>
      </w:pPr>
      <w:r>
        <w:t>Results</w:t>
      </w:r>
    </w:p>
    <w:p w14:paraId="5D52A8E2" w14:textId="3DAF0DD9" w:rsidR="00FF1C21" w:rsidRDefault="00AE4AF6" w:rsidP="00FF1C21">
      <w:pPr>
        <w:pStyle w:val="ListParagraph"/>
        <w:numPr>
          <w:ilvl w:val="1"/>
          <w:numId w:val="1"/>
        </w:numPr>
      </w:pPr>
      <w:r w:rsidRPr="0037486E">
        <w:rPr>
          <w:u w:val="single"/>
        </w:rPr>
        <w:t>Hydrogen</w:t>
      </w:r>
      <w:r w:rsidR="00951926" w:rsidRPr="0037486E">
        <w:rPr>
          <w:u w:val="single"/>
        </w:rPr>
        <w:t xml:space="preserve"> </w:t>
      </w:r>
      <w:r w:rsidR="00620342" w:rsidRPr="0037486E">
        <w:rPr>
          <w:u w:val="single"/>
        </w:rPr>
        <w:t>strategy</w:t>
      </w:r>
      <w:r w:rsidR="004D2A5A">
        <w:t xml:space="preserve">: </w:t>
      </w:r>
      <w:r w:rsidR="004944E5">
        <w:t xml:space="preserve">Hydrogen </w:t>
      </w:r>
      <w:r w:rsidR="00620342">
        <w:t>strategy</w:t>
      </w:r>
      <w:r w:rsidR="004944E5">
        <w:t xml:space="preserve"> is when the hydrogen system is prioritised before the battery. The hydrogen system is the first to be used</w:t>
      </w:r>
      <w:r w:rsidR="00ED0AAD">
        <w:t xml:space="preserve"> </w:t>
      </w:r>
      <w:r w:rsidR="004944E5">
        <w:t xml:space="preserve">and the first to charge. </w:t>
      </w:r>
      <w:r w:rsidR="00ED0AAD">
        <w:t xml:space="preserve">The battery is used if the tank is </w:t>
      </w:r>
      <w:proofErr w:type="gramStart"/>
      <w:r w:rsidR="00ED0AAD">
        <w:t>empty, and</w:t>
      </w:r>
      <w:proofErr w:type="gramEnd"/>
      <w:r w:rsidR="00ED0AAD">
        <w:t xml:space="preserve"> charged if the tank is full. </w:t>
      </w:r>
      <w:r w:rsidR="00A02E5C">
        <w:t>This logic is not consistent with figure 20</w:t>
      </w:r>
      <w:r w:rsidR="00F63980">
        <w:t xml:space="preserve">a. At </w:t>
      </w:r>
      <w:r w:rsidR="00520357">
        <w:t xml:space="preserve">hours </w:t>
      </w:r>
      <w:r w:rsidR="00F63980">
        <w:t>~100</w:t>
      </w:r>
      <w:r w:rsidR="00520357">
        <w:t xml:space="preserve">, ~1050, ~6000, </w:t>
      </w:r>
      <w:r w:rsidR="004944E5">
        <w:t>~8500, battery is being charged even when tank is not ful</w:t>
      </w:r>
      <w:r w:rsidR="00C52F59">
        <w:rPr>
          <w:noProof/>
        </w:rPr>
        <w:t>l.</w:t>
      </w:r>
    </w:p>
    <w:p w14:paraId="0EB206C2" w14:textId="7B6A1891" w:rsidR="00C52F59" w:rsidRDefault="00C52F59" w:rsidP="00C52F59">
      <w:pPr>
        <w:pStyle w:val="ListParagraph"/>
      </w:pPr>
      <w:r>
        <w:rPr>
          <w:noProof/>
        </w:rPr>
        <w:lastRenderedPageBreak/>
        <w:drawing>
          <wp:inline distT="0" distB="0" distL="0" distR="0" wp14:anchorId="1B30E46E" wp14:editId="6935AE3A">
            <wp:extent cx="5541828" cy="2600325"/>
            <wp:effectExtent l="19050" t="19050" r="20955" b="9525"/>
            <wp:docPr id="77319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23" cy="26062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1667A" w14:textId="77777777" w:rsidR="007C5F57" w:rsidRDefault="007C5F57" w:rsidP="00C52F59">
      <w:pPr>
        <w:pStyle w:val="ListParagraph"/>
      </w:pPr>
    </w:p>
    <w:p w14:paraId="7623DDD2" w14:textId="46E471D0" w:rsidR="0047399F" w:rsidRDefault="00AE4AF6" w:rsidP="00FF1C21">
      <w:pPr>
        <w:pStyle w:val="ListParagraph"/>
        <w:numPr>
          <w:ilvl w:val="1"/>
          <w:numId w:val="1"/>
        </w:numPr>
      </w:pPr>
      <w:r w:rsidRPr="0037486E">
        <w:rPr>
          <w:u w:val="single"/>
        </w:rPr>
        <w:t>Battery</w:t>
      </w:r>
      <w:r w:rsidR="0047399F" w:rsidRPr="0037486E">
        <w:rPr>
          <w:u w:val="single"/>
        </w:rPr>
        <w:t xml:space="preserve"> </w:t>
      </w:r>
      <w:r w:rsidR="00620342" w:rsidRPr="0037486E">
        <w:rPr>
          <w:u w:val="single"/>
        </w:rPr>
        <w:t>strategy</w:t>
      </w:r>
      <w:r w:rsidR="0047399F">
        <w:t xml:space="preserve">: this </w:t>
      </w:r>
      <w:r w:rsidR="00620342">
        <w:t>strategy</w:t>
      </w:r>
      <w:r w:rsidR="0047399F">
        <w:t xml:space="preserve"> is </w:t>
      </w:r>
      <w:r w:rsidR="00477B0B">
        <w:t>when the battery is prioritised over the hydrogen system. The electrolyser will only operate when the battery is over 70-80% SOC. For hours</w:t>
      </w:r>
      <w:r w:rsidR="00E300D2">
        <w:t xml:space="preserve"> 1 to ~1800, </w:t>
      </w:r>
      <w:r w:rsidR="00FF475B">
        <w:t>and &gt;8000, the electrolyser is filling the tank when the battery is not full.</w:t>
      </w:r>
    </w:p>
    <w:p w14:paraId="3BF7AB01" w14:textId="4F8D792A" w:rsidR="00194AE3" w:rsidRDefault="00CA43E3" w:rsidP="00194AE3">
      <w:pPr>
        <w:pStyle w:val="ListParagraph"/>
      </w:pPr>
      <w:r>
        <w:rPr>
          <w:noProof/>
        </w:rPr>
        <w:drawing>
          <wp:inline distT="0" distB="0" distL="0" distR="0" wp14:anchorId="5E4C7D6A" wp14:editId="7256EBD4">
            <wp:extent cx="5572125" cy="2716527"/>
            <wp:effectExtent l="19050" t="19050" r="9525" b="27305"/>
            <wp:docPr id="1673570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22" cy="27172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9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26A47"/>
    <w:multiLevelType w:val="hybridMultilevel"/>
    <w:tmpl w:val="968E2B30"/>
    <w:lvl w:ilvl="0" w:tplc="8C2A89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7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B2"/>
    <w:rsid w:val="00020492"/>
    <w:rsid w:val="00023297"/>
    <w:rsid w:val="0002403B"/>
    <w:rsid w:val="00082394"/>
    <w:rsid w:val="000B35F9"/>
    <w:rsid w:val="000C2B8D"/>
    <w:rsid w:val="000E3D21"/>
    <w:rsid w:val="000F4763"/>
    <w:rsid w:val="000F4887"/>
    <w:rsid w:val="00134792"/>
    <w:rsid w:val="00136804"/>
    <w:rsid w:val="0016312E"/>
    <w:rsid w:val="0016401E"/>
    <w:rsid w:val="0018557B"/>
    <w:rsid w:val="00194AE3"/>
    <w:rsid w:val="001D10E3"/>
    <w:rsid w:val="001D2CC7"/>
    <w:rsid w:val="001E644F"/>
    <w:rsid w:val="001F4084"/>
    <w:rsid w:val="00222929"/>
    <w:rsid w:val="002509B1"/>
    <w:rsid w:val="00276478"/>
    <w:rsid w:val="00337078"/>
    <w:rsid w:val="003455B0"/>
    <w:rsid w:val="00352269"/>
    <w:rsid w:val="0037486E"/>
    <w:rsid w:val="003918A6"/>
    <w:rsid w:val="003C5F21"/>
    <w:rsid w:val="003D5973"/>
    <w:rsid w:val="003D6AE1"/>
    <w:rsid w:val="004252FB"/>
    <w:rsid w:val="00432E40"/>
    <w:rsid w:val="0044188C"/>
    <w:rsid w:val="0047399F"/>
    <w:rsid w:val="00475005"/>
    <w:rsid w:val="00477B0B"/>
    <w:rsid w:val="004944E5"/>
    <w:rsid w:val="004C0528"/>
    <w:rsid w:val="004D2A5A"/>
    <w:rsid w:val="004D5665"/>
    <w:rsid w:val="004E4F56"/>
    <w:rsid w:val="004F2B44"/>
    <w:rsid w:val="004F4919"/>
    <w:rsid w:val="004F7752"/>
    <w:rsid w:val="00520357"/>
    <w:rsid w:val="005867E6"/>
    <w:rsid w:val="005961AC"/>
    <w:rsid w:val="005D1680"/>
    <w:rsid w:val="00601C93"/>
    <w:rsid w:val="00620342"/>
    <w:rsid w:val="006508F3"/>
    <w:rsid w:val="00684BB3"/>
    <w:rsid w:val="00692374"/>
    <w:rsid w:val="006B05A4"/>
    <w:rsid w:val="006E2D96"/>
    <w:rsid w:val="00701D75"/>
    <w:rsid w:val="00715D76"/>
    <w:rsid w:val="00734FF6"/>
    <w:rsid w:val="00750491"/>
    <w:rsid w:val="007C5F57"/>
    <w:rsid w:val="0081236C"/>
    <w:rsid w:val="00822A73"/>
    <w:rsid w:val="00840F39"/>
    <w:rsid w:val="00856AC5"/>
    <w:rsid w:val="008616EF"/>
    <w:rsid w:val="00883806"/>
    <w:rsid w:val="008C6A22"/>
    <w:rsid w:val="0091259B"/>
    <w:rsid w:val="00915968"/>
    <w:rsid w:val="00951926"/>
    <w:rsid w:val="009A2FE3"/>
    <w:rsid w:val="009E5900"/>
    <w:rsid w:val="00A02E5C"/>
    <w:rsid w:val="00A90915"/>
    <w:rsid w:val="00AE4AF6"/>
    <w:rsid w:val="00AE7BF9"/>
    <w:rsid w:val="00B413D2"/>
    <w:rsid w:val="00B725C0"/>
    <w:rsid w:val="00B74443"/>
    <w:rsid w:val="00B83213"/>
    <w:rsid w:val="00C00404"/>
    <w:rsid w:val="00C16E27"/>
    <w:rsid w:val="00C52F59"/>
    <w:rsid w:val="00C60532"/>
    <w:rsid w:val="00C66297"/>
    <w:rsid w:val="00C9171F"/>
    <w:rsid w:val="00CA43E3"/>
    <w:rsid w:val="00CA464D"/>
    <w:rsid w:val="00CD17B2"/>
    <w:rsid w:val="00CD689D"/>
    <w:rsid w:val="00CD7071"/>
    <w:rsid w:val="00CE41C1"/>
    <w:rsid w:val="00D01A9A"/>
    <w:rsid w:val="00D12C1E"/>
    <w:rsid w:val="00D461A3"/>
    <w:rsid w:val="00D604FA"/>
    <w:rsid w:val="00D712A5"/>
    <w:rsid w:val="00DA71E9"/>
    <w:rsid w:val="00DD7ADC"/>
    <w:rsid w:val="00DE1C75"/>
    <w:rsid w:val="00E300D2"/>
    <w:rsid w:val="00E45887"/>
    <w:rsid w:val="00E52AF8"/>
    <w:rsid w:val="00E615E1"/>
    <w:rsid w:val="00E97706"/>
    <w:rsid w:val="00ED0AAD"/>
    <w:rsid w:val="00ED19B0"/>
    <w:rsid w:val="00F01073"/>
    <w:rsid w:val="00F04948"/>
    <w:rsid w:val="00F31442"/>
    <w:rsid w:val="00F33275"/>
    <w:rsid w:val="00F63980"/>
    <w:rsid w:val="00F73B29"/>
    <w:rsid w:val="00FB1B5E"/>
    <w:rsid w:val="00FC70A0"/>
    <w:rsid w:val="00FD1D2A"/>
    <w:rsid w:val="00FF1C21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CC6D"/>
  <w15:chartTrackingRefBased/>
  <w15:docId w15:val="{46A5FB07-4686-4284-A457-AD08C4D0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 Zhao</dc:creator>
  <cp:keywords/>
  <dc:description/>
  <cp:lastModifiedBy>Eson Zhao</cp:lastModifiedBy>
  <cp:revision>6</cp:revision>
  <dcterms:created xsi:type="dcterms:W3CDTF">2025-01-23T05:58:00Z</dcterms:created>
  <dcterms:modified xsi:type="dcterms:W3CDTF">2025-01-23T06:06:00Z</dcterms:modified>
</cp:coreProperties>
</file>