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widowControl w:val="false"/>
        <w:spacing w:lineRule="auto" w:line="240" w:before="0" w:after="0"/>
        <w:rPr>
          <w:color w:val="999999"/>
          <w:sz w:val="12"/>
          <w:szCs w:val="12"/>
        </w:rPr>
      </w:pPr>
      <w:r>
        <w:rPr>
          <w:color w:val="999999"/>
          <w:sz w:val="12"/>
          <w:szCs w:val="12"/>
        </w:rPr>
        <w:t>0.</w:t>
        <w:tab/>
      </w:r>
    </w:p>
    <w:tbl>
      <w:tblPr>
        <w:tblStyle w:val="a6"/>
        <w:tblW w:w="10065" w:type="dxa"/>
        <w:jc w:val="start"/>
        <w:tblInd w:w="-57" w:type="dxa"/>
        <w:tblLayout w:type="fixed"/>
        <w:tblCellMar>
          <w:top w:w="72" w:type="dxa"/>
          <w:start w:w="72" w:type="dxa"/>
          <w:bottom w:w="72" w:type="dxa"/>
          <w:end w:w="72" w:type="dxa"/>
        </w:tblCellMar>
        <w:tblLook w:firstRow="0" w:noVBand="1" w:lastRow="0" w:firstColumn="0" w:lastColumn="0" w:noHBand="1" w:val="0600"/>
      </w:tblPr>
      <w:tblGrid>
        <w:gridCol w:w="3585"/>
        <w:gridCol w:w="6480"/>
      </w:tblGrid>
      <w:tr>
        <w:trPr>
          <w:trHeight w:val="12474" w:hRule="atLeast"/>
        </w:trPr>
        <w:tc>
          <w:tcPr>
            <w:tcW w:w="3585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Connor Remsen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Style w:val="Hyperlink"/>
                <w:b/>
                <w:color w:val="000000"/>
                <w:sz w:val="18"/>
                <w:szCs w:val="18"/>
                <w:u w:val="none"/>
              </w:rPr>
              <w:t>Email: &lt;REDACTED&gt;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Phone: &lt;REDACTED&gt;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color w:val="EE0000"/>
              </w:rPr>
            </w:pPr>
            <w:r>
              <w:rPr>
                <w:color w:val="EE000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Security &amp; Compliance Engineer with 7+ years of progressive experience spanning regulated operations, IT/network administration, and multi-tenant security engineering. Experienced in SOC operations, incident response, Microsoft 365/Azure identity controls (RBAC, MFA, Conditional Access), and security automation (PowerShell/Bash/Python). Proven ability to build secure infrastructure, reduce operational risk, and align systems with ISO 27001, NIST CSF and other frameworks.</w:t>
            </w:r>
          </w:p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Subtitle"/>
              <w:spacing w:lineRule="auto" w:line="240" w:before="0" w:after="0"/>
              <w:rPr>
                <w:i/>
                <w:color w:val="EE0000"/>
                <w:sz w:val="22"/>
                <w:szCs w:val="22"/>
                <w:u w:val="single"/>
              </w:rPr>
            </w:pPr>
            <w:r>
              <w:rPr>
                <w:i/>
                <w:color w:val="EE0000"/>
                <w:sz w:val="22"/>
                <w:szCs w:val="22"/>
                <w:u w:val="single"/>
              </w:rPr>
              <w:t>Core Skills:</w:t>
            </w:r>
          </w:p>
          <w:p>
            <w:pPr>
              <w:pStyle w:val="Subtitle"/>
              <w:spacing w:lineRule="auto" w:line="240" w:before="0" w:after="0"/>
              <w:rPr>
                <w:rFonts w:ascii="Lato" w:hAnsi="Lato"/>
                <w:b w:val="false"/>
                <w:bCs/>
                <w:color w:themeColor="text1" w:val="000000"/>
                <w:sz w:val="20"/>
                <w:szCs w:val="20"/>
              </w:rPr>
            </w:pPr>
            <w:r>
              <w:rPr>
                <w:rFonts w:ascii="Lato" w:hAnsi="Lato"/>
                <w:b w:val="false"/>
                <w:bCs/>
                <w:color w:themeColor="text1" w:val="000000"/>
                <w:sz w:val="20"/>
                <w:szCs w:val="20"/>
              </w:rPr>
              <w:t>Security Engineering | Incident Response | SOC Operations</w:t>
              <w:br/>
              <w:t>Azure AD / M365 Security | RBAC | MFA | Conditional Access</w:t>
              <w:br/>
              <w:t>Network Infrastructure | VPN | SASE | Firewall Deployment</w:t>
              <w:br/>
              <w:t>PowerShell | Bash | Python Automation</w:t>
              <w:br/>
              <w:t xml:space="preserve">ISO 27001 | NIST CSF | PCI v4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Subtitle"/>
              <w:spacing w:lineRule="auto" w:line="240" w:before="0" w:after="0"/>
              <w:rPr>
                <w:color w:val="EE0000"/>
                <w:sz w:val="20"/>
                <w:szCs w:val="20"/>
                <w:u w:val="single"/>
              </w:rPr>
            </w:pPr>
            <w:bookmarkStart w:id="0" w:name="_heading=h.30j0zll"/>
            <w:bookmarkEnd w:id="0"/>
            <w:r>
              <w:rPr>
                <w:i/>
                <w:color w:val="EE0000"/>
                <w:sz w:val="22"/>
                <w:szCs w:val="22"/>
                <w:u w:val="single"/>
              </w:rPr>
              <w:t>Qualifications: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CompTIA</w:t>
            </w:r>
            <w:r>
              <w:rPr>
                <w:bCs/>
                <w:sz w:val="14"/>
                <w:szCs w:val="14"/>
              </w:rPr>
              <w:t>©</w:t>
            </w:r>
            <w:r>
              <w:rPr>
                <w:bCs/>
              </w:rPr>
              <w:t xml:space="preserve"> A+, Network+, Security+, and Cloud+ Certified.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Kaseya</w:t>
            </w:r>
            <w:r>
              <w:rPr>
                <w:bCs/>
                <w:sz w:val="14"/>
                <w:szCs w:val="14"/>
              </w:rPr>
              <w:t>©</w:t>
            </w:r>
            <w:r>
              <w:rPr>
                <w:bCs/>
              </w:rPr>
              <w:t xml:space="preserve"> Certified in RMM, Cybersecurity, Dark Web ID, EDR, RocketCyber, and Networking.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Raleway" w:hAnsi="Raleway" w:eastAsia="Raleway" w:cs="Raleway"/>
                <w:b/>
                <w:i/>
                <w:color w:val="EE0000"/>
                <w:u w:val="single"/>
              </w:rPr>
            </w:pPr>
            <w:r>
              <w:rPr>
                <w:rFonts w:eastAsia="Raleway" w:cs="Raleway" w:ascii="Raleway" w:hAnsi="Raleway"/>
                <w:b/>
                <w:i/>
                <w:color w:val="EE0000"/>
                <w:sz w:val="22"/>
                <w:szCs w:val="22"/>
                <w:u w:val="single"/>
              </w:rPr>
              <w:t>Education: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Shoreline Community College</w:t>
            </w:r>
          </w:p>
          <w:p>
            <w:pPr>
              <w:pStyle w:val="Normal"/>
              <w:spacing w:lineRule="auto" w:line="240" w:before="0" w:after="0"/>
              <w:rPr>
                <w:bCs/>
              </w:rPr>
            </w:pPr>
            <w:r>
              <w:rPr>
                <w:bCs/>
              </w:rPr>
              <w:t>(Music Performance)</w:t>
            </w:r>
          </w:p>
        </w:tc>
        <w:tc>
          <w:tcPr>
            <w:tcW w:w="6480" w:type="dxa"/>
            <w:tcBorders/>
          </w:tcPr>
          <w:p>
            <w:pPr>
              <w:pStyle w:val="Subtitle"/>
              <w:keepNext w:val="false"/>
              <w:keepLines w:val="false"/>
              <w:widowControl w:val="false"/>
              <w:spacing w:lineRule="auto" w:line="240" w:before="0" w:after="0"/>
              <w:rPr/>
            </w:pPr>
            <w:bookmarkStart w:id="1" w:name="_heading=h.2et92p0"/>
            <w:bookmarkStart w:id="2" w:name="_heading=h.prr82fbadcbe"/>
            <w:bookmarkEnd w:id="1"/>
            <w:bookmarkEnd w:id="2"/>
            <w:r>
              <w:rPr/>
              <w:drawing>
                <wp:inline distT="0" distB="0" distL="0" distR="0">
                  <wp:extent cx="3981450" cy="25400"/>
                  <wp:effectExtent l="0" t="0" r="0" b="0"/>
                  <wp:docPr id="1" name="image1.png" descr="horizontal 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horizontal 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0" w:after="0"/>
              <w:rPr>
                <w:b/>
              </w:rPr>
            </w:pPr>
            <w:r>
              <w:rPr>
                <w:b/>
                <w:sz w:val="22"/>
                <w:szCs w:val="22"/>
              </w:rPr>
              <w:t>Security and Compliance Engineer</w:t>
            </w:r>
          </w:p>
          <w:p>
            <w:pPr>
              <w:pStyle w:val="Normal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CMIT Solutions (Nov. ʼ22 – Dec. ‘25)</w:t>
            </w:r>
          </w:p>
          <w:p>
            <w:pPr>
              <w:pStyle w:val="Normal"/>
              <w:spacing w:lineRule="auto" w:line="240" w:before="0" w:after="0"/>
              <w:rPr>
                <w:i/>
              </w:rPr>
            </w:pPr>
            <w:r>
              <w:rPr>
                <w:i/>
              </w:rPr>
              <w:t xml:space="preserve">Seattle, WA </w:t>
            </w:r>
          </w:p>
          <w:p>
            <w:pPr>
              <w:pStyle w:val="Normal"/>
              <w:spacing w:lineRule="auto" w:line="240" w:before="0" w:after="0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-Security engineer supporting ~200 clients and ~3,000 endpoints across multi-tenant MSP environments.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-Served as primary SOC analyst and incident responder; performed investigation, containment, and remediation across endpoint and identity-based threats.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-Led deployments of Microsoft 365, Azure AD, Google Workspace, SASE VPNs, RBAC, MFA, and Conditional Access policies.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-Supported compliance alignment with ISO 27001, NIST CSF, PCI v4, and CMMC frameworks.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-Reduced RMM tooling costs by ~$10K annually by engineering and deploying Tactical RMM/RustDesk.</w:t>
            </w:r>
          </w:p>
          <w:p>
            <w:pPr>
              <w:pStyle w:val="Normal"/>
              <w:spacing w:lineRule="auto" w:line="240" w:before="0" w:after="0"/>
              <w:rPr>
                <w:b/>
              </w:rPr>
            </w:pPr>
            <w:r>
              <w:rPr/>
              <w:drawing>
                <wp:inline distT="0" distB="0" distL="0" distR="0">
                  <wp:extent cx="3981450" cy="25400"/>
                  <wp:effectExtent l="0" t="0" r="0" b="0"/>
                  <wp:docPr id="2" name="Image2" descr="horizontal 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horizontal 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0"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Independent IT/Security Engineer.</w:t>
            </w:r>
          </w:p>
          <w:p>
            <w:pPr>
              <w:pStyle w:val="Normal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Self-Employed/Esoteric Labs LLC (Jan. ʼ21 – Feb. ‘26)</w:t>
            </w:r>
          </w:p>
          <w:p>
            <w:pPr>
              <w:pStyle w:val="Normal"/>
              <w:spacing w:lineRule="auto" w:line="240" w:before="0" w:after="0"/>
              <w:rPr>
                <w:i/>
              </w:rPr>
            </w:pPr>
            <w:r>
              <w:rPr>
                <w:i/>
              </w:rPr>
              <w:t>Denver, CO – Seattle, WA</w:t>
            </w:r>
          </w:p>
          <w:p>
            <w:pPr>
              <w:pStyle w:val="Normal"/>
              <w:spacing w:lineRule="auto" w:line="240" w:before="0" w:after="0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-Led SaaS data migrations for SMB clients, ensuring data integrity validation and post-migration security hardening.</w:t>
            </w:r>
          </w:p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-Performed Firewall configurations, Network installations, WiFi diagnostics and RF optimization across mixed-device environments.</w:t>
            </w:r>
          </w:p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-Designed isolated security infrastructure and developed automation in Bash, Python, and PowerShell for system auditing and operational efficiency.</w:t>
            </w:r>
          </w:p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 xml:space="preserve">-Founder of progressive tech company, Esoteric Labs. </w:t>
            </w:r>
          </w:p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/>
              <w:drawing>
                <wp:inline distT="0" distB="0" distL="0" distR="0">
                  <wp:extent cx="3981450" cy="25400"/>
                  <wp:effectExtent l="0" t="0" r="0" b="0"/>
                  <wp:docPr id="3" name="Image3" descr="horizontal 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horizontal 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0"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IT/Network Administrator</w:t>
            </w:r>
          </w:p>
          <w:p>
            <w:pPr>
              <w:pStyle w:val="Normal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DHE Computer Systems (Nov. ʼ19 – Jan. ‘22)</w:t>
            </w:r>
          </w:p>
          <w:p>
            <w:pPr>
              <w:pStyle w:val="Normal"/>
              <w:spacing w:lineRule="auto" w:line="240" w:before="0" w:after="0"/>
              <w:rPr>
                <w:i/>
              </w:rPr>
            </w:pPr>
            <w:r>
              <w:rPr>
                <w:i/>
              </w:rPr>
              <w:t>Centennial, CO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-Sole L1/L2 administrator supporting 100+ SMB clients and ~1,500 endpoints.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-Deployed and managed MDM (Intune/JAMF) and automated provisioning/patching via PowerShell/Bash.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-Designed and deployed network infrastructure (APs, switches, firewalls, routers) and Microsoft 365/Exchange/VPN environments.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/>
              <w:drawing>
                <wp:inline distT="0" distB="0" distL="0" distR="0">
                  <wp:extent cx="3981450" cy="25400"/>
                  <wp:effectExtent l="0" t="0" r="0" b="0"/>
                  <wp:docPr id="4" name="Image4" descr="horizontal 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horizontal 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0"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Logistics and Compliance Manager</w:t>
            </w:r>
          </w:p>
          <w:p>
            <w:pPr>
              <w:pStyle w:val="Normal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RME group (Sep. ʼ16 – Jun. ʼ19)</w:t>
            </w:r>
          </w:p>
          <w:p>
            <w:pPr>
              <w:pStyle w:val="Normal"/>
              <w:spacing w:lineRule="auto" w:line="240" w:before="0" w:after="0"/>
              <w:rPr>
                <w:i/>
              </w:rPr>
            </w:pPr>
            <w:r>
              <w:rPr>
                <w:i/>
              </w:rPr>
              <w:t xml:space="preserve">Denver, CO </w:t>
            </w:r>
          </w:p>
          <w:p>
            <w:pPr>
              <w:pStyle w:val="Normal"/>
              <w:spacing w:lineRule="auto" w:line="240" w:before="0" w:after="0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-Audited inventory and cash operations within a highly regulated retail environment, ensuring regulatory compliance.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080" w:right="1080" w:gutter="0" w:header="0" w:top="720" w:footer="36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ato"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  <w:font w:name="Raleway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ato" w:hAnsi="Lato" w:eastAsia="Lato" w:cs="Lato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7201"/>
    <w:pPr>
      <w:widowControl/>
      <w:suppressAutoHyphens w:val="true"/>
      <w:bidi w:val="0"/>
      <w:spacing w:lineRule="auto" w:line="276" w:before="200" w:after="0"/>
      <w:jc w:val="start"/>
    </w:pPr>
    <w:rPr>
      <w:rFonts w:ascii="Lato" w:hAnsi="Lato" w:eastAsia="Lato" w:cs="Lato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outlineLvl w:val="1"/>
    </w:pPr>
    <w:rPr>
      <w:b/>
      <w:color w:val="D445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160"/>
      <w:outlineLvl w:val="2"/>
    </w:pPr>
    <w:rPr>
      <w:color w:val="999999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3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4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5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c4c8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c4c8a"/>
    <w:rPr/>
  </w:style>
  <w:style w:type="character" w:styleId="Hyperlink">
    <w:name w:val="Hyperlink"/>
    <w:basedOn w:val="DefaultParagraphFont"/>
    <w:uiPriority w:val="99"/>
    <w:unhideWhenUsed/>
    <w:rsid w:val="00437a62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37a6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84fc8"/>
    <w:rPr>
      <w:color w:themeColor="followedHyperlink" w:val="800080"/>
      <w:u w:val="single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64bd3"/>
    <w:rPr>
      <w:rFonts w:ascii="Raleway" w:hAnsi="Raleway" w:eastAsia="Raleway" w:cs="Raleway"/>
      <w:b/>
      <w:color w:val="F2511B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40" w:before="0" w:after="0"/>
    </w:pPr>
    <w:rPr>
      <w:rFonts w:ascii="Raleway" w:hAnsi="Raleway" w:eastAsia="Raleway" w:cs="Raleway"/>
      <w:b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 w:val="true"/>
      <w:keepLines/>
      <w:spacing w:before="60" w:after="0"/>
    </w:pPr>
    <w:rPr>
      <w:rFonts w:ascii="Raleway" w:hAnsi="Raleway" w:eastAsia="Raleway" w:cs="Raleway"/>
      <w:b/>
      <w:color w:val="F2511B"/>
      <w:sz w:val="32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c4c8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c4c8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4eUaOiT3CEOBbOy/9mvQiU9KLTA==">AMUW2mV7w+j+cHeXqmsmCZwBmIjyz1N2mkeHxtCMKHYZwLfsYYVVdCSfOg2XAsO9neWLVXPyDmzsZFJ3jjbhHH+z2I7ZX3imn70ieJCcgG4bo0hhUuEGsXZf6+hGVyRgOeDlnD7X194UsjYZvwB88Uweq1n50WBLN7FftKG/vM1XDJpZ9YtGjGjmCbda72/aMvHmx8Yfym1r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LibreOffice/26.2.1.2$Windows_X86_64 LibreOffice_project/620$Build-2</Application>
  <AppVersion>15.0000</AppVersion>
  <Pages>1</Pages>
  <Words>357</Words>
  <Characters>2418</Characters>
  <CharactersWithSpaces>2747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2026-02-26T19:32:00Z</dcterms:created>
  <dc:creator>Connor Remsen</dc:creator>
  <dc:description/>
  <dc:language>en-US</dc:language>
  <cp:lastModifiedBy/>
  <cp:lastPrinted>2026-02-26T19:33:00Z</cp:lastPrinted>
  <dcterms:modified xsi:type="dcterms:W3CDTF">2026-04-19T17:42:41Z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