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Calibri" w:cs="Calibri" w:eastAsia="Calibri" w:hAnsi="Calibri"/>
          <w:b/>
          <w:bCs/>
          <w:color w:val="0B5394"/>
          <w:sz w:val="56"/>
          <w:szCs w:val="56"/>
        </w:rPr>
        <w:t xml:space="preserve">ESTIMATION BUDGÉTAIRE</w:t>
      </w:r>
    </w:p>
    <w:p>
      <w:pPr>
        <w:spacing w:after="240"/>
        <w:jc w:val="center"/>
      </w:pPr>
      <w:r>
        <w:rPr>
          <w:rFonts w:ascii="Calibri" w:cs="Calibri" w:eastAsia="Calibri" w:hAnsi="Calibri"/>
          <w:b/>
          <w:bCs/>
          <w:color w:val="1C77C3"/>
          <w:sz w:val="32"/>
          <w:szCs w:val="32"/>
        </w:rPr>
        <w:t xml:space="preserve">Développement par Claude Code vs équipe dev classique</w:t>
      </w:r>
    </w:p>
    <w:p>
      <w:pPr>
        <w:spacing w:after="2000"/>
        <w:jc w:val="center"/>
      </w:pPr>
      <w:r>
        <w:rPr>
          <w:rFonts w:ascii="Calibri" w:cs="Calibri" w:eastAsia="Calibri" w:hAnsi="Calibri"/>
          <w:i/>
          <w:iCs/>
          <w:color w:val="1A1A1A"/>
          <w:sz w:val="28"/>
          <w:szCs w:val="28"/>
        </w:rPr>
        <w:t xml:space="preserve">ELSAI</w:t>
      </w:r>
    </w:p>
    <w:p>
      <w:pPr>
        <w:spacing w:after="80"/>
        <w:jc w:val="center"/>
      </w:pPr>
      <w:r>
        <w:rPr>
          <w:rFonts w:ascii="Calibri" w:cs="Calibri" w:eastAsia="Calibri" w:hAnsi="Calibri"/>
          <w:color w:val="1A1A1A"/>
          <w:sz w:val="24"/>
          <w:szCs w:val="24"/>
        </w:rPr>
        <w:t xml:space="preserve">Document synthétique comparatif</w:t>
      </w:r>
    </w:p>
    <w:p>
      <w:pPr>
        <w:spacing w:after="80"/>
        <w:jc w:val="center"/>
      </w:pPr>
      <w:r>
        <w:rPr>
          <w:rFonts w:ascii="Calibri" w:cs="Calibri" w:eastAsia="Calibri" w:hAnsi="Calibri"/>
          <w:color w:val="555555"/>
          <w:sz w:val="22"/>
          <w:szCs w:val="22"/>
        </w:rPr>
        <w:t xml:space="preserve">Version 1.0 · Avril 2026</w:t>
      </w:r>
    </w:p>
    <w:p>
      <w:r>
        <w:br w:type="page"/>
      </w:r>
    </w:p>
    <w:p>
      <w:pPr>
        <w:pStyle w:val="Heading1"/>
        <w:pBdr>
          <w:bottom w:val="single" w:color="E67E22" w:sz="12" w:space="4"/>
        </w:pBdr>
        <w:spacing w:after="180" w:before="360"/>
      </w:pPr>
      <w:r>
        <w:rPr>
          <w:rFonts w:ascii="Calibri" w:cs="Calibri" w:eastAsia="Calibri" w:hAnsi="Calibri"/>
          <w:b/>
          <w:bCs/>
          <w:color w:val="0B5394"/>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67E22" w:sz="12" w:space="4"/>
        </w:pBdr>
        <w:spacing w:after="180" w:before="360"/>
      </w:pPr>
      <w:r>
        <w:rPr>
          <w:rFonts w:ascii="Calibri" w:cs="Calibri" w:eastAsia="Calibri" w:hAnsi="Calibri"/>
          <w:b/>
          <w:bCs/>
          <w:color w:val="0B5394"/>
          <w:sz w:val="36"/>
          <w:szCs w:val="36"/>
        </w:rPr>
        <w:t xml:space="preserve">1. Contexte et objectif</w:t>
      </w:r>
    </w:p>
    <w:p>
      <w:pPr>
        <w:pStyle w:val="Heading2"/>
        <w:spacing w:after="120" w:before="240"/>
      </w:pPr>
      <w:r>
        <w:rPr>
          <w:rFonts w:ascii="Calibri" w:cs="Calibri" w:eastAsia="Calibri" w:hAnsi="Calibri"/>
          <w:b/>
          <w:bCs/>
          <w:color w:val="1C77C3"/>
          <w:sz w:val="28"/>
          <w:szCs w:val="28"/>
        </w:rPr>
        <w:t xml:space="preserve">1.1 Pourquoi cette estimation ?</w:t>
      </w:r>
    </w:p>
    <w:p>
      <w:pPr>
        <w:spacing w:after="120" w:line="300"/>
        <w:jc w:val="both"/>
      </w:pPr>
      <w:r>
        <w:rPr>
          <w:rFonts w:ascii="Calibri" w:cs="Calibri" w:eastAsia="Calibri" w:hAnsi="Calibri"/>
          <w:sz w:val="22"/>
          <w:szCs w:val="22"/>
        </w:rPr>
        <w:t xml:space="preserve">Le cahier des charges et le document d'architecture technique de ELSAI prévoyaient initialement trois scénarios de développement classique (équipe française salariée, prestataire ESN, offshore) situés entre 550 k€ et 2 M€ sur 12 à 18 mois.</w:t>
      </w:r>
    </w:p>
    <w:p>
      <w:pPr>
        <w:spacing w:after="120" w:line="300"/>
        <w:jc w:val="both"/>
      </w:pPr>
      <w:r>
        <w:rPr>
          <w:rFonts w:ascii="Calibri" w:cs="Calibri" w:eastAsia="Calibri" w:hAnsi="Calibri"/>
          <w:sz w:val="22"/>
          <w:szCs w:val="22"/>
        </w:rPr>
        <w:t xml:space="preserve">L'arrivée des agents de développement assistés par IA — en particulier Claude Code — modifie radicalement cette équation. Ce document propose une estimation comparative synthétique entre deux voies : un développement piloté par Claude Code avec une supervision humaine réduite, et un développement classique par équipe dédiée.</w:t>
      </w:r>
    </w:p>
    <w:p>
      <w:pPr>
        <w:pStyle w:val="Heading2"/>
        <w:spacing w:after="120" w:before="240"/>
      </w:pPr>
      <w:r>
        <w:rPr>
          <w:rFonts w:ascii="Calibri" w:cs="Calibri" w:eastAsia="Calibri" w:hAnsi="Calibri"/>
          <w:b/>
          <w:bCs/>
          <w:color w:val="1C77C3"/>
          <w:sz w:val="28"/>
          <w:szCs w:val="28"/>
        </w:rPr>
        <w:t xml:space="preserve">1.2 Périmètre estimé</w:t>
      </w:r>
    </w:p>
    <w:p>
      <w:pPr>
        <w:spacing w:after="120" w:line="300"/>
        <w:jc w:val="both"/>
      </w:pPr>
      <w:r>
        <w:rPr>
          <w:rFonts w:ascii="Calibri" w:cs="Calibri" w:eastAsia="Calibri" w:hAnsi="Calibri"/>
          <w:sz w:val="22"/>
          <w:szCs w:val="22"/>
        </w:rPr>
        <w:t xml:space="preserve">Le périmètre retenu correspond à une v1 fonctionnelle de l'application : conversation LLM, OCR documents, moteur de détection, back-office travailleur social, mobile Flutter, hébergement HDS. Il ne couvre pas l'exploitation en production ni les partenariats métier.</w:t>
      </w:r>
    </w:p>
    <w:p>
      <w:r>
        <w:br w:type="page"/>
      </w:r>
    </w:p>
    <w:p>
      <w:pPr>
        <w:pStyle w:val="Heading1"/>
        <w:pBdr>
          <w:bottom w:val="single" w:color="E67E22" w:sz="12" w:space="4"/>
        </w:pBdr>
        <w:spacing w:after="180" w:before="360"/>
      </w:pPr>
      <w:r>
        <w:rPr>
          <w:rFonts w:ascii="Calibri" w:cs="Calibri" w:eastAsia="Calibri" w:hAnsi="Calibri"/>
          <w:b/>
          <w:bCs/>
          <w:color w:val="0B5394"/>
          <w:sz w:val="36"/>
          <w:szCs w:val="36"/>
        </w:rPr>
        <w:t xml:space="preserve">2. Rappel du développement classique</w:t>
      </w:r>
    </w:p>
    <w:p>
      <w:pPr>
        <w:spacing w:after="120" w:line="300"/>
        <w:jc w:val="both"/>
      </w:pPr>
      <w:r>
        <w:rPr>
          <w:rFonts w:ascii="Calibri" w:cs="Calibri" w:eastAsia="Calibri" w:hAnsi="Calibri"/>
          <w:sz w:val="22"/>
          <w:szCs w:val="22"/>
        </w:rPr>
        <w:t xml:space="preserve">Pour mémoire, les trois scénarios classiques étudiés dans le document d'architecture sont rappelés ci-dessous. Ces budgets intègrent l'ensemble de la chaîne (chefferie de projet, dev, QA, DevOps, UX, sécurité) sur 10 à 14 mois.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Poste</w:t>
            </w:r>
          </w:p>
        </w:tc>
        <w:tc>
          <w:tcPr>
            <w:tcW w:type="dxa" w:w="208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Équipe FR</w:t>
            </w:r>
          </w:p>
        </w:tc>
        <w:tc>
          <w:tcPr>
            <w:tcW w:type="dxa" w:w="208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Prestataire ESN</w:t>
            </w:r>
          </w:p>
        </w:tc>
        <w:tc>
          <w:tcPr>
            <w:tcW w:type="dxa" w:w="208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Offshore</w:t>
            </w:r>
          </w:p>
        </w:tc>
      </w:tr>
      <w:tr>
        <w:tc>
          <w:tcPr>
            <w:tcW w:type="dxa" w:w="312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Équipe (ETP × 12 mois)</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6-8 ETP</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8-10 ETP</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10-12 ETP</w:t>
            </w:r>
          </w:p>
        </w:tc>
      </w:tr>
      <w:tr>
        <w:tc>
          <w:tcPr>
            <w:tcW w:type="dxa" w:w="312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Coût main d'œuvre</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720 k€</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1,4 M€</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420 k€</w:t>
            </w:r>
          </w:p>
        </w:tc>
      </w:tr>
      <w:tr>
        <w:tc>
          <w:tcPr>
            <w:tcW w:type="dxa" w:w="312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Infra + licences</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60 k€</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80 k€</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60 k€</w:t>
            </w:r>
          </w:p>
        </w:tc>
      </w:tr>
      <w:tr>
        <w:tc>
          <w:tcPr>
            <w:tcW w:type="dxa" w:w="312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Audit &amp; sécurité</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40 k€</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60 k€</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80 k€</w:t>
            </w:r>
          </w:p>
        </w:tc>
      </w:tr>
      <w:tr>
        <w:tc>
          <w:tcPr>
            <w:tcW w:type="dxa" w:w="312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Contingence (10 %)</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80 k€</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160 k€</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60 k€</w:t>
            </w:r>
          </w:p>
        </w:tc>
      </w:tr>
      <w:tr>
        <w:tc>
          <w:tcPr>
            <w:tcW w:type="dxa" w:w="3120"/>
            <w:tcBorders>
              <w:top w:val="single" w:color="BDBDBD" w:sz="4"/>
              <w:left w:val="single" w:color="BDBDBD" w:sz="4"/>
              <w:bottom w:val="single" w:color="BDBDBD" w:sz="4"/>
              <w:right w:val="single" w:color="BDBDBD" w:sz="4"/>
            </w:tcBorders>
            <w:shd w:fill="FCE4D6" w:val="clear"/>
            <w:tcMar>
              <w:top w:type="dxa" w:w="80"/>
              <w:left w:type="dxa" w:w="120"/>
              <w:bottom w:type="dxa" w:w="80"/>
              <w:right w:type="dxa" w:w="120"/>
            </w:tcMar>
          </w:tcPr>
          <w:p>
            <w:pPr>
              <w:jc w:val="left"/>
            </w:pPr>
            <w:r>
              <w:rPr>
                <w:rFonts w:ascii="Calibri" w:cs="Calibri" w:eastAsia="Calibri" w:hAnsi="Calibri"/>
                <w:b/>
                <w:bCs/>
                <w:color w:val="1A1A1A"/>
                <w:sz w:val="22"/>
                <w:szCs w:val="22"/>
              </w:rPr>
              <w:t xml:space="preserve">TOTAL v1</w:t>
            </w:r>
          </w:p>
        </w:tc>
        <w:tc>
          <w:tcPr>
            <w:tcW w:type="dxa" w:w="2080"/>
            <w:tcBorders>
              <w:top w:val="single" w:color="BDBDBD" w:sz="4"/>
              <w:left w:val="single" w:color="BDBDBD" w:sz="4"/>
              <w:bottom w:val="single" w:color="BDBDBD" w:sz="4"/>
              <w:right w:val="single" w:color="BDBDBD" w:sz="4"/>
            </w:tcBorders>
            <w:shd w:fill="FCE4D6"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900 k€</w:t>
            </w:r>
          </w:p>
        </w:tc>
        <w:tc>
          <w:tcPr>
            <w:tcW w:type="dxa" w:w="2080"/>
            <w:tcBorders>
              <w:top w:val="single" w:color="BDBDBD" w:sz="4"/>
              <w:left w:val="single" w:color="BDBDBD" w:sz="4"/>
              <w:bottom w:val="single" w:color="BDBDBD" w:sz="4"/>
              <w:right w:val="single" w:color="BDBDBD" w:sz="4"/>
            </w:tcBorders>
            <w:shd w:fill="FCE4D6"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1,7 M€</w:t>
            </w:r>
          </w:p>
        </w:tc>
        <w:tc>
          <w:tcPr>
            <w:tcW w:type="dxa" w:w="2080"/>
            <w:tcBorders>
              <w:top w:val="single" w:color="BDBDBD" w:sz="4"/>
              <w:left w:val="single" w:color="BDBDBD" w:sz="4"/>
              <w:bottom w:val="single" w:color="BDBDBD" w:sz="4"/>
              <w:right w:val="single" w:color="BDBDBD" w:sz="4"/>
            </w:tcBorders>
            <w:shd w:fill="FCE4D6"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620 k€</w:t>
            </w:r>
          </w:p>
        </w:tc>
      </w:tr>
      <w:tr>
        <w:tc>
          <w:tcPr>
            <w:tcW w:type="dxa" w:w="312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Délai</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12 mois</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10 mois</w:t>
            </w:r>
          </w:p>
        </w:tc>
        <w:tc>
          <w:tcPr>
            <w:tcW w:type="dxa" w:w="208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14 mois</w:t>
            </w:r>
          </w:p>
        </w:tc>
      </w:tr>
    </w:tbl>
    <w:p>
      <w:pPr>
        <w:spacing w:after="80"/>
      </w:pPr>
      <w:r>
        <w:t xml:space="preserve"/>
      </w:r>
    </w:p>
    <w:p>
      <w:pPr>
        <w:spacing w:after="120" w:line="300"/>
        <w:jc w:val="both"/>
      </w:pPr>
      <w:r>
        <w:rPr>
          <w:rFonts w:ascii="Calibri" w:cs="Calibri" w:eastAsia="Calibri" w:hAnsi="Calibri"/>
          <w:sz w:val="22"/>
          <w:szCs w:val="22"/>
        </w:rPr>
        <w:t xml:space="preserve">La fourchette globale retenue dans l'architecture était de 620 k€ (offshore, le moins cher mais le plus risqué) à 1,7 M€ (ESN, le plus rassurant en termes de garanties).</w:t>
      </w:r>
    </w:p>
    <w:p>
      <w:r>
        <w:br w:type="page"/>
      </w:r>
    </w:p>
    <w:p>
      <w:pPr>
        <w:pStyle w:val="Heading1"/>
        <w:pBdr>
          <w:bottom w:val="single" w:color="E67E22" w:sz="12" w:space="4"/>
        </w:pBdr>
        <w:spacing w:after="180" w:before="360"/>
      </w:pPr>
      <w:r>
        <w:rPr>
          <w:rFonts w:ascii="Calibri" w:cs="Calibri" w:eastAsia="Calibri" w:hAnsi="Calibri"/>
          <w:b/>
          <w:bCs/>
          <w:color w:val="0B5394"/>
          <w:sz w:val="36"/>
          <w:szCs w:val="36"/>
        </w:rPr>
        <w:t xml:space="preserve">3. Scénario Claude Code</w:t>
      </w:r>
    </w:p>
    <w:p>
      <w:pPr>
        <w:pStyle w:val="Heading2"/>
        <w:spacing w:after="120" w:before="240"/>
      </w:pPr>
      <w:r>
        <w:rPr>
          <w:rFonts w:ascii="Calibri" w:cs="Calibri" w:eastAsia="Calibri" w:hAnsi="Calibri"/>
          <w:b/>
          <w:bCs/>
          <w:color w:val="1C77C3"/>
          <w:sz w:val="28"/>
          <w:szCs w:val="28"/>
        </w:rPr>
        <w:t xml:space="preserve">3.1 Principe</w:t>
      </w:r>
    </w:p>
    <w:p>
      <w:pPr>
        <w:spacing w:after="120" w:line="300"/>
        <w:jc w:val="both"/>
      </w:pPr>
      <w:r>
        <w:rPr>
          <w:rFonts w:ascii="Calibri" w:cs="Calibri" w:eastAsia="Calibri" w:hAnsi="Calibri"/>
          <w:sz w:val="22"/>
          <w:szCs w:val="22"/>
        </w:rPr>
        <w:t xml:space="preserve">Le scénario Claude Code repose sur un trinôme humain–agent–validation : un chef de projet senior pilote Claude Code au quotidien (rédaction des spécifications, revues de code, déploiement, tests), un travailleur social référent valide les flux conversationnels sensibles, et un designer intervient ponctuellement sur les écrans mobiles.</w:t>
      </w:r>
    </w:p>
    <w:p>
      <w:pPr>
        <w:spacing w:after="120" w:line="300"/>
        <w:jc w:val="both"/>
      </w:pPr>
      <w:r>
        <w:rPr>
          <w:rFonts w:ascii="Calibri" w:cs="Calibri" w:eastAsia="Calibri" w:hAnsi="Calibri"/>
          <w:sz w:val="22"/>
          <w:szCs w:val="22"/>
        </w:rPr>
        <w:t xml:space="preserve">Claude Code prend en charge l'écriture du code (back-end Node/Python, front Flutter/Next.js, pipelines CI/CD, infra-as-code, tests unitaires et d'intégration), la génération de la documentation, et une partie de l'assurance qualité.</w:t>
      </w:r>
    </w:p>
    <w:p>
      <w:pPr>
        <w:pStyle w:val="Heading2"/>
        <w:spacing w:after="120" w:before="240"/>
      </w:pPr>
      <w:r>
        <w:rPr>
          <w:rFonts w:ascii="Calibri" w:cs="Calibri" w:eastAsia="Calibri" w:hAnsi="Calibri"/>
          <w:b/>
          <w:bCs/>
          <w:color w:val="1C77C3"/>
          <w:sz w:val="28"/>
          <w:szCs w:val="28"/>
        </w:rPr>
        <w:t xml:space="preserve">3.2 Estimation détaillée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BDBDBD" w:sz="4"/>
              <w:left w:val="single" w:color="BDBDBD" w:sz="4"/>
              <w:bottom w:val="single" w:color="BDBDBD" w:sz="4"/>
              <w:right w:val="single" w:color="BDBDBD" w:sz="4"/>
            </w:tcBorders>
            <w:shd w:fill="E67E22"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Poste</w:t>
            </w:r>
          </w:p>
        </w:tc>
        <w:tc>
          <w:tcPr>
            <w:tcW w:type="dxa" w:w="2200"/>
            <w:tcBorders>
              <w:top w:val="single" w:color="BDBDBD" w:sz="4"/>
              <w:left w:val="single" w:color="BDBDBD" w:sz="4"/>
              <w:bottom w:val="single" w:color="BDBDBD" w:sz="4"/>
              <w:right w:val="single" w:color="BDBDBD" w:sz="4"/>
            </w:tcBorders>
            <w:shd w:fill="E67E22"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Coût</w:t>
            </w:r>
          </w:p>
        </w:tc>
        <w:tc>
          <w:tcPr>
            <w:tcW w:type="dxa" w:w="3660"/>
            <w:tcBorders>
              <w:top w:val="single" w:color="BDBDBD" w:sz="4"/>
              <w:left w:val="single" w:color="BDBDBD" w:sz="4"/>
              <w:bottom w:val="single" w:color="BDBDBD" w:sz="4"/>
              <w:right w:val="single" w:color="BDBDBD" w:sz="4"/>
            </w:tcBorders>
            <w:shd w:fill="E67E22"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Hypothèse</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Abonnement Claude Code (Max)</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2 400 €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200 €/mois × 12 mois × 1 poste principal</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Abonnement Claude (équipe)</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Plan Team, 2-3 sièges pour revue et tests</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Tokens API (dépassements)</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3 000 €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Pics longs contextes, agents parallèles</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Chef de projet / architecte humain</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90 000 €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1 ETP senior × 12 mois (pilote de l'agent)</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Travailleur social référent</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18 000 €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0,3 ETP × 12 mois (validation métier)</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Designer UX ponctuel</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12 000 €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Mission 30 jours répartie sur le projet</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Infra GCP / OVH (v1)</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24 000 €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Environnements dev + staging + pré-prod HDS</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Audit sécurité externe</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25 000 €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Pentest obligatoire avant mise en ligne</w:t>
            </w:r>
          </w:p>
        </w:tc>
      </w:tr>
      <w:tr>
        <w:tc>
          <w:tcPr>
            <w:tcW w:type="dxa" w:w="35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Contingence (15 %)</w:t>
            </w:r>
          </w:p>
        </w:tc>
        <w:tc>
          <w:tcPr>
            <w:tcW w:type="dxa" w:w="22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26 000 €</w:t>
            </w:r>
          </w:p>
        </w:tc>
        <w:tc>
          <w:tcPr>
            <w:tcW w:type="dxa" w:w="366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Marge reprises, refactos, imprévus IA</w:t>
            </w:r>
          </w:p>
        </w:tc>
      </w:tr>
      <w:tr>
        <w:tc>
          <w:tcPr>
            <w:tcW w:type="dxa" w:w="3500"/>
            <w:tcBorders>
              <w:top w:val="single" w:color="BDBDBD" w:sz="4"/>
              <w:left w:val="single" w:color="BDBDBD" w:sz="4"/>
              <w:bottom w:val="single" w:color="BDBDBD" w:sz="4"/>
              <w:right w:val="single" w:color="BDBDBD" w:sz="4"/>
            </w:tcBorders>
            <w:shd w:fill="D4EDDA" w:val="clear"/>
            <w:tcMar>
              <w:top w:type="dxa" w:w="80"/>
              <w:left w:type="dxa" w:w="120"/>
              <w:bottom w:type="dxa" w:w="80"/>
              <w:right w:type="dxa" w:w="120"/>
            </w:tcMar>
          </w:tcPr>
          <w:p>
            <w:pPr>
              <w:jc w:val="left"/>
            </w:pPr>
            <w:r>
              <w:rPr>
                <w:rFonts w:ascii="Calibri" w:cs="Calibri" w:eastAsia="Calibri" w:hAnsi="Calibri"/>
                <w:b/>
                <w:bCs/>
                <w:color w:val="1A1A1A"/>
                <w:sz w:val="22"/>
                <w:szCs w:val="22"/>
              </w:rPr>
              <w:t xml:space="preserve">TOTAL v1 Claude Code</w:t>
            </w:r>
          </w:p>
        </w:tc>
        <w:tc>
          <w:tcPr>
            <w:tcW w:type="dxa" w:w="2200"/>
            <w:tcBorders>
              <w:top w:val="single" w:color="BDBDBD" w:sz="4"/>
              <w:left w:val="single" w:color="BDBDBD" w:sz="4"/>
              <w:bottom w:val="single" w:color="BDBDBD" w:sz="4"/>
              <w:right w:val="single" w:color="BDBDBD" w:sz="4"/>
            </w:tcBorders>
            <w:shd w:fill="D4EDDA"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 201 000 €</w:t>
            </w:r>
          </w:p>
        </w:tc>
        <w:tc>
          <w:tcPr>
            <w:tcW w:type="dxa" w:w="3660"/>
            <w:tcBorders>
              <w:top w:val="single" w:color="BDBDBD" w:sz="4"/>
              <w:left w:val="single" w:color="BDBDBD" w:sz="4"/>
              <w:bottom w:val="single" w:color="BDBDBD" w:sz="4"/>
              <w:right w:val="single" w:color="BDBDBD" w:sz="4"/>
            </w:tcBorders>
            <w:shd w:fill="D4EDDA" w:val="clear"/>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Sur 12 mois, 1 humain temps plein + 0,3 ETP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F4F6F8" w:val="clear"/>
            <w:tcMar>
              <w:top w:type="dxa" w:w="160"/>
              <w:left w:type="dxa" w:w="220"/>
              <w:bottom w:type="dxa" w:w="160"/>
              <w:right w:type="dxa" w:w="220"/>
            </w:tcMar>
          </w:tcPr>
          <w:p>
            <w:pPr>
              <w:spacing w:after="80"/>
            </w:pPr>
            <w:r>
              <w:rPr>
                <w:rFonts w:ascii="Calibri" w:cs="Calibri" w:eastAsia="Calibri" w:hAnsi="Calibri"/>
                <w:b/>
                <w:bCs/>
                <w:color w:val="2E7D32"/>
                <w:sz w:val="22"/>
                <w:szCs w:val="22"/>
              </w:rPr>
              <w:t xml:space="preserve">Ordre de grandeur retenu</w:t>
            </w:r>
          </w:p>
          <w:p>
            <w:pPr>
              <w:spacing w:line="300"/>
              <w:jc w:val="both"/>
            </w:pPr>
            <w:r>
              <w:rPr>
                <w:rFonts w:ascii="Calibri" w:cs="Calibri" w:eastAsia="Calibri" w:hAnsi="Calibri"/>
                <w:sz w:val="22"/>
                <w:szCs w:val="22"/>
              </w:rPr>
              <w:t xml:space="preserve">Entre 180 k€ et 230 k€ pour une v1 fonctionnelle sur 12 mois, en incluant les dépassements d'API et une contingence de 15 %.</w:t>
            </w:r>
          </w:p>
        </w:tc>
      </w:tr>
    </w:tbl>
    <w:p>
      <w:r>
        <w:br w:type="page"/>
      </w:r>
    </w:p>
    <w:p>
      <w:pPr>
        <w:pStyle w:val="Heading1"/>
        <w:pBdr>
          <w:bottom w:val="single" w:color="E67E22" w:sz="12" w:space="4"/>
        </w:pBdr>
        <w:spacing w:after="180" w:before="360"/>
      </w:pPr>
      <w:r>
        <w:rPr>
          <w:rFonts w:ascii="Calibri" w:cs="Calibri" w:eastAsia="Calibri" w:hAnsi="Calibri"/>
          <w:b/>
          <w:bCs/>
          <w:color w:val="0B5394"/>
          <w:sz w:val="36"/>
          <w:szCs w:val="36"/>
        </w:rPr>
        <w:t xml:space="preserve">4. Comparatif côte à côte</w:t>
      </w:r>
    </w:p>
    <w:p>
      <w:pPr>
        <w:spacing w:after="120" w:line="300"/>
        <w:jc w:val="both"/>
      </w:pPr>
      <w:r>
        <w:rPr>
          <w:rFonts w:ascii="Calibri" w:cs="Calibri" w:eastAsia="Calibri" w:hAnsi="Calibri"/>
          <w:sz w:val="22"/>
          <w:szCs w:val="22"/>
        </w:rPr>
        <w:t xml:space="preserve">Le tableau ci-dessous synthétise les quatre voies possibles pour la v1 de ELSAI. Les lignes vertes correspondent à la meilleure performance sur chaque critère.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rPr>
          <w:tblHeader/>
        </w:trPr>
        <w:tc>
          <w:tcPr>
            <w:tcW w:type="dxa" w:w="270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Critère</w:t>
            </w:r>
          </w:p>
        </w:tc>
        <w:tc>
          <w:tcPr>
            <w:tcW w:type="dxa" w:w="1665"/>
            <w:tcBorders>
              <w:top w:val="single" w:color="BDBDBD" w:sz="4"/>
              <w:left w:val="single" w:color="BDBDBD" w:sz="4"/>
              <w:bottom w:val="single" w:color="BDBDBD" w:sz="4"/>
              <w:right w:val="single" w:color="BDBDBD" w:sz="4"/>
            </w:tcBorders>
            <w:shd w:fill="2E7D32"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Claude Code</w:t>
            </w:r>
          </w:p>
        </w:tc>
        <w:tc>
          <w:tcPr>
            <w:tcW w:type="dxa" w:w="1665"/>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Équipe FR</w:t>
            </w:r>
          </w:p>
        </w:tc>
        <w:tc>
          <w:tcPr>
            <w:tcW w:type="dxa" w:w="1665"/>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ESN</w:t>
            </w:r>
          </w:p>
        </w:tc>
        <w:tc>
          <w:tcPr>
            <w:tcW w:type="dxa" w:w="1665"/>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Offshore</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Coût v1</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bCs/>
                <w:color w:val="2E7D32"/>
                <w:sz w:val="22"/>
                <w:szCs w:val="22"/>
              </w:rPr>
              <w:t xml:space="preserve">≈ 200 k€</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900 k€</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1,7 M€</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620 k€</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Délai v1</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bCs/>
                <w:color w:val="2E7D32"/>
                <w:sz w:val="22"/>
                <w:szCs w:val="22"/>
              </w:rPr>
              <w:t xml:space="preserve">6-9 mois</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12 mois</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10 mois</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14 mois</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Effectif humain</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bCs/>
                <w:color w:val="2E7D32"/>
                <w:sz w:val="22"/>
                <w:szCs w:val="22"/>
              </w:rPr>
              <w:t xml:space="preserve">1,3 ETP</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7 ETP</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9 ETP</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11 ETP</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Qualité code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Élevée si pilotée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Élevée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Variable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Variable</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Maîtrise métier (social)</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Moyenne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Moyenne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Faible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Faible</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Risque juridique / sensible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Modéré</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Faible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Faible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Élevé</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Autonomie post-livraison</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bCs/>
                <w:color w:val="2E7D32"/>
                <w:sz w:val="22"/>
                <w:szCs w:val="22"/>
              </w:rPr>
              <w:t xml:space="preserve">Forte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Forte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Faible</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Faible</w:t>
            </w:r>
          </w:p>
        </w:tc>
      </w:tr>
      <w:tr>
        <w:tc>
          <w:tcPr>
            <w:tcW w:type="dxa" w:w="270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Ratio coût / fonctionnalité</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bCs/>
                <w:color w:val="2E7D32"/>
                <w:sz w:val="22"/>
                <w:szCs w:val="22"/>
              </w:rPr>
              <w:t xml:space="preserve">Meilleur</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Bon</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Moyen</w:t>
            </w:r>
          </w:p>
        </w:tc>
        <w:tc>
          <w:tcPr>
            <w:tcW w:type="dxa" w:w="1665"/>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Correct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94" w:sz="4"/>
              <w:left w:val="single" w:color="0B5394" w:sz="24"/>
              <w:bottom w:val="single" w:color="0B5394" w:sz="4"/>
              <w:right w:val="single" w:color="0B5394" w:sz="4"/>
            </w:tcBorders>
            <w:shd w:fill="F4F6F8" w:val="clear"/>
            <w:tcMar>
              <w:top w:type="dxa" w:w="160"/>
              <w:left w:type="dxa" w:w="220"/>
              <w:bottom w:type="dxa" w:w="160"/>
              <w:right w:type="dxa" w:w="220"/>
            </w:tcMar>
          </w:tcPr>
          <w:p>
            <w:pPr>
              <w:spacing w:after="80"/>
            </w:pPr>
            <w:r>
              <w:rPr>
                <w:rFonts w:ascii="Calibri" w:cs="Calibri" w:eastAsia="Calibri" w:hAnsi="Calibri"/>
                <w:b/>
                <w:bCs/>
                <w:color w:val="0B5394"/>
                <w:sz w:val="22"/>
                <w:szCs w:val="22"/>
              </w:rPr>
              <w:t xml:space="preserve">Gain ordre de grandeur</w:t>
            </w:r>
          </w:p>
          <w:p>
            <w:pPr>
              <w:spacing w:line="300"/>
              <w:jc w:val="both"/>
            </w:pPr>
            <w:r>
              <w:rPr>
                <w:rFonts w:ascii="Calibri" w:cs="Calibri" w:eastAsia="Calibri" w:hAnsi="Calibri"/>
                <w:sz w:val="22"/>
                <w:szCs w:val="22"/>
              </w:rPr>
              <w:t xml:space="preserve">À périmètre équivalent, la voie Claude Code divise par 4 à 8 le coût et par 1,5 à 2 le délai, au prix d'une supervision humaine très qualifiée et d'un cadre méthodologique solide.</w:t>
            </w:r>
          </w:p>
        </w:tc>
      </w:tr>
    </w:tbl>
    <w:p>
      <w:r>
        <w:br w:type="page"/>
      </w:r>
    </w:p>
    <w:p>
      <w:pPr>
        <w:pStyle w:val="Heading1"/>
        <w:pBdr>
          <w:bottom w:val="single" w:color="E67E22" w:sz="12" w:space="4"/>
        </w:pBdr>
        <w:spacing w:after="180" w:before="360"/>
      </w:pPr>
      <w:r>
        <w:rPr>
          <w:rFonts w:ascii="Calibri" w:cs="Calibri" w:eastAsia="Calibri" w:hAnsi="Calibri"/>
          <w:b/>
          <w:bCs/>
          <w:color w:val="0B5394"/>
          <w:sz w:val="36"/>
          <w:szCs w:val="36"/>
        </w:rPr>
        <w:t xml:space="preserve">5. Analyse ROI et gains indirects</w:t>
      </w:r>
    </w:p>
    <w:p>
      <w:pPr>
        <w:pStyle w:val="Heading2"/>
        <w:spacing w:after="120" w:before="240"/>
      </w:pPr>
      <w:r>
        <w:rPr>
          <w:rFonts w:ascii="Calibri" w:cs="Calibri" w:eastAsia="Calibri" w:hAnsi="Calibri"/>
          <w:b/>
          <w:bCs/>
          <w:color w:val="1C77C3"/>
          <w:sz w:val="28"/>
          <w:szCs w:val="28"/>
        </w:rPr>
        <w:t xml:space="preserve">5.1 Gains directs</w:t>
      </w:r>
    </w:p>
    <w:p>
      <w:pPr>
        <w:pStyle w:val="ListParagraph"/>
        <w:numPr>
          <w:ilvl w:val="0"/>
          <w:numId w:val="2"/>
        </w:numPr>
        <w:spacing w:after="60" w:line="280"/>
      </w:pPr>
      <w:r>
        <w:rPr>
          <w:rFonts w:ascii="Calibri" w:cs="Calibri" w:eastAsia="Calibri" w:hAnsi="Calibri"/>
          <w:sz w:val="22"/>
          <w:szCs w:val="22"/>
        </w:rPr>
        <w:t xml:space="preserve">Réduction brute du coût de développement de l'ordre de 700 k€ à 1,5 M€ selon le comparateur.</w:t>
      </w:r>
    </w:p>
    <w:p>
      <w:pPr>
        <w:pStyle w:val="ListParagraph"/>
        <w:numPr>
          <w:ilvl w:val="0"/>
          <w:numId w:val="2"/>
        </w:numPr>
        <w:spacing w:after="60" w:line="280"/>
      </w:pPr>
      <w:r>
        <w:rPr>
          <w:rFonts w:ascii="Calibri" w:cs="Calibri" w:eastAsia="Calibri" w:hAnsi="Calibri"/>
          <w:sz w:val="22"/>
          <w:szCs w:val="22"/>
        </w:rPr>
        <w:t xml:space="preserve">Réduction du time-to-market de 3 à 6 mois (mise en service sociale plus rapide).</w:t>
      </w:r>
    </w:p>
    <w:p>
      <w:pPr>
        <w:pStyle w:val="ListParagraph"/>
        <w:numPr>
          <w:ilvl w:val="0"/>
          <w:numId w:val="2"/>
        </w:numPr>
        <w:spacing w:after="60" w:line="280"/>
      </w:pPr>
      <w:r>
        <w:rPr>
          <w:rFonts w:ascii="Calibri" w:cs="Calibri" w:eastAsia="Calibri" w:hAnsi="Calibri"/>
          <w:sz w:val="22"/>
          <w:szCs w:val="22"/>
        </w:rPr>
        <w:t xml:space="preserve">Documentation toujours à jour générée en continu par l'agent (économie d'un poste technical writer).</w:t>
      </w:r>
    </w:p>
    <w:p>
      <w:pPr>
        <w:pStyle w:val="Heading2"/>
        <w:spacing w:after="120" w:before="240"/>
      </w:pPr>
      <w:r>
        <w:rPr>
          <w:rFonts w:ascii="Calibri" w:cs="Calibri" w:eastAsia="Calibri" w:hAnsi="Calibri"/>
          <w:b/>
          <w:bCs/>
          <w:color w:val="1C77C3"/>
          <w:sz w:val="28"/>
          <w:szCs w:val="28"/>
        </w:rPr>
        <w:t xml:space="preserve">5.2 Gains indirects</w:t>
      </w:r>
    </w:p>
    <w:p>
      <w:pPr>
        <w:pStyle w:val="ListParagraph"/>
        <w:numPr>
          <w:ilvl w:val="0"/>
          <w:numId w:val="2"/>
        </w:numPr>
        <w:spacing w:after="60" w:line="280"/>
      </w:pPr>
      <w:r>
        <w:rPr>
          <w:rFonts w:ascii="Calibri" w:cs="Calibri" w:eastAsia="Calibri" w:hAnsi="Calibri"/>
          <w:sz w:val="22"/>
          <w:szCs w:val="22"/>
        </w:rPr>
        <w:t xml:space="preserve">Capitalisation : le savoir reste dans l'équipe humaine (1 chef de projet) au lieu de partir avec un prestataire.</w:t>
      </w:r>
    </w:p>
    <w:p>
      <w:pPr>
        <w:pStyle w:val="ListParagraph"/>
        <w:numPr>
          <w:ilvl w:val="0"/>
          <w:numId w:val="2"/>
        </w:numPr>
        <w:spacing w:after="60" w:line="280"/>
      </w:pPr>
      <w:r>
        <w:rPr>
          <w:rFonts w:ascii="Calibri" w:cs="Calibri" w:eastAsia="Calibri" w:hAnsi="Calibri"/>
          <w:sz w:val="22"/>
          <w:szCs w:val="22"/>
        </w:rPr>
        <w:t xml:space="preserve">Agilité : les évolutions post-v1 coûtent 5 à 10 fois moins cher qu'avec une équipe classique.</w:t>
      </w:r>
    </w:p>
    <w:p>
      <w:pPr>
        <w:pStyle w:val="ListParagraph"/>
        <w:numPr>
          <w:ilvl w:val="0"/>
          <w:numId w:val="2"/>
        </w:numPr>
        <w:spacing w:after="60" w:line="280"/>
      </w:pPr>
      <w:r>
        <w:rPr>
          <w:rFonts w:ascii="Calibri" w:cs="Calibri" w:eastAsia="Calibri" w:hAnsi="Calibri"/>
          <w:sz w:val="22"/>
          <w:szCs w:val="22"/>
        </w:rPr>
        <w:t xml:space="preserve">Dette technique réduite grâce à des refactorings fréquents peu coûteux.</w:t>
      </w:r>
    </w:p>
    <w:p>
      <w:pPr>
        <w:pStyle w:val="Heading2"/>
        <w:spacing w:after="120" w:before="240"/>
      </w:pPr>
      <w:r>
        <w:rPr>
          <w:rFonts w:ascii="Calibri" w:cs="Calibri" w:eastAsia="Calibri" w:hAnsi="Calibri"/>
          <w:b/>
          <w:bCs/>
          <w:color w:val="1C77C3"/>
          <w:sz w:val="28"/>
          <w:szCs w:val="28"/>
        </w:rPr>
        <w:t xml:space="preserve">5.3 Points de vigilance</w:t>
      </w:r>
    </w:p>
    <w:p>
      <w:pPr>
        <w:pStyle w:val="ListParagraph"/>
        <w:numPr>
          <w:ilvl w:val="0"/>
          <w:numId w:val="2"/>
        </w:numPr>
        <w:spacing w:after="60" w:line="280"/>
      </w:pPr>
      <w:r>
        <w:rPr>
          <w:rFonts w:ascii="Calibri" w:cs="Calibri" w:eastAsia="Calibri" w:hAnsi="Calibri"/>
          <w:sz w:val="22"/>
          <w:szCs w:val="22"/>
        </w:rPr>
        <w:t xml:space="preserve">Qualité du pilotage humain : un chef de projet senior est indispensable, faute de quoi la dette technique explose.</w:t>
      </w:r>
    </w:p>
    <w:p>
      <w:pPr>
        <w:pStyle w:val="ListParagraph"/>
        <w:numPr>
          <w:ilvl w:val="0"/>
          <w:numId w:val="2"/>
        </w:numPr>
        <w:spacing w:after="60" w:line="280"/>
      </w:pPr>
      <w:r>
        <w:rPr>
          <w:rFonts w:ascii="Calibri" w:cs="Calibri" w:eastAsia="Calibri" w:hAnsi="Calibri"/>
          <w:sz w:val="22"/>
          <w:szCs w:val="22"/>
        </w:rPr>
        <w:t xml:space="preserve">Validation métier : les flux sensibles (mineur en danger, ASE, 119) doivent impérativement être relus par un travailleur social avant mise en ligne.</w:t>
      </w:r>
    </w:p>
    <w:p>
      <w:pPr>
        <w:pStyle w:val="ListParagraph"/>
        <w:numPr>
          <w:ilvl w:val="0"/>
          <w:numId w:val="2"/>
        </w:numPr>
        <w:spacing w:after="60" w:line="280"/>
      </w:pPr>
      <w:r>
        <w:rPr>
          <w:rFonts w:ascii="Calibri" w:cs="Calibri" w:eastAsia="Calibri" w:hAnsi="Calibri"/>
          <w:sz w:val="22"/>
          <w:szCs w:val="22"/>
        </w:rPr>
        <w:t xml:space="preserve">Confidentialité : ne jamais pousser de données réelles usagers dans les prompts d'agents ; utiliser uniquement des jeux de tests synthétiques.</w:t>
      </w:r>
    </w:p>
    <w:p>
      <w:pPr>
        <w:pStyle w:val="ListParagraph"/>
        <w:numPr>
          <w:ilvl w:val="0"/>
          <w:numId w:val="2"/>
        </w:numPr>
        <w:spacing w:after="60" w:line="280"/>
      </w:pPr>
      <w:r>
        <w:rPr>
          <w:rFonts w:ascii="Calibri" w:cs="Calibri" w:eastAsia="Calibri" w:hAnsi="Calibri"/>
          <w:sz w:val="22"/>
          <w:szCs w:val="22"/>
        </w:rPr>
        <w:t xml:space="preserve">Coûts API variables : prévoir un plafond mensuel et des alertes de consommation.</w:t>
      </w:r>
    </w:p>
    <w:p>
      <w:r>
        <w:br w:type="page"/>
      </w:r>
    </w:p>
    <w:p>
      <w:pPr>
        <w:pStyle w:val="Heading1"/>
        <w:pBdr>
          <w:bottom w:val="single" w:color="E67E22" w:sz="12" w:space="4"/>
        </w:pBdr>
        <w:spacing w:after="180" w:before="360"/>
      </w:pPr>
      <w:r>
        <w:rPr>
          <w:rFonts w:ascii="Calibri" w:cs="Calibri" w:eastAsia="Calibri" w:hAnsi="Calibri"/>
          <w:b/>
          <w:bCs/>
          <w:color w:val="0B5394"/>
          <w:sz w:val="36"/>
          <w:szCs w:val="36"/>
        </w:rPr>
        <w:t xml:space="preserve">6. Recommandation</w:t>
      </w:r>
    </w:p>
    <w:p>
      <w:pPr>
        <w:spacing w:after="120" w:line="300"/>
        <w:jc w:val="both"/>
      </w:pPr>
      <w:r>
        <w:rPr>
          <w:rFonts w:ascii="Calibri" w:cs="Calibri" w:eastAsia="Calibri" w:hAnsi="Calibri"/>
          <w:sz w:val="22"/>
          <w:szCs w:val="22"/>
        </w:rPr>
        <w:t xml:space="preserve">Pour ELSAI, l'approche Claude Code apparaît nettement supérieure sur le plan coût-délai, à condition de sécuriser le pilotage humain et la validation métier. Elle est particulièrement adaptée à un projet associatif ou en amorçage, où chaque euro économisé peut être réinvesti dans le partenariat avec les acteurs sociaux (CAF, CCAS, ASE, 119).</w:t>
      </w:r>
    </w:p>
    <w:p>
      <w:pPr>
        <w:pStyle w:val="Heading2"/>
        <w:spacing w:after="120" w:before="240"/>
      </w:pPr>
      <w:r>
        <w:rPr>
          <w:rFonts w:ascii="Calibri" w:cs="Calibri" w:eastAsia="Calibri" w:hAnsi="Calibri"/>
          <w:b/>
          <w:bCs/>
          <w:color w:val="1C77C3"/>
          <w:sz w:val="28"/>
          <w:szCs w:val="28"/>
        </w:rPr>
        <w:t xml:space="preserve">6.1 Trajectoire conseillée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Phase</w:t>
            </w:r>
          </w:p>
        </w:tc>
        <w:tc>
          <w:tcPr>
            <w:tcW w:type="dxa" w:w="234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Approche</w:t>
            </w:r>
          </w:p>
        </w:tc>
        <w:tc>
          <w:tcPr>
            <w:tcW w:type="dxa" w:w="234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Budget</w:t>
            </w:r>
          </w:p>
        </w:tc>
        <w:tc>
          <w:tcPr>
            <w:tcW w:type="dxa" w:w="2340"/>
            <w:tcBorders>
              <w:top w:val="single" w:color="BDBDBD" w:sz="4"/>
              <w:left w:val="single" w:color="BDBDBD" w:sz="4"/>
              <w:bottom w:val="single" w:color="BDBDBD" w:sz="4"/>
              <w:right w:val="single" w:color="BDBDBD" w:sz="4"/>
            </w:tcBorders>
            <w:shd w:fill="0B539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Durée</w:t>
            </w:r>
          </w:p>
        </w:tc>
      </w:tr>
      <w:tr>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POC</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Claude Code seul</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25 k€</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6 semaines</w:t>
            </w:r>
          </w:p>
        </w:tc>
      </w:tr>
      <w:tr>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MVP</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Claude Code + CP + UX</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80 k€</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4 mois</w:t>
            </w:r>
          </w:p>
        </w:tc>
      </w:tr>
      <w:tr>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v1 complète</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Claude Code + équipe core</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200 k€</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9 mois</w:t>
            </w:r>
          </w:p>
        </w:tc>
      </w:tr>
      <w:tr>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bCs/>
                <w:color w:val="1A1A1A"/>
                <w:sz w:val="22"/>
                <w:szCs w:val="22"/>
              </w:rPr>
              <w:t xml:space="preserve">v2 + croissance</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Claude Code + partenaires métier</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120 k€/an</w:t>
            </w:r>
          </w:p>
        </w:tc>
        <w:tc>
          <w:tcPr>
            <w:tcW w:type="dxa" w:w="2340"/>
            <w:tcBorders>
              <w:top w:val="single" w:color="BDBDBD" w:sz="4"/>
              <w:left w:val="single" w:color="BDBDBD" w:sz="4"/>
              <w:bottom w:val="single" w:color="BDBDBD" w:sz="4"/>
              <w:right w:val="single" w:color="BDBDBD" w:sz="4"/>
            </w:tcBorders>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continu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F4F6F8" w:val="clear"/>
            <w:tcMar>
              <w:top w:type="dxa" w:w="160"/>
              <w:left w:type="dxa" w:w="220"/>
              <w:bottom w:type="dxa" w:w="160"/>
              <w:right w:type="dxa" w:w="220"/>
            </w:tcMar>
          </w:tcPr>
          <w:p>
            <w:pPr>
              <w:spacing w:after="80"/>
            </w:pPr>
            <w:r>
              <w:rPr>
                <w:rFonts w:ascii="Calibri" w:cs="Calibri" w:eastAsia="Calibri" w:hAnsi="Calibri"/>
                <w:b/>
                <w:bCs/>
                <w:color w:val="2E7D32"/>
                <w:sz w:val="22"/>
                <w:szCs w:val="22"/>
              </w:rPr>
              <w:t xml:space="preserve">Budget global conseillé sur 24 mois</w:t>
            </w:r>
          </w:p>
          <w:p>
            <w:pPr>
              <w:spacing w:line="300"/>
              <w:jc w:val="both"/>
            </w:pPr>
            <w:r>
              <w:rPr>
                <w:rFonts w:ascii="Calibri" w:cs="Calibri" w:eastAsia="Calibri" w:hAnsi="Calibri"/>
                <w:sz w:val="22"/>
                <w:szCs w:val="22"/>
              </w:rPr>
              <w:t xml:space="preserve">Environ 305 000 € (POC + MVP + v1) + 120 000 €/an d'exploitation et évolution, soit un ordre de grandeur 4 à 6 fois inférieur au scénario ESN classique.</w:t>
            </w:r>
          </w:p>
        </w:tc>
      </w:tr>
    </w:tbl>
    <w:p>
      <w:pPr>
        <w:pStyle w:val="Heading2"/>
        <w:spacing w:after="120" w:before="240"/>
      </w:pPr>
      <w:r>
        <w:rPr>
          <w:rFonts w:ascii="Calibri" w:cs="Calibri" w:eastAsia="Calibri" w:hAnsi="Calibri"/>
          <w:b/>
          <w:bCs/>
          <w:color w:val="1C77C3"/>
          <w:sz w:val="28"/>
          <w:szCs w:val="28"/>
        </w:rPr>
        <w:t xml:space="preserve">6.2 Conditions de succès</w:t>
      </w:r>
    </w:p>
    <w:p>
      <w:pPr>
        <w:pStyle w:val="ListParagraph"/>
        <w:numPr>
          <w:ilvl w:val="0"/>
          <w:numId w:val="2"/>
        </w:numPr>
        <w:spacing w:after="60" w:line="280"/>
      </w:pPr>
      <w:r>
        <w:rPr>
          <w:rFonts w:ascii="Calibri" w:cs="Calibri" w:eastAsia="Calibri" w:hAnsi="Calibri"/>
          <w:sz w:val="22"/>
          <w:szCs w:val="22"/>
        </w:rPr>
        <w:t xml:space="preserve">Recruter dès le démarrage un chef de projet senior expérimenté en IA/agents.</w:t>
      </w:r>
    </w:p>
    <w:p>
      <w:pPr>
        <w:pStyle w:val="ListParagraph"/>
        <w:numPr>
          <w:ilvl w:val="0"/>
          <w:numId w:val="2"/>
        </w:numPr>
        <w:spacing w:after="60" w:line="280"/>
      </w:pPr>
      <w:r>
        <w:rPr>
          <w:rFonts w:ascii="Calibri" w:cs="Calibri" w:eastAsia="Calibri" w:hAnsi="Calibri"/>
          <w:sz w:val="22"/>
          <w:szCs w:val="22"/>
        </w:rPr>
        <w:t xml:space="preserve">Formaliser un référentiel de validation métier (check-list travailleur social pour chaque flux sensible).</w:t>
      </w:r>
    </w:p>
    <w:p>
      <w:pPr>
        <w:pStyle w:val="ListParagraph"/>
        <w:numPr>
          <w:ilvl w:val="0"/>
          <w:numId w:val="2"/>
        </w:numPr>
        <w:spacing w:after="60" w:line="280"/>
      </w:pPr>
      <w:r>
        <w:rPr>
          <w:rFonts w:ascii="Calibri" w:cs="Calibri" w:eastAsia="Calibri" w:hAnsi="Calibri"/>
          <w:sz w:val="22"/>
          <w:szCs w:val="22"/>
        </w:rPr>
        <w:t xml:space="preserve">Mettre en place des garde-fous techniques (tests automatisés, revue humaine obligatoire sur les prompts système).</w:t>
      </w:r>
    </w:p>
    <w:p>
      <w:pPr>
        <w:pStyle w:val="ListParagraph"/>
        <w:numPr>
          <w:ilvl w:val="0"/>
          <w:numId w:val="2"/>
        </w:numPr>
        <w:spacing w:after="60" w:line="280"/>
      </w:pPr>
      <w:r>
        <w:rPr>
          <w:rFonts w:ascii="Calibri" w:cs="Calibri" w:eastAsia="Calibri" w:hAnsi="Calibri"/>
          <w:sz w:val="22"/>
          <w:szCs w:val="22"/>
        </w:rPr>
        <w:t xml:space="preserve">Prévoir un audit sécurité externe avant toute mise en production.</w:t>
      </w:r>
    </w:p>
    <w:p>
      <w:pPr>
        <w:pStyle w:val="ListParagraph"/>
        <w:numPr>
          <w:ilvl w:val="0"/>
          <w:numId w:val="2"/>
        </w:numPr>
        <w:spacing w:after="60" w:line="280"/>
      </w:pPr>
      <w:r>
        <w:rPr>
          <w:rFonts w:ascii="Calibri" w:cs="Calibri" w:eastAsia="Calibri" w:hAnsi="Calibri"/>
          <w:sz w:val="22"/>
          <w:szCs w:val="22"/>
        </w:rPr>
        <w:t xml:space="preserve">Budgéter la formation continue du chef de projet sur les évolutions de l'agent.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777777"/>
        <w:sz w:val="18"/>
        <w:szCs w:val="18"/>
      </w:rPr>
      <w:t xml:space="preserve">ELSAI · Estimation Claude Code · v1.0</w:t>
    </w:r>
    <w:r>
      <w:rPr>
        <w:rFonts w:ascii="Calibri" w:cs="Calibri" w:eastAsia="Calibri" w:hAnsi="Calibri"/>
        <w:color w:val="777777"/>
        <w:sz w:val="18"/>
        <w:szCs w:val="18"/>
      </w:rPr>
      <w:t xml:space="preserve">	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539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C77C3"/>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 budgétaire Claude Code</dc:title>
  <dc:creator>ELSAI</dc:creator>
  <cp:lastModifiedBy>Un-named</cp:lastModifiedBy>
  <cp:revision>1</cp:revision>
  <dcterms:created xsi:type="dcterms:W3CDTF">2026-04-16T08:56:39.299Z</dcterms:created>
  <dcterms:modified xsi:type="dcterms:W3CDTF">2026-04-16T08:56:39.299Z</dcterms:modified>
</cp:coreProperties>
</file>

<file path=docProps/custom.xml><?xml version="1.0" encoding="utf-8"?>
<Properties xmlns="http://schemas.openxmlformats.org/officeDocument/2006/custom-properties" xmlns:vt="http://schemas.openxmlformats.org/officeDocument/2006/docPropsVTypes"/>
</file>