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Montserrat" w:cs="Montserrat" w:eastAsia="Montserrat" w:hAnsi="Montserrat"/>
          <w:b/>
          <w:bCs/>
          <w:color w:val="717E60"/>
          <w:sz w:val="40"/>
          <w:szCs w:val="40"/>
        </w:rPr>
        <w:t xml:space="preserve">ACOMPANHAMENTO NUTRICIONAL</w:t>
      </w:r>
    </w:p>
    <w:p>
      <w:pPr>
        <w:spacing w:after="60" w:before="0"/>
        <w:jc w:val="center"/>
      </w:pPr>
      <w:r>
        <w:rPr>
          <w:rFonts w:ascii="Montserrat" w:cs="Montserrat" w:eastAsia="Montserrat" w:hAnsi="Montserrat"/>
          <w:color w:val="BC7827"/>
          <w:sz w:val="24"/>
          <w:szCs w:val="24"/>
        </w:rPr>
        <w:t xml:space="preserve">Nutricionista Marilza Maia</w:t>
      </w:r>
    </w:p>
    <w:p>
      <w:pPr>
        <w:spacing w:after="300" w:before="0"/>
        <w:jc w:val="center"/>
      </w:pPr>
      <w:r>
        <w:rPr>
          <w:rFonts w:ascii="Montserrat" w:cs="Montserrat" w:eastAsia="Montserrat" w:hAnsi="Montserrat"/>
          <w:i/>
          <w:iCs/>
          <w:color w:val="888888"/>
          <w:sz w:val="18"/>
          <w:szCs w:val="18"/>
        </w:rPr>
        <w:t xml:space="preserve">Documento Interno — Uso Restrito</w:t>
      </w:r>
    </w:p>
    <w:p>
      <w:pPr>
        <w:pBdr>
          <w:bottom w:val="single" w:color="717E60" w:sz="6" w:space="1"/>
        </w:pBdr>
        <w:spacing w:after="100" w:before="100"/>
      </w:pPr>
      <w:r>
        <w:t xml:space="preserve"/>
      </w:r>
    </w:p>
    <w:p>
      <w:pPr>
        <w:spacing w:after="60" w:before="300"/>
      </w:pPr>
      <w:r>
        <w:rPr>
          <w:rFonts w:ascii="Montserrat" w:cs="Montserrat" w:eastAsia="Montserrat" w:hAnsi="Montserrat"/>
          <w:b/>
          <w:bCs/>
          <w:color w:val="717E60"/>
          <w:sz w:val="28"/>
          <w:szCs w:val="28"/>
        </w:rPr>
        <w:t xml:space="preserve">1. DESCRIÇÃO DO PROGRAMA</w:t>
      </w:r>
    </w:p>
    <w:p>
      <w:pPr>
        <w:spacing w:after="60" w:before="60"/>
      </w:pPr>
      <w:r>
        <w:rPr>
          <w:rFonts w:ascii="Montserrat" w:cs="Montserrat" w:eastAsia="Montserrat" w:hAnsi="Montserrat"/>
          <w:i w:val="false"/>
          <w:iCs w:val="false"/>
          <w:sz w:val="20"/>
          <w:szCs w:val="20"/>
        </w:rPr>
        <w:t xml:space="preserve">O envelhecimento traz mudanças constantes: apetite, aceitação alimentar, uso de medicações, composição corporal e comportamento diante da comida. O acompanhamento precisa ser contínuo, ajustado e individualizado.</w:t>
      </w:r>
    </w:p>
    <w:p>
      <w:pPr>
        <w:spacing w:after="60" w:before="60"/>
      </w:pPr>
      <w:r>
        <w:rPr>
          <w:rFonts w:ascii="Montserrat" w:cs="Montserrat" w:eastAsia="Montserrat" w:hAnsi="Montserrat"/>
          <w:i w:val="false"/>
          <w:iCs w:val="false"/>
          <w:sz w:val="20"/>
          <w:szCs w:val="20"/>
        </w:rPr>
        <w:t xml:space="preserve">Mais do que orientar o que comer, o trabalho da nutricionista é acompanhar essas mudanças de perto, fazendo adaptações ao longo do tempo para manter saúde, funcionalidade e qualidade de vida.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Público-alvo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Pessoas 50+ com interesse em alimentação saudável e longevidade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Idosos com condições que exigem manejo nutricional específico: sarcopenia, disfagia, diabetes, obesidade, desnutrição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Pacientes em polifarmácia com necessidade de avaliação de interações medicamento-alimento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Cuidadores e familiares que precisam de orientação sobre alimentação do idoso dependente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Diferencial da consulta inicial</w:t>
      </w:r>
    </w:p>
    <w:p>
      <w:pPr>
        <w:spacing w:after="60" w:before="60"/>
      </w:pPr>
      <w:r>
        <w:rPr>
          <w:rFonts w:ascii="Montserrat" w:cs="Montserrat" w:eastAsia="Montserrat" w:hAnsi="Montserrat"/>
          <w:i w:val="false"/>
          <w:iCs w:val="false"/>
          <w:sz w:val="20"/>
          <w:szCs w:val="20"/>
        </w:rPr>
        <w:t xml:space="preserve">A primeira consulta é mais longa e completa: inclui anamnese nutricional detalhada, avaliação de composição corporal, histórico alimentar, rastreamento de deficiências e elaboração do plano nutricional individualizado. As consultas de retorno são mais curtas e focadas em ajustes e evolução.</w:t>
      </w:r>
    </w:p>
    <w:p>
      <w:pPr>
        <w:pBdr>
          <w:bottom w:val="single" w:color="BC7827" w:sz="6" w:space="1"/>
        </w:pBdr>
        <w:spacing w:after="100" w:before="100"/>
      </w:pPr>
      <w:r>
        <w:t xml:space="preserve"/>
      </w:r>
    </w:p>
    <w:p>
      <w:pPr>
        <w:spacing w:after="60" w:before="300"/>
      </w:pPr>
      <w:r>
        <w:rPr>
          <w:rFonts w:ascii="Montserrat" w:cs="Montserrat" w:eastAsia="Montserrat" w:hAnsi="Montserrat"/>
          <w:b/>
          <w:bCs/>
          <w:color w:val="717E60"/>
          <w:sz w:val="28"/>
          <w:szCs w:val="28"/>
        </w:rPr>
        <w:t xml:space="preserve">2. PACOTES E PREÇOS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Consulta avulsa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vista / PIX</w:t>
            </w:r>
          </w:p>
        </w:tc>
        <w:tc>
          <w:tcPr>
            <w:tcW w:type="dxa" w:w="4513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Parcelado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717E60"/>
                <w:sz w:val="26"/>
                <w:szCs w:val="26"/>
              </w:rPr>
              <w:t xml:space="preserve">R$ 350,00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Não se aplica</w:t>
            </w:r>
          </w:p>
        </w:tc>
      </w:tr>
    </w:tbl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Pacotes de acompanhamento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26"/>
        <w:gridCol w:w="2000"/>
        <w:gridCol w:w="3000"/>
      </w:tblGrid>
      <w:tr>
        <w:tc>
          <w:tcPr>
            <w:tcW w:type="dxa" w:w="22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Pacote</w:t>
            </w:r>
          </w:p>
        </w:tc>
        <w:tc>
          <w:tcPr>
            <w:tcW w:type="dxa" w:w="1826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Consultas</w:t>
            </w:r>
          </w:p>
        </w:tc>
        <w:tc>
          <w:tcPr>
            <w:tcW w:type="dxa" w:w="20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À vista / PIX</w:t>
            </w:r>
          </w:p>
        </w:tc>
        <w:tc>
          <w:tcPr>
            <w:tcW w:type="dxa" w:w="30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Parcelado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Acompanhamento 3 meses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consultas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717E60"/>
                <w:sz w:val="20"/>
                <w:szCs w:val="20"/>
              </w:rPr>
              <w:t xml:space="preserve">R$ 690,00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B45539"/>
                <w:sz w:val="18"/>
                <w:szCs w:val="18"/>
              </w:rPr>
              <w:t xml:space="preserve">3x de R$ 245,00 (total R$ 735,00)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Acompanhamento 4 meses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consultas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717E60"/>
                <w:sz w:val="20"/>
                <w:szCs w:val="20"/>
              </w:rPr>
              <w:t xml:space="preserve">R$ 880,00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B45539"/>
                <w:sz w:val="18"/>
                <w:szCs w:val="18"/>
              </w:rPr>
              <w:t xml:space="preserve">4x de R$ 235,00 (total R$ 940,00)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Acompanhamento 6 meses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consultas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717E60"/>
                <w:sz w:val="20"/>
                <w:szCs w:val="20"/>
              </w:rPr>
              <w:t xml:space="preserve">R$ 1.200,00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B45539"/>
                <w:sz w:val="18"/>
                <w:szCs w:val="18"/>
              </w:rPr>
              <w:t xml:space="preserve">6x de R$ 215,00 (total R$ 1.290,00)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717E60"/>
          <w:sz w:val="28"/>
          <w:szCs w:val="28"/>
        </w:rPr>
        <w:t xml:space="preserve">3. REGRAS OPERACIONAIS</w:t>
      </w:r>
    </w:p>
    <w:p>
      <w:pPr>
        <w:pBdr>
          <w:bottom w:val="single" w:color="717E60" w:sz="6" w:space="1"/>
        </w:pBd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Agendamentos e consultas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Consultas agendadas previamente junto à equipe do espaço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Reagendamentos com antecedência mínima de 24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Faltas sem aviso prévio serão consideradas consultas realizadas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Consulta extra fora do pacote: R$ 350,00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Teleconsulta tem o mesmo valor e conta como consulta do pacote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Suporte 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Dúvidas pontuais e orientações breves em horário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Não substitui consulta: ajustes de plano, interpretação de exames e condutas clínicas exigem consulta agendada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Tempo médio de resposta: 24–48 horas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Cancelamento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Cancelamentos seguirão as condições previstas em contrato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sz w:val="20"/>
          <w:szCs w:val="20"/>
        </w:rPr>
        <w:t xml:space="preserve">Não comparecimento sem aviso não gera compensação automática</w:t>
      </w:r>
    </w:p>
    <w:p>
      <w:r>
        <w:br w:type="page"/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717E60"/>
          <w:sz w:val="28"/>
          <w:szCs w:val="28"/>
        </w:rPr>
        <w:t xml:space="preserve">4. DIVISÃO FINANCEIRA</w:t>
      </w:r>
    </w:p>
    <w:p>
      <w:pPr>
        <w:pBdr>
          <w:bottom w:val="single" w:color="717E60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Montserrat" w:cs="Montserrat" w:eastAsia="Montserrat" w:hAnsi="Montserrat"/>
          <w:i w:val="false"/>
          <w:iCs w:val="false"/>
          <w:sz w:val="20"/>
          <w:szCs w:val="20"/>
        </w:rPr>
        <w:t xml:space="preserve">Critério: 50% do valor bruto para a nutricionista (em dinheiro, livre de impostos) e 50% para o espaço, que assume o imposto de 6% sobre o valor total. O espaço também absorve a taxa de parcelamento quando aplicável.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Consulta avulsa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26"/>
        <w:gridCol w:w="1500"/>
      </w:tblGrid>
      <w:tr>
        <w:tc>
          <w:tcPr>
            <w:tcW w:type="dxa" w:w="30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Modalidade</w:t>
            </w:r>
          </w:p>
        </w:tc>
        <w:tc>
          <w:tcPr>
            <w:tcW w:type="dxa" w:w="15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Bruto</w:t>
            </w:r>
          </w:p>
        </w:tc>
        <w:tc>
          <w:tcPr>
            <w:tcW w:type="dxa" w:w="15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Imposto 6%</w:t>
            </w:r>
          </w:p>
        </w:tc>
        <w:tc>
          <w:tcPr>
            <w:tcW w:type="dxa" w:w="1526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Nutricionista</w:t>
            </w:r>
          </w:p>
        </w:tc>
        <w:tc>
          <w:tcPr>
            <w:tcW w:type="dxa" w:w="15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Consulta avulsa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R$ 350,00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R$ 21,00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717E60"/>
                <w:sz w:val="18"/>
                <w:szCs w:val="18"/>
              </w:rPr>
              <w:t xml:space="preserve">R$ 175,00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BC7827"/>
                <w:sz w:val="18"/>
                <w:szCs w:val="18"/>
              </w:rPr>
              <w:t xml:space="preserve">R$ 154,00</w:t>
            </w:r>
          </w:p>
        </w:tc>
      </w:tr>
    </w:tbl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B45539"/>
          <w:sz w:val="22"/>
          <w:szCs w:val="22"/>
        </w:rPr>
        <w:t xml:space="preserve">Pacotes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26"/>
        <w:gridCol w:w="1500"/>
      </w:tblGrid>
      <w:tr>
        <w:tc>
          <w:tcPr>
            <w:tcW w:type="dxa" w:w="30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Pacote</w:t>
            </w:r>
          </w:p>
        </w:tc>
        <w:tc>
          <w:tcPr>
            <w:tcW w:type="dxa" w:w="15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Bruto</w:t>
            </w:r>
          </w:p>
        </w:tc>
        <w:tc>
          <w:tcPr>
            <w:tcW w:type="dxa" w:w="15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Imposto 6%</w:t>
            </w:r>
          </w:p>
        </w:tc>
        <w:tc>
          <w:tcPr>
            <w:tcW w:type="dxa" w:w="1526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Nutricionista 50%</w:t>
            </w:r>
          </w:p>
        </w:tc>
        <w:tc>
          <w:tcPr>
            <w:tcW w:type="dxa" w:w="1500"/>
            <w:tcBorders>
              <w:top w:val="single" w:color="717E60" w:sz="1"/>
              <w:left w:val="single" w:color="717E60" w:sz="1"/>
              <w:bottom w:val="single" w:color="717E60" w:sz="1"/>
              <w:right w:val="single" w:color="717E60" w:sz="1"/>
            </w:tcBorders>
            <w:shd w:fill="717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Espaço líq.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consultas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R$ 690,00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R$ 41,40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717E60"/>
                <w:sz w:val="18"/>
                <w:szCs w:val="18"/>
              </w:rPr>
              <w:t xml:space="preserve">R$ 345,00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BC7827"/>
                <w:sz w:val="18"/>
                <w:szCs w:val="18"/>
              </w:rPr>
              <w:t xml:space="preserve">R$ 303,60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consultas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R$ 880,00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R$ 52,80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717E60"/>
                <w:sz w:val="18"/>
                <w:szCs w:val="18"/>
              </w:rPr>
              <w:t xml:space="preserve">R$ 440,00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BC7827"/>
                <w:sz w:val="18"/>
                <w:szCs w:val="18"/>
              </w:rPr>
              <w:t xml:space="preserve">R$ 387,20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 consultas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R$ 1.200,00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R$ 72,00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717E60"/>
                <w:sz w:val="18"/>
                <w:szCs w:val="18"/>
              </w:rPr>
              <w:t xml:space="preserve">R$ 600,00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3C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BC7827"/>
                <w:sz w:val="18"/>
                <w:szCs w:val="18"/>
              </w:rPr>
              <w:t xml:space="preserve">R$ 528,00</w:t>
            </w:r>
          </w:p>
        </w:tc>
      </w:tr>
    </w:tbl>
    <w:p>
      <w:pPr>
        <w:spacing w:after="60" w:before="120"/>
      </w:pPr>
      <w:r>
        <w:rPr>
          <w:rFonts w:ascii="Montserrat" w:cs="Montserrat" w:eastAsia="Montserrat" w:hAnsi="Montserrat"/>
          <w:i/>
          <w:iCs/>
          <w:color w:val="888888"/>
          <w:sz w:val="18"/>
          <w:szCs w:val="18"/>
        </w:rPr>
        <w:t xml:space="preserve">A taxa de parcelamento (maquininha) é absorvida pelo espaço e não afeta o repasse à nutricionista. O repasse é sempre calculado sobre o valor bruto à vista.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17E60" w:sz="4" w:space="1"/>
      </w:pBdr>
      <w:jc w:val="right"/>
    </w:pPr>
    <w:r>
      <w:rPr>
        <w:rFonts w:ascii="Montserrat" w:cs="Montserrat" w:eastAsia="Montserrat" w:hAnsi="Montserrat"/>
        <w:color w:val="888888"/>
        <w:sz w:val="16"/>
        <w:szCs w:val="16"/>
      </w:rPr>
      <w:t xml:space="preserve">Página </w:t>
    </w:r>
    <w:r>
      <w:rPr>
        <w:rFonts w:ascii="Montserrat" w:cs="Montserrat" w:eastAsia="Montserrat" w:hAnsi="Montserrat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17E60" w:sz="4" w:space="1"/>
      </w:pBdr>
    </w:pPr>
    <w:r>
      <w:rPr>
        <w:rFonts w:ascii="Montserrat" w:cs="Montserrat" w:eastAsia="Montserrat" w:hAnsi="Montserrat"/>
        <w:b/>
        <w:bCs/>
        <w:color w:val="717E60"/>
        <w:sz w:val="18"/>
        <w:szCs w:val="18"/>
      </w:rPr>
      <w:t xml:space="preserve">ESPAÇO VIVENTI</w:t>
    </w:r>
    <w:r>
      <w:rPr>
        <w:rFonts w:ascii="Montserrat" w:cs="Montserrat" w:eastAsia="Montserrat" w:hAnsi="Montserrat"/>
        <w:color w:val="888888"/>
        <w:sz w:val="18"/>
        <w:szCs w:val="18"/>
      </w:rPr>
      <w:t xml:space="preserve">   |   Documento Interno — Uso Restrito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2026-06-05T12:41:17.776Z</dcterms:created>
  <dcterms:modified xsi:type="dcterms:W3CDTF">2026-06-05T12:41:17.786Z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