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9" w:lineRule="auto"/>
      </w:pPr>
      <w:r>
        <w:rPr>
          <w:rFonts w:ascii="Liberation Sans" w:hAnsi="Liberation Sans" w:eastAsia="Liberation Sans"/>
          <w:b/>
          <w:i w:val="0"/>
          <w:color w:val="1F3A5F"/>
          <w:sz w:val="40"/>
        </w:rPr>
        <w:t>Espedito Roza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/>
          <w:i w:val="0"/>
          <w:sz w:val="23"/>
        </w:rPr>
        <w:t>Product Designer Sênior  ·  Mercado Financeiro e Banking Digital  ·  UX/UI</w:t>
      </w:r>
    </w:p>
    <w:p>
      <w:pPr>
        <w:spacing w:before="0" w:after="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Fortaleza, CE (Remoto)  |  +55 85 99973-3272  |  espedito.mesquita@gmail.com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>Portfólio: studiodito.co  |  linkedin.com/in/espeditoroza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RESUMO</w:t>
      </w:r>
    </w:p>
    <w:p>
      <w:pPr>
        <w:spacing w:before="0" w:after="4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Product Designer Sênior com mais de 8 anos e experiência em produtos financeiros: desenho e especifico Open Finance, PIX, crédito, pagamentos e gestão de conta para cooperativas de crédito dos EUA e um banco federal brasileiro, e redesenhei o maior programa de microcrédito do Brasil (mais de 2 milhões de clientes). Conduzo pesquisa com usuários, testes de usabilidade e acompanho métricas para iterar. Trabalho perto dos devs, com especificação, critérios de aceite e homologação. Uso Figma com design system e protótipos, e IA para acelerar pesquisa e prototipação.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EXPERIÊNCIA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Designer / Analista de Negócios Sênior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abr 2025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Integritas Solutions, Inc.  ·  EUA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Desenho e especifico funcionalidades de banking digital para cooperativas de crédito dos EUA e um banco federal brasileiro, da discovery à homologação (UAT).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jornadas completas de Open Finance, PIX, crédito, pagamentos e gestão de conta, adaptadas às regras de negócio e ao contexto regulatório de cada produto.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Produzo a documentação que a engenharia usa para construir (histórias, critérios de aceite, fluxos, cenários e especificações de interface).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Contribuo com a evolução de múltiplos design systems (web e mobile) e desenhei produtos internos de operação.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 Tribe Lead (promovido de UX/UI Designer)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mar 2025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Intmed Software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Desenhei o Sistema de Triagem de Emergência adotado por mais de 150 hospitais da Hapvida, melhorando o fluxo de pacientes e o tempo de resposta.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Estruturei o processo de product discovery em 10 squads, reduzindo o time-to-market em cerca de 25%.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e mantive o design system de seis produtos médicos, reduzindo o tempo de design em cerca de 30%.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Promovido a Tribe Lead em 7 meses; mentoria de designers e definição do processo de design da empresa.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Product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2022 – ago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Wipro  ·  Brasil · Remoto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interfaces e processos do maior programa de microcrédito do Brasil, com mais de 2 milhões de clientes.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Novos fluxos com menos cliques e barreiras de acesso à informação; design system com componentes e tokens padronizados.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set 2021 – jan 2022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Secretaria da Segurança Pública do Ceará (SSPDS)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Redesenhei três sistemas críticos usados por 6.000 policiais e um app de controle de multas para a Polícia Rodoviária Estadual, com práticas de acessibilidade WCAG.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Liderei dois designers em avaliações heurísticas e pesquisa com usuários.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Analista de Product Marketing (e estágio)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mar 2020 – ago 2021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SAS Educação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Criei o portal de marketing para mais de 1.000 escolas parceiras: 4.456 visualizações e 498 downloads no primeiro mês.</w:t>
      </w:r>
    </w:p>
    <w:p>
      <w:pPr>
        <w:tabs>
          <w:tab w:pos="10205" w:val="right"/>
        </w:tabs>
        <w:spacing w:before="80" w:after="0" w:line="259" w:lineRule="auto"/>
      </w:pPr>
      <w:r>
        <w:rPr>
          <w:rFonts w:ascii="Liberation Sans" w:hAnsi="Liberation Sans" w:eastAsia="Liberation Sans"/>
          <w:b/>
          <w:i w:val="0"/>
          <w:sz w:val="20"/>
        </w:rPr>
        <w:t>UX/UI Designer e Pesquisador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2019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/>
          <w:color w:val="1F3A5F"/>
          <w:sz w:val="19"/>
        </w:rPr>
        <w:t>Universidade Federal do Ceará (UFC)  ·  Brasil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Pesquisa com eye-tracking e interação (artigos publicados); jogos educacionais para o Ministério da Educação.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DOCÊNCIA E PROJETOS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UX/UI Design, TheStarter (Portugal)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jan 2024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Turmas de ~20 alunos, com dois projetos de portfólio.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Cofundador e Lead UX Designer, Re.tifica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ago 2022 – atual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Startup social que simplifica a retificação de nome e gênero para pessoas trans; SUS médio de 92,5 e design system acessível.</w:t>
      </w:r>
    </w:p>
    <w:p>
      <w:pPr>
        <w:tabs>
          <w:tab w:pos="10205" w:val="right"/>
        </w:tabs>
        <w:spacing w:before="40" w:after="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Professor de IA, Curso de Extensão da UFC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 w:val="0"/>
          <w:i w:val="0"/>
          <w:sz w:val="19"/>
        </w:rPr>
        <w:t>Professor no curso de extensão em IA da Universidade Federal do Ceará.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FORMAÇÃO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Pós-graduação (MBA) em User Experience Design and Beyond, PUCRS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2021 – 2022 · média 9,1</w:t>
      </w:r>
    </w:p>
    <w:p>
      <w:pPr>
        <w:tabs>
          <w:tab w:pos="10205" w:val="right"/>
        </w:tabs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>Bacharelado em Sistemas e Mídias Digitais, Universidade Federal do Ceará</w:t>
      </w:r>
      <w:r>
        <w:rPr>
          <w:rFonts w:ascii="Liberation Sans" w:hAnsi="Liberation Sans" w:eastAsia="Liberation Sans"/>
          <w:b w:val="0"/>
          <w:i w:val="0"/>
          <w:color w:val="555555"/>
          <w:sz w:val="18"/>
        </w:rPr>
        <w:tab/>
        <w:t>2017 – 2021 · média 9,4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COMPETÊNCIAS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Design: </w:t>
      </w:r>
      <w:r>
        <w:rPr>
          <w:rFonts w:ascii="Liberation Sans" w:hAnsi="Liberation Sans" w:eastAsia="Liberation Sans"/>
          <w:b w:val="0"/>
          <w:i w:val="0"/>
          <w:sz w:val="19"/>
        </w:rPr>
        <w:t>UX Research e Análise de Mercado, Testes de Usabilidade, Interaction e Visual Design, Arquitetura da Informação, Design System e Tokens, Prototipação, Acessibilidade (WCAG), Design Thinking e Lean UX, Web e Mobile, UX Writing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Produto e Negócio: </w:t>
      </w:r>
      <w:r>
        <w:rPr>
          <w:rFonts w:ascii="Liberation Sans" w:hAnsi="Liberation Sans" w:eastAsia="Liberation Sans"/>
          <w:b w:val="0"/>
          <w:i w:val="0"/>
          <w:sz w:val="19"/>
        </w:rPr>
        <w:t>Requisitos, Histórias e Critérios de Aceite, Homologação (UAT), Agile/Scrum, Análise de Dados, IA no fluxo de trabalho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Ferramentas: </w:t>
      </w:r>
      <w:r>
        <w:rPr>
          <w:rFonts w:ascii="Liberation Sans" w:hAnsi="Liberation Sans" w:eastAsia="Liberation Sans"/>
          <w:b w:val="0"/>
          <w:i w:val="0"/>
          <w:sz w:val="19"/>
        </w:rPr>
        <w:t>Figma, Miro, Zeroheight, Adobe CC (Illustrator, Photoshop, XD), Notion, Asana, Trello, HTML/CSS, Python, Looker Studio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IA: </w:t>
      </w:r>
      <w:r>
        <w:rPr>
          <w:rFonts w:ascii="Liberation Sans" w:hAnsi="Liberation Sans" w:eastAsia="Liberation Sans"/>
          <w:b w:val="0"/>
          <w:i w:val="0"/>
          <w:sz w:val="19"/>
        </w:rPr>
        <w:t>Claude, Claude Code, OpenAI Codex, ChatGPT, Gemini, NotebookLM, Google AI Studio, Google Stitch, Figma Make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Domínios: </w:t>
      </w:r>
      <w:r>
        <w:rPr>
          <w:rFonts w:ascii="Liberation Sans" w:hAnsi="Liberation Sans" w:eastAsia="Liberation Sans"/>
          <w:b w:val="0"/>
          <w:i w:val="0"/>
          <w:sz w:val="19"/>
        </w:rPr>
        <w:t>Mercado financeiro e banking digital (Open Finance, PIX, crédito, pagamentos), Microcrédito, Healthtech</w:t>
      </w:r>
    </w:p>
    <w:p>
      <w:pPr>
        <w:spacing w:before="0" w:after="20" w:line="259" w:lineRule="auto"/>
      </w:pPr>
      <w:r>
        <w:rPr>
          <w:rFonts w:ascii="Liberation Sans" w:hAnsi="Liberation Sans" w:eastAsia="Liberation Sans"/>
          <w:b/>
          <w:i w:val="0"/>
          <w:sz w:val="19"/>
        </w:rPr>
        <w:t xml:space="preserve">Idiomas: </w:t>
      </w:r>
      <w:r>
        <w:rPr>
          <w:rFonts w:ascii="Liberation Sans" w:hAnsi="Liberation Sans" w:eastAsia="Liberation Sans"/>
          <w:b w:val="0"/>
          <w:i w:val="0"/>
          <w:sz w:val="19"/>
        </w:rPr>
        <w:t>Português (nativo), Inglês (fluente), Espanhol (profissional), Francês (básico)</w:t>
      </w:r>
    </w:p>
    <w:p>
      <w:pPr>
        <w:spacing w:before="160" w:after="80" w:line="259" w:lineRule="auto"/>
        <w:pBdr>
          <w:bottom w:val="single" w:sz="6" w:space="1" w:color="1F3A5F"/>
        </w:pBdr>
      </w:pPr>
      <w:r>
        <w:rPr>
          <w:rFonts w:ascii="Liberation Sans" w:hAnsi="Liberation Sans" w:eastAsia="Liberation Sans"/>
          <w:b/>
          <w:i w:val="0"/>
          <w:color w:val="1F3A5F"/>
          <w:sz w:val="21"/>
        </w:rPr>
        <w:t>PRÊMIOS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Top 10 Universitários do Ano 2020, DSM e Enactus Brasil (liderança de 39 alunos em 4 projetos de impacto social apoiados por Ford, KPMG, Sumitomo Chemical e Amanco Wavin)</w:t>
      </w:r>
    </w:p>
    <w:p>
      <w:pPr>
        <w:pStyle w:val="ListBullet"/>
        <w:spacing w:after="30" w:line="252" w:lineRule="auto"/>
        <w:ind w:left="283"/>
      </w:pPr>
      <w:r>
        <w:rPr>
          <w:rFonts w:ascii="Liberation Sans" w:hAnsi="Liberation Sans" w:eastAsia="Liberation Sans"/>
          <w:b w:val="0"/>
          <w:i w:val="0"/>
          <w:sz w:val="19"/>
        </w:rPr>
        <w:t>3º lugar, Competição de Design, XVIII Simpósio Brasileiro de Fatores Humanos em Sistemas Computacionais (IHC 2019)</w:t>
      </w:r>
    </w:p>
    <w:sectPr w:rsidR="00FC693F" w:rsidRPr="0006063C" w:rsidSect="00034616"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