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CA3DC" w14:textId="0936C18C" w:rsidR="00AC3543" w:rsidRDefault="00AC3543">
      <w:pPr>
        <w:rPr>
          <w:rFonts w:ascii="Times New Roman" w:hAnsi="Times New Roman" w:cs="Times New Roman"/>
          <w:b/>
          <w:bCs/>
          <w:sz w:val="24"/>
          <w:szCs w:val="24"/>
          <w:u w:val="single"/>
        </w:rPr>
      </w:pPr>
      <w:r>
        <w:rPr>
          <w:rFonts w:ascii="Times New Roman" w:hAnsi="Times New Roman" w:cs="Times New Roman"/>
          <w:b/>
          <w:bCs/>
          <w:sz w:val="24"/>
          <w:szCs w:val="24"/>
          <w:u w:val="single"/>
        </w:rPr>
        <w:t>Análise de Literatura:</w:t>
      </w:r>
    </w:p>
    <w:p w14:paraId="14ABC7D1" w14:textId="235223BC" w:rsidR="00AC3543" w:rsidRDefault="00AC3543">
      <w:pPr>
        <w:rPr>
          <w:rFonts w:ascii="Times New Roman" w:hAnsi="Times New Roman" w:cs="Times New Roman"/>
          <w:b/>
          <w:bCs/>
          <w:sz w:val="24"/>
          <w:szCs w:val="24"/>
          <w:u w:val="single"/>
        </w:rPr>
      </w:pPr>
      <w:r>
        <w:rPr>
          <w:rFonts w:ascii="Times New Roman" w:hAnsi="Times New Roman" w:cs="Times New Roman"/>
          <w:b/>
          <w:bCs/>
          <w:sz w:val="24"/>
          <w:szCs w:val="24"/>
          <w:u w:val="single"/>
        </w:rPr>
        <w:t>Diabetes tipo II:</w:t>
      </w:r>
    </w:p>
    <w:p w14:paraId="643FAFB9" w14:textId="51BA394F" w:rsidR="009C7929" w:rsidRPr="00D361AC" w:rsidRDefault="00AC3543" w:rsidP="00D361AC">
      <w:pPr>
        <w:jc w:val="both"/>
        <w:rPr>
          <w:rFonts w:ascii="Times New Roman" w:hAnsi="Times New Roman" w:cs="Times New Roman"/>
          <w:sz w:val="20"/>
          <w:szCs w:val="20"/>
        </w:rPr>
      </w:pPr>
      <w:r w:rsidRPr="00D361AC">
        <w:rPr>
          <w:rFonts w:ascii="Times New Roman" w:hAnsi="Times New Roman" w:cs="Times New Roman"/>
          <w:sz w:val="20"/>
          <w:szCs w:val="20"/>
        </w:rPr>
        <w:t>Esta patologia é considerada uma séria ameaça à saúde humana</w:t>
      </w:r>
      <w:r w:rsidR="00D361AC" w:rsidRPr="00D361AC">
        <w:rPr>
          <w:rFonts w:ascii="Times New Roman" w:hAnsi="Times New Roman" w:cs="Times New Roman"/>
          <w:sz w:val="20"/>
          <w:szCs w:val="20"/>
        </w:rPr>
        <w:t xml:space="preserve">, </w:t>
      </w:r>
      <w:r w:rsidR="009C7929" w:rsidRPr="00D361AC">
        <w:rPr>
          <w:rFonts w:ascii="Times New Roman" w:hAnsi="Times New Roman" w:cs="Times New Roman"/>
          <w:sz w:val="20"/>
          <w:szCs w:val="20"/>
        </w:rPr>
        <w:t>cuja característica principal é a diminuição da produção de insulina tipicamente acompanhada pela resistência à mesma.</w:t>
      </w:r>
    </w:p>
    <w:p w14:paraId="78E0E1FF" w14:textId="159BD396" w:rsidR="009C7929" w:rsidRPr="00D361AC" w:rsidRDefault="009C7929" w:rsidP="00D361AC">
      <w:pPr>
        <w:jc w:val="both"/>
        <w:rPr>
          <w:rFonts w:ascii="Times New Roman" w:hAnsi="Times New Roman" w:cs="Times New Roman"/>
          <w:sz w:val="20"/>
          <w:szCs w:val="20"/>
        </w:rPr>
      </w:pPr>
      <w:r w:rsidRPr="00D361AC">
        <w:rPr>
          <w:rFonts w:ascii="Times New Roman" w:hAnsi="Times New Roman" w:cs="Times New Roman"/>
          <w:sz w:val="20"/>
          <w:szCs w:val="20"/>
        </w:rPr>
        <w:t>O conhecimento sobre esta patologia tem evoluído ao longo dos anos, todavia a causa exata e o total conhecimento do mecanismo associado</w:t>
      </w:r>
      <w:r w:rsidR="00D361AC" w:rsidRPr="00D361AC">
        <w:rPr>
          <w:rFonts w:ascii="Times New Roman" w:hAnsi="Times New Roman" w:cs="Times New Roman"/>
          <w:sz w:val="20"/>
          <w:szCs w:val="20"/>
        </w:rPr>
        <w:t>,</w:t>
      </w:r>
      <w:r w:rsidRPr="00D361AC">
        <w:rPr>
          <w:rFonts w:ascii="Times New Roman" w:hAnsi="Times New Roman" w:cs="Times New Roman"/>
          <w:sz w:val="20"/>
          <w:szCs w:val="20"/>
        </w:rPr>
        <w:t xml:space="preserve"> ainda não </w:t>
      </w:r>
      <w:r w:rsidR="00D361AC" w:rsidRPr="00D361AC">
        <w:rPr>
          <w:rFonts w:ascii="Times New Roman" w:hAnsi="Times New Roman" w:cs="Times New Roman"/>
          <w:sz w:val="20"/>
          <w:szCs w:val="20"/>
        </w:rPr>
        <w:t xml:space="preserve">são </w:t>
      </w:r>
      <w:r w:rsidRPr="00D361AC">
        <w:rPr>
          <w:rFonts w:ascii="Times New Roman" w:hAnsi="Times New Roman" w:cs="Times New Roman"/>
          <w:sz w:val="20"/>
          <w:szCs w:val="20"/>
        </w:rPr>
        <w:t xml:space="preserve">completamente </w:t>
      </w:r>
      <w:r w:rsidR="005F4AC5" w:rsidRPr="00D361AC">
        <w:rPr>
          <w:rFonts w:ascii="Times New Roman" w:hAnsi="Times New Roman" w:cs="Times New Roman"/>
          <w:sz w:val="20"/>
          <w:szCs w:val="20"/>
        </w:rPr>
        <w:t>detalhados</w:t>
      </w:r>
      <w:r w:rsidRPr="00D361AC">
        <w:rPr>
          <w:rFonts w:ascii="Times New Roman" w:hAnsi="Times New Roman" w:cs="Times New Roman"/>
          <w:sz w:val="20"/>
          <w:szCs w:val="20"/>
        </w:rPr>
        <w:t>. Estes fatores levam à necessidade de identificar genes e seus mecanismos associado de modo a descobrir eventuais biomarcadores da DTII.</w:t>
      </w:r>
    </w:p>
    <w:p w14:paraId="2131B532" w14:textId="2382D6FB" w:rsidR="00AC3543" w:rsidRPr="00D361AC" w:rsidRDefault="00AC3543" w:rsidP="00D361AC">
      <w:pPr>
        <w:jc w:val="both"/>
        <w:rPr>
          <w:rFonts w:ascii="Times New Roman" w:hAnsi="Times New Roman" w:cs="Times New Roman"/>
          <w:sz w:val="20"/>
          <w:szCs w:val="20"/>
        </w:rPr>
      </w:pPr>
      <w:r w:rsidRPr="00D361AC">
        <w:rPr>
          <w:rFonts w:ascii="Times New Roman" w:hAnsi="Times New Roman" w:cs="Times New Roman"/>
          <w:sz w:val="20"/>
          <w:szCs w:val="20"/>
        </w:rPr>
        <w:t>Associado a qualquer patologia temos uma expressão de genes, que pode ou não estar alterada. Segundo o artigo “</w:t>
      </w:r>
      <w:proofErr w:type="spellStart"/>
      <w:r w:rsidRPr="003A2A7C">
        <w:rPr>
          <w:rFonts w:ascii="Times New Roman" w:hAnsi="Times New Roman" w:cs="Times New Roman"/>
          <w:b/>
          <w:bCs/>
          <w:sz w:val="20"/>
          <w:szCs w:val="20"/>
        </w:rPr>
        <w:t>Analysis</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of</w:t>
      </w:r>
      <w:proofErr w:type="spellEnd"/>
      <w:r w:rsidRPr="003A2A7C">
        <w:rPr>
          <w:rFonts w:ascii="Times New Roman" w:hAnsi="Times New Roman" w:cs="Times New Roman"/>
          <w:b/>
          <w:bCs/>
          <w:sz w:val="20"/>
          <w:szCs w:val="20"/>
        </w:rPr>
        <w:t xml:space="preserve"> key genes </w:t>
      </w:r>
      <w:proofErr w:type="spellStart"/>
      <w:r w:rsidRPr="003A2A7C">
        <w:rPr>
          <w:rFonts w:ascii="Times New Roman" w:hAnsi="Times New Roman" w:cs="Times New Roman"/>
          <w:b/>
          <w:bCs/>
          <w:sz w:val="20"/>
          <w:szCs w:val="20"/>
        </w:rPr>
        <w:t>and</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pathways</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associated</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with</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the</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pathogenesis</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of</w:t>
      </w:r>
      <w:proofErr w:type="spellEnd"/>
      <w:r w:rsidRPr="003A2A7C">
        <w:rPr>
          <w:rFonts w:ascii="Times New Roman" w:hAnsi="Times New Roman" w:cs="Times New Roman"/>
          <w:b/>
          <w:bCs/>
          <w:sz w:val="20"/>
          <w:szCs w:val="20"/>
        </w:rPr>
        <w:t xml:space="preserve"> </w:t>
      </w:r>
      <w:proofErr w:type="spellStart"/>
      <w:r w:rsidRPr="003A2A7C">
        <w:rPr>
          <w:rFonts w:ascii="Times New Roman" w:hAnsi="Times New Roman" w:cs="Times New Roman"/>
          <w:b/>
          <w:bCs/>
          <w:sz w:val="20"/>
          <w:szCs w:val="20"/>
        </w:rPr>
        <w:t>Type</w:t>
      </w:r>
      <w:proofErr w:type="spellEnd"/>
      <w:r w:rsidRPr="003A2A7C">
        <w:rPr>
          <w:rFonts w:ascii="Times New Roman" w:hAnsi="Times New Roman" w:cs="Times New Roman"/>
          <w:b/>
          <w:bCs/>
          <w:sz w:val="20"/>
          <w:szCs w:val="20"/>
        </w:rPr>
        <w:t xml:space="preserve"> 2 diabetes mellitus</w:t>
      </w:r>
      <w:r w:rsidRPr="00D361AC">
        <w:rPr>
          <w:rFonts w:ascii="Times New Roman" w:hAnsi="Times New Roman" w:cs="Times New Roman"/>
          <w:sz w:val="20"/>
          <w:szCs w:val="20"/>
        </w:rPr>
        <w:t>”</w:t>
      </w:r>
      <w:r w:rsidR="000F6ACB">
        <w:rPr>
          <w:rFonts w:ascii="Times New Roman" w:hAnsi="Times New Roman" w:cs="Times New Roman"/>
          <w:sz w:val="20"/>
          <w:szCs w:val="20"/>
        </w:rPr>
        <w:fldChar w:fldCharType="begin" w:fldLock="1"/>
      </w:r>
      <w:r w:rsidR="000F6ACB">
        <w:rPr>
          <w:rFonts w:ascii="Times New Roman" w:hAnsi="Times New Roman" w:cs="Times New Roman"/>
          <w:sz w:val="20"/>
          <w:szCs w:val="20"/>
        </w:rPr>
        <w:instrText>ADDIN CSL_CITATION {"citationItems":[{"id":"ITEM-1","itemData":{"ISBN":"10.1101/2021.08.1","author":[{"dropping-particle":"","family":"Alur","given":"Varun","non-dropping-particle":"","parse-names":false,"suffix":""},{"dropping-particle":"","family":"Raju","given":"Varshita","non-dropping-particle":"","parse-names":false,"suffix":""},{"dropping-particle":"","family":"Vastrad","given":"Basavaraj","non-dropping-particle":"","parse-names":false,"suffix":""},{"dropping-particle":"","family":"Vastrad","given":"Chanabasayya","non-dropping-particle":"","parse-names":false,"suffix":""},{"dropping-particle":"","family":"Kotturshetti","given":"Shivakumar","non-dropping-particle":"","parse-names":false,"suffix":""},{"dropping-particle":"","family":"Nilaya","given":"Chanabasava","non-dropping-particle":"","parse-names":false,"suffix":""}],"id":"ITEM-1","issued":{"date-parts":[["2021"]]},"title":"Analysis of key genes and pathways associated with the pathogenesis of Type 2 diabetes mellitus","type":"article-journal"},"uris":["http://www.mendeley.com/documents/?uuid=cd178005-2331-4821-aa48-d30c743dcfeb"]}],"mendeley":{"formattedCitation":"&lt;sup&gt;1&lt;/sup&gt;","plainTextFormattedCitation":"1","previouslyFormattedCitation":"&lt;sup&gt;1&lt;/sup&gt;"},"properties":{"noteIndex":0},"schema":"https://github.com/citation-style-language/schema/raw/master/csl-citation.json"}</w:instrText>
      </w:r>
      <w:r w:rsidR="000F6ACB">
        <w:rPr>
          <w:rFonts w:ascii="Times New Roman" w:hAnsi="Times New Roman" w:cs="Times New Roman"/>
          <w:sz w:val="20"/>
          <w:szCs w:val="20"/>
        </w:rPr>
        <w:fldChar w:fldCharType="separate"/>
      </w:r>
      <w:r w:rsidR="000F6ACB" w:rsidRPr="000F6ACB">
        <w:rPr>
          <w:rFonts w:ascii="Times New Roman" w:hAnsi="Times New Roman" w:cs="Times New Roman"/>
          <w:noProof/>
          <w:sz w:val="20"/>
          <w:szCs w:val="20"/>
          <w:vertAlign w:val="superscript"/>
        </w:rPr>
        <w:t>1</w:t>
      </w:r>
      <w:r w:rsidR="000F6ACB">
        <w:rPr>
          <w:rFonts w:ascii="Times New Roman" w:hAnsi="Times New Roman" w:cs="Times New Roman"/>
          <w:sz w:val="20"/>
          <w:szCs w:val="20"/>
        </w:rPr>
        <w:fldChar w:fldCharType="end"/>
      </w:r>
      <w:r w:rsidRPr="00D361AC">
        <w:rPr>
          <w:rFonts w:ascii="Times New Roman" w:hAnsi="Times New Roman" w:cs="Times New Roman"/>
          <w:sz w:val="20"/>
          <w:szCs w:val="20"/>
        </w:rPr>
        <w:t xml:space="preserve"> a ex</w:t>
      </w:r>
      <w:r w:rsidR="009C7929" w:rsidRPr="00D361AC">
        <w:rPr>
          <w:rFonts w:ascii="Times New Roman" w:hAnsi="Times New Roman" w:cs="Times New Roman"/>
          <w:sz w:val="20"/>
          <w:szCs w:val="20"/>
        </w:rPr>
        <w:t xml:space="preserve">pressão do gene alvo DDX18 em elação a um controlo no que concerne à presença deste tipo de patologia mostra-se </w:t>
      </w:r>
      <w:proofErr w:type="spellStart"/>
      <w:r w:rsidR="005F4AC5" w:rsidRPr="00D361AC">
        <w:rPr>
          <w:rFonts w:ascii="Times New Roman" w:hAnsi="Times New Roman" w:cs="Times New Roman"/>
          <w:sz w:val="20"/>
          <w:szCs w:val="20"/>
        </w:rPr>
        <w:t>sobre</w:t>
      </w:r>
      <w:r w:rsidR="005F4AC5">
        <w:rPr>
          <w:rFonts w:ascii="Times New Roman" w:hAnsi="Times New Roman" w:cs="Times New Roman"/>
          <w:sz w:val="20"/>
          <w:szCs w:val="20"/>
        </w:rPr>
        <w:t>-</w:t>
      </w:r>
      <w:r w:rsidR="005F4AC5" w:rsidRPr="00D361AC">
        <w:rPr>
          <w:rFonts w:ascii="Times New Roman" w:hAnsi="Times New Roman" w:cs="Times New Roman"/>
          <w:sz w:val="20"/>
          <w:szCs w:val="20"/>
        </w:rPr>
        <w:t>expresso</w:t>
      </w:r>
      <w:proofErr w:type="spellEnd"/>
    </w:p>
    <w:p w14:paraId="473A5941" w14:textId="625636B4" w:rsidR="00AC3543" w:rsidRDefault="00AC3543">
      <w:pPr>
        <w:rPr>
          <w:rFonts w:ascii="Times New Roman" w:hAnsi="Times New Roman" w:cs="Times New Roman"/>
          <w:b/>
          <w:bCs/>
          <w:sz w:val="24"/>
          <w:szCs w:val="24"/>
          <w:u w:val="single"/>
        </w:rPr>
      </w:pPr>
      <w:r>
        <w:rPr>
          <w:rFonts w:ascii="Times New Roman" w:hAnsi="Times New Roman" w:cs="Times New Roman"/>
          <w:b/>
          <w:bCs/>
          <w:sz w:val="24"/>
          <w:szCs w:val="24"/>
          <w:u w:val="single"/>
        </w:rPr>
        <w:t>Gene DDX18(</w:t>
      </w:r>
      <w:proofErr w:type="spellStart"/>
      <w:r w:rsidRPr="00AC3543">
        <w:rPr>
          <w:rFonts w:ascii="Times New Roman" w:hAnsi="Times New Roman" w:cs="Times New Roman"/>
          <w:b/>
          <w:bCs/>
          <w:sz w:val="24"/>
          <w:szCs w:val="24"/>
          <w:u w:val="single"/>
        </w:rPr>
        <w:t>Human</w:t>
      </w:r>
      <w:proofErr w:type="spellEnd"/>
      <w:r w:rsidRPr="00AC3543">
        <w:rPr>
          <w:rFonts w:ascii="Times New Roman" w:hAnsi="Times New Roman" w:cs="Times New Roman"/>
          <w:b/>
          <w:bCs/>
          <w:sz w:val="24"/>
          <w:szCs w:val="24"/>
          <w:u w:val="single"/>
        </w:rPr>
        <w:t xml:space="preserve"> DEAD-Box RNA </w:t>
      </w:r>
      <w:proofErr w:type="spellStart"/>
      <w:r w:rsidRPr="00AC3543">
        <w:rPr>
          <w:rFonts w:ascii="Times New Roman" w:hAnsi="Times New Roman" w:cs="Times New Roman"/>
          <w:b/>
          <w:bCs/>
          <w:sz w:val="24"/>
          <w:szCs w:val="24"/>
          <w:u w:val="single"/>
        </w:rPr>
        <w:t>Helicases</w:t>
      </w:r>
      <w:proofErr w:type="spellEnd"/>
      <w:r>
        <w:rPr>
          <w:rFonts w:ascii="Times New Roman" w:hAnsi="Times New Roman" w:cs="Times New Roman"/>
          <w:b/>
          <w:bCs/>
          <w:sz w:val="24"/>
          <w:szCs w:val="24"/>
          <w:u w:val="single"/>
        </w:rPr>
        <w:t>):</w:t>
      </w:r>
    </w:p>
    <w:p w14:paraId="0DB0E281" w14:textId="03CB4BDE" w:rsidR="00D361AC" w:rsidRPr="005F4AC5" w:rsidRDefault="00D361AC" w:rsidP="005F4AC5">
      <w:pPr>
        <w:jc w:val="both"/>
        <w:rPr>
          <w:rFonts w:ascii="Times New Roman" w:hAnsi="Times New Roman" w:cs="Times New Roman"/>
          <w:sz w:val="20"/>
          <w:szCs w:val="20"/>
        </w:rPr>
      </w:pPr>
      <w:r w:rsidRPr="005F4AC5">
        <w:rPr>
          <w:rFonts w:ascii="Times New Roman" w:hAnsi="Times New Roman" w:cs="Times New Roman"/>
          <w:sz w:val="20"/>
          <w:szCs w:val="20"/>
        </w:rPr>
        <w:t xml:space="preserve">As </w:t>
      </w:r>
      <w:proofErr w:type="spellStart"/>
      <w:r w:rsidRPr="005F4AC5">
        <w:rPr>
          <w:rFonts w:ascii="Times New Roman" w:hAnsi="Times New Roman" w:cs="Times New Roman"/>
          <w:sz w:val="20"/>
          <w:szCs w:val="20"/>
        </w:rPr>
        <w:t>helicases</w:t>
      </w:r>
      <w:proofErr w:type="spellEnd"/>
      <w:r w:rsidRPr="005F4AC5">
        <w:rPr>
          <w:rFonts w:ascii="Times New Roman" w:hAnsi="Times New Roman" w:cs="Times New Roman"/>
          <w:sz w:val="20"/>
          <w:szCs w:val="20"/>
        </w:rPr>
        <w:t xml:space="preserve"> de RNA da família DEAD box estão presentes em todas as células eucarióticas e em muitas bactérias e </w:t>
      </w:r>
      <w:proofErr w:type="spellStart"/>
      <w:r w:rsidRPr="005F4AC5">
        <w:rPr>
          <w:rFonts w:ascii="Times New Roman" w:hAnsi="Times New Roman" w:cs="Times New Roman"/>
          <w:sz w:val="20"/>
          <w:szCs w:val="20"/>
        </w:rPr>
        <w:t>Archaea</w:t>
      </w:r>
      <w:proofErr w:type="spellEnd"/>
      <w:r w:rsidRPr="005F4AC5">
        <w:rPr>
          <w:rFonts w:ascii="Times New Roman" w:hAnsi="Times New Roman" w:cs="Times New Roman"/>
          <w:sz w:val="20"/>
          <w:szCs w:val="20"/>
        </w:rPr>
        <w:t>. Essas enzimas altamente conservadas são necessárias para o metabolismo do RNA desde a transcrição até a degradação e, portanto, são importantes participantes na expressão g</w:t>
      </w:r>
      <w:r w:rsidR="005F4AC5">
        <w:rPr>
          <w:rFonts w:ascii="Times New Roman" w:hAnsi="Times New Roman" w:cs="Times New Roman"/>
          <w:sz w:val="20"/>
          <w:szCs w:val="20"/>
        </w:rPr>
        <w:t>enética</w:t>
      </w:r>
      <w:r w:rsidRPr="005F4AC5">
        <w:rPr>
          <w:rFonts w:ascii="Times New Roman" w:hAnsi="Times New Roman" w:cs="Times New Roman"/>
          <w:sz w:val="20"/>
          <w:szCs w:val="20"/>
        </w:rPr>
        <w:t xml:space="preserve">. As proteínas DEAD box usam ATP para </w:t>
      </w:r>
      <w:r w:rsidR="005F4AC5">
        <w:rPr>
          <w:rFonts w:ascii="Times New Roman" w:hAnsi="Times New Roman" w:cs="Times New Roman"/>
          <w:sz w:val="20"/>
          <w:szCs w:val="20"/>
        </w:rPr>
        <w:t>“</w:t>
      </w:r>
      <w:r w:rsidRPr="005F4AC5">
        <w:rPr>
          <w:rFonts w:ascii="Times New Roman" w:hAnsi="Times New Roman" w:cs="Times New Roman"/>
          <w:sz w:val="20"/>
          <w:szCs w:val="20"/>
        </w:rPr>
        <w:t>desenrolar</w:t>
      </w:r>
      <w:r w:rsidR="005F4AC5">
        <w:rPr>
          <w:rFonts w:ascii="Times New Roman" w:hAnsi="Times New Roman" w:cs="Times New Roman"/>
          <w:sz w:val="20"/>
          <w:szCs w:val="20"/>
        </w:rPr>
        <w:t>”</w:t>
      </w:r>
      <w:r w:rsidRPr="005F4AC5">
        <w:rPr>
          <w:rFonts w:ascii="Times New Roman" w:hAnsi="Times New Roman" w:cs="Times New Roman"/>
          <w:sz w:val="20"/>
          <w:szCs w:val="20"/>
        </w:rPr>
        <w:t xml:space="preserve"> o RNA de uma maneira incomum e remodelar complexos RNA-proteína.</w:t>
      </w:r>
      <w:r w:rsidR="00682D38">
        <w:rPr>
          <w:rFonts w:ascii="Times New Roman" w:hAnsi="Times New Roman" w:cs="Times New Roman"/>
          <w:sz w:val="20"/>
          <w:szCs w:val="20"/>
        </w:rPr>
        <w:fldChar w:fldCharType="begin" w:fldLock="1"/>
      </w:r>
      <w:r w:rsidR="000F6ACB">
        <w:rPr>
          <w:rFonts w:ascii="Times New Roman" w:hAnsi="Times New Roman" w:cs="Times New Roman"/>
          <w:sz w:val="20"/>
          <w:szCs w:val="20"/>
        </w:rPr>
        <w:instrText>ADDIN CSL_CITATION {"citationItems":[{"id":"ITEM-1","itemData":{"DOI":"10.3389/fonc.2020.598238","ISSN":"2234943X","abstract":"Objectives: The noncoding RNAs (ncRNAs) play important roles in gastric cancer. Most studies have focused on the functions and influence of ncRNAs, but seldom on their maturation. DEAD box genes are a family of RNA-binding proteins that may influence the development of ncRNAs, which attracted our attention. By combining a small sample for high-throughput gene microarray screening with large samples of The Cancer Genome Atlas (TCGA) data and our cohort, we aimed to find some gastric cancer-related genes. We evaluated the clinical significance and prognostic value of candidate gene DDX18, which is overexpressed in gastric cancer tissues. To provide a theoretical basis for the development of new therapeutic targets for the treatment of gastric cancer, we investigated its effect on the malignant biological behavior of gastric cancer in vitro and in vivo, and also discuss its mechanism of action. Methods: (i) The differential profiling of mRNA expression in five pairs of gastric cancer and adjacent normal tissues was studied by Arraystar Human mRNA Microarray. By combining this with TCGA data and our cohort, we finally filtered out DDX18, which was upregulated in gastric cancer tissues, for further investigation. (ii) The protein expression of DDX18 was detected by immunohistochemistry staining. Then the relationship between the DDX18 expression level and the clinicopathological data and prognosis was analyzed. (iii) A CCK-8 assay and colony formation assay were used to evaluate the effect of DDX18 on cell growth and proliferation in vitro. A transwell assay was also performed to examine the migration and invasion of gastric cancer cells. Cell apoptosis was analyzed by using a fluorescein isothiocyanate–annexin V/propidium iodide double-staining assay. To identify the role of DDX18 in the tumorigenic ability of gastric cancer cells in vivo, we also established a subcutaneous gastric cancer xenograft model. Coimmunoprecipitation, small RNAseq, and western blotting were performed to explore the mechanism of action of DDX18 in gastric cancer. A patient-derived xenograft (PDX) model was used to confirm the effect of DDX18 in gastric cancer tissues. Result: (i) DDX18 was upregulated in gastric cancer tumor tissues from a TCGA database and our cohort. The expression of DDX18 was also closely related to tumor volume, Borrmann classification, degree of tumor differentiation, cancer embolus, lymph node metastasis, and TNM stage. (ii) DDX18 could promote cell prolifer…","author":[{"dropping-particle":"","family":"Zhang","given":"Yeqian","non-dropping-particle":"","parse-names":false,"suffix":""},{"dropping-particle":"","family":"Yu","given":"Fengrong","non-dropping-particle":"","parse-names":false,"suffix":""},{"dropping-particle":"","family":"Ni","given":"Bo","non-dropping-particle":"","parse-names":false,"suffix":""},{"dropping-particle":"","family":"Li","given":"Qing","non-dropping-particle":"","parse-names":false,"suffix":""},{"dropping-particle":"","family":"Bae","given":"Seong Woo","non-dropping-particle":"","parse-names":false,"suffix":""},{"dropping-particle":"","family":"Choi","given":"Jong Ho","non-dropping-particle":"","parse-names":false,"suffix":""},{"dropping-particle":"","family":"Yang","given":"Han Kwang","non-dropping-particle":"","parse-names":false,"suffix":""},{"dropping-particle":"","family":"Kong","given":"Seong Ho","non-dropping-particle":"","parse-names":false,"suffix":""},{"dropping-particle":"","family":"Zhu","given":"Chunchao","non-dropping-particle":"","parse-names":false,"suffix":""}],"container-title":"Frontiers in Oncology","id":"ITEM-1","issue":"January","issued":{"date-parts":[["2021"]]},"page":"1-15","title":"The RNA-Binding Protein DDX18 Promotes Gastric Cancer by Affecting the Maturation of MicroRNA-21","type":"article-journal","volume":"10"},"uris":["http://www.mendeley.com/documents/?uuid=5eb5b652-c134-4881-9528-e1c375adb389"]}],"mendeley":{"formattedCitation":"&lt;sup&gt;2&lt;/sup&gt;","plainTextFormattedCitation":"2","previouslyFormattedCitation":"&lt;sup&gt;2&lt;/sup&gt;"},"properties":{"noteIndex":0},"schema":"https://github.com/citation-style-language/schema/raw/master/csl-citation.json"}</w:instrText>
      </w:r>
      <w:r w:rsidR="00682D38">
        <w:rPr>
          <w:rFonts w:ascii="Times New Roman" w:hAnsi="Times New Roman" w:cs="Times New Roman"/>
          <w:sz w:val="20"/>
          <w:szCs w:val="20"/>
        </w:rPr>
        <w:fldChar w:fldCharType="separate"/>
      </w:r>
      <w:r w:rsidR="000F6ACB" w:rsidRPr="000F6ACB">
        <w:rPr>
          <w:rFonts w:ascii="Times New Roman" w:hAnsi="Times New Roman" w:cs="Times New Roman"/>
          <w:noProof/>
          <w:sz w:val="20"/>
          <w:szCs w:val="20"/>
          <w:vertAlign w:val="superscript"/>
        </w:rPr>
        <w:t>2</w:t>
      </w:r>
      <w:r w:rsidR="00682D38">
        <w:rPr>
          <w:rFonts w:ascii="Times New Roman" w:hAnsi="Times New Roman" w:cs="Times New Roman"/>
          <w:sz w:val="20"/>
          <w:szCs w:val="20"/>
        </w:rPr>
        <w:fldChar w:fldCharType="end"/>
      </w:r>
    </w:p>
    <w:p w14:paraId="0A50135D" w14:textId="234835E6" w:rsidR="00443D69" w:rsidRPr="003A2A7C" w:rsidRDefault="00443D69" w:rsidP="005F4AC5">
      <w:pPr>
        <w:jc w:val="both"/>
        <w:rPr>
          <w:rFonts w:ascii="Times New Roman" w:hAnsi="Times New Roman" w:cs="Times New Roman"/>
          <w:b/>
          <w:bCs/>
          <w:sz w:val="20"/>
          <w:szCs w:val="20"/>
        </w:rPr>
      </w:pPr>
      <w:r w:rsidRPr="005F4AC5">
        <w:rPr>
          <w:rFonts w:ascii="Times New Roman" w:hAnsi="Times New Roman" w:cs="Times New Roman"/>
          <w:sz w:val="20"/>
          <w:szCs w:val="20"/>
        </w:rPr>
        <w:t>A variante que está relacionada com a diabetes tipo 2 é a rs562386202 (</w:t>
      </w:r>
      <w:proofErr w:type="spellStart"/>
      <w:r w:rsidRPr="005F4AC5">
        <w:rPr>
          <w:rFonts w:ascii="Times New Roman" w:hAnsi="Times New Roman" w:cs="Times New Roman"/>
          <w:sz w:val="20"/>
          <w:szCs w:val="20"/>
        </w:rPr>
        <w:t>forward</w:t>
      </w:r>
      <w:proofErr w:type="spellEnd"/>
      <w:r w:rsidRPr="005F4AC5">
        <w:rPr>
          <w:rFonts w:ascii="Times New Roman" w:hAnsi="Times New Roman" w:cs="Times New Roman"/>
          <w:sz w:val="20"/>
          <w:szCs w:val="20"/>
        </w:rPr>
        <w:t xml:space="preserve"> </w:t>
      </w:r>
      <w:proofErr w:type="spellStart"/>
      <w:r w:rsidRPr="005F4AC5">
        <w:rPr>
          <w:rFonts w:ascii="Times New Roman" w:hAnsi="Times New Roman" w:cs="Times New Roman"/>
          <w:sz w:val="20"/>
          <w:szCs w:val="20"/>
        </w:rPr>
        <w:t>strand</w:t>
      </w:r>
      <w:proofErr w:type="spellEnd"/>
      <w:r w:rsidRPr="005F4AC5">
        <w:rPr>
          <w:rFonts w:ascii="Times New Roman" w:hAnsi="Times New Roman" w:cs="Times New Roman"/>
          <w:sz w:val="20"/>
          <w:szCs w:val="20"/>
        </w:rPr>
        <w:t>) e localiza-se no cromossoma 2</w:t>
      </w:r>
      <w:r w:rsidR="00D361AC" w:rsidRPr="005F4AC5">
        <w:rPr>
          <w:rFonts w:ascii="Times New Roman" w:hAnsi="Times New Roman" w:cs="Times New Roman"/>
          <w:sz w:val="20"/>
          <w:szCs w:val="20"/>
        </w:rPr>
        <w:t xml:space="preserve"> </w:t>
      </w:r>
      <w:r w:rsidR="00682D38">
        <w:rPr>
          <w:rFonts w:ascii="Times New Roman" w:hAnsi="Times New Roman" w:cs="Times New Roman"/>
          <w:sz w:val="20"/>
          <w:szCs w:val="20"/>
        </w:rPr>
        <w:fldChar w:fldCharType="begin" w:fldLock="1"/>
      </w:r>
      <w:r w:rsidR="000F6ACB">
        <w:rPr>
          <w:rFonts w:ascii="Times New Roman" w:hAnsi="Times New Roman" w:cs="Times New Roman"/>
          <w:sz w:val="20"/>
          <w:szCs w:val="20"/>
        </w:rPr>
        <w:instrText xml:space="preserve">ADDIN CSL_CITATION {"citationItems":[{"id":"ITEM-1","itemData":{"DOI":"10.1038/s41588-018-0241-6","ISSN":"15461718","PMID":"30297969","abstract":"We expanded GWAS discovery for type 2 diabetes (T2D) by combining data from 898,130 European-descent individuals (9% cases), after imputation to high-density reference panels. With these data, we (i) extend the inventory of T2D-risk variants (243 loci, 135 newly implicated in T2D predisposition, comprising 403 distinct association signals); (ii) enrich discovery of lower-frequency risk alleles (80 index variants with minor allele frequency &lt;5%, 14 with estimated allelic odds ratio &gt;2); (iii) substantially improve fine-mapping of causal variants (at 51 signals, one variant accounted for &gt;80% posterior probability of association (PPA)); (iv) extend fine-mapping through integration of tissue-specific epigenomic information (islet regulatory annotations extend the number of variants with PPA &gt;80% to 73); (v) highlight validated therapeutic targets (18 genes with associations attributable to coding variants); and (vi) demonstrate enhanced potential for clinical translation (genome-wide chip heritability explains 18% of T2D risk; individuals in the extremes of a T2D polygenic risk score differ more than ninefold in prevalence).","author":[{"dropping-particle":"","family":"Mahajan","given":"Anubha","non-dropping-particle":"","parse-names":false,"suffix":""},{"dropping-particle":"","family":"Taliun","given":"Daniel","non-dropping-particle":"","parse-names":false,"suffix":""},{"dropping-particle":"","family":"Thurner","given":"Matthias","non-dropping-particle":"","parse-names":false,"suffix":""},{"dropping-particle":"","family":"Robertson","given":"Neil R.","non-dropping-particle":"","parse-names":false,"suffix":""},{"dropping-particle":"","family":"Torres","given":"Jason M.","non-dropping-particle":"","parse-names":false,"suffix":""},{"dropping-particle":"","family":"Rayner","given":"N. William","non-dropping-particle":"","parse-names":false,"suffix":""},{"dropping-particle":"","family":"Payne","given":"Anthony J.","non-dropping-particle":"","parse-names":false,"suffix":""},{"dropping-particle":"","family":"Steinthorsdottir","given":"Valgerdur","non-dropping-particle":"","parse-names":false,"suffix":""},{"dropping-particle":"","family":"Scott","given":"Robert A.","non-dropping-particle":"","parse-names":false,"suffix":""},{"dropping-particle":"","family":"Grarup","given":"Niels","non-dropping-particle":"","parse-names":false,"suffix":""},{"dropping-particle":"","family":"Cook","given":"James P.","non-dropping-particle":"","parse-names":false,"suffix":""},{"dropping-particle":"","family":"Schmidt","given":"Ellen M.","non-dropping-particle":"","parse-names":false,"suffix":""},{"dropping-particle":"","family":"Wuttke","given":"Matthias","non-dropping-particle":"","parse-names":false,"suffix":""},{"dropping-particle":"","family":"Sarnowski","given":"Chloé","non-dropping-particle":"","parse-names":false,"suffix":""},{"dropping-particle":"","family":"Mägi","given":"Reedik","non-dropping-particle":"","parse-names":false,"suffix":""},{"dropping-particle":"","family":"Nano","given":"Jana","non-dropping-particle":"","parse-names":false,"suffix":""},{"dropping-particle":"","family":"Gieger","given":"Christian","non-dropping-particle":"","parse-names":false,"suffix":""},{"dropping-particle":"","family":"Trompet","given":"Stella","non-dropping-particle":"","parse-names":false,"suffix":""},{"dropping-particle":"","family":"Lecoeur","given":"Cécile","non-dropping-particle":"","parse-names":false,"suffix":""},{"dropping-particle":"","family":"Preuss","given":"Michael H.","non-dropping-particle":"","parse-names":false,"suffix":""},{"dropping-particle":"","family":"Prins","given":"Bram Peter","non-dropping-particle":"","parse-names":false,"suffix":""},{"dropping-particle":"","family":"Guo","given":"Xiuqing","non-dropping-particle":"","parse-names":false,"suffix":""},{"dropping-particle":"","family":"Bielak","given":"Lawrence F.","non-dropping-particle":"","parse-names":false,"suffix":""},{"dropping-particle":"","family":"Below","given":"Jennifer E.","non-dropping-particle":"","parse-names":false,"suffix":""},{"dropping-particle":"","family":"Bowden","given":"Donald W.","non-dropping-particle":"","parse-names":false,"suffix":""},{"dropping-particle":"","family":"Chambers","given":"John Campbell","non-dropping-particle":"","parse-names":false,"suffix":""},{"dropping-particle":"","family":"Kim","given":"Young Jin","non-dropping-particle":"","parse-names":false,"suffix":""},{"dropping-particle":"","family":"Ng","given":"Maggie C.Y.","non-dropping-particle":"","parse-names":false,"suffix":""},{"dropping-particle":"","family":"Petty","given":"Lauren E.","non-dropping-particle":"","parse-names":false,"suffix":""},{"dropping-particle":"","family":"Sim","given":"Xueling","non-dropping-particle":"","parse-names":false,"suffix":""},{"dropping-particle":"","family":"Zhang","given":"Weihua","non-dropping-particle":"","parse-names":false,"suffix":""},{"dropping-particle":"","family":"Bennett","given":"Amanda J.","non-dropping-particle":"","parse-names":false,"suffix":""},{"dropping-particle":"","family":"Bork-Jensen","given":"Jette","non-dropping-particle":"","parse-names":false,"suffix":""},{"dropping-particle":"","family":"Brummett","given":"Chad M.","non-dropping-particle":"","parse-names":false,"suffix":""},{"dropping-particle":"","family":"Canouil","given":"Mickaël","non-dropping-particle":"","parse-names":false,"suffix":""},{"dropping-particle":"","family":"Ec kardt","given":"Kai Uwe","non-dropping-particle":"","parse-names":false,"suffix":""},{"dropping-particle":"","family":"Fischer","given":"Krista","non-dropping-particle":"","parse-names":false,"suffix":""},{"dropping-particle":"","family":"Kardia","given":"Sharon L.R.","non-dropping-particle":"","parse-names":false,"suffix":""},{"dropping-particle":"","family":"Kronenberg","given":"Florian","non-dropping-particle":"","parse-names":false,"suffix":""},{"dropping-particle":"","family":"Läll","given":"Kristi","non-dropping-particle":"","parse-names":false,"suffix":""},{"dropping-particle":"","family":"Liu","given":"Ching Ti","non-dropping-particle":"","parse-names":false,"suffix":""},{"dropping-particle":"","family":"Locke","given":"Adam E.","non-dropping-particle":"","parse-names":false,"suffix":""},{"dropping-particle":"","family":"Luan","given":"Jian’an","non-dropping-particle":"","parse-names":false,"suffix":""},{"dropping-particle":"","family":"Ntalla","given":"Ioanna","non-dropping-particle":"","parse-names":false,"suffix":""},{"dropping-particle":"","family":"Nylander","given":"Vibe","non-dropping-particle":"","parse-names":false,"suffix":""},{"dropping-particle":"","family":"Schönherr","given":"Sebastian","non-dropping-particle":"","parse-names":false,"suffix":""},{"dropping-particle":"","family":"Schurmann","given":"Claudia","non-dropping-particle":"","parse-names":false,"suffix":""},{"dropping-particle":"","family":"Yengo","given":"Loïc","non-dropping-particle":"","parse-names":false,"suffix":""},{"dropping-particle":"","family":"Bottinger","given":"Erwin P.","non-dropping-particle":"","parse-names":false,"suffix":""},{"dropping-particle":"","family":"Brandslund","given":"Ivan","non-dropping-particle":"","parse-names":false,"suffix":""},{"dropping-particle":"","family":"Christensen","given":"Cramer","non-dropping-particle":"","parse-names":false,"suffix":""},{"dropping-particle":"","family":"Dedoussis","given":"George","non-dropping-particle":"","parse-names":false,"suffix":""},{"dropping-particle":"","family":"Florez","given":"Jose C.","non-dropping-particle":"","parse-names":false,"suffix":""},{"dropping-particle":"","family":"Ford","given":"Ian","non-dropping-particle":"","parse-names":false,"suffix":""},{"dropping-particle":"","family":"Franco","given":"Oscar H.","non-dropping-particle":"","parse-names":false,"suffix":""},{"dropping-particle":"","family":"Frayling","given":"Timothy M.","non-dropping-particle":"","parse-names":false,"suffix":""},{"dropping-particle":"","family":"Giedraitis","given":"Vilmantas","non-dropping-particle":"","parse-names":false,"suffix":""},{"dropping-particle":"","family":"Hackinger","given":"Sophie","non-dropping-particle":"","parse-names":false,"suffix":""},{"dropping-particle":"","family":"Hattersley","given":"Andrew T.","non-dropping-particle":"","parse-names":false,"suffix":""},{"dropping-particle":"","family":"Herder","given":"Christian","non-dropping-particle":"","parse-names":false,"suffix":""},{"dropping-particle":"","family":"Ikram","given":"M. Arfan","non-dropping-particle":"","parse-names":false,"suffix":""},{"dropping-particle":"","family":"Ingelsson","given":"Martin","non-dropping-particle":"","parse-names":false,"suffix":""},{"dropping-particle":"","family":"Jørgensen","given":"Marit E.","non-dropping-particle":"","parse-names":false,"suffix":""},{"dropping-particle":"","family":"Jørgensen","given":"Torben","non-dropping-particle":"","parse-names":false,"suffix":""},{"dropping-particle":"","family":"Kriebel","given":"Jennifer","non-dropping-particle":"","parse-names":false,"suffix":""},{"dropping-particle":"","family":"Kuusisto","given":"Johanna","non-dropping-particle":"","parse-names":false,"suffix":""},{"dropping-particle":"","family":"Ligthart","given":"Symen","non-dropping-particle":"","parse-names":false,"suffix":""},{"dropping-particle":"","family":"Lindgren","given":"Cecilia M.","non-dropping-particle":"","parse-names":false,"suffix":""},{"dropping-particle":"","family":"Linneberg","given":"Allan","non-dropping-particle":"","parse-names":false,"suffix":""},{"dropping-particle":"","family":"Lyssenko","given":"Valeriya","non-dropping-particle":"","parse-names":false,"suffix":""},{"dropping-particle":"","family":"Mamakou","given":"Vasiliki","non-dropping-particle":"","parse-names":false,"suffix":""},{"dropping-particle":"","family":"Meitinger","given":"Thomas","non-dropping-particle":"","parse-names":false,"suffix":""},{"dropping-particle":"","family":"Mohlke","given":"Karen L.","non-dropping-particle":"","parse-names":false,"suffix":""},{"dropping-particle":"","family":"Morris","given":"Andrew D.","non-dropping-particle":"","parse-names":false,"suffix":""},{"dropping-particle":"","family":"Nadkarni","given":"Girish","non-dropping-particle":"","parse-names":false,"suffix":""},{"dropping-particle":"","family":"Pankow","given":"James S.","non-dropping-particle":"","parse-names":false,"suffix":""},{"dropping-particle":"","family":"Peters","given":"Annette","non-dropping-particle":"","parse-names":false,"suffix":""},{"dropping-particle":"","family":"Sattar","given":"Naveed","non-dropping-particle":"","parse-names":false,"suffix":""},{"dropping-particle":"","family":"Stančáková","given":"Alena","non-dropping-particle":"","parse-names":false,"suffix":""},{"dropping-particle":"","family":"Strauch","given":"Konstantin","non-dropping-particle":"","parse-names":false,"suffix":""},{"dropping-particle":"","family":"Taylor","given":"Kent D.","non-dropping-particle":"","parse-names":false,"suffix":""},{"dropping-particle":"","family":"Thorand","given":"Barbara","non-dropping-particle":"","parse-names":false,"suffix":""},{"dropping-particle":"","family":"Thorleifsson","given":"Gudmar","non-dropping-particle":"","parse-names":false,"suffix":""},{"dropping-particle":"","family":"Thorsteinsdottir","given":"Unnur","non-dropping-particle":"","parse-names":false,"suffix":""},{"dropping-particle":"","family":"Tuomilehto","given":"Jaakko","non-dropping-particle":"","parse-names":false,"suffix":""},{"dropping-particle":"","family":"Witte","given":"Daniel R.","non-dropping-particle":"","parse-names":false,"suffix":""},{"dropping-particle":"","family":"Dupuis","given":"Josée","non-dropping-particle":"","parse-names":false,"suffix":""},{"dropping-particle":"","family":"Peyser","given":"Patricia A.","non-dropping-particle":"","parse-names":false,"suffix":""},{"dropping-particle":"","family":"Zeggini","given":"Eleftheria","non-dropping-particle":"","parse-names":false,"suffix":""},{"dropping-particle":"","family":"Loos","given":"Ruth J.F.","non-dropping-particle":"","parse-names":false,"suffix":""},{"dropping-particle":"","family":"Froguel","given":"Philippe","non-dropping-particle":"","parse-names":false,"suffix":""},{"dropping-particle":"","family":"Ingelsson","given":"Erik","non-dropping-particle":"","parse-names":false,"suffix":""},{"dropping-particle":"","family":"Lind","given":"Lars","non-dropping-particle":"","parse-names":false,"suffix":""},{"dropping-particle":"","family":"Groop","given":"Leif","non-dropping-particle":"","parse-names":false,"suffix":""},{"dropping-particle":"","family":"Laakso","given":"Markku","non-dropping-particle":"","parse-names":false,"suffix":""},{"dropping-particle":"","family":"Collins","given":"Francis S.","non-dropping-particle":"","parse-names":false,"suffix":""},{"dropping-particle":"","family":"Jukema","given":"J. Wouter","non-dropping-particle":"","parse-names":false,"suffix":""},{"dropping-particle":"","family":"Palmer","given":"Colin N.A.","non-dropping-particle":"","parse-names":false,"suffix":""},{"dropping-particle":"","family":"Grallert","given":"Harald","non-dropping-particle":"","parse-names":false,"suffix":""},{"dropping-particle":"","family":"Metspalu","given":"Andres","non-dropping-particle":"","parse-names":false,"suffix":""},{"dropping-particle":"","family":"Dehghan","given":"Abbas","non-dropping-particle":"","parse-names":false,"suffix":""},{"dropping-particle":"","family":"Köttgen","given":"Anna","non-dropping-particle":"","parse-names":false,"suffix":""},{"dropping-particle":"","family":"Abecasis","given":"Goncalo R.","non-dropping-particle":"","parse-names":false,"suffix":""},{"dropping-particle":"","family":"Meigs","given":"James B.","non-dropping-particle":"","parse-names":false,"suffix":""},{"dropping-particle":"","family":"Rotter","given":"Jerome I.","non-dropping-particle":"","parse-names":false,"suffix":""},{"dropping-particle":"","family":"Marchini","given":"Jonathan","non-dropping-particle":"","parse-names":false,"suffix":""},{"dropping-particle":"","family":"Pedersen","given":"Oluf","non-dropping-particle":"","parse-names":false,"suffix":""},{"dropping-particle":"","family":"Hansen","given":"Torben","non-dropping-particle":"","parse-names":false,"suffix":""},{"dropping-particle":"","family":"Langenberg","given":"Claudia","non-dropping-particle":"","parse-names":false,"suffix":""},{"dropping-particle":"","family":"Wareham","given":"Nicholas J.","non-dropping-particle":"","parse-names":false,"suffix":""},{"dropping-particle":"","family":"Stefansson","given":"Kari","non-dropping-particle":"","parse-names":false,"suffix":""},{"dropping-particle":"","family":"Gloyn","given":"Anna L.","non-dropping-particle":"","parse-names":false,"suffix":""},{"dropping-particle":"","family":"Morris","given":"Andrew P.","non-dropping-particle":"","parse-names":false,"suffix":""},{"dropping-particle":"","family":"Boehnke","given":"Michael","non-dropping-particle":"","parse-names":false,"suffix":""},{"dropping-particle":"","family":"McCarthy","given":"Mark I.","non-dropping-particle":"","parse-names":false,"suffix":""}],"container-title":"Nature Genetics","id":"ITEM-1","issue":"11","issued":{"date-parts":[["2018"]]},"page":"1505-1513","title":"Fine-mapping type 2 diabetes loci to single-variant resolution using high-density imputation and islet-specific epigenome maps","type":"article-journal","volume":"50"},"uris":["http://www.mendeley.com/documents/?uuid=fc4808e4-2953-4431-b9f7-2013b6cd72f0"]},{"id":"ITEM-2","itemData":{"DOI":"10.2337/db20-0443","ISSN":"1939327X","PMID":"33479058","abstract":"The prevalence of type 2 diabetes in youth has increased substantially, yet the genetic underpinnings remain largely unexplored. To identify genetic variants predisposing to youth-onset type 2 diabetes, we formed ProDiGY, a multiethnic collaboration of three studies (TODAY, SEARCH, and T2D-GENES) with 3,006 youth case subjects with type 2 diabetes (mean age 15.1 ± 2.9 years) and 6,061 diabetes-free adult control subjects (mean age 54.2 ± 12.4 years). After stratifying by principal component-clustered ethnicity, we performed association analyses on </w:instrText>
      </w:r>
      <w:r w:rsidR="000F6ACB">
        <w:rPr>
          <w:rFonts w:ascii="Cambria Math" w:hAnsi="Cambria Math" w:cs="Cambria Math"/>
          <w:sz w:val="20"/>
          <w:szCs w:val="20"/>
        </w:rPr>
        <w:instrText>∼</w:instrText>
      </w:r>
      <w:r w:rsidR="000F6ACB">
        <w:rPr>
          <w:rFonts w:ascii="Times New Roman" w:hAnsi="Times New Roman" w:cs="Times New Roman"/>
          <w:sz w:val="20"/>
          <w:szCs w:val="20"/>
        </w:rPr>
        <w:instrText>10 million imputed variants using a generalized linear mixed model incorporating a genetic relationship matrix to account for population structure and adjusting for sex. We identified seven genome-wide significant loci, including the novel locus rs10992863 in PHF2 (P = 3.2 × 10-8; odds ratio [OR] = 1.23). Known loci identified in our analysis include rs7903146 in TCF7L2 (P = 8.0 × 10-20; OR 1.58), rs72982988 near MC4R (P = 4.4 × 10-14; OR 1.53), rs200893788 in CDC123 (P = 1.1 × 10-12; OR 1.32), rs2237892 in KCNQ1 (P = 4.8 × 10-11; OR 1.59), rs937589119 in IGF2BP2 (P = 3.1 × 10-9; OR 1.34), and rs113748381 in SLC16A11 (P = 4.1 × 10-8; OR 1.04). Secondary analysis with 856 diabetes-free youth control subjects uncovered an additional locus in CPEB2 (P = 3.2 × 10-8; OR 2.1) and consistent direction of effect for diabetes risk. In conclusion, we identified both known and novel loci in the first genome-wide association study of youth-onset type 2 diabetes.","author":[{"dropping-particle":"","family":"Srinivasan","given":"Shylaja","non-dropping-particle":"","parse-names":false,"suffix":""},{"dropping-particle":"","family":"Chen","given":"Ling","non-dropping-particle":"","parse-names":false,"suffix":""},{"dropping-particle":"","family":"Todd","given":"Jennifer","non-dropping-particle":"","parse-names":false,"suffix":""},{"dropping-particle":"","family":"Divers","given":"Jasmin","non-dropping-particle":"","parse-names":false,"suffix":""},{"dropping-particle":"","family":"Gidding","given":"Samuel","non-dropping-particle":"","parse-names":false,"suffix":""},{"dropping-particle":"","family":"Chernausek","given":"Steven","non-dropping-particle":"","parse-names":false,"suffix":""},{"dropping-particle":"","family":"Gubitosi-Klug","given":"Rose A.","non-dropping-particle":"","parse-names":false,"suffix":""},{"dropping-particle":"","family":"Kelsey","given":"Megan M.","non-dropping-particle":"","parse-names":false,"suffix":""},{"dropping-particle":"","family":"Shah","given":"Rachana","non-dropping-particle":"","parse-names":false,"suffix":""},{"dropping-particle":"","family":"Black","given":"Mary Helen","non-dropping-particle":"","parse-names":false,"suffix":""},{"dropping-particle":"","family":"Wagenknecht","given":"Lynne E.","non-dropping-particle":"","parse-names":false,"suffix":""},{"dropping-particle":"","family":"Manning","given":"Alisa","non-dropping-particle":"","parse-names":false,"suffix":""},{"dropping-particle":"","family":"Flannick","given":"Jason","non-dropping-particle":"","parse-names":false,"suffix":""},{"dropping-particle":"","family":"Imperatore","given":"Giuseppina","non-dropping-particle":"","parse-names":false,"suffix":""},{"dropping-particle":"","family":"Mercader","given":"Josep M.","non-dropping-particle":"","parse-names":false,"suffix":""},{"dropping-particle":"","family":"Dabelea","given":"Dana","non-dropping-particle":"","parse-names":false,"suffix":""},{"dropping-particle":"","family":"Florez","given":"Jose C.","non-dropping-particle":"","parse-names":false,"suffix":""}],"container-title":"Diabetes","id":"ITEM-2","issue":"4","issued":{"date-parts":[["2021"]]},"page":"996-1005","title":"The First Genome-Wide Association Study for Type 2 Diabetes in Youth: The Progress in Diabetes Genetics in Youth (ProDiGY) Consortium","type":"article-journal","volume":"70"},"uris":["http://www.mendeley.com/documents/?uuid=9a2c60ec-aaf6-46b8-bed0-ca578fa86420"]}],"mendeley":{"formattedCitation":"&lt;sup&gt;3,4&lt;/sup&gt;","plainTextFormattedCitation":"3,4","previouslyFormattedCitation":"&lt;sup&gt;3,4&lt;/sup&gt;"},"properties":{"noteIndex":0},"schema":"https://github.com/citation-style-language/schema/raw/master/csl-citation.json"}</w:instrText>
      </w:r>
      <w:r w:rsidR="00682D38">
        <w:rPr>
          <w:rFonts w:ascii="Times New Roman" w:hAnsi="Times New Roman" w:cs="Times New Roman"/>
          <w:sz w:val="20"/>
          <w:szCs w:val="20"/>
        </w:rPr>
        <w:fldChar w:fldCharType="separate"/>
      </w:r>
      <w:r w:rsidR="000F6ACB" w:rsidRPr="000F6ACB">
        <w:rPr>
          <w:rFonts w:ascii="Times New Roman" w:hAnsi="Times New Roman" w:cs="Times New Roman"/>
          <w:noProof/>
          <w:sz w:val="20"/>
          <w:szCs w:val="20"/>
          <w:vertAlign w:val="superscript"/>
        </w:rPr>
        <w:t>3,4</w:t>
      </w:r>
      <w:r w:rsidR="00682D38">
        <w:rPr>
          <w:rFonts w:ascii="Times New Roman" w:hAnsi="Times New Roman" w:cs="Times New Roman"/>
          <w:sz w:val="20"/>
          <w:szCs w:val="20"/>
        </w:rPr>
        <w:fldChar w:fldCharType="end"/>
      </w:r>
    </w:p>
    <w:p w14:paraId="21C8FDBA" w14:textId="60B8EF18" w:rsidR="005F4AC5" w:rsidRDefault="005F4AC5" w:rsidP="005F4AC5">
      <w:pPr>
        <w:jc w:val="center"/>
        <w:rPr>
          <w:rFonts w:ascii="Times New Roman" w:hAnsi="Times New Roman" w:cs="Times New Roman"/>
          <w:sz w:val="24"/>
          <w:szCs w:val="24"/>
        </w:rPr>
      </w:pPr>
      <w:r>
        <w:rPr>
          <w:noProof/>
        </w:rPr>
        <w:drawing>
          <wp:inline distT="0" distB="0" distL="0" distR="0" wp14:anchorId="31B942B6" wp14:editId="7BEF25E3">
            <wp:extent cx="5331545" cy="72842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12" t="54115" r="31404" b="33160"/>
                    <a:stretch/>
                  </pic:blipFill>
                  <pic:spPr bwMode="auto">
                    <a:xfrm>
                      <a:off x="0" y="0"/>
                      <a:ext cx="5606700" cy="766013"/>
                    </a:xfrm>
                    <a:prstGeom prst="rect">
                      <a:avLst/>
                    </a:prstGeom>
                    <a:ln>
                      <a:noFill/>
                    </a:ln>
                    <a:extLst>
                      <a:ext uri="{53640926-AAD7-44D8-BBD7-CCE9431645EC}">
                        <a14:shadowObscured xmlns:a14="http://schemas.microsoft.com/office/drawing/2010/main"/>
                      </a:ext>
                    </a:extLst>
                  </pic:spPr>
                </pic:pic>
              </a:graphicData>
            </a:graphic>
          </wp:inline>
        </w:drawing>
      </w:r>
    </w:p>
    <w:p w14:paraId="1365A1F5" w14:textId="05146B17" w:rsidR="00D62E33" w:rsidRPr="005F4AC5" w:rsidRDefault="005F4AC5" w:rsidP="005F4AC5">
      <w:pPr>
        <w:jc w:val="both"/>
        <w:rPr>
          <w:rFonts w:ascii="Times New Roman" w:hAnsi="Times New Roman" w:cs="Times New Roman"/>
          <w:sz w:val="20"/>
          <w:szCs w:val="20"/>
        </w:rPr>
      </w:pPr>
      <w:r w:rsidRPr="005F4AC5">
        <w:rPr>
          <w:rFonts w:ascii="Times New Roman" w:hAnsi="Times New Roman" w:cs="Times New Roman"/>
          <w:sz w:val="20"/>
          <w:szCs w:val="20"/>
        </w:rPr>
        <w:t xml:space="preserve">Diversos artigos mencionam que </w:t>
      </w:r>
      <w:proofErr w:type="spellStart"/>
      <w:r w:rsidR="00D62E33" w:rsidRPr="005F4AC5">
        <w:rPr>
          <w:rFonts w:ascii="Times New Roman" w:hAnsi="Times New Roman" w:cs="Times New Roman"/>
          <w:sz w:val="20"/>
          <w:szCs w:val="20"/>
        </w:rPr>
        <w:t>RNAs</w:t>
      </w:r>
      <w:proofErr w:type="spellEnd"/>
      <w:r w:rsidRPr="005F4AC5">
        <w:rPr>
          <w:rFonts w:ascii="Times New Roman" w:hAnsi="Times New Roman" w:cs="Times New Roman"/>
          <w:sz w:val="20"/>
          <w:szCs w:val="20"/>
        </w:rPr>
        <w:t xml:space="preserve"> não codificantes</w:t>
      </w:r>
      <w:r w:rsidR="00D62E33" w:rsidRPr="005F4AC5">
        <w:rPr>
          <w:rFonts w:ascii="Times New Roman" w:hAnsi="Times New Roman" w:cs="Times New Roman"/>
          <w:sz w:val="20"/>
          <w:szCs w:val="20"/>
        </w:rPr>
        <w:t xml:space="preserve"> estão ligados ao mau controle glic</w:t>
      </w:r>
      <w:r w:rsidRPr="005F4AC5">
        <w:rPr>
          <w:rFonts w:ascii="Times New Roman" w:hAnsi="Times New Roman" w:cs="Times New Roman"/>
          <w:sz w:val="20"/>
          <w:szCs w:val="20"/>
        </w:rPr>
        <w:t>é</w:t>
      </w:r>
      <w:r w:rsidR="00D62E33" w:rsidRPr="005F4AC5">
        <w:rPr>
          <w:rFonts w:ascii="Times New Roman" w:hAnsi="Times New Roman" w:cs="Times New Roman"/>
          <w:sz w:val="20"/>
          <w:szCs w:val="20"/>
        </w:rPr>
        <w:t>mico, resistência à insulina</w:t>
      </w:r>
      <w:r w:rsidRPr="005F4AC5">
        <w:rPr>
          <w:rFonts w:ascii="Times New Roman" w:hAnsi="Times New Roman" w:cs="Times New Roman"/>
          <w:sz w:val="20"/>
          <w:szCs w:val="20"/>
        </w:rPr>
        <w:t xml:space="preserve"> </w:t>
      </w:r>
      <w:r w:rsidR="00D62E33" w:rsidRPr="005F4AC5">
        <w:rPr>
          <w:rFonts w:ascii="Times New Roman" w:hAnsi="Times New Roman" w:cs="Times New Roman"/>
          <w:sz w:val="20"/>
          <w:szCs w:val="20"/>
        </w:rPr>
        <w:t>e pró-inflamação em pacientes com DM2</w:t>
      </w:r>
      <w:r w:rsidRPr="005F4AC5">
        <w:rPr>
          <w:rFonts w:ascii="Times New Roman" w:hAnsi="Times New Roman" w:cs="Times New Roman"/>
          <w:sz w:val="20"/>
          <w:szCs w:val="20"/>
        </w:rPr>
        <w:t xml:space="preserve"> como mostra as imagens abaixo e, como, o nosso gene tem influência direta no processamento do RNA pensamos que pode estar aí a associação com a diabetes- ainda que pouco explicada e detalhada em artigos</w:t>
      </w:r>
      <w:r w:rsidR="00682D38">
        <w:rPr>
          <w:rFonts w:ascii="Times New Roman" w:hAnsi="Times New Roman" w:cs="Times New Roman"/>
          <w:sz w:val="20"/>
          <w:szCs w:val="20"/>
        </w:rPr>
        <w:fldChar w:fldCharType="begin" w:fldLock="1"/>
      </w:r>
      <w:r w:rsidR="000F6ACB">
        <w:rPr>
          <w:rFonts w:ascii="Times New Roman" w:hAnsi="Times New Roman" w:cs="Times New Roman"/>
          <w:sz w:val="20"/>
          <w:szCs w:val="20"/>
        </w:rPr>
        <w:instrText>ADDIN CSL_CITATION {"citationItems":[{"id":"ITEM-1","itemData":{"DOI":"10.3389/fendo.2021.630032","ISSN":"16642392","abstract":"Diabetes, a metabolic disease characterized by high blood glucose and other complications, has undefined causes and multiple risk factors, including inappropriate diet, unhealthy lifestyles, and genetic predisposition. The two most distinguished types of diabetes are type 1 and type 2 diabetes, resulting from the autoimmune impairment of insulin-generating pancreatic β cells and insulin insensitivity, respectively. Non-coding RNAs (ncRNAs), a cohort of RNAs with little transcriptional value, have been found to exert substantial importance in epigenetic and posttranscriptional modulation of gene expression such as messenger RNA (mRNA) silencing. This review mainly focuses on the pathology of type 2 diabetes (T2D) and ncRNAs as potential biomarkers in T2D development and clinical management. We consolidate the pathogenesis, diagnosis, and current treatments of T2D, and present the existing evidence on changes in multiple types of ncRNAs in response to various pathological changes and dysfunctions in different stages of T2D.","author":[{"dropping-particle":"","family":"Chi","given":"Tiange","non-dropping-particle":"","parse-names":false,"suffix":""},{"dropping-particle":"","family":"Lin","given":"Jiaran","non-dropping-particle":"","parse-names":false,"suffix":""},{"dropping-particle":"","family":"Wang","given":"Mina","non-dropping-particle":"","parse-names":false,"suffix":""},{"dropping-particle":"","family":"Zhao","given":"Yihan","non-dropping-particle":"","parse-names":false,"suffix":""},{"dropping-particle":"","family":"Liao","given":"Zehuan","non-dropping-particle":"","parse-names":false,"suffix":""},{"dropping-particle":"","family":"Wei","given":"Peng","non-dropping-particle":"","parse-names":false,"suffix":""}],"container-title":"Frontiers in Endocrinology","id":"ITEM-1","issue":"September","issued":{"date-parts":[["2021"]]},"page":"1-9","title":"Non-Coding RNA as Biomarkers for Type 2 Diabetes Development and Clinical Management","type":"article-journal","volume":"12"},"uris":["http://www.mendeley.com/documents/?uuid=bbbddc9c-240b-42fe-9f0e-7f6567be991b"]},{"id":"ITEM-2","itemData":{"DOI":"10.1007/s12291-022-01069-1","ISSN":"09740422","abstract":"MicroRNAs (miRNAs) are small endogenous, non-coding RNA molecules that can modulate the expression of their target genes. Since its discovery, an enormous breakthrough has been established regarding its biogenesis and pathophysiological action, which has revolutionized the field of molecular biology. In addition, recent studies have identified the existence of stable extracellular/circulating miRNAs tissues and in biological fluids like blood where they are safeguarded from endogenous ribonuclease activity. Type 2 diabetes mellitus (T2DM) has emerged as a prime health issue worldwide. Incidence has increased considerably over the past decade. There are various tests that have been employed to diagnose T2DM. But for early detection and development, the establishment of biomarkers are of paramount importance. Contemporary evidence also validates the signature of a set of this epigenetic factor miRNA in the development of various diseases, including T2DM. This article reviews the contemporary corroboration associating miRNAs and T2DM and emphasizes the potential role of miRNA as a circulatory biomarker that could alert the growing prevalence of T2DM. Also, it acknowledges the valuable compendium of information regarding biogenesis and functional role of circulating miRNA in insulin resistance which is intimately linked to T2DM.","author":[{"dropping-particle":"","family":"Mishra","given":"Sanjukta","non-dropping-particle":"","parse-names":false,"suffix":""},{"dropping-particle":"","family":"Bahinipati","given":"Jyotirmayee","non-dropping-particle":"","parse-names":false,"suffix":""},{"dropping-particle":"","family":"Sarangi","given":"Raj Laxmi","non-dropping-particle":"","parse-names":false,"suffix":""},{"dropping-particle":"","family":"Mohapatra","given":"Soumya Ranjan","non-dropping-particle":"","parse-names":false,"suffix":""},{"dropping-particle":"","family":"Das","given":"Swarnalata","non-dropping-particle":"","parse-names":false,"suffix":""},{"dropping-particle":"","family":"Mishra","given":"Amaresh","non-dropping-particle":"","parse-names":false,"suffix":""}],"container-title":"Indian Journal of Clinical Biochemistry","id":"ITEM-2","issued":{"date-parts":[["2022"]]},"title":"A comprehensive overview on Micro RNA signature in type 2 diabetes Mellitus and its complications","type":"article-journal"},"uris":["http://www.mendeley.com/documents/?uuid=6f9d6e46-df35-4822-8509-d0fd4a4042be"]}],"mendeley":{"formattedCitation":"&lt;sup&gt;5,6&lt;/sup&gt;","plainTextFormattedCitation":"5,6","previouslyFormattedCitation":"&lt;sup&gt;5,6&lt;/sup&gt;"},"properties":{"noteIndex":0},"schema":"https://github.com/citation-style-language/schema/raw/master/csl-citation.json"}</w:instrText>
      </w:r>
      <w:r w:rsidR="00682D38">
        <w:rPr>
          <w:rFonts w:ascii="Times New Roman" w:hAnsi="Times New Roman" w:cs="Times New Roman"/>
          <w:sz w:val="20"/>
          <w:szCs w:val="20"/>
        </w:rPr>
        <w:fldChar w:fldCharType="separate"/>
      </w:r>
      <w:r w:rsidR="000F6ACB" w:rsidRPr="000F6ACB">
        <w:rPr>
          <w:rFonts w:ascii="Times New Roman" w:hAnsi="Times New Roman" w:cs="Times New Roman"/>
          <w:noProof/>
          <w:sz w:val="20"/>
          <w:szCs w:val="20"/>
          <w:vertAlign w:val="superscript"/>
        </w:rPr>
        <w:t>5,6</w:t>
      </w:r>
      <w:r w:rsidR="00682D38">
        <w:rPr>
          <w:rFonts w:ascii="Times New Roman" w:hAnsi="Times New Roman" w:cs="Times New Roman"/>
          <w:sz w:val="20"/>
          <w:szCs w:val="20"/>
        </w:rPr>
        <w:fldChar w:fldCharType="end"/>
      </w:r>
      <w:r w:rsidRPr="005F4AC5">
        <w:rPr>
          <w:rFonts w:ascii="Times New Roman" w:hAnsi="Times New Roman" w:cs="Times New Roman"/>
          <w:sz w:val="20"/>
          <w:szCs w:val="20"/>
        </w:rPr>
        <w:t>.</w:t>
      </w:r>
    </w:p>
    <w:p w14:paraId="43C24DB5" w14:textId="1BA6EA59" w:rsidR="00D62E33" w:rsidRDefault="00D62E33" w:rsidP="000F6ACB">
      <w:pPr>
        <w:jc w:val="center"/>
        <w:rPr>
          <w:rFonts w:ascii="Times New Roman" w:hAnsi="Times New Roman" w:cs="Times New Roman"/>
          <w:sz w:val="24"/>
          <w:szCs w:val="24"/>
        </w:rPr>
      </w:pPr>
      <w:r>
        <w:rPr>
          <w:noProof/>
        </w:rPr>
        <w:drawing>
          <wp:inline distT="0" distB="0" distL="0" distR="0" wp14:anchorId="27EB6315" wp14:editId="4E43CE47">
            <wp:extent cx="4537363" cy="3257082"/>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040" t="15560" r="30379" b="5860"/>
                    <a:stretch/>
                  </pic:blipFill>
                  <pic:spPr bwMode="auto">
                    <a:xfrm>
                      <a:off x="0" y="0"/>
                      <a:ext cx="4554047" cy="3269058"/>
                    </a:xfrm>
                    <a:prstGeom prst="rect">
                      <a:avLst/>
                    </a:prstGeom>
                    <a:ln>
                      <a:noFill/>
                    </a:ln>
                    <a:extLst>
                      <a:ext uri="{53640926-AAD7-44D8-BBD7-CCE9431645EC}">
                        <a14:shadowObscured xmlns:a14="http://schemas.microsoft.com/office/drawing/2010/main"/>
                      </a:ext>
                    </a:extLst>
                  </pic:spPr>
                </pic:pic>
              </a:graphicData>
            </a:graphic>
          </wp:inline>
        </w:drawing>
      </w:r>
    </w:p>
    <w:p w14:paraId="2CC40A38" w14:textId="7C506B0E" w:rsidR="00D62E33" w:rsidRDefault="00D62E33" w:rsidP="00D361AC">
      <w:pPr>
        <w:jc w:val="center"/>
        <w:rPr>
          <w:rFonts w:ascii="Times New Roman" w:hAnsi="Times New Roman" w:cs="Times New Roman"/>
          <w:sz w:val="24"/>
          <w:szCs w:val="24"/>
        </w:rPr>
      </w:pPr>
      <w:r>
        <w:rPr>
          <w:noProof/>
        </w:rPr>
        <w:lastRenderedPageBreak/>
        <w:drawing>
          <wp:inline distT="0" distB="0" distL="0" distR="0" wp14:anchorId="3769B0C0" wp14:editId="062A90C4">
            <wp:extent cx="3874576" cy="3771246"/>
            <wp:effectExtent l="0" t="0" r="0" b="127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rotWithShape="1">
                    <a:blip r:embed="rId7"/>
                    <a:srcRect l="11484" t="29336" r="51209" b="6116"/>
                    <a:stretch/>
                  </pic:blipFill>
                  <pic:spPr bwMode="auto">
                    <a:xfrm>
                      <a:off x="0" y="0"/>
                      <a:ext cx="3880945" cy="3777445"/>
                    </a:xfrm>
                    <a:prstGeom prst="rect">
                      <a:avLst/>
                    </a:prstGeom>
                    <a:ln>
                      <a:noFill/>
                    </a:ln>
                    <a:extLst>
                      <a:ext uri="{53640926-AAD7-44D8-BBD7-CCE9431645EC}">
                        <a14:shadowObscured xmlns:a14="http://schemas.microsoft.com/office/drawing/2010/main"/>
                      </a:ext>
                    </a:extLst>
                  </pic:spPr>
                </pic:pic>
              </a:graphicData>
            </a:graphic>
          </wp:inline>
        </w:drawing>
      </w:r>
    </w:p>
    <w:p w14:paraId="509085FA" w14:textId="77777777" w:rsidR="00D361AC" w:rsidRDefault="00D361AC">
      <w:pPr>
        <w:rPr>
          <w:rFonts w:ascii="Times New Roman" w:hAnsi="Times New Roman" w:cs="Times New Roman"/>
          <w:sz w:val="24"/>
          <w:szCs w:val="24"/>
        </w:rPr>
      </w:pPr>
    </w:p>
    <w:p w14:paraId="4DBEF83E" w14:textId="4C66D0CA" w:rsidR="00D361AC" w:rsidRDefault="00D361AC" w:rsidP="005F4AC5">
      <w:pPr>
        <w:jc w:val="both"/>
        <w:rPr>
          <w:rFonts w:ascii="Times New Roman" w:hAnsi="Times New Roman" w:cs="Times New Roman"/>
          <w:sz w:val="20"/>
          <w:szCs w:val="20"/>
        </w:rPr>
      </w:pPr>
      <w:r w:rsidRPr="005F4AC5">
        <w:rPr>
          <w:rFonts w:ascii="Times New Roman" w:hAnsi="Times New Roman" w:cs="Times New Roman"/>
          <w:sz w:val="20"/>
          <w:szCs w:val="20"/>
        </w:rPr>
        <w:t>Fica claro que polimorfismos únicos não podem explicar a patogénese de uma doença complexa e atuam como um fator de risco independente. A principal dificuldade reside em encontrar a ligação entre as variantes encontradas e as manifestações fenotípicas, principalmente se o gene não estiver diretamente envolvido na regulação glicêmica.</w:t>
      </w:r>
      <w:r w:rsidR="00B933EE">
        <w:rPr>
          <w:rFonts w:ascii="Times New Roman" w:hAnsi="Times New Roman" w:cs="Times New Roman"/>
          <w:sz w:val="20"/>
          <w:szCs w:val="20"/>
        </w:rPr>
        <w:t xml:space="preserve"> </w:t>
      </w:r>
    </w:p>
    <w:p w14:paraId="0BF96C22" w14:textId="1600A636" w:rsidR="00B933EE" w:rsidRPr="00B933EE" w:rsidRDefault="00682D38" w:rsidP="00B933EE">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hAnsi="Times New Roman" w:cs="Times New Roman"/>
          <w:sz w:val="20"/>
          <w:szCs w:val="20"/>
        </w:rPr>
        <w:fldChar w:fldCharType="begin" w:fldLock="1"/>
      </w:r>
      <w:r>
        <w:rPr>
          <w:rFonts w:ascii="Times New Roman" w:hAnsi="Times New Roman" w:cs="Times New Roman"/>
          <w:sz w:val="20"/>
          <w:szCs w:val="20"/>
        </w:rPr>
        <w:instrText xml:space="preserve">ADDIN Mendeley Bibliography CSL_BIBLIOGRAPHY </w:instrText>
      </w:r>
      <w:r>
        <w:rPr>
          <w:rFonts w:ascii="Times New Roman" w:hAnsi="Times New Roman" w:cs="Times New Roman"/>
          <w:sz w:val="20"/>
          <w:szCs w:val="20"/>
        </w:rPr>
        <w:fldChar w:fldCharType="separate"/>
      </w:r>
      <w:r w:rsidR="00B933EE" w:rsidRPr="00B933EE">
        <w:rPr>
          <w:rFonts w:ascii="Times New Roman" w:hAnsi="Times New Roman" w:cs="Times New Roman"/>
          <w:noProof/>
          <w:sz w:val="20"/>
          <w:szCs w:val="24"/>
        </w:rPr>
        <w:t>1.</w:t>
      </w:r>
      <w:r w:rsidR="00B933EE" w:rsidRPr="00B933EE">
        <w:rPr>
          <w:rFonts w:ascii="Times New Roman" w:hAnsi="Times New Roman" w:cs="Times New Roman"/>
          <w:noProof/>
          <w:sz w:val="20"/>
          <w:szCs w:val="24"/>
        </w:rPr>
        <w:tab/>
        <w:t xml:space="preserve">Alur, V. </w:t>
      </w:r>
      <w:r w:rsidR="00B933EE" w:rsidRPr="00B933EE">
        <w:rPr>
          <w:rFonts w:ascii="Times New Roman" w:hAnsi="Times New Roman" w:cs="Times New Roman"/>
          <w:i/>
          <w:iCs/>
          <w:noProof/>
          <w:sz w:val="20"/>
          <w:szCs w:val="24"/>
        </w:rPr>
        <w:t>et al.</w:t>
      </w:r>
      <w:r w:rsidR="00B933EE" w:rsidRPr="00B933EE">
        <w:rPr>
          <w:rFonts w:ascii="Times New Roman" w:hAnsi="Times New Roman" w:cs="Times New Roman"/>
          <w:noProof/>
          <w:sz w:val="20"/>
          <w:szCs w:val="24"/>
        </w:rPr>
        <w:t xml:space="preserve"> Analysis of key genes and pathways associated with the pathogenesis of Type 2 diabetes mellitus. (2021).</w:t>
      </w:r>
    </w:p>
    <w:p w14:paraId="7AB61EAD" w14:textId="77777777" w:rsidR="00B933EE" w:rsidRPr="00B933EE" w:rsidRDefault="00B933EE" w:rsidP="00B933EE">
      <w:pPr>
        <w:widowControl w:val="0"/>
        <w:autoSpaceDE w:val="0"/>
        <w:autoSpaceDN w:val="0"/>
        <w:adjustRightInd w:val="0"/>
        <w:spacing w:line="240" w:lineRule="auto"/>
        <w:ind w:left="640" w:hanging="640"/>
        <w:rPr>
          <w:rFonts w:ascii="Times New Roman" w:hAnsi="Times New Roman" w:cs="Times New Roman"/>
          <w:noProof/>
          <w:sz w:val="20"/>
          <w:szCs w:val="24"/>
        </w:rPr>
      </w:pPr>
      <w:r w:rsidRPr="00B933EE">
        <w:rPr>
          <w:rFonts w:ascii="Times New Roman" w:hAnsi="Times New Roman" w:cs="Times New Roman"/>
          <w:noProof/>
          <w:sz w:val="20"/>
          <w:szCs w:val="24"/>
        </w:rPr>
        <w:t>2.</w:t>
      </w:r>
      <w:r w:rsidRPr="00B933EE">
        <w:rPr>
          <w:rFonts w:ascii="Times New Roman" w:hAnsi="Times New Roman" w:cs="Times New Roman"/>
          <w:noProof/>
          <w:sz w:val="20"/>
          <w:szCs w:val="24"/>
        </w:rPr>
        <w:tab/>
        <w:t xml:space="preserve">Zhang, Y. </w:t>
      </w:r>
      <w:r w:rsidRPr="00B933EE">
        <w:rPr>
          <w:rFonts w:ascii="Times New Roman" w:hAnsi="Times New Roman" w:cs="Times New Roman"/>
          <w:i/>
          <w:iCs/>
          <w:noProof/>
          <w:sz w:val="20"/>
          <w:szCs w:val="24"/>
        </w:rPr>
        <w:t>et al.</w:t>
      </w:r>
      <w:r w:rsidRPr="00B933EE">
        <w:rPr>
          <w:rFonts w:ascii="Times New Roman" w:hAnsi="Times New Roman" w:cs="Times New Roman"/>
          <w:noProof/>
          <w:sz w:val="20"/>
          <w:szCs w:val="24"/>
        </w:rPr>
        <w:t xml:space="preserve"> The RNA-Binding Protein DDX18 Promotes Gastric Cancer by Affecting the Maturation of MicroRNA-21. </w:t>
      </w:r>
      <w:r w:rsidRPr="00B933EE">
        <w:rPr>
          <w:rFonts w:ascii="Times New Roman" w:hAnsi="Times New Roman" w:cs="Times New Roman"/>
          <w:i/>
          <w:iCs/>
          <w:noProof/>
          <w:sz w:val="20"/>
          <w:szCs w:val="24"/>
        </w:rPr>
        <w:t>Front. Oncol.</w:t>
      </w:r>
      <w:r w:rsidRPr="00B933EE">
        <w:rPr>
          <w:rFonts w:ascii="Times New Roman" w:hAnsi="Times New Roman" w:cs="Times New Roman"/>
          <w:noProof/>
          <w:sz w:val="20"/>
          <w:szCs w:val="24"/>
        </w:rPr>
        <w:t xml:space="preserve"> </w:t>
      </w:r>
      <w:r w:rsidRPr="00B933EE">
        <w:rPr>
          <w:rFonts w:ascii="Times New Roman" w:hAnsi="Times New Roman" w:cs="Times New Roman"/>
          <w:b/>
          <w:bCs/>
          <w:noProof/>
          <w:sz w:val="20"/>
          <w:szCs w:val="24"/>
        </w:rPr>
        <w:t>10</w:t>
      </w:r>
      <w:r w:rsidRPr="00B933EE">
        <w:rPr>
          <w:rFonts w:ascii="Times New Roman" w:hAnsi="Times New Roman" w:cs="Times New Roman"/>
          <w:noProof/>
          <w:sz w:val="20"/>
          <w:szCs w:val="24"/>
        </w:rPr>
        <w:t>, 1–15 (2021).</w:t>
      </w:r>
    </w:p>
    <w:p w14:paraId="37C3DA3E" w14:textId="77777777" w:rsidR="00B933EE" w:rsidRPr="00B933EE" w:rsidRDefault="00B933EE" w:rsidP="00B933EE">
      <w:pPr>
        <w:widowControl w:val="0"/>
        <w:autoSpaceDE w:val="0"/>
        <w:autoSpaceDN w:val="0"/>
        <w:adjustRightInd w:val="0"/>
        <w:spacing w:line="240" w:lineRule="auto"/>
        <w:ind w:left="640" w:hanging="640"/>
        <w:rPr>
          <w:rFonts w:ascii="Times New Roman" w:hAnsi="Times New Roman" w:cs="Times New Roman"/>
          <w:noProof/>
          <w:sz w:val="20"/>
          <w:szCs w:val="24"/>
        </w:rPr>
      </w:pPr>
      <w:r w:rsidRPr="00B933EE">
        <w:rPr>
          <w:rFonts w:ascii="Times New Roman" w:hAnsi="Times New Roman" w:cs="Times New Roman"/>
          <w:noProof/>
          <w:sz w:val="20"/>
          <w:szCs w:val="24"/>
        </w:rPr>
        <w:t>3.</w:t>
      </w:r>
      <w:r w:rsidRPr="00B933EE">
        <w:rPr>
          <w:rFonts w:ascii="Times New Roman" w:hAnsi="Times New Roman" w:cs="Times New Roman"/>
          <w:noProof/>
          <w:sz w:val="20"/>
          <w:szCs w:val="24"/>
        </w:rPr>
        <w:tab/>
        <w:t xml:space="preserve">Mahajan, A. </w:t>
      </w:r>
      <w:r w:rsidRPr="00B933EE">
        <w:rPr>
          <w:rFonts w:ascii="Times New Roman" w:hAnsi="Times New Roman" w:cs="Times New Roman"/>
          <w:i/>
          <w:iCs/>
          <w:noProof/>
          <w:sz w:val="20"/>
          <w:szCs w:val="24"/>
        </w:rPr>
        <w:t>et al.</w:t>
      </w:r>
      <w:r w:rsidRPr="00B933EE">
        <w:rPr>
          <w:rFonts w:ascii="Times New Roman" w:hAnsi="Times New Roman" w:cs="Times New Roman"/>
          <w:noProof/>
          <w:sz w:val="20"/>
          <w:szCs w:val="24"/>
        </w:rPr>
        <w:t xml:space="preserve"> Fine-mapping type 2 diabetes loci to single-variant resolution using high-density imputation and islet-specific epigenome maps. </w:t>
      </w:r>
      <w:r w:rsidRPr="00B933EE">
        <w:rPr>
          <w:rFonts w:ascii="Times New Roman" w:hAnsi="Times New Roman" w:cs="Times New Roman"/>
          <w:i/>
          <w:iCs/>
          <w:noProof/>
          <w:sz w:val="20"/>
          <w:szCs w:val="24"/>
        </w:rPr>
        <w:t>Nat. Genet.</w:t>
      </w:r>
      <w:r w:rsidRPr="00B933EE">
        <w:rPr>
          <w:rFonts w:ascii="Times New Roman" w:hAnsi="Times New Roman" w:cs="Times New Roman"/>
          <w:noProof/>
          <w:sz w:val="20"/>
          <w:szCs w:val="24"/>
        </w:rPr>
        <w:t xml:space="preserve"> </w:t>
      </w:r>
      <w:r w:rsidRPr="00B933EE">
        <w:rPr>
          <w:rFonts w:ascii="Times New Roman" w:hAnsi="Times New Roman" w:cs="Times New Roman"/>
          <w:b/>
          <w:bCs/>
          <w:noProof/>
          <w:sz w:val="20"/>
          <w:szCs w:val="24"/>
        </w:rPr>
        <w:t>50</w:t>
      </w:r>
      <w:r w:rsidRPr="00B933EE">
        <w:rPr>
          <w:rFonts w:ascii="Times New Roman" w:hAnsi="Times New Roman" w:cs="Times New Roman"/>
          <w:noProof/>
          <w:sz w:val="20"/>
          <w:szCs w:val="24"/>
        </w:rPr>
        <w:t>, 1505–1513 (2018).</w:t>
      </w:r>
    </w:p>
    <w:p w14:paraId="6F985F0D" w14:textId="77777777" w:rsidR="00B933EE" w:rsidRPr="00B933EE" w:rsidRDefault="00B933EE" w:rsidP="00B933EE">
      <w:pPr>
        <w:widowControl w:val="0"/>
        <w:autoSpaceDE w:val="0"/>
        <w:autoSpaceDN w:val="0"/>
        <w:adjustRightInd w:val="0"/>
        <w:spacing w:line="240" w:lineRule="auto"/>
        <w:ind w:left="640" w:hanging="640"/>
        <w:rPr>
          <w:rFonts w:ascii="Times New Roman" w:hAnsi="Times New Roman" w:cs="Times New Roman"/>
          <w:noProof/>
          <w:sz w:val="20"/>
          <w:szCs w:val="24"/>
        </w:rPr>
      </w:pPr>
      <w:r w:rsidRPr="00B933EE">
        <w:rPr>
          <w:rFonts w:ascii="Times New Roman" w:hAnsi="Times New Roman" w:cs="Times New Roman"/>
          <w:noProof/>
          <w:sz w:val="20"/>
          <w:szCs w:val="24"/>
        </w:rPr>
        <w:t>4.</w:t>
      </w:r>
      <w:r w:rsidRPr="00B933EE">
        <w:rPr>
          <w:rFonts w:ascii="Times New Roman" w:hAnsi="Times New Roman" w:cs="Times New Roman"/>
          <w:noProof/>
          <w:sz w:val="20"/>
          <w:szCs w:val="24"/>
        </w:rPr>
        <w:tab/>
        <w:t xml:space="preserve">Srinivasan, S. </w:t>
      </w:r>
      <w:r w:rsidRPr="00B933EE">
        <w:rPr>
          <w:rFonts w:ascii="Times New Roman" w:hAnsi="Times New Roman" w:cs="Times New Roman"/>
          <w:i/>
          <w:iCs/>
          <w:noProof/>
          <w:sz w:val="20"/>
          <w:szCs w:val="24"/>
        </w:rPr>
        <w:t>et al.</w:t>
      </w:r>
      <w:r w:rsidRPr="00B933EE">
        <w:rPr>
          <w:rFonts w:ascii="Times New Roman" w:hAnsi="Times New Roman" w:cs="Times New Roman"/>
          <w:noProof/>
          <w:sz w:val="20"/>
          <w:szCs w:val="24"/>
        </w:rPr>
        <w:t xml:space="preserve"> The First Genome-Wide Association Study for Type 2 Diabetes in Youth: The Progress in Diabetes Genetics in Youth (ProDiGY) Consortium. </w:t>
      </w:r>
      <w:r w:rsidRPr="00B933EE">
        <w:rPr>
          <w:rFonts w:ascii="Times New Roman" w:hAnsi="Times New Roman" w:cs="Times New Roman"/>
          <w:i/>
          <w:iCs/>
          <w:noProof/>
          <w:sz w:val="20"/>
          <w:szCs w:val="24"/>
        </w:rPr>
        <w:t>Diabetes</w:t>
      </w:r>
      <w:r w:rsidRPr="00B933EE">
        <w:rPr>
          <w:rFonts w:ascii="Times New Roman" w:hAnsi="Times New Roman" w:cs="Times New Roman"/>
          <w:noProof/>
          <w:sz w:val="20"/>
          <w:szCs w:val="24"/>
        </w:rPr>
        <w:t xml:space="preserve"> </w:t>
      </w:r>
      <w:r w:rsidRPr="00B933EE">
        <w:rPr>
          <w:rFonts w:ascii="Times New Roman" w:hAnsi="Times New Roman" w:cs="Times New Roman"/>
          <w:b/>
          <w:bCs/>
          <w:noProof/>
          <w:sz w:val="20"/>
          <w:szCs w:val="24"/>
        </w:rPr>
        <w:t>70</w:t>
      </w:r>
      <w:r w:rsidRPr="00B933EE">
        <w:rPr>
          <w:rFonts w:ascii="Times New Roman" w:hAnsi="Times New Roman" w:cs="Times New Roman"/>
          <w:noProof/>
          <w:sz w:val="20"/>
          <w:szCs w:val="24"/>
        </w:rPr>
        <w:t>, 996–1005 (2021).</w:t>
      </w:r>
    </w:p>
    <w:p w14:paraId="43837075" w14:textId="77777777" w:rsidR="00B933EE" w:rsidRPr="00B933EE" w:rsidRDefault="00B933EE" w:rsidP="00B933EE">
      <w:pPr>
        <w:widowControl w:val="0"/>
        <w:autoSpaceDE w:val="0"/>
        <w:autoSpaceDN w:val="0"/>
        <w:adjustRightInd w:val="0"/>
        <w:spacing w:line="240" w:lineRule="auto"/>
        <w:ind w:left="640" w:hanging="640"/>
        <w:rPr>
          <w:rFonts w:ascii="Times New Roman" w:hAnsi="Times New Roman" w:cs="Times New Roman"/>
          <w:noProof/>
          <w:sz w:val="20"/>
          <w:szCs w:val="24"/>
        </w:rPr>
      </w:pPr>
      <w:r w:rsidRPr="00B933EE">
        <w:rPr>
          <w:rFonts w:ascii="Times New Roman" w:hAnsi="Times New Roman" w:cs="Times New Roman"/>
          <w:noProof/>
          <w:sz w:val="20"/>
          <w:szCs w:val="24"/>
        </w:rPr>
        <w:t>5.</w:t>
      </w:r>
      <w:r w:rsidRPr="00B933EE">
        <w:rPr>
          <w:rFonts w:ascii="Times New Roman" w:hAnsi="Times New Roman" w:cs="Times New Roman"/>
          <w:noProof/>
          <w:sz w:val="20"/>
          <w:szCs w:val="24"/>
        </w:rPr>
        <w:tab/>
        <w:t xml:space="preserve">Chi, T. </w:t>
      </w:r>
      <w:r w:rsidRPr="00B933EE">
        <w:rPr>
          <w:rFonts w:ascii="Times New Roman" w:hAnsi="Times New Roman" w:cs="Times New Roman"/>
          <w:i/>
          <w:iCs/>
          <w:noProof/>
          <w:sz w:val="20"/>
          <w:szCs w:val="24"/>
        </w:rPr>
        <w:t>et al.</w:t>
      </w:r>
      <w:r w:rsidRPr="00B933EE">
        <w:rPr>
          <w:rFonts w:ascii="Times New Roman" w:hAnsi="Times New Roman" w:cs="Times New Roman"/>
          <w:noProof/>
          <w:sz w:val="20"/>
          <w:szCs w:val="24"/>
        </w:rPr>
        <w:t xml:space="preserve"> Non-Coding RNA as Biomarkers for Type 2 Diabetes Development and Clinical Management. </w:t>
      </w:r>
      <w:r w:rsidRPr="00B933EE">
        <w:rPr>
          <w:rFonts w:ascii="Times New Roman" w:hAnsi="Times New Roman" w:cs="Times New Roman"/>
          <w:i/>
          <w:iCs/>
          <w:noProof/>
          <w:sz w:val="20"/>
          <w:szCs w:val="24"/>
        </w:rPr>
        <w:t>Front. Endocrinol. (Lausanne).</w:t>
      </w:r>
      <w:r w:rsidRPr="00B933EE">
        <w:rPr>
          <w:rFonts w:ascii="Times New Roman" w:hAnsi="Times New Roman" w:cs="Times New Roman"/>
          <w:noProof/>
          <w:sz w:val="20"/>
          <w:szCs w:val="24"/>
        </w:rPr>
        <w:t xml:space="preserve"> </w:t>
      </w:r>
      <w:r w:rsidRPr="00B933EE">
        <w:rPr>
          <w:rFonts w:ascii="Times New Roman" w:hAnsi="Times New Roman" w:cs="Times New Roman"/>
          <w:b/>
          <w:bCs/>
          <w:noProof/>
          <w:sz w:val="20"/>
          <w:szCs w:val="24"/>
        </w:rPr>
        <w:t>12</w:t>
      </w:r>
      <w:r w:rsidRPr="00B933EE">
        <w:rPr>
          <w:rFonts w:ascii="Times New Roman" w:hAnsi="Times New Roman" w:cs="Times New Roman"/>
          <w:noProof/>
          <w:sz w:val="20"/>
          <w:szCs w:val="24"/>
        </w:rPr>
        <w:t>, 1–9 (2021).</w:t>
      </w:r>
    </w:p>
    <w:p w14:paraId="247E005D" w14:textId="77777777" w:rsidR="00B933EE" w:rsidRPr="00B933EE" w:rsidRDefault="00B933EE" w:rsidP="00B933EE">
      <w:pPr>
        <w:widowControl w:val="0"/>
        <w:autoSpaceDE w:val="0"/>
        <w:autoSpaceDN w:val="0"/>
        <w:adjustRightInd w:val="0"/>
        <w:spacing w:line="240" w:lineRule="auto"/>
        <w:ind w:left="640" w:hanging="640"/>
        <w:rPr>
          <w:rFonts w:ascii="Times New Roman" w:hAnsi="Times New Roman" w:cs="Times New Roman"/>
          <w:noProof/>
          <w:sz w:val="20"/>
        </w:rPr>
      </w:pPr>
      <w:r w:rsidRPr="00B933EE">
        <w:rPr>
          <w:rFonts w:ascii="Times New Roman" w:hAnsi="Times New Roman" w:cs="Times New Roman"/>
          <w:noProof/>
          <w:sz w:val="20"/>
          <w:szCs w:val="24"/>
        </w:rPr>
        <w:t>6.</w:t>
      </w:r>
      <w:r w:rsidRPr="00B933EE">
        <w:rPr>
          <w:rFonts w:ascii="Times New Roman" w:hAnsi="Times New Roman" w:cs="Times New Roman"/>
          <w:noProof/>
          <w:sz w:val="20"/>
          <w:szCs w:val="24"/>
        </w:rPr>
        <w:tab/>
        <w:t xml:space="preserve">Mishra, S. </w:t>
      </w:r>
      <w:r w:rsidRPr="00B933EE">
        <w:rPr>
          <w:rFonts w:ascii="Times New Roman" w:hAnsi="Times New Roman" w:cs="Times New Roman"/>
          <w:i/>
          <w:iCs/>
          <w:noProof/>
          <w:sz w:val="20"/>
          <w:szCs w:val="24"/>
        </w:rPr>
        <w:t>et al.</w:t>
      </w:r>
      <w:r w:rsidRPr="00B933EE">
        <w:rPr>
          <w:rFonts w:ascii="Times New Roman" w:hAnsi="Times New Roman" w:cs="Times New Roman"/>
          <w:noProof/>
          <w:sz w:val="20"/>
          <w:szCs w:val="24"/>
        </w:rPr>
        <w:t xml:space="preserve"> A comprehensive overview on Micro RNA signature in type 2 diabetes Mellitus and its complications. </w:t>
      </w:r>
      <w:r w:rsidRPr="00B933EE">
        <w:rPr>
          <w:rFonts w:ascii="Times New Roman" w:hAnsi="Times New Roman" w:cs="Times New Roman"/>
          <w:i/>
          <w:iCs/>
          <w:noProof/>
          <w:sz w:val="20"/>
          <w:szCs w:val="24"/>
        </w:rPr>
        <w:t>Indian J. Clin. Biochem.</w:t>
      </w:r>
      <w:r w:rsidRPr="00B933EE">
        <w:rPr>
          <w:rFonts w:ascii="Times New Roman" w:hAnsi="Times New Roman" w:cs="Times New Roman"/>
          <w:noProof/>
          <w:sz w:val="20"/>
          <w:szCs w:val="24"/>
        </w:rPr>
        <w:t xml:space="preserve"> (2022) doi:10.1007/s12291-022-01069-1.</w:t>
      </w:r>
    </w:p>
    <w:p w14:paraId="27BC05E2" w14:textId="5E6CAAF3" w:rsidR="00682D38" w:rsidRPr="005F4AC5" w:rsidRDefault="00682D38" w:rsidP="005F4AC5">
      <w:pPr>
        <w:jc w:val="both"/>
        <w:rPr>
          <w:rFonts w:ascii="Times New Roman" w:hAnsi="Times New Roman" w:cs="Times New Roman"/>
          <w:sz w:val="20"/>
          <w:szCs w:val="20"/>
        </w:rPr>
      </w:pPr>
      <w:r>
        <w:rPr>
          <w:rFonts w:ascii="Times New Roman" w:hAnsi="Times New Roman" w:cs="Times New Roman"/>
          <w:sz w:val="20"/>
          <w:szCs w:val="20"/>
        </w:rPr>
        <w:fldChar w:fldCharType="end"/>
      </w:r>
    </w:p>
    <w:p w14:paraId="2BF3A5D2" w14:textId="77777777" w:rsidR="00443D69" w:rsidRPr="00AC3543" w:rsidRDefault="00443D69">
      <w:pPr>
        <w:rPr>
          <w:rFonts w:ascii="Times New Roman" w:hAnsi="Times New Roman" w:cs="Times New Roman"/>
          <w:sz w:val="24"/>
          <w:szCs w:val="24"/>
        </w:rPr>
      </w:pPr>
    </w:p>
    <w:sectPr w:rsidR="00443D69" w:rsidRPr="00AC35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543"/>
    <w:rsid w:val="000201A4"/>
    <w:rsid w:val="00052FE3"/>
    <w:rsid w:val="000F6ACB"/>
    <w:rsid w:val="003A2A7C"/>
    <w:rsid w:val="00443D69"/>
    <w:rsid w:val="005F4AC5"/>
    <w:rsid w:val="00682D38"/>
    <w:rsid w:val="007C6F4D"/>
    <w:rsid w:val="007C72AA"/>
    <w:rsid w:val="009A23CB"/>
    <w:rsid w:val="009C7929"/>
    <w:rsid w:val="00AC3543"/>
    <w:rsid w:val="00B30BA9"/>
    <w:rsid w:val="00B933EE"/>
    <w:rsid w:val="00CC0DED"/>
    <w:rsid w:val="00D361AC"/>
    <w:rsid w:val="00D62E33"/>
    <w:rsid w:val="00E2395F"/>
    <w:rsid w:val="00F151C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6A84"/>
  <w15:chartTrackingRefBased/>
  <w15:docId w15:val="{7E5B1EAB-ECA9-41A8-8093-4919BE8BE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0191">
      <w:bodyDiv w:val="1"/>
      <w:marLeft w:val="0"/>
      <w:marRight w:val="0"/>
      <w:marTop w:val="0"/>
      <w:marBottom w:val="0"/>
      <w:divBdr>
        <w:top w:val="none" w:sz="0" w:space="0" w:color="auto"/>
        <w:left w:val="none" w:sz="0" w:space="0" w:color="auto"/>
        <w:bottom w:val="none" w:sz="0" w:space="0" w:color="auto"/>
        <w:right w:val="none" w:sz="0" w:space="0" w:color="auto"/>
      </w:divBdr>
    </w:div>
    <w:div w:id="126708302">
      <w:bodyDiv w:val="1"/>
      <w:marLeft w:val="0"/>
      <w:marRight w:val="0"/>
      <w:marTop w:val="0"/>
      <w:marBottom w:val="0"/>
      <w:divBdr>
        <w:top w:val="none" w:sz="0" w:space="0" w:color="auto"/>
        <w:left w:val="none" w:sz="0" w:space="0" w:color="auto"/>
        <w:bottom w:val="none" w:sz="0" w:space="0" w:color="auto"/>
        <w:right w:val="none" w:sz="0" w:space="0" w:color="auto"/>
      </w:divBdr>
    </w:div>
    <w:div w:id="816144021">
      <w:bodyDiv w:val="1"/>
      <w:marLeft w:val="0"/>
      <w:marRight w:val="0"/>
      <w:marTop w:val="0"/>
      <w:marBottom w:val="0"/>
      <w:divBdr>
        <w:top w:val="none" w:sz="0" w:space="0" w:color="auto"/>
        <w:left w:val="none" w:sz="0" w:space="0" w:color="auto"/>
        <w:bottom w:val="none" w:sz="0" w:space="0" w:color="auto"/>
        <w:right w:val="none" w:sz="0" w:space="0" w:color="auto"/>
      </w:divBdr>
    </w:div>
    <w:div w:id="1062486912">
      <w:bodyDiv w:val="1"/>
      <w:marLeft w:val="0"/>
      <w:marRight w:val="0"/>
      <w:marTop w:val="0"/>
      <w:marBottom w:val="0"/>
      <w:divBdr>
        <w:top w:val="none" w:sz="0" w:space="0" w:color="auto"/>
        <w:left w:val="none" w:sz="0" w:space="0" w:color="auto"/>
        <w:bottom w:val="none" w:sz="0" w:space="0" w:color="auto"/>
        <w:right w:val="none" w:sz="0" w:space="0" w:color="auto"/>
      </w:divBdr>
    </w:div>
    <w:div w:id="209816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846A6-092B-4F15-BA8A-B23D8293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Pages>
  <Words>5284</Words>
  <Characters>28535</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Sousa</dc:creator>
  <cp:keywords/>
  <dc:description/>
  <cp:lastModifiedBy>Guilherme Sousa</cp:lastModifiedBy>
  <cp:revision>5</cp:revision>
  <dcterms:created xsi:type="dcterms:W3CDTF">2022-12-20T14:06:00Z</dcterms:created>
  <dcterms:modified xsi:type="dcterms:W3CDTF">2023-01-23T19:19:00Z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daee6546-8fd6-37a9-b4bb-d10d8ec7d4a9</vt:lpwstr>
  </property>
  <property fmtid="{D5CDD505-2E9C-101B-9397-08002B2CF9AE}" pid="24" name="Mendeley Citation Style_1">
    <vt:lpwstr>http://www.zotero.org/styles/nature</vt:lpwstr>
  </property>
</Properties>
</file>