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CA3DC" w14:textId="0936C18C" w:rsidR="00AC3543" w:rsidRDefault="00AC354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Análise de Literatura:</w:t>
      </w:r>
    </w:p>
    <w:p w14:paraId="14ABC7D1" w14:textId="235223BC" w:rsidR="00AC3543" w:rsidRDefault="00AC354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Diabetes tipo II:</w:t>
      </w:r>
    </w:p>
    <w:p w14:paraId="643FAFB9" w14:textId="51BA394F" w:rsidR="009C7929" w:rsidRPr="00D361AC" w:rsidRDefault="00AC3543" w:rsidP="00D361AC">
      <w:pPr>
        <w:jc w:val="both"/>
        <w:rPr>
          <w:rFonts w:ascii="Times New Roman" w:hAnsi="Times New Roman" w:cs="Times New Roman"/>
          <w:sz w:val="20"/>
          <w:szCs w:val="20"/>
        </w:rPr>
      </w:pPr>
      <w:r w:rsidRPr="00D361AC">
        <w:rPr>
          <w:rFonts w:ascii="Times New Roman" w:hAnsi="Times New Roman" w:cs="Times New Roman"/>
          <w:sz w:val="20"/>
          <w:szCs w:val="20"/>
        </w:rPr>
        <w:t>Esta patologia é considerada uma séria ameaça à saúde humana</w:t>
      </w:r>
      <w:r w:rsidR="00D361AC" w:rsidRPr="00D361AC">
        <w:rPr>
          <w:rFonts w:ascii="Times New Roman" w:hAnsi="Times New Roman" w:cs="Times New Roman"/>
          <w:sz w:val="20"/>
          <w:szCs w:val="20"/>
        </w:rPr>
        <w:t xml:space="preserve">, </w:t>
      </w:r>
      <w:r w:rsidR="009C7929" w:rsidRPr="00D361AC">
        <w:rPr>
          <w:rFonts w:ascii="Times New Roman" w:hAnsi="Times New Roman" w:cs="Times New Roman"/>
          <w:sz w:val="20"/>
          <w:szCs w:val="20"/>
        </w:rPr>
        <w:t>cuja característica principal é a diminuição da produção de insulina tipicamente acompanhada pela resistência à mesma.</w:t>
      </w:r>
    </w:p>
    <w:p w14:paraId="78E0E1FF" w14:textId="159BD396" w:rsidR="009C7929" w:rsidRPr="00D361AC" w:rsidRDefault="009C7929" w:rsidP="00D361AC">
      <w:pPr>
        <w:jc w:val="both"/>
        <w:rPr>
          <w:rFonts w:ascii="Times New Roman" w:hAnsi="Times New Roman" w:cs="Times New Roman"/>
          <w:sz w:val="20"/>
          <w:szCs w:val="20"/>
        </w:rPr>
      </w:pPr>
      <w:r w:rsidRPr="00D361AC">
        <w:rPr>
          <w:rFonts w:ascii="Times New Roman" w:hAnsi="Times New Roman" w:cs="Times New Roman"/>
          <w:sz w:val="20"/>
          <w:szCs w:val="20"/>
        </w:rPr>
        <w:t>O conhecimento sobre esta patologia tem evoluído ao longo dos anos, todavia a causa exata e o total conhecimento do mecanismo associado</w:t>
      </w:r>
      <w:r w:rsidR="00D361AC" w:rsidRPr="00D361AC">
        <w:rPr>
          <w:rFonts w:ascii="Times New Roman" w:hAnsi="Times New Roman" w:cs="Times New Roman"/>
          <w:sz w:val="20"/>
          <w:szCs w:val="20"/>
        </w:rPr>
        <w:t>,</w:t>
      </w:r>
      <w:r w:rsidRPr="00D361AC">
        <w:rPr>
          <w:rFonts w:ascii="Times New Roman" w:hAnsi="Times New Roman" w:cs="Times New Roman"/>
          <w:sz w:val="20"/>
          <w:szCs w:val="20"/>
        </w:rPr>
        <w:t xml:space="preserve"> ainda não </w:t>
      </w:r>
      <w:r w:rsidR="00D361AC" w:rsidRPr="00D361AC">
        <w:rPr>
          <w:rFonts w:ascii="Times New Roman" w:hAnsi="Times New Roman" w:cs="Times New Roman"/>
          <w:sz w:val="20"/>
          <w:szCs w:val="20"/>
        </w:rPr>
        <w:t xml:space="preserve">são </w:t>
      </w:r>
      <w:r w:rsidRPr="00D361AC">
        <w:rPr>
          <w:rFonts w:ascii="Times New Roman" w:hAnsi="Times New Roman" w:cs="Times New Roman"/>
          <w:sz w:val="20"/>
          <w:szCs w:val="20"/>
        </w:rPr>
        <w:t xml:space="preserve">completamente </w:t>
      </w:r>
      <w:r w:rsidR="005F4AC5" w:rsidRPr="00D361AC">
        <w:rPr>
          <w:rFonts w:ascii="Times New Roman" w:hAnsi="Times New Roman" w:cs="Times New Roman"/>
          <w:sz w:val="20"/>
          <w:szCs w:val="20"/>
        </w:rPr>
        <w:t>detalhados</w:t>
      </w:r>
      <w:r w:rsidRPr="00D361AC">
        <w:rPr>
          <w:rFonts w:ascii="Times New Roman" w:hAnsi="Times New Roman" w:cs="Times New Roman"/>
          <w:sz w:val="20"/>
          <w:szCs w:val="20"/>
        </w:rPr>
        <w:t>. Estes fatores levam à necessidade de identificar genes e seus mecanismos associado de modo a descobrir eventuais biomarcadores da DTII.</w:t>
      </w:r>
    </w:p>
    <w:p w14:paraId="2131B532" w14:textId="26E9CD00" w:rsidR="00AC3543" w:rsidRPr="00D361AC" w:rsidRDefault="00AC3543" w:rsidP="00D361AC">
      <w:pPr>
        <w:jc w:val="both"/>
        <w:rPr>
          <w:rFonts w:ascii="Times New Roman" w:hAnsi="Times New Roman" w:cs="Times New Roman"/>
          <w:sz w:val="20"/>
          <w:szCs w:val="20"/>
        </w:rPr>
      </w:pPr>
      <w:r w:rsidRPr="00D361AC">
        <w:rPr>
          <w:rFonts w:ascii="Times New Roman" w:hAnsi="Times New Roman" w:cs="Times New Roman"/>
          <w:sz w:val="20"/>
          <w:szCs w:val="20"/>
        </w:rPr>
        <w:t>Associado a qualquer patologia temos uma expressão de genes, que pode ou não estar alterada. Segundo o artigo “</w:t>
      </w:r>
      <w:proofErr w:type="spellStart"/>
      <w:r w:rsidRPr="00D361AC">
        <w:rPr>
          <w:rFonts w:ascii="Times New Roman" w:hAnsi="Times New Roman" w:cs="Times New Roman"/>
          <w:sz w:val="20"/>
          <w:szCs w:val="20"/>
        </w:rPr>
        <w:t>Analysis</w:t>
      </w:r>
      <w:proofErr w:type="spellEnd"/>
      <w:r w:rsidRPr="00D361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361AC">
        <w:rPr>
          <w:rFonts w:ascii="Times New Roman" w:hAnsi="Times New Roman" w:cs="Times New Roman"/>
          <w:sz w:val="20"/>
          <w:szCs w:val="20"/>
        </w:rPr>
        <w:t>of</w:t>
      </w:r>
      <w:proofErr w:type="spellEnd"/>
      <w:r w:rsidRPr="00D361AC">
        <w:rPr>
          <w:rFonts w:ascii="Times New Roman" w:hAnsi="Times New Roman" w:cs="Times New Roman"/>
          <w:sz w:val="20"/>
          <w:szCs w:val="20"/>
        </w:rPr>
        <w:t xml:space="preserve"> key genes </w:t>
      </w:r>
      <w:proofErr w:type="spellStart"/>
      <w:r w:rsidRPr="00D361AC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D361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361AC">
        <w:rPr>
          <w:rFonts w:ascii="Times New Roman" w:hAnsi="Times New Roman" w:cs="Times New Roman"/>
          <w:sz w:val="20"/>
          <w:szCs w:val="20"/>
        </w:rPr>
        <w:t>pathways</w:t>
      </w:r>
      <w:proofErr w:type="spellEnd"/>
      <w:r w:rsidRPr="00D361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361AC">
        <w:rPr>
          <w:rFonts w:ascii="Times New Roman" w:hAnsi="Times New Roman" w:cs="Times New Roman"/>
          <w:sz w:val="20"/>
          <w:szCs w:val="20"/>
        </w:rPr>
        <w:t>associated</w:t>
      </w:r>
      <w:proofErr w:type="spellEnd"/>
      <w:r w:rsidRPr="00D361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361AC">
        <w:rPr>
          <w:rFonts w:ascii="Times New Roman" w:hAnsi="Times New Roman" w:cs="Times New Roman"/>
          <w:sz w:val="20"/>
          <w:szCs w:val="20"/>
        </w:rPr>
        <w:t>with</w:t>
      </w:r>
      <w:proofErr w:type="spellEnd"/>
      <w:r w:rsidRPr="00D361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361AC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D361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361AC">
        <w:rPr>
          <w:rFonts w:ascii="Times New Roman" w:hAnsi="Times New Roman" w:cs="Times New Roman"/>
          <w:sz w:val="20"/>
          <w:szCs w:val="20"/>
        </w:rPr>
        <w:t>pathogenesis</w:t>
      </w:r>
      <w:proofErr w:type="spellEnd"/>
      <w:r w:rsidRPr="00D361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361AC">
        <w:rPr>
          <w:rFonts w:ascii="Times New Roman" w:hAnsi="Times New Roman" w:cs="Times New Roman"/>
          <w:sz w:val="20"/>
          <w:szCs w:val="20"/>
        </w:rPr>
        <w:t>of</w:t>
      </w:r>
      <w:proofErr w:type="spellEnd"/>
      <w:r w:rsidRPr="00D361A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361AC">
        <w:rPr>
          <w:rFonts w:ascii="Times New Roman" w:hAnsi="Times New Roman" w:cs="Times New Roman"/>
          <w:sz w:val="20"/>
          <w:szCs w:val="20"/>
        </w:rPr>
        <w:t>Type</w:t>
      </w:r>
      <w:proofErr w:type="spellEnd"/>
      <w:r w:rsidRPr="00D361AC">
        <w:rPr>
          <w:rFonts w:ascii="Times New Roman" w:hAnsi="Times New Roman" w:cs="Times New Roman"/>
          <w:sz w:val="20"/>
          <w:szCs w:val="20"/>
        </w:rPr>
        <w:t xml:space="preserve"> 2 diabetes </w:t>
      </w:r>
      <w:proofErr w:type="spellStart"/>
      <w:r w:rsidRPr="00D361AC">
        <w:rPr>
          <w:rFonts w:ascii="Times New Roman" w:hAnsi="Times New Roman" w:cs="Times New Roman"/>
          <w:sz w:val="20"/>
          <w:szCs w:val="20"/>
        </w:rPr>
        <w:t>mellitus</w:t>
      </w:r>
      <w:proofErr w:type="spellEnd"/>
      <w:r w:rsidRPr="00D361AC">
        <w:rPr>
          <w:rFonts w:ascii="Times New Roman" w:hAnsi="Times New Roman" w:cs="Times New Roman"/>
          <w:sz w:val="20"/>
          <w:szCs w:val="20"/>
        </w:rPr>
        <w:t>” a ex</w:t>
      </w:r>
      <w:r w:rsidR="009C7929" w:rsidRPr="00D361AC">
        <w:rPr>
          <w:rFonts w:ascii="Times New Roman" w:hAnsi="Times New Roman" w:cs="Times New Roman"/>
          <w:sz w:val="20"/>
          <w:szCs w:val="20"/>
        </w:rPr>
        <w:t xml:space="preserve">pressão do gene alvo DDX18 em elação a um controlo no que concerne à presença deste tipo de patologia mostra-se </w:t>
      </w:r>
      <w:proofErr w:type="spellStart"/>
      <w:r w:rsidR="005F4AC5" w:rsidRPr="00D361AC">
        <w:rPr>
          <w:rFonts w:ascii="Times New Roman" w:hAnsi="Times New Roman" w:cs="Times New Roman"/>
          <w:sz w:val="20"/>
          <w:szCs w:val="20"/>
        </w:rPr>
        <w:t>sobre</w:t>
      </w:r>
      <w:r w:rsidR="005F4AC5">
        <w:rPr>
          <w:rFonts w:ascii="Times New Roman" w:hAnsi="Times New Roman" w:cs="Times New Roman"/>
          <w:sz w:val="20"/>
          <w:szCs w:val="20"/>
        </w:rPr>
        <w:t>-</w:t>
      </w:r>
      <w:r w:rsidR="005F4AC5" w:rsidRPr="00D361AC">
        <w:rPr>
          <w:rFonts w:ascii="Times New Roman" w:hAnsi="Times New Roman" w:cs="Times New Roman"/>
          <w:sz w:val="20"/>
          <w:szCs w:val="20"/>
        </w:rPr>
        <w:t>expresso</w:t>
      </w:r>
      <w:proofErr w:type="spellEnd"/>
    </w:p>
    <w:p w14:paraId="473A5941" w14:textId="625636B4" w:rsidR="00AC3543" w:rsidRDefault="00AC354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Gene DDX18(</w:t>
      </w:r>
      <w:proofErr w:type="spellStart"/>
      <w:r w:rsidRPr="00AC3543">
        <w:rPr>
          <w:rFonts w:ascii="Times New Roman" w:hAnsi="Times New Roman" w:cs="Times New Roman"/>
          <w:b/>
          <w:bCs/>
          <w:sz w:val="24"/>
          <w:szCs w:val="24"/>
          <w:u w:val="single"/>
        </w:rPr>
        <w:t>Human</w:t>
      </w:r>
      <w:proofErr w:type="spellEnd"/>
      <w:r w:rsidRPr="00AC354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DEAD-Box RNA </w:t>
      </w:r>
      <w:proofErr w:type="spellStart"/>
      <w:r w:rsidRPr="00AC3543">
        <w:rPr>
          <w:rFonts w:ascii="Times New Roman" w:hAnsi="Times New Roman" w:cs="Times New Roman"/>
          <w:b/>
          <w:bCs/>
          <w:sz w:val="24"/>
          <w:szCs w:val="24"/>
          <w:u w:val="single"/>
        </w:rPr>
        <w:t>Helicases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):</w:t>
      </w:r>
    </w:p>
    <w:p w14:paraId="0DB0E281" w14:textId="11B0824A" w:rsidR="00D361AC" w:rsidRPr="005F4AC5" w:rsidRDefault="00D361AC" w:rsidP="005F4AC5">
      <w:pPr>
        <w:jc w:val="both"/>
        <w:rPr>
          <w:rFonts w:ascii="Times New Roman" w:hAnsi="Times New Roman" w:cs="Times New Roman"/>
          <w:sz w:val="20"/>
          <w:szCs w:val="20"/>
        </w:rPr>
      </w:pPr>
      <w:r w:rsidRPr="005F4AC5">
        <w:rPr>
          <w:rFonts w:ascii="Times New Roman" w:hAnsi="Times New Roman" w:cs="Times New Roman"/>
          <w:sz w:val="20"/>
          <w:szCs w:val="20"/>
        </w:rPr>
        <w:t xml:space="preserve">As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helicases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de RNA da família DEAD box estão presentes em todas as células eucarióticas e em muitas bactérias e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Archaea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>. Essas enzimas altamente conservadas são necessárias para o metabolismo do RNA desde a transcrição até a degradação e, portanto, são importantes participantes na expressão g</w:t>
      </w:r>
      <w:r w:rsidR="005F4AC5">
        <w:rPr>
          <w:rFonts w:ascii="Times New Roman" w:hAnsi="Times New Roman" w:cs="Times New Roman"/>
          <w:sz w:val="20"/>
          <w:szCs w:val="20"/>
        </w:rPr>
        <w:t>enética</w:t>
      </w:r>
      <w:r w:rsidRPr="005F4AC5">
        <w:rPr>
          <w:rFonts w:ascii="Times New Roman" w:hAnsi="Times New Roman" w:cs="Times New Roman"/>
          <w:sz w:val="20"/>
          <w:szCs w:val="20"/>
        </w:rPr>
        <w:t xml:space="preserve">. As proteínas DEAD box usam ATP para </w:t>
      </w:r>
      <w:r w:rsidR="005F4AC5">
        <w:rPr>
          <w:rFonts w:ascii="Times New Roman" w:hAnsi="Times New Roman" w:cs="Times New Roman"/>
          <w:sz w:val="20"/>
          <w:szCs w:val="20"/>
        </w:rPr>
        <w:t>“</w:t>
      </w:r>
      <w:r w:rsidRPr="005F4AC5">
        <w:rPr>
          <w:rFonts w:ascii="Times New Roman" w:hAnsi="Times New Roman" w:cs="Times New Roman"/>
          <w:sz w:val="20"/>
          <w:szCs w:val="20"/>
        </w:rPr>
        <w:t>desenrolar</w:t>
      </w:r>
      <w:r w:rsidR="005F4AC5">
        <w:rPr>
          <w:rFonts w:ascii="Times New Roman" w:hAnsi="Times New Roman" w:cs="Times New Roman"/>
          <w:sz w:val="20"/>
          <w:szCs w:val="20"/>
        </w:rPr>
        <w:t>”</w:t>
      </w:r>
      <w:r w:rsidRPr="005F4AC5">
        <w:rPr>
          <w:rFonts w:ascii="Times New Roman" w:hAnsi="Times New Roman" w:cs="Times New Roman"/>
          <w:sz w:val="20"/>
          <w:szCs w:val="20"/>
        </w:rPr>
        <w:t xml:space="preserve"> o RNA de uma maneira incomum e remodelar complexos RNA-proteína.</w:t>
      </w:r>
      <w:r w:rsidRPr="005F4AC5">
        <w:rPr>
          <w:rFonts w:ascii="Times New Roman" w:hAnsi="Times New Roman" w:cs="Times New Roman"/>
          <w:sz w:val="20"/>
          <w:szCs w:val="20"/>
        </w:rPr>
        <w:t>”</w:t>
      </w:r>
      <w:r w:rsidRPr="005F4AC5">
        <w:rPr>
          <w:sz w:val="18"/>
          <w:szCs w:val="18"/>
        </w:rPr>
        <w:t xml:space="preserve">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RNA-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Binding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Protein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DDX18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Promotes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Gastric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Cancer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by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Affecting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Maturation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of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MicroRNA-21</w:t>
      </w:r>
      <w:r w:rsidRPr="005F4AC5">
        <w:rPr>
          <w:rFonts w:ascii="Times New Roman" w:hAnsi="Times New Roman" w:cs="Times New Roman"/>
          <w:sz w:val="20"/>
          <w:szCs w:val="20"/>
        </w:rPr>
        <w:t>”</w:t>
      </w:r>
    </w:p>
    <w:p w14:paraId="0A50135D" w14:textId="2AABF454" w:rsidR="00443D69" w:rsidRPr="005F4AC5" w:rsidRDefault="00443D69" w:rsidP="005F4AC5">
      <w:pPr>
        <w:jc w:val="both"/>
        <w:rPr>
          <w:rFonts w:ascii="Times New Roman" w:hAnsi="Times New Roman" w:cs="Times New Roman"/>
          <w:sz w:val="20"/>
          <w:szCs w:val="20"/>
        </w:rPr>
      </w:pPr>
      <w:r w:rsidRPr="005F4AC5">
        <w:rPr>
          <w:rFonts w:ascii="Times New Roman" w:hAnsi="Times New Roman" w:cs="Times New Roman"/>
          <w:sz w:val="20"/>
          <w:szCs w:val="20"/>
        </w:rPr>
        <w:t>A variante que está relacionada com a diabetes tipo 2 é a rs562386202</w:t>
      </w:r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r w:rsidRPr="005F4AC5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forward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strand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>)</w:t>
      </w:r>
      <w:r w:rsidRPr="005F4AC5">
        <w:rPr>
          <w:rFonts w:ascii="Times New Roman" w:hAnsi="Times New Roman" w:cs="Times New Roman"/>
          <w:sz w:val="20"/>
          <w:szCs w:val="20"/>
        </w:rPr>
        <w:t xml:space="preserve"> e localiza-se no cromossoma 2</w:t>
      </w:r>
      <w:r w:rsidR="00D361AC" w:rsidRPr="005F4AC5">
        <w:rPr>
          <w:rFonts w:ascii="Times New Roman" w:hAnsi="Times New Roman" w:cs="Times New Roman"/>
          <w:sz w:val="20"/>
          <w:szCs w:val="20"/>
        </w:rPr>
        <w:t xml:space="preserve"> segundo o artigo “</w:t>
      </w:r>
      <w:r w:rsidR="00D361AC" w:rsidRPr="005F4AC5">
        <w:rPr>
          <w:rFonts w:ascii="Times New Roman" w:hAnsi="Times New Roman" w:cs="Times New Roman"/>
          <w:sz w:val="20"/>
          <w:szCs w:val="20"/>
        </w:rPr>
        <w:t>Fine-</w:t>
      </w:r>
      <w:proofErr w:type="spellStart"/>
      <w:r w:rsidR="00D361AC" w:rsidRPr="005F4AC5">
        <w:rPr>
          <w:rFonts w:ascii="Times New Roman" w:hAnsi="Times New Roman" w:cs="Times New Roman"/>
          <w:sz w:val="20"/>
          <w:szCs w:val="20"/>
        </w:rPr>
        <w:t>mapping</w:t>
      </w:r>
      <w:proofErr w:type="spellEnd"/>
      <w:r w:rsidR="00D361AC"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361AC" w:rsidRPr="005F4AC5">
        <w:rPr>
          <w:rFonts w:ascii="Times New Roman" w:hAnsi="Times New Roman" w:cs="Times New Roman"/>
          <w:sz w:val="20"/>
          <w:szCs w:val="20"/>
        </w:rPr>
        <w:t>type</w:t>
      </w:r>
      <w:proofErr w:type="spellEnd"/>
      <w:r w:rsidR="00D361AC" w:rsidRPr="005F4AC5">
        <w:rPr>
          <w:rFonts w:ascii="Times New Roman" w:hAnsi="Times New Roman" w:cs="Times New Roman"/>
          <w:sz w:val="20"/>
          <w:szCs w:val="20"/>
        </w:rPr>
        <w:t xml:space="preserve"> 2 diabetes </w:t>
      </w:r>
      <w:proofErr w:type="spellStart"/>
      <w:r w:rsidR="00D361AC" w:rsidRPr="005F4AC5">
        <w:rPr>
          <w:rFonts w:ascii="Times New Roman" w:hAnsi="Times New Roman" w:cs="Times New Roman"/>
          <w:sz w:val="20"/>
          <w:szCs w:val="20"/>
        </w:rPr>
        <w:t>loci</w:t>
      </w:r>
      <w:proofErr w:type="spellEnd"/>
      <w:r w:rsidR="00D361AC" w:rsidRPr="005F4AC5">
        <w:rPr>
          <w:rFonts w:ascii="Times New Roman" w:hAnsi="Times New Roman" w:cs="Times New Roman"/>
          <w:sz w:val="20"/>
          <w:szCs w:val="20"/>
        </w:rPr>
        <w:t xml:space="preserve"> to single-</w:t>
      </w:r>
      <w:proofErr w:type="spellStart"/>
      <w:r w:rsidR="00D361AC" w:rsidRPr="005F4AC5">
        <w:rPr>
          <w:rFonts w:ascii="Times New Roman" w:hAnsi="Times New Roman" w:cs="Times New Roman"/>
          <w:sz w:val="20"/>
          <w:szCs w:val="20"/>
        </w:rPr>
        <w:t>variant</w:t>
      </w:r>
      <w:proofErr w:type="spellEnd"/>
      <w:r w:rsidR="00D361AC"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361AC" w:rsidRPr="005F4AC5">
        <w:rPr>
          <w:rFonts w:ascii="Times New Roman" w:hAnsi="Times New Roman" w:cs="Times New Roman"/>
          <w:sz w:val="20"/>
          <w:szCs w:val="20"/>
        </w:rPr>
        <w:t>resolution</w:t>
      </w:r>
      <w:proofErr w:type="spellEnd"/>
      <w:r w:rsidR="00D361AC" w:rsidRPr="005F4AC5">
        <w:rPr>
          <w:rFonts w:ascii="Times New Roman" w:hAnsi="Times New Roman" w:cs="Times New Roman"/>
          <w:sz w:val="20"/>
          <w:szCs w:val="20"/>
        </w:rPr>
        <w:t xml:space="preserve"> using </w:t>
      </w:r>
      <w:proofErr w:type="spellStart"/>
      <w:r w:rsidR="00D361AC" w:rsidRPr="005F4AC5">
        <w:rPr>
          <w:rFonts w:ascii="Times New Roman" w:hAnsi="Times New Roman" w:cs="Times New Roman"/>
          <w:sz w:val="20"/>
          <w:szCs w:val="20"/>
        </w:rPr>
        <w:t>high-density</w:t>
      </w:r>
      <w:proofErr w:type="spellEnd"/>
      <w:r w:rsidR="00D361AC"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361AC" w:rsidRPr="005F4AC5">
        <w:rPr>
          <w:rFonts w:ascii="Times New Roman" w:hAnsi="Times New Roman" w:cs="Times New Roman"/>
          <w:sz w:val="20"/>
          <w:szCs w:val="20"/>
        </w:rPr>
        <w:t>imputation</w:t>
      </w:r>
      <w:proofErr w:type="spellEnd"/>
      <w:r w:rsidR="00D361AC"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361AC" w:rsidRPr="005F4AC5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D361AC"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361AC" w:rsidRPr="005F4AC5">
        <w:rPr>
          <w:rFonts w:ascii="Times New Roman" w:hAnsi="Times New Roman" w:cs="Times New Roman"/>
          <w:sz w:val="20"/>
          <w:szCs w:val="20"/>
        </w:rPr>
        <w:t>islet-specific</w:t>
      </w:r>
      <w:proofErr w:type="spellEnd"/>
      <w:r w:rsidR="00D361AC"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361AC" w:rsidRPr="005F4AC5">
        <w:rPr>
          <w:rFonts w:ascii="Times New Roman" w:hAnsi="Times New Roman" w:cs="Times New Roman"/>
          <w:sz w:val="20"/>
          <w:szCs w:val="20"/>
        </w:rPr>
        <w:t>epigenome</w:t>
      </w:r>
      <w:proofErr w:type="spellEnd"/>
      <w:r w:rsidR="00D361AC"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361AC" w:rsidRPr="005F4AC5">
        <w:rPr>
          <w:rFonts w:ascii="Times New Roman" w:hAnsi="Times New Roman" w:cs="Times New Roman"/>
          <w:sz w:val="20"/>
          <w:szCs w:val="20"/>
        </w:rPr>
        <w:t>maps</w:t>
      </w:r>
      <w:proofErr w:type="spellEnd"/>
      <w:r w:rsidR="00D361AC" w:rsidRPr="005F4AC5">
        <w:rPr>
          <w:rFonts w:ascii="Times New Roman" w:hAnsi="Times New Roman" w:cs="Times New Roman"/>
          <w:sz w:val="20"/>
          <w:szCs w:val="20"/>
        </w:rPr>
        <w:t>”</w:t>
      </w:r>
      <w:r w:rsidRPr="005F4AC5">
        <w:rPr>
          <w:rFonts w:ascii="Times New Roman" w:hAnsi="Times New Roman" w:cs="Times New Roman"/>
          <w:sz w:val="20"/>
          <w:szCs w:val="20"/>
        </w:rPr>
        <w:t>.</w:t>
      </w:r>
      <w:r w:rsidR="005F4AC5" w:rsidRPr="005F4AC5">
        <w:rPr>
          <w:rFonts w:ascii="Times New Roman" w:hAnsi="Times New Roman" w:cs="Times New Roman"/>
          <w:sz w:val="20"/>
          <w:szCs w:val="20"/>
        </w:rPr>
        <w:t xml:space="preserve"> “</w:t>
      </w:r>
      <w:proofErr w:type="spellStart"/>
      <w:r w:rsidR="005F4AC5" w:rsidRPr="005F4AC5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5F4AC5"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F4AC5" w:rsidRPr="005F4AC5">
        <w:rPr>
          <w:rFonts w:ascii="Times New Roman" w:hAnsi="Times New Roman" w:cs="Times New Roman"/>
          <w:sz w:val="20"/>
          <w:szCs w:val="20"/>
        </w:rPr>
        <w:t>First</w:t>
      </w:r>
      <w:proofErr w:type="spellEnd"/>
      <w:r w:rsidR="005F4AC5"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F4AC5" w:rsidRPr="005F4AC5">
        <w:rPr>
          <w:rFonts w:ascii="Times New Roman" w:hAnsi="Times New Roman" w:cs="Times New Roman"/>
          <w:sz w:val="20"/>
          <w:szCs w:val="20"/>
        </w:rPr>
        <w:t>Genome-Wide</w:t>
      </w:r>
      <w:proofErr w:type="spellEnd"/>
      <w:r w:rsidR="005F4AC5" w:rsidRPr="005F4AC5">
        <w:rPr>
          <w:rFonts w:ascii="Times New Roman" w:hAnsi="Times New Roman" w:cs="Times New Roman"/>
          <w:sz w:val="20"/>
          <w:szCs w:val="20"/>
        </w:rPr>
        <w:t xml:space="preserve"> Association </w:t>
      </w:r>
      <w:proofErr w:type="spellStart"/>
      <w:r w:rsidR="005F4AC5" w:rsidRPr="005F4AC5">
        <w:rPr>
          <w:rFonts w:ascii="Times New Roman" w:hAnsi="Times New Roman" w:cs="Times New Roman"/>
          <w:sz w:val="20"/>
          <w:szCs w:val="20"/>
        </w:rPr>
        <w:t>Study</w:t>
      </w:r>
      <w:proofErr w:type="spellEnd"/>
      <w:r w:rsidR="005F4AC5" w:rsidRPr="005F4AC5">
        <w:rPr>
          <w:rFonts w:ascii="Times New Roman" w:hAnsi="Times New Roman" w:cs="Times New Roman"/>
          <w:sz w:val="20"/>
          <w:szCs w:val="20"/>
        </w:rPr>
        <w:t xml:space="preserve"> for </w:t>
      </w:r>
      <w:proofErr w:type="spellStart"/>
      <w:r w:rsidR="005F4AC5" w:rsidRPr="005F4AC5">
        <w:rPr>
          <w:rFonts w:ascii="Times New Roman" w:hAnsi="Times New Roman" w:cs="Times New Roman"/>
          <w:sz w:val="20"/>
          <w:szCs w:val="20"/>
        </w:rPr>
        <w:t>Type</w:t>
      </w:r>
      <w:proofErr w:type="spellEnd"/>
      <w:r w:rsidR="005F4AC5" w:rsidRPr="005F4AC5">
        <w:rPr>
          <w:rFonts w:ascii="Times New Roman" w:hAnsi="Times New Roman" w:cs="Times New Roman"/>
          <w:sz w:val="20"/>
          <w:szCs w:val="20"/>
        </w:rPr>
        <w:t xml:space="preserve"> 2 Diabetes in </w:t>
      </w:r>
      <w:proofErr w:type="spellStart"/>
      <w:r w:rsidR="005F4AC5" w:rsidRPr="005F4AC5">
        <w:rPr>
          <w:rFonts w:ascii="Times New Roman" w:hAnsi="Times New Roman" w:cs="Times New Roman"/>
          <w:sz w:val="20"/>
          <w:szCs w:val="20"/>
        </w:rPr>
        <w:t>Youth</w:t>
      </w:r>
      <w:proofErr w:type="spellEnd"/>
      <w:r w:rsidR="005F4AC5" w:rsidRPr="005F4AC5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="005F4AC5" w:rsidRPr="005F4AC5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5F4AC5"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F4AC5" w:rsidRPr="005F4AC5">
        <w:rPr>
          <w:rFonts w:ascii="Times New Roman" w:hAnsi="Times New Roman" w:cs="Times New Roman"/>
          <w:sz w:val="20"/>
          <w:szCs w:val="20"/>
        </w:rPr>
        <w:t>Progress</w:t>
      </w:r>
      <w:proofErr w:type="spellEnd"/>
      <w:r w:rsidR="005F4AC5" w:rsidRPr="005F4AC5">
        <w:rPr>
          <w:rFonts w:ascii="Times New Roman" w:hAnsi="Times New Roman" w:cs="Times New Roman"/>
          <w:sz w:val="20"/>
          <w:szCs w:val="20"/>
        </w:rPr>
        <w:t xml:space="preserve"> in Diabetes </w:t>
      </w:r>
      <w:proofErr w:type="spellStart"/>
      <w:r w:rsidR="005F4AC5" w:rsidRPr="005F4AC5">
        <w:rPr>
          <w:rFonts w:ascii="Times New Roman" w:hAnsi="Times New Roman" w:cs="Times New Roman"/>
          <w:sz w:val="20"/>
          <w:szCs w:val="20"/>
        </w:rPr>
        <w:t>Genetics</w:t>
      </w:r>
      <w:proofErr w:type="spellEnd"/>
      <w:r w:rsidR="005F4AC5" w:rsidRPr="005F4AC5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="005F4AC5" w:rsidRPr="005F4AC5">
        <w:rPr>
          <w:rFonts w:ascii="Times New Roman" w:hAnsi="Times New Roman" w:cs="Times New Roman"/>
          <w:sz w:val="20"/>
          <w:szCs w:val="20"/>
        </w:rPr>
        <w:t>Youth</w:t>
      </w:r>
      <w:proofErr w:type="spellEnd"/>
      <w:r w:rsidR="005F4AC5" w:rsidRPr="005F4AC5">
        <w:rPr>
          <w:rFonts w:ascii="Times New Roman" w:hAnsi="Times New Roman" w:cs="Times New Roman"/>
          <w:sz w:val="20"/>
          <w:szCs w:val="20"/>
        </w:rPr>
        <w:t>”</w:t>
      </w:r>
    </w:p>
    <w:p w14:paraId="21C8FDBA" w14:textId="60B8EF18" w:rsidR="005F4AC5" w:rsidRDefault="005F4AC5" w:rsidP="005F4AC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B942B6" wp14:editId="7BEF25E3">
            <wp:extent cx="5331545" cy="72842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312" t="54115" r="31404" b="33160"/>
                    <a:stretch/>
                  </pic:blipFill>
                  <pic:spPr bwMode="auto">
                    <a:xfrm>
                      <a:off x="0" y="0"/>
                      <a:ext cx="5606700" cy="76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5A1F5" w14:textId="76B27DD6" w:rsidR="00D62E33" w:rsidRPr="005F4AC5" w:rsidRDefault="005F4AC5" w:rsidP="005F4AC5">
      <w:pPr>
        <w:jc w:val="both"/>
        <w:rPr>
          <w:rFonts w:ascii="Times New Roman" w:hAnsi="Times New Roman" w:cs="Times New Roman"/>
          <w:sz w:val="20"/>
          <w:szCs w:val="20"/>
        </w:rPr>
      </w:pPr>
      <w:r w:rsidRPr="005F4AC5">
        <w:rPr>
          <w:rFonts w:ascii="Times New Roman" w:hAnsi="Times New Roman" w:cs="Times New Roman"/>
          <w:sz w:val="20"/>
          <w:szCs w:val="20"/>
        </w:rPr>
        <w:t xml:space="preserve">Diversos artigos mencionam que </w:t>
      </w:r>
      <w:proofErr w:type="spellStart"/>
      <w:r w:rsidR="00D62E33" w:rsidRPr="005F4AC5">
        <w:rPr>
          <w:rFonts w:ascii="Times New Roman" w:hAnsi="Times New Roman" w:cs="Times New Roman"/>
          <w:sz w:val="20"/>
          <w:szCs w:val="20"/>
        </w:rPr>
        <w:t>RNAs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não codificantes</w:t>
      </w:r>
      <w:r w:rsidR="00D62E33" w:rsidRPr="005F4AC5">
        <w:rPr>
          <w:rFonts w:ascii="Times New Roman" w:hAnsi="Times New Roman" w:cs="Times New Roman"/>
          <w:sz w:val="20"/>
          <w:szCs w:val="20"/>
        </w:rPr>
        <w:t xml:space="preserve"> estão ligados ao mau controle glic</w:t>
      </w:r>
      <w:r w:rsidRPr="005F4AC5">
        <w:rPr>
          <w:rFonts w:ascii="Times New Roman" w:hAnsi="Times New Roman" w:cs="Times New Roman"/>
          <w:sz w:val="20"/>
          <w:szCs w:val="20"/>
        </w:rPr>
        <w:t>é</w:t>
      </w:r>
      <w:r w:rsidR="00D62E33" w:rsidRPr="005F4AC5">
        <w:rPr>
          <w:rFonts w:ascii="Times New Roman" w:hAnsi="Times New Roman" w:cs="Times New Roman"/>
          <w:sz w:val="20"/>
          <w:szCs w:val="20"/>
        </w:rPr>
        <w:t>mico, resistência à insulina</w:t>
      </w:r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r w:rsidR="00D62E33" w:rsidRPr="005F4AC5">
        <w:rPr>
          <w:rFonts w:ascii="Times New Roman" w:hAnsi="Times New Roman" w:cs="Times New Roman"/>
          <w:sz w:val="20"/>
          <w:szCs w:val="20"/>
        </w:rPr>
        <w:t>e pró-inflamação em pacientes com DM2</w:t>
      </w:r>
      <w:r w:rsidRPr="005F4AC5">
        <w:rPr>
          <w:rFonts w:ascii="Times New Roman" w:hAnsi="Times New Roman" w:cs="Times New Roman"/>
          <w:sz w:val="20"/>
          <w:szCs w:val="20"/>
        </w:rPr>
        <w:t xml:space="preserve"> como mostra as imagens abaixo e, como, o nosso gene tem influência direta no processamento do RNA pensamos que pode estar aí a associação com a diabetes- ainda que pouco explicada e detalhada em artigos.</w:t>
      </w:r>
    </w:p>
    <w:p w14:paraId="75B8DD58" w14:textId="7CF78F0F" w:rsidR="005F4AC5" w:rsidRPr="005F4AC5" w:rsidRDefault="005F4AC5" w:rsidP="005F4AC5">
      <w:pPr>
        <w:jc w:val="both"/>
        <w:rPr>
          <w:rFonts w:ascii="Times New Roman" w:hAnsi="Times New Roman" w:cs="Times New Roman"/>
          <w:sz w:val="20"/>
          <w:szCs w:val="20"/>
        </w:rPr>
      </w:pPr>
      <w:r w:rsidRPr="005F4AC5">
        <w:rPr>
          <w:rFonts w:ascii="Times New Roman" w:hAnsi="Times New Roman" w:cs="Times New Roman"/>
          <w:sz w:val="20"/>
          <w:szCs w:val="20"/>
        </w:rPr>
        <w:t>“</w:t>
      </w:r>
      <w:r w:rsidRPr="005F4AC5">
        <w:rPr>
          <w:rFonts w:ascii="Times New Roman" w:hAnsi="Times New Roman" w:cs="Times New Roman"/>
          <w:sz w:val="20"/>
          <w:szCs w:val="20"/>
        </w:rPr>
        <w:t>Non-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Coding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RNA as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Biomarkers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for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Type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2 Diabetes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Development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Clinical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Management</w:t>
      </w:r>
      <w:r w:rsidRPr="005F4AC5">
        <w:rPr>
          <w:rFonts w:ascii="Times New Roman" w:hAnsi="Times New Roman" w:cs="Times New Roman"/>
          <w:sz w:val="20"/>
          <w:szCs w:val="20"/>
        </w:rPr>
        <w:t>”</w:t>
      </w:r>
    </w:p>
    <w:p w14:paraId="2BD6BB2A" w14:textId="32CCF103" w:rsidR="005F4AC5" w:rsidRPr="005F4AC5" w:rsidRDefault="005F4AC5" w:rsidP="005F4AC5">
      <w:pPr>
        <w:jc w:val="both"/>
        <w:rPr>
          <w:rFonts w:ascii="Times New Roman" w:hAnsi="Times New Roman" w:cs="Times New Roman"/>
          <w:sz w:val="20"/>
          <w:szCs w:val="20"/>
        </w:rPr>
      </w:pPr>
      <w:r w:rsidRPr="005F4AC5">
        <w:rPr>
          <w:rFonts w:ascii="Times New Roman" w:hAnsi="Times New Roman" w:cs="Times New Roman"/>
          <w:sz w:val="20"/>
          <w:szCs w:val="20"/>
        </w:rPr>
        <w:t>“</w:t>
      </w:r>
      <w:r w:rsidRPr="005F4AC5">
        <w:rPr>
          <w:rFonts w:ascii="Times New Roman" w:hAnsi="Times New Roman" w:cs="Times New Roman"/>
          <w:sz w:val="20"/>
          <w:szCs w:val="20"/>
        </w:rPr>
        <w:t xml:space="preserve">A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comprehensive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overview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on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Micro RNA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signature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type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2 diabetes</w:t>
      </w:r>
    </w:p>
    <w:p w14:paraId="4578D308" w14:textId="7693B5BA" w:rsidR="005F4AC5" w:rsidRPr="009A23CB" w:rsidRDefault="005F4AC5" w:rsidP="005F4AC5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5F4AC5">
        <w:rPr>
          <w:rFonts w:ascii="Times New Roman" w:hAnsi="Times New Roman" w:cs="Times New Roman"/>
          <w:sz w:val="20"/>
          <w:szCs w:val="20"/>
        </w:rPr>
        <w:t>Mellitus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its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4AC5">
        <w:rPr>
          <w:rFonts w:ascii="Times New Roman" w:hAnsi="Times New Roman" w:cs="Times New Roman"/>
          <w:sz w:val="20"/>
          <w:szCs w:val="20"/>
        </w:rPr>
        <w:t>complications</w:t>
      </w:r>
      <w:proofErr w:type="spellEnd"/>
      <w:r w:rsidRPr="005F4AC5">
        <w:rPr>
          <w:rFonts w:ascii="Times New Roman" w:hAnsi="Times New Roman" w:cs="Times New Roman"/>
          <w:sz w:val="20"/>
          <w:szCs w:val="20"/>
        </w:rPr>
        <w:t>”</w:t>
      </w:r>
    </w:p>
    <w:p w14:paraId="43C24DB5" w14:textId="1BA6EA59" w:rsidR="00D62E33" w:rsidRDefault="00D62E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EB6315" wp14:editId="76982023">
            <wp:extent cx="4827722" cy="3465512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040" t="15560" r="30379" b="5860"/>
                    <a:stretch/>
                  </pic:blipFill>
                  <pic:spPr bwMode="auto">
                    <a:xfrm>
                      <a:off x="0" y="0"/>
                      <a:ext cx="4835519" cy="347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40A38" w14:textId="7C506B0E" w:rsidR="00D62E33" w:rsidRDefault="00D62E33" w:rsidP="00D361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69B0C0" wp14:editId="062A90C4">
            <wp:extent cx="3874576" cy="3771246"/>
            <wp:effectExtent l="0" t="0" r="0" b="127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 rotWithShape="1">
                    <a:blip r:embed="rId6"/>
                    <a:srcRect l="11484" t="29336" r="51209" b="6116"/>
                    <a:stretch/>
                  </pic:blipFill>
                  <pic:spPr bwMode="auto">
                    <a:xfrm>
                      <a:off x="0" y="0"/>
                      <a:ext cx="3880945" cy="377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085FA" w14:textId="77777777" w:rsidR="00D361AC" w:rsidRDefault="00D361AC">
      <w:pPr>
        <w:rPr>
          <w:rFonts w:ascii="Times New Roman" w:hAnsi="Times New Roman" w:cs="Times New Roman"/>
          <w:sz w:val="24"/>
          <w:szCs w:val="24"/>
        </w:rPr>
      </w:pPr>
    </w:p>
    <w:p w14:paraId="4DBEF83E" w14:textId="77777777" w:rsidR="00D361AC" w:rsidRPr="005F4AC5" w:rsidRDefault="00D361AC" w:rsidP="005F4AC5">
      <w:pPr>
        <w:jc w:val="both"/>
        <w:rPr>
          <w:rFonts w:ascii="Times New Roman" w:hAnsi="Times New Roman" w:cs="Times New Roman"/>
          <w:sz w:val="20"/>
          <w:szCs w:val="20"/>
        </w:rPr>
      </w:pPr>
      <w:r w:rsidRPr="005F4AC5">
        <w:rPr>
          <w:rFonts w:ascii="Times New Roman" w:hAnsi="Times New Roman" w:cs="Times New Roman"/>
          <w:sz w:val="20"/>
          <w:szCs w:val="20"/>
        </w:rPr>
        <w:t>Fica claro que polimorfismos únicos não podem explicar a patogénese de uma doença complexa e atuam como um fator de risco independente. A principal dificuldade reside em encontrar a ligação entre as variantes encontradas e as manifestações fenotípicas, principalmente se o gene não estiver diretamente envolvido na regulação glicêmica.</w:t>
      </w:r>
    </w:p>
    <w:p w14:paraId="2BF3A5D2" w14:textId="77777777" w:rsidR="00443D69" w:rsidRPr="00AC3543" w:rsidRDefault="00443D69">
      <w:pPr>
        <w:rPr>
          <w:rFonts w:ascii="Times New Roman" w:hAnsi="Times New Roman" w:cs="Times New Roman"/>
          <w:sz w:val="24"/>
          <w:szCs w:val="24"/>
        </w:rPr>
      </w:pPr>
    </w:p>
    <w:sectPr w:rsidR="00443D69" w:rsidRPr="00AC35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543"/>
    <w:rsid w:val="000201A4"/>
    <w:rsid w:val="00052FE3"/>
    <w:rsid w:val="00443D69"/>
    <w:rsid w:val="005F4AC5"/>
    <w:rsid w:val="007C72AA"/>
    <w:rsid w:val="009A23CB"/>
    <w:rsid w:val="009C7929"/>
    <w:rsid w:val="00AC3543"/>
    <w:rsid w:val="00B30BA9"/>
    <w:rsid w:val="00CC0DED"/>
    <w:rsid w:val="00D361AC"/>
    <w:rsid w:val="00D62E33"/>
    <w:rsid w:val="00E23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26A84"/>
  <w15:chartTrackingRefBased/>
  <w15:docId w15:val="{7E5B1EAB-ECA9-41A8-8093-4919BE8BE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2</Pages>
  <Words>422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Sousa</dc:creator>
  <cp:keywords/>
  <dc:description/>
  <cp:lastModifiedBy>Guilherme Sousa</cp:lastModifiedBy>
  <cp:revision>2</cp:revision>
  <dcterms:created xsi:type="dcterms:W3CDTF">2022-12-20T14:06:00Z</dcterms:created>
  <dcterms:modified xsi:type="dcterms:W3CDTF">2022-12-21T00:05:00Z</dcterms:modified>
</cp:coreProperties>
</file>