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F5" w:rsidRPr="00904846" w:rsidRDefault="00B04E90" w:rsidP="004620E6">
      <w:pPr>
        <w:pStyle w:val="Title"/>
        <w:tabs>
          <w:tab w:val="center" w:pos="4680"/>
        </w:tabs>
        <w:rPr>
          <w:rFonts w:ascii="Calibri" w:hAnsi="Calibri" w:cs="Arial"/>
          <w:sz w:val="22"/>
          <w:szCs w:val="22"/>
        </w:rPr>
      </w:pPr>
      <w:bookmarkStart w:id="0" w:name="_GoBack"/>
      <w:bookmarkEnd w:id="0"/>
      <w:r>
        <w:rPr>
          <w:rFonts w:ascii="Calibri" w:hAnsi="Calibri" w:cs="Arial"/>
          <w:sz w:val="32"/>
          <w:szCs w:val="32"/>
        </w:rPr>
        <w:t>Keelan Yang</w:t>
      </w:r>
    </w:p>
    <w:tbl>
      <w:tblPr>
        <w:tblW w:w="954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4788"/>
        <w:gridCol w:w="4752"/>
      </w:tblGrid>
      <w:tr w:rsidR="00600EF5" w:rsidRPr="00904846" w:rsidTr="00107A01">
        <w:trPr>
          <w:cantSplit/>
        </w:trPr>
        <w:tc>
          <w:tcPr>
            <w:tcW w:w="4788" w:type="dxa"/>
            <w:tcBorders>
              <w:top w:val="nil"/>
              <w:left w:val="nil"/>
              <w:right w:val="nil"/>
            </w:tcBorders>
          </w:tcPr>
          <w:p w:rsidR="00600EF5" w:rsidRPr="00904846" w:rsidRDefault="00B04E90">
            <w:pPr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La Canada Flintridge, CA 91011</w:t>
            </w:r>
          </w:p>
        </w:tc>
        <w:tc>
          <w:tcPr>
            <w:tcW w:w="4752" w:type="dxa"/>
            <w:tcBorders>
              <w:top w:val="nil"/>
              <w:left w:val="nil"/>
              <w:right w:val="nil"/>
            </w:tcBorders>
          </w:tcPr>
          <w:p w:rsidR="00600EF5" w:rsidRPr="00904846" w:rsidRDefault="00B04E90">
            <w:pPr>
              <w:jc w:val="right"/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bCs/>
                <w:sz w:val="22"/>
                <w:szCs w:val="22"/>
              </w:rPr>
              <w:t>keelan@alum.mit.edu</w:t>
            </w:r>
          </w:p>
        </w:tc>
      </w:tr>
      <w:tr w:rsidR="00600EF5" w:rsidRPr="00904846" w:rsidTr="00107A01">
        <w:trPr>
          <w:cantSplit/>
        </w:trPr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EF5" w:rsidRPr="00904846" w:rsidRDefault="00B04E90">
            <w:pPr>
              <w:rPr>
                <w:rFonts w:ascii="Calibri" w:hAnsi="Calibri" w:cs="Arial"/>
                <w:bCs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818-957-4807</w:t>
            </w:r>
          </w:p>
        </w:tc>
        <w:tc>
          <w:tcPr>
            <w:tcW w:w="47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0EF5" w:rsidRPr="00904846" w:rsidRDefault="00B04E90">
            <w:pPr>
              <w:jc w:val="right"/>
              <w:rPr>
                <w:rFonts w:ascii="Calibri" w:hAnsi="Calibri" w:cs="Arial"/>
                <w:bCs/>
                <w:sz w:val="22"/>
                <w:szCs w:val="22"/>
              </w:rPr>
            </w:pPr>
            <w:r w:rsidRPr="00B04E90">
              <w:rPr>
                <w:rFonts w:ascii="Calibri" w:hAnsi="Calibri" w:cs="Arial"/>
                <w:bCs/>
                <w:sz w:val="22"/>
                <w:szCs w:val="22"/>
              </w:rPr>
              <w:t>https://www.linkedin.com/in/keelan-yang</w:t>
            </w:r>
          </w:p>
        </w:tc>
      </w:tr>
    </w:tbl>
    <w:p w:rsidR="00600EF5" w:rsidRPr="00904846" w:rsidRDefault="00600EF5">
      <w:pPr>
        <w:rPr>
          <w:rFonts w:ascii="Calibri" w:hAnsi="Calibri" w:cs="Arial"/>
          <w:sz w:val="22"/>
          <w:szCs w:val="22"/>
        </w:rPr>
      </w:pPr>
    </w:p>
    <w:p w:rsidR="00600EF5" w:rsidRPr="00904846" w:rsidRDefault="00600EF5">
      <w:pPr>
        <w:pStyle w:val="Heading1"/>
        <w:rPr>
          <w:rFonts w:ascii="Calibri" w:hAnsi="Calibri" w:cs="Arial"/>
          <w:szCs w:val="22"/>
        </w:rPr>
      </w:pPr>
      <w:r w:rsidRPr="00C76A87">
        <w:rPr>
          <w:rFonts w:ascii="Calibri" w:hAnsi="Calibri" w:cs="Arial"/>
          <w:szCs w:val="22"/>
        </w:rPr>
        <w:t>SUMMARY</w:t>
      </w:r>
    </w:p>
    <w:p w:rsidR="00600EF5" w:rsidRPr="00904846" w:rsidRDefault="00600EF5">
      <w:pPr>
        <w:rPr>
          <w:rFonts w:ascii="Calibri" w:hAnsi="Calibri" w:cs="Arial"/>
          <w:sz w:val="22"/>
          <w:szCs w:val="22"/>
        </w:rPr>
      </w:pPr>
    </w:p>
    <w:p w:rsidR="000A57BA" w:rsidRPr="00904846" w:rsidRDefault="000A57BA" w:rsidP="00D33F95">
      <w:p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</w:t>
      </w:r>
      <w:r w:rsidRPr="000A57BA">
        <w:rPr>
          <w:rFonts w:ascii="Calibri" w:hAnsi="Calibri" w:cs="Arial"/>
          <w:sz w:val="22"/>
          <w:szCs w:val="22"/>
        </w:rPr>
        <w:t xml:space="preserve">n </w:t>
      </w:r>
      <w:r w:rsidR="00C76A87">
        <w:rPr>
          <w:rFonts w:ascii="Calibri" w:hAnsi="Calibri" w:cs="Arial"/>
          <w:sz w:val="22"/>
          <w:szCs w:val="22"/>
        </w:rPr>
        <w:t xml:space="preserve">analytics </w:t>
      </w:r>
      <w:r w:rsidRPr="000A57BA">
        <w:rPr>
          <w:rFonts w:ascii="Calibri" w:hAnsi="Calibri" w:cs="Arial"/>
          <w:sz w:val="22"/>
          <w:szCs w:val="22"/>
        </w:rPr>
        <w:t xml:space="preserve">executive with extensive global business and analytics experience and with a passion to build capabilities and teams that drive analytical insights into strategies and actions.  </w:t>
      </w:r>
      <w:r w:rsidR="0033408F">
        <w:rPr>
          <w:rFonts w:ascii="Calibri" w:hAnsi="Calibri" w:cs="Arial"/>
          <w:sz w:val="22"/>
          <w:szCs w:val="22"/>
        </w:rPr>
        <w:t>S</w:t>
      </w:r>
      <w:r w:rsidRPr="000A57BA">
        <w:rPr>
          <w:rFonts w:ascii="Calibri" w:hAnsi="Calibri" w:cs="Arial"/>
          <w:sz w:val="22"/>
          <w:szCs w:val="22"/>
        </w:rPr>
        <w:t xml:space="preserve">uccessfully built analytical processes to </w:t>
      </w:r>
      <w:r w:rsidR="001F67F5">
        <w:rPr>
          <w:rFonts w:ascii="Calibri" w:hAnsi="Calibri" w:cs="Arial"/>
          <w:sz w:val="22"/>
          <w:szCs w:val="22"/>
        </w:rPr>
        <w:t>generate</w:t>
      </w:r>
      <w:r w:rsidRPr="000A57BA">
        <w:rPr>
          <w:rFonts w:ascii="Calibri" w:hAnsi="Calibri" w:cs="Arial"/>
          <w:sz w:val="22"/>
          <w:szCs w:val="22"/>
        </w:rPr>
        <w:t xml:space="preserve"> compelling stories that propelled consumer growth strategies across the globe and to improve digital marketing performance.  </w:t>
      </w:r>
      <w:r w:rsidR="0033408F">
        <w:rPr>
          <w:rFonts w:ascii="Calibri" w:hAnsi="Calibri" w:cs="Arial"/>
          <w:sz w:val="22"/>
          <w:szCs w:val="22"/>
        </w:rPr>
        <w:t>C</w:t>
      </w:r>
      <w:r w:rsidRPr="000A57BA">
        <w:rPr>
          <w:rFonts w:ascii="Calibri" w:hAnsi="Calibri" w:cs="Arial"/>
          <w:sz w:val="22"/>
          <w:szCs w:val="22"/>
        </w:rPr>
        <w:t xml:space="preserve">ultivated trusted relationships with key decision makers throughout all levels of </w:t>
      </w:r>
      <w:r w:rsidR="0033408F">
        <w:rPr>
          <w:rFonts w:ascii="Calibri" w:hAnsi="Calibri" w:cs="Arial"/>
          <w:sz w:val="22"/>
          <w:szCs w:val="22"/>
        </w:rPr>
        <w:t>management</w:t>
      </w:r>
      <w:r w:rsidRPr="000A57BA">
        <w:rPr>
          <w:rFonts w:ascii="Calibri" w:hAnsi="Calibri" w:cs="Arial"/>
          <w:sz w:val="22"/>
          <w:szCs w:val="22"/>
        </w:rPr>
        <w:t xml:space="preserve">.  </w:t>
      </w:r>
      <w:r w:rsidR="00F3409C">
        <w:rPr>
          <w:rFonts w:ascii="Calibri" w:hAnsi="Calibri" w:cs="Arial"/>
          <w:sz w:val="22"/>
          <w:szCs w:val="22"/>
        </w:rPr>
        <w:t xml:space="preserve">Possess unique blend of skills in data, analytics, insight delivery, and strategy.  </w:t>
      </w:r>
    </w:p>
    <w:p w:rsidR="00600EF5" w:rsidRPr="00904846" w:rsidRDefault="00600EF5">
      <w:pPr>
        <w:rPr>
          <w:rFonts w:ascii="Calibri" w:hAnsi="Calibri" w:cs="Arial"/>
          <w:sz w:val="22"/>
          <w:szCs w:val="22"/>
        </w:rPr>
      </w:pPr>
      <w:r w:rsidRPr="00904846">
        <w:rPr>
          <w:rFonts w:ascii="Calibri" w:hAnsi="Calibri" w:cs="Arial"/>
          <w:sz w:val="22"/>
          <w:szCs w:val="22"/>
        </w:rPr>
        <w:t xml:space="preserve">  </w:t>
      </w:r>
    </w:p>
    <w:p w:rsidR="00600EF5" w:rsidRPr="00904846" w:rsidRDefault="00600EF5">
      <w:pPr>
        <w:pStyle w:val="Heading1"/>
        <w:rPr>
          <w:rFonts w:ascii="Calibri" w:hAnsi="Calibri" w:cs="Arial"/>
          <w:szCs w:val="22"/>
        </w:rPr>
      </w:pPr>
      <w:r w:rsidRPr="00904846">
        <w:rPr>
          <w:rFonts w:ascii="Calibri" w:hAnsi="Calibri" w:cs="Arial"/>
          <w:szCs w:val="22"/>
        </w:rPr>
        <w:t>PROFESSIONAL EXPERIENCE</w:t>
      </w:r>
    </w:p>
    <w:p w:rsidR="00600EF5" w:rsidRPr="00904846" w:rsidRDefault="00600EF5">
      <w:pPr>
        <w:rPr>
          <w:rFonts w:ascii="Calibri" w:hAnsi="Calibri" w:cs="Arial"/>
          <w:sz w:val="22"/>
          <w:szCs w:val="22"/>
        </w:rPr>
      </w:pPr>
    </w:p>
    <w:p w:rsidR="00D27C2C" w:rsidRDefault="00D27C2C" w:rsidP="004620E6">
      <w:pPr>
        <w:tabs>
          <w:tab w:val="right" w:pos="9360"/>
        </w:tabs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THE WALT DISNEY COMPANY</w:t>
      </w:r>
      <w:r w:rsidR="00600EF5" w:rsidRPr="00904846">
        <w:rPr>
          <w:rFonts w:ascii="Calibri" w:hAnsi="Calibri" w:cs="Arial"/>
          <w:b/>
          <w:bCs/>
          <w:sz w:val="22"/>
          <w:szCs w:val="22"/>
        </w:rPr>
        <w:t>,</w:t>
      </w:r>
      <w:r w:rsidR="00600EF5" w:rsidRPr="0090484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Burbank, CA</w:t>
      </w:r>
      <w:r w:rsidR="004620E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>2005 – 2016</w:t>
      </w:r>
    </w:p>
    <w:p w:rsidR="00897228" w:rsidRPr="004620E6" w:rsidRDefault="00897228" w:rsidP="00D27C2C">
      <w:pPr>
        <w:tabs>
          <w:tab w:val="right" w:pos="9360"/>
        </w:tabs>
        <w:jc w:val="both"/>
        <w:rPr>
          <w:rFonts w:ascii="Calibri" w:hAnsi="Calibri" w:cs="Arial"/>
          <w:b/>
          <w:sz w:val="10"/>
          <w:szCs w:val="10"/>
        </w:rPr>
      </w:pPr>
    </w:p>
    <w:p w:rsidR="00600EF5" w:rsidRPr="00D27C2C" w:rsidRDefault="00D27C2C" w:rsidP="00D27C2C">
      <w:pPr>
        <w:tabs>
          <w:tab w:val="right" w:pos="9360"/>
        </w:tabs>
        <w:jc w:val="both"/>
        <w:rPr>
          <w:rFonts w:ascii="Calibri" w:hAnsi="Calibri" w:cs="Arial"/>
          <w:bCs/>
          <w:sz w:val="22"/>
          <w:szCs w:val="22"/>
        </w:rPr>
      </w:pPr>
      <w:r w:rsidRPr="00D27C2C">
        <w:rPr>
          <w:rFonts w:ascii="Calibri" w:hAnsi="Calibri" w:cs="Arial"/>
          <w:b/>
          <w:sz w:val="22"/>
          <w:szCs w:val="22"/>
        </w:rPr>
        <w:t>Director of Customer Intelligence, Corporate Customer Information Management</w:t>
      </w:r>
      <w:r w:rsidR="00600EF5" w:rsidRPr="00D27C2C">
        <w:rPr>
          <w:rFonts w:ascii="Calibri" w:hAnsi="Calibri" w:cs="Arial"/>
          <w:sz w:val="22"/>
          <w:szCs w:val="22"/>
        </w:rPr>
        <w:t xml:space="preserve">, </w:t>
      </w:r>
      <w:r w:rsidRPr="00D27C2C">
        <w:rPr>
          <w:rFonts w:ascii="Calibri" w:hAnsi="Calibri" w:cs="Arial"/>
          <w:bCs/>
          <w:sz w:val="22"/>
          <w:szCs w:val="22"/>
        </w:rPr>
        <w:t>2011 – 2016</w:t>
      </w:r>
    </w:p>
    <w:p w:rsidR="00600EF5" w:rsidRPr="00904846" w:rsidRDefault="00D27C2C">
      <w:pPr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Generate</w:t>
      </w:r>
      <w:r w:rsidR="0027320A">
        <w:rPr>
          <w:rFonts w:ascii="Calibri" w:hAnsi="Calibri" w:cs="Arial"/>
          <w:sz w:val="22"/>
          <w:szCs w:val="22"/>
        </w:rPr>
        <w:t>d</w:t>
      </w:r>
      <w:r w:rsidRPr="00D27C2C">
        <w:rPr>
          <w:rFonts w:ascii="Calibri" w:hAnsi="Calibri" w:cs="Arial"/>
          <w:sz w:val="22"/>
          <w:szCs w:val="22"/>
        </w:rPr>
        <w:t xml:space="preserve"> customer insights and support</w:t>
      </w:r>
      <w:r w:rsidR="0027320A">
        <w:rPr>
          <w:rFonts w:ascii="Calibri" w:hAnsi="Calibri" w:cs="Arial"/>
          <w:sz w:val="22"/>
          <w:szCs w:val="22"/>
        </w:rPr>
        <w:t>ed</w:t>
      </w:r>
      <w:r w:rsidRPr="00D27C2C">
        <w:rPr>
          <w:rFonts w:ascii="Calibri" w:hAnsi="Calibri" w:cs="Arial"/>
          <w:sz w:val="22"/>
          <w:szCs w:val="22"/>
        </w:rPr>
        <w:t xml:space="preserve"> business unit strategic and marketing initiatives through advanced analytics </w:t>
      </w:r>
      <w:r w:rsidR="003C5EC5">
        <w:rPr>
          <w:rFonts w:ascii="Calibri" w:hAnsi="Calibri" w:cs="Arial"/>
          <w:sz w:val="22"/>
          <w:szCs w:val="22"/>
        </w:rPr>
        <w:t xml:space="preserve">and predictive modeling of </w:t>
      </w:r>
      <w:r w:rsidRPr="00D27C2C">
        <w:rPr>
          <w:rFonts w:ascii="Calibri" w:hAnsi="Calibri" w:cs="Arial"/>
          <w:sz w:val="22"/>
          <w:szCs w:val="22"/>
        </w:rPr>
        <w:t>customer data</w:t>
      </w:r>
      <w:r w:rsidR="0027320A">
        <w:rPr>
          <w:rFonts w:ascii="Calibri" w:hAnsi="Calibri" w:cs="Arial"/>
          <w:sz w:val="22"/>
          <w:szCs w:val="22"/>
        </w:rPr>
        <w:t xml:space="preserve"> across </w:t>
      </w:r>
      <w:r w:rsidR="003C5EC5">
        <w:rPr>
          <w:rFonts w:ascii="Calibri" w:hAnsi="Calibri" w:cs="Arial"/>
          <w:sz w:val="22"/>
          <w:szCs w:val="22"/>
        </w:rPr>
        <w:t>the company</w:t>
      </w:r>
      <w:r w:rsidR="0027320A">
        <w:rPr>
          <w:rFonts w:ascii="Calibri" w:hAnsi="Calibri" w:cs="Arial"/>
          <w:sz w:val="22"/>
          <w:szCs w:val="22"/>
        </w:rPr>
        <w:t>.  Le</w:t>
      </w:r>
      <w:r w:rsidR="0027320A" w:rsidRPr="0027320A">
        <w:rPr>
          <w:rFonts w:ascii="Calibri" w:hAnsi="Calibri" w:cs="Arial"/>
          <w:sz w:val="22"/>
          <w:szCs w:val="22"/>
        </w:rPr>
        <w:t>d strategic direction of enterprise data warehouse that consolidated enterprise view of customers and behaviors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600EF5" w:rsidRPr="00897228" w:rsidRDefault="00600EF5">
      <w:pPr>
        <w:jc w:val="both"/>
        <w:rPr>
          <w:rFonts w:ascii="Calibri" w:hAnsi="Calibri" w:cs="Arial"/>
          <w:sz w:val="16"/>
          <w:szCs w:val="22"/>
        </w:rPr>
      </w:pPr>
    </w:p>
    <w:p w:rsidR="0027320A" w:rsidRPr="008A2C2E" w:rsidRDefault="0027320A" w:rsidP="00897228">
      <w:pPr>
        <w:numPr>
          <w:ilvl w:val="0"/>
          <w:numId w:val="9"/>
        </w:num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Identified</w:t>
      </w:r>
      <w:r w:rsidRPr="008A2C2E">
        <w:rPr>
          <w:rFonts w:ascii="Calibri" w:hAnsi="Calibri" w:cs="Arial"/>
          <w:sz w:val="22"/>
          <w:szCs w:val="22"/>
        </w:rPr>
        <w:t xml:space="preserve"> key customer engagement drivers to increase affinity towards and consumer spend on individual character franchises by </w:t>
      </w:r>
      <w:r>
        <w:rPr>
          <w:rFonts w:ascii="Calibri" w:hAnsi="Calibri" w:cs="Arial"/>
          <w:sz w:val="22"/>
          <w:szCs w:val="22"/>
        </w:rPr>
        <w:t xml:space="preserve">using </w:t>
      </w:r>
      <w:r w:rsidRPr="008A2C2E">
        <w:rPr>
          <w:rFonts w:ascii="Calibri" w:hAnsi="Calibri" w:cs="Arial"/>
          <w:sz w:val="22"/>
          <w:szCs w:val="22"/>
        </w:rPr>
        <w:t>econometrics and Bayesian network modeling techniques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8A2C2E" w:rsidRPr="008A2C2E" w:rsidRDefault="008A2C2E" w:rsidP="00897228">
      <w:pPr>
        <w:numPr>
          <w:ilvl w:val="0"/>
          <w:numId w:val="9"/>
        </w:num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>Create</w:t>
      </w:r>
      <w:r w:rsidR="0027320A">
        <w:rPr>
          <w:rFonts w:ascii="Calibri" w:hAnsi="Calibri" w:cs="Arial"/>
          <w:sz w:val="22"/>
          <w:szCs w:val="22"/>
        </w:rPr>
        <w:t>d</w:t>
      </w:r>
      <w:r w:rsidRPr="008A2C2E">
        <w:rPr>
          <w:rFonts w:ascii="Calibri" w:hAnsi="Calibri" w:cs="Arial"/>
          <w:sz w:val="22"/>
          <w:szCs w:val="22"/>
        </w:rPr>
        <w:t xml:space="preserve"> email response models that improve</w:t>
      </w:r>
      <w:r w:rsidR="006E175E">
        <w:rPr>
          <w:rFonts w:ascii="Calibri" w:hAnsi="Calibri" w:cs="Arial"/>
          <w:sz w:val="22"/>
          <w:szCs w:val="22"/>
        </w:rPr>
        <w:t>d</w:t>
      </w:r>
      <w:r w:rsidRPr="008A2C2E">
        <w:rPr>
          <w:rFonts w:ascii="Calibri" w:hAnsi="Calibri" w:cs="Arial"/>
          <w:sz w:val="22"/>
          <w:szCs w:val="22"/>
        </w:rPr>
        <w:t xml:space="preserve"> </w:t>
      </w:r>
      <w:r w:rsidR="006E175E">
        <w:rPr>
          <w:rFonts w:ascii="Calibri" w:hAnsi="Calibri" w:cs="Arial"/>
          <w:sz w:val="22"/>
          <w:szCs w:val="22"/>
        </w:rPr>
        <w:t xml:space="preserve">email click </w:t>
      </w:r>
      <w:r w:rsidRPr="008A2C2E">
        <w:rPr>
          <w:rFonts w:ascii="Calibri" w:hAnsi="Calibri" w:cs="Arial"/>
          <w:sz w:val="22"/>
          <w:szCs w:val="22"/>
        </w:rPr>
        <w:t>performance by at least 30% and customer look-a-like models to identify high-potential marketing prospects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27320A" w:rsidRDefault="008A2C2E" w:rsidP="00897228">
      <w:pPr>
        <w:numPr>
          <w:ilvl w:val="0"/>
          <w:numId w:val="9"/>
        </w:num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>Improve</w:t>
      </w:r>
      <w:r w:rsidR="0027320A">
        <w:rPr>
          <w:rFonts w:ascii="Calibri" w:hAnsi="Calibri" w:cs="Arial"/>
          <w:sz w:val="22"/>
          <w:szCs w:val="22"/>
        </w:rPr>
        <w:t>d</w:t>
      </w:r>
      <w:r w:rsidRPr="008A2C2E">
        <w:rPr>
          <w:rFonts w:ascii="Calibri" w:hAnsi="Calibri" w:cs="Arial"/>
          <w:sz w:val="22"/>
          <w:szCs w:val="22"/>
        </w:rPr>
        <w:t xml:space="preserve"> ability to identify Hispanic customers from 60% accuracy to 85%+ accuracy while expanding customer coverage of Hispanic </w:t>
      </w:r>
      <w:r w:rsidR="006E175E">
        <w:rPr>
          <w:rFonts w:ascii="Calibri" w:hAnsi="Calibri" w:cs="Arial"/>
          <w:sz w:val="22"/>
          <w:szCs w:val="22"/>
        </w:rPr>
        <w:t xml:space="preserve">customer </w:t>
      </w:r>
      <w:r w:rsidRPr="008A2C2E">
        <w:rPr>
          <w:rFonts w:ascii="Calibri" w:hAnsi="Calibri" w:cs="Arial"/>
          <w:sz w:val="22"/>
          <w:szCs w:val="22"/>
        </w:rPr>
        <w:t>attribute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8A2C2E" w:rsidRPr="0027320A" w:rsidRDefault="0027320A" w:rsidP="00897228">
      <w:pPr>
        <w:numPr>
          <w:ilvl w:val="0"/>
          <w:numId w:val="9"/>
        </w:num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Dro</w:t>
      </w:r>
      <w:r w:rsidR="008A2C2E" w:rsidRPr="008A2C2E">
        <w:rPr>
          <w:rFonts w:ascii="Calibri" w:hAnsi="Calibri" w:cs="Arial"/>
          <w:sz w:val="22"/>
          <w:szCs w:val="22"/>
        </w:rPr>
        <w:t>ve product capabilities roadmap, business requirements, enhancements, and efficiencies by working closely with internal IT department and external partner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8A2C2E" w:rsidRPr="008A2C2E" w:rsidRDefault="008A2C2E" w:rsidP="00897228">
      <w:pPr>
        <w:numPr>
          <w:ilvl w:val="0"/>
          <w:numId w:val="8"/>
        </w:num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>Improved processes and generated business unit demand for email campaign services leading to ~300% increase (within 2 years) in email campaign volume on behalf of business units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8A2C2E" w:rsidRPr="008A2C2E" w:rsidRDefault="008A2C2E" w:rsidP="00897228">
      <w:pPr>
        <w:numPr>
          <w:ilvl w:val="0"/>
          <w:numId w:val="8"/>
        </w:num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>Led cross-business unit Hispanic CRM and Customer Analytics task forces to coordinate analytical efforts across business units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600EF5" w:rsidRPr="00904846" w:rsidRDefault="00600EF5">
      <w:pPr>
        <w:tabs>
          <w:tab w:val="left" w:pos="360"/>
        </w:tabs>
        <w:jc w:val="both"/>
        <w:rPr>
          <w:rFonts w:ascii="Calibri" w:hAnsi="Calibri" w:cs="Arial"/>
          <w:sz w:val="22"/>
          <w:szCs w:val="22"/>
        </w:rPr>
      </w:pPr>
    </w:p>
    <w:p w:rsidR="00600EF5" w:rsidRPr="00904846" w:rsidRDefault="00D27C2C">
      <w:pPr>
        <w:tabs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Senior Manager, Corporate Customer Brand Development</w:t>
      </w:r>
      <w:r w:rsidR="00600EF5" w:rsidRPr="00904846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sz w:val="22"/>
          <w:szCs w:val="22"/>
        </w:rPr>
        <w:t>2005 – 2011</w:t>
      </w:r>
    </w:p>
    <w:p w:rsidR="00D27C2C" w:rsidRPr="00D27C2C" w:rsidRDefault="00D27C2C" w:rsidP="00D27C2C">
      <w:pPr>
        <w:tabs>
          <w:tab w:val="left" w:pos="360"/>
        </w:tabs>
        <w:jc w:val="both"/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Provided consumer behav</w:t>
      </w:r>
      <w:r w:rsidR="001F67F5">
        <w:rPr>
          <w:rFonts w:ascii="Calibri" w:hAnsi="Calibri" w:cs="Arial"/>
          <w:sz w:val="22"/>
          <w:szCs w:val="22"/>
        </w:rPr>
        <w:t xml:space="preserve">ioral insights and analytical </w:t>
      </w:r>
      <w:r w:rsidRPr="00D27C2C">
        <w:rPr>
          <w:rFonts w:ascii="Calibri" w:hAnsi="Calibri" w:cs="Arial"/>
          <w:sz w:val="22"/>
          <w:szCs w:val="22"/>
        </w:rPr>
        <w:t xml:space="preserve">support to shape company and business unit consumer growth strategies. </w:t>
      </w:r>
    </w:p>
    <w:p w:rsidR="00D27C2C" w:rsidRPr="00897228" w:rsidRDefault="00D27C2C" w:rsidP="00D27C2C">
      <w:pPr>
        <w:tabs>
          <w:tab w:val="left" w:pos="360"/>
        </w:tabs>
        <w:jc w:val="both"/>
        <w:rPr>
          <w:rFonts w:ascii="Calibri" w:hAnsi="Calibri" w:cs="Arial"/>
          <w:sz w:val="16"/>
          <w:szCs w:val="22"/>
        </w:rPr>
      </w:pPr>
    </w:p>
    <w:p w:rsidR="00D27C2C" w:rsidRPr="00D27C2C" w:rsidRDefault="00D27C2C" w:rsidP="00897228">
      <w:p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•</w:t>
      </w:r>
      <w:r w:rsidRPr="00D27C2C">
        <w:rPr>
          <w:rFonts w:ascii="Calibri" w:hAnsi="Calibri" w:cs="Arial"/>
          <w:sz w:val="22"/>
          <w:szCs w:val="22"/>
        </w:rPr>
        <w:tab/>
        <w:t>Identified growth opportunities and developed overall consumer strategies for Disney-branded businesses by leading consumer spending research studies in U.S., Japan, U.K., France, Germany, Italy, Spain, China, Russia, India, Mexico, and Brazil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D27C2C" w:rsidRPr="00D27C2C" w:rsidRDefault="00D27C2C" w:rsidP="00897228">
      <w:p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•</w:t>
      </w:r>
      <w:r w:rsidRPr="00D27C2C">
        <w:rPr>
          <w:rFonts w:ascii="Calibri" w:hAnsi="Calibri" w:cs="Arial"/>
          <w:sz w:val="22"/>
          <w:szCs w:val="22"/>
        </w:rPr>
        <w:tab/>
        <w:t>Defined key Disney customer segments to influence corporate / business unit CRM strategy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D27C2C" w:rsidRPr="00D27C2C" w:rsidRDefault="00D27C2C" w:rsidP="00897228">
      <w:p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•</w:t>
      </w:r>
      <w:r w:rsidRPr="00D27C2C">
        <w:rPr>
          <w:rFonts w:ascii="Calibri" w:hAnsi="Calibri" w:cs="Arial"/>
          <w:sz w:val="22"/>
          <w:szCs w:val="22"/>
        </w:rPr>
        <w:tab/>
        <w:t>Determined key role of TV/Disney Channel content in driving customer involvement and spend with the Disney brand that influenced Disney Channel global expansion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600EF5" w:rsidRPr="00904846" w:rsidRDefault="00D27C2C" w:rsidP="00897228">
      <w:pPr>
        <w:tabs>
          <w:tab w:val="left" w:pos="270"/>
        </w:tabs>
        <w:spacing w:after="60"/>
        <w:ind w:left="274" w:hanging="274"/>
        <w:jc w:val="both"/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•</w:t>
      </w:r>
      <w:r w:rsidRPr="00D27C2C">
        <w:rPr>
          <w:rFonts w:ascii="Calibri" w:hAnsi="Calibri" w:cs="Arial"/>
          <w:sz w:val="22"/>
          <w:szCs w:val="22"/>
        </w:rPr>
        <w:tab/>
        <w:t xml:space="preserve">Established strength of Disney brand and its customers to drive growth in ad sales and retail partnerships by leveraging credit card transactional </w:t>
      </w:r>
      <w:r>
        <w:rPr>
          <w:rFonts w:ascii="Calibri" w:hAnsi="Calibri" w:cs="Arial"/>
          <w:sz w:val="22"/>
          <w:szCs w:val="22"/>
        </w:rPr>
        <w:t>data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600EF5" w:rsidRPr="00904846" w:rsidRDefault="00D27C2C">
      <w:pPr>
        <w:tabs>
          <w:tab w:val="right" w:pos="936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lastRenderedPageBreak/>
        <w:t>DISNEYLAND RESORT</w:t>
      </w:r>
      <w:r w:rsidR="00600EF5" w:rsidRPr="00904846">
        <w:rPr>
          <w:rFonts w:ascii="Calibri" w:hAnsi="Calibri" w:cs="Arial"/>
          <w:b/>
          <w:bCs/>
          <w:sz w:val="22"/>
          <w:szCs w:val="22"/>
        </w:rPr>
        <w:t>,</w:t>
      </w:r>
      <w:r w:rsidR="00600EF5" w:rsidRPr="0090484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Anaheim, CA</w:t>
      </w:r>
      <w:r w:rsidR="004620E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>2003 – 2005</w:t>
      </w:r>
    </w:p>
    <w:p w:rsidR="004620E6" w:rsidRPr="004620E6" w:rsidRDefault="004620E6" w:rsidP="007163FF">
      <w:pPr>
        <w:rPr>
          <w:rFonts w:ascii="Calibri" w:hAnsi="Calibri" w:cs="Arial"/>
          <w:b/>
          <w:bCs/>
          <w:sz w:val="10"/>
          <w:szCs w:val="10"/>
        </w:rPr>
      </w:pPr>
    </w:p>
    <w:p w:rsidR="00D27C2C" w:rsidRPr="00683C61" w:rsidRDefault="00D27C2C" w:rsidP="007163FF">
      <w:pPr>
        <w:rPr>
          <w:rFonts w:ascii="Calibri" w:hAnsi="Calibri" w:cs="Arial"/>
          <w:bCs/>
          <w:sz w:val="22"/>
          <w:szCs w:val="22"/>
        </w:rPr>
      </w:pPr>
      <w:r w:rsidRPr="00D27C2C">
        <w:rPr>
          <w:rFonts w:ascii="Calibri" w:hAnsi="Calibri" w:cs="Arial"/>
          <w:b/>
          <w:bCs/>
          <w:sz w:val="22"/>
          <w:szCs w:val="22"/>
        </w:rPr>
        <w:t>Associate Mar</w:t>
      </w:r>
      <w:r>
        <w:rPr>
          <w:rFonts w:ascii="Calibri" w:hAnsi="Calibri" w:cs="Arial"/>
          <w:b/>
          <w:bCs/>
          <w:sz w:val="22"/>
          <w:szCs w:val="22"/>
        </w:rPr>
        <w:t>keting Manager, U.S. Marketing</w:t>
      </w:r>
      <w:r w:rsidR="00683C61">
        <w:rPr>
          <w:rFonts w:ascii="Calibri" w:hAnsi="Calibri" w:cs="Arial"/>
          <w:bCs/>
          <w:sz w:val="22"/>
          <w:szCs w:val="22"/>
        </w:rPr>
        <w:t>, 2004 – 2005</w:t>
      </w:r>
    </w:p>
    <w:p w:rsidR="00D27C2C" w:rsidRPr="00D27C2C" w:rsidRDefault="00897228" w:rsidP="00D27C2C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</w:t>
      </w:r>
      <w:r w:rsidRPr="00D27C2C">
        <w:rPr>
          <w:rFonts w:ascii="Calibri" w:hAnsi="Calibri" w:cs="Arial"/>
          <w:sz w:val="22"/>
          <w:szCs w:val="22"/>
        </w:rPr>
        <w:t>d development of print and internet advertising, direct mail, and email tactics</w:t>
      </w:r>
      <w:r>
        <w:rPr>
          <w:rFonts w:ascii="Calibri" w:hAnsi="Calibri" w:cs="Arial"/>
          <w:sz w:val="22"/>
          <w:szCs w:val="22"/>
        </w:rPr>
        <w:t xml:space="preserve">. </w:t>
      </w:r>
      <w:r w:rsidR="00D27C2C" w:rsidRPr="00D27C2C">
        <w:rPr>
          <w:rFonts w:ascii="Calibri" w:hAnsi="Calibri" w:cs="Arial"/>
          <w:sz w:val="22"/>
          <w:szCs w:val="22"/>
        </w:rPr>
        <w:t>Developed strategic inputs an</w:t>
      </w:r>
      <w:r w:rsidR="00BC5EDF">
        <w:rPr>
          <w:rFonts w:ascii="Calibri" w:hAnsi="Calibri" w:cs="Arial"/>
          <w:sz w:val="22"/>
          <w:szCs w:val="22"/>
        </w:rPr>
        <w:t>d managed marketing initiatives of $30M+ marketing budget</w:t>
      </w:r>
      <w:r>
        <w:rPr>
          <w:rFonts w:ascii="Calibri" w:hAnsi="Calibri" w:cs="Arial"/>
          <w:sz w:val="22"/>
          <w:szCs w:val="22"/>
        </w:rPr>
        <w:t>.</w:t>
      </w:r>
    </w:p>
    <w:p w:rsidR="00D27C2C" w:rsidRPr="00897228" w:rsidRDefault="00D27C2C" w:rsidP="00D27C2C">
      <w:pPr>
        <w:rPr>
          <w:rFonts w:ascii="Calibri" w:hAnsi="Calibri" w:cs="Arial"/>
          <w:sz w:val="16"/>
          <w:szCs w:val="22"/>
        </w:rPr>
      </w:pPr>
    </w:p>
    <w:p w:rsidR="00D27C2C" w:rsidRPr="00D27C2C" w:rsidRDefault="00D27C2C" w:rsidP="00897228">
      <w:pPr>
        <w:numPr>
          <w:ilvl w:val="0"/>
          <w:numId w:val="6"/>
        </w:numPr>
        <w:tabs>
          <w:tab w:val="left" w:pos="270"/>
        </w:tabs>
        <w:spacing w:after="60"/>
        <w:ind w:left="274" w:hanging="274"/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Executed analyses to inform strategy and to increase effectiveness of marketing tactics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D27C2C" w:rsidRPr="00D27C2C" w:rsidRDefault="00897228" w:rsidP="00897228">
      <w:pPr>
        <w:numPr>
          <w:ilvl w:val="0"/>
          <w:numId w:val="6"/>
        </w:numPr>
        <w:tabs>
          <w:tab w:val="left" w:pos="270"/>
        </w:tabs>
        <w:spacing w:after="60"/>
        <w:ind w:left="274" w:hanging="274"/>
        <w:rPr>
          <w:rFonts w:ascii="Calibri" w:hAnsi="Calibri" w:cs="Arial"/>
          <w:sz w:val="22"/>
          <w:szCs w:val="22"/>
        </w:rPr>
      </w:pPr>
      <w:r w:rsidRPr="00D27C2C">
        <w:rPr>
          <w:rFonts w:ascii="Calibri" w:hAnsi="Calibri" w:cs="Arial"/>
          <w:sz w:val="22"/>
          <w:szCs w:val="22"/>
        </w:rPr>
        <w:t>Formulated analytical-based consumer-direct marketing strategies to drive</w:t>
      </w:r>
      <w:r>
        <w:rPr>
          <w:rFonts w:ascii="Calibri" w:hAnsi="Calibri" w:cs="Arial"/>
          <w:sz w:val="22"/>
          <w:szCs w:val="22"/>
        </w:rPr>
        <w:t xml:space="preserve"> domestic segment revenues (30% of total revenues)</w:t>
      </w:r>
      <w:r w:rsidRPr="00D27C2C">
        <w:rPr>
          <w:rFonts w:ascii="Calibri" w:hAnsi="Calibri" w:cs="Arial"/>
          <w:sz w:val="22"/>
          <w:szCs w:val="22"/>
        </w:rPr>
        <w:t>.</w:t>
      </w:r>
    </w:p>
    <w:p w:rsidR="00683C61" w:rsidRDefault="00683C61" w:rsidP="00683C61">
      <w:pPr>
        <w:tabs>
          <w:tab w:val="left" w:pos="270"/>
        </w:tabs>
        <w:rPr>
          <w:rFonts w:ascii="Calibri" w:hAnsi="Calibri" w:cs="Arial"/>
          <w:sz w:val="22"/>
          <w:szCs w:val="22"/>
        </w:rPr>
      </w:pPr>
    </w:p>
    <w:p w:rsidR="00683C61" w:rsidRPr="00683C61" w:rsidRDefault="00683C61" w:rsidP="00683C61">
      <w:pPr>
        <w:rPr>
          <w:rFonts w:ascii="Calibri" w:hAnsi="Calibri" w:cs="Arial"/>
          <w:bCs/>
          <w:sz w:val="22"/>
          <w:szCs w:val="22"/>
        </w:rPr>
      </w:pPr>
      <w:r w:rsidRPr="00683C61">
        <w:rPr>
          <w:rFonts w:ascii="Calibri" w:hAnsi="Calibri" w:cs="Arial"/>
          <w:b/>
          <w:bCs/>
          <w:sz w:val="22"/>
          <w:szCs w:val="22"/>
        </w:rPr>
        <w:t>Senior Business Planner; Business Planning and Strategy Development</w:t>
      </w:r>
      <w:r>
        <w:rPr>
          <w:rFonts w:ascii="Calibri" w:hAnsi="Calibri" w:cs="Arial"/>
          <w:bCs/>
          <w:sz w:val="22"/>
          <w:szCs w:val="22"/>
        </w:rPr>
        <w:t>, 2003 – 2004</w:t>
      </w:r>
    </w:p>
    <w:p w:rsidR="00683C61" w:rsidRDefault="00683C61" w:rsidP="00683C61">
      <w:pPr>
        <w:rPr>
          <w:rFonts w:ascii="Calibri" w:hAnsi="Calibri" w:cs="Arial"/>
          <w:sz w:val="22"/>
          <w:szCs w:val="22"/>
        </w:rPr>
      </w:pPr>
      <w:r w:rsidRPr="00683C61">
        <w:rPr>
          <w:rFonts w:ascii="Calibri" w:hAnsi="Calibri" w:cs="Arial"/>
          <w:sz w:val="22"/>
          <w:szCs w:val="22"/>
        </w:rPr>
        <w:t>Provided strategy, forecasting, and financial analyses support to Marketing department.  Developed strategies, business cases, and after-action reviews for Resort-wide initiatives.</w:t>
      </w:r>
    </w:p>
    <w:p w:rsidR="00683C61" w:rsidRPr="00897228" w:rsidRDefault="00683C61" w:rsidP="00683C61">
      <w:pPr>
        <w:rPr>
          <w:rFonts w:ascii="Calibri" w:hAnsi="Calibri" w:cs="Arial"/>
          <w:sz w:val="16"/>
          <w:szCs w:val="22"/>
        </w:rPr>
      </w:pPr>
    </w:p>
    <w:p w:rsidR="00683C61" w:rsidRPr="00683C61" w:rsidRDefault="00683C61" w:rsidP="00897228">
      <w:pPr>
        <w:numPr>
          <w:ilvl w:val="0"/>
          <w:numId w:val="6"/>
        </w:numPr>
        <w:tabs>
          <w:tab w:val="left" w:pos="270"/>
        </w:tabs>
        <w:spacing w:after="60"/>
        <w:ind w:left="274" w:hanging="274"/>
        <w:rPr>
          <w:rFonts w:ascii="Calibri" w:hAnsi="Calibri" w:cs="Arial"/>
          <w:sz w:val="22"/>
          <w:szCs w:val="22"/>
        </w:rPr>
      </w:pPr>
      <w:r w:rsidRPr="00683C61">
        <w:rPr>
          <w:rFonts w:ascii="Calibri" w:hAnsi="Calibri" w:cs="Arial"/>
          <w:sz w:val="22"/>
          <w:szCs w:val="22"/>
        </w:rPr>
        <w:t>Determined value of high-priority guests by establishing key profit drivers, enabling more robust business planning</w:t>
      </w:r>
      <w:r w:rsidR="00A5724A">
        <w:rPr>
          <w:rFonts w:ascii="Calibri" w:hAnsi="Calibri" w:cs="Arial"/>
          <w:sz w:val="22"/>
          <w:szCs w:val="22"/>
        </w:rPr>
        <w:t>, strategy development, pricing, and marketing resource allocation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683C61" w:rsidRPr="00683C61" w:rsidRDefault="00683C61" w:rsidP="00897228">
      <w:pPr>
        <w:numPr>
          <w:ilvl w:val="0"/>
          <w:numId w:val="6"/>
        </w:numPr>
        <w:tabs>
          <w:tab w:val="left" w:pos="270"/>
        </w:tabs>
        <w:spacing w:after="60"/>
        <w:ind w:left="274" w:hanging="274"/>
        <w:rPr>
          <w:rFonts w:ascii="Calibri" w:hAnsi="Calibri" w:cs="Arial"/>
          <w:sz w:val="22"/>
          <w:szCs w:val="22"/>
        </w:rPr>
      </w:pPr>
      <w:r w:rsidRPr="00683C61">
        <w:rPr>
          <w:rFonts w:ascii="Calibri" w:hAnsi="Calibri" w:cs="Arial"/>
          <w:sz w:val="22"/>
          <w:szCs w:val="22"/>
        </w:rPr>
        <w:t>Developed business case to support funding for CRM/database marketing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8A2C2E" w:rsidRDefault="008A2C2E" w:rsidP="00683C61">
      <w:pPr>
        <w:tabs>
          <w:tab w:val="left" w:pos="270"/>
        </w:tabs>
        <w:rPr>
          <w:rFonts w:ascii="Calibri" w:hAnsi="Calibri" w:cs="Arial"/>
          <w:sz w:val="22"/>
          <w:szCs w:val="22"/>
        </w:rPr>
      </w:pPr>
    </w:p>
    <w:p w:rsidR="008A2C2E" w:rsidRPr="00904846" w:rsidRDefault="008A2C2E" w:rsidP="008A2C2E">
      <w:pPr>
        <w:tabs>
          <w:tab w:val="right" w:pos="9360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MARS &amp; CO CONSULTING LLC</w:t>
      </w:r>
      <w:r w:rsidRPr="00904846">
        <w:rPr>
          <w:rFonts w:ascii="Calibri" w:hAnsi="Calibri" w:cs="Arial"/>
          <w:b/>
          <w:bCs/>
          <w:sz w:val="22"/>
          <w:szCs w:val="22"/>
        </w:rPr>
        <w:t>,</w:t>
      </w:r>
      <w:r w:rsidRPr="00904846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San Francisco, CA</w:t>
      </w:r>
      <w:r w:rsidR="004620E6">
        <w:rPr>
          <w:rFonts w:ascii="Calibri" w:hAnsi="Calibri" w:cs="Arial"/>
          <w:sz w:val="22"/>
          <w:szCs w:val="22"/>
        </w:rPr>
        <w:tab/>
        <w:t xml:space="preserve"> </w:t>
      </w:r>
      <w:r>
        <w:rPr>
          <w:rFonts w:ascii="Calibri" w:hAnsi="Calibri" w:cs="Arial"/>
          <w:b/>
          <w:bCs/>
          <w:sz w:val="22"/>
          <w:szCs w:val="22"/>
        </w:rPr>
        <w:t>1998 – 2000</w:t>
      </w:r>
    </w:p>
    <w:p w:rsidR="008A2C2E" w:rsidRPr="00683C61" w:rsidRDefault="008A2C2E" w:rsidP="008A2C2E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Strategic Consultant</w:t>
      </w:r>
    </w:p>
    <w:p w:rsidR="008A2C2E" w:rsidRPr="008A2C2E" w:rsidRDefault="008A2C2E" w:rsidP="008A2C2E">
      <w:pPr>
        <w:tabs>
          <w:tab w:val="left" w:pos="270"/>
        </w:tabs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 xml:space="preserve">Performed strategic cost, financial, and competitive analyses.  Conducted field interviews, field research, and financial modeling.  Managed project teams. </w:t>
      </w:r>
    </w:p>
    <w:p w:rsidR="008A2C2E" w:rsidRPr="00897228" w:rsidRDefault="008A2C2E" w:rsidP="008A2C2E">
      <w:pPr>
        <w:tabs>
          <w:tab w:val="left" w:pos="270"/>
        </w:tabs>
        <w:rPr>
          <w:rFonts w:ascii="Calibri" w:hAnsi="Calibri" w:cs="Arial"/>
          <w:sz w:val="16"/>
          <w:szCs w:val="22"/>
        </w:rPr>
      </w:pPr>
    </w:p>
    <w:p w:rsidR="008A2C2E" w:rsidRPr="008A2C2E" w:rsidRDefault="008A2C2E" w:rsidP="00897228">
      <w:pPr>
        <w:numPr>
          <w:ilvl w:val="0"/>
          <w:numId w:val="6"/>
        </w:numPr>
        <w:tabs>
          <w:tab w:val="left" w:pos="270"/>
        </w:tabs>
        <w:spacing w:after="60"/>
        <w:ind w:left="274" w:hanging="274"/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>Revealed customer-product profitability for a $50M profit pool by completing strategic cost analysis for U.S. division of a pig biotechnology company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8A2C2E" w:rsidRPr="008A2C2E" w:rsidRDefault="008A2C2E" w:rsidP="00897228">
      <w:pPr>
        <w:numPr>
          <w:ilvl w:val="0"/>
          <w:numId w:val="6"/>
        </w:numPr>
        <w:tabs>
          <w:tab w:val="left" w:pos="270"/>
        </w:tabs>
        <w:spacing w:after="60"/>
        <w:ind w:left="274" w:hanging="274"/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>Prioritized actions and resources for over 300 markets of a $16B U.S. health insurer by segmenting and benchmarking business environments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8A2C2E" w:rsidRPr="008A2C2E" w:rsidRDefault="008A2C2E" w:rsidP="00897228">
      <w:pPr>
        <w:numPr>
          <w:ilvl w:val="0"/>
          <w:numId w:val="6"/>
        </w:numPr>
        <w:tabs>
          <w:tab w:val="left" w:pos="270"/>
        </w:tabs>
        <w:spacing w:after="60"/>
        <w:ind w:left="274" w:hanging="274"/>
        <w:rPr>
          <w:rFonts w:ascii="Calibri" w:hAnsi="Calibri" w:cs="Arial"/>
          <w:sz w:val="22"/>
          <w:szCs w:val="22"/>
        </w:rPr>
      </w:pPr>
      <w:r w:rsidRPr="008A2C2E">
        <w:rPr>
          <w:rFonts w:ascii="Calibri" w:hAnsi="Calibri" w:cs="Arial"/>
          <w:sz w:val="22"/>
          <w:szCs w:val="22"/>
        </w:rPr>
        <w:t>Benchmarked best practices of U.S. lotteries for a foreign lottery operator</w:t>
      </w:r>
      <w:r w:rsidR="00897228">
        <w:rPr>
          <w:rFonts w:ascii="Calibri" w:hAnsi="Calibri" w:cs="Arial"/>
          <w:sz w:val="22"/>
          <w:szCs w:val="22"/>
        </w:rPr>
        <w:t>.</w:t>
      </w:r>
    </w:p>
    <w:p w:rsidR="0027320A" w:rsidRDefault="0027320A" w:rsidP="00683C61">
      <w:pPr>
        <w:tabs>
          <w:tab w:val="left" w:pos="270"/>
        </w:tabs>
        <w:rPr>
          <w:rFonts w:ascii="Calibri" w:hAnsi="Calibri" w:cs="Arial"/>
          <w:sz w:val="22"/>
          <w:szCs w:val="22"/>
        </w:rPr>
      </w:pPr>
    </w:p>
    <w:p w:rsidR="0027320A" w:rsidRPr="00904846" w:rsidRDefault="00BC5EDF" w:rsidP="004620E6">
      <w:pPr>
        <w:tabs>
          <w:tab w:val="right" w:pos="9360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NOVELLUS SYSTEMS</w:t>
      </w:r>
      <w:r w:rsidR="0027320A" w:rsidRPr="00904846">
        <w:rPr>
          <w:rFonts w:ascii="Calibri" w:hAnsi="Calibri" w:cs="Arial"/>
          <w:b/>
          <w:bCs/>
          <w:sz w:val="22"/>
          <w:szCs w:val="22"/>
        </w:rPr>
        <w:t>,</w:t>
      </w:r>
      <w:r w:rsidR="0027320A" w:rsidRPr="00904846">
        <w:rPr>
          <w:rFonts w:ascii="Calibri" w:hAnsi="Calibri" w:cs="Arial"/>
          <w:sz w:val="22"/>
          <w:szCs w:val="22"/>
        </w:rPr>
        <w:t xml:space="preserve"> </w:t>
      </w:r>
      <w:r w:rsidR="0027320A">
        <w:rPr>
          <w:rFonts w:ascii="Calibri" w:hAnsi="Calibri" w:cs="Arial"/>
          <w:sz w:val="22"/>
          <w:szCs w:val="22"/>
        </w:rPr>
        <w:t>San Jose, CA</w:t>
      </w:r>
      <w:r w:rsidR="00897228">
        <w:rPr>
          <w:rFonts w:ascii="Calibri" w:hAnsi="Calibri" w:cs="Arial"/>
          <w:sz w:val="22"/>
          <w:szCs w:val="22"/>
        </w:rPr>
        <w:t xml:space="preserve"> </w:t>
      </w:r>
      <w:r w:rsidR="004620E6">
        <w:rPr>
          <w:rFonts w:ascii="Calibri" w:hAnsi="Calibri" w:cs="Arial"/>
          <w:bCs/>
          <w:sz w:val="22"/>
          <w:szCs w:val="22"/>
        </w:rPr>
        <w:t>(acquired by LAM Research)</w:t>
      </w:r>
      <w:r w:rsidR="004620E6">
        <w:rPr>
          <w:rFonts w:ascii="Calibri" w:hAnsi="Calibri" w:cs="Arial"/>
          <w:bCs/>
          <w:sz w:val="22"/>
          <w:szCs w:val="22"/>
        </w:rPr>
        <w:tab/>
      </w:r>
      <w:r w:rsidR="0027320A">
        <w:rPr>
          <w:rFonts w:ascii="Calibri" w:hAnsi="Calibri" w:cs="Arial"/>
          <w:b/>
          <w:bCs/>
          <w:sz w:val="22"/>
          <w:szCs w:val="22"/>
        </w:rPr>
        <w:t>1996 – 1998</w:t>
      </w:r>
    </w:p>
    <w:p w:rsidR="0027320A" w:rsidRDefault="0027320A" w:rsidP="0027320A">
      <w:pPr>
        <w:tabs>
          <w:tab w:val="left" w:pos="270"/>
        </w:tabs>
        <w:rPr>
          <w:rFonts w:ascii="Calibri" w:hAnsi="Calibri" w:cs="Arial"/>
          <w:b/>
          <w:bCs/>
          <w:sz w:val="22"/>
          <w:szCs w:val="22"/>
        </w:rPr>
      </w:pPr>
      <w:r w:rsidRPr="0027320A">
        <w:rPr>
          <w:rFonts w:ascii="Calibri" w:hAnsi="Calibri" w:cs="Arial"/>
          <w:b/>
          <w:bCs/>
          <w:sz w:val="22"/>
          <w:szCs w:val="22"/>
        </w:rPr>
        <w:t xml:space="preserve">Regional Marketing Engineer, Asia-Pacific </w:t>
      </w:r>
    </w:p>
    <w:p w:rsidR="0027320A" w:rsidRDefault="0027320A" w:rsidP="00683C61">
      <w:pPr>
        <w:tabs>
          <w:tab w:val="left" w:pos="270"/>
        </w:tabs>
        <w:rPr>
          <w:rFonts w:ascii="Calibri" w:hAnsi="Calibri" w:cs="Arial"/>
          <w:sz w:val="22"/>
          <w:szCs w:val="22"/>
        </w:rPr>
      </w:pPr>
      <w:r w:rsidRPr="0027320A">
        <w:rPr>
          <w:rFonts w:ascii="Calibri" w:hAnsi="Calibri" w:cs="Arial"/>
          <w:sz w:val="22"/>
          <w:szCs w:val="22"/>
        </w:rPr>
        <w:t>Assisted Asia-Pacific account executives with forecasts, sales strategies, contract negotiations.  Determined customer requirements; provided product solutions and ensured accurate delivery.</w:t>
      </w:r>
    </w:p>
    <w:p w:rsidR="00600EF5" w:rsidRPr="00904846" w:rsidRDefault="00600EF5">
      <w:pPr>
        <w:pStyle w:val="Heading1"/>
        <w:rPr>
          <w:rFonts w:ascii="Calibri" w:hAnsi="Calibri" w:cs="Arial"/>
          <w:sz w:val="22"/>
          <w:szCs w:val="22"/>
        </w:rPr>
      </w:pPr>
    </w:p>
    <w:p w:rsidR="00600EF5" w:rsidRPr="00904846" w:rsidRDefault="00600EF5">
      <w:pPr>
        <w:pStyle w:val="Heading1"/>
        <w:rPr>
          <w:rFonts w:ascii="Calibri" w:hAnsi="Calibri" w:cs="Arial"/>
          <w:szCs w:val="22"/>
        </w:rPr>
      </w:pPr>
      <w:r w:rsidRPr="00904846">
        <w:rPr>
          <w:rFonts w:ascii="Calibri" w:hAnsi="Calibri" w:cs="Arial"/>
          <w:szCs w:val="22"/>
        </w:rPr>
        <w:t>EDUCATION / TRAINING</w:t>
      </w:r>
    </w:p>
    <w:p w:rsidR="00600EF5" w:rsidRPr="00904846" w:rsidRDefault="00600EF5">
      <w:pPr>
        <w:rPr>
          <w:rFonts w:ascii="Calibri" w:hAnsi="Calibri" w:cs="Arial"/>
          <w:sz w:val="22"/>
          <w:szCs w:val="22"/>
        </w:rPr>
      </w:pPr>
    </w:p>
    <w:p w:rsidR="00600EF5" w:rsidRPr="00904846" w:rsidRDefault="00B04E90" w:rsidP="00904846">
      <w:pPr>
        <w:pStyle w:val="Heading1"/>
        <w:autoSpaceDE/>
        <w:autoSpaceDN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M.B.A, Business Administration</w:t>
      </w:r>
      <w:r w:rsidR="00904846" w:rsidRPr="00904846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b w:val="0"/>
          <w:sz w:val="22"/>
          <w:szCs w:val="22"/>
        </w:rPr>
        <w:t>MIT Sloan School of Management, Cambridge, MA</w:t>
      </w:r>
    </w:p>
    <w:p w:rsidR="00600EF5" w:rsidRPr="00904846" w:rsidRDefault="00600EF5">
      <w:pPr>
        <w:jc w:val="center"/>
        <w:rPr>
          <w:rFonts w:ascii="Calibri" w:hAnsi="Calibri" w:cs="Arial"/>
          <w:sz w:val="22"/>
          <w:szCs w:val="22"/>
        </w:rPr>
      </w:pPr>
    </w:p>
    <w:p w:rsidR="00600EF5" w:rsidRDefault="00B04E90" w:rsidP="00904846">
      <w:pPr>
        <w:pStyle w:val="Heading1"/>
        <w:autoSpaceDE/>
        <w:autoSpaceDN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M.S., Materials Science and Engineering</w:t>
      </w:r>
      <w:r w:rsidR="00904846" w:rsidRPr="00904846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b w:val="0"/>
          <w:sz w:val="22"/>
          <w:szCs w:val="22"/>
        </w:rPr>
        <w:t>Stanford University, Stanford, CA</w:t>
      </w:r>
    </w:p>
    <w:p w:rsidR="00B04E90" w:rsidRDefault="00B04E90" w:rsidP="00B04E90"/>
    <w:p w:rsidR="00B04E90" w:rsidRDefault="00B04E90" w:rsidP="00B04E90">
      <w:pPr>
        <w:pStyle w:val="Heading1"/>
        <w:autoSpaceDE/>
        <w:autoSpaceDN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S.B., Materials Science and Engineering</w:t>
      </w:r>
      <w:r w:rsidRPr="00904846">
        <w:rPr>
          <w:rFonts w:ascii="Calibri" w:hAnsi="Calibri" w:cs="Arial"/>
          <w:sz w:val="22"/>
          <w:szCs w:val="22"/>
        </w:rPr>
        <w:t xml:space="preserve">, </w:t>
      </w:r>
      <w:r>
        <w:rPr>
          <w:rFonts w:ascii="Calibri" w:hAnsi="Calibri" w:cs="Arial"/>
          <w:b w:val="0"/>
          <w:sz w:val="22"/>
          <w:szCs w:val="22"/>
        </w:rPr>
        <w:t>Massachusetts Institute of Technology, Cambridge, MA</w:t>
      </w:r>
    </w:p>
    <w:p w:rsidR="00B04E90" w:rsidRDefault="00B04E90" w:rsidP="00B04E90"/>
    <w:p w:rsidR="00897228" w:rsidRPr="00B04E90" w:rsidRDefault="00897228" w:rsidP="00B04E90"/>
    <w:p w:rsidR="00600EF5" w:rsidRPr="00897228" w:rsidRDefault="00897228">
      <w:pPr>
        <w:pStyle w:val="Heading1"/>
        <w:autoSpaceDE/>
        <w:autoSpaceDN/>
        <w:rPr>
          <w:rFonts w:ascii="Calibri" w:hAnsi="Calibri" w:cs="Arial"/>
          <w:szCs w:val="22"/>
        </w:rPr>
      </w:pPr>
      <w:r w:rsidRPr="00897228">
        <w:rPr>
          <w:rFonts w:ascii="Calibri" w:hAnsi="Calibri" w:cs="Arial"/>
          <w:szCs w:val="22"/>
        </w:rPr>
        <w:t>TECHNICAL SKILLS</w:t>
      </w:r>
      <w:r w:rsidR="002C5502" w:rsidRPr="00897228">
        <w:rPr>
          <w:rFonts w:ascii="Calibri" w:hAnsi="Calibri" w:cs="Arial"/>
          <w:szCs w:val="22"/>
        </w:rPr>
        <w:t xml:space="preserve"> </w:t>
      </w:r>
    </w:p>
    <w:p w:rsidR="00600EF5" w:rsidRPr="00904846" w:rsidRDefault="00600EF5">
      <w:pPr>
        <w:rPr>
          <w:rFonts w:ascii="Calibri" w:hAnsi="Calibri" w:cs="Arial"/>
          <w:sz w:val="22"/>
          <w:szCs w:val="22"/>
        </w:rPr>
      </w:pPr>
    </w:p>
    <w:p w:rsidR="0033408F" w:rsidRDefault="0033408F">
      <w:pPr>
        <w:jc w:val="center"/>
        <w:rPr>
          <w:rFonts w:ascii="Calibri" w:hAnsi="Calibri" w:cs="Arial"/>
          <w:sz w:val="22"/>
          <w:szCs w:val="22"/>
        </w:rPr>
      </w:pPr>
      <w:r w:rsidRPr="0033408F">
        <w:rPr>
          <w:rFonts w:ascii="Calibri" w:hAnsi="Calibri" w:cs="Arial"/>
          <w:sz w:val="22"/>
          <w:szCs w:val="22"/>
        </w:rPr>
        <w:t>Advanced Microsof</w:t>
      </w:r>
      <w:r>
        <w:rPr>
          <w:rFonts w:ascii="Calibri" w:hAnsi="Calibri" w:cs="Arial"/>
          <w:sz w:val="22"/>
          <w:szCs w:val="22"/>
        </w:rPr>
        <w:t>t PowerPoint and Excel</w:t>
      </w:r>
    </w:p>
    <w:p w:rsidR="0033408F" w:rsidRDefault="0033408F" w:rsidP="0033408F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F</w:t>
      </w:r>
      <w:r w:rsidRPr="0033408F">
        <w:rPr>
          <w:rFonts w:ascii="Calibri" w:hAnsi="Calibri" w:cs="Arial"/>
          <w:sz w:val="22"/>
          <w:szCs w:val="22"/>
        </w:rPr>
        <w:t>amiliar with Microsoft</w:t>
      </w:r>
      <w:r>
        <w:rPr>
          <w:rFonts w:ascii="Calibri" w:hAnsi="Calibri" w:cs="Arial"/>
          <w:sz w:val="22"/>
          <w:szCs w:val="22"/>
        </w:rPr>
        <w:t xml:space="preserve"> Access, SPSS, SAS, and Tableau</w:t>
      </w:r>
      <w:r w:rsidRPr="0033408F">
        <w:rPr>
          <w:rFonts w:ascii="Calibri" w:hAnsi="Calibri" w:cs="Arial"/>
          <w:sz w:val="22"/>
          <w:szCs w:val="22"/>
        </w:rPr>
        <w:t xml:space="preserve"> </w:t>
      </w:r>
    </w:p>
    <w:p w:rsidR="0033408F" w:rsidRDefault="0033408F" w:rsidP="0033408F">
      <w:pPr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Q</w:t>
      </w:r>
      <w:r w:rsidRPr="0033408F">
        <w:rPr>
          <w:rFonts w:ascii="Calibri" w:hAnsi="Calibri" w:cs="Arial"/>
          <w:sz w:val="22"/>
          <w:szCs w:val="22"/>
        </w:rPr>
        <w:t>uantitative market research</w:t>
      </w:r>
    </w:p>
    <w:sectPr w:rsidR="0033408F" w:rsidSect="00107A01">
      <w:headerReference w:type="default" r:id="rId9"/>
      <w:pgSz w:w="12240" w:h="15840"/>
      <w:pgMar w:top="1008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8F2" w:rsidRDefault="00E068F2" w:rsidP="00683C61">
      <w:r>
        <w:separator/>
      </w:r>
    </w:p>
  </w:endnote>
  <w:endnote w:type="continuationSeparator" w:id="0">
    <w:p w:rsidR="00E068F2" w:rsidRDefault="00E068F2" w:rsidP="0068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8F2" w:rsidRDefault="00E068F2" w:rsidP="00683C61">
      <w:r>
        <w:separator/>
      </w:r>
    </w:p>
  </w:footnote>
  <w:footnote w:type="continuationSeparator" w:id="0">
    <w:p w:rsidR="00E068F2" w:rsidRDefault="00E068F2" w:rsidP="00683C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C61" w:rsidRPr="00D33F95" w:rsidRDefault="004620E6" w:rsidP="004620E6">
    <w:pPr>
      <w:pStyle w:val="Heading4"/>
      <w:pBdr>
        <w:bottom w:val="single" w:sz="4" w:space="1" w:color="auto"/>
      </w:pBdr>
      <w:tabs>
        <w:tab w:val="center" w:pos="4680"/>
      </w:tabs>
      <w:jc w:val="left"/>
      <w:rPr>
        <w:rFonts w:ascii="Calibri" w:hAnsi="Calibri"/>
        <w:b w:val="0"/>
        <w:sz w:val="22"/>
        <w:szCs w:val="22"/>
      </w:rPr>
    </w:pPr>
    <w:r>
      <w:rPr>
        <w:rFonts w:ascii="Calibri" w:hAnsi="Calibri"/>
        <w:b w:val="0"/>
        <w:sz w:val="22"/>
        <w:szCs w:val="22"/>
      </w:rPr>
      <w:t>Keelan Yang</w:t>
    </w:r>
    <w:r>
      <w:rPr>
        <w:rFonts w:ascii="Calibri" w:hAnsi="Calibri"/>
        <w:b w:val="0"/>
        <w:sz w:val="22"/>
        <w:szCs w:val="22"/>
      </w:rPr>
      <w:tab/>
      <w:t>818-957-4807</w:t>
    </w:r>
    <w:r>
      <w:rPr>
        <w:rFonts w:ascii="Calibri" w:hAnsi="Calibri"/>
        <w:b w:val="0"/>
        <w:sz w:val="22"/>
        <w:szCs w:val="22"/>
      </w:rPr>
      <w:tab/>
    </w:r>
    <w:r w:rsidR="00683C61" w:rsidRPr="00D33F95">
      <w:rPr>
        <w:rFonts w:ascii="Calibri" w:hAnsi="Calibri"/>
        <w:b w:val="0"/>
        <w:sz w:val="22"/>
        <w:szCs w:val="22"/>
      </w:rPr>
      <w:t>Page Two</w:t>
    </w:r>
  </w:p>
  <w:p w:rsidR="00683C61" w:rsidRDefault="00683C6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F40"/>
    <w:multiLevelType w:val="hybridMultilevel"/>
    <w:tmpl w:val="93A839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2F32819"/>
    <w:multiLevelType w:val="hybridMultilevel"/>
    <w:tmpl w:val="DDEC33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5A844B8"/>
    <w:multiLevelType w:val="hybridMultilevel"/>
    <w:tmpl w:val="53B82098"/>
    <w:lvl w:ilvl="0" w:tplc="40CE77E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5590A"/>
    <w:multiLevelType w:val="hybridMultilevel"/>
    <w:tmpl w:val="51B88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19B7545"/>
    <w:multiLevelType w:val="hybridMultilevel"/>
    <w:tmpl w:val="310AC864"/>
    <w:lvl w:ilvl="0" w:tplc="40CE77E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E3C1C"/>
    <w:multiLevelType w:val="hybridMultilevel"/>
    <w:tmpl w:val="6616B2E0"/>
    <w:lvl w:ilvl="0" w:tplc="40CE77E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71E0B9E"/>
    <w:multiLevelType w:val="hybridMultilevel"/>
    <w:tmpl w:val="219CAB98"/>
    <w:lvl w:ilvl="0" w:tplc="D8F4C4B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61"/>
    <w:rsid w:val="000A57BA"/>
    <w:rsid w:val="000B4F52"/>
    <w:rsid w:val="000D3FD4"/>
    <w:rsid w:val="00107A01"/>
    <w:rsid w:val="001122B2"/>
    <w:rsid w:val="001F67F5"/>
    <w:rsid w:val="0020465A"/>
    <w:rsid w:val="0027320A"/>
    <w:rsid w:val="002C5502"/>
    <w:rsid w:val="0030043F"/>
    <w:rsid w:val="0033408F"/>
    <w:rsid w:val="003C5EC5"/>
    <w:rsid w:val="004620E6"/>
    <w:rsid w:val="00513FF0"/>
    <w:rsid w:val="005E7770"/>
    <w:rsid w:val="00600EF5"/>
    <w:rsid w:val="00683C61"/>
    <w:rsid w:val="006C1961"/>
    <w:rsid w:val="006E175E"/>
    <w:rsid w:val="006F2AA4"/>
    <w:rsid w:val="007163FF"/>
    <w:rsid w:val="00877410"/>
    <w:rsid w:val="00897228"/>
    <w:rsid w:val="008A2C2E"/>
    <w:rsid w:val="008C3E21"/>
    <w:rsid w:val="00904846"/>
    <w:rsid w:val="00A5724A"/>
    <w:rsid w:val="00AF6CD9"/>
    <w:rsid w:val="00B04E90"/>
    <w:rsid w:val="00B8612F"/>
    <w:rsid w:val="00BB0714"/>
    <w:rsid w:val="00BC5EDF"/>
    <w:rsid w:val="00BF5BD7"/>
    <w:rsid w:val="00C16E67"/>
    <w:rsid w:val="00C40340"/>
    <w:rsid w:val="00C50D64"/>
    <w:rsid w:val="00C76A87"/>
    <w:rsid w:val="00D27C2C"/>
    <w:rsid w:val="00D33F95"/>
    <w:rsid w:val="00D80560"/>
    <w:rsid w:val="00D80732"/>
    <w:rsid w:val="00DA3045"/>
    <w:rsid w:val="00DB69E7"/>
    <w:rsid w:val="00DF213F"/>
    <w:rsid w:val="00E02126"/>
    <w:rsid w:val="00E068F2"/>
    <w:rsid w:val="00EE5847"/>
    <w:rsid w:val="00F3409C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tabs>
        <w:tab w:val="right" w:pos="9360"/>
      </w:tabs>
      <w:autoSpaceDE w:val="0"/>
      <w:autoSpaceDN w:val="0"/>
      <w:ind w:left="360" w:hanging="360"/>
      <w:jc w:val="both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semiHidden/>
    <w:pPr>
      <w:autoSpaceDE w:val="0"/>
      <w:autoSpaceDN w:val="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C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3C6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3C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3C61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autoSpaceDE w:val="0"/>
      <w:autoSpaceDN w:val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pBdr>
        <w:bottom w:val="single" w:sz="12" w:space="1" w:color="auto"/>
      </w:pBdr>
      <w:tabs>
        <w:tab w:val="right" w:pos="9360"/>
      </w:tabs>
      <w:autoSpaceDE w:val="0"/>
      <w:autoSpaceDN w:val="0"/>
      <w:ind w:left="360" w:hanging="360"/>
      <w:jc w:val="both"/>
      <w:outlineLvl w:val="3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autoSpaceDE w:val="0"/>
      <w:autoSpaceDN w:val="0"/>
      <w:jc w:val="center"/>
    </w:pPr>
    <w:rPr>
      <w:b/>
      <w:bCs/>
      <w:sz w:val="28"/>
      <w:szCs w:val="28"/>
    </w:rPr>
  </w:style>
  <w:style w:type="paragraph" w:styleId="BodyText">
    <w:name w:val="Body Text"/>
    <w:basedOn w:val="Normal"/>
    <w:semiHidden/>
    <w:pPr>
      <w:autoSpaceDE w:val="0"/>
      <w:autoSpaceDN w:val="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83C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83C6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3C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83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4B6A3-4B82-7A43-90D7-F1597799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790</Words>
  <Characters>4504</Characters>
  <Application>Microsoft Macintosh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DBM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SEAKES</dc:creator>
  <cp:keywords/>
  <cp:lastModifiedBy>JJESPINOZA</cp:lastModifiedBy>
  <cp:revision>2</cp:revision>
  <dcterms:created xsi:type="dcterms:W3CDTF">2016-11-04T17:19:00Z</dcterms:created>
  <dcterms:modified xsi:type="dcterms:W3CDTF">2016-11-04T17:19:00Z</dcterms:modified>
</cp:coreProperties>
</file>