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Which variables are exogenous to Nicaragua? A theory-plus-data screen before the SVAR</w:t>
      </w:r>
    </w:p>
    <w:p>
      <w:pPr>
        <w:spacing w:after="120"/>
      </w:pPr>
      <w:r>
        <w:t xml:space="preserve">Prepared 2026-10-14 by JJ Espinoza with the open-source </w:t>
      </w:r>
      <w:r>
        <w:rPr>
          <w:rFonts w:ascii="Consolas" w:cs="Consolas" w:eastAsia="Consolas" w:hAnsi="Consolas"/>
          <w:sz w:val="19"/>
          <w:szCs w:val="19"/>
        </w:rPr>
        <w:t xml:space="preserve">csuf-fullerton</w:t>
      </w:r>
      <w:r>
        <w:t xml:space="preserve"> package. Every number below is produced by the commands in section 8. The dataset is attached as </w:t>
      </w:r>
      <w:r>
        <w:rPr>
          <w:rFonts w:ascii="Consolas" w:cs="Consolas" w:eastAsia="Consolas" w:hAnsi="Consolas"/>
          <w:sz w:val="19"/>
          <w:szCs w:val="19"/>
        </w:rPr>
        <w:t xml:space="preserve">nicaragua-data.csv</w:t>
      </w:r>
      <w:r>
        <w:t xml:space="preserve"> and the full candidate table as </w:t>
      </w:r>
      <w:r>
        <w:rPr>
          <w:rFonts w:ascii="Consolas" w:cs="Consolas" w:eastAsia="Consolas" w:hAnsi="Consolas"/>
          <w:sz w:val="19"/>
          <w:szCs w:val="19"/>
        </w:rPr>
        <w:t xml:space="preserve">nicaragua-candidates.csv</w:t>
      </w:r>
      <w:r>
        <w:t xml:space="preserve">.</w:t>
      </w:r>
    </w:p>
    <w:p>
      <w:pPr>
        <w:pStyle w:val="Heading1"/>
      </w:pPr>
      <w:r>
        <w:t xml:space="preserve">1. Answer first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Recommended split.</w:t>
      </w:r>
      <w:r>
        <w:t xml:space="preserve"> Foreign block {federal funds rate, U.S. industrial production, world commodity prices, córdoba/dollar rate}; domestic block {Nicaraguan industrial production, CPI, broad money}. It is the top-ranked specification at lag order 1 (BIC), at lag order 4 (AIC), and with lag augmentation 1 or 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 the data say about it.</w:t>
      </w:r>
      <w:r>
        <w:t xml:space="preserve"> Domestic variables do not Granger-cause the foreign block at any lag: bootstrap lag-augmented Wald p = </w:t>
      </w:r>
      <w:r>
        <w:rPr>
          <w:b/>
          <w:bCs/>
        </w:rPr>
        <w:t xml:space="preserve">0.55</w:t>
      </w:r>
      <w:r>
        <w:t xml:space="preserve"> (p = 1) and </w:t>
      </w:r>
      <w:r>
        <w:rPr>
          <w:b/>
          <w:bCs/>
        </w:rPr>
        <w:t xml:space="preserve">0.41</w:t>
      </w:r>
      <w:r>
        <w:t xml:space="preserve"> (p = 4). None of the 15 admissible splits is rejected by this test after Holm adjustment.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one statistical objection.</w:t>
      </w:r>
      <w:r>
        <w:t xml:space="preserve"> U.S. industrial production fails the weak-exogeneity test (it loads on cointegrating relations that involve Nicaraguan variables). That is why the verdict is "mixed" rather than "supported". Theory says this loading cannot be structural; section 6 lists the likely reasons and what would settle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 changed versus the thesis split.</w:t>
      </w:r>
      <w:r>
        <w:t xml:space="preserve"> Moving the exchange rate into the foreign block improves BIC (-2.788 against -2.727 at p = 1; -1.559 against -1.422 at p = 4) and is consistent with the crawling peg: the rate followed a pre-announced 5% a year path, so it is predetermined with respect to monthly domestic shocks.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Headline responses that do not depend on the split.</w:t>
      </w:r>
      <w:r>
        <w:t xml:space="preserve"> At p = 4, every one of the 14 surviving specifications and orderings agrees on the sign of the peak response of Nicaraguan output and prices to a U.S. rate shock (both fall), of output to U.S. activity (rises), and of prices to commodity prices (rise).</w:t>
      </w:r>
    </w:p>
    <w:p>
      <w:pPr>
        <w:pStyle w:val="Heading1"/>
      </w:pPr>
      <w:r>
        <w:t xml:space="preserve">2. The problem this solves</w:t>
      </w:r>
    </w:p>
    <w:p>
      <w:pPr>
        <w:spacing w:after="120"/>
      </w:pPr>
      <w:r>
        <w:t xml:space="preserve">A standard block-exogenous SVAR imposes the restriction the researcher types and tests that one split. That leaves three gaps a committee will ask about: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split is asserted. Nothing shows the alternatives were considered and are worse.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standard test is invalid for these data. Macro series in levels are integrated, and the Wald and LR tests of zero lag coefficients then over-reject. A Monte Carlo on this package (5 variables, 150 observations, true restriction, p = 2) rejects at </w:t>
      </w:r>
      <w:r>
        <w:rPr>
          <w:b/>
          <w:bCs/>
        </w:rPr>
        <w:t xml:space="preserve">37%</w:t>
      </w:r>
      <w:r>
        <w:t xml:space="preserve"> (Wald) and </w:t>
      </w:r>
      <w:r>
        <w:rPr>
          <w:b/>
          <w:bCs/>
        </w:rPr>
        <w:t xml:space="preserve">34%</w:t>
      </w:r>
      <w:r>
        <w:t xml:space="preserve"> (LR) at a nominal 5%. The lag-augmented test rejects at </w:t>
      </w:r>
      <w:r>
        <w:rPr>
          <w:b/>
          <w:bCs/>
        </w:rPr>
        <w:t xml:space="preserve">10.7%</w:t>
      </w:r>
      <w:r>
        <w:t xml:space="preserve"> asymptotically and </w:t>
      </w:r>
      <w:r>
        <w:rPr>
          <w:b/>
          <w:bCs/>
        </w:rPr>
        <w:t xml:space="preserve">6%</w:t>
      </w:r>
      <w:r>
        <w:t xml:space="preserve"> with the bootstrap used here.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Lagged and contemporaneous exogeneity are different claims. Granger tests only cover lags. The zero in the impact matrix is an identifying assumption that second moments cannot test.</w:t>
      </w:r>
    </w:p>
    <w:p>
      <w:pPr>
        <w:pStyle w:val="Heading1"/>
      </w:pPr>
      <w:r>
        <w:t xml:space="preserve">3. What "exogenous" means, and which parts are testable</w:t>
      </w:r>
    </w:p>
    <w:p>
      <w:pPr>
        <w:spacing w:after="120"/>
      </w:pPr>
      <w:r>
        <w:t xml:space="preserve">Engle, Hendry and Richard (1983) separate the claims. The SVAR makes three about the foreign block: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1"/>
        <w:gridCol w:w="2545"/>
        <w:gridCol w:w="4744"/>
        <w:gridCol w:w="850"/>
      </w:tblGrid>
      <w:tr>
        <w:trPr>
          <w:tblHeader/>
        </w:trPr>
        <w:tc>
          <w:tcPr>
            <w:tcW w:type="dxa" w:w="15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Claim</w:t>
            </w:r>
          </w:p>
        </w:tc>
        <w:tc>
          <w:tcPr>
            <w:tcW w:type="dxa" w:w="2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Restriction</w:t>
            </w:r>
          </w:p>
        </w:tc>
        <w:tc>
          <w:tcPr>
            <w:tcW w:type="dxa" w:w="4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Test used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Testable?</w:t>
            </w:r>
          </w:p>
        </w:tc>
      </w:tr>
      <w:tr>
        <w:trPr>
          <w:tblHeader w:val="false"/>
        </w:trPr>
        <w:tc>
          <w:tcPr>
            <w:tcW w:type="dxa" w:w="15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Lagged exogeneity (Granger non-causality)</w:t>
            </w:r>
          </w:p>
        </w:tc>
        <w:tc>
          <w:tcPr>
            <w:tcW w:type="dxa" w:w="2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domestic lags excluded from foreign equations</w:t>
            </w:r>
          </w:p>
        </w:tc>
        <w:tc>
          <w:tcPr>
            <w:tcW w:type="dxa" w:w="4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Toda and Yamamoto (1995) lag-augmented Wald, bootstrap p (Hacker and Hatemi-J 2006), Holm across candidates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5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Long-run (weak) exogeneity</w:t>
            </w:r>
          </w:p>
        </w:tc>
        <w:tc>
          <w:tcPr>
            <w:tcW w:type="dxa" w:w="2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foreign variables do not adjust to domestic disequilibria</w:t>
            </w:r>
          </w:p>
        </w:tc>
        <w:tc>
          <w:tcPr>
            <w:tcW w:type="dxa" w:w="4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F-test of error-correction loadings, GVAR style (Pesaran, Schuermann and Weiner 2004)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Yes, when cointegrated</w:t>
            </w:r>
          </w:p>
        </w:tc>
      </w:tr>
      <w:tr>
        <w:trPr>
          <w:tblHeader w:val="false"/>
        </w:trPr>
        <w:tc>
          <w:tcPr>
            <w:tcW w:type="dxa" w:w="15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Contemporaneous exogeneity</w:t>
            </w:r>
          </w:p>
        </w:tc>
        <w:tc>
          <w:tcPr>
            <w:tcW w:type="dxa" w:w="2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foreign variables do not react within the month to domestic shocks</w:t>
            </w:r>
          </w:p>
        </w:tc>
        <w:tc>
          <w:tcPr>
            <w:tcW w:type="dxa" w:w="4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none from second moments; DirectLiNGAM ordering from non-Gaussian residuals (Shimizu et al. 2011; Hyvärinen and Smith 2013)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Partly, advisory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Method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Theory file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examples/nicaragua/theory.toml</w:t>
      </w:r>
      <w:r>
        <w:t xml:space="preserve">). Each variable gets a prior with a written reason and a citation. The federal funds rate, U.S. output and commodity prices are </w:t>
      </w:r>
      <w:r>
        <w:rPr>
          <w:rFonts w:ascii="Consolas" w:cs="Consolas" w:eastAsia="Consolas" w:hAnsi="Consolas"/>
          <w:sz w:val="19"/>
          <w:szCs w:val="19"/>
        </w:rPr>
        <w:t xml:space="preserve">exogenous</w:t>
      </w:r>
      <w:r>
        <w:t xml:space="preserve"> (small open economy, Cushman and Zha 1997; Maćkowiak 2007). The exchange rate is a </w:t>
      </w:r>
      <w:r>
        <w:rPr>
          <w:rFonts w:ascii="Consolas" w:cs="Consolas" w:eastAsia="Consolas" w:hAnsi="Consolas"/>
          <w:sz w:val="19"/>
          <w:szCs w:val="19"/>
        </w:rPr>
        <w:t xml:space="preserve">candidate</w:t>
      </w:r>
      <w:r>
        <w:t xml:space="preserve"> (crawling peg). Output, CPI and money are </w:t>
      </w:r>
      <w:r>
        <w:rPr>
          <w:rFonts w:ascii="Consolas" w:cs="Consolas" w:eastAsia="Consolas" w:hAnsi="Consolas"/>
          <w:sz w:val="19"/>
          <w:szCs w:val="19"/>
        </w:rPr>
        <w:t xml:space="preserve">endogenous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Candidates.</w:t>
      </w:r>
      <w:r>
        <w:t xml:space="preserve"> Every subset of the four foreign-eligible variables: 15 splits. Grade A puts all three exogenous-by-theory variables in the foreign block; grade B leaves at least one of them domestic; an endogenous variable in the foreign block is inadmissible.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Integration and lags.</w:t>
      </w:r>
      <w:r>
        <w:t xml:space="preserve"> ADF and KPSS per series, Johansen trace rank with the Reinsel and Ahn (1992) small-sample correction, lag order by AIC, BIC and HQ.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Battery per candidate.</w:t>
      </w:r>
      <w:r>
        <w:t xml:space="preserve"> Bootstrap lag-augmented Wald (primary verdict), Sims-corrected LR (reported, invalid under unit roots), instantaneous causality, weak exogeneity, Clark-West out-of-sample test, BIC, residual portmanteau, stability, agreement with the data-driven causal ordering.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Ranking.</w:t>
      </w:r>
      <w:r>
        <w:t xml:space="preserve"> Theory grade first, then verdict, then BIC. The screen recommends; the researcher chooses the split passed to </w:t>
      </w:r>
      <w:r>
        <w:rPr>
          <w:rFonts w:ascii="Consolas" w:cs="Consolas" w:eastAsia="Consolas" w:hAnsi="Consolas"/>
          <w:sz w:val="19"/>
          <w:szCs w:val="19"/>
        </w:rPr>
        <w:t xml:space="preserve">svar</w:t>
      </w:r>
      <w:r>
        <w:t xml:space="preserve">. That separation avoids treating a pretest winner as if it were known in advance (Leeb and Pötscher 2005).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Robustness.</w:t>
      </w:r>
      <w:r>
        <w:t xml:space="preserve"> Headline impulse responses across every surviving split and three alternative orderings of the domestic block.</w:t>
      </w:r>
    </w:p>
    <w:p>
      <w:pPr>
        <w:pStyle w:val="Heading1"/>
      </w:pPr>
      <w:r>
        <w:t xml:space="preserve">5. Data</w:t>
      </w:r>
    </w:p>
    <w:p>
      <w:pPr>
        <w:spacing w:after="120"/>
      </w:pPr>
      <w:r>
        <w:t xml:space="preserve">Monthly, 2001-12 to 2014-06, 151 complete months (148 after lags). U.S. series from FRED; FRED has only annual Nicaraguan data, so Nicaraguan series come from the IMF SDMX API.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6"/>
        <w:gridCol w:w="4252"/>
        <w:gridCol w:w="2430"/>
        <w:gridCol w:w="1702"/>
      </w:tblGrid>
      <w:tr>
        <w:trPr>
          <w:tblHeader/>
        </w:trPr>
        <w:tc>
          <w:tcPr>
            <w:tcW w:type="dxa" w:w="1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Series</w:t>
            </w:r>
          </w:p>
        </w:tc>
        <w:tc>
          <w:tcPr>
            <w:tcW w:type="dxa" w:w="2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Transform</w:t>
            </w:r>
          </w:p>
        </w:tc>
      </w:tr>
      <w:tr>
        <w:trPr>
          <w:tblHeader w:val="false"/>
        </w:trPr>
        <w:tc>
          <w:tcPr>
            <w:tcW w:type="dxa" w:w="1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ffr</w:t>
            </w:r>
          </w:p>
        </w:tc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Effective federal funds rate</w:t>
            </w:r>
          </w:p>
        </w:tc>
        <w:tc>
          <w:tcPr>
            <w:tcW w:type="dxa" w:w="2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FRED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FEDFUNDS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level, percent</w:t>
            </w:r>
          </w:p>
        </w:tc>
      </w:tr>
      <w:tr>
        <w:trPr>
          <w:tblHeader w:val="false"/>
        </w:trPr>
        <w:tc>
          <w:tcPr>
            <w:tcW w:type="dxa" w:w="1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us_ip</w:t>
            </w:r>
          </w:p>
        </w:tc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U.S. industrial production</w:t>
            </w:r>
          </w:p>
        </w:tc>
        <w:tc>
          <w:tcPr>
            <w:tcW w:type="dxa" w:w="2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FRED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INDPRO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100 x log</w:t>
            </w:r>
          </w:p>
        </w:tc>
      </w:tr>
      <w:tr>
        <w:trPr>
          <w:tblHeader w:val="false"/>
        </w:trPr>
        <w:tc>
          <w:tcPr>
            <w:tcW w:type="dxa" w:w="1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commodity</w:t>
            </w:r>
          </w:p>
        </w:tc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IMF all-commodities price index</w:t>
            </w:r>
          </w:p>
        </w:tc>
        <w:tc>
          <w:tcPr>
            <w:tcW w:type="dxa" w:w="2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FRED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PALLFNFINDEXM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100 x log</w:t>
            </w:r>
          </w:p>
        </w:tc>
      </w:tr>
      <w:tr>
        <w:trPr>
          <w:tblHeader w:val="false"/>
        </w:trPr>
        <w:tc>
          <w:tcPr>
            <w:tcW w:type="dxa" w:w="1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ni_er</w:t>
            </w:r>
          </w:p>
        </w:tc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Córdobas per dollar, period average</w:t>
            </w:r>
          </w:p>
        </w:tc>
        <w:tc>
          <w:tcPr>
            <w:tcW w:type="dxa" w:w="2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IMF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ER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100 x log</w:t>
            </w:r>
          </w:p>
        </w:tc>
      </w:tr>
      <w:tr>
        <w:trPr>
          <w:tblHeader w:val="false"/>
        </w:trPr>
        <w:tc>
          <w:tcPr>
            <w:tcW w:type="dxa" w:w="1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ni_ip</w:t>
            </w:r>
          </w:p>
        </w:tc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Industrial production, NSA</w:t>
            </w:r>
          </w:p>
        </w:tc>
        <w:tc>
          <w:tcPr>
            <w:tcW w:type="dxa" w:w="2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IMF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100 x log</w:t>
            </w:r>
          </w:p>
        </w:tc>
      </w:tr>
      <w:tr>
        <w:trPr>
          <w:tblHeader w:val="false"/>
        </w:trPr>
        <w:tc>
          <w:tcPr>
            <w:tcW w:type="dxa" w:w="1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ni_cpi</w:t>
            </w:r>
          </w:p>
        </w:tc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CPI, all items, spliced</w:t>
            </w:r>
          </w:p>
        </w:tc>
        <w:tc>
          <w:tcPr>
            <w:tcW w:type="dxa" w:w="2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IMF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CPI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100 x log</w:t>
            </w:r>
          </w:p>
        </w:tc>
      </w:tr>
      <w:tr>
        <w:trPr>
          <w:tblHeader w:val="false"/>
        </w:trPr>
        <w:tc>
          <w:tcPr>
            <w:tcW w:type="dxa" w:w="1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ni_m2</w:t>
            </w:r>
          </w:p>
        </w:tc>
        <w:tc>
          <w:tcPr>
            <w:tcW w:type="dxa" w:w="42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Broad money, SA</w:t>
            </w:r>
          </w:p>
        </w:tc>
        <w:tc>
          <w:tcPr>
            <w:tcW w:type="dxa" w:w="2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IMF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MFS_DC</w:t>
            </w:r>
          </w:p>
        </w:tc>
        <w:tc>
          <w:tcPr>
            <w:tcW w:type="dxa" w:w="1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100 x log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 sample is bounded by broad money (starts 2001-12) and industrial production (IMF series ends 2014-06). Constant, linear trend and centred monthly dummies enter every equation.</w:t>
      </w:r>
    </w:p>
    <w:p>
      <w:pPr>
        <w:pStyle w:val="Heading1"/>
      </w:pPr>
      <w:r>
        <w:t xml:space="preserve">6. Results</w:t>
      </w:r>
    </w:p>
    <w:p>
      <w:pPr>
        <w:pStyle w:val="Heading2"/>
      </w:pPr>
      <w:r>
        <w:t xml:space="preserve">Integration and cointegration</w:t>
      </w:r>
    </w:p>
    <w:p>
      <w:pPr>
        <w:spacing w:after="120"/>
      </w:pPr>
      <w:r>
        <w:t xml:space="preserve">Output, CPI, money, U.S. output and commodity prices are I(1). The federal funds rate and the exchange rate are flagged as conflicts: the funds rate sits at the zero lower bound for 44% of the sample, and the exchange rate is close to a deterministic trend under the crawl. The rule takes </w:t>
      </w:r>
      <w:r>
        <w:rPr>
          <w:rFonts w:ascii="Consolas" w:cs="Consolas" w:eastAsia="Consolas" w:hAnsi="Consolas"/>
          <w:sz w:val="19"/>
          <w:szCs w:val="19"/>
        </w:rPr>
        <w:t xml:space="preserve">d_max = 2</w:t>
      </w:r>
      <w:r>
        <w:t xml:space="preserve">; rerunning with </w:t>
      </w:r>
      <w:r>
        <w:rPr>
          <w:rFonts w:ascii="Consolas" w:cs="Consolas" w:eastAsia="Consolas" w:hAnsi="Consolas"/>
          <w:sz w:val="19"/>
          <w:szCs w:val="19"/>
        </w:rPr>
        <w:t xml:space="preserve">d_max = 1</w:t>
      </w:r>
      <w:r>
        <w:t xml:space="preserve"> changes no ranking. Johansen finds rank 4 of 7.</w:t>
      </w:r>
    </w:p>
    <w:p>
      <w:pPr>
        <w:pStyle w:val="Heading2"/>
      </w:pPr>
      <w:r>
        <w:t xml:space="preserve">Pairwise Granger evidence</w:t>
      </w:r>
    </w:p>
    <w:p>
      <w:pPr>
        <w:spacing w:after="120"/>
      </w:pPr>
      <w:r>
        <w:t xml:space="preserve">No pairwise Granger relation survives Holm adjustment across the 42 pairs. The smallest unadjusted p-values run in the direction theory expects: commodity prices to Nicaraguan CPI (0.005), commodity prices to U.S. output (0.008), the funds rate to Nicaraguan CPI (0.012) and to Nicaraguan output (0.014). One unadjusted p-value runs the other way, broad money to U.S. output (0.048); with 42 tests about two such values are expected by chance, and it does not survive adjustment.</w:t>
      </w:r>
    </w:p>
    <w:p>
      <w:pPr>
        <w:jc w:val="center"/>
      </w:pPr>
      <w:r>
        <w:drawing>
          <wp:inline distT="0" distB="0" distL="0" distR="0">
            <wp:extent cx="5715000" cy="4933950"/>
            <wp:effectExtent t="0" r="0" b="0" l="0"/>
            <wp:docPr id="1" name="Lag-augmented Granger p-values, Holm-adjusted" descr="Lag-augmented Granger p-values, Holm-adjusted" title="Lag-augmented Granger p-values, Holm-adjus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Figure: Lag-augmented Granger p-values, Holm-adjusted</w:t>
      </w:r>
    </w:p>
    <w:p>
      <w:pPr>
        <w:pStyle w:val="Heading2"/>
      </w:pPr>
      <w:r>
        <w:t xml:space="preserve">Candidate table (p = 1, top six of 15)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3513"/>
        <w:gridCol w:w="702"/>
        <w:gridCol w:w="1053"/>
        <w:gridCol w:w="702"/>
        <w:gridCol w:w="702"/>
        <w:gridCol w:w="1873"/>
        <w:gridCol w:w="707"/>
      </w:tblGrid>
      <w:tr>
        <w:trPr>
          <w:tblHeader/>
        </w:trPr>
        <w:tc>
          <w:tcPr>
            <w:tcW w:type="dxa" w:w="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Rank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Foreign block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Theory</w:t>
            </w:r>
          </w:p>
        </w:tc>
        <w:tc>
          <w:tcPr>
            <w:tcW w:type="dxa" w:w="1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Verdict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Boot p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LR p</w:t>
            </w:r>
          </w:p>
        </w:tc>
        <w:tc>
          <w:tcPr>
            <w:tcW w:type="dxa" w:w="1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 weakly exog.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BIC</w:t>
            </w:r>
          </w:p>
        </w:tc>
      </w:tr>
      <w:tr>
        <w:trPr>
          <w:tblHeader w:val="false"/>
        </w:trPr>
        <w:tc>
          <w:tcPr>
            <w:tcW w:type="dxa" w:w="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ffr, us_ip, commodity, ni_er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1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mixed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0.547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&lt;0.001</w:t>
            </w:r>
          </w:p>
        </w:tc>
        <w:tc>
          <w:tcPr>
            <w:tcW w:type="dxa" w:w="1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us_ip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-2.788</w:t>
            </w:r>
          </w:p>
        </w:tc>
      </w:tr>
      <w:tr>
        <w:trPr>
          <w:tblHeader w:val="false"/>
        </w:trPr>
        <w:tc>
          <w:tcPr>
            <w:tcW w:type="dxa" w:w="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ffr, us_ip, commodity (thesis)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1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mixed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0.325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&lt;0.001</w:t>
            </w:r>
          </w:p>
        </w:tc>
        <w:tc>
          <w:tcPr>
            <w:tcW w:type="dxa" w:w="1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ffr, us_ip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-2.727</w:t>
            </w:r>
          </w:p>
        </w:tc>
      </w:tr>
      <w:tr>
        <w:trPr>
          <w:tblHeader w:val="false"/>
        </w:trPr>
        <w:tc>
          <w:tcPr>
            <w:tcW w:type="dxa" w:w="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commodity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type="dxa" w:w="1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supported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0.632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0.023</w:t>
            </w:r>
          </w:p>
        </w:tc>
        <w:tc>
          <w:tcPr>
            <w:tcW w:type="dxa" w:w="1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-3.637</w:t>
            </w:r>
          </w:p>
        </w:tc>
      </w:tr>
      <w:tr>
        <w:trPr>
          <w:tblHeader w:val="false"/>
        </w:trPr>
        <w:tc>
          <w:tcPr>
            <w:tcW w:type="dxa" w:w="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commodity, ni_er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type="dxa" w:w="1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supported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0.838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0.008</w:t>
            </w:r>
          </w:p>
        </w:tc>
        <w:tc>
          <w:tcPr>
            <w:tcW w:type="dxa" w:w="1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-3.566</w:t>
            </w:r>
          </w:p>
        </w:tc>
      </w:tr>
      <w:tr>
        <w:trPr>
          <w:tblHeader w:val="false"/>
        </w:trPr>
        <w:tc>
          <w:tcPr>
            <w:tcW w:type="dxa" w:w="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ffr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type="dxa" w:w="1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supported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0.312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&lt;0.001</w:t>
            </w:r>
          </w:p>
        </w:tc>
        <w:tc>
          <w:tcPr>
            <w:tcW w:type="dxa" w:w="1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-3.249</w:t>
            </w:r>
          </w:p>
        </w:tc>
      </w:tr>
      <w:tr>
        <w:trPr>
          <w:tblHeader w:val="false"/>
        </w:trPr>
        <w:tc>
          <w:tcPr>
            <w:tcW w:type="dxa" w:w="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ffr, commodity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type="dxa" w:w="1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supported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0.347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&lt;0.001</w:t>
            </w:r>
          </w:p>
        </w:tc>
        <w:tc>
          <w:tcPr>
            <w:tcW w:type="dxa" w:w="1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-3.231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Two readings matter. First, the conventional levels LR test rejects nearly every split while the valid lag-augmented test rejects none; that gap is the unit-root distortion in section 2, not evidence against the small-open-economy structure. Second, grade-B splits score better on BIC because they impose fewer zeros on a levels likelihood that over-rewards fit under unit roots; they rank below grade A because they let the Nicaraguan economy move U.S. variables.</w:t>
      </w:r>
    </w:p>
    <w:p>
      <w:pPr>
        <w:pStyle w:val="Heading2"/>
      </w:pPr>
      <w:r>
        <w:t xml:space="preserve">Weak exogeneity of U.S. output</w:t>
      </w:r>
    </w:p>
    <w:p>
      <w:pPr>
        <w:spacing w:after="120"/>
      </w:pPr>
      <w:r>
        <w:t xml:space="preserve">U.S. industrial production loads on the cointegrating relations that involve Nicaraguan variables (p &lt; 0.001). Theory rules out a structural channel. Three explanations fit the evidence, in order of plausibility: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Common shock.</w:t>
      </w:r>
      <w:r>
        <w:t xml:space="preserve"> The 2008-09 collapse hit U.S. output and Nicaraguan maquila output together, so error-correction terms built from both co-move with U.S. output.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Over-estimated rank.</w:t>
      </w:r>
      <w:r>
        <w:t xml:space="preserve"> Johansen with 7 variables and 151 months over-states rank even after the Reinsel-Ahn correction; extra spurious relations give U.S. output something to load on.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Zero lower bound.</w:t>
      </w:r>
      <w:r>
        <w:t xml:space="preserve"> With the funds rate fixed for 44% of the sample, U.S. activity carries the monetary signal, which can surface as adjustment.</w:t>
      </w:r>
    </w:p>
    <w:p>
      <w:pPr>
        <w:spacing w:after="120"/>
      </w:pPr>
      <w:r>
        <w:t xml:space="preserve">A sample-split or a break dummy for 2008-09 is the cheapest test of the first explanation.</w:t>
      </w:r>
    </w:p>
    <w:p>
      <w:pPr>
        <w:pStyle w:val="Heading2"/>
      </w:pPr>
      <w:r>
        <w:t xml:space="preserve">Contemporaneous ordering</w:t>
      </w:r>
    </w:p>
    <w:p>
      <w:pPr>
        <w:spacing w:after="120"/>
      </w:pPr>
      <w:r>
        <w:t xml:space="preserve">DirectLiNGAM orders the residuals ni_er, commodity, ni_ip, ni_m2, us_ip, ni_cpi, ffr. It puts the exchange rate and commodity prices first, which supports their place in the foreign block, but puts the funds rate last. At the zero lower bound the funds-rate residual is nearly constant, so this ordering cannot speak to the funds rate. The bootstrap 5th percentile of agreement is low (0.25 for the recommended split): the data are only weakly informative about contemporaneous direction, which is why this evidence does not enter the verdict.</w:t>
      </w:r>
    </w:p>
    <w:p>
      <w:pPr>
        <w:pStyle w:val="Heading2"/>
      </w:pPr>
      <w:r>
        <w:t xml:space="preserve">Impulse responses, recommended split, p = 4</w:t>
      </w:r>
    </w:p>
    <w:p>
      <w:pPr>
        <w:spacing w:after="120"/>
      </w:pPr>
      <w:r>
        <w:t xml:space="preserve">At p = 1 the residuals are strongly autocorrelated (portmanteau statistic 1042 on 539 df), so the structural analysis uses p = 4. One-standard-deviation shocks: funds rate 0.10 points, U.S. output 0.57%, commodity prices 3.3%, exchange rate 0.016%.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51"/>
        <w:gridCol w:w="2203"/>
        <w:gridCol w:w="2332"/>
        <w:gridCol w:w="2334"/>
      </w:tblGrid>
      <w:tr>
        <w:trPr>
          <w:tblHeader/>
        </w:trPr>
        <w:tc>
          <w:tcPr>
            <w:tcW w:type="dxa" w:w="2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Response to</w:t>
            </w:r>
          </w:p>
        </w:tc>
        <w:tc>
          <w:tcPr>
            <w:tcW w:type="dxa" w:w="2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Nicaraguan output</w:t>
            </w:r>
          </w:p>
        </w:tc>
        <w:tc>
          <w:tcPr>
            <w:tcW w:type="dxa" w:w="2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Nicaraguan CPI</w:t>
            </w:r>
          </w:p>
        </w:tc>
        <w:tc>
          <w:tcPr>
            <w:tcW w:type="dxa" w:w="2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Broad money</w:t>
            </w:r>
          </w:p>
        </w:tc>
      </w:tr>
      <w:tr>
        <w:trPr>
          <w:tblHeader w:val="false"/>
        </w:trPr>
        <w:tc>
          <w:tcPr>
            <w:tcW w:type="dxa" w:w="2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Funds rate +0.10 pt</w:t>
            </w:r>
          </w:p>
        </w:tc>
        <w:tc>
          <w:tcPr>
            <w:tcW w:type="dxa" w:w="2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-1.49% at month 2</w:t>
            </w:r>
          </w:p>
        </w:tc>
        <w:tc>
          <w:tcPr>
            <w:tcW w:type="dxa" w:w="2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-0.37% at month 7</w:t>
            </w:r>
          </w:p>
        </w:tc>
        <w:tc>
          <w:tcPr>
            <w:tcW w:type="dxa" w:w="2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-0.20% at month 9</w:t>
            </w:r>
          </w:p>
        </w:tc>
      </w:tr>
      <w:tr>
        <w:trPr>
          <w:tblHeader w:val="false"/>
        </w:trPr>
        <w:tc>
          <w:tcPr>
            <w:tcW w:type="dxa" w:w="2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U.S. output +0.57%</w:t>
            </w:r>
          </w:p>
        </w:tc>
        <w:tc>
          <w:tcPr>
            <w:tcW w:type="dxa" w:w="2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+0.77% on impact</w:t>
            </w:r>
          </w:p>
        </w:tc>
        <w:tc>
          <w:tcPr>
            <w:tcW w:type="dxa" w:w="2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+0.39% at month 24</w:t>
            </w:r>
          </w:p>
        </w:tc>
        <w:tc>
          <w:tcPr>
            <w:tcW w:type="dxa" w:w="2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+1.12% at month 6</w:t>
            </w:r>
          </w:p>
        </w:tc>
      </w:tr>
      <w:tr>
        <w:trPr>
          <w:tblHeader w:val="false"/>
        </w:trPr>
        <w:tc>
          <w:tcPr>
            <w:tcW w:type="dxa" w:w="2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Commodity prices +3.3%</w:t>
            </w:r>
          </w:p>
        </w:tc>
        <w:tc>
          <w:tcPr>
            <w:tcW w:type="dxa" w:w="2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-0.37% at month 1</w:t>
            </w:r>
          </w:p>
        </w:tc>
        <w:tc>
          <w:tcPr>
            <w:tcW w:type="dxa" w:w="23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+0.53% at month 7</w:t>
            </w:r>
          </w:p>
        </w:tc>
        <w:tc>
          <w:tcPr>
            <w:tcW w:type="dxa" w:w="2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-0.50% at month 16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distT="0" distB="0" distL="0" distR="0">
            <wp:extent cx="5715000" cy="3133725"/>
            <wp:effectExtent t="0" r="0" b="0" l="0"/>
            <wp:docPr id="1" name="Impulse responses" descr="Impulse responses" title="Impulse respon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Figure: Impulse responses</w:t>
      </w:r>
    </w:p>
    <w:p>
      <w:pPr>
        <w:spacing w:after="120"/>
      </w:pPr>
      <w:r>
        <w:t xml:space="preserve">Foreign shocks explain </w:t>
      </w:r>
      <w:r>
        <w:rPr>
          <w:b/>
          <w:bCs/>
        </w:rPr>
        <w:t xml:space="preserve">26%</w:t>
      </w:r>
      <w:r>
        <w:t xml:space="preserve"> of the 24-month forecast error variance of Nicaraguan output, </w:t>
      </w:r>
      <w:r>
        <w:rPr>
          <w:b/>
          <w:bCs/>
        </w:rPr>
        <w:t xml:space="preserve">73%</w:t>
      </w:r>
      <w:r>
        <w:t xml:space="preserve"> of CPI and </w:t>
      </w:r>
      <w:r>
        <w:rPr>
          <w:b/>
          <w:bCs/>
        </w:rPr>
        <w:t xml:space="preserve">84%</w:t>
      </w:r>
      <w:r>
        <w:t xml:space="preserve"> of broad money. The thesis split gives 23%, 76% and 85%: the choice between the two grade-A splits does not move the variance decomposition much.</w:t>
      </w:r>
    </w:p>
    <w:p>
      <w:pPr>
        <w:spacing w:after="120"/>
      </w:pPr>
      <w:r>
        <w:t xml:space="preserve">Robustness at p = 4: 14 of 14 surviving specifications and orderings share the sign of the peak response for all four headline pairs. At p = 1 the output response to a funds-rate shock is not robust (6 of 15), another sign that p = 1 is too short.</w:t>
      </w:r>
    </w:p>
    <w:p>
      <w:pPr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Robustness of the output response to a funds-rate shock" descr="Robustness of the output response to a funds-rate shock" title="Robustness of the output response to a funds-rate sh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Figure: Robustness of the output response to a funds-rate shock</w:t>
      </w:r>
    </w:p>
    <w:p>
      <w:pPr>
        <w:pStyle w:val="Heading1"/>
      </w:pPr>
      <w:r>
        <w:t xml:space="preserve">7. Caveats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Bands.</w:t>
      </w:r>
      <w:r>
        <w:t xml:space="preserve"> The bootstrap is centred below the point estimate for persistent responses, the small-sample bias Kilian (1998) corrects. Hall intervals are reported; Kilian's bias-corrected bootstrap is the next estimator change.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Zero lower bound.</w:t>
      </w:r>
      <w:r>
        <w:t xml:space="preserve"> The funds rate is close to zero from 2008-12. A shadow rate (Wu and Xia 2016) is the standard fix and would need a non-FRED source.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Seasonality.</w:t>
      </w:r>
      <w:r>
        <w:t xml:space="preserve"> Output and CPI are not seasonally adjusted; monthly dummies remove the deterministic part only, and the zigzag in the output responses is residual seasonality.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Residual autocorrelation</w:t>
      </w:r>
      <w:r>
        <w:t xml:space="preserve"> remains at p = 4 (portmanteau p &lt; 0.001).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Sample.</w:t>
      </w:r>
      <w:r>
        <w:t xml:space="preserve"> 148 usable months for 7 variables. Pre-zero-lower-bound subsamples are too short.</w:t>
      </w:r>
    </w:p>
    <w:p>
      <w:pPr>
        <w:pStyle w:val="Heading1"/>
      </w:pPr>
      <w:r>
        <w:t xml:space="preserve">8. Reproduce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csuf-fullerton init                     # optional, stores a FRED key; keyless CSV also works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csuf-fullerton fetch examples/nicaragua/data.toml --out data/nicaragua.csv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csuf-fullerton screen data/nicaragua.csv examples/nicaragua/theory.toml --max-lags 4 --out results/screen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csuf-fullerton screen data/nicaragua.csv examples/nicaragua/theory.toml --lags 4 --out results/screen_p4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csuf-fullerton svar data/nicaragua.csv --foreign ffr,us_ip,commodity,ni_er \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--domestic ni_ip,ni_cpi,ni_m2 --lags 4 --seasonal --dmax 2 --draws 1000 --bands hall \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--out results/svar_recommended_p4</w:t>
      </w:r>
    </w:p>
    <w:p>
      <w:pPr>
        <w:spacing w:after="120"/>
      </w:pPr>
    </w:p>
    <w:p>
      <w:pPr>
        <w:pStyle w:val="Heading1"/>
      </w:pPr>
      <w:r>
        <w:t xml:space="preserve">References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Cushman, D. O. and Zha, T. (1997), </w:t>
      </w:r>
      <w:r>
        <w:rPr>
          <w:i/>
          <w:iCs/>
        </w:rPr>
        <w:t xml:space="preserve">Journal of Monetary Economics</w:t>
      </w:r>
      <w:r>
        <w:t xml:space="preserve"> 39(3): 433-448.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Engle, R. F., Hendry, D. F. and Richard, J.-F. (1983), "Exogeneity," </w:t>
      </w:r>
      <w:r>
        <w:rPr>
          <w:i/>
          <w:iCs/>
        </w:rPr>
        <w:t xml:space="preserve">Econometrica</w:t>
      </w:r>
      <w:r>
        <w:t xml:space="preserve"> 51(2): 277-304.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Hacker, R. S. and Hatemi-J, A. (2006), "Tests for causality between integrated variables using asymptotic and bootstrap distributions," </w:t>
      </w:r>
      <w:r>
        <w:rPr>
          <w:i/>
          <w:iCs/>
        </w:rPr>
        <w:t xml:space="preserve">Applied Economics</w:t>
      </w:r>
      <w:r>
        <w:t xml:space="preserve"> 38(13): 1489-1500.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Hyvärinen, A. and Smith, S. M. (2013), </w:t>
      </w:r>
      <w:r>
        <w:rPr>
          <w:i/>
          <w:iCs/>
        </w:rPr>
        <w:t xml:space="preserve">Journal of Machine Learning Research</w:t>
      </w:r>
      <w:r>
        <w:t xml:space="preserve"> 14: 111-152.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Kilian, L. (1998), "Small-sample confidence intervals for impulse response functions," </w:t>
      </w:r>
      <w:r>
        <w:rPr>
          <w:i/>
          <w:iCs/>
        </w:rPr>
        <w:t xml:space="preserve">Review of Economics and Statistics</w:t>
      </w:r>
      <w:r>
        <w:t xml:space="preserve"> 80(2): 218-230.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Leeb, H. and Pötscher, B. M. (2005), </w:t>
      </w:r>
      <w:r>
        <w:rPr>
          <w:i/>
          <w:iCs/>
        </w:rPr>
        <w:t xml:space="preserve">Econometric Theory</w:t>
      </w:r>
      <w:r>
        <w:t xml:space="preserve"> 21(1): 21-59.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Maćkowiak, B. (2007), </w:t>
      </w:r>
      <w:r>
        <w:rPr>
          <w:i/>
          <w:iCs/>
        </w:rPr>
        <w:t xml:space="preserve">Journal of Monetary Economics</w:t>
      </w:r>
      <w:r>
        <w:t xml:space="preserve"> 54(8): 2512-2520.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Pesaran, M. H., Schuermann, T. and Weiner, S. M. (2004), </w:t>
      </w:r>
      <w:r>
        <w:rPr>
          <w:i/>
          <w:iCs/>
        </w:rPr>
        <w:t xml:space="preserve">JBES</w:t>
      </w:r>
      <w:r>
        <w:t xml:space="preserve"> 22(2): 129-162.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Reinsel, G. C. and Ahn, S. K. (1992), "Vector autoregressive models with unit roots and reduced rank structure," </w:t>
      </w:r>
      <w:r>
        <w:rPr>
          <w:i/>
          <w:iCs/>
        </w:rPr>
        <w:t xml:space="preserve">Journal of Time Series Analysis</w:t>
      </w:r>
      <w:r>
        <w:t xml:space="preserve"> 13(4): 353-375.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Shimizu, S. et al. (2011), "DirectLiNGAM," </w:t>
      </w:r>
      <w:r>
        <w:rPr>
          <w:i/>
          <w:iCs/>
        </w:rPr>
        <w:t xml:space="preserve">Journal of Machine Learning Research</w:t>
      </w:r>
      <w:r>
        <w:t xml:space="preserve"> 12: 1225-1248.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Toda, H. Y. and Yamamoto, T. (1995), </w:t>
      </w:r>
      <w:r>
        <w:rPr>
          <w:i/>
          <w:iCs/>
        </w:rPr>
        <w:t xml:space="preserve">Journal of Econometrics</w:t>
      </w:r>
      <w:r>
        <w:t xml:space="preserve"> 66: 225-250.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Wu, J. C. and Xia, F. D. (2016), "Measuring the macroeconomic impact of monetary policy at the zero lower bound," </w:t>
      </w:r>
      <w:r>
        <w:rPr>
          <w:i/>
          <w:iCs/>
        </w:rPr>
        <w:t xml:space="preserve">Journal of Money, Credit and Banking</w:t>
      </w:r>
      <w:r>
        <w:t xml:space="preserve"> 48(2-3): 253-291.</w:t>
      </w:r>
    </w:p>
    <w:sectPr>
      <w:footerReference w:type="default" r:id="rId6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Nicaragua exogeneity screen, csuf-fullerton  |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b/>
      <w:bCs/>
      <w:color w:val="1F3A5F"/>
      <w:sz w:val="34"/>
      <w:szCs w:val="34"/>
    </w:rPr>
  </w:style>
  <w:style w:type="paragraph" w:styleId="Heading1">
    <w:name w:val="Heading 1"/>
    <w:basedOn w:val="Normal"/>
    <w:next w:val="Normal"/>
    <w:pPr>
      <w:spacing w:before="280" w:after="120"/>
      <w:outlineLvl w:val="0"/>
    </w:pPr>
    <w:rPr>
      <w:b/>
      <w:bCs/>
      <w:color w:val="1F3A5F"/>
      <w:sz w:val="27"/>
      <w:szCs w:val="27"/>
    </w:rPr>
  </w:style>
  <w:style w:type="paragraph" w:styleId="Heading2">
    <w:name w:val="Heading 2"/>
    <w:basedOn w:val="Normal"/>
    <w:next w:val="Normal"/>
    <w:pPr>
      <w:spacing w:before="200" w:after="100"/>
      <w:outlineLvl w:val="1"/>
    </w:pPr>
    <w:rPr>
      <w:b/>
      <w:bCs/>
      <w:color w:val="2E5C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f13628df538c10292c0797259d474e32c99c82ba.png"/><Relationship Id="rId8" Type="http://schemas.openxmlformats.org/officeDocument/2006/relationships/image" Target="media/94eb2b44948015f748e95ba7c0404338a4f3a021.png"/><Relationship Id="rId9" Type="http://schemas.openxmlformats.org/officeDocument/2006/relationships/image" Target="media/868dcb39c582b169158a4c6020fd3defdef9e0c7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Nicaragua exogeneity screen and block-exogenous SVAR</dc:title>
  <dc:creator>JJ Espinoza</dc:creator>
  <cp:lastModifiedBy>Un-named</cp:lastModifiedBy>
  <cp:revision>1</cp:revision>
  <dcterms:created xsi:type="dcterms:W3CDTF">2026-10-14T22:25:57.552Z</dcterms:created>
  <dcterms:modified xsi:type="dcterms:W3CDTF">2026-10-14T22:25:57.553Z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