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1a34567a77bd4209" /><Relationship Type="http://schemas.openxmlformats.org/package/2006/relationships/metadata/core-properties" Target="/docProps/core.xml" Id="R1301e53645e34cf8" /><Relationship Type="http://schemas.openxmlformats.org/officeDocument/2006/relationships/extended-properties" Target="/docProps/app.xml" Id="Rc7c4ccf2b81c4a93" /><Relationship Type="http://schemas.openxmlformats.org/officeDocument/2006/relationships/custom-properties" Target="/docProps/custom.xml" Id="R33b95985a9834e0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40"/>
      </w:pPr>
      <w:r>
        <w:rPr>
          <w:b/>
          <w:color w:val="F5A800"/>
          <w:sz w:val="18"/>
        </w:rPr>
        <w:t xml:space="preserve">BANCO BASE · ORQUESTACIÓN COMERCIAL</w:t>
      </w:r>
    </w:p>
    <w:p w14:paraId="00100002" w14:textId="00100003">
      <w:pPr>
        <w:pStyle w:val="Heading1"/>
        <w:spacing w:after="80"/>
      </w:pPr>
      <w:r>
        <w:rPr>
          <w:b/>
          <w:color w:val="000000"/>
          <w:sz w:val="44"/>
        </w:rPr>
        <w:t xml:space="preserve">Cómo probar el Diagnóstico Share of Wallet</w:t>
      </w:r>
    </w:p>
    <w:p w14:paraId="00100004" w14:textId="00100005">
      <w:pPr>
        <w:spacing w:after="280"/>
      </w:pPr>
      <w:r>
        <w:rPr>
          <w:i/>
          <w:color w:val="707272"/>
          <w:sz w:val="22"/>
        </w:rPr>
        <w:t xml:space="preserve">Primer prototipo funcional — no es la versión final. Tómate 2-3 minutos para verlo y probarlo.</w:t>
      </w:r>
    </w:p>
    <w:p w14:paraId="00100006" w14:textId="00100007">
      <w:pPr>
        <w:pStyle w:val="Heading2"/>
        <w:spacing w:before="120" w:after="120"/>
      </w:pPr>
      <w:r>
        <w:rPr>
          <w:b/>
          <w:color w:val="000000"/>
          <w:sz w:val="28"/>
        </w:rPr>
        <w:t xml:space="preserve">Qué es esto</w:t>
      </w:r>
    </w:p>
    <w:p w14:paraId="00100008" w14:textId="00100009">
      <w:pPr>
        <w:spacing w:after="120"/>
      </w:pPr>
      <w:r>
        <w:rPr>
          <w:sz w:val="22"/>
        </w:rPr>
        <w:t xml:space="preserve">Cuando un asesor visita a un cliente y contesta unas preguntas rápidas (con qué banco hace sus cambios, si tiene crédito en otro banco, etc.), el sistema detecta qué productos de BASE se le podrían ofrecer, le asigna una prioridad de seguimiento, y genera automáticamente dos documentos en PDF: uno para el asesor y un guion de preguntas para la siguiente visita o llamada.</w:t>
      </w:r>
    </w:p>
    <w:p w14:paraId="0010000A" w14:textId="0010000B">
      <w:pPr>
        <w:spacing w:after="280"/>
      </w:pPr>
      <w:r>
        <w:rPr>
          <w:b/>
          <w:sz w:val="22"/>
        </w:rPr>
        <w:t xml:space="preserve">Todo corre dentro de Google Sheets — no hay ninguna página o archivo aparte que abrir. El enlace de abajo es todo lo que necesitas.</w:t>
      </w:r>
    </w:p>
    <w:p w14:paraId="0010000C" w14:textId="0010000D">
      <w:pPr>
        <w:pStyle w:val="Heading2"/>
        <w:spacing w:before="120" w:after="120"/>
      </w:pPr>
      <w:r>
        <w:rPr>
          <w:b/>
          <w:color w:val="000000"/>
          <w:sz w:val="28"/>
        </w:rPr>
        <w:t xml:space="preserve">La hoja de prueba</w:t>
      </w:r>
    </w:p>
    <w:p w14:paraId="0010000E" w14:textId="00100036">
      <w:pPr>
        <w:spacing w:after="80"/>
      </w:pPr>
      <w:hyperlink r:id="Ra38dbd6ab2124249">
        <w:r>
          <w:rPr>
            <w:rStyle w:val="Hyperlink"/>
            <w:b/>
            <w:color w:val="0563C1" w:themeColor="hyperlink"/>
            <w:sz w:val="24"/>
            <w:u w:val="single"/>
          </w:rPr>
          <w:t xml:space="preserve">Diagnóstico Share of Wallet — Prototipo SoW (fecha 2026-09-04)</w:t>
        </w:r>
      </w:hyperlink>
    </w:p>
    <w:p w14:paraId="00100010" w14:textId="00100011">
      <w:pPr>
        <w:spacing w:after="280"/>
      </w:pPr>
      <w:r>
        <w:rPr>
          <w:i/>
          <w:color w:val="707272"/>
          <w:sz w:val="20"/>
        </w:rPr>
        <w:t xml:space="preserve">Tienes permiso para abrir y editar esta hoja directamente — es de prueba, con clientes ficticios, no hay ningún dato real de un cliente.</w:t>
      </w:r>
    </w:p>
    <w:p w14:paraId="00100024" w14:textId="00100053">
      <w:pPr>
        <w:spacing w:after="280"/>
      </w:pPr>
      <w:r>
        <w:rPr>
          <w:sz w:val="22"/>
        </w:rPr>
        <w:t xml:space="preserve">Antes de empezar, un ajuste del navegador (1 minuto): usa Google Chrome y revisa en chrome://settings/cookies que NO tengas activado “Bloquear cookies de terceros”. El panel se comunica con Google por dentro y algunos navegadores bloquean esa comunicación por privacidad: si te pasa, el panel se ve bien pero no responde al dar clic. Si algo no responde, es casi seguro esto — avísanos y lo resolvemos.</w:t>
      </w:r>
    </w:p>
    <w:p w14:paraId="00100012" w14:textId="00100013">
      <w:pPr>
        <w:pStyle w:val="Heading2"/>
        <w:spacing w:before="120" w:after="120"/>
      </w:pPr>
      <w:r>
        <w:rPr>
          <w:b/>
          <w:color w:val="000000"/>
          <w:sz w:val="28"/>
        </w:rPr>
        <w:t xml:space="preserve">Paso 1 — Correr la autoprueba (solo la primera vez)</w:t>
      </w:r>
    </w:p>
    <w:p w14:paraId="00100014" w14:textId="00100015">
      <w:pPr>
        <w:spacing w:after="60"/>
      </w:pPr>
      <w:r>
        <w:rPr>
          <w:sz w:val="22"/>
        </w:rPr>
        <w:t xml:space="preserve">1. Abre el enlace de arriba.</w:t>
      </w:r>
    </w:p>
    <w:p w14:paraId="00100016" w14:textId="00100017">
      <w:pPr>
        <w:spacing w:after="60"/>
      </w:pPr>
      <w:r>
        <w:rPr>
          <w:sz w:val="22"/>
        </w:rPr>
        <w:t xml:space="preserve">2. En el menú de arriba de la hoja, busca “Diagnóstico Share of Wallet” (junto a Archivo, Editar, Ver, etc.) y da clic en “Ejecutar autopruebas del motor”.</w:t>
      </w:r>
    </w:p>
    <w:p w14:paraId="00100018" w14:textId="00100019">
      <w:pPr>
        <w:spacing w:after="60"/>
      </w:pPr>
      <w:r>
        <w:rPr>
          <w:sz w:val="22"/>
        </w:rPr>
        <w:t xml:space="preserve">3. La primera vez, Google te pedirá permiso para que el script funcione. Es normal — elige tu cuenta y, si dice “Google no verificó esta app”, da clic en Avanzado y luego en “Ir a...(no seguro)”. Es un script interno nuestro, es seguro aceptarlo.</w:t>
      </w:r>
    </w:p>
    <w:p w14:paraId="0010001A" w14:textId="0010001B">
      <w:pPr>
        <w:spacing w:after="280"/>
      </w:pPr>
      <w:r>
        <w:rPr>
          <w:sz w:val="22"/>
        </w:rPr>
        <w:t xml:space="preserve">4. Verás un mensaje “Autopruebas completas” — eso confirma que el motor funciona bien por dentro.</w:t>
      </w:r>
    </w:p>
    <w:p w14:paraId="0010001C" w14:textId="0010004E">
      <w:pPr>
        <w:pStyle w:val="Heading2"/>
        <w:spacing w:before="120" w:after="120"/>
      </w:pPr>
      <w:r>
        <w:rPr>
          <w:b/>
          <w:color w:val="000000"/>
          <w:sz w:val="28"/>
        </w:rPr>
        <w:t xml:space="preserve">Paso 2 — Abrir el panel y probarlo</w:t>
      </w:r>
    </w:p>
    <w:p w14:paraId="0010001E" w14:textId="0010004F">
      <w:pPr>
        <w:spacing w:after="60"/>
      </w:pPr>
      <w:r>
        <w:rPr>
          <w:sz w:val="22"/>
        </w:rPr>
        <w:t xml:space="preserve">1. Otra vez en el menú “Diagnóstico Share of Wallet”, da clic en “Abrir panel de diagnóstico”. Se abre un panel a la derecha con tres opciones: capturar una visita (la principal, resaltada en amarillo), ver el historial de diagnósticos, y volver a correr las autopruebas.</w:t>
      </w:r>
    </w:p>
    <w:p w14:paraId="00100020" w14:textId="00100050">
      <w:pPr>
        <w:spacing w:after="60"/>
      </w:pPr>
      <w:r>
        <w:rPr>
          <w:sz w:val="22"/>
        </w:rPr>
        <w:t xml:space="preserve">2. Entra a la primera opción. Te pide el cliente (escribe un nombre: si ya lo visitaste aparece en la lista con lo que quedó pendiente; si es nuevo, te ofrece usar el que escribiste), el giro del negocio, con qué banco tiene su captación y sus cambios (si no está en la lista, elige “Otro (especifica)” y escríbelo), si tiene crédito con otro banco y si recibe cotizaciones. Al final hay un bloque opcional de “Datos adicionales” con los montos aproximados y el pendiente para la próxima visita. Puedes inventar cualquier respuesta.</w:t>
      </w:r>
    </w:p>
    <w:p w14:paraId="0010003B" w14:textId="00100046">
      <w:pPr>
        <w:spacing w:after="60"/>
      </w:pPr>
      <w:r>
        <w:rPr>
          <w:i/>
          <w:color w:val="707272"/>
          <w:sz w:val="20"/>
        </w:rPr>
        <w:t xml:space="preserve">Todo se guarda en un archivo de Google Sheets aparte, exclusivo para estos datos (no en esta hoja de prueba) — así queda un historial por cliente que se puede consultar la próxima vez.</w:t>
      </w:r>
    </w:p>
    <w:p w14:paraId="0010004A" w14:textId="00100051">
      <w:pPr>
        <w:pStyle w:val="Normal"/>
        <w:spacing w:after="60"/>
      </w:pPr>
      <w:r>
        <w:rPr>
          <w:sz w:val="22"/>
        </w:rPr>
        <w:t xml:space="preserve">3. Si se te olvida contestar algo obligatorio, el panel te lo dice y te marca en rojo qué falta: sin esos datos el resultado no significaría nada. Con “Nuevo diagnóstico” regresas a las tres opciones del inicio.</w:t>
      </w:r>
    </w:p>
    <w:p w14:paraId="00100022" w14:textId="00100052">
      <w:pPr>
        <w:spacing w:after="60"/>
      </w:pPr>
      <w:r>
        <w:rPr>
          <w:sz w:val="22"/>
        </w:rPr>
        <w:t xml:space="preserve">4. Al terminar verás la prioridad del cliente, las oportunidades detectadas, y dos enlaces: uno para abrir el PDF del asesor y otro para el guion de conversación.</w:t>
      </w:r>
    </w:p>
    <w:p w14:paraId="00100026" w14:textId="00100027">
      <w:pPr>
        <w:pStyle w:val="Heading2"/>
        <w:spacing w:before="120" w:after="120"/>
      </w:pPr>
      <w:r>
        <w:rPr>
          <w:b/>
          <w:color w:val="000000"/>
          <w:sz w:val="28"/>
        </w:rPr>
        <w:t xml:space="preserve">Qué nos interesa que nos digas</w:t>
      </w:r>
    </w:p>
    <w:p w14:paraId="00100028" w14:textId="00100037">
      <w:pPr>
        <w:spacing w:after="60"/>
      </w:pPr>
      <w:r>
        <w:rPr>
          <w:sz w:val="22"/>
        </w:rPr>
        <w:t xml:space="preserve">• ¿Las preguntas te parecen las correctas, o falta/sobra alguna?</w:t>
      </w:r>
    </w:p>
    <w:p w14:paraId="0010002A" w14:textId="00100038">
      <w:pPr>
        <w:spacing w:after="60"/>
      </w:pPr>
      <w:r>
        <w:rPr>
          <w:sz w:val="22"/>
        </w:rPr>
        <w:t xml:space="preserve">• ¿El resultado (prioridad + oportunidades) se entiende bien?</w:t>
      </w:r>
    </w:p>
    <w:p w14:paraId="0010002C" w14:textId="00100039">
      <w:pPr>
        <w:spacing w:after="60"/>
      </w:pPr>
      <w:r>
        <w:rPr>
          <w:sz w:val="22"/>
        </w:rPr>
        <w:t xml:space="preserve">• ¿Cómo se ve el PDF? ¿Le falta o le sobra algo?</w:t>
      </w:r>
    </w:p>
    <w:p w14:paraId="0010002E" w14:textId="0010003A">
      <w:pPr>
        <w:spacing w:after="280"/>
      </w:pPr>
      <w:r>
        <w:rPr>
          <w:sz w:val="22"/>
        </w:rPr>
        <w:t xml:space="preserve">• Cualquier otra cosa que veas rara o que no funcione — dínoslo tal cual, así ajustamos.</w:t>
      </w:r>
    </w:p>
    <w:p w14:paraId="00100030" w14:textId="00100031">
      <w:pPr/>
      <w:r>
        <w:rPr>
          <w:i/>
          <w:color w:val="707272"/>
          <w:sz w:val="20"/>
        </w:rPr>
        <w:t xml:space="preserve">No hace falta saber nada de programación para probarlo — todo se usa con clics, como cualquier otra hoja de cálculo. Los PDFs de ejemplo de este mismo correo muestran cómo se ve el resultado, por si prefieres verlo sin abrir la hoja.</w:t>
      </w:r>
    </w:p>
    <w:sectPr>
      <w:footerReference w:type="default" r:id="Rce93340e62e24ad6"/>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32" w14:textId="00100034">
    <w:pPr>
      <w:jc w:val="right"/>
    </w:pPr>
    <w:r>
      <w:rPr>
        <w:color w:val="707272"/>
        <w:sz w:val="18"/>
      </w:rPr>
      <w:t xml:space="preserve">Diagnóstico Share of Wallet — prototipo, datos ficticios · Página </w:t>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d9f0d456c84427f" /><Relationship Type="http://schemas.openxmlformats.org/officeDocument/2006/relationships/styles" Target="/word/styles.xml" Id="R5314bd8718f64c27" /><Relationship Type="http://schemas.openxmlformats.org/officeDocument/2006/relationships/theme" Target="/word/theme/theme1.xml" Id="R24331fb5e59a401f" /><Relationship Type="http://schemas.openxmlformats.org/officeDocument/2006/relationships/numbering" Target="/word/numbering.xml" Id="Rf48b598e63f14068" /><Relationship Type="http://schemas.openxmlformats.org/officeDocument/2006/relationships/footer" Target="/word/footer1.xml" Id="Rce93340e62e24ad6" /><Relationship Type="http://schemas.openxmlformats.org/officeDocument/2006/relationships/hyperlink" Target="https://docs.google.com/spreadsheets/d/1DFPP0_UpArSiYim1gsoD9FFkzTBbmHIpnHinclP13_M/edit" TargetMode="External" Id="Ra38dbd6ab21242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OfficeCLI/1.0.136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2026-09-05T00:00:12Z</dcterms:created>
  <cp:lastModifiedBy>OfficeCLI</cp:lastModifiedBy>
  <dcterms:modified xsi:type="dcterms:W3CDTF">2026-09-05T00:00:12Z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2026-09-07T15:01:18Z</vt:lpwstr>
  </op:property>
</op:Properties>
</file>