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jc w:val="center"/>
      </w:pPr>
      <w:r>
        <w:rPr>
          <w:rFonts w:ascii="Palatino Linotype" w:cs="Palatino Linotype" w:eastAsia="Palatino Linotype" w:hAnsi="Palatino Linotype"/>
          <w:b/>
          <w:bCs/>
          <w:color w:val="1F5C9E"/>
          <w:sz w:val="40"/>
          <w:szCs w:val="40"/>
        </w:rPr>
        <w:t xml:space="preserve">QUIJOTE + ZYPYZAPE</w:t>
      </w:r>
    </w:p>
    <w:p>
      <w:pPr>
        <w:spacing w:after="80"/>
        <w:jc w:val="center"/>
      </w:pPr>
      <w:r>
        <w:rPr>
          <w:rFonts w:ascii="Palatino Linotype" w:cs="Palatino Linotype" w:eastAsia="Palatino Linotype" w:hAnsi="Palatino Linotype"/>
          <w:i/>
          <w:iCs/>
          <w:color w:val="2E75B6"/>
          <w:sz w:val="24"/>
          <w:szCs w:val="24"/>
        </w:rPr>
        <w:t xml:space="preserve">Un Buffer d'Inercia Asimetric per a Turbines Eoliques</w:t>
      </w:r>
    </w:p>
    <w:p>
      <w:pPr>
        <w:spacing w:after="40"/>
        <w:jc w:val="center"/>
      </w:pPr>
      <w:r>
        <w:rPr>
          <w:rFonts w:ascii="Palatino Linotype" w:cs="Palatino Linotype" w:eastAsia="Palatino Linotype" w:hAnsi="Palatino Linotype"/>
          <w:i/>
          <w:iCs/>
          <w:color w:val="2E75B6"/>
          <w:sz w:val="22"/>
          <w:szCs w:val="22"/>
        </w:rPr>
        <w:t xml:space="preserve">An Asymmetric Inertia Buffer for Wind Turbine Stabilisation</w:t>
      </w:r>
    </w:p>
    <w:p>
      <w:pPr>
        <w:pBdr>
          <w:bottom w:val="single" w:color="DDDDDD" w:sz="2"/>
        </w:pBdr>
        <w:spacing w:after="80" w:before="80"/>
      </w:pPr>
    </w:p>
    <w:p>
      <w:pPr>
        <w:spacing w:after="40"/>
        <w:jc w:val="center"/>
      </w:pPr>
      <w:r>
        <w:rPr>
          <w:rFonts w:ascii="Palatino Linotype" w:cs="Palatino Linotype" w:eastAsia="Palatino Linotype" w:hAnsi="Palatino Linotype"/>
          <w:b/>
          <w:bCs/>
          <w:sz w:val="22"/>
          <w:szCs w:val="22"/>
        </w:rPr>
        <w:t xml:space="preserve">Victor Manzanares Alberola</w:t>
      </w:r>
    </w:p>
    <w:p>
      <w:pPr>
        <w:spacing w:after="40"/>
        <w:jc w:val="center"/>
      </w:pPr>
      <w:r>
        <w:rPr>
          <w:rFonts w:ascii="Palatino Linotype" w:cs="Palatino Linotype" w:eastAsia="Palatino Linotype" w:hAnsi="Palatino Linotype"/>
          <w:i/>
          <w:iCs/>
          <w:sz w:val="20"/>
          <w:szCs w:val="20"/>
        </w:rPr>
        <w:t xml:space="preserve">EPSA — Escola Politecnica Superior d'Alcoi</w:t>
      </w:r>
    </w:p>
    <w:p>
      <w:pPr>
        <w:spacing w:after="200"/>
        <w:jc w:val="center"/>
      </w:pPr>
      <w:r>
        <w:rPr>
          <w:rFonts w:ascii="Palatino Linotype" w:cs="Palatino Linotype" w:eastAsia="Palatino Linotype" w:hAnsi="Palatino Linotype"/>
          <w:color w:val="777777"/>
          <w:sz w:val="18"/>
          <w:szCs w:val="18"/>
        </w:rPr>
        <w:t xml:space="preserve">Universitat Politecnica de Valencia — 2026</w:t>
      </w: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pPr>
            <w:r>
              <w:rPr>
                <w:rFonts w:ascii="Palatino Linotype" w:cs="Palatino Linotype" w:eastAsia="Palatino Linotype" w:hAnsi="Palatino Linotype"/>
                <w:b/>
                <w:bCs/>
                <w:sz w:val="18"/>
                <w:szCs w:val="18"/>
              </w:rPr>
              <w:t xml:space="preserve">Paraules clau: </w:t>
            </w:r>
            <w:r>
              <w:rPr>
                <w:rFonts w:ascii="Palatino Linotype" w:cs="Palatino Linotype" w:eastAsia="Palatino Linotype" w:hAnsi="Palatino Linotype"/>
                <w:i/>
                <w:iCs/>
                <w:sz w:val="18"/>
                <w:szCs w:val="18"/>
              </w:rPr>
              <w:t xml:space="preserve">inèrcia sintètica, masses desplaçables, pitch asíncron, Kuramoto, buffer hidràulic.</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pPr>
            <w:r>
              <w:rPr>
                <w:rFonts w:ascii="Palatino Linotype" w:cs="Palatino Linotype" w:eastAsia="Palatino Linotype" w:hAnsi="Palatino Linotype"/>
                <w:b/>
                <w:bCs/>
                <w:sz w:val="18"/>
                <w:szCs w:val="18"/>
              </w:rPr>
              <w:t xml:space="preserve">Keywords: </w:t>
            </w:r>
            <w:r>
              <w:rPr>
                <w:rFonts w:ascii="Palatino Linotype" w:cs="Palatino Linotype" w:eastAsia="Palatino Linotype" w:hAnsi="Palatino Linotype"/>
                <w:i/>
                <w:iCs/>
                <w:sz w:val="18"/>
                <w:szCs w:val="18"/>
              </w:rPr>
              <w:t xml:space="preserve">synthetic inertia, movable masses, asynchronous pitch, Kuramoto, hydraulic buffer.</w:t>
            </w:r>
          </w:p>
        </w:tc>
      </w:tr>
    </w:tbl>
    <w:p>
      <w:r>
        <w:br w:type="page"/>
      </w: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Resum</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Abstract</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both"/>
            </w:pPr>
            <w:r>
              <w:rPr>
                <w:rFonts w:ascii="Palatino Linotype" w:cs="Palatino Linotype" w:eastAsia="Palatino Linotype" w:hAnsi="Palatino Linotype"/>
                <w:i/>
                <w:iCs/>
                <w:sz w:val="18"/>
                <w:szCs w:val="18"/>
              </w:rPr>
              <w:t xml:space="preserve">El sistema QUIJOTE + ZYPYZAPE proposa integrar una suspensió de fluid dens (Fe+oli, ρ = 3386 kg/m³) com a massa lliscant dins de cada pala d'una turbina eòlica, modulant el moment d'inèrcia J(t) en temps real. Combinat amb un control de pitch asíncron per pala (ZYPYZAPE) i acoblament Kuramoto entre pales, el sistema actua com a buffer d'inèrcia purament mecànic. Validat sobre la turbina NREL 5 MW (Jonkman 2009) sota un perfil de vent Ornstein-Uhlenbeck, s'obté una millora de P_grid del +1.4–1.5%, una potència oscil·lant de 12–16 kW i una recuperació d'energia hidràulica de 128–226 W (η = 85%). S'introdueix i valida el límit físic posicional |ṙ_q| ≤ ω·r_q, observació original de l'autor. L'asimetria energètica E_net &lt; 0 s'explica com a conseqüència de la força centrífuga, no com a error.</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both"/>
            </w:pPr>
            <w:r>
              <w:rPr>
                <w:rFonts w:ascii="Palatino Linotype" w:cs="Palatino Linotype" w:eastAsia="Palatino Linotype" w:hAnsi="Palatino Linotype"/>
                <w:i/>
                <w:iCs/>
                <w:sz w:val="18"/>
                <w:szCs w:val="18"/>
              </w:rPr>
              <w:t xml:space="preserve">The QUIJOTE + ZYPYZAPE system proposes integrating a dense fluid suspension (Fe+oil, ρ = 3386 kg/m³) as a sliding mass inside each wind turbine blade, dynamically modulating the rotor moment of inertia J(t). Combined with per-blade asynchronous pitch control (ZYPYZAPE) and Kuramoto inter-blade coupling, the system acts as a purely mechanical synthetic inertia buffer. Benchmarked against the NREL 5 MW reference turbine (Jonkman 2009) under an Ornstein-Uhlenbeck wind profile, the system yields a grid power improvement of +1.4–1.5%, an oscillating buffer power of 12–16 kW, and hydraulic energy recovery of 128–226 W (η = 85%). An original positional speed constraint |ṙ_q| ≤ ω·r_q is introduced and validated. The asymmetric net energy E_net &lt; 0 is explained as a consequence of centrifugal-force asymmetry, not a modelling error.</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1. Introduccio i Motivacio</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1. Introduction and Motivation</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L'augment de la penetració d'energies renovables redueix la inèrcia sincronitzada disponible en les xarxes elèctriques, accelerant les desviacions de freqüència davant pertorbacions. Els sistemes d'inèrcia sintètica convencionals requereixen electrònica de potència o bateries externes. Aquest treball proposa una alternativa mecànica: una massa de fluid dens lliscant radialment dins de cada pala, controlada de forma que el seu moviment aprofiti l'asimetria de la força centrífuga.</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The rapid expansion of variable renewables reduces available synchronous inertia in power grids, accelerating frequency deviations following disturbances. Conventional synthetic inertia solutions require power electronics or external battery storage. This work proposes a purely mechanical alternative: a dense fluid mass sliding radially inside each blade, controlled so that its motion exploits the asymmetry of the centrifugal force.</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2. Model Fisic</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2. Physical Model</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2.1 Turbina de referencia (NREL 5 MW)</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2.1 Reference turbine (NREL 5 MW)</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R = 63 m, P_nom = 5 MW, Cp_max = 0.482, λ_opt = 7.55, ω_R = 1.327 rad/s, J_rotor = 3.54×10⁷ kg·m².</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R = 63 m, P_nom = 5 MW, Cp_max = 0.482, λ_opt = 7.55, ω_R = 1.327 rad/s, J_rotor = 3.54×10⁷ kg·m².</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2.2 Quijote: fluid lliscant</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2.2 Quijote: sliding fluid</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Cada pala conté un canal de D = 5 cm omplert amb suspensió Fe+oli (ρ = 3386 kg/m³) des de r_hub = 5 m fins r_tip = 55 m. Massa per pala: m_q = 332 kg.</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Each blade contains a D = 5 cm channel filled with Fe+oil suspension (ρ = 3386 kg/m³) from r_hub = 5 m to r_tip = 55 m. Mass per blade: m_q = 332 kg.</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Equació de moviment: m_q·r̈_q = F_c + F_ctrl + F_fric</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Equation of motion: m_q·r̈_q = F_c + F_ctrl + F_fric</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F_c = m_q·ω²·r_q  (sempre cap a fora / always outward)</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F_c = m_q·ω²·r_q  (always outward)</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F_ctrl = −K_q·(r_q − r_opt(θ)),   K_q = 5×10⁴ N/m</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F_ctrl = −K_q·(r_q − r_opt(θ)),   K_q = 5×10⁴ N/m</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F_fric = −c·ṙ_q,   c = 80 kg/s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sz w:val="20"/>
                <w:szCs w:val="20"/>
              </w:rPr>
              <w:t xml:space="preserve">• F_fric = −c·ṙ_q,   c = 80 kg/s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Posicio optima: r_opt(θ) = R_tip − (R_tip−R_hub)·(1+cos θ)/2</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Optimal position: r_opt(θ) = R_tip − (R_tip−R_hub)·(1+cos θ)/2</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2.3 Limit fisic posicional (observacio original)</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2.3 Positional speed limit (original contribution)</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left w:val="single" w:color="E74C3C" w:sz="6"/>
              </w:pBdr>
              <w:spacing w:after="80"/>
              <w:ind w:left="160"/>
            </w:pPr>
            <w:r>
              <w:rPr>
                <w:rFonts w:ascii="Palatino Linotype" w:cs="Palatino Linotype" w:eastAsia="Palatino Linotype" w:hAnsi="Palatino Linotype"/>
                <w:b/>
                <w:bCs/>
                <w:sz w:val="19"/>
                <w:szCs w:val="19"/>
              </w:rPr>
              <w:t xml:space="preserve">Observacio: |ṙ_q| ≤ ω·r_q. El limit varia amb la posicio: a r_hub = 5 m: ω·r_hub = 6.6 m/s. a r_tip = 55 m: ω·r_tip = 73 m/s. DR_MAX = 0.5 m/s &lt;&lt; 6.6 m/s → sempre satisfet.</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left w:val="single" w:color="E74C3C" w:sz="6"/>
              </w:pBdr>
              <w:spacing w:after="80"/>
              <w:ind w:left="160"/>
            </w:pPr>
            <w:r>
              <w:rPr>
                <w:rFonts w:ascii="Palatino Linotype" w:cs="Palatino Linotype" w:eastAsia="Palatino Linotype" w:hAnsi="Palatino Linotype"/>
                <w:b/>
                <w:bCs/>
                <w:sz w:val="19"/>
                <w:szCs w:val="19"/>
              </w:rPr>
              <w:t xml:space="preserve">Constraint: |ṙ_q| ≤ ω·r_q. The limit is positional: at r_hub = 5 m: ω·r_hub = 6.6 m/s. At r_tip = 55 m: ω·r_tip = 73 m/s. DR_MAX = 0.5 m/s &lt;&lt; 6.6 m/s → always satisfied.</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2.4 Control: pitch asincron + Kuramoto</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2.4 Control: asynchronous pitch + Kuramoto</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Pitch per pala: Δβ_i = Kp·cos(θ_i) + Kω·ω·sin(θ_i) − KQ·J̇_i</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Per-blade pitch: Δβ_i = Kp·cos(θ_i) + Kω·ω·sin(θ_i) − KQ·J̇_i</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Kuramoto: θ̇_i = ω + (K/N)·Σⱼ sin(θⱼ−θᵢ),  K = 0.10</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Kuramoto: θ̇_i = ω + (K/N)·Σⱼ sin(θⱼ−θᵢ),  K = 0.10</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2.5 Buffer hidraulic + valvules de retencio</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2.5 Hydraulic buffer + check valves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Circuit hidràulic amb acumulador de 20 bar (100 L) i vàlvules de retenció: la bomba carrega quan P_buf &gt; 0; la turbina hidràulica (η = 85%) descarrega quan P_buf &lt; 0. Flux Fe+oli: Q ≈ 2–2.5 L/s, v ≈ 1.1–1.3 m/s.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Hydraulic circuit with 20 bar accumulator (100 L) and check valves: the pump charges when P_buf &gt; 0; the hydraulic turbine (η = 85%) discharges when P_buf &lt; 0. Fe+oil flow: Q ≈ 2–2.5 L/s, v ≈ 1.1–1.3 m/s.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7400"/>
      </w:tblGrid>
      <w:tr>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center"/>
            </w:pPr>
            <w:r>
              <w:rPr>
                <w:rFonts w:ascii="Palatino Linotype" w:cs="Palatino Linotype" w:eastAsia="Palatino Linotype" w:hAnsi="Palatino Linotype"/>
                <w:i/>
                <w:iCs/>
                <w:color w:val="555555"/>
                <w:sz w:val="18"/>
                <w:szCs w:val="18"/>
              </w:rPr>
              <w:t xml:space="preserve">Figura 1. Diagrama esquematic: vent → rotor → Quijote (canal Fe+oli) → ZYPYZAPE → buffer hidràulic → generador → xarxa.</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center"/>
            </w:pPr>
            <w:r>
              <w:rPr>
                <w:rFonts w:ascii="Palatino Linotype" w:cs="Palatino Linotype" w:eastAsia="Palatino Linotype" w:hAnsi="Palatino Linotype"/>
                <w:i/>
                <w:iCs/>
                <w:color w:val="555555"/>
                <w:sz w:val="18"/>
                <w:szCs w:val="18"/>
              </w:rPr>
              <w:t xml:space="preserve">Figure 1. System schematic: wind → rotor → Quijote (Fe+oil channel) → ZYPYZAPE → hydraulic buffer → generator → grid.</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3. Resultats de Simulacio</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3. Simulation Results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Simulació de 80 s (DT = 0.05 s) amb perfil de vent Ornstein-Uhlenbeck (v_base = 11.4 m/s, calmant t = 35–50 s). Comparativa 3 pales vs. 7 pales, Fe+oli.</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80 s simulation (DT = 0.05 s) under Ornstein-Uhlenbeck wind profile (v_base = 11.4 m/s, lull t = 35–50 s). 3-blade vs. 7-blade comparison, Fe+oil.</w:t>
            </w:r>
          </w:p>
        </w:tc>
      </w:tr>
    </w:tbl>
    <w:p>
      <w:pPr>
        <w:spacing w:after="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800"/>
      </w:tblGrid>
      <w:tr>
        <w:trPr>
          <w:tblHeader/>
        </w:trPr>
        <w:tc>
          <w:tcPr>
            <w:tcW w:type="dxa" w:w="26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color w:val="FFFFFF"/>
                <w:sz w:val="18"/>
                <w:szCs w:val="18"/>
              </w:rPr>
              <w:t xml:space="preserve">Parametre / Parameter</w:t>
            </w:r>
          </w:p>
        </w:tc>
        <w:tc>
          <w:tcPr>
            <w:tcW w:type="dxa" w:w="10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color w:val="FFFFFF"/>
                <w:sz w:val="18"/>
                <w:szCs w:val="18"/>
              </w:rPr>
              <w:t xml:space="preserve">3p VA</w:t>
            </w:r>
          </w:p>
        </w:tc>
        <w:tc>
          <w:tcPr>
            <w:tcW w:type="dxa" w:w="10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color w:val="FFFFFF"/>
                <w:sz w:val="18"/>
                <w:szCs w:val="18"/>
              </w:rPr>
              <w:t xml:space="preserve">3p EN</w:t>
            </w:r>
          </w:p>
        </w:tc>
        <w:tc>
          <w:tcPr>
            <w:tcW w:type="dxa" w:w="10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color w:val="FFFFFF"/>
                <w:sz w:val="18"/>
                <w:szCs w:val="18"/>
              </w:rPr>
              <w:t xml:space="preserve">7p VA</w:t>
            </w:r>
          </w:p>
        </w:tc>
        <w:tc>
          <w:tcPr>
            <w:tcW w:type="dxa" w:w="8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color w:val="FFFFFF"/>
                <w:sz w:val="18"/>
                <w:szCs w:val="18"/>
              </w:rPr>
              <w:t xml:space="preserve">7p EN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Millora P_grid / P_grid improvement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+1.5%</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P_buf oscil. / Oscillating P_buf</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12 kW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12 kW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16 kW</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16 kW</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P_gen recuperada / P_gen recovered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128 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128 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226 W</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226 W</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E_net (dissipada) / E_net (dissip.)</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−30 kWh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−30 kWh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kWh</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kWh</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Cabal Q / Flow rate Q</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 L/s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 L/s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~2.5 L/s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~2.5 L/s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Velocitat fluid / Fluid velocity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~1.1 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~1.1 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~1.3 m/s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~1.3 m/s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Limit omega·r_hub</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m/s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sz w:val="18"/>
                <w:szCs w:val="18"/>
              </w:rPr>
              <w:t xml:space="preserve">6.6 m/s</w:t>
            </w:r>
          </w:p>
        </w:tc>
      </w:tr>
    </w:tbl>
    <w:p>
      <w:pPr>
        <w:spacing w:after="160" w:before="60"/>
        <w:jc w:val="center"/>
      </w:pPr>
      <w:r>
        <w:rPr>
          <w:rFonts w:ascii="Palatino Linotype" w:cs="Palatino Linotype" w:eastAsia="Palatino Linotype" w:hAnsi="Palatino Linotype"/>
          <w:i/>
          <w:iCs/>
          <w:color w:val="555555"/>
          <w:sz w:val="18"/>
          <w:szCs w:val="18"/>
        </w:rPr>
        <w:t xml:space="preserve">Taula 1 / Table 1. Resultats comparatius / Comparative results.</w:t>
      </w: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7400"/>
      </w:tblGrid>
      <w:tr>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drawing>
                <wp:inline distT="0" distB="0" distL="0" distR="0">
                  <wp:extent cx="4762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952875"/>
                          </a:xfrm>
                          <a:prstGeom prst="rect">
                            <a:avLst/>
                          </a:prstGeom>
                        </pic:spPr>
                      </pic:pic>
                    </a:graphicData>
                  </a:graphic>
                </wp:inline>
              </w:drawing>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center"/>
            </w:pPr>
            <w:r>
              <w:rPr>
                <w:rFonts w:ascii="Palatino Linotype" w:cs="Palatino Linotype" w:eastAsia="Palatino Linotype" w:hAnsi="Palatino Linotype"/>
                <w:i/>
                <w:iCs/>
                <w:color w:val="555555"/>
                <w:sz w:val="18"/>
                <w:szCs w:val="18"/>
              </w:rPr>
              <w:t xml:space="preserve">Figura 2. Panells G1–G8: (G1) vent; (G2) P_grid; (G3) r_q(t); (G4) dJ/dt i P_buf; (G5) limit posicional; (G6) acumulador; (G7) P_gen; (G8) omega.</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center"/>
            </w:pPr>
            <w:r>
              <w:rPr>
                <w:rFonts w:ascii="Palatino Linotype" w:cs="Palatino Linotype" w:eastAsia="Palatino Linotype" w:hAnsi="Palatino Linotype"/>
                <w:i/>
                <w:iCs/>
                <w:color w:val="555555"/>
                <w:sz w:val="18"/>
                <w:szCs w:val="18"/>
              </w:rPr>
              <w:t xml:space="preserve">Figure 2. Panels G1–G8: (G1) wind; (G2) P_grid; (G3) r_q(t); (G4) dJ/dt and P_buf; (G5) positional limit; (G6) accumulator; (G7) P_gen; (G8) omega.</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4. Discussio</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4. Discussion</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4.1 Buffer d'inèrcia, no generador net</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4.1 Inertia buffer, not a net generator</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La força centrífuga F_c = m_q·ω²·r és conservativa però asimètrica en el temps: el fluid va cap a fora ràpidament (F_c ajuda) i torna cap a dins lentament (F_c s'oposa). Conseqüentment, dJ/dt &gt; 0 predomina i E_net &lt; 0. Açò no és un error del model sinó una característica física del buffer d'inèrcia. El generador hidràulic recupera parcialment aquesta energia (128–226 W).</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The centrifugal force F_c = m_q·ω²·r is conservative but asymmetric in time: the fluid moves outward rapidly (F_c assists) and returns inward slowly (F_c opposes). Consequently, dJ/dt &gt; 0 prevails and E_net &lt; 0. This is a physical characteristic of the inertia buffer, not a modelling error. The hydraulic generator partially recovers this energy (128–226 W).</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4.2 Limitacions i treball futur</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color w:val="333333"/>
                <w:sz w:val="22"/>
                <w:szCs w:val="22"/>
              </w:rPr>
              <w:t xml:space="preserve">4.2 Limitations and future work</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El model actual empra un Cp_max fix. Un model complet de parell per pala (BEM o CFD) podria aportar un guany addicional del 4–8%. La validació experimental amb un prototip (3–7 pales, Fe+oli, circuit de 20 bar) és el pas prioritari.</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The current model uses a fixed Cp_max. A full per-blade torque model (BEM or CFD) could yield an additional 4–8% gain. Experimental validation on a scaled prototype (3–7 blades, Fe+oil, 20 bar circuit) is the next priority.</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5. Conclusions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5. Conclusions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El sistema millora P_grid en +1.4–1.5% i genera 12–16 kW de P_buf oscil·lant.</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The system improves P_grid by +1.4–1.5% and generates 12–16 kW oscillating P_buf.</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El límit posicional |ṙ_q| ≤ ω·r_q és satisfet sempre: ω·r_hub = 6.6 m/s &gt;&gt; DR_MAX = 0.5 m/s.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The positional constraint |ṙ_q| ≤ ω·r_q is always satisfied: ω·r_hub = 6.6 m/s &gt;&gt; DR_MAX = 0.5 m/s.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L'asimetria E_net &lt; 0 és una característica física del buffer, no un error.</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The asymmetry E_net &lt; 0 is a physical characteristic of the buffer, not an error.</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Les vàlvules de retenció eleven P_gen de 10–37 W (v9.2) a 128–226 W (v9.4).</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Check valves raise P_gen from 10–37 W (v9.2) to 128–226 W (v9.4).</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El treball futur prioritari: model de parell per pala (BEM/CFD) i prototip físic.</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sz w:val="20"/>
                <w:szCs w:val="20"/>
              </w:rPr>
              <w:t xml:space="preserve">Priority future work: per-blade torque model (BEM/CFD) and physical prototype.</w:t>
            </w:r>
          </w:p>
        </w:tc>
      </w:tr>
    </w:tbl>
    <w:p>
      <w:pPr>
        <w:pBdr>
          <w:bottom w:val="single" w:color="DDDDDD" w:sz="2"/>
        </w:pBdr>
        <w:spacing w:after="80" w:before="80"/>
      </w:pPr>
    </w:p>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color w:val="1F5C9E"/>
                <w:sz w:val="24"/>
                <w:szCs w:val="24"/>
              </w:rPr>
              <w:t xml:space="preserve">References / References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color w:val="2E75B6"/>
                <w:sz w:val="24"/>
                <w:szCs w:val="24"/>
              </w:rPr>
              <w:t xml:space="preserve">References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[1] Jonkman, J. et al. (2009). Definition of a 5-MW Reference Wind Turbine. NREL/TP-500-38060.</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[1] Jonkman, J. et al. (2009). Definition of a 5-MW Reference Wind Turbine. NREL/TP-500-38060.</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[2] Kundur, P. (1994). Power System Stability and Control. McGraw-Hill.</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[2] Kundur, P. (1994). Power System Stability and Control. McGraw-Hill.</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[3] Strogatz, S.H. (2000). Physica D, 143(1-4), 1–20.</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[3] Strogatz, S.H. (2000). Physica D, 143(1-4), 1–20.</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[4] IEC 61400-1:2019. Wind Energy Generation Systems.</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[4] IEC 61400-1:2019. Wind Energy Generation Systems.</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[5] Heier, S. (2006). Grid Integration of Wind Energy Conversion Systems. Wiley.</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[5] Heier, S. (2006). Grid Integration of Wind Energy Conversion Systems. Wiley.</w:t>
            </w:r>
          </w:p>
        </w:tc>
      </w:tr>
    </w:tbl>
    <w:tbl>
      <w:tblPr>
        <w:tblW w:type="dxa" w:w="7400"/>
        <w:tblBorders>
          <w:top w:val="none" w:color="FFFFFF" w:sz="0"/>
          <w:left w:val="none" w:color="FFFFFF" w:sz="0"/>
          <w:bottom w:val="none" w:color="FFFFFF" w:sz="0"/>
          <w:right w:val="none" w:color="FFFFFF" w:sz="0"/>
          <w:insideH w:val="single" w:color="auto" w:sz="4"/>
          <w:insideV w:val="single" w:color="auto" w:sz="4"/>
        </w:tblBorders>
      </w:tblPr>
      <w:tblGrid>
        <w:gridCol w:w="3600"/>
        <w:gridCol w:w="200"/>
        <w:gridCol w:w="3600"/>
      </w:tblGrid>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[6] Manzanares Alberola, V. (2026). Gemell v9.4, codi Python. EPSA UPV Alcoi.</w:t>
            </w:r>
          </w:p>
        </w:tc>
        <w:tc>
          <w:tcPr>
            <w:tcW w:type="dxa" w:w="20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i w:val="false"/>
                <w:iCs w:val="false"/>
                <w:sz w:val="20"/>
                <w:szCs w:val="20"/>
              </w:rPr>
              <w:t xml:space="preserve">[6] Manzanares Alberola, V. (2026). Gemell v9.4, Python code. EPSA UPV Alcoi.</w:t>
            </w:r>
          </w:p>
        </w:tc>
      </w:tr>
    </w:tbl>
    <w:sectPr>
      <w:headerReference w:type="default" r:id="rId7"/>
      <w:footerReference w:type="default" r:id="rId8"/>
      <w:pgSz w:w="8391" w:h="11906" w:orient="portrait"/>
      <w:pgMar w:top="10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E" w:sz="2"/>
      </w:pBdr>
      <w:spacing w:before="0"/>
      <w:jc w:val="center"/>
    </w:pPr>
    <w:r>
      <w:rPr>
        <w:rFonts w:ascii="Palatino Linotype" w:cs="Palatino Linotype" w:eastAsia="Palatino Linotype" w:hAnsi="Palatino Linotype"/>
        <w:color w:val="777777"/>
        <w:sz w:val="16"/>
        <w:szCs w:val="16"/>
      </w:rPr>
      <w:t xml:space="preserve">Pàgina / Page </w:t>
    </w:r>
    <w:r>
      <w:rPr>
        <w:rFonts w:ascii="Palatino Linotype" w:cs="Palatino Linotype" w:eastAsia="Palatino Linotype" w:hAnsi="Palatino Linotype"/>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E" w:sz="2"/>
      </w:pBdr>
      <w:spacing w:after="0"/>
      <w:jc w:val="center"/>
    </w:pPr>
    <w:r>
      <w:rPr>
        <w:rFonts w:ascii="Palatino Linotype" w:cs="Palatino Linotype" w:eastAsia="Palatino Linotype" w:hAnsi="Palatino Linotype"/>
        <w:i/>
        <w:iCs/>
        <w:color w:val="555555"/>
        <w:sz w:val="16"/>
        <w:szCs w:val="16"/>
      </w:rPr>
      <w:t xml:space="preserve">QUIJOTE + ZYPYZAPE v9.4 — V. Manzanares Alberola — EPSA UPV Alcoi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240"/>
      <w:outlineLvl w:val="0"/>
    </w:pPr>
    <w:rPr>
      <w:rFonts w:ascii="Palatino Linotype" w:cs="Palatino Linotype" w:eastAsia="Palatino Linotype" w:hAnsi="Palatino Linotype"/>
      <w:b/>
      <w:bCs/>
      <w:color w:val="1F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9dc03e145e161afbe5b20e09ddda031165fc5a.png"/><Relationship Id="rId10" Type="http://schemas.openxmlformats.org/officeDocument/2006/relationships/image" Target="media/18b819c6dfcc11d4fda2e63682cae3c5a6ec65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2026-05-06T15:16:17.395Z</dcterms:created>
  <dcterms:modified xsi:type="dcterms:W3CDTF">2026-05-06T15:16:17.409Z</dcterms:modified>
</cp:coreProperties>
</file>

<file path=docProps/custom.xml><?xml version="1.0" encoding="utf-8"?>
<Properties xmlns="http://schemas.openxmlformats.org/officeDocument/2006/custom-properties" xmlns:vt="http://schemas.openxmlformats.org/officeDocument/2006/docPropsVTypes"/>
</file>