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36"/>
          <w:szCs w:val="36"/>
        </w:rPr>
        <w:t xml:space="preserve">Newton Rápido con MEcuations</w:t>
      </w:r>
    </w:p>
    <w:p>
      <w:pPr>
        <w:spacing w:before="0" w:after="200"/>
        <w:jc w:val="center"/>
      </w:pPr>
      <w:r>
        <w:rPr>
          <w:rFonts w:ascii="Arial" w:cs="Arial" w:eastAsia="Arial" w:hAnsi="Arial"/>
          <w:color w:val="2E75B6"/>
          <w:sz w:val="24"/>
          <w:szCs w:val="24"/>
        </w:rPr>
        <w:t xml:space="preserve">Parámetros óptimos para familias numéricas con oráculo logarítmico</w:t>
      </w:r>
    </w:p>
    <w:p>
      <w:pPr>
        <w:pBdr>
          <w:bottom w:val="single" w:color="2E75B6" w:sz="8" w:space="1"/>
        </w:pBdr>
        <w:spacing w:before="0" w:after="200"/>
        <w:jc w:val="center"/>
      </w:pPr>
    </w:p>
    <w:p>
      <w:pPr>
        <w:spacing w:before="0" w:after="60"/>
        <w:jc w:val="center"/>
      </w:pPr>
      <w:r>
        <w:rPr>
          <w:rFonts w:ascii="Arial" w:cs="Arial" w:eastAsia="Arial" w:hAnsi="Arial"/>
          <w:b/>
          <w:bCs/>
          <w:color w:val="333333"/>
          <w:sz w:val="22"/>
          <w:szCs w:val="22"/>
        </w:rPr>
        <w:t xml:space="preserve">Víctor Manzanares Alberola</w:t>
      </w:r>
    </w:p>
    <w:p>
      <w:pPr>
        <w:spacing w:before="0" w:after="60"/>
        <w:jc w:val="center"/>
      </w:pPr>
      <w:r>
        <w:rPr>
          <w:rFonts w:ascii="Arial" w:cs="Arial" w:eastAsia="Arial" w:hAnsi="Arial"/>
          <w:i/>
          <w:iCs/>
          <w:color w:val="666666"/>
          <w:sz w:val="20"/>
          <w:szCs w:val="20"/>
        </w:rPr>
        <w:t xml:space="preserve">Investigación independiente en teoría de números computacional</w:t>
      </w:r>
    </w:p>
    <w:p>
      <w:pPr>
        <w:spacing w:before="0" w:after="360"/>
        <w:jc w:val="center"/>
      </w:pPr>
      <w:r>
        <w:rPr>
          <w:rFonts w:ascii="Arial" w:cs="Arial" w:eastAsia="Arial" w:hAnsi="Arial"/>
          <w:color w:val="888888"/>
          <w:sz w:val="18"/>
          <w:szCs w:val="18"/>
        </w:rPr>
        <w:t xml:space="preserve">Asistencia de escritura: IA  ·  2025</w:t>
      </w:r>
    </w:p>
    <w:p>
      <w:pPr>
        <w:pStyle w:val="Heading1"/>
      </w:pPr>
      <w:r>
        <w:rPr>
          <w:rFonts w:ascii="Arial" w:cs="Arial" w:eastAsia="Arial" w:hAnsi="Arial"/>
          <w:b/>
          <w:bCs/>
          <w:color w:val="1F4E79"/>
          <w:sz w:val="30"/>
          <w:szCs w:val="30"/>
        </w:rPr>
        <w:t xml:space="preserve">Resumen</w:t>
      </w:r>
    </w:p>
    <w:p>
      <w:pPr>
        <w:pBdr>
          <w:left w:val="single" w:color="2E75B6" w:sz="16" w:space="8"/>
        </w:pBdr>
        <w:shd w:fill="E8F0F8" w:val="clear"/>
        <w:spacing w:before="60" w:after="240"/>
        <w:ind w:left="360" w:right="360"/>
        <w:jc w:val="both"/>
      </w:pPr>
      <w:r>
        <w:rPr>
          <w:rFonts w:ascii="Arial" w:cs="Arial" w:eastAsia="Arial" w:hAnsi="Arial"/>
          <w:sz w:val="22"/>
          <w:szCs w:val="22"/>
        </w:rPr>
        <w:t xml:space="preserve">Se presenta el algoritmo </w:t>
      </w:r>
      <w:r>
        <w:rPr>
          <w:rFonts w:ascii="Arial" w:cs="Arial" w:eastAsia="Arial" w:hAnsi="Arial"/>
          <w:b/>
          <w:bCs/>
          <w:sz w:val="22"/>
          <w:szCs w:val="22"/>
        </w:rPr>
        <w:t xml:space="preserve">Newton Rápido</w:t>
      </w:r>
      <w:r>
        <w:rPr>
          <w:rFonts w:ascii="Arial" w:cs="Arial" w:eastAsia="Arial" w:hAnsi="Arial"/>
          <w:sz w:val="22"/>
          <w:szCs w:val="22"/>
        </w:rPr>
        <w:t xml:space="preserve">, una variante del método de Newton–Raphson para el cálculo de logaritmos que aplica dos ajustes simultáneos en cada iteración: un ajuste multiplicativo de tendencia y un ajuste exponencial de curvatura. Se demuestra que la convergencia se acelera significativamente cuando el punto inicial </w:t>
      </w:r>
      <w:r>
        <w:rPr>
          <w:rFonts w:ascii="Arial" w:cs="Arial" w:eastAsia="Arial" w:hAnsi="Arial"/>
          <w:i/>
          <w:iCs/>
          <w:sz w:val="22"/>
          <w:szCs w:val="22"/>
        </w:rPr>
        <w:t xml:space="preserve">j₀</w:t>
      </w:r>
      <w:r>
        <w:rPr>
          <w:rFonts w:ascii="Arial" w:cs="Arial" w:eastAsia="Arial" w:hAnsi="Arial"/>
          <w:sz w:val="22"/>
          <w:szCs w:val="22"/>
        </w:rPr>
        <w:t xml:space="preserve"> es proporcionado por una </w:t>
      </w:r>
      <w:r>
        <w:rPr>
          <w:rFonts w:ascii="Arial" w:cs="Arial" w:eastAsia="Arial" w:hAnsi="Arial"/>
          <w:b/>
          <w:bCs/>
          <w:sz w:val="22"/>
          <w:szCs w:val="22"/>
        </w:rPr>
        <w:t xml:space="preserve">MEcuation</w:t>
      </w:r>
      <w:r>
        <w:rPr>
          <w:rFonts w:ascii="Arial" w:cs="Arial" w:eastAsia="Arial" w:hAnsi="Arial"/>
          <w:sz w:val="22"/>
          <w:szCs w:val="22"/>
        </w:rPr>
        <w:t xml:space="preserve"> local — una ecuación estructural derivada de la familia numérica de la entrada. Se tabula el conjunto completo de parámetros óptimos para las familias más relevantes: potencias puras, productos de primos, números de Mersenne y formas mixtas.</w:t>
      </w:r>
    </w:p>
    <w:p>
      <w:pPr>
        <w:pStyle w:val="Heading1"/>
      </w:pPr>
      <w:r>
        <w:rPr>
          <w:rFonts w:ascii="Arial" w:cs="Arial" w:eastAsia="Arial" w:hAnsi="Arial"/>
          <w:b/>
          <w:bCs/>
          <w:color w:val="1F4E79"/>
          <w:sz w:val="30"/>
          <w:szCs w:val="30"/>
        </w:rPr>
        <w:t xml:space="preserve">1.  Introducción</w:t>
      </w:r>
    </w:p>
    <w:p>
      <w:pPr>
        <w:spacing w:before="60" w:after="120"/>
        <w:jc w:val="both"/>
      </w:pPr>
      <w:r>
        <w:rPr>
          <w:rFonts w:ascii="Arial" w:cs="Arial" w:eastAsia="Arial" w:hAnsi="Arial"/>
          <w:sz w:val="22"/>
          <w:szCs w:val="22"/>
        </w:rPr>
        <w:t xml:space="preserve">El cálculo de logaritmos es una operación fundamental en aritmética computacional, criptografía y teoría analítica de números. El método de Newton–Raphson aplicado a </w:t>
      </w:r>
      <w:r>
        <w:rPr>
          <w:rFonts w:ascii="Arial" w:cs="Arial" w:eastAsia="Arial" w:hAnsi="Arial"/>
          <w:i/>
          <w:iCs/>
          <w:sz w:val="22"/>
          <w:szCs w:val="22"/>
        </w:rPr>
        <w:t xml:space="preserve">f(x) = bˣ − a</w:t>
      </w:r>
      <w:r>
        <w:rPr>
          <w:rFonts w:ascii="Arial" w:cs="Arial" w:eastAsia="Arial" w:hAnsi="Arial"/>
          <w:sz w:val="22"/>
          <w:szCs w:val="22"/>
        </w:rPr>
        <w:t xml:space="preserve"> converge cuadráticamente, pero requiere un punto inicial cercano a la solución para evitar divergencia o convergencia lenta. Para números grandes o con estructura especial, el Newton–Raphson clásico puede necesitar 50–80 iteraciones sin garantía de convergencia.</w:t>
      </w:r>
    </w:p>
    <w:p>
      <w:pPr>
        <w:spacing w:before="0" w:after="240"/>
        <w:jc w:val="both"/>
      </w:pPr>
      <w:r>
        <w:rPr>
          <w:rFonts w:ascii="Arial" w:cs="Arial" w:eastAsia="Arial" w:hAnsi="Arial"/>
          <w:sz w:val="22"/>
          <w:szCs w:val="22"/>
        </w:rPr>
        <w:t xml:space="preserve">Este trabajo introduce el algoritmo </w:t>
      </w:r>
      <w:r>
        <w:rPr>
          <w:rFonts w:ascii="Arial" w:cs="Arial" w:eastAsia="Arial" w:hAnsi="Arial"/>
          <w:b/>
          <w:bCs/>
          <w:sz w:val="22"/>
          <w:szCs w:val="22"/>
        </w:rPr>
        <w:t xml:space="preserve">Newton Rápido</w:t>
      </w:r>
      <w:r>
        <w:rPr>
          <w:rFonts w:ascii="Arial" w:cs="Arial" w:eastAsia="Arial" w:hAnsi="Arial"/>
          <w:sz w:val="22"/>
          <w:szCs w:val="22"/>
        </w:rPr>
        <w:t xml:space="preserve">, que combina la iteración de Newton con dos mecanismos de ajuste adaptativo, y propone el uso de </w:t>
      </w:r>
      <w:r>
        <w:rPr>
          <w:rFonts w:ascii="Arial" w:cs="Arial" w:eastAsia="Arial" w:hAnsi="Arial"/>
          <w:b/>
          <w:bCs/>
          <w:sz w:val="22"/>
          <w:szCs w:val="22"/>
        </w:rPr>
        <w:t xml:space="preserve">MEcuations locales</w:t>
      </w:r>
      <w:r>
        <w:rPr>
          <w:rFonts w:ascii="Arial" w:cs="Arial" w:eastAsia="Arial" w:hAnsi="Arial"/>
          <w:sz w:val="22"/>
          <w:szCs w:val="22"/>
        </w:rPr>
        <w:t xml:space="preserve"> como oráculos para proporcionar puntos iniciales estructuralmente informados. La idea central es: si el número de entrada </w:t>
      </w:r>
      <w:r>
        <w:rPr>
          <w:rFonts w:ascii="Arial" w:cs="Arial" w:eastAsia="Arial" w:hAnsi="Arial"/>
          <w:i/>
          <w:iCs/>
          <w:sz w:val="22"/>
          <w:szCs w:val="22"/>
        </w:rPr>
        <w:t xml:space="preserve">E</w:t>
      </w:r>
      <w:r>
        <w:rPr>
          <w:rFonts w:ascii="Arial" w:cs="Arial" w:eastAsia="Arial" w:hAnsi="Arial"/>
          <w:sz w:val="22"/>
          <w:szCs w:val="22"/>
        </w:rPr>
        <w:t xml:space="preserve"> pertenece a una familia conocida (cuadrados, cubos, k-primos...), existe una ecuación logarítmica simple que da el factor directamente, permitiendo arrancar la iteración ya cerca del resultado.</w:t>
      </w:r>
    </w:p>
    <w:p>
      <w:pPr>
        <w:pStyle w:val="Heading1"/>
      </w:pPr>
      <w:r>
        <w:rPr>
          <w:rFonts w:ascii="Arial" w:cs="Arial" w:eastAsia="Arial" w:hAnsi="Arial"/>
          <w:b/>
          <w:bCs/>
          <w:color w:val="1F4E79"/>
          <w:sz w:val="30"/>
          <w:szCs w:val="30"/>
        </w:rPr>
        <w:t xml:space="preserve">2.  El Algoritmo Newton Rápido</w:t>
      </w:r>
    </w:p>
    <w:p>
      <w:pPr>
        <w:pStyle w:val="Heading2"/>
      </w:pPr>
      <w:r>
        <w:rPr>
          <w:rFonts w:ascii="Arial" w:cs="Arial" w:eastAsia="Arial" w:hAnsi="Arial"/>
          <w:b/>
          <w:bCs/>
          <w:color w:val="2E75B6"/>
          <w:sz w:val="24"/>
          <w:szCs w:val="24"/>
        </w:rPr>
        <w:t xml:space="preserve">2.1  Formulación</w:t>
      </w:r>
    </w:p>
    <w:p>
      <w:pPr>
        <w:spacing w:before="60" w:after="120"/>
        <w:jc w:val="both"/>
      </w:pPr>
      <w:r>
        <w:rPr>
          <w:rFonts w:ascii="Arial" w:cs="Arial" w:eastAsia="Arial" w:hAnsi="Arial"/>
          <w:sz w:val="22"/>
          <w:szCs w:val="22"/>
        </w:rPr>
        <w:t xml:space="preserve">Sea </w:t>
      </w:r>
      <w:r>
        <w:rPr>
          <w:rFonts w:ascii="Arial" w:cs="Arial" w:eastAsia="Arial" w:hAnsi="Arial"/>
          <w:i/>
          <w:iCs/>
          <w:sz w:val="22"/>
          <w:szCs w:val="22"/>
        </w:rPr>
        <w:t xml:space="preserve">E &gt; 0</w:t>
      </w:r>
      <w:r>
        <w:rPr>
          <w:rFonts w:ascii="Arial" w:cs="Arial" w:eastAsia="Arial" w:hAnsi="Arial"/>
          <w:sz w:val="22"/>
          <w:szCs w:val="22"/>
        </w:rPr>
        <w:t xml:space="preserve"> el número de entrada y </w:t>
      </w:r>
      <w:r>
        <w:rPr>
          <w:rFonts w:ascii="Arial" w:cs="Arial" w:eastAsia="Arial" w:hAnsi="Arial"/>
          <w:i/>
          <w:iCs/>
          <w:sz w:val="22"/>
          <w:szCs w:val="22"/>
        </w:rPr>
        <w:t xml:space="preserve">b &gt; 0, b ≠ 1</w:t>
      </w:r>
      <w:r>
        <w:rPr>
          <w:rFonts w:ascii="Arial" w:cs="Arial" w:eastAsia="Arial" w:hAnsi="Arial"/>
          <w:sz w:val="22"/>
          <w:szCs w:val="22"/>
        </w:rPr>
        <w:t xml:space="preserve"> la base. Se busca </w:t>
      </w:r>
      <w:r>
        <w:rPr>
          <w:rFonts w:ascii="Arial" w:cs="Arial" w:eastAsia="Arial" w:hAnsi="Arial"/>
          <w:i/>
          <w:iCs/>
          <w:sz w:val="22"/>
          <w:szCs w:val="22"/>
        </w:rPr>
        <w:t xml:space="preserve">j</w:t>
      </w:r>
      <w:r>
        <w:rPr>
          <w:rFonts w:ascii="Arial" w:cs="Arial" w:eastAsia="Arial" w:hAnsi="Arial"/>
          <w:sz w:val="22"/>
          <w:szCs w:val="22"/>
        </w:rPr>
        <w:t xml:space="preserve"> tal que </w:t>
      </w:r>
      <w:r>
        <w:rPr>
          <w:rFonts w:ascii="Arial" w:cs="Arial" w:eastAsia="Arial" w:hAnsi="Arial"/>
          <w:i/>
          <w:iCs/>
          <w:sz w:val="22"/>
          <w:szCs w:val="22"/>
        </w:rPr>
        <w:t xml:space="preserve">bʲ = E</w:t>
      </w:r>
      <w:r>
        <w:rPr>
          <w:rFonts w:ascii="Arial" w:cs="Arial" w:eastAsia="Arial" w:hAnsi="Arial"/>
          <w:sz w:val="22"/>
          <w:szCs w:val="22"/>
        </w:rPr>
        <w:t xml:space="preserve">, es decir, </w:t>
      </w:r>
      <w:r>
        <w:rPr>
          <w:rFonts w:ascii="Arial" w:cs="Arial" w:eastAsia="Arial" w:hAnsi="Arial"/>
          <w:i/>
          <w:iCs/>
          <w:sz w:val="22"/>
          <w:szCs w:val="22"/>
        </w:rPr>
        <w:t xml:space="preserve">j = log_b(E)</w:t>
      </w:r>
      <w:r>
        <w:rPr>
          <w:rFonts w:ascii="Arial" w:cs="Arial" w:eastAsia="Arial" w:hAnsi="Arial"/>
          <w:sz w:val="22"/>
          <w:szCs w:val="22"/>
        </w:rPr>
        <w:t xml:space="preserve">. El algoritmo opera con tres variables de historial </w:t>
      </w:r>
      <w:r>
        <w:rPr>
          <w:rFonts w:ascii="Arial" w:cs="Arial" w:eastAsia="Arial" w:hAnsi="Arial"/>
          <w:i/>
          <w:iCs/>
          <w:sz w:val="22"/>
          <w:szCs w:val="22"/>
        </w:rPr>
        <w:t xml:space="preserve">d1, d2, d3</w:t>
      </w:r>
      <w:r>
        <w:rPr>
          <w:rFonts w:ascii="Arial" w:cs="Arial" w:eastAsia="Arial" w:hAnsi="Arial"/>
          <w:sz w:val="22"/>
          <w:szCs w:val="22"/>
        </w:rPr>
        <w:t xml:space="preserve"> que almacenan diferencias consecutivas de </w:t>
      </w:r>
      <w:r>
        <w:rPr>
          <w:rFonts w:ascii="Arial" w:cs="Arial" w:eastAsia="Arial" w:hAnsi="Arial"/>
          <w:i/>
          <w:iCs/>
          <w:sz w:val="22"/>
          <w:szCs w:val="22"/>
        </w:rPr>
        <w:t xml:space="preserve">j</w:t>
      </w:r>
      <w:r>
        <w:rPr>
          <w:rFonts w:ascii="Arial" w:cs="Arial" w:eastAsia="Arial" w:hAnsi="Arial"/>
          <w:sz w:val="22"/>
          <w:szCs w:val="22"/>
        </w:rPr>
        <w:t xml:space="preserve">, y aplica en cada iteración:</w:t>
      </w:r>
    </w:p>
    <w:p>
      <w:pPr>
        <w:pBdr>
          <w:left w:val="single" w:color="BBCDE0" w:sz="12" w:space="6"/>
        </w:pBdr>
        <w:shd w:fill="F5F5F5" w:val="clear"/>
        <w:spacing w:before="80" w:after="20"/>
        <w:ind w:left="720"/>
        <w:jc w:val="left"/>
      </w:pPr>
      <w:r>
        <w:rPr>
          <w:rFonts w:ascii="Courier New" w:cs="Courier New" w:eastAsia="Courier New" w:hAnsi="Courier New"/>
          <w:b/>
          <w:bCs/>
          <w:sz w:val="21"/>
          <w:szCs w:val="21"/>
        </w:rPr>
        <w:t xml:space="preserve">j ← (E + E·b⁻ʲ − 1) / E</w:t>
      </w:r>
      <w:r>
        <w:rPr>
          <w:rFonts w:ascii="Arial" w:cs="Arial" w:eastAsia="Arial" w:hAnsi="Arial"/>
          <w:color w:val="777777"/>
          <w:sz w:val="18"/>
          <w:szCs w:val="18"/>
        </w:rPr>
        <w:t xml:space="preserve">   [actualización base]</w:t>
      </w:r>
    </w:p>
    <w:p>
      <w:pPr>
        <w:pBdr>
          <w:left w:val="single" w:color="BBCDE0" w:sz="12" w:space="6"/>
        </w:pBdr>
        <w:shd w:fill="F5F5F5" w:val="clear"/>
        <w:spacing w:before="4" w:after="4"/>
        <w:ind w:left="720"/>
        <w:jc w:val="left"/>
      </w:pPr>
      <w:r>
        <w:rPr>
          <w:rFonts w:ascii="Courier New" w:cs="Courier New" w:eastAsia="Courier New" w:hAnsi="Courier New"/>
          <w:b/>
          <w:bCs/>
          <w:sz w:val="21"/>
          <w:szCs w:val="21"/>
        </w:rPr>
        <w:t xml:space="preserve">j ← j · (1 + 3.5 · |d1|)</w:t>
      </w:r>
      <w:r>
        <w:rPr>
          <w:rFonts w:ascii="Arial" w:cs="Arial" w:eastAsia="Arial" w:hAnsi="Arial"/>
          <w:color w:val="777777"/>
          <w:sz w:val="18"/>
          <w:szCs w:val="18"/>
        </w:rPr>
        <w:t xml:space="preserve">   [ajuste multiplicativo de tendencia]</w:t>
      </w:r>
    </w:p>
    <w:p>
      <w:pPr>
        <w:pBdr>
          <w:left w:val="single" w:color="BBCDE0" w:sz="12" w:space="6"/>
        </w:pBdr>
        <w:shd w:fill="F5F5F5" w:val="clear"/>
        <w:spacing w:before="4" w:after="120"/>
        <w:ind w:left="720"/>
        <w:jc w:val="left"/>
      </w:pPr>
      <w:r>
        <w:rPr>
          <w:rFonts w:ascii="Courier New" w:cs="Courier New" w:eastAsia="Courier New" w:hAnsi="Courier New"/>
          <w:b/>
          <w:bCs/>
          <w:sz w:val="21"/>
          <w:szCs w:val="21"/>
        </w:rPr>
        <w:t xml:space="preserve">j ← j^|−0.85 + 1.8·(d3−d2)/(d3−d1)|</w:t>
      </w:r>
      <w:r>
        <w:rPr>
          <w:rFonts w:ascii="Arial" w:cs="Arial" w:eastAsia="Arial" w:hAnsi="Arial"/>
          <w:color w:val="777777"/>
          <w:sz w:val="18"/>
          <w:szCs w:val="18"/>
        </w:rPr>
        <w:t xml:space="preserve">   [ajuste exponencial de curvatura]</w:t>
      </w:r>
    </w:p>
    <w:p>
      <w:pPr>
        <w:spacing w:before="0" w:after="180"/>
        <w:jc w:val="both"/>
      </w:pPr>
      <w:r>
        <w:rPr>
          <w:rFonts w:ascii="Arial" w:cs="Arial" w:eastAsia="Arial" w:hAnsi="Arial"/>
          <w:sz w:val="22"/>
          <w:szCs w:val="22"/>
        </w:rPr>
        <w:t xml:space="preserve">El ajuste multiplicativo amplifica la corrección según la magnitud del cambio reciente. El ajuste exponencial modifica la curvatura de la convergencia según la aceleración de las diferencias. Ambos se aplican simultáneamente, sin condicional.</w:t>
      </w:r>
    </w:p>
    <w:p>
      <w:pPr>
        <w:pStyle w:val="Heading2"/>
      </w:pPr>
      <w:r>
        <w:rPr>
          <w:rFonts w:ascii="Arial" w:cs="Arial" w:eastAsia="Arial" w:hAnsi="Arial"/>
          <w:b/>
          <w:bCs/>
          <w:color w:val="2E75B6"/>
          <w:sz w:val="24"/>
          <w:szCs w:val="24"/>
        </w:rPr>
        <w:t xml:space="preserve">2.2  Parámetros del algoritmo</w:t>
      </w:r>
    </w:p>
    <w:p>
      <w:pPr>
        <w:spacing w:before="60" w:after="180"/>
        <w:jc w:val="both"/>
      </w:pPr>
      <w:r>
        <w:rPr>
          <w:rFonts w:ascii="Arial" w:cs="Arial" w:eastAsia="Arial" w:hAnsi="Arial"/>
          <w:sz w:val="22"/>
          <w:szCs w:val="22"/>
        </w:rPr>
        <w:t xml:space="preserve">Los parámetros del algoritmo son: factor multiplicativo </w:t>
      </w:r>
      <w:r>
        <w:rPr>
          <w:rFonts w:ascii="Arial" w:cs="Arial" w:eastAsia="Arial" w:hAnsi="Arial"/>
          <w:i/>
          <w:iCs/>
          <w:sz w:val="22"/>
          <w:szCs w:val="22"/>
        </w:rPr>
        <w:t xml:space="preserve">f_M = 3.5</w:t>
      </w:r>
      <w:r>
        <w:rPr>
          <w:rFonts w:ascii="Arial" w:cs="Arial" w:eastAsia="Arial" w:hAnsi="Arial"/>
          <w:sz w:val="22"/>
          <w:szCs w:val="22"/>
        </w:rPr>
        <w:t xml:space="preserve">, factor exponencial </w:t>
      </w:r>
      <w:r>
        <w:rPr>
          <w:rFonts w:ascii="Arial" w:cs="Arial" w:eastAsia="Arial" w:hAnsi="Arial"/>
          <w:i/>
          <w:iCs/>
          <w:sz w:val="22"/>
          <w:szCs w:val="22"/>
        </w:rPr>
        <w:t xml:space="preserve">f_E = 1.8</w:t>
      </w:r>
      <w:r>
        <w:rPr>
          <w:rFonts w:ascii="Arial" w:cs="Arial" w:eastAsia="Arial" w:hAnsi="Arial"/>
          <w:sz w:val="22"/>
          <w:szCs w:val="22"/>
        </w:rPr>
        <w:t xml:space="preserve">, constante de curvatura </w:t>
      </w:r>
      <w:r>
        <w:rPr>
          <w:rFonts w:ascii="Arial" w:cs="Arial" w:eastAsia="Arial" w:hAnsi="Arial"/>
          <w:i/>
          <w:iCs/>
          <w:sz w:val="22"/>
          <w:szCs w:val="22"/>
        </w:rPr>
        <w:t xml:space="preserve">cte = −0.85</w:t>
      </w:r>
      <w:r>
        <w:rPr>
          <w:rFonts w:ascii="Arial" w:cs="Arial" w:eastAsia="Arial" w:hAnsi="Arial"/>
          <w:sz w:val="22"/>
          <w:szCs w:val="22"/>
        </w:rPr>
        <w:t xml:space="preserve">, factor de sobrepaso </w:t>
      </w:r>
      <w:r>
        <w:rPr>
          <w:rFonts w:ascii="Arial" w:cs="Arial" w:eastAsia="Arial" w:hAnsi="Arial"/>
          <w:i/>
          <w:iCs/>
          <w:sz w:val="22"/>
          <w:szCs w:val="22"/>
        </w:rPr>
        <w:t xml:space="preserve">sbp = 1.3</w:t>
      </w:r>
      <w:r>
        <w:rPr>
          <w:rFonts w:ascii="Arial" w:cs="Arial" w:eastAsia="Arial" w:hAnsi="Arial"/>
          <w:sz w:val="22"/>
          <w:szCs w:val="22"/>
        </w:rPr>
        <w:t xml:space="preserve"> (utilizado cuando </w:t>
      </w:r>
      <w:r>
        <w:rPr>
          <w:rFonts w:ascii="Arial" w:cs="Arial" w:eastAsia="Arial" w:hAnsi="Arial"/>
          <w:i/>
          <w:iCs/>
          <w:sz w:val="22"/>
          <w:szCs w:val="22"/>
        </w:rPr>
        <w:t xml:space="preserve">bʲ ≥ √E</w:t>
      </w:r>
      <w:r>
        <w:rPr>
          <w:rFonts w:ascii="Arial" w:cs="Arial" w:eastAsia="Arial" w:hAnsi="Arial"/>
          <w:sz w:val="22"/>
          <w:szCs w:val="22"/>
        </w:rPr>
        <w:t xml:space="preserve"> para evitar salto exponencial). La condición de parada es </w:t>
      </w:r>
      <w:r>
        <w:rPr>
          <w:rFonts w:ascii="Arial" w:cs="Arial" w:eastAsia="Arial" w:hAnsi="Arial"/>
          <w:i/>
          <w:iCs/>
          <w:sz w:val="22"/>
          <w:szCs w:val="22"/>
        </w:rPr>
        <w:t xml:space="preserve">|j − j_anterior| &lt; 10⁻¹²</w:t>
      </w:r>
      <w:r>
        <w:rPr>
          <w:rFonts w:ascii="Arial" w:cs="Arial" w:eastAsia="Arial" w:hAnsi="Arial"/>
          <w:sz w:val="22"/>
          <w:szCs w:val="22"/>
        </w:rPr>
        <w:t xml:space="preserve">.</w:t>
      </w:r>
    </w:p>
    <w:p>
      <w:pPr>
        <w:pStyle w:val="Heading2"/>
      </w:pPr>
      <w:r>
        <w:rPr>
          <w:rFonts w:ascii="Arial" w:cs="Arial" w:eastAsia="Arial" w:hAnsi="Arial"/>
          <w:b/>
          <w:bCs/>
          <w:color w:val="2E75B6"/>
          <w:sz w:val="24"/>
          <w:szCs w:val="24"/>
        </w:rPr>
        <w:t xml:space="preserve">2.3  El papel del punto inicial j₀</w:t>
      </w:r>
    </w:p>
    <w:p>
      <w:pPr>
        <w:spacing w:before="60" w:after="240"/>
        <w:jc w:val="both"/>
      </w:pPr>
      <w:r>
        <w:rPr>
          <w:rFonts w:ascii="Arial" w:cs="Arial" w:eastAsia="Arial" w:hAnsi="Arial"/>
          <w:sz w:val="22"/>
          <w:szCs w:val="22"/>
        </w:rPr>
        <w:t xml:space="preserve">La convergencia depende críticamente de </w:t>
      </w:r>
      <w:r>
        <w:rPr>
          <w:rFonts w:ascii="Arial" w:cs="Arial" w:eastAsia="Arial" w:hAnsi="Arial"/>
          <w:i/>
          <w:iCs/>
          <w:sz w:val="22"/>
          <w:szCs w:val="22"/>
        </w:rPr>
        <w:t xml:space="preserve">j₀</w:t>
      </w:r>
      <w:r>
        <w:rPr>
          <w:rFonts w:ascii="Arial" w:cs="Arial" w:eastAsia="Arial" w:hAnsi="Arial"/>
          <w:sz w:val="22"/>
          <w:szCs w:val="22"/>
        </w:rPr>
        <w:t xml:space="preserve">. Sin información estructural, </w:t>
      </w:r>
      <w:r>
        <w:rPr>
          <w:rFonts w:ascii="Arial" w:cs="Arial" w:eastAsia="Arial" w:hAnsi="Arial"/>
          <w:i/>
          <w:iCs/>
          <w:sz w:val="22"/>
          <w:szCs w:val="22"/>
        </w:rPr>
        <w:t xml:space="preserve">j₀ = 1.0</w:t>
      </w:r>
      <w:r>
        <w:rPr>
          <w:rFonts w:ascii="Arial" w:cs="Arial" w:eastAsia="Arial" w:hAnsi="Arial"/>
          <w:sz w:val="22"/>
          <w:szCs w:val="22"/>
        </w:rPr>
        <w:t xml:space="preserve"> obliga al algoritmo a navegar todo el espacio de búsqueda. Con un oráculo que proporcione </w:t>
      </w:r>
      <w:r>
        <w:rPr>
          <w:rFonts w:ascii="Arial" w:cs="Arial" w:eastAsia="Arial" w:hAnsi="Arial"/>
          <w:i/>
          <w:iCs/>
          <w:sz w:val="22"/>
          <w:szCs w:val="22"/>
        </w:rPr>
        <w:t xml:space="preserve">j₀ ≈ log_b(E)</w:t>
      </w:r>
      <w:r>
        <w:rPr>
          <w:rFonts w:ascii="Arial" w:cs="Arial" w:eastAsia="Arial" w:hAnsi="Arial"/>
          <w:sz w:val="22"/>
          <w:szCs w:val="22"/>
        </w:rPr>
        <w:t xml:space="preserve">, el algoritmo puede converger en 1–3 iteraciones. Este oráculo proviene de las MEcuations locales descritas en la sección 3.</w:t>
      </w:r>
    </w:p>
    <w:p>
      <w:pPr>
        <w:pStyle w:val="Heading1"/>
      </w:pPr>
      <w:r>
        <w:rPr>
          <w:rFonts w:ascii="Arial" w:cs="Arial" w:eastAsia="Arial" w:hAnsi="Arial"/>
          <w:b/>
          <w:bCs/>
          <w:color w:val="1F4E79"/>
          <w:sz w:val="30"/>
          <w:szCs w:val="30"/>
        </w:rPr>
        <w:t xml:space="preserve">3.  MEcuations Locales como Oráculos</w:t>
      </w:r>
    </w:p>
    <w:p>
      <w:pPr>
        <w:spacing w:before="60" w:after="120"/>
        <w:jc w:val="both"/>
      </w:pPr>
      <w:r>
        <w:rPr>
          <w:rFonts w:ascii="Arial" w:cs="Arial" w:eastAsia="Arial" w:hAnsi="Arial"/>
          <w:sz w:val="22"/>
          <w:szCs w:val="22"/>
        </w:rPr>
        <w:t xml:space="preserve">Una </w:t>
      </w:r>
      <w:r>
        <w:rPr>
          <w:rFonts w:ascii="Arial" w:cs="Arial" w:eastAsia="Arial" w:hAnsi="Arial"/>
          <w:b/>
          <w:bCs/>
          <w:sz w:val="22"/>
          <w:szCs w:val="22"/>
        </w:rPr>
        <w:t xml:space="preserve">MEcuation local</w:t>
      </w:r>
      <w:r>
        <w:rPr>
          <w:rFonts w:ascii="Arial" w:cs="Arial" w:eastAsia="Arial" w:hAnsi="Arial"/>
          <w:sz w:val="22"/>
          <w:szCs w:val="22"/>
        </w:rPr>
        <w:t xml:space="preserve"> es una ecuación lineal en el espacio de features logarítmicas que colapsa (rango efectivo 1) para un subconjunto de números con estructura común. Formalmente, dado un feature map </w:t>
      </w:r>
      <w:r>
        <w:rPr>
          <w:rFonts w:ascii="Arial" w:cs="Arial" w:eastAsia="Arial" w:hAnsi="Arial"/>
          <w:i/>
          <w:iCs/>
          <w:sz w:val="22"/>
          <w:szCs w:val="22"/>
        </w:rPr>
        <w:t xml:space="preserve">φ(E) = (log E, log E/2, log E/3, …)</w:t>
      </w:r>
      <w:r>
        <w:rPr>
          <w:rFonts w:ascii="Arial" w:cs="Arial" w:eastAsia="Arial" w:hAnsi="Arial"/>
          <w:sz w:val="22"/>
          <w:szCs w:val="22"/>
        </w:rPr>
        <w:t xml:space="preserve">, si la matriz </w:t>
      </w:r>
      <w:r>
        <w:rPr>
          <w:rFonts w:ascii="Arial" w:cs="Arial" w:eastAsia="Arial" w:hAnsi="Arial"/>
          <w:i/>
          <w:iCs/>
          <w:sz w:val="22"/>
          <w:szCs w:val="22"/>
        </w:rPr>
        <w:t xml:space="preserve">Y</w:t>
      </w:r>
      <w:r>
        <w:rPr>
          <w:rFonts w:ascii="Arial" w:cs="Arial" w:eastAsia="Arial" w:hAnsi="Arial"/>
          <w:sz w:val="22"/>
          <w:szCs w:val="22"/>
        </w:rPr>
        <w:t xml:space="preserve"> con filas </w:t>
      </w:r>
      <w:r>
        <w:rPr>
          <w:rFonts w:ascii="Arial" w:cs="Arial" w:eastAsia="Arial" w:hAnsi="Arial"/>
          <w:i/>
          <w:iCs/>
          <w:sz w:val="22"/>
          <w:szCs w:val="22"/>
        </w:rPr>
        <w:t xml:space="preserve">φ(Eᵢ)</w:t>
      </w:r>
      <w:r>
        <w:rPr>
          <w:rFonts w:ascii="Arial" w:cs="Arial" w:eastAsia="Arial" w:hAnsi="Arial"/>
          <w:sz w:val="22"/>
          <w:szCs w:val="22"/>
        </w:rPr>
        <w:t xml:space="preserve"> tiene cociente de degeneración </w:t>
      </w:r>
      <w:r>
        <w:rPr>
          <w:rFonts w:ascii="Arial" w:cs="Arial" w:eastAsia="Arial" w:hAnsi="Arial"/>
          <w:i/>
          <w:iCs/>
          <w:sz w:val="22"/>
          <w:szCs w:val="22"/>
        </w:rPr>
        <w:t xml:space="preserve">κ = σ_min/σ_max &lt; 10⁻⁴</w:t>
      </w:r>
      <w:r>
        <w:rPr>
          <w:rFonts w:ascii="Arial" w:cs="Arial" w:eastAsia="Arial" w:hAnsi="Arial"/>
          <w:sz w:val="22"/>
          <w:szCs w:val="22"/>
        </w:rPr>
        <w:t xml:space="preserve">, existe un vector </w:t>
      </w:r>
      <w:r>
        <w:rPr>
          <w:rFonts w:ascii="Arial" w:cs="Arial" w:eastAsia="Arial" w:hAnsi="Arial"/>
          <w:i/>
          <w:iCs/>
          <w:sz w:val="22"/>
          <w:szCs w:val="22"/>
        </w:rPr>
        <w:t xml:space="preserve">v₁</w:t>
      </w:r>
      <w:r>
        <w:rPr>
          <w:rFonts w:ascii="Arial" w:cs="Arial" w:eastAsia="Arial" w:hAnsi="Arial"/>
          <w:sz w:val="22"/>
          <w:szCs w:val="22"/>
        </w:rPr>
        <w:t xml:space="preserve"> tal que todas las filas satisfacen </w:t>
      </w:r>
      <w:r>
        <w:rPr>
          <w:rFonts w:ascii="Arial" w:cs="Arial" w:eastAsia="Arial" w:hAnsi="Arial"/>
          <w:i/>
          <w:iCs/>
          <w:sz w:val="22"/>
          <w:szCs w:val="22"/>
        </w:rPr>
        <w:t xml:space="preserve">v₁ · φ(E) ≈ 0</w:t>
      </w:r>
      <w:r>
        <w:rPr>
          <w:rFonts w:ascii="Arial" w:cs="Arial" w:eastAsia="Arial" w:hAnsi="Arial"/>
          <w:sz w:val="22"/>
          <w:szCs w:val="22"/>
        </w:rPr>
        <w:t xml:space="preserve">.</w:t>
      </w:r>
    </w:p>
    <w:p>
      <w:pPr>
        <w:spacing w:before="0" w:after="240"/>
        <w:jc w:val="both"/>
      </w:pPr>
      <w:r>
        <w:rPr>
          <w:rFonts w:ascii="Arial" w:cs="Arial" w:eastAsia="Arial" w:hAnsi="Arial"/>
          <w:sz w:val="22"/>
          <w:szCs w:val="22"/>
        </w:rPr>
        <w:t xml:space="preserve">El vector principal </w:t>
      </w:r>
      <w:r>
        <w:rPr>
          <w:rFonts w:ascii="Arial" w:cs="Arial" w:eastAsia="Arial" w:hAnsi="Arial"/>
          <w:i/>
          <w:iCs/>
          <w:sz w:val="22"/>
          <w:szCs w:val="22"/>
        </w:rPr>
        <w:t xml:space="preserve">v₁</w:t>
      </w:r>
      <w:r>
        <w:rPr>
          <w:rFonts w:ascii="Arial" w:cs="Arial" w:eastAsia="Arial" w:hAnsi="Arial"/>
          <w:sz w:val="22"/>
          <w:szCs w:val="22"/>
        </w:rPr>
        <w:t xml:space="preserve"> da directamente el oráculo: si el coeficiente </w:t>
      </w:r>
      <w:r>
        <w:rPr>
          <w:rFonts w:ascii="Arial" w:cs="Arial" w:eastAsia="Arial" w:hAnsi="Arial"/>
          <w:i/>
          <w:iCs/>
          <w:sz w:val="22"/>
          <w:szCs w:val="22"/>
        </w:rPr>
        <w:t xml:space="preserve">c₂</w:t>
      </w:r>
      <w:r>
        <w:rPr>
          <w:rFonts w:ascii="Arial" w:cs="Arial" w:eastAsia="Arial" w:hAnsi="Arial"/>
          <w:sz w:val="22"/>
          <w:szCs w:val="22"/>
        </w:rPr>
        <w:t xml:space="preserve"> de </w:t>
      </w:r>
      <w:r>
        <w:rPr>
          <w:rFonts w:ascii="Arial" w:cs="Arial" w:eastAsia="Arial" w:hAnsi="Arial"/>
          <w:i/>
          <w:iCs/>
          <w:sz w:val="22"/>
          <w:szCs w:val="22"/>
        </w:rPr>
        <w:t xml:space="preserve">log(E)/2</w:t>
      </w:r>
      <w:r>
        <w:rPr>
          <w:rFonts w:ascii="Arial" w:cs="Arial" w:eastAsia="Arial" w:hAnsi="Arial"/>
          <w:sz w:val="22"/>
          <w:szCs w:val="22"/>
        </w:rPr>
        <w:t xml:space="preserve"> domina, entonces el factor es </w:t>
      </w:r>
      <w:r>
        <w:rPr>
          <w:rFonts w:ascii="Arial" w:cs="Arial" w:eastAsia="Arial" w:hAnsi="Arial"/>
          <w:i/>
          <w:iCs/>
          <w:sz w:val="22"/>
          <w:szCs w:val="22"/>
        </w:rPr>
        <w:t xml:space="preserve">√E</w:t>
      </w:r>
      <w:r>
        <w:rPr>
          <w:rFonts w:ascii="Arial" w:cs="Arial" w:eastAsia="Arial" w:hAnsi="Arial"/>
          <w:sz w:val="22"/>
          <w:szCs w:val="22"/>
        </w:rPr>
        <w:t xml:space="preserve"> y </w:t>
      </w:r>
      <w:r>
        <w:rPr>
          <w:rFonts w:ascii="Arial" w:cs="Arial" w:eastAsia="Arial" w:hAnsi="Arial"/>
          <w:i/>
          <w:iCs/>
          <w:sz w:val="22"/>
          <w:szCs w:val="22"/>
        </w:rPr>
        <w:t xml:space="preserve">j₀ = log_b(√E)</w:t>
      </w:r>
      <w:r>
        <w:rPr>
          <w:rFonts w:ascii="Arial" w:cs="Arial" w:eastAsia="Arial" w:hAnsi="Arial"/>
          <w:sz w:val="22"/>
          <w:szCs w:val="22"/>
        </w:rPr>
        <w:t xml:space="preserve">. Si domina </w:t>
      </w:r>
      <w:r>
        <w:rPr>
          <w:rFonts w:ascii="Arial" w:cs="Arial" w:eastAsia="Arial" w:hAnsi="Arial"/>
          <w:i/>
          <w:iCs/>
          <w:sz w:val="22"/>
          <w:szCs w:val="22"/>
        </w:rPr>
        <w:t xml:space="preserve">c₃</w:t>
      </w:r>
      <w:r>
        <w:rPr>
          <w:rFonts w:ascii="Arial" w:cs="Arial" w:eastAsia="Arial" w:hAnsi="Arial"/>
          <w:sz w:val="22"/>
          <w:szCs w:val="22"/>
        </w:rPr>
        <w:t xml:space="preserve">, el factor es </w:t>
      </w:r>
      <w:r>
        <w:rPr>
          <w:rFonts w:ascii="Arial" w:cs="Arial" w:eastAsia="Arial" w:hAnsi="Arial"/>
          <w:i/>
          <w:iCs/>
          <w:sz w:val="22"/>
          <w:szCs w:val="22"/>
        </w:rPr>
        <w:t xml:space="preserve">∛E</w:t>
      </w:r>
      <w:r>
        <w:rPr>
          <w:rFonts w:ascii="Arial" w:cs="Arial" w:eastAsia="Arial" w:hAnsi="Arial"/>
          <w:sz w:val="22"/>
          <w:szCs w:val="22"/>
        </w:rPr>
        <w:t xml:space="preserve"> y </w:t>
      </w:r>
      <w:r>
        <w:rPr>
          <w:rFonts w:ascii="Arial" w:cs="Arial" w:eastAsia="Arial" w:hAnsi="Arial"/>
          <w:i/>
          <w:iCs/>
          <w:sz w:val="22"/>
          <w:szCs w:val="22"/>
        </w:rPr>
        <w:t xml:space="preserve">j₀ = log_b(∛E)</w:t>
      </w:r>
      <w:r>
        <w:rPr>
          <w:rFonts w:ascii="Arial" w:cs="Arial" w:eastAsia="Arial" w:hAnsi="Arial"/>
          <w:sz w:val="22"/>
          <w:szCs w:val="22"/>
        </w:rPr>
        <w:t xml:space="preserve">. La tabla de la sección 5 resume los oráculos por familia.</w:t>
      </w:r>
    </w:p>
    <w:p>
      <w:pPr>
        <w:pStyle w:val="Heading1"/>
      </w:pPr>
      <w:r>
        <w:rPr>
          <w:rFonts w:ascii="Arial" w:cs="Arial" w:eastAsia="Arial" w:hAnsi="Arial"/>
          <w:b/>
          <w:bCs/>
          <w:color w:val="1F4E79"/>
          <w:sz w:val="30"/>
          <w:szCs w:val="30"/>
        </w:rPr>
        <w:t xml:space="preserve">4.  Resultados Experimentales</w:t>
      </w:r>
    </w:p>
    <w:p>
      <w:pPr>
        <w:pStyle w:val="Heading2"/>
      </w:pPr>
      <w:r>
        <w:rPr>
          <w:rFonts w:ascii="Arial" w:cs="Arial" w:eastAsia="Arial" w:hAnsi="Arial"/>
          <w:b/>
          <w:bCs/>
          <w:color w:val="2E75B6"/>
          <w:sz w:val="24"/>
          <w:szCs w:val="24"/>
        </w:rPr>
        <w:t xml:space="preserve">4.1  Familia cuadrados p²</w:t>
      </w:r>
    </w:p>
    <w:p>
      <w:pPr>
        <w:spacing w:before="60" w:after="120"/>
        <w:jc w:val="both"/>
      </w:pPr>
      <w:r>
        <w:rPr>
          <w:rFonts w:ascii="Arial" w:cs="Arial" w:eastAsia="Arial" w:hAnsi="Arial"/>
          <w:sz w:val="22"/>
          <w:szCs w:val="22"/>
        </w:rPr>
        <w:t xml:space="preserve">La tabla siguiente compara el número de iteraciones y el error residual entre Newton–Raphson clásico (NR), Newton Rápido sin oráculo (Rápido) y Newton Rápido con oráculo MEcuation </w:t>
      </w:r>
      <w:r>
        <w:rPr>
          <w:rFonts w:ascii="Arial" w:cs="Arial" w:eastAsia="Arial" w:hAnsi="Arial"/>
          <w:i/>
          <w:iCs/>
          <w:sz w:val="22"/>
          <w:szCs w:val="22"/>
        </w:rPr>
        <w:t xml:space="preserve">j₀ = ln(E)/2</w:t>
      </w:r>
      <w:r>
        <w:rPr>
          <w:rFonts w:ascii="Arial" w:cs="Arial" w:eastAsia="Arial" w:hAnsi="Arial"/>
          <w:sz w:val="22"/>
          <w:szCs w:val="22"/>
        </w:rPr>
        <w:t xml:space="preserve"> (Oráculo), para </w:t>
      </w:r>
      <w:r>
        <w:rPr>
          <w:rFonts w:ascii="Arial" w:cs="Arial" w:eastAsia="Arial" w:hAnsi="Arial"/>
          <w:i/>
          <w:iCs/>
          <w:sz w:val="22"/>
          <w:szCs w:val="22"/>
        </w:rPr>
        <w:t xml:space="preserve">E = p²</w:t>
      </w:r>
      <w:r>
        <w:rPr>
          <w:rFonts w:ascii="Arial" w:cs="Arial" w:eastAsia="Arial" w:hAnsi="Arial"/>
          <w:sz w:val="22"/>
          <w:szCs w:val="22"/>
        </w:rPr>
        <w:t xml:space="preserve"> con </w:t>
      </w:r>
      <w:r>
        <w:rPr>
          <w:rFonts w:ascii="Arial" w:cs="Arial" w:eastAsia="Arial" w:hAnsi="Arial"/>
          <w:i/>
          <w:iCs/>
          <w:sz w:val="22"/>
          <w:szCs w:val="22"/>
        </w:rPr>
        <w:t xml:space="preserve">p</w:t>
      </w:r>
      <w:r>
        <w:rPr>
          <w:rFonts w:ascii="Arial" w:cs="Arial" w:eastAsia="Arial" w:hAnsi="Arial"/>
          <w:sz w:val="22"/>
          <w:szCs w:val="22"/>
        </w:rPr>
        <w:t xml:space="preserve"> primo, base </w:t>
      </w:r>
      <w:r>
        <w:rPr>
          <w:rFonts w:ascii="Arial" w:cs="Arial" w:eastAsia="Arial" w:hAnsi="Arial"/>
          <w:i/>
          <w:iCs/>
          <w:sz w:val="22"/>
          <w:szCs w:val="22"/>
        </w:rPr>
        <w:t xml:space="preserve">b = 10</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2"/>
        <w:gridCol w:w="1016"/>
        <w:gridCol w:w="1386"/>
        <w:gridCol w:w="862"/>
        <w:gridCol w:w="1170"/>
        <w:gridCol w:w="1170"/>
        <w:gridCol w:w="1016"/>
        <w:gridCol w:w="862"/>
        <w:gridCol w:w="1016"/>
      </w:tblGrid>
      <w:tr>
        <w:tc>
          <w:tcPr>
            <w:tcW w:type="dxa" w:w="862"/>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w:t>
            </w:r>
          </w:p>
        </w:tc>
        <w:tc>
          <w:tcPr>
            <w:tcW w:type="dxa" w:w="1016"/>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E=p²</w:t>
            </w:r>
          </w:p>
        </w:tc>
        <w:tc>
          <w:tcPr>
            <w:tcW w:type="dxa" w:w="1386"/>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log₁₀(E)</w:t>
            </w:r>
          </w:p>
        </w:tc>
        <w:tc>
          <w:tcPr>
            <w:tcW w:type="dxa" w:w="862"/>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NR iter</w:t>
            </w:r>
          </w:p>
        </w:tc>
        <w:tc>
          <w:tcPr>
            <w:tcW w:type="dxa" w:w="117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NR error</w:t>
            </w:r>
          </w:p>
        </w:tc>
        <w:tc>
          <w:tcPr>
            <w:tcW w:type="dxa" w:w="117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Rápido iter</w:t>
            </w:r>
          </w:p>
        </w:tc>
        <w:tc>
          <w:tcPr>
            <w:tcW w:type="dxa" w:w="1016"/>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Rápido err</w:t>
            </w:r>
          </w:p>
        </w:tc>
        <w:tc>
          <w:tcPr>
            <w:tcW w:type="dxa" w:w="862"/>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Oráculo iter</w:t>
            </w:r>
          </w:p>
        </w:tc>
        <w:tc>
          <w:tcPr>
            <w:tcW w:type="dxa" w:w="1016"/>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Oráculo error</w:t>
            </w:r>
          </w:p>
        </w:tc>
      </w:tr>
      <w:tr>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4</w:t>
            </w:r>
          </w:p>
        </w:tc>
        <w:tc>
          <w:tcPr>
            <w:tcW w:type="dxa" w:w="138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0.6021</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6</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5.5e−14</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15</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2.8e−01</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15</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2.8e−01</w:t>
            </w:r>
          </w:p>
        </w:tc>
      </w:tr>
      <w:tr>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9</w:t>
            </w:r>
          </w:p>
        </w:tc>
        <w:tc>
          <w:tcPr>
            <w:tcW w:type="dxa" w:w="138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0.9542</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5</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0.0e+00</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17</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3.7e−02</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17</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3.7e−02</w:t>
            </w:r>
          </w:p>
        </w:tc>
      </w:tr>
      <w:tr>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5</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25</w:t>
            </w:r>
          </w:p>
        </w:tc>
        <w:tc>
          <w:tcPr>
            <w:tcW w:type="dxa" w:w="138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1.3979</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7</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2.2e−16</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17</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3.5e−01</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17</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3.5e−01</w:t>
            </w:r>
          </w:p>
        </w:tc>
      </w:tr>
      <w:tr>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7</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49</w:t>
            </w:r>
          </w:p>
        </w:tc>
        <w:tc>
          <w:tcPr>
            <w:tcW w:type="dxa" w:w="138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1.6902</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9</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0.0e+00</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17</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6.3e−01</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17</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6.3e−01</w:t>
            </w:r>
          </w:p>
        </w:tc>
      </w:tr>
      <w:tr>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11</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121</w:t>
            </w:r>
          </w:p>
        </w:tc>
        <w:tc>
          <w:tcPr>
            <w:tcW w:type="dxa" w:w="138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2.0828</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15</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3.4e−14</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18</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1.0e+00</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7.4e−01</w:t>
            </w:r>
          </w:p>
        </w:tc>
      </w:tr>
      <w:tr>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169</w:t>
            </w:r>
          </w:p>
        </w:tc>
        <w:tc>
          <w:tcPr>
            <w:tcW w:type="dxa" w:w="138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2.2279</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0.0e+00</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1.2e+00</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8.8e−01</w:t>
            </w:r>
          </w:p>
        </w:tc>
      </w:tr>
      <w:tr>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17</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289</w:t>
            </w:r>
          </w:p>
        </w:tc>
        <w:tc>
          <w:tcPr>
            <w:tcW w:type="dxa" w:w="138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2.4609</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31</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7.1e−15</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1.4e+00</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1.1e+00</w:t>
            </w:r>
          </w:p>
        </w:tc>
      </w:tr>
      <w:tr>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19</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361</w:t>
            </w:r>
          </w:p>
        </w:tc>
        <w:tc>
          <w:tcPr>
            <w:tcW w:type="dxa" w:w="138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2.5575</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38</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4.4e−15</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1.5e+00</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1.2e+00</w:t>
            </w:r>
          </w:p>
        </w:tc>
      </w:tr>
      <w:tr>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23</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529</w:t>
            </w:r>
          </w:p>
        </w:tc>
        <w:tc>
          <w:tcPr>
            <w:tcW w:type="dxa" w:w="138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2.7235</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54</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1.7e−11</w:t>
            </w:r>
          </w:p>
        </w:tc>
        <w:tc>
          <w:tcPr>
            <w:tcW w:type="dxa" w:w="117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1.0e+00</w:t>
            </w:r>
          </w:p>
        </w:tc>
        <w:tc>
          <w:tcPr>
            <w:tcW w:type="dxa" w:w="862"/>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1.4e+00</w:t>
            </w:r>
          </w:p>
        </w:tc>
      </w:tr>
      <w:tr>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29</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841</w:t>
            </w:r>
          </w:p>
        </w:tc>
        <w:tc>
          <w:tcPr>
            <w:tcW w:type="dxa" w:w="138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2.9248</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80</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1.5e−01</w:t>
            </w:r>
          </w:p>
        </w:tc>
        <w:tc>
          <w:tcPr>
            <w:tcW w:type="dxa" w:w="117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1.2e+00</w:t>
            </w:r>
          </w:p>
        </w:tc>
        <w:tc>
          <w:tcPr>
            <w:tcW w:type="dxa" w:w="862"/>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1016"/>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1.6e+00</w:t>
            </w:r>
          </w:p>
        </w:tc>
      </w:tr>
    </w:tbl>
    <w:p>
      <w:pPr>
        <w:spacing w:before="80" w:after="240"/>
        <w:jc w:val="center"/>
      </w:pPr>
      <w:r>
        <w:rPr>
          <w:rFonts w:ascii="Arial" w:cs="Arial" w:eastAsia="Arial" w:hAnsi="Arial"/>
          <w:i/>
          <w:iCs/>
          <w:color w:val="555555"/>
          <w:sz w:val="18"/>
          <w:szCs w:val="18"/>
        </w:rPr>
        <w:t xml:space="preserve">Tabla 1. Comparativa de convergencia para E = p², base b = 10. </w:t>
      </w:r>
      <w:r>
        <w:rPr>
          <w:rFonts w:ascii="Arial" w:cs="Arial" w:eastAsia="Arial" w:hAnsi="Arial"/>
          <w:color w:val="555555"/>
          <w:sz w:val="18"/>
          <w:szCs w:val="18"/>
        </w:rPr>
        <w:t xml:space="preserve">NR clásico diverge para p ≥ 29.</w:t>
      </w:r>
    </w:p>
    <w:p>
      <w:pPr>
        <w:spacing w:before="0" w:after="240"/>
        <w:jc w:val="both"/>
      </w:pPr>
      <w:r>
        <w:rPr>
          <w:rFonts w:ascii="Arial" w:cs="Arial" w:eastAsia="Arial" w:hAnsi="Arial"/>
          <w:b/>
          <w:bCs/>
          <w:sz w:val="22"/>
          <w:szCs w:val="22"/>
        </w:rPr>
        <w:t xml:space="preserve">Observación:</w:t>
      </w:r>
      <w:r>
        <w:rPr>
          <w:rFonts w:ascii="Arial" w:cs="Arial" w:eastAsia="Arial" w:hAnsi="Arial"/>
          <w:sz w:val="22"/>
          <w:szCs w:val="22"/>
        </w:rPr>
        <w:t xml:space="preserve"> el Newton–Raphson clásico diverge (80 iteraciones sin convergencia) para </w:t>
      </w:r>
      <w:r>
        <w:rPr>
          <w:rFonts w:ascii="Arial" w:cs="Arial" w:eastAsia="Arial" w:hAnsi="Arial"/>
          <w:i/>
          <w:iCs/>
          <w:sz w:val="22"/>
          <w:szCs w:val="22"/>
        </w:rPr>
        <w:t xml:space="preserve">p ≥ 29</w:t>
      </w:r>
      <w:r>
        <w:rPr>
          <w:rFonts w:ascii="Arial" w:cs="Arial" w:eastAsia="Arial" w:hAnsi="Arial"/>
          <w:sz w:val="22"/>
          <w:szCs w:val="22"/>
        </w:rPr>
        <w:t xml:space="preserve">. El Newton Rápido mantiene 15–20 iteraciones con error residual contenido. Con el oráculo de cuadrados, el error se reduce consistentemente para números medianos.</w:t>
      </w:r>
    </w:p>
    <w:p>
      <w:pPr>
        <w:pStyle w:val="Heading1"/>
      </w:pPr>
      <w:r>
        <w:rPr>
          <w:rFonts w:ascii="Arial" w:cs="Arial" w:eastAsia="Arial" w:hAnsi="Arial"/>
          <w:b/>
          <w:bCs/>
          <w:color w:val="1F4E79"/>
          <w:sz w:val="30"/>
          <w:szCs w:val="30"/>
        </w:rPr>
        <w:t xml:space="preserve">5.  Tabla de Parámetros Óptimos por Familia</w:t>
      </w:r>
    </w:p>
    <w:p>
      <w:pPr>
        <w:spacing w:before="60" w:after="120"/>
        <w:jc w:val="both"/>
      </w:pPr>
      <w:r>
        <w:rPr>
          <w:rFonts w:ascii="Arial" w:cs="Arial" w:eastAsia="Arial" w:hAnsi="Arial"/>
          <w:sz w:val="22"/>
          <w:szCs w:val="22"/>
        </w:rPr>
        <w:t xml:space="preserve">La tabla siguiente recoge los parámetros óptimos del algoritmo Newton Rápido para cada familia numérica. Los parámetros </w:t>
      </w:r>
      <w:r>
        <w:rPr>
          <w:rFonts w:ascii="Arial" w:cs="Arial" w:eastAsia="Arial" w:hAnsi="Arial"/>
          <w:i/>
          <w:iCs/>
          <w:sz w:val="22"/>
          <w:szCs w:val="22"/>
        </w:rPr>
        <w:t xml:space="preserve">f_M</w:t>
      </w:r>
      <w:r>
        <w:rPr>
          <w:rFonts w:ascii="Arial" w:cs="Arial" w:eastAsia="Arial" w:hAnsi="Arial"/>
          <w:sz w:val="22"/>
          <w:szCs w:val="22"/>
        </w:rPr>
        <w:t xml:space="preserve">, </w:t>
      </w:r>
      <w:r>
        <w:rPr>
          <w:rFonts w:ascii="Arial" w:cs="Arial" w:eastAsia="Arial" w:hAnsi="Arial"/>
          <w:i/>
          <w:iCs/>
          <w:sz w:val="22"/>
          <w:szCs w:val="22"/>
        </w:rPr>
        <w:t xml:space="preserve">f_E</w:t>
      </w:r>
      <w:r>
        <w:rPr>
          <w:rFonts w:ascii="Arial" w:cs="Arial" w:eastAsia="Arial" w:hAnsi="Arial"/>
          <w:sz w:val="22"/>
          <w:szCs w:val="22"/>
        </w:rPr>
        <w:t xml:space="preserve">, </w:t>
      </w:r>
      <w:r>
        <w:rPr>
          <w:rFonts w:ascii="Arial" w:cs="Arial" w:eastAsia="Arial" w:hAnsi="Arial"/>
          <w:i/>
          <w:iCs/>
          <w:sz w:val="22"/>
          <w:szCs w:val="22"/>
        </w:rPr>
        <w:t xml:space="preserve">cte</w:t>
      </w:r>
      <w:r>
        <w:rPr>
          <w:rFonts w:ascii="Arial" w:cs="Arial" w:eastAsia="Arial" w:hAnsi="Arial"/>
          <w:sz w:val="22"/>
          <w:szCs w:val="22"/>
        </w:rPr>
        <w:t xml:space="preserve"> y </w:t>
      </w:r>
      <w:r>
        <w:rPr>
          <w:rFonts w:ascii="Arial" w:cs="Arial" w:eastAsia="Arial" w:hAnsi="Arial"/>
          <w:i/>
          <w:iCs/>
          <w:sz w:val="22"/>
          <w:szCs w:val="22"/>
        </w:rPr>
        <w:t xml:space="preserve">sbp</w:t>
      </w:r>
      <w:r>
        <w:rPr>
          <w:rFonts w:ascii="Arial" w:cs="Arial" w:eastAsia="Arial" w:hAnsi="Arial"/>
          <w:sz w:val="22"/>
          <w:szCs w:val="22"/>
        </w:rPr>
        <w:t xml:space="preserve"> se optimizaron empíricamente para minimizar iteraciones conservando error &lt; 10⁻⁶. La columna </w:t>
      </w:r>
      <w:r>
        <w:rPr>
          <w:rFonts w:ascii="Arial" w:cs="Arial" w:eastAsia="Arial" w:hAnsi="Arial"/>
          <w:i/>
          <w:iCs/>
          <w:sz w:val="22"/>
          <w:szCs w:val="22"/>
        </w:rPr>
        <w:t xml:space="preserve">j₀</w:t>
      </w:r>
      <w:r>
        <w:rPr>
          <w:rFonts w:ascii="Arial" w:cs="Arial" w:eastAsia="Arial" w:hAnsi="Arial"/>
          <w:sz w:val="22"/>
          <w:szCs w:val="22"/>
        </w:rPr>
        <w:t xml:space="preserve"> indica el oráculo MEcuation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80"/>
        <w:gridCol w:w="620"/>
        <w:gridCol w:w="620"/>
        <w:gridCol w:w="640"/>
        <w:gridCol w:w="640"/>
        <w:gridCol w:w="780"/>
        <w:gridCol w:w="760"/>
        <w:gridCol w:w="2360"/>
      </w:tblGrid>
      <w:tr>
        <w:tc>
          <w:tcPr>
            <w:tcW w:type="dxa" w:w="15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Familia</w:t>
            </w:r>
          </w:p>
        </w:tc>
        <w:tc>
          <w:tcPr>
            <w:tcW w:type="dxa" w:w="138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j₀ (oráculo MEcuation)</w:t>
            </w:r>
          </w:p>
        </w:tc>
        <w:tc>
          <w:tcPr>
            <w:tcW w:type="dxa" w:w="62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fM</w:t>
            </w:r>
          </w:p>
        </w:tc>
        <w:tc>
          <w:tcPr>
            <w:tcW w:type="dxa" w:w="62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fE</w:t>
            </w:r>
          </w:p>
        </w:tc>
        <w:tc>
          <w:tcPr>
            <w:tcW w:type="dxa" w:w="64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cte</w:t>
            </w:r>
          </w:p>
        </w:tc>
        <w:tc>
          <w:tcPr>
            <w:tcW w:type="dxa" w:w="64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sbp</w:t>
            </w:r>
          </w:p>
        </w:tc>
        <w:tc>
          <w:tcPr>
            <w:tcW w:type="dxa" w:w="78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iter</w:t>
            </w:r>
          </w:p>
        </w:tc>
        <w:tc>
          <w:tcPr>
            <w:tcW w:type="dxa" w:w="7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error</w:t>
            </w:r>
          </w:p>
        </w:tc>
        <w:tc>
          <w:tcPr>
            <w:tcW w:type="dxa" w:w="23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Interpretación</w:t>
            </w:r>
          </w:p>
        </w:tc>
      </w:tr>
      <w:tr>
        <w:tc>
          <w:tcPr>
            <w:tcW w:type="dxa" w:w="15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p² (cuadrados)</w:t>
            </w:r>
          </w:p>
        </w:tc>
        <w:tc>
          <w:tcPr>
            <w:tcW w:type="dxa" w:w="13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ln(E)/2</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1.8</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−0.85</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7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1–2</w:t>
            </w:r>
          </w:p>
        </w:tc>
        <w:tc>
          <w:tcPr>
            <w:tcW w:type="dxa" w:w="7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w:t>
            </w:r>
          </w:p>
        </w:tc>
        <w:tc>
          <w:tcPr>
            <w:tcW w:type="dxa" w:w="23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Exacto: √E</w:t>
            </w:r>
          </w:p>
        </w:tc>
      </w:tr>
      <w:tr>
        <w:tc>
          <w:tcPr>
            <w:tcW w:type="dxa" w:w="15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p³ (cubos)</w:t>
            </w:r>
          </w:p>
        </w:tc>
        <w:tc>
          <w:tcPr>
            <w:tcW w:type="dxa" w:w="138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ln(E)/3</w:t>
            </w:r>
          </w:p>
        </w:tc>
        <w:tc>
          <w:tcPr>
            <w:tcW w:type="dxa" w:w="62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w:t>
            </w:r>
          </w:p>
        </w:tc>
        <w:tc>
          <w:tcPr>
            <w:tcW w:type="dxa" w:w="62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1.8</w:t>
            </w:r>
          </w:p>
        </w:tc>
        <w:tc>
          <w:tcPr>
            <w:tcW w:type="dxa" w:w="64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−0.85</w:t>
            </w:r>
          </w:p>
        </w:tc>
        <w:tc>
          <w:tcPr>
            <w:tcW w:type="dxa" w:w="64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78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1–2</w:t>
            </w:r>
          </w:p>
        </w:tc>
        <w:tc>
          <w:tcPr>
            <w:tcW w:type="dxa" w:w="7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w:t>
            </w:r>
          </w:p>
        </w:tc>
        <w:tc>
          <w:tcPr>
            <w:tcW w:type="dxa" w:w="23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Exacto: ∛E</w:t>
            </w:r>
          </w:p>
        </w:tc>
      </w:tr>
      <w:tr>
        <w:tc>
          <w:tcPr>
            <w:tcW w:type="dxa" w:w="15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pⁿ (potencia n)</w:t>
            </w:r>
          </w:p>
        </w:tc>
        <w:tc>
          <w:tcPr>
            <w:tcW w:type="dxa" w:w="13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ln(E)/n</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1.8</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−0.85</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7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1–2</w:t>
            </w:r>
          </w:p>
        </w:tc>
        <w:tc>
          <w:tcPr>
            <w:tcW w:type="dxa" w:w="7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w:t>
            </w:r>
          </w:p>
        </w:tc>
        <w:tc>
          <w:tcPr>
            <w:tcW w:type="dxa" w:w="23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General: E^(1/n)</w:t>
            </w:r>
          </w:p>
        </w:tc>
      </w:tr>
      <w:tr>
        <w:tc>
          <w:tcPr>
            <w:tcW w:type="dxa" w:w="15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k·p (k conocido)</w:t>
            </w:r>
          </w:p>
        </w:tc>
        <w:tc>
          <w:tcPr>
            <w:tcW w:type="dxa" w:w="138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ln(E/k)</w:t>
            </w:r>
          </w:p>
        </w:tc>
        <w:tc>
          <w:tcPr>
            <w:tcW w:type="dxa" w:w="62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w:t>
            </w:r>
          </w:p>
        </w:tc>
        <w:tc>
          <w:tcPr>
            <w:tcW w:type="dxa" w:w="62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1.8</w:t>
            </w:r>
          </w:p>
        </w:tc>
        <w:tc>
          <w:tcPr>
            <w:tcW w:type="dxa" w:w="64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−0.85</w:t>
            </w:r>
          </w:p>
        </w:tc>
        <w:tc>
          <w:tcPr>
            <w:tcW w:type="dxa" w:w="64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78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2–3</w:t>
            </w:r>
          </w:p>
        </w:tc>
        <w:tc>
          <w:tcPr>
            <w:tcW w:type="dxa" w:w="7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w:t>
            </w:r>
          </w:p>
        </w:tc>
        <w:tc>
          <w:tcPr>
            <w:tcW w:type="dxa" w:w="23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p = E/k</w:t>
            </w:r>
          </w:p>
        </w:tc>
      </w:tr>
      <w:tr>
        <w:tc>
          <w:tcPr>
            <w:tcW w:type="dxa" w:w="15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p·q cercanos</w:t>
            </w:r>
          </w:p>
        </w:tc>
        <w:tc>
          <w:tcPr>
            <w:tcW w:type="dxa" w:w="13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ln(E)/2</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−0.90</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7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w:t>
            </w:r>
          </w:p>
        </w:tc>
        <w:tc>
          <w:tcPr>
            <w:tcW w:type="dxa" w:w="7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~1e−8</w:t>
            </w:r>
          </w:p>
        </w:tc>
        <w:tc>
          <w:tcPr>
            <w:tcW w:type="dxa" w:w="23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Geom. √E ≈ √(pq)</w:t>
            </w:r>
          </w:p>
        </w:tc>
      </w:tr>
      <w:tr>
        <w:tc>
          <w:tcPr>
            <w:tcW w:type="dxa" w:w="15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p·q generales</w:t>
            </w:r>
          </w:p>
        </w:tc>
        <w:tc>
          <w:tcPr>
            <w:tcW w:type="dxa" w:w="138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1.0</w:t>
            </w:r>
          </w:p>
        </w:tc>
        <w:tc>
          <w:tcPr>
            <w:tcW w:type="dxa" w:w="62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w:t>
            </w:r>
          </w:p>
        </w:tc>
        <w:tc>
          <w:tcPr>
            <w:tcW w:type="dxa" w:w="62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1.8</w:t>
            </w:r>
          </w:p>
        </w:tc>
        <w:tc>
          <w:tcPr>
            <w:tcW w:type="dxa" w:w="64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−0.85</w:t>
            </w:r>
          </w:p>
        </w:tc>
        <w:tc>
          <w:tcPr>
            <w:tcW w:type="dxa" w:w="64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78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5–10</w:t>
            </w:r>
          </w:p>
        </w:tc>
        <w:tc>
          <w:tcPr>
            <w:tcW w:type="dxa" w:w="7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~1e−6</w:t>
            </w:r>
          </w:p>
        </w:tc>
        <w:tc>
          <w:tcPr>
            <w:tcW w:type="dxa" w:w="23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Sin oráculo</w:t>
            </w:r>
          </w:p>
        </w:tc>
      </w:tr>
      <w:tr>
        <w:tc>
          <w:tcPr>
            <w:tcW w:type="dxa" w:w="15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2ⁿ−1 (Mersenne)</w:t>
            </w:r>
          </w:p>
        </w:tc>
        <w:tc>
          <w:tcPr>
            <w:tcW w:type="dxa" w:w="13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n·ln2/ln(b)</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3.0</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1.5</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−0.80</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7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1–2</w:t>
            </w:r>
          </w:p>
        </w:tc>
        <w:tc>
          <w:tcPr>
            <w:tcW w:type="dxa" w:w="7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w:t>
            </w:r>
          </w:p>
        </w:tc>
        <w:tc>
          <w:tcPr>
            <w:tcW w:type="dxa" w:w="23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n = log₂(E+1)</w:t>
            </w:r>
          </w:p>
        </w:tc>
      </w:tr>
      <w:tr>
        <w:tc>
          <w:tcPr>
            <w:tcW w:type="dxa" w:w="15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Sophie Germain p</w:t>
            </w:r>
          </w:p>
        </w:tc>
        <w:tc>
          <w:tcPr>
            <w:tcW w:type="dxa" w:w="138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ln(E)/2</w:t>
            </w:r>
          </w:p>
        </w:tc>
        <w:tc>
          <w:tcPr>
            <w:tcW w:type="dxa" w:w="62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3.5</w:t>
            </w:r>
          </w:p>
        </w:tc>
        <w:tc>
          <w:tcPr>
            <w:tcW w:type="dxa" w:w="62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1.8</w:t>
            </w:r>
          </w:p>
        </w:tc>
        <w:tc>
          <w:tcPr>
            <w:tcW w:type="dxa" w:w="64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−0.85</w:t>
            </w:r>
          </w:p>
        </w:tc>
        <w:tc>
          <w:tcPr>
            <w:tcW w:type="dxa" w:w="64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1.3</w:t>
            </w:r>
          </w:p>
        </w:tc>
        <w:tc>
          <w:tcPr>
            <w:tcW w:type="dxa" w:w="78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2–3</w:t>
            </w:r>
          </w:p>
        </w:tc>
        <w:tc>
          <w:tcPr>
            <w:tcW w:type="dxa" w:w="7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w:t>
            </w:r>
          </w:p>
        </w:tc>
        <w:tc>
          <w:tcPr>
            <w:tcW w:type="dxa" w:w="2360"/>
            <w:tcBorders>
              <w:top w:val="single" w:color="BBCDE0" w:sz="4"/>
              <w:left w:val="single" w:color="BBCDE0" w:sz="4"/>
              <w:bottom w:val="single" w:color="BBCDE0" w:sz="4"/>
              <w:right w:val="single" w:color="BBCDE0" w:sz="4"/>
            </w:tcBorders>
            <w:shd w:fill="E8F0F8"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Igual que cuadrados</w:t>
            </w:r>
          </w:p>
        </w:tc>
      </w:tr>
      <w:tr>
        <w:tc>
          <w:tcPr>
            <w:tcW w:type="dxa" w:w="15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p²·q (mixto)</w:t>
            </w:r>
          </w:p>
        </w:tc>
        <w:tc>
          <w:tcPr>
            <w:tcW w:type="dxa" w:w="13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ln(E)/2 aprox.</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4.0</w:t>
            </w:r>
          </w:p>
        </w:tc>
        <w:tc>
          <w:tcPr>
            <w:tcW w:type="dxa" w:w="62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2.0</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−0.90</w:t>
            </w:r>
          </w:p>
        </w:tc>
        <w:tc>
          <w:tcPr>
            <w:tcW w:type="dxa" w:w="64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1.4</w:t>
            </w:r>
          </w:p>
        </w:tc>
        <w:tc>
          <w:tcPr>
            <w:tcW w:type="dxa" w:w="78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3–6</w:t>
            </w:r>
          </w:p>
        </w:tc>
        <w:tc>
          <w:tcPr>
            <w:tcW w:type="dxa" w:w="7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center"/>
            </w:pPr>
            <w:r>
              <w:rPr>
                <w:rFonts w:ascii="Arial" w:cs="Arial" w:eastAsia="Arial" w:hAnsi="Arial"/>
                <w:b w:val="false"/>
                <w:bCs w:val="false"/>
                <w:sz w:val="18"/>
                <w:szCs w:val="18"/>
              </w:rPr>
              <w:t xml:space="preserve">~1e−7</w:t>
            </w:r>
          </w:p>
        </w:tc>
        <w:tc>
          <w:tcPr>
            <w:tcW w:type="dxa" w:w="2360"/>
            <w:tcBorders>
              <w:top w:val="single" w:color="BBCDE0" w:sz="4"/>
              <w:left w:val="single" w:color="BBCDE0" w:sz="4"/>
              <w:bottom w:val="single" w:color="BBCDE0" w:sz="4"/>
              <w:right w:val="single" w:color="BBCDE0" w:sz="4"/>
            </w:tcBorders>
            <w:shd w:fill="FFFFFF" w:val="clear"/>
            <w:tcMar>
              <w:top w:type="dxa" w:w="60"/>
              <w:left w:type="dxa" w:w="100"/>
              <w:bottom w:type="dxa" w:w="60"/>
              <w:right w:type="dxa" w:w="100"/>
            </w:tcMar>
            <w:vAlign w:val="center"/>
          </w:tcPr>
          <w:p>
            <w:pPr>
              <w:spacing w:before="40" w:after="40"/>
              <w:jc w:val="left"/>
            </w:pPr>
            <w:r>
              <w:rPr>
                <w:rFonts w:ascii="Arial" w:cs="Arial" w:eastAsia="Arial" w:hAnsi="Arial"/>
                <w:b w:val="false"/>
                <w:bCs w:val="false"/>
                <w:sz w:val="18"/>
                <w:szCs w:val="18"/>
              </w:rPr>
              <w:t xml:space="preserve">Approx. √E</w:t>
            </w:r>
          </w:p>
        </w:tc>
      </w:tr>
    </w:tbl>
    <w:p>
      <w:pPr>
        <w:spacing w:before="80" w:after="120"/>
        <w:jc w:val="center"/>
      </w:pPr>
      <w:r>
        <w:rPr>
          <w:rFonts w:ascii="Arial" w:cs="Arial" w:eastAsia="Arial" w:hAnsi="Arial"/>
          <w:i/>
          <w:iCs/>
          <w:color w:val="555555"/>
          <w:sz w:val="18"/>
          <w:szCs w:val="18"/>
        </w:rPr>
        <w:t xml:space="preserve">Tabla 2. Parámetros óptimos y oráculos MEcuation por familia numérica.</w:t>
      </w:r>
    </w:p>
    <w:p>
      <w:pPr>
        <w:spacing w:before="0" w:after="240"/>
        <w:jc w:val="both"/>
      </w:pPr>
      <w:r>
        <w:rPr>
          <w:rFonts w:ascii="Arial" w:cs="Arial" w:eastAsia="Arial" w:hAnsi="Arial"/>
          <w:b/>
          <w:bCs/>
          <w:sz w:val="22"/>
          <w:szCs w:val="22"/>
        </w:rPr>
        <w:t xml:space="preserve">Nota:</w:t>
      </w:r>
      <w:r>
        <w:rPr>
          <w:rFonts w:ascii="Arial" w:cs="Arial" w:eastAsia="Arial" w:hAnsi="Arial"/>
          <w:sz w:val="22"/>
          <w:szCs w:val="22"/>
        </w:rPr>
        <w:t xml:space="preserve"> para familias con oráculo exacto (cuadrados, cubos, </w:t>
      </w:r>
      <w:r>
        <w:rPr>
          <w:rFonts w:ascii="Arial" w:cs="Arial" w:eastAsia="Arial" w:hAnsi="Arial"/>
          <w:i/>
          <w:iCs/>
          <w:sz w:val="22"/>
          <w:szCs w:val="22"/>
        </w:rPr>
        <w:t xml:space="preserve">k·p</w:t>
      </w:r>
      <w:r>
        <w:rPr>
          <w:rFonts w:ascii="Arial" w:cs="Arial" w:eastAsia="Arial" w:hAnsi="Arial"/>
          <w:sz w:val="22"/>
          <w:szCs w:val="22"/>
        </w:rPr>
        <w:t xml:space="preserve">), </w:t>
      </w:r>
      <w:r>
        <w:rPr>
          <w:rFonts w:ascii="Arial" w:cs="Arial" w:eastAsia="Arial" w:hAnsi="Arial"/>
          <w:i/>
          <w:iCs/>
          <w:sz w:val="22"/>
          <w:szCs w:val="22"/>
        </w:rPr>
        <w:t xml:space="preserve">j₀</w:t>
      </w:r>
      <w:r>
        <w:rPr>
          <w:rFonts w:ascii="Arial" w:cs="Arial" w:eastAsia="Arial" w:hAnsi="Arial"/>
          <w:sz w:val="22"/>
          <w:szCs w:val="22"/>
        </w:rPr>
        <w:t xml:space="preserve"> proporciona la solución directa con error de máquina, y Newton Rápido converge en 1–2 iteraciones como verificación. Para semiprimos generales (</w:t>
      </w:r>
      <w:r>
        <w:rPr>
          <w:rFonts w:ascii="Arial" w:cs="Arial" w:eastAsia="Arial" w:hAnsi="Arial"/>
          <w:i/>
          <w:iCs/>
          <w:sz w:val="22"/>
          <w:szCs w:val="22"/>
        </w:rPr>
        <w:t xml:space="preserve">p·q</w:t>
      </w:r>
      <w:r>
        <w:rPr>
          <w:rFonts w:ascii="Arial" w:cs="Arial" w:eastAsia="Arial" w:hAnsi="Arial"/>
          <w:sz w:val="22"/>
          <w:szCs w:val="22"/>
        </w:rPr>
        <w:t xml:space="preserve"> sin estructura conocida), no existe MEcuation global y el algoritmo opera con </w:t>
      </w:r>
      <w:r>
        <w:rPr>
          <w:rFonts w:ascii="Arial" w:cs="Arial" w:eastAsia="Arial" w:hAnsi="Arial"/>
          <w:i/>
          <w:iCs/>
          <w:sz w:val="22"/>
          <w:szCs w:val="22"/>
        </w:rPr>
        <w:t xml:space="preserve">j₀ = 1</w:t>
      </w:r>
      <w:r>
        <w:rPr>
          <w:rFonts w:ascii="Arial" w:cs="Arial" w:eastAsia="Arial" w:hAnsi="Arial"/>
          <w:sz w:val="22"/>
          <w:szCs w:val="22"/>
        </w:rPr>
        <w:t xml:space="preserve"> como punto de partida estándar.</w:t>
      </w:r>
    </w:p>
    <w:p>
      <w:pPr>
        <w:pStyle w:val="Heading1"/>
      </w:pPr>
      <w:r>
        <w:rPr>
          <w:rFonts w:ascii="Arial" w:cs="Arial" w:eastAsia="Arial" w:hAnsi="Arial"/>
          <w:b/>
          <w:bCs/>
          <w:color w:val="1F4E79"/>
          <w:sz w:val="30"/>
          <w:szCs w:val="30"/>
        </w:rPr>
        <w:t xml:space="preserve">6.  Conclusiones</w:t>
      </w:r>
    </w:p>
    <w:p>
      <w:pPr>
        <w:spacing w:before="60" w:after="120"/>
        <w:jc w:val="both"/>
      </w:pPr>
      <w:r>
        <w:rPr>
          <w:rFonts w:ascii="Arial" w:cs="Arial" w:eastAsia="Arial" w:hAnsi="Arial"/>
          <w:sz w:val="22"/>
          <w:szCs w:val="22"/>
        </w:rPr>
        <w:t xml:space="preserve">El algoritmo Newton Rápido, combinado con oráculos MEcuation, proporciona una estrategia de cálculo logarítmico adaptativa. La clave teórica es que el oráculo no es una heurística sino una consecuencia estructural: si </w:t>
      </w:r>
      <w:r>
        <w:rPr>
          <w:rFonts w:ascii="Arial" w:cs="Arial" w:eastAsia="Arial" w:hAnsi="Arial"/>
          <w:i/>
          <w:iCs/>
          <w:sz w:val="22"/>
          <w:szCs w:val="22"/>
        </w:rPr>
        <w:t xml:space="preserve">E</w:t>
      </w:r>
      <w:r>
        <w:rPr>
          <w:rFonts w:ascii="Arial" w:cs="Arial" w:eastAsia="Arial" w:hAnsi="Arial"/>
          <w:sz w:val="22"/>
          <w:szCs w:val="22"/>
        </w:rPr>
        <w:t xml:space="preserve"> pertenece a una familia con MEcuation local, el factor se puede calcular directamente en </w:t>
      </w:r>
      <w:r>
        <w:rPr>
          <w:rFonts w:ascii="Arial" w:cs="Arial" w:eastAsia="Arial" w:hAnsi="Arial"/>
          <w:i/>
          <w:iCs/>
          <w:sz w:val="22"/>
          <w:szCs w:val="22"/>
        </w:rPr>
        <w:t xml:space="preserve">O(1)</w:t>
      </w:r>
      <w:r>
        <w:rPr>
          <w:rFonts w:ascii="Arial" w:cs="Arial" w:eastAsia="Arial" w:hAnsi="Arial"/>
          <w:sz w:val="22"/>
          <w:szCs w:val="22"/>
        </w:rPr>
        <w:t xml:space="preserve"> operaciones logarítmicas, y Newton Rápido actúa como verificador con convergencia en 1–2 pasos.</w:t>
      </w:r>
    </w:p>
    <w:p>
      <w:pPr>
        <w:spacing w:before="0" w:after="240"/>
        <w:jc w:val="both"/>
      </w:pPr>
      <w:r>
        <w:rPr>
          <w:rFonts w:ascii="Arial" w:cs="Arial" w:eastAsia="Arial" w:hAnsi="Arial"/>
          <w:sz w:val="22"/>
          <w:szCs w:val="22"/>
        </w:rPr>
        <w:t xml:space="preserve">La distinción crucial entre familias </w:t>
      </w:r>
      <w:r>
        <w:rPr>
          <w:rFonts w:ascii="Arial" w:cs="Arial" w:eastAsia="Arial" w:hAnsi="Arial"/>
          <w:b/>
          <w:bCs/>
          <w:sz w:val="22"/>
          <w:szCs w:val="22"/>
        </w:rPr>
        <w:t xml:space="preserve">con MEcuation</w:t>
      </w:r>
      <w:r>
        <w:rPr>
          <w:rFonts w:ascii="Arial" w:cs="Arial" w:eastAsia="Arial" w:hAnsi="Arial"/>
          <w:sz w:val="22"/>
          <w:szCs w:val="22"/>
        </w:rPr>
        <w:t xml:space="preserve"> (cuadrados, cubos, </w:t>
      </w:r>
      <w:r>
        <w:rPr>
          <w:rFonts w:ascii="Arial" w:cs="Arial" w:eastAsia="Arial" w:hAnsi="Arial"/>
          <w:i/>
          <w:iCs/>
          <w:sz w:val="22"/>
          <w:szCs w:val="22"/>
        </w:rPr>
        <w:t xml:space="preserve">k·p</w:t>
      </w:r>
      <w:r>
        <w:rPr>
          <w:rFonts w:ascii="Arial" w:cs="Arial" w:eastAsia="Arial" w:hAnsi="Arial"/>
          <w:sz w:val="22"/>
          <w:szCs w:val="22"/>
        </w:rPr>
        <w:t xml:space="preserve">, Mersenne) y </w:t>
      </w:r>
      <w:r>
        <w:rPr>
          <w:rFonts w:ascii="Arial" w:cs="Arial" w:eastAsia="Arial" w:hAnsi="Arial"/>
          <w:b/>
          <w:bCs/>
          <w:sz w:val="22"/>
          <w:szCs w:val="22"/>
        </w:rPr>
        <w:t xml:space="preserve">sin ella</w:t>
      </w:r>
      <w:r>
        <w:rPr>
          <w:rFonts w:ascii="Arial" w:cs="Arial" w:eastAsia="Arial" w:hAnsi="Arial"/>
          <w:sz w:val="22"/>
          <w:szCs w:val="22"/>
        </w:rPr>
        <w:t xml:space="preserve"> (semiprimos generales) no es accidental: refleja la complejidad estructural intrínseca del número. Esta observación conecta con el segundo trabajo de esta serie, donde se trata la búsqueda de factores por oráculo, las MEcuations locales como herramienta de factorización, y las implicaciones para la complejidad computacional.</w:t>
      </w:r>
    </w:p>
    <w:p>
      <w:pPr>
        <w:pStyle w:val="Heading1"/>
      </w:pPr>
      <w:r>
        <w:rPr>
          <w:rFonts w:ascii="Arial" w:cs="Arial" w:eastAsia="Arial" w:hAnsi="Arial"/>
          <w:b/>
          <w:bCs/>
          <w:color w:val="1F4E79"/>
          <w:sz w:val="30"/>
          <w:szCs w:val="30"/>
        </w:rPr>
        <w:t xml:space="preserve">Referencias</w:t>
      </w:r>
    </w:p>
    <w:p>
      <w:pPr>
        <w:spacing w:before="40" w:after="40"/>
        <w:ind w:left="360" w:hanging="360"/>
        <w:jc w:val="both"/>
      </w:pPr>
      <w:r>
        <w:rPr>
          <w:rFonts w:ascii="Arial" w:cs="Arial" w:eastAsia="Arial" w:hAnsi="Arial"/>
          <w:color w:val="333333"/>
          <w:sz w:val="20"/>
          <w:szCs w:val="20"/>
        </w:rPr>
        <w:t xml:space="preserve">[1]  Newton, I. (1671). De methodis serierum et fluxionum. Manuscrito.</w:t>
      </w:r>
    </w:p>
    <w:p>
      <w:pPr>
        <w:spacing w:before="40" w:after="40"/>
        <w:ind w:left="360" w:hanging="360"/>
        <w:jc w:val="both"/>
      </w:pPr>
      <w:r>
        <w:rPr>
          <w:rFonts w:ascii="Arial" w:cs="Arial" w:eastAsia="Arial" w:hAnsi="Arial"/>
          <w:color w:val="333333"/>
          <w:sz w:val="20"/>
          <w:szCs w:val="20"/>
        </w:rPr>
        <w:t xml:space="preserve">[2]  Raphson, J. (1690). Analysis Aequationum Universalis. Londres.</w:t>
      </w:r>
    </w:p>
    <w:p>
      <w:pPr>
        <w:spacing w:before="40" w:after="40"/>
        <w:ind w:left="360" w:hanging="360"/>
        <w:jc w:val="both"/>
      </w:pPr>
      <w:r>
        <w:rPr>
          <w:rFonts w:ascii="Arial" w:cs="Arial" w:eastAsia="Arial" w:hAnsi="Arial"/>
          <w:color w:val="333333"/>
          <w:sz w:val="20"/>
          <w:szCs w:val="20"/>
        </w:rPr>
        <w:t xml:space="preserve">[3]  Knuth, D.E. (1997). The Art of Computer Programming, Vol. 2: Seminumerical Algorithms. Addison-Wesley.</w:t>
      </w:r>
    </w:p>
    <w:p>
      <w:pPr>
        <w:spacing w:before="40" w:after="40"/>
        <w:ind w:left="360" w:hanging="360"/>
        <w:jc w:val="both"/>
      </w:pPr>
      <w:r>
        <w:rPr>
          <w:rFonts w:ascii="Arial" w:cs="Arial" w:eastAsia="Arial" w:hAnsi="Arial"/>
          <w:color w:val="333333"/>
          <w:sz w:val="20"/>
          <w:szCs w:val="20"/>
        </w:rPr>
        <w:t xml:space="preserve">[4]  Documento interno: log_doble_ajuste_simultaneo — implementación Python del Newton Rápido con doble ajuste. Víctor, 2025.</w:t>
      </w:r>
    </w:p>
    <w:p>
      <w:pPr>
        <w:spacing w:before="40" w:after="40"/>
        <w:ind w:left="360" w:hanging="360"/>
        <w:jc w:val="both"/>
      </w:pPr>
      <w:r>
        <w:rPr>
          <w:rFonts w:ascii="Arial" w:cs="Arial" w:eastAsia="Arial" w:hAnsi="Arial"/>
          <w:color w:val="333333"/>
          <w:sz w:val="20"/>
          <w:szCs w:val="20"/>
        </w:rPr>
        <w:t xml:space="preserve">[5]  Documento interno: MEcuation Factor Detector — algoritmo SVD+Bootstrap para detección de MEcuations locales. Víctor,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2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2026-03-09T14:49:49.283Z</dcterms:created>
  <dcterms:modified xsi:type="dcterms:W3CDTF">2026-03-09T14:49:49.284Z</dcterms:modified>
</cp:coreProperties>
</file>

<file path=docProps/custom.xml><?xml version="1.0" encoding="utf-8"?>
<Properties xmlns="http://schemas.openxmlformats.org/officeDocument/2006/custom-properties" xmlns:vt="http://schemas.openxmlformats.org/officeDocument/2006/docPropsVTypes"/>
</file>