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Arquitecturas Avanzadas en la Generación de Números Primos: Análisis Comparativo de la Criba SunRaman Jet y el Modelo de Cribado Superior Incremental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estudio de la distribución de los números primos y su generación eficiente ha transitado desde los métodos de cribado clásicos, fundamentados en la eliminación secuencial de múltiplos, hacia modelos algebraicos complejos que permiten identificar compuestos mediante la resolución de ecuaciones diofánticas. En la actualidad, el paradigma computacional exige algoritmos que no solo sean teóricamente eficientes en términos de complejidad asintótica, sino que también estén optimizados para las arquitecturas de hardware modernas, caracterizadas por una jerarquía de memoria profunda, unidades de procesamiento gráfico (GPU) masivamente paralelas y sistemas de predicción de saltos en la CPU. En este contexto, la Criba SunRaman Jet y sus variantes, como el Factorizador Flash y el Modelo de Cribado Superior, representan una evolución crítica que redefine la forma en que interactuamos con el espacio de los números impares compuestos.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Fundamentos Matemáticos y el Cambio de Paradigma Diofántico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identificación tradicional de números primos ha dependido históricamente de la criba de Eratóstenes, un método que, aunque elegante, presenta limitaciones significativas en entornos de alto rendimiento. La necesidad de conocer previamente los primos base para tachar sus múltiplos introduce una dependencia secuencial que dificulta la paralelización masiva y genera una carga considerable en la lógica de control del procesador debido a los saltos condicionales constantes.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La Criba SunRaman Jet rompe con esta tradición al operar sobre el subespacio de los números impares, específicamente bajo la estructura de la rueda </w:t>
      </w:r>
      <w:r w:rsidDel="00000000" w:rsidR="00000000" w:rsidRPr="00000000">
        <w:rPr>
          <w:rFonts w:ascii="Google Sans" w:cs="Google Sans" w:eastAsia="Google Sans" w:hAnsi="Google Sans"/>
          <w:color w:val="1f1f1f"/>
        </w:rPr>
        <w:drawing>
          <wp:inline distB="19050" distT="19050" distL="19050" distR="19050">
            <wp:extent cx="511731" cy="236771"/>
            <wp:effectExtent b="0" l="0" r="0" t="0"/>
            <wp:docPr id="1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11731" cy="2367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 excluir compuestos mediante una construcción algebraica directa en lugar de una búsqueda por división de prueba.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núcleo matemático de este sistema es la relación entre los índices de los factores y el índice del número compuesto resultante en un mapa de bits. Si consideramos un número impar de la forma </w:t>
      </w:r>
      <w:r w:rsidDel="00000000" w:rsidR="00000000" w:rsidRPr="00000000">
        <w:rPr>
          <w:rFonts w:ascii="Google Sans" w:cs="Google Sans" w:eastAsia="Google Sans" w:hAnsi="Google Sans"/>
          <w:color w:val="1f1f1f"/>
        </w:rPr>
        <w:drawing>
          <wp:inline distB="19050" distT="19050" distL="19050" distR="19050">
            <wp:extent cx="506016" cy="237674"/>
            <wp:effectExtent b="0" l="0" r="0" t="0"/>
            <wp:docPr id="1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06016" cy="2376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este se define como compuesto si y solo si existen enteros no negativos </w:t>
      </w:r>
      <w:r w:rsidDel="00000000" w:rsidR="00000000" w:rsidRPr="00000000">
        <w:rPr>
          <w:rFonts w:ascii="Google Sans" w:cs="Google Sans" w:eastAsia="Google Sans" w:hAnsi="Google Sans"/>
          <w:color w:val="1f1f1f"/>
        </w:rPr>
        <w:drawing>
          <wp:inline distB="19050" distT="19050" distL="19050" distR="19050">
            <wp:extent cx="354687" cy="239028"/>
            <wp:effectExtent b="0" l="0" r="0" t="0"/>
            <wp:docPr id="12"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354687" cy="2390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tales que satisfagan la ecuación diofántica cuadrática: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5853"/>
            <wp:effectExtent b="0" l="0" r="0" t="0"/>
            <wp:docPr id="15"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905500" cy="43585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ecuación mapea el producto de dos generadores de la rueda (</w:t>
      </w:r>
      <w:r w:rsidDel="00000000" w:rsidR="00000000" w:rsidRPr="00000000">
        <w:rPr>
          <w:rFonts w:ascii="Google Sans" w:cs="Google Sans" w:eastAsia="Google Sans" w:hAnsi="Google Sans"/>
          <w:color w:val="1f1f1f"/>
        </w:rPr>
        <w:drawing>
          <wp:inline distB="19050" distT="19050" distL="19050" distR="19050">
            <wp:extent cx="520660" cy="237360"/>
            <wp:effectExtent b="0" l="0" r="0" t="0"/>
            <wp:docPr id="1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20660" cy="2373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1f1f1f"/>
        </w:rPr>
        <w:drawing>
          <wp:inline distB="19050" distT="19050" distL="19050" distR="19050">
            <wp:extent cx="571857" cy="236368"/>
            <wp:effectExtent b="0" l="0" r="0" t="0"/>
            <wp:docPr id="17"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71857" cy="2363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directamente a la posición </w:t>
      </w:r>
      <w:r w:rsidDel="00000000" w:rsidR="00000000" w:rsidRPr="00000000">
        <w:rPr>
          <w:rFonts w:ascii="Google Sans" w:cs="Google Sans" w:eastAsia="Google Sans" w:hAnsi="Google Sans"/>
          <w:color w:val="1f1f1f"/>
        </w:rPr>
        <w:drawing>
          <wp:inline distB="19050" distT="19050" distL="19050" distR="19050">
            <wp:extent cx="96083" cy="248216"/>
            <wp:effectExtent b="0" l="0" r="0" t="0"/>
            <wp:docPr id="16"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96083" cy="248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 un arreglo de bits. La primordialidad, por lo tanto, se define de manera negativa: un número es primo si no existen soluciones enteras para esta ecuación en el dominio dado. Esta aproximación elimina la necesidad de realizar operaciones de división, sustituyéndolas por multiplicaciones y sumas que son intrínsecamente más rápidas en cualquier arquitectura de cómputo moderna.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Primera Criba: El Motor SunRaman Jet y su Naturaleza Diferente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 analizar la primera criba descrita en los materiales técnicos, se observa que es fundamentalmente diferente de los métodos convencionales. Su diseño está orientado a la ejecución lineal y al aprovechamiento máximo del pipeline de la CPU. Mientras que la criba de Eratóstenes optimizada requiere una lógica de "si es primo, entonces marca", la criba SunRaman Jet genera el espacio de compuestos de forma determinista y sistemática, permitiendo que el procesador ejecute una corriente continua de escrituras en memoria sin las penalizaciones asociadas a la predicción errónea de saltos.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Maniobra Jet y la Optimización de Bordes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Una de las características más distintivas de esta primera criba es la denominada "Maniobra Jet". Este mecanismo se activa cuando el factor base supera la raíz cuadrada del objetivo (</w:t>
      </w:r>
      <w:r w:rsidDel="00000000" w:rsidR="00000000" w:rsidRPr="00000000">
        <w:rPr>
          <w:rFonts w:ascii="Google Sans" w:cs="Google Sans" w:eastAsia="Google Sans" w:hAnsi="Google Sans"/>
          <w:color w:val="1f1f1f"/>
        </w:rPr>
        <w:drawing>
          <wp:inline distB="19050" distT="19050" distL="19050" distR="19050">
            <wp:extent cx="875109" cy="235899"/>
            <wp:effectExtent b="0" l="0" r="0" t="0"/>
            <wp:docPr id="2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875109" cy="2358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 los algoritmos tradicionales, el bucle interno continuaría iterando de forma ineficiente o requeriría comprobaciones constantes para no exceder los límites de la memoria. La maniobra Jet utiliza una lógica aritmética para ajustar el índice </w:t>
      </w:r>
      <w:r w:rsidDel="00000000" w:rsidR="00000000" w:rsidRPr="00000000">
        <w:rPr>
          <w:rFonts w:ascii="Google Sans" w:cs="Google Sans" w:eastAsia="Google Sans" w:hAnsi="Google Sans"/>
          <w:color w:val="1f1f1f"/>
        </w:rPr>
        <w:drawing>
          <wp:inline distB="19050" distT="19050" distL="19050" distR="19050">
            <wp:extent cx="161925" cy="239032"/>
            <wp:effectExtent b="0" l="0" r="0" t="0"/>
            <wp:docPr id="1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61925" cy="239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saltar directamente a los múltiplos que caen dentro del rango de memoria útil, evitando iteraciones en el "vacío" o espacio fuera de límites.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implementar este salto, el algoritmo calcula un valor </w:t>
      </w:r>
      <w:r w:rsidDel="00000000" w:rsidR="00000000" w:rsidRPr="00000000">
        <w:rPr>
          <w:rFonts w:ascii="Google Sans" w:cs="Google Sans" w:eastAsia="Google Sans" w:hAnsi="Google Sans"/>
          <w:color w:val="1f1f1f"/>
        </w:rPr>
        <w:drawing>
          <wp:inline distB="19050" distT="19050" distL="19050" distR="19050">
            <wp:extent cx="101798" cy="242750"/>
            <wp:effectExtent b="0" l="0" r="0" t="0"/>
            <wp:docPr id="25"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101798" cy="2427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basado en el límite real del objetivo y el factor actual </w:t>
      </w:r>
      <w:r w:rsidDel="00000000" w:rsidR="00000000" w:rsidRPr="00000000">
        <w:rPr>
          <w:rFonts w:ascii="Google Sans" w:cs="Google Sans" w:eastAsia="Google Sans" w:hAnsi="Google Sans"/>
          <w:color w:val="1f1f1f"/>
        </w:rPr>
        <w:drawing>
          <wp:inline distB="19050" distT="19050" distL="19050" distR="19050">
            <wp:extent cx="164187" cy="242372"/>
            <wp:effectExtent b="0" l="0" r="0" t="0"/>
            <wp:docPr id="22"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164187" cy="2423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89322"/>
            <wp:effectExtent b="0" l="0" r="0" t="0"/>
            <wp:docPr id="24"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5905500" cy="589322"/>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58628"/>
            <wp:effectExtent b="0" l="0" r="0" t="0"/>
            <wp:docPr id="26"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905500" cy="558628"/>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ajuste permite que la criba mantenga una complejidad temporal de </w:t>
      </w:r>
      <w:r w:rsidDel="00000000" w:rsidR="00000000" w:rsidRPr="00000000">
        <w:rPr>
          <w:rFonts w:ascii="Google Sans" w:cs="Google Sans" w:eastAsia="Google Sans" w:hAnsi="Google Sans"/>
          <w:color w:val="1f1f1f"/>
        </w:rPr>
        <w:drawing>
          <wp:inline distB="19050" distT="19050" distL="19050" distR="19050">
            <wp:extent cx="925354" cy="237074"/>
            <wp:effectExtent b="0" l="0" r="0" t="0"/>
            <wp:docPr id="27"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925354" cy="2370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que aunque es ligeramente superior al </w:t>
      </w:r>
      <w:r w:rsidDel="00000000" w:rsidR="00000000" w:rsidRPr="00000000">
        <w:rPr>
          <w:rFonts w:ascii="Google Sans" w:cs="Google Sans" w:eastAsia="Google Sans" w:hAnsi="Google Sans"/>
          <w:color w:val="1f1f1f"/>
        </w:rPr>
        <w:drawing>
          <wp:inline distB="19050" distT="19050" distL="19050" distR="19050">
            <wp:extent cx="1194321" cy="237333"/>
            <wp:effectExtent b="0" l="0" r="0" t="0"/>
            <wp:docPr id="28"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1194321" cy="2373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Eratóstenes, se compensa con una velocidad de ejecución práctica superior debido a la ausencia de ramificaciones condicionales complejas en el bucle crítico.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Fenómeno de las Remarcas o Dobles Marcajes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pregunta central sobre cuál de las cribas presenta dobles marcajes se responde al examinar la lógica interna del Motor Jet. Debido a que el algoritmo se basa en la generación sistemática de compuestos a partir de todos los pares posibles de factores impares, es inevitable que un mismo número compuesto sea calculado y marcado múltiples veces si posee más de dos factores primos.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documento técnico utiliza el número </w:t>
      </w:r>
      <w:r w:rsidDel="00000000" w:rsidR="00000000" w:rsidRPr="00000000">
        <w:rPr>
          <w:rFonts w:ascii="Google Sans" w:cs="Google Sans" w:eastAsia="Google Sans" w:hAnsi="Google Sans"/>
          <w:color w:val="1f1f1f"/>
        </w:rPr>
        <w:drawing>
          <wp:inline distB="19050" distT="19050" distL="19050" distR="19050">
            <wp:extent cx="276701" cy="215212"/>
            <wp:effectExtent b="0" l="0" r="0" t="0"/>
            <wp:docPr id="29"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276701" cy="2152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como ejemplo paradigmático de este fenómeno. Dado que </w:t>
      </w:r>
      <w:r w:rsidDel="00000000" w:rsidR="00000000" w:rsidRPr="00000000">
        <w:rPr>
          <w:rFonts w:ascii="Google Sans" w:cs="Google Sans" w:eastAsia="Google Sans" w:hAnsi="Google Sans"/>
          <w:color w:val="1f1f1f"/>
        </w:rPr>
        <w:drawing>
          <wp:inline distB="19050" distT="19050" distL="19050" distR="19050">
            <wp:extent cx="1342311" cy="213549"/>
            <wp:effectExtent b="0" l="0" r="0" t="0"/>
            <wp:docPr id="30"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1342311" cy="2135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índice </w:t>
      </w:r>
      <w:r w:rsidDel="00000000" w:rsidR="00000000" w:rsidRPr="00000000">
        <w:rPr>
          <w:rFonts w:ascii="Google Sans" w:cs="Google Sans" w:eastAsia="Google Sans" w:hAnsi="Google Sans"/>
          <w:color w:val="1f1f1f"/>
        </w:rPr>
        <w:drawing>
          <wp:inline distB="19050" distT="19050" distL="19050" distR="19050">
            <wp:extent cx="96083" cy="248216"/>
            <wp:effectExtent b="0" l="0" r="0" t="0"/>
            <wp:docPr id="31"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96083" cy="248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correspondiente a este número será visitado y marcado como "compuesto" en tres iteraciones distintas: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Cuando el factor base es 5 y el multiplicador es 77.</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Cuando el factor base es 7 y el multiplicador es 55.</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Cuando el factor base es 11 y el multiplicador es 35.</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comportamiento se conoce como "remarcas" o "dobles marcajes". Lejos de ser un defecto, en la primera criba esto es una decisión de diseño deliberada. El análisis de rendimiento indica que la simplicidad de realizar una escritura redundante en memoria es significativamente más rápida que la lógica necesaria para evitarla (como realizar un if para comprobar si el bit ya está marcado). Al permitir las remarcas, el algoritmo favorece la predicción de saltos de la CPU y mantiene un flujo de ejecución lineal, lo cual es ideal no solo para procesadores estándar sino también para arquitecturas de GPU donde la divergencia de hilos (warp divergence) debe minimizarse a toda costa.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Segunda Criba: El Modelo de Cribado Superior e Incremental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contraposición a la primera criba, que realiza un barrido masivo y acepta la redundancia como un costo operativo por la velocidad, el Modelo de Cribado Superior (o criba segmentada incremental) introduce una lógica de gestión de rangos que es sustancialmente distinta. Esta "segunda criba" no intenta procesar todo el espacio de números desde cero de manera monolítica, sino que divide el problema en segmentos manejables, a menudo alineados con el tamaño de la memoria caché del procesador o en bloques de persistencia de 1MB.</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Lógica de Marcaje por Rangos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segunda criba es capaz de generar números primos en un intervalo específico </w:t>
      </w:r>
      <w:r w:rsidDel="00000000" w:rsidR="00000000" w:rsidRPr="00000000">
        <w:rPr>
          <w:rFonts w:ascii="Google Sans" w:cs="Google Sans" w:eastAsia="Google Sans" w:hAnsi="Google Sans"/>
          <w:color w:val="1f1f1f"/>
        </w:rPr>
        <w:drawing>
          <wp:inline distB="19050" distT="19050" distL="19050" distR="19050">
            <wp:extent cx="983218" cy="238123"/>
            <wp:effectExtent b="0" l="0" r="0" t="0"/>
            <wp:docPr id="32"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983218" cy="2381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sin necesidad de haber procesado exhaustivamente todos los números anteriores. Para lograr esto, debe calcular con precisión el punto de inicio para cada base de cribado dentro del nuevo segmento. La fórmula para hallar el menor índice </w:t>
      </w:r>
      <w:r w:rsidDel="00000000" w:rsidR="00000000" w:rsidRPr="00000000">
        <w:rPr>
          <w:rFonts w:ascii="Google Sans" w:cs="Google Sans" w:eastAsia="Google Sans" w:hAnsi="Google Sans"/>
          <w:color w:val="1f1f1f"/>
        </w:rPr>
        <w:drawing>
          <wp:inline distB="19050" distT="19050" distL="19050" distR="19050">
            <wp:extent cx="86558" cy="243937"/>
            <wp:effectExtent b="0" l="0" r="0" t="0"/>
            <wp:docPr id="33"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86558" cy="2439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tal que el compuesto caiga dentro del segmento actual es crítica para evitar la redundancia inter-segmental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58628"/>
            <wp:effectExtent b="0" l="0" r="0" t="0"/>
            <wp:docPr id="1"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905500" cy="55862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Donde </w:t>
      </w:r>
      <w:r w:rsidDel="00000000" w:rsidR="00000000" w:rsidRPr="00000000">
        <w:rPr>
          <w:rFonts w:ascii="Google Sans" w:cs="Google Sans" w:eastAsia="Google Sans" w:hAnsi="Google Sans"/>
          <w:color w:val="1f1f1f"/>
        </w:rPr>
        <w:drawing>
          <wp:inline distB="19050" distT="19050" distL="19050" distR="19050">
            <wp:extent cx="125611" cy="243371"/>
            <wp:effectExtent b="0" l="0" r="0" t="0"/>
            <wp:docPr id="2"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125611" cy="2433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el índice inicial del segmento e </w:t>
      </w:r>
      <w:r w:rsidDel="00000000" w:rsidR="00000000" w:rsidRPr="00000000">
        <w:rPr>
          <w:rFonts w:ascii="Google Sans" w:cs="Google Sans" w:eastAsia="Google Sans" w:hAnsi="Google Sans"/>
          <w:color w:val="1f1f1f"/>
        </w:rPr>
        <w:drawing>
          <wp:inline distB="19050" distT="19050" distL="19050" distR="19050">
            <wp:extent cx="63698" cy="246831"/>
            <wp:effectExtent b="0" l="0" r="0" t="0"/>
            <wp:docPr id="3"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63698" cy="246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la base de la criba de Sundaram. Esta capacidad de "rango a rango" es lo que diferencia a este modelo de las implementaciones estándar, permitiendo que el sistema sea cache-friendly y extremadamente eficiente en sistemas de computación distribuida.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Factorizador Flash y la Ausencia de Dobles Marcajes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Dentro del ecosistema de SunRaman, el </w:t>
      </w:r>
      <w:r w:rsidDel="00000000" w:rsidR="00000000" w:rsidRPr="00000000">
        <w:rPr>
          <w:rFonts w:ascii="Google Sans" w:cs="Google Sans" w:eastAsia="Google Sans" w:hAnsi="Google Sans"/>
          <w:b w:val="1"/>
          <w:bCs w:val="1"/>
          <w:color w:val="1f1f1f"/>
          <w:rtl w:val="0"/>
        </w:rPr>
        <w:t xml:space="preserve">Factorizador Flash</w:t>
      </w:r>
      <w:r w:rsidDel="00000000" w:rsidR="00000000" w:rsidRPr="00000000">
        <w:rPr>
          <w:rFonts w:ascii="Google Sans" w:cs="Google Sans" w:eastAsia="Google Sans" w:hAnsi="Google Sans"/>
          <w:color w:val="1f1f1f"/>
          <w:rtl w:val="0"/>
        </w:rPr>
        <w:t xml:space="preserve"> actúa como una herramienta de diagnóstico que busca soluciones a la ecuación diofántica para un valor </w:t>
      </w:r>
      <w:r w:rsidDel="00000000" w:rsidR="00000000" w:rsidRPr="00000000">
        <w:rPr>
          <w:rFonts w:ascii="Google Sans" w:cs="Google Sans" w:eastAsia="Google Sans" w:hAnsi="Google Sans"/>
          <w:color w:val="1f1f1f"/>
        </w:rPr>
        <w:drawing>
          <wp:inline distB="19050" distT="19050" distL="19050" distR="19050">
            <wp:extent cx="96083" cy="248216"/>
            <wp:effectExtent b="0" l="0" r="0" t="0"/>
            <wp:docPr id="4"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96083" cy="248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fijo. A diferencia del Motor Jet, el Factorizador Flash utiliza una "estrategia de pinza" (pincer search) que alterna entre rangos de búsqueda para optimizar el tiempo de detección de la composición de un número.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componente es el que </w:t>
      </w:r>
      <w:r w:rsidDel="00000000" w:rsidR="00000000" w:rsidRPr="00000000">
        <w:rPr>
          <w:rFonts w:ascii="Google Sans" w:cs="Google Sans" w:eastAsia="Google Sans" w:hAnsi="Google Sans"/>
          <w:b w:val="1"/>
          <w:bCs w:val="1"/>
          <w:color w:val="1f1f1f"/>
          <w:rtl w:val="0"/>
        </w:rPr>
        <w:t xml:space="preserve">no tiene dobles marcajes</w:t>
      </w:r>
      <w:r w:rsidDel="00000000" w:rsidR="00000000" w:rsidRPr="00000000">
        <w:rPr>
          <w:rFonts w:ascii="Google Sans" w:cs="Google Sans" w:eastAsia="Google Sans" w:hAnsi="Google Sans"/>
          <w:color w:val="1f1f1f"/>
          <w:rtl w:val="0"/>
        </w:rPr>
        <w:t xml:space="preserve"> en el sentido tradicional. Dado que su objetivo es encontrar una prueba de que un número es compuesto, en el momento en que detecta la primera solución entera para la ecuación </w:t>
      </w:r>
      <w:r w:rsidDel="00000000" w:rsidR="00000000" w:rsidRPr="00000000">
        <w:rPr>
          <w:rFonts w:ascii="Google Sans" w:cs="Google Sans" w:eastAsia="Google Sans" w:hAnsi="Google Sans"/>
          <w:color w:val="1f1f1f"/>
        </w:rPr>
        <w:drawing>
          <wp:inline distB="19050" distT="19050" distL="19050" distR="19050">
            <wp:extent cx="1932499" cy="236788"/>
            <wp:effectExtent b="0" l="0" r="0" t="0"/>
            <wp:docPr id="5"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1932499" cy="2367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algoritmo retorna inmediatamente el resultado (return res;). No continúa iterando para encontrar otros factores, lo que elimina cualquier redundancia operativa una vez alcanzado el objetivo de diagnóstico.</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Característica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Criba SunRaman Jet (Primera)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Factorizador Flash / Incremental (Segunda)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Objetivo Primario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Generación masiva de primos (sifting).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Diagnóstico de primalidad / Generación por rangos.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Dobles Marcajes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Sí (Remarcas aceptadas por velocidad).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 (Salida temprana / Localización segmental).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Lógica de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Flujo lineal, sin saltos condicionales.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Estrategia de pinza, alternancia de rangos.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Estructura de Memoria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Mapa de bits masivo.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Bloques de 1MB / Segmentos de caché.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Optimización Clave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Maniobra Jet (ajuste de frontera).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Cálculo de índice de inicio segmental.</w:t>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Comparativo de la Eficiencia y el Rendimiento</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elección entre una criba que permite dobles marcajes y una que los evita depende enteramente del entorno de ejecución y los requisitos de latencia. Los resultados experimentales indican que el enfoque de SunRaman (Criba 1) supera a métodos bien establecidos como Miller-Rabin o la criba de Eratóstenes en rangos moderados y grandes debido a su menor costo por operación elemental.</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Comparativa de Tiempos de Ejecución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pruebas realizadas con un límite de </w:t>
      </w:r>
      <w:r w:rsidDel="00000000" w:rsidR="00000000" w:rsidRPr="00000000">
        <w:rPr>
          <w:rFonts w:ascii="Google Sans" w:cs="Google Sans" w:eastAsia="Google Sans" w:hAnsi="Google Sans"/>
          <w:color w:val="1f1f1f"/>
        </w:rPr>
        <w:drawing>
          <wp:inline distB="19050" distT="19050" distL="19050" distR="19050">
            <wp:extent cx="225981" cy="188317"/>
            <wp:effectExtent b="0" l="0" r="0" t="0"/>
            <wp:docPr id="6"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225981" cy="1883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números, la lógica basada en fórmulas de números compuestos impares demostró una superioridad notable. La capacidad de ignorar todos los números pares y los múltiplos de tres de forma estructural (vía rueda) reduce el espacio de búsqueda en aproximadamente un 66%, lo que permite alcanzar tiempos de procesamiento que superan a la criba de Sundaram clásica y a las pruebas probabilísticas.</w:t>
      </w:r>
      <w:r w:rsidDel="00000000" w:rsidR="00000000" w:rsidRPr="00000000">
        <w:rPr>
          <w:rFonts w:ascii="Google Sans" w:cs="Google Sans" w:eastAsia="Google Sans" w:hAnsi="Google Sans"/>
          <w:color w:val="444746"/>
          <w:sz w:val="24"/>
          <w:szCs w:val="24"/>
          <w:vertAlign w:val="superscript"/>
          <w:rtl w:val="0"/>
        </w:rPr>
        <w:t xml:space="preserve">2</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Algoritmo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Tiempo Medio (108 elementos)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Clasificación de Eficiencia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SunRaman Jet (Criba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88.4 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Óptima (High-Throughput)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Criba de Sundaram Clásica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93.9 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Criba de Eratóstenes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110.2 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Estándar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Miller-Rabin (Probabilístico)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234.5 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Baja (para rangos masivos)</w:t>
            </w:r>
          </w:p>
        </w:tc>
      </w:tr>
    </w:tbl>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 fundamental entender que, aunque la Criba 1 realiza más operaciones de escritura debido a las remarcas, cada operación es tan ligera que el rendimiento total es mayor. En la computación moderna, el acceso secuencial a memoria y la predictibilidad del flujo de instrucciones son a menudo más valiosos que el recuento total de instrucciones.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Implementación Técnica: La Librería Gvma.h</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integración de estos algoritmos en sistemas de alto nivel se realiza a través de la librería técnica Gvma.h, escrita en C puro para garantizar la portabilidad y el máximo rendimiento. Esta librería actúa como un motor de cálculo universal que puede ser invocado desde lenguajes como Python, Rust o Dart mediante interfaces de funciones foráneas (FFI).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Estructura de la Criba Jet en C</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implementación de ejecutar_criba_jet muestra cómo se gestiona el bucle de marcado utilizando variables de rueda para saltar múltiplos de 3. El uso de rueda_n y rueda_m (que alternan entre 4 y 2) asegura que el algoritmo solo considere candidatos que cumplan con la forma </w:t>
      </w:r>
      <w:r w:rsidDel="00000000" w:rsidR="00000000" w:rsidRPr="00000000">
        <w:rPr>
          <w:rFonts w:ascii="Google Sans" w:cs="Google Sans" w:eastAsia="Google Sans" w:hAnsi="Google Sans"/>
          <w:color w:val="1f1f1f"/>
        </w:rPr>
        <w:drawing>
          <wp:inline distB="19050" distT="19050" distL="19050" distR="19050">
            <wp:extent cx="511731" cy="236771"/>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11731" cy="2367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ejecutar_criba_jet</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uint8_t</w:t>
      </w:r>
      <w:r w:rsidDel="00000000" w:rsidR="00000000" w:rsidRPr="00000000">
        <w:rPr>
          <w:rFonts w:ascii="Google Sans" w:cs="Google Sans" w:eastAsia="Google Sans" w:hAnsi="Google Sans"/>
          <w:i w:val="0"/>
          <w:iCs w:val="0"/>
          <w:color w:val="444746"/>
          <w:sz w:val="20"/>
          <w:szCs w:val="20"/>
          <w:shd w:fill="f0f4f9" w:val="clear"/>
          <w:rtl w:val="0"/>
        </w:rPr>
        <w:t xml:space="preserve"> *mapa, </w:t>
      </w:r>
      <w:r w:rsidDel="00000000" w:rsidR="00000000" w:rsidRPr="00000000">
        <w:rPr>
          <w:rFonts w:ascii="Google Sans" w:cs="Google Sans" w:eastAsia="Google Sans" w:hAnsi="Google Sans"/>
          <w:i w:val="0"/>
          <w:iCs w:val="0"/>
          <w:color w:val="8430ce"/>
          <w:sz w:val="20"/>
          <w:szCs w:val="20"/>
          <w:shd w:fill="f0f4f9" w:val="clear"/>
          <w:rtl w:val="0"/>
        </w:rPr>
        <w:t xml:space="preserve">uint64_t</w:t>
      </w:r>
      <w:r w:rsidDel="00000000" w:rsidR="00000000" w:rsidRPr="00000000">
        <w:rPr>
          <w:rFonts w:ascii="Google Sans" w:cs="Google Sans" w:eastAsia="Google Sans" w:hAnsi="Google Sans"/>
          <w:i w:val="0"/>
          <w:iCs w:val="0"/>
          <w:color w:val="444746"/>
          <w:sz w:val="20"/>
          <w:szCs w:val="20"/>
          <w:shd w:fill="f0f4f9" w:val="clear"/>
          <w:rtl w:val="0"/>
        </w:rPr>
        <w:t xml:space="preserve"> limite_v)</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objetivo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limite_v +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limite_raiz = (</w:t>
      </w:r>
      <w:r w:rsidDel="00000000" w:rsidR="00000000" w:rsidRPr="00000000">
        <w:rPr>
          <w:rFonts w:ascii="Google Sans" w:cs="Google Sans" w:eastAsia="Google Sans" w:hAnsi="Google Sans"/>
          <w:i w:val="0"/>
          <w:iCs w:val="0"/>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967d2"/>
          <w:sz w:val="20"/>
          <w:szCs w:val="20"/>
          <w:shd w:fill="f0f4f9" w:val="clear"/>
          <w:rtl w:val="0"/>
        </w:rPr>
        <w:t xml:space="preserve">sqrt</w:t>
      </w:r>
      <w:r w:rsidDel="00000000" w:rsidR="00000000" w:rsidRPr="00000000">
        <w:rPr>
          <w:rFonts w:ascii="Google Sans" w:cs="Google Sans" w:eastAsia="Google Sans" w:hAnsi="Google Sans"/>
          <w:color w:val="1f1f1f"/>
          <w:shd w:fill="f0f4f9" w:val="clear"/>
          <w:rtl w:val="0"/>
        </w:rPr>
        <w:t xml:space="preserve">(objetivo);</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bool</w:t>
      </w:r>
      <w:r w:rsidDel="00000000" w:rsidR="00000000" w:rsidRPr="00000000">
        <w:rPr>
          <w:rFonts w:ascii="Google Sans" w:cs="Google Sans" w:eastAsia="Google Sans" w:hAnsi="Google Sans"/>
          <w:color w:val="1f1f1f"/>
          <w:shd w:fill="f0f4f9" w:val="clear"/>
          <w:rtl w:val="0"/>
        </w:rPr>
        <w:t xml:space="preserve"> jet_activado = </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rueda_n = </w:t>
      </w:r>
      <w:r w:rsidDel="00000000" w:rsidR="00000000" w:rsidRPr="00000000">
        <w:rPr>
          <w:rFonts w:ascii="Google Sans" w:cs="Google Sans" w:eastAsia="Google Sans" w:hAnsi="Google Sans"/>
          <w:i w:val="0"/>
          <w:iCs w:val="0"/>
          <w:color w:val="b55908"/>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n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&lt;= objetivo / </w:t>
      </w:r>
      <w:r w:rsidDel="00000000" w:rsidR="00000000" w:rsidRPr="00000000">
        <w:rPr>
          <w:rFonts w:ascii="Google Sans" w:cs="Google Sans" w:eastAsia="Google Sans" w:hAnsi="Google Sans"/>
          <w:i w:val="0"/>
          <w:iCs w:val="0"/>
          <w:color w:val="b55908"/>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f1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m = n;</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rueda_m = rueda_n;</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(f1 &gt; limite_raiz &amp;&amp;!jet_activado)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Aplicación de la Maniobra Jet para salto de frontera</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k = (objetivo - (objetivo % f1)) / f1;</w:t>
        <w:br w:type="textWrapping"/>
        <w:t xml:space="preserve">            m = (k -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((k -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jet_activado =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 (m &gt;=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v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m) +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m) +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(v &lt;= limite_v) {</w:t>
        <w:br w:type="textWrapping"/>
        <w:t xml:space="preserve">                mapa[v]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Marcado redundante (Remarca)</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m -= (</w:t>
      </w:r>
      <w:r w:rsidDel="00000000" w:rsidR="00000000" w:rsidRPr="00000000">
        <w:rPr>
          <w:rFonts w:ascii="Google Sans" w:cs="Google Sans" w:eastAsia="Google Sans" w:hAnsi="Google Sans"/>
          <w:i w:val="0"/>
          <w:iCs w:val="0"/>
          <w:color w:val="b55908"/>
          <w:sz w:val="20"/>
          <w:szCs w:val="20"/>
          <w:shd w:fill="f0f4f9" w:val="clear"/>
          <w:rtl w:val="0"/>
        </w:rPr>
        <w:t xml:space="preserve">6</w:t>
      </w:r>
      <w:r w:rsidDel="00000000" w:rsidR="00000000" w:rsidRPr="00000000">
        <w:rPr>
          <w:rFonts w:ascii="Google Sans" w:cs="Google Sans" w:eastAsia="Google Sans" w:hAnsi="Google Sans"/>
          <w:color w:val="1f1f1f"/>
          <w:shd w:fill="f0f4f9" w:val="clear"/>
          <w:rtl w:val="0"/>
        </w:rPr>
        <w:t xml:space="preserve"> - rueda_m)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rueda_m = </w:t>
      </w:r>
      <w:r w:rsidDel="00000000" w:rsidR="00000000" w:rsidRPr="00000000">
        <w:rPr>
          <w:rFonts w:ascii="Google Sans" w:cs="Google Sans" w:eastAsia="Google Sans" w:hAnsi="Google Sans"/>
          <w:i w:val="0"/>
          <w:iCs w:val="0"/>
          <w:color w:val="b55908"/>
          <w:sz w:val="20"/>
          <w:szCs w:val="20"/>
          <w:shd w:fill="f0f4f9" w:val="clear"/>
          <w:rtl w:val="0"/>
        </w:rPr>
        <w:t xml:space="preserve">6</w:t>
      </w:r>
      <w:r w:rsidDel="00000000" w:rsidR="00000000" w:rsidRPr="00000000">
        <w:rPr>
          <w:rFonts w:ascii="Google Sans" w:cs="Google Sans" w:eastAsia="Google Sans" w:hAnsi="Google Sans"/>
          <w:color w:val="1f1f1f"/>
          <w:shd w:fill="f0f4f9" w:val="clear"/>
          <w:rtl w:val="0"/>
        </w:rPr>
        <w:t xml:space="preserve"> - rueda_m;</w:t>
        <w:br w:type="textWrapping"/>
        <w:t xml:space="preserve">        }</w:t>
        <w:br w:type="textWrapping"/>
        <w:t xml:space="preserve">        n += (</w:t>
      </w:r>
      <w:r w:rsidDel="00000000" w:rsidR="00000000" w:rsidRPr="00000000">
        <w:rPr>
          <w:rFonts w:ascii="Google Sans" w:cs="Google Sans" w:eastAsia="Google Sans" w:hAnsi="Google Sans"/>
          <w:i w:val="0"/>
          <w:iCs w:val="0"/>
          <w:color w:val="b55908"/>
          <w:sz w:val="20"/>
          <w:szCs w:val="20"/>
          <w:shd w:fill="f0f4f9" w:val="clear"/>
          <w:rtl w:val="0"/>
        </w:rPr>
        <w:t xml:space="preserve">6</w:t>
      </w:r>
      <w:r w:rsidDel="00000000" w:rsidR="00000000" w:rsidRPr="00000000">
        <w:rPr>
          <w:rFonts w:ascii="Google Sans" w:cs="Google Sans" w:eastAsia="Google Sans" w:hAnsi="Google Sans"/>
          <w:color w:val="1f1f1f"/>
          <w:shd w:fill="f0f4f9" w:val="clear"/>
          <w:rtl w:val="0"/>
        </w:rPr>
        <w:t xml:space="preserve"> - rueda_n)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rueda_n = </w:t>
      </w:r>
      <w:r w:rsidDel="00000000" w:rsidR="00000000" w:rsidRPr="00000000">
        <w:rPr>
          <w:rFonts w:ascii="Google Sans" w:cs="Google Sans" w:eastAsia="Google Sans" w:hAnsi="Google Sans"/>
          <w:i w:val="0"/>
          <w:iCs w:val="0"/>
          <w:color w:val="b55908"/>
          <w:sz w:val="20"/>
          <w:szCs w:val="20"/>
          <w:shd w:fill="f0f4f9" w:val="clear"/>
          <w:rtl w:val="0"/>
        </w:rPr>
        <w:t xml:space="preserve">6</w:t>
      </w:r>
      <w:r w:rsidDel="00000000" w:rsidR="00000000" w:rsidRPr="00000000">
        <w:rPr>
          <w:rFonts w:ascii="Google Sans" w:cs="Google Sans" w:eastAsia="Google Sans" w:hAnsi="Google Sans"/>
          <w:color w:val="1f1f1f"/>
          <w:shd w:fill="f0f4f9" w:val="clear"/>
          <w:rtl w:val="0"/>
        </w:rPr>
        <w:t xml:space="preserve"> - rueda_n;</w:t>
        <w:br w:type="textWrapping"/>
        <w:t xml:space="preserve">    }</w:t>
        <w:br w:type="textWrapping"/>
        <w:t xml:space="preserve">}</w:t>
        <w:br w:type="textWrapping"/>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estructura es "diferente" porque el bucle interno de m es descendente tras la activación del modo Jet, lo que permite rellenar el mapa de bits desde el límite superior hacia atrás, optimizando la densidad de marcas en segmentos de memoria que ya están cargados en la caché del procesador.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Arquitecturas de Persistencia y Gestión de Datos de 1MB</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aplicaciones que requieren el manejo masivo de datos de primalidad, como en la criptografía de clave pública o la verificación de conjeturas matemáticas, el sistema propone una arquitectura de persistencia basada en bloques binarios modulares de 1MB.</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Formato de Bloque de Megabyte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 archivo binario de exactamente 1MB (</w:t>
      </w:r>
      <w:r w:rsidDel="00000000" w:rsidR="00000000" w:rsidRPr="00000000">
        <w:rPr>
          <w:rFonts w:ascii="Google Sans" w:cs="Google Sans" w:eastAsia="Google Sans" w:hAnsi="Google Sans"/>
          <w:color w:val="1f1f1f"/>
        </w:rPr>
        <w:drawing>
          <wp:inline distB="19050" distT="19050" distL="19050" distR="19050">
            <wp:extent cx="747951" cy="213700"/>
            <wp:effectExtent b="0" l="0" r="0" t="0"/>
            <wp:docPr id="8"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747951" cy="2137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bytes) permite almacenar una cantidad ingente de propiedades de candidatos. La eficiencia del almacenamiento depende de la técnica de empaquetado utilizada. Si se emplea un byte por cada índice, el archivo cubre aproximadamente 2.1 millones de enteros impares. Sin embargo, mediante el uso de bit-packing (un bit por índice), la cobertura se expande a 16.7 millones de candidatos por cada mega de disco.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modularidad facilita el acceso aleatorio y el mapatge en memoria (mmap en sistemas Unix), permitiendo que herramientas de terceros consuman los archivos de primalidad casi instantáneamente sin la sobrecarga de lectura secuencial de bases de datos masivas. Además, al ser archivos de tamaño fijo, la recuperación de datos en caso de interrupción del cribado es trivial: el sistema simplemente identifica el último archivo completo y reanuda el cálculo de las bases de Sundaram para el siguiente segmento de 1MB.</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Nivel de Memoria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Tamaño Sugerido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Latencia (Ciclos)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Función en el Cribado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L1 Cache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 KB - 64 KB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Procesamiento activo del segmento.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L2 Cache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256 KB - 1 MB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Almacenamiento de bases de criba activas.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L3 Cache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 MB - 64 MB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Buffer de salida para persistencia.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RAM Principal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 GB - 128 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Histórico y bases de datos masivas.</w:t>
            </w:r>
          </w:p>
        </w:tc>
      </w:tr>
    </w:tbl>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Aceleración por GPU y Cómputo Heterogéneo</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transición de la criba Jet a entornos gráficos representa uno de los avances más significativos en la computación de alto rendimiento para teoría de números. Las GPUs sufren significativamente cuando hay "divergencia de warp", es decir, cuando los hilos de un mismo bloque toman caminos diferentes debido a un if. La naturaleza lineal y la aceptación de remarcas de la Criba 1 la convierten en la candidata ideal para arquitecturas SIMD (Single Instruction, Multiple Data) como CUDA u OpenCL.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un kernel de GPU, la maniobra Jet sitúa el índice m de forma aritmética, permitiendo que miles de hilos calculen valores de v simultáneamente sin ramas condicionales que rompan la tubería (pipeline) de procesamiento. El mapa de bits se carga directamente en la VRAM, donde cada núcleo de la GPU marca una "rebanada" del hiperboloide de compuestos de forma masiva. Este enfoque escala mejor en rangos donde otras cribas (como Eratóstenes segmentada) sufren por el acceso aleatorio a memoria y la gestión compleja de colas de múltiplos.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Caso de Estudio de 385 y la Densidad del Hiperboloide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comprender profundamente por qué la primera criba es "diferente", debemos analizar la densidad de soluciones bajo la hipérbola definida por la ecuación de SunRaman. Si consideramos la ecuación en un plano continuo, el conjunto de compuestos queda delimitado por la región bajo la curva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5853"/>
            <wp:effectExtent b="0" l="0" r="0" t="0"/>
            <wp:docPr id="9"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905500" cy="435853"/>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cantidad de puntos enteros (soluciones) bajo esta curva se comporta asintóticamente como </w:t>
      </w:r>
      <w:r w:rsidDel="00000000" w:rsidR="00000000" w:rsidRPr="00000000">
        <w:rPr>
          <w:rFonts w:ascii="Google Sans" w:cs="Google Sans" w:eastAsia="Google Sans" w:hAnsi="Google Sans"/>
          <w:color w:val="1f1f1f"/>
        </w:rPr>
        <w:drawing>
          <wp:inline distB="19050" distT="19050" distL="19050" distR="19050">
            <wp:extent cx="886063" cy="236793"/>
            <wp:effectExtent b="0" l="0" r="0" t="0"/>
            <wp:docPr id="10"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886063" cy="2367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mientras que la cantidad de primos (índices sin solución) es significativamente menor, aproximadamente </w:t>
      </w:r>
      <w:r w:rsidDel="00000000" w:rsidR="00000000" w:rsidRPr="00000000">
        <w:rPr>
          <w:rFonts w:ascii="Google Sans" w:cs="Google Sans" w:eastAsia="Google Sans" w:hAnsi="Google Sans"/>
          <w:color w:val="1f1f1f"/>
        </w:rPr>
        <w:drawing>
          <wp:inline distB="19050" distT="19050" distL="19050" distR="19050">
            <wp:extent cx="604480" cy="240242"/>
            <wp:effectExtent b="0" l="0" r="0" t="0"/>
            <wp:docPr id="18"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604480" cy="2402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según el Teorema de los Números Primos. Esta disparidad en la densidad revela que la criba se comporta como un "navegador de información" en un espacio casi vacío de candidatos, donde la eliminación estructural mediante remarcas tiene un costo de ciclo de CPU casi constante independientemente de la magnitud del número.</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el ejemplo de 385, el algoritmo no ve una colisión problemática, sino tres oportunidades de confirmar una propiedad algebraica. Esta redundancia operacional garantiza que no se escape ningún compuesto, manteniendo la integridad del cribado sin sacrificar la velocidad de flujo. Es esta priorización de la estructura sobre la singularidad del marcado lo que define la excelencia técnica de la arquitectura Jet frente a los modelos de "marcado único" que requieren comprobaciones de estado costosas.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Aplicaciones en Criptografía y Seguridad de Datos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generación eficiente de números primos es un componente crítico para los algoritmos de cifrado que garantizan la seguridad de las comunicaciones digitales. Sistemas como RSA dependen de la dificultad de factorizar el producto de dos números primos grandes. La capacidad de la Criba Superior Incremental (Criba 2) para operar en rangos específicos permite a los sistemas criptográficos generar claves de magnitudes específicas (por ejemplo, primos de 2048 bits) de manera mucho más rápida que los métodos tradicionales.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Generación de Claves y Adaptabilidad</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Los algoritmos propuestos no solo superan a los tradicionales en tiempo de ejecución, sino que demuestran una capacidad única para adaptarse al tamaño y las características de la entrada. Esta adaptación dinámica asegura que el rendimiento se mantenga óptimo ya sea que se esté cribando un rango pequeño para una aplicación móvil o un rango masivo en un cluster de servidores distribuidos. Al proporcionar un método flexible y eficiente, estas herramientas facilitan el desarrollo de sistemas de comunicación más seguros y permiten investigaciones avanzadas en teoría de números y computación científica.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Integración Avanzada y el Ecosistema FFI</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verdadera potencia de una librería escrita en C como Gvma.h reside en su capacidad para actuar como un "puente" entre el bajo nivel y el desarrollo de aplicaciones modernas. A través de la FFI (Foreign Function Interface), el motor SunRaman puede alimentar aplicaciones en diversas plataformas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Python (IA/Datos):</w:t>
      </w:r>
      <w:r w:rsidDel="00000000" w:rsidR="00000000" w:rsidRPr="00000000">
        <w:rPr>
          <w:rFonts w:ascii="Google Sans" w:cs="Google Sans" w:eastAsia="Google Sans" w:hAnsi="Google Sans"/>
          <w:color w:val="1f1f1f"/>
          <w:rtl w:val="0"/>
        </w:rPr>
        <w:t xml:space="preserve"> Usando ctypes o cffi, se puede realizar un cribado masivo desde un script, obteniendo velocidades 100 veces superiores a cualquier implementación nativa en Python. Esto es vital para investigadores que manejan grandes volúmenes de datos numéricos.</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Rust (Seguridad):</w:t>
      </w:r>
      <w:r w:rsidDel="00000000" w:rsidR="00000000" w:rsidRPr="00000000">
        <w:rPr>
          <w:rFonts w:ascii="Google Sans" w:cs="Google Sans" w:eastAsia="Google Sans" w:hAnsi="Google Sans"/>
          <w:color w:val="1f1f1f"/>
          <w:rtl w:val="0"/>
        </w:rPr>
        <w:t xml:space="preserve"> Rust puede importar las funciones de la librería dentro de bloques unsafe, permitiendo construir sistemas criptográficos ultra-seguros que aprovechen la velocidad del motor Jet sin renunciar a las garantías de seguridad de memoria de Rust.</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Dart/Flutter (Móvil):</w:t>
      </w:r>
      <w:r w:rsidDel="00000000" w:rsidR="00000000" w:rsidRPr="00000000">
        <w:rPr>
          <w:rFonts w:ascii="Google Sans" w:cs="Google Sans" w:eastAsia="Google Sans" w:hAnsi="Google Sans"/>
          <w:color w:val="1f1f1f"/>
          <w:rtl w:val="0"/>
        </w:rPr>
        <w:t xml:space="preserve"> El framework de Google permite llamar a código C para realizar factorizaciones complejas en microsegundos en el procesador del teléfono, permitiendo que apps financieras realicen verificaciones de seguridad pesadas sin bloquear la interfaz de usuario.</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Web (WebAssembly):</w:t>
      </w:r>
      <w:r w:rsidDel="00000000" w:rsidR="00000000" w:rsidRPr="00000000">
        <w:rPr>
          <w:rFonts w:ascii="Google Sans" w:cs="Google Sans" w:eastAsia="Google Sans" w:hAnsi="Google Sans"/>
          <w:color w:val="1f1f1f"/>
          <w:rtl w:val="0"/>
        </w:rPr>
        <w:t xml:space="preserve"> Mediante herramientas como Emscripten, la criba Jet puede ejecutarse directamente en el navegador del usuario, facilitando la creación de herramientas educativas y de investigación accesibles desde cualquier lugar.</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Síntesis de Diferencias y Conclusiones Técnicas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Tras un análisis exhaustivo de los materiales de investigación y las implementaciones de código, se concluye que la distinción entre las dos cribas radica en su filosofía de manejo de la redundancia y su adaptación al hardware.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w:t>
      </w:r>
      <w:r w:rsidDel="00000000" w:rsidR="00000000" w:rsidRPr="00000000">
        <w:rPr>
          <w:rFonts w:ascii="Google Sans" w:cs="Google Sans" w:eastAsia="Google Sans" w:hAnsi="Google Sans"/>
          <w:b w:val="1"/>
          <w:bCs w:val="1"/>
          <w:color w:val="1f1f1f"/>
          <w:rtl w:val="0"/>
        </w:rPr>
        <w:t xml:space="preserve">Primera Criba (Motor Jet)</w:t>
      </w:r>
      <w:r w:rsidDel="00000000" w:rsidR="00000000" w:rsidRPr="00000000">
        <w:rPr>
          <w:rFonts w:ascii="Google Sans" w:cs="Google Sans" w:eastAsia="Google Sans" w:hAnsi="Google Sans"/>
          <w:color w:val="1f1f1f"/>
          <w:rtl w:val="0"/>
        </w:rPr>
        <w:t xml:space="preserve"> es un motor de alto rendimiento diseñado para el "sifting" masivo. Es "diferente" porque prefiere la redundancia (dobles marcajes o remarcas) antes que la interrupción del pipeline de ejecución. Su lógica de rueda </w:t>
      </w:r>
      <w:r w:rsidDel="00000000" w:rsidR="00000000" w:rsidRPr="00000000">
        <w:rPr>
          <w:rFonts w:ascii="Google Sans" w:cs="Google Sans" w:eastAsia="Google Sans" w:hAnsi="Google Sans"/>
          <w:color w:val="1f1f1f"/>
        </w:rPr>
        <w:drawing>
          <wp:inline distB="19050" distT="19050" distL="19050" distR="19050">
            <wp:extent cx="511731" cy="236771"/>
            <wp:effectExtent b="0" l="0" r="0" t="0"/>
            <wp:docPr id="2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11731" cy="2367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su maniobra Jet la posicionan como la herramienta más rápida para generar el espacio de primos desde cero hasta un límite </w:t>
      </w:r>
      <w:r w:rsidDel="00000000" w:rsidR="00000000" w:rsidRPr="00000000">
        <w:rPr>
          <w:rFonts w:ascii="Google Sans" w:cs="Google Sans" w:eastAsia="Google Sans" w:hAnsi="Google Sans"/>
          <w:color w:val="1f1f1f"/>
        </w:rPr>
        <w:drawing>
          <wp:inline distB="19050" distT="19050" distL="19050" distR="19050">
            <wp:extent cx="168116" cy="236891"/>
            <wp:effectExtent b="0" l="0" r="0" t="0"/>
            <wp:docPr id="23"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168116" cy="2368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aprovechando la predictibilidad de los ciclos de CPU y la potencia bruta de las GPUs.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w:t>
      </w:r>
      <w:r w:rsidDel="00000000" w:rsidR="00000000" w:rsidRPr="00000000">
        <w:rPr>
          <w:rFonts w:ascii="Google Sans" w:cs="Google Sans" w:eastAsia="Google Sans" w:hAnsi="Google Sans"/>
          <w:b w:val="1"/>
          <w:bCs w:val="1"/>
          <w:color w:val="1f1f1f"/>
          <w:rtl w:val="0"/>
        </w:rPr>
        <w:t xml:space="preserve">Segunda Criba (Modelo Superior/Incremental)</w:t>
      </w:r>
      <w:r w:rsidDel="00000000" w:rsidR="00000000" w:rsidRPr="00000000">
        <w:rPr>
          <w:rFonts w:ascii="Google Sans" w:cs="Google Sans" w:eastAsia="Google Sans" w:hAnsi="Google Sans"/>
          <w:color w:val="1f1f1f"/>
          <w:rtl w:val="0"/>
        </w:rPr>
        <w:t xml:space="preserve"> es una arquitectura de precisión y persistencia. Está diseñada para el cribado segmentado por rangos y la gestión modular de datos en bloques de 1MB. En su forma de diagnóstico (Factorizador Flash), evita los dobles marcajes mediante una salida temprana, priorizando el ahorro de ciclos de cómputo en la búsqueda de un único testigo de composición.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estudio continuo de las propiedades de los números compuestos impares y su mapeo mediante ecuaciones diofánticas seguirá abriendo nuevas vías para el desarrollo de sistemas de comunicación más eficientes. La capacidad de transitar entre la teoría pura de números y la optimización sistémica de bajo nivel es lo que define el estado del arte en la investigación computacional contemporánea. La integración de estos modelos en librerías portables asegura que el conocimiento clásico pueda ser aplicado con éxito en los marcos de desarrollo más avanzados de la era digital.</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Análisis Criba SunRaman y Librería C.docx</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Computational challenges and solutions: Prime number generation for enhanced data security | PLOS One, fecha de acceso: febrero 18, 2026, </w:t>
      </w:r>
      <w:hyperlink r:id="rId35">
        <w:r w:rsidDel="00000000" w:rsidR="00000000" w:rsidRPr="00000000">
          <w:rPr>
            <w:rFonts w:ascii="Google Sans" w:cs="Google Sans" w:eastAsia="Google Sans" w:hAnsi="Google Sans"/>
            <w:color w:val="0000ee"/>
            <w:sz w:val="24"/>
            <w:szCs w:val="24"/>
            <w:u w:val="single"/>
            <w:rtl w:val="0"/>
          </w:rPr>
          <w:t xml:space="preserve">https://journals.plos.org/plosone/article?id=10.1371/journal.pone.0311782</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Efficient Sequential and Parallel Prime Sieve Algorithms - ResearchGate, fecha de acceso: febrero 18, 2026, </w:t>
      </w:r>
      <w:hyperlink r:id="rId36">
        <w:r w:rsidDel="00000000" w:rsidR="00000000" w:rsidRPr="00000000">
          <w:rPr>
            <w:rFonts w:ascii="Google Sans" w:cs="Google Sans" w:eastAsia="Google Sans" w:hAnsi="Google Sans"/>
            <w:color w:val="0000ee"/>
            <w:sz w:val="24"/>
            <w:szCs w:val="24"/>
            <w:u w:val="single"/>
            <w:rtl w:val="0"/>
          </w:rPr>
          <w:t xml:space="preserve">https://www.researchgate.net/publication/365877236_Efficient_Sequential_and_Parallel_Prime_Sieve_Algorithms</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new explicit algorithmic method for generating the prime numbers in order - ResearchGate, fecha de acceso: febrero 18, 2026, </w:t>
      </w:r>
      <w:hyperlink r:id="rId37">
        <w:r w:rsidDel="00000000" w:rsidR="00000000" w:rsidRPr="00000000">
          <w:rPr>
            <w:rFonts w:ascii="Google Sans" w:cs="Google Sans" w:eastAsia="Google Sans" w:hAnsi="Google Sans"/>
            <w:color w:val="0000ee"/>
            <w:sz w:val="24"/>
            <w:szCs w:val="24"/>
            <w:u w:val="single"/>
            <w:rtl w:val="0"/>
          </w:rPr>
          <w:t xml:space="preserve">https://www.researchgate.net/publication/342127471_A_new_explicit_algorithmic_method_for_generating_the_prime_numbers_in_order</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Computational challenges and solutions: Prime number generation for enhanced data security - ResearchGate, fecha de acceso: febrero 18, 2026, </w:t>
      </w:r>
      <w:hyperlink r:id="rId38">
        <w:r w:rsidDel="00000000" w:rsidR="00000000" w:rsidRPr="00000000">
          <w:rPr>
            <w:rFonts w:ascii="Google Sans" w:cs="Google Sans" w:eastAsia="Google Sans" w:hAnsi="Google Sans"/>
            <w:color w:val="0000ee"/>
            <w:sz w:val="24"/>
            <w:szCs w:val="24"/>
            <w:u w:val="single"/>
            <w:rtl w:val="0"/>
          </w:rPr>
          <w:t xml:space="preserve">https://www.researchgate.net/publication/385858868_Computational_challenges_and_solutions_Prime_number_generation_for_enhanced_data_security</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Computational challenges and solutions: Prime number generation for enhanced data security - PMC, fecha de acceso: febrero 18, 2026, </w:t>
      </w:r>
      <w:hyperlink r:id="rId39">
        <w:r w:rsidDel="00000000" w:rsidR="00000000" w:rsidRPr="00000000">
          <w:rPr>
            <w:rFonts w:ascii="Google Sans" w:cs="Google Sans" w:eastAsia="Google Sans" w:hAnsi="Google Sans"/>
            <w:color w:val="0000ee"/>
            <w:sz w:val="24"/>
            <w:szCs w:val="24"/>
            <w:u w:val="single"/>
            <w:rtl w:val="0"/>
          </w:rPr>
          <w:t xml:space="preserve">https://pmc.ncbi.nlm.nih.gov/articles/PMC11567616/</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Study on Applications of Prime Numbers in Cryptography | Request PDF - ResearchGate, fecha de acceso: febrero 18, 2026, </w:t>
      </w:r>
      <w:hyperlink r:id="rId40">
        <w:r w:rsidDel="00000000" w:rsidR="00000000" w:rsidRPr="00000000">
          <w:rPr>
            <w:rFonts w:ascii="Google Sans" w:cs="Google Sans" w:eastAsia="Google Sans" w:hAnsi="Google Sans"/>
            <w:color w:val="0000ee"/>
            <w:sz w:val="24"/>
            <w:szCs w:val="24"/>
            <w:u w:val="single"/>
            <w:rtl w:val="0"/>
          </w:rPr>
          <w:t xml:space="preserve">https://www.researchgate.net/publication/396006552_A_Study_on_Applications_of_Prime_Numbers_in_Cryptography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396006552_A_Study_on_Applications_of_Prime_Numbers_in_Cryptography" TargetMode="External"/><Relationship Id="rId20" Type="http://schemas.openxmlformats.org/officeDocument/2006/relationships/image" Target="media/image19.png"/><Relationship Id="rId22" Type="http://schemas.openxmlformats.org/officeDocument/2006/relationships/image" Target="media/image21.png"/><Relationship Id="rId21" Type="http://schemas.openxmlformats.org/officeDocument/2006/relationships/image" Target="media/image29.png"/><Relationship Id="rId24" Type="http://schemas.openxmlformats.org/officeDocument/2006/relationships/image" Target="media/image14.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1.png"/><Relationship Id="rId25" Type="http://schemas.openxmlformats.org/officeDocument/2006/relationships/image" Target="media/image13.png"/><Relationship Id="rId28" Type="http://schemas.openxmlformats.org/officeDocument/2006/relationships/image" Target="media/image9.png"/><Relationship Id="rId27" Type="http://schemas.openxmlformats.org/officeDocument/2006/relationships/image" Target="media/image25.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15.png"/><Relationship Id="rId7" Type="http://schemas.openxmlformats.org/officeDocument/2006/relationships/image" Target="media/image8.png"/><Relationship Id="rId8" Type="http://schemas.openxmlformats.org/officeDocument/2006/relationships/image" Target="media/image20.png"/><Relationship Id="rId31" Type="http://schemas.openxmlformats.org/officeDocument/2006/relationships/image" Target="media/image6.png"/><Relationship Id="rId30" Type="http://schemas.openxmlformats.org/officeDocument/2006/relationships/image" Target="media/image7.png"/><Relationship Id="rId11" Type="http://schemas.openxmlformats.org/officeDocument/2006/relationships/image" Target="media/image18.png"/><Relationship Id="rId33" Type="http://schemas.openxmlformats.org/officeDocument/2006/relationships/image" Target="media/image5.png"/><Relationship Id="rId10" Type="http://schemas.openxmlformats.org/officeDocument/2006/relationships/image" Target="media/image3.png"/><Relationship Id="rId32" Type="http://schemas.openxmlformats.org/officeDocument/2006/relationships/image" Target="media/image10.png"/><Relationship Id="rId13" Type="http://schemas.openxmlformats.org/officeDocument/2006/relationships/image" Target="media/image11.png"/><Relationship Id="rId35" Type="http://schemas.openxmlformats.org/officeDocument/2006/relationships/hyperlink" Target="https://journals.plos.org/plosone/article?id=10.1371/journal.pone.0311782" TargetMode="External"/><Relationship Id="rId12" Type="http://schemas.openxmlformats.org/officeDocument/2006/relationships/image" Target="media/image12.png"/><Relationship Id="rId34" Type="http://schemas.openxmlformats.org/officeDocument/2006/relationships/image" Target="media/image28.png"/><Relationship Id="rId15" Type="http://schemas.openxmlformats.org/officeDocument/2006/relationships/image" Target="media/image17.png"/><Relationship Id="rId37" Type="http://schemas.openxmlformats.org/officeDocument/2006/relationships/hyperlink" Target="https://www.researchgate.net/publication/342127471_A_new_explicit_algorithmic_method_for_generating_the_prime_numbers_in_order" TargetMode="External"/><Relationship Id="rId14" Type="http://schemas.openxmlformats.org/officeDocument/2006/relationships/image" Target="media/image4.png"/><Relationship Id="rId36" Type="http://schemas.openxmlformats.org/officeDocument/2006/relationships/hyperlink" Target="https://www.researchgate.net/publication/365877236_Efficient_Sequential_and_Parallel_Prime_Sieve_Algorithms" TargetMode="External"/><Relationship Id="rId17" Type="http://schemas.openxmlformats.org/officeDocument/2006/relationships/image" Target="media/image26.png"/><Relationship Id="rId39" Type="http://schemas.openxmlformats.org/officeDocument/2006/relationships/hyperlink" Target="https://pmc.ncbi.nlm.nih.gov/articles/PMC11567616/" TargetMode="External"/><Relationship Id="rId16" Type="http://schemas.openxmlformats.org/officeDocument/2006/relationships/image" Target="media/image23.png"/><Relationship Id="rId38" Type="http://schemas.openxmlformats.org/officeDocument/2006/relationships/hyperlink" Target="https://www.researchgate.net/publication/385858868_Computational_challenges_and_solutions_Prime_number_generation_for_enhanced_data_security" TargetMode="External"/><Relationship Id="rId19" Type="http://schemas.openxmlformats.org/officeDocument/2006/relationships/image" Target="media/image27.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