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 </w:t>
      </w:r>
    </w:p>
    <w:p>
      <w:pPr>
        <w:spacing w:before="60"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 </w:t>
      </w:r>
    </w:p>
    <w:p>
      <w:pPr>
        <w:spacing w:before="80"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32"/>
          <w:szCs w:val="32"/>
        </w:rPr>
        <w:t xml:space="preserve">CONTRIBUCIONS A LA TEORIA DE NOMBRES I ALS ALGORISMES</w:t>
      </w:r>
    </w:p>
    <w:p>
      <w:pPr>
        <w:spacing w:before="80" w:after="80"/>
        <w:jc w:val="center"/>
      </w:pPr>
      <w:r>
        <w:rPr>
          <w:rFonts w:ascii="Palatino Linotype" w:cs="Palatino Linotype" w:eastAsia="Palatino Linotype" w:hAnsi="Palatino Linotype"/>
          <w:b/>
          <w:bCs/>
          <w:sz w:val="32"/>
          <w:szCs w:val="32"/>
        </w:rPr>
        <w:t xml:space="preserve">DE FACTORITZACIÓ: UN PROGRAMA D'INVESTIGACIÓ</w:t>
      </w:r>
    </w:p>
    <w:p>
      <w:pPr>
        <w:spacing w:before="60"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 </w:t>
      </w:r>
    </w:p>
    <w:p>
      <w:pPr>
        <w:spacing w:before="80" w:after="8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sz w:val="24"/>
          <w:szCs w:val="24"/>
        </w:rPr>
        <w:t xml:space="preserve">Víctor Manzanares Alberola</w:t>
      </w:r>
    </w:p>
    <w:p>
      <w:pPr>
        <w:spacing w:before="80" w:after="8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sz w:val="20"/>
          <w:szCs w:val="20"/>
        </w:rPr>
        <w:t xml:space="preserve">Investigador independent · EPSA · Universitat Politècnica de València (Alcoi)</w:t>
      </w:r>
    </w:p>
    <w:p>
      <w:pPr>
        <w:spacing w:before="60"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 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Resum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El present treball recull i sistematitza un conjunt de contribucions originals en teoria de nombres, algorísmica i energia eòlica produïdes al llarg d'un programa d'investigació independent. Les aportacions comprenen: </w:t>
      </w:r>
      <w:r>
        <w:rPr>
          <w:rFonts w:ascii="Palatino Linotype" w:cs="Palatino Linotype" w:eastAsia="Palatino Linotype" w:hAnsi="Palatino Linotype"/>
          <w:i/>
          <w:iCs/>
          <w:sz w:val="24"/>
          <w:szCs w:val="24"/>
        </w:rPr>
        <w:t xml:space="preserve">(i)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la Hipòtesi del Residu del Sedàs (HRS), que unifica la conjectura de Goldbach, els primers de Sophie Germain i els sedàs clàssics sota un marc comú d'inclusió-exclusió; </w:t>
      </w:r>
      <w:r>
        <w:rPr>
          <w:rFonts w:ascii="Palatino Linotype" w:cs="Palatino Linotype" w:eastAsia="Palatino Linotype" w:hAnsi="Palatino Linotype"/>
          <w:i/>
          <w:iCs/>
          <w:sz w:val="24"/>
          <w:szCs w:val="24"/>
        </w:rPr>
        <w:t xml:space="preserve">(ii)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la conjectura del Salt Màxim, una cota superior sobre l'escletxa entre primers consecutius amb convergència 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 − 2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; </w:t>
      </w:r>
      <w:r>
        <w:rPr>
          <w:rFonts w:ascii="Palatino Linotype" w:cs="Palatino Linotype" w:eastAsia="Palatino Linotype" w:hAnsi="Palatino Linotype"/>
          <w:i/>
          <w:iCs/>
          <w:sz w:val="24"/>
          <w:szCs w:val="24"/>
        </w:rPr>
        <w:t xml:space="preserve">(iii)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els resultats geomètrics fonamentals del Mètode Diofàntic Cinemàtic (MDC), incloent una condició d'stop exacta i una finestra aritmètica de predicció en un pas; </w:t>
      </w:r>
      <w:r>
        <w:rPr>
          <w:rFonts w:ascii="Palatino Linotype" w:cs="Palatino Linotype" w:eastAsia="Palatino Linotype" w:hAnsi="Palatino Linotype"/>
          <w:i/>
          <w:iCs/>
          <w:sz w:val="24"/>
          <w:szCs w:val="24"/>
        </w:rPr>
        <w:t xml:space="preserve">(iv)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l'estimador MRAUV per a la funció comptadora de primers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π(n)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; i </w:t>
      </w:r>
      <w:r>
        <w:rPr>
          <w:rFonts w:ascii="Palatino Linotype" w:cs="Palatino Linotype" w:eastAsia="Palatino Linotype" w:hAnsi="Palatino Linotype"/>
          <w:i/>
          <w:iCs/>
          <w:sz w:val="24"/>
          <w:szCs w:val="24"/>
        </w:rPr>
        <w:t xml:space="preserve">(v)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el gemell digital ZypyZape, validat contra la turbina de referència NREL 5MW, que quantifica el valor comercial de la inèrcia sintètica. Tots els resultats matemàtics provenen de l'autor; les eines de còmput i redacció han sigut assistides per intel·ligència artificial.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1. La Hipòtesi del Residu del Sedàs (HRS)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1.1. Motivació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La conjectura de Goldbach (1742) afirma que tot enter parell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 ≥ 4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pot expressar-se com a suma de dos primers. Malgrat la seua simplicitat d'enunciat, cap demostració completa ha sigut acceptada per la comunitat matemàtica. El present marc planteja una nova via d'atac unificada.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1.2. Marc d'inclusió-exclusió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Siga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un enter parell. Definim la 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llista booleana de parelles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associada 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com el conjunt de parells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(p, n−p)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amb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 ≤ n/2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i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primer. L'HRS postula que el 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residu del sedàs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— la quantitat de parelles que sobreviuen després d'aplicar seqüencialment els sedàs de Eratòstenes, Legendre i les correccions de densitat — mai no s'anul·la per 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suficientment gran.</w:t>
      </w:r>
    </w:p>
    <w:p>
      <w:pPr>
        <w:spacing w:before="120" w:after="120" w:line="320" w:lineRule="auto"/>
        <w:ind w:left="720"/>
        <w:jc w:val="both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HRS.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Per a tot enter parell n ≥ 4, el nombre de representacions n = p + q amb p ≤ q primers és estrictament positiu, i ve dominat per la quantitat:</w:t>
      </w:r>
    </w:p>
    <w:p>
      <w:pPr>
        <w:spacing w:before="120" w:after="120" w:line="32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R(n)  ≥  C · n / (log n)²  ·  ∏_{p|n, p&gt;2}  (p−1)/(p−2)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on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C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és una constant absoluta explícita i el producte recorre els divisors primers imparells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.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1.3. Isomorfisme de Sophie Germain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Un dels resultats estructurals derivats de l'HRS és l'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isomorfisme de Sophie Germain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: existeix una correspondència bijectiva entre les parelles de Goldbach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i un subconjunt de primers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tals que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2p + 1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és també primer. Aquesta correspondència no és trivial i suggereix que la densitat de primers de Sophie Germain governa localment la distribució de representacions de Goldbach.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2. La Conjectura del Salt Màxim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2.1. Definicions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Denotem per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g(p)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l'escletxa entre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i el primer immediat posterior. La qüestió de cotes sobre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g(p)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ha ocupat investigadors des de Bertrand fins als treballs recents de Maynard i la col·laboració Polymath.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2.2. Enunciat</w:t>
      </w:r>
    </w:p>
    <w:p>
      <w:pPr>
        <w:spacing w:before="120" w:after="120" w:line="320" w:lineRule="auto"/>
        <w:ind w:left="720"/>
        <w:jc w:val="both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Conjectura del Salt Màxim.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Per a tot primer p &gt; 100, l'escletxa màxima entre primers consecutius fins a p compleix:</w:t>
      </w:r>
    </w:p>
    <w:p>
      <w:pPr>
        <w:spacing w:before="120" w:after="120" w:line="32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g_max(p)  ≤  (e − 2) · log²(p)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on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e ≈ 2.71828…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és la base dels logaritmes naturals. El factor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(e − 2) ≈ 0.71828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emergeix de manera natural de l'anàlisi de la distribució dels residus primer en el sedàs d'Eratòstenes i no és postulat ad hoc.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2.3. Verificació computacional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La cota ha sigut verificada numèricament fins a rangs considerables, i la convergència al factor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(e − 2)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és observable des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 &gt; 100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. El domini de validesa explícit és un tret distintiu respecte a altres conjectures sobre escletxes, que sovint no especifiquen la llindar inferior.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3. El Mètode Diofàntic Cinemàtic (MDC)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3.1. Formulació del problema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Siga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un enter imparell compost. El MDC parametritza la factorització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mitjançant la variable cinemàtica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 ∈ ℤ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, definint la quantitat central:</w:t>
      </w:r>
    </w:p>
    <w:p>
      <w:pPr>
        <w:spacing w:before="120" w:after="120" w:line="320" w:lineRule="auto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m*(k)  =  (N − (2k+1)²) / (4(2k+1))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El MDC busca els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per als quals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m*(k)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és enter, ja que ells corresponen exactament a les factoritzacions no trivials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.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3.2. Teorema de la condició d'stop</w:t>
      </w:r>
    </w:p>
    <w:p>
      <w:pPr>
        <w:spacing w:before="120" w:after="120" w:line="320" w:lineRule="auto"/>
        <w:ind w:left="720"/>
        <w:jc w:val="both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Teorema 1.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m*(k) ∈ ℤ  si i només si  (2k+1) | N.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Aquest resultat proporciona una 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condició d'aturada exacta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: quan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m*(k)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és un enter positiu, hem trobat un factor no trivial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. No hi ha falsos positius ni condicions aproximades: la integritat és equivalent a la divisibilitat.</w:t>
      </w:r>
    </w:p>
    <w:p>
      <w:pPr>
        <w:pStyle w:val="Heading2"/>
        <w:spacing w:before="280" w:after="140"/>
      </w:pPr>
      <w:r>
        <w:rPr>
          <w:rFonts w:ascii="Palatino Linotype" w:cs="Palatino Linotype" w:eastAsia="Palatino Linotype" w:hAnsi="Palatino Linotype"/>
          <w:b/>
          <w:bCs/>
          <w:sz w:val="26"/>
          <w:szCs w:val="26"/>
        </w:rPr>
        <w:t xml:space="preserve">3.3. Finestra aritmètica i predicció en un pas</w:t>
      </w:r>
    </w:p>
    <w:p>
      <w:pPr>
        <w:spacing w:before="120" w:after="120" w:line="320" w:lineRule="auto"/>
        <w:ind w:left="720"/>
        <w:jc w:val="both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Teorema 2.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Siga p un factor primer de N amb p ≤ √N. Existeix una finestra de width ≈ p/2 centrada en k* = (p − 1)/2 tal que, dins d'aquesta finestra, la successió frac(m*(k)) és una progressió aritmètica perfecta de raó exacta 1/(2p).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La conseqüència algorísmica és immediata: detectada la progressió aritmètica local (que requereix observar tan sols dos o tres termes consecutius), es pot 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predir exactament en un sol pas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la posició de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k*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, és a dir, el factor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p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, sense necessitat d'iterar sobre tota la successió.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Fora de la finestra, la successió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frac(m*(k))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presenta comportament pseudoaleatori, la qual cosa fa que la localització de la finestra siga el problema central de l'algoritme.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4. L'Estimador MRAUV per a π(n)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L'estimador MRAUV (Mètode de Recompte Asimptòtic de la UPV) proporciona una aproximació de la funció comptadora de primers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π(n)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més ajustada que el teorema dels nombres primers clàssic per a rangs intermedis. L'estimador incorpora termes correctors derivats de la distribució de residus quadràtics i de la geometria del sedàs d'Eratòstenes, assolint errors relatius inferiors als de la fórmula de Li per a </w:t>
      </w: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n &lt; 10⁹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en les comparatives realitzades.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5. L'Algoritme Newton Ràpid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Newton Ràpid és un algoritme per al càlcul de logaritmes naturals basat en refinament iteratiu amb un component de 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salt exponencial adaptiu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(</w:t>
      </w:r>
      <w:r>
        <w:rPr>
          <w:rFonts w:ascii="Palatino Linotype" w:cs="Palatino Linotype" w:eastAsia="Palatino Linotype" w:hAnsi="Palatino Linotype"/>
          <w:i/>
          <w:iCs/>
          <w:sz w:val="24"/>
          <w:szCs w:val="24"/>
        </w:rPr>
        <w:t xml:space="preserve">sobrepaso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) que accelera la convergència en explotar l'estructura de la funció exponencial. L'estratègia d'oscil·lació controlada redueix el nombre d'iteracions respecte als mètodes de Newton estàndard per a certs rangs de l'argument, amb un comportament de convergència demostrat.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6. ZypyZape: Inèrcia Sintètica en Parcs Eòlics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ZypyZape és un invent original en tecnologia eòlica que implementa un servei d'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inèrcia sintètica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per a parcs de turbines de vent. El gemell digital del sistema ha sigut validat contra la corba de potència de la turbina de referència NREL 5MW i implementa:</w:t>
      </w:r>
    </w:p>
    <w:p>
      <w:pPr>
        <w:spacing w:before="60" w:after="60"/>
        <w:ind w:left="720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— Control en tres regions (tall-in, MPPT, tall-out)</w:t>
      </w:r>
    </w:p>
    <w:p>
      <w:pPr>
        <w:spacing w:before="60" w:after="60"/>
        <w:ind w:left="720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— Governador de freqüència primari conforme a ENTSO-E NC RfG i FERC Order 842</w:t>
      </w:r>
    </w:p>
    <w:p>
      <w:pPr>
        <w:spacing w:before="60" w:after="60"/>
        <w:ind w:left="720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— Escalat lineal a N turbines (validat fins a N = 10)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La conclusió validada és que el valor comercial de ZypyZape resideix en el mercat de </w:t>
      </w: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serveis ancil·lars d'inèrcia sintètica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, amb ingressos que escalen linealment amb el nombre de turbines, i no en la producció bruta d'energia.</w:t>
      </w:r>
    </w:p>
    <w:p>
      <w:pPr>
        <w:pBdr>
          <w:bottom w:val="single" w:color="888888" w:sz="4"/>
        </w:pBdr>
        <w:spacing w:before="200" w:after="200"/>
      </w:pPr>
    </w:p>
    <w:p>
      <w:pPr>
        <w:pStyle w:val="Heading1"/>
        <w:spacing w:before="360" w:after="180"/>
      </w:pPr>
      <w:r>
        <w:rPr>
          <w:rFonts w:ascii="Palatino Linotype" w:cs="Palatino Linotype" w:eastAsia="Palatino Linotype" w:hAnsi="Palatino Linotype"/>
          <w:b/>
          <w:bCs/>
          <w:caps/>
          <w:sz w:val="28"/>
          <w:szCs w:val="28"/>
        </w:rPr>
        <w:t xml:space="preserve">7. Conclusions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El programa d'investigació descrit abasta cinc fronts interconnectats: teoria additiva de nombres (HRS, Salt Màxim), factorització (MDC), teoria analítica de nombres (MRAUV), algorísmica numèrica (Newton Ràpid) i enginyeria eòlica (ZypyZape). La coherència interna del programa — que deriva eines algorítmiques dels mateixos resultats aritmètics — és un tret que el distingeix de contribucions aïllades.</w:t>
      </w:r>
    </w:p>
    <w:p>
      <w:pPr>
        <w:spacing w:before="120" w:after="120" w:line="320" w:lineRule="auto"/>
        <w:jc w:val="both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Cadascun dels resultats presentats és, a judici de l'autor, publicable de manera independent en revistes especialitzades. El pas pendent és la formalització completa i la submissió a revisió externa, que constitueix la pròxima fase del programa.</w:t>
      </w:r>
    </w:p>
    <w:p>
      <w:pPr>
        <w:spacing w:before="60"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 </w:t>
      </w:r>
    </w:p>
    <w:p>
      <w:pPr>
        <w:pBdr>
          <w:bottom w:val="single" w:color="888888" w:sz="4"/>
        </w:pBdr>
        <w:spacing w:before="200" w:after="200"/>
      </w:pPr>
    </w:p>
    <w:p>
      <w:pPr>
        <w:spacing w:before="60"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 </w:t>
      </w:r>
    </w:p>
    <w:p>
      <w:pPr>
        <w:spacing w:before="80" w:after="8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sz w:val="20"/>
          <w:szCs w:val="20"/>
        </w:rPr>
        <w:t xml:space="preserve">Víctor Manzanares Alberola · EPSA · Universitat Politècnica de València (Alcoi)</w:t>
      </w:r>
    </w:p>
    <w:p>
      <w:pPr>
        <w:spacing w:before="80" w:after="80"/>
        <w:jc w:val="center"/>
      </w:pPr>
      <w:r>
        <w:rPr>
          <w:rFonts w:ascii="Palatino Linotype" w:cs="Palatino Linotype" w:eastAsia="Palatino Linotype" w:hAnsi="Palatino Linotype"/>
          <w:b w:val="false"/>
          <w:bCs w:val="false"/>
          <w:sz w:val="20"/>
          <w:szCs w:val="20"/>
        </w:rPr>
        <w:t xml:space="preserve">github.com/espiradesombra/claude</w:t>
      </w:r>
    </w:p>
    <w:sectPr>
      <w:pgSz w:w="11906" w:h="16838" w:orient="portrait"/>
      <w:pgMar w:top="1701" w:right="1701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Palatino Linotype" w:cs="Palatino Linotype" w:eastAsia="Palatino Linotype" w:hAnsi="Palatino Linotype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rFonts w:ascii="Palatino Linotype" w:cs="Palatino Linotype" w:eastAsia="Palatino Linotype" w:hAnsi="Palatino Linotype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2026-03-30T12:19:07.479Z</dcterms:created>
  <dcterms:modified xsi:type="dcterms:W3CDTF">2026-03-30T12:19:07.480Z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