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Cribas, cotas y estructuras modulares de los primos — Parte 4</w:t>
      </w:r>
    </w:p>
    <w:p>
      <w:pPr>
        <w:pStyle w:val="Subtitle"/>
        <w:jc w:val="center"/>
      </w:pPr>
      <w:r>
        <w:rPr>
          <w:sz w:val="28"/>
        </w:rPr>
        <w:t>Anexos A–D</w:t>
      </w:r>
    </w:p>
    <w:p>
      <w:pPr>
        <w:jc w:val="center"/>
      </w:pPr>
      <w:r>
        <w:rPr>
          <w:sz w:val="24"/>
        </w:rPr>
        <w:t>Autor: Víctor Manzanares Alberola (VMA)</w:t>
      </w:r>
    </w:p>
    <w:p>
      <w:pPr>
        <w:jc w:val="center"/>
      </w:pPr>
      <w:r>
        <w:rPr>
          <w:sz w:val="24"/>
        </w:rPr>
        <w:t>09/09/2025</w:t>
      </w:r>
    </w:p>
    <w:p>
      <w:r>
        <w:br w:type="page"/>
      </w:r>
    </w:p>
    <w:p>
      <w:pPr>
        <w:pStyle w:val="Heading1"/>
      </w:pPr>
      <w:r>
        <w:t>Anexo A · Pseudocódigo: criba modular 6k±1 (anteriorM, anteriorNY)</w:t>
      </w:r>
    </w:p>
    <w:p>
      <w:pPr>
        <w:pStyle w:val="Monospace"/>
      </w:pPr>
      <w:r>
        <w:t>value(i) := 2*i + 3     # candidatos 5,7,11,13,...</w:t>
      </w:r>
    </w:p>
    <w:p>
      <w:pPr>
        <w:pStyle w:val="Monospace"/>
      </w:pPr>
      <w:r>
        <w:t>is_candidate(v) := (v % 6 == 1) or (v % 6 == 5)</w:t>
      </w:r>
    </w:p>
    <w:p>
      <w:pPr>
        <w:pStyle w:val="Monospace"/>
      </w:pPr>
      <w:r>
        <w:t>Inicialización: p[v]=1 si is_candidate(v) else 0; p[2]=p[3]=p[5]=p[7]=1</w:t>
      </w:r>
    </w:p>
    <w:p>
      <w:pPr>
        <w:pStyle w:val="Monospace"/>
      </w:pPr>
      <w:r>
        <w:t>Para n=0..floor((L-3)/2):  pn:=value(n); si p[pn]!=1: continuar</w:t>
      </w:r>
    </w:p>
    <w:p>
      <w:pPr>
        <w:pStyle w:val="Monospace"/>
      </w:pPr>
      <w:r>
        <w:t xml:space="preserve">  m:=n;  siguiente_m_multiplo3:=0</w:t>
      </w:r>
    </w:p>
    <w:p>
      <w:pPr>
        <w:pStyle w:val="Monospace"/>
      </w:pPr>
      <w:r>
        <w:t xml:space="preserve">  mientras true:</w:t>
      </w:r>
    </w:p>
    <w:p>
      <w:pPr>
        <w:pStyle w:val="Monospace"/>
      </w:pPr>
      <w:r>
        <w:t xml:space="preserve">    qm:=value(m); si qm &gt; Nmax/pn: romper</w:t>
      </w:r>
    </w:p>
    <w:p>
      <w:pPr>
        <w:pStyle w:val="Monospace"/>
      </w:pPr>
      <w:r>
        <w:t xml:space="preserve">    si m==siguiente_m_multiplo3: siguiente_m_multiplo3+=3; m+=1; continuar   # anteriorM</w:t>
      </w:r>
    </w:p>
    <w:p>
      <w:pPr>
        <w:pStyle w:val="Monospace"/>
      </w:pPr>
      <w:r>
        <w:t xml:space="preserve">    si !is_candidate(qm): m+=1; continuar</w:t>
      </w:r>
    </w:p>
    <w:p>
      <w:pPr>
        <w:pStyle w:val="Monospace"/>
      </w:pPr>
      <w:r>
        <w:t xml:space="preserve">    si pn &lt;= qm:  comp:=pn*qm;  j:=comp;  salto1:=2*pn; salto2:=4*pn; toggle:=true</w:t>
      </w:r>
    </w:p>
    <w:p>
      <w:pPr>
        <w:pStyle w:val="Monospace"/>
      </w:pPr>
      <w:r>
        <w:t xml:space="preserve">      mientras j&lt;=Nmax: si p[j]==1: p[j]=3;  j+= salto1 si toggle else salto2;  toggle:=!toggle   # marcado único</w:t>
      </w:r>
    </w:p>
    <w:p>
      <w:pPr>
        <w:pStyle w:val="Monospace"/>
      </w:pPr>
      <w:r>
        <w:t xml:space="preserve">    m+=1</w:t>
      </w:r>
    </w:p>
    <w:p>
      <w:pPr>
        <w:pStyle w:val="Heading1"/>
      </w:pPr>
      <w:r>
        <w:t>Anexo B · Pseudocódigo: criba híbrida (ascendente + descendente)</w:t>
      </w:r>
    </w:p>
    <w:p>
      <w:pPr>
        <w:pStyle w:val="Monospace"/>
      </w:pPr>
      <w:r>
        <w:t>Semilla: candidatos 6k±1 y 2,3.</w:t>
      </w:r>
    </w:p>
    <w:p>
      <w:pPr>
        <w:pStyle w:val="Monospace"/>
      </w:pPr>
      <w:r>
        <w:t>Fase ascendente: p en [5..M]; marcar p^2..M con saltos +2p/+4p</w:t>
      </w:r>
    </w:p>
    <w:p>
      <w:pPr>
        <w:pStyle w:val="Monospace"/>
      </w:pPr>
      <w:r>
        <w:t>Fase descendente: p ≤ √N; desde el mayor múltiplo válido ≤N hacia M con saltos −2p/−4p</w:t>
      </w:r>
    </w:p>
    <w:p>
      <w:r>
        <w:t>Segmentación por bloques aconsejada para caché; reducción de remarcas al equilibrar fases.</w:t>
      </w:r>
    </w:p>
    <w:p>
      <w:pPr>
        <w:pStyle w:val="Heading1"/>
      </w:pPr>
      <w:r>
        <w:t>Anexo C · Plantillas de reoptimización para el doble ajuste</w:t>
      </w:r>
    </w:p>
    <w:p>
      <w:r>
        <w:t>Función de coste: α·error + β·(iteraciones/iter_max) + γ·penalizaciones (desbordes/no convergencias).</w:t>
      </w:r>
    </w:p>
    <w:p>
      <w:pPr>
        <w:pStyle w:val="Monospace"/>
      </w:pPr>
      <w:r>
        <w:t>Logs:  parámetros f1∈[1.05,1.8], f2∈[0.5,5], f3∈[-2,-0.1], f4∈[0.5,3], f5∈[-2,-0.1], f6∈[0.5,3]</w:t>
      </w:r>
    </w:p>
    <w:p>
      <w:pPr>
        <w:pStyle w:val="Monospace"/>
      </w:pPr>
      <w:r>
        <w:t>Raíces: mismo esqueleto pero con conjunto T_root y núcleo adaptado; factores óptimos difieren de logs.</w:t>
      </w:r>
    </w:p>
    <w:p>
      <w:r>
        <w:t>Guardias: clamps de exponente y denominadores, y límites [j_min, j_max] para robustez.</w:t>
      </w:r>
    </w:p>
    <w:p>
      <w:pPr>
        <w:pStyle w:val="Heading1"/>
      </w:pPr>
      <w:r>
        <w:t>Anexo D · Mini‑guía para convertir en artículo (LaTeX/Word + figuras)</w:t>
      </w:r>
    </w:p>
    <w:p>
      <w:r>
        <w:t>Estructura IMRaD: Introducción, Preliminares, Resultados, Algoritmos, Experimentos, Discusión, Conclusiones.</w:t>
      </w:r>
    </w:p>
    <w:p>
      <w:r>
        <w:t>LaTeX: amsmath, amsthm, algorithm, algpseudocode; numera I(n), L(n), m(n), criterio L−m≥2.</w:t>
      </w:r>
    </w:p>
    <w:p>
      <w:r>
        <w:t>Word: estilos (Título, Ecuación, Código, Figura) y referencias cruzadas; figuras: (i) L−m vs n; (ii) rejilla 6k±1; (iii) tiempos/fallos; (iv) restos n mod 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