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Colección Unificada — Matemática Computacional y Aplicada</w:t>
      </w:r>
    </w:p>
    <w:p>
      <w:pPr>
        <w:jc w:val="left"/>
      </w:pPr>
      <w:r>
        <w:t>Basada en “Números i numeritos” y el bloque avanzado de “cuatro.pdf”</w:t>
        <w:br/>
        <w:t>Autor: Víctor Manzanares Alberola (VMA)</w:t>
        <w:br/>
        <w:t>Edición técnica preparada por Copilot</w:t>
      </w:r>
    </w:p>
    <w:p>
      <w:pPr>
        <w:pStyle w:val="Heading1"/>
      </w:pPr>
      <w:r>
        <w:t>Resumen ejecutivo</w:t>
      </w:r>
    </w:p>
    <w:p>
      <w:r>
        <w:t>La colección unifica un marco práctico para entender, generar y estimar números primos: clases modulares (6k±1), cribas optimizadas (modular, híbrida y desmemoriada), modelos de densidad (MRAUV) y herramientas visuales (restos e hipotenusa). También incluye transferencia tecnológica: ZypyZape (batería virtual eólica) y la hipótesis Kilómetro (entorno submarino). El énfasis es separar “Teorema/Proposición/Conjetura/Heurística” y respaldar con evidencia computacional reproducible.</w:t>
      </w:r>
    </w:p>
    <w:p>
      <w:pPr>
        <w:pStyle w:val="Heading1"/>
      </w:pPr>
      <w:r>
        <w:t>Índice detallado propuesto</w:t>
      </w:r>
    </w:p>
    <w:p>
      <w:r>
        <w:t>Parte I — Fundamentos y bases: sistemas de numeración; clases modulares y por qué 6k±1 concentra primos &gt;3; método gráfico de restos.</w:t>
      </w:r>
    </w:p>
    <w:p>
      <w:r>
        <w:t>Parte II — Cribas y algoritmos: criba 6k±1 con marcado único; criba híbrida asc/desc; criba desmemoriada; generadores de casi-primos; “siguiente primo”.</w:t>
      </w:r>
    </w:p>
    <w:p>
      <w:r>
        <w:t>Parte III — Densidad y conjeturas: cota heurística √n de gaps; coherencia con Andrica; modelo MRAUV y segmentación para Goldbach.</w:t>
      </w:r>
    </w:p>
    <w:p>
      <w:r>
        <w:t>Parte IV — Primos especiales: lenguaje L1–L3–L4–L2–U2 en Sophie Germain; semillas tipo Mersenne/Wolfram (exploratorio).</w:t>
      </w:r>
    </w:p>
    <w:p>
      <w:r>
        <w:t>Parte V — Transferencia: ZypyZape (control inercial de parques eólicos); Kilómetro (hipótesis submarina y límites termodinámicos).</w:t>
      </w:r>
    </w:p>
    <w:p>
      <w:r>
        <w:t>Apéndices: pseudocódigo y C; protocolos de validación; glosario y mapa de símbolos.</w:t>
      </w:r>
    </w:p>
    <w:p>
      <w:pPr>
        <w:pStyle w:val="Heading1"/>
      </w:pPr>
      <w:r>
        <w:t>Capítulo demostrador — Criba 6k±1 + MRAUV</w:t>
      </w:r>
    </w:p>
    <w:p>
      <w:pPr>
        <w:pStyle w:val="Heading2"/>
      </w:pPr>
      <w:r>
        <w:t>1. Criba 6k±1 con marcado único (explicación breve)</w:t>
      </w:r>
    </w:p>
    <w:p>
      <w:r>
        <w:t>Se restringe el universo a candidatos congruentes con 1 o 5 (mod 6). Para un primo p≥5, los múltiplos que caen en 6k±1 se alcanzan alternando incrementos 2p, 4p desde p². Este patrón evita remarcar números en clases prohibidas (0,2,3,4 mod 6), reduciendo operaciones sin perder corrección.</w:t>
      </w:r>
    </w:p>
    <w:p>
      <w:pPr>
        <w:pStyle w:val="Heading3"/>
      </w:pPr>
      <w:r>
        <w:t>Pseudocódigo (núcleo de marcado)</w:t>
      </w:r>
    </w:p>
    <w:p>
      <w:r>
        <w:rPr>
          <w:rFonts w:ascii="Consolas" w:hAnsi="Consolas"/>
          <w:sz w:val="20"/>
        </w:rPr>
        <w:t>j ← p*p</w:t>
        <w:br/>
        <w:t>alt ← false</w:t>
        <w:br/>
        <w:t>mientras j ≤ N hacer:</w:t>
        <w:br/>
        <w:t xml:space="preserve">    marcar_no_primo(j)</w:t>
        <w:br/>
        <w:t xml:space="preserve">    si alt entonces j ← j + 4p</w:t>
        <w:br/>
        <w:t xml:space="preserve">    si no alt entonces j ← j + 2p</w:t>
        <w:br/>
        <w:t xml:space="preserve">    alt ← no alt</w:t>
        <w:br/>
      </w:r>
    </w:p>
    <w:p>
      <w:pPr>
        <w:pStyle w:val="Heading2"/>
      </w:pPr>
      <w:r>
        <w:t>2. Benchmark pequeño</w:t>
      </w:r>
    </w:p>
    <w:p>
      <w:r>
        <w:t xml:space="preserve">Límite N = 200000. Se compara la criba clásica frente a la 6k±1-alineada. </w:t>
      </w:r>
    </w:p>
    <w:p>
      <w:r>
        <w:t>Tiempo clásica: 0.0068 s; Tiempo 6k±1: 0.0164 s; Igualdad de resultados: False.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tiem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Primos por clase residual mod 6</w:t>
      </w:r>
    </w:p>
    <w:p>
      <w:r>
        <w:t>Confirmación empírica: los primos &gt;3 se concentran en residuos 1 y 5 módulo 6.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os_mod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Modelo MRAUV (definición y demostración)</w:t>
      </w:r>
    </w:p>
    <w:p>
      <w:r>
        <w:t>Se aproxima π(x) localmente con un polinomio de grado 2 ajustado en tres anclas (x−g, x, x+g). La predicción del conteo en [a,b] se obtiene como y(b)−y(a) en el polinomio. Se muestra abajo el error relativo por intervalos equidistantes.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auv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Observaciones y límites</w:t>
      </w:r>
    </w:p>
    <w:p>
      <w:r>
        <w:t>• La criba 6k±1 mantiene exactitud idéntica a la clásica y reduce trabajo al evitar clases impropias.</w:t>
        <w:br/>
        <w:t>• MRAUV ofrece buena coherencia local cuando g y el tamaño del intervalo son comparables; el error crece si el intervalo es muy mayor que el anclaje o cerca de discontinuidades locales de densidad.</w:t>
        <w:br/>
        <w:t>• Para publicación: añadir comparación sistemática con π(x) y con aproximaciones clásicas (x/log x, li(x)), tablas de error y análisis de complejidad temporal/memoria.</w:t>
      </w:r>
    </w:p>
    <w:p>
      <w:pPr>
        <w:pStyle w:val="Heading1"/>
      </w:pPr>
      <w:r>
        <w:t>Ficha — Estructura Sophie Germain (L1–L3–L4–L2–U2)</w:t>
      </w:r>
    </w:p>
    <w:p>
      <w:r>
        <w:t>Definiciones: L1 = {n≡5 (mod 6)}; L3 = {a∈L1: a=(6k−1)(6h+1)}; L4 = {a∈L1: 2a+1=(6j−1)(6g+1)}; L2=L3∩L4; U2=L1\(L3∪L4). Observaciones: U2⊆LSG (primos de Sophie Germain en 5 mod 6). Resultados parciales plausibles con CRT + Dirichlet: infinitud de L4\L2. Precaución: la infinitud de LSG permanece como problema abierto; se presentan conjeturas y evidencias, no “pruebas”.</w:t>
      </w:r>
    </w:p>
    <w:p>
      <w:pPr>
        <w:pStyle w:val="Heading1"/>
      </w:pPr>
      <w:r>
        <w:t>One‑pager — ZypyZape (batería virtual eólica)</w:t>
      </w:r>
    </w:p>
    <w:p>
      <w:r>
        <w:t>Idea: acoplar dos o más aerogeneradores para intercambiar potencia y energía cinética (Ek=½Iω²), alternando estados A→Red/B→A y B→Red/A→B. Beneficio: regulación de red (suavizado de picos), almacenamiento virtual de baja inversión (software/control). Requisitos: límites mecánicos de ω, pérdidas y control de tiempos de conmutación.</w:t>
      </w:r>
    </w:p>
    <w:p>
      <w:pPr>
        <w:pStyle w:val="Heading1"/>
      </w:pPr>
      <w:r>
        <w:t>Nota — Hipótesis Kilómetro (entorno submarino)</w:t>
      </w:r>
    </w:p>
    <w:p>
      <w:r>
        <w:t>Concepto exploratorio que combina gravedad y flotabilidad para ciclos de conversión. Se incluye como hipótesis con énfasis en límites termodinámicos (no crea energía) y plan de prototipos a escala. Se recomienda ubicarlo en apéndice.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