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0"/>
          <w:szCs w:val="600"/>
        </w:rPr>
        <w:t xml:space="preserve"/>
      </w:r>
    </w:p>
    <w:p>
      <w:pPr>
        <w:jc w:val="center"/>
      </w:pPr>
      <w:r>
        <w:rPr>
          <w:rFonts w:ascii="Arial" w:cs="Arial" w:eastAsia="Arial" w:hAnsi="Arial"/>
          <w:b/>
          <w:bCs/>
          <w:color w:val="0D7377"/>
          <w:sz w:val="20"/>
          <w:szCs w:val="20"/>
        </w:rPr>
        <w:t xml:space="preserve">PROPUESTA DE INNOVACIÓN TECNOLÓGICA</w:t>
      </w:r>
    </w:p>
    <w:p>
      <w:r>
        <w:rPr>
          <w:sz w:val="200"/>
          <w:szCs w:val="200"/>
        </w:rPr>
        <w:t xml:space="preserve"/>
      </w:r>
    </w:p>
    <w:p>
      <w:pPr>
        <w:jc w:val="center"/>
      </w:pPr>
      <w:r>
        <w:rPr>
          <w:rFonts w:ascii="Arial" w:cs="Arial" w:eastAsia="Arial" w:hAnsi="Arial"/>
          <w:b/>
          <w:bCs/>
          <w:color w:val="1A3A5C"/>
          <w:sz w:val="72"/>
          <w:szCs w:val="72"/>
        </w:rPr>
        <w:t xml:space="preserve">ZypyZape</w:t>
      </w:r>
    </w:p>
    <w:p>
      <w:r>
        <w:rPr>
          <w:sz w:val="80"/>
          <w:szCs w:val="80"/>
        </w:rPr>
        <w:t xml:space="preserve"/>
      </w:r>
    </w:p>
    <w:p>
      <w:pPr>
        <w:jc w:val="center"/>
      </w:pPr>
      <w:r>
        <w:rPr>
          <w:rFonts w:ascii="Arial" w:cs="Arial" w:eastAsia="Arial" w:hAnsi="Arial"/>
          <w:color w:val="0D7377"/>
          <w:sz w:val="32"/>
          <w:szCs w:val="32"/>
        </w:rPr>
        <w:t xml:space="preserve">Batería Cinética Sintética para Regulación de Red</w:t>
      </w:r>
    </w:p>
    <w:p>
      <w:r>
        <w:rPr>
          <w:sz w:val="400"/>
          <w:szCs w:val="400"/>
        </w:rPr>
        <w:t xml:space="preserve"/>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0D7377" w:sz="8"/>
              <w:left w:val="none"/>
              <w:bottom w:val="thick" w:color="0D7377" w:sz="8"/>
              <w:right w:val="none"/>
            </w:tcBorders>
            <w:shd w:color="E8F4F8" w:val="solid"/>
            <w:tcMar>
              <w:top w:type="dxa" w:w="160"/>
              <w:left w:type="dxa" w:w="240"/>
              <w:bottom w:type="dxa" w:w="160"/>
              <w:right w:type="dxa" w:w="240"/>
            </w:tcMar>
          </w:tcPr>
          <w:p>
            <w:pPr>
              <w:jc w:val="center"/>
            </w:pPr>
            <w:r>
              <w:rPr>
                <w:rFonts w:ascii="Arial" w:cs="Arial" w:eastAsia="Arial" w:hAnsi="Arial"/>
                <w:b/>
                <w:bCs/>
                <w:color w:val="0D7377"/>
                <w:sz w:val="20"/>
                <w:szCs w:val="20"/>
              </w:rPr>
              <w:t xml:space="preserve">Dirigido a:</w:t>
            </w:r>
          </w:p>
          <w:p>
            <w:pPr>
              <w:jc w:val="center"/>
            </w:pPr>
            <w:r>
              <w:rPr>
                <w:rFonts w:ascii="Arial" w:cs="Arial" w:eastAsia="Arial" w:hAnsi="Arial"/>
                <w:b/>
                <w:bCs/>
                <w:color w:val="1A3A5C"/>
                <w:sz w:val="24"/>
                <w:szCs w:val="24"/>
              </w:rPr>
              <w:t xml:space="preserve">Elewit — Plataforma Tecnológica de Redeia / Red Eléctrica de España</w:t>
            </w:r>
          </w:p>
          <w:p>
            <w:r>
              <w:rPr>
                <w:sz w:val="60"/>
                <w:szCs w:val="60"/>
              </w:rPr>
              <w:t xml:space="preserve"/>
            </w:r>
          </w:p>
          <w:p>
            <w:pPr>
              <w:jc w:val="center"/>
            </w:pPr>
            <w:r>
              <w:rPr>
                <w:rFonts w:ascii="Calibri" w:cs="Calibri" w:eastAsia="Calibri" w:hAnsi="Calibri"/>
                <w:color w:val="2C3E50"/>
                <w:sz w:val="20"/>
                <w:szCs w:val="20"/>
              </w:rPr>
              <w:t xml:space="preserve">Programa: New Ventures / Innovación Abierta</w:t>
            </w:r>
          </w:p>
        </w:tc>
      </w:tr>
    </w:tbl>
    <w:p>
      <w:r>
        <w:rPr>
          <w:sz w:val="400"/>
          <w:szCs w:val="400"/>
        </w:rPr>
        <w:t xml:space="preserve"/>
      </w:r>
    </w:p>
    <w:p>
      <w:pPr>
        <w:jc w:val="center"/>
      </w:pPr>
      <w:r>
        <w:rPr>
          <w:rFonts w:ascii="Calibri" w:cs="Calibri" w:eastAsia="Calibri" w:hAnsi="Calibri"/>
          <w:color w:val="2C3E50"/>
          <w:sz w:val="22"/>
          <w:szCs w:val="22"/>
        </w:rPr>
        <w:t xml:space="preserve">Autor: Víctor Manzanares Alberola</w:t>
      </w:r>
    </w:p>
    <w:p>
      <w:pPr>
        <w:jc w:val="center"/>
      </w:pPr>
      <w:r>
        <w:rPr>
          <w:rFonts w:ascii="Calibri" w:cs="Calibri" w:eastAsia="Calibri" w:hAnsi="Calibri"/>
          <w:color w:val="2C3E50"/>
          <w:sz w:val="22"/>
          <w:szCs w:val="22"/>
        </w:rPr>
        <w:t xml:space="preserve">Email: victormanzaresalberola@gmail.com</w:t>
      </w:r>
    </w:p>
    <w:p>
      <w:pPr>
        <w:jc w:val="center"/>
      </w:pPr>
      <w:r>
        <w:rPr>
          <w:rFonts w:ascii="Calibri" w:cs="Calibri" w:eastAsia="Calibri" w:hAnsi="Calibri"/>
          <w:color w:val="2C3E50"/>
          <w:sz w:val="22"/>
          <w:szCs w:val="22"/>
        </w:rPr>
        <w:t xml:space="preserve">Exalumno EPSA – Universitat Politècnica de València (Alcoy)</w:t>
      </w:r>
    </w:p>
    <w:p>
      <w:r>
        <w:rPr>
          <w:sz w:val="80"/>
          <w:szCs w:val="80"/>
        </w:rPr>
        <w:t xml:space="preserve"/>
      </w:r>
    </w:p>
    <w:p>
      <w:pPr>
        <w:jc w:val="center"/>
      </w:pPr>
      <w:r>
        <w:rPr>
          <w:rFonts w:ascii="Calibri" w:cs="Calibri" w:eastAsia="Calibri" w:hAnsi="Calibri"/>
          <w:b/>
          <w:bCs/>
          <w:color w:val="0D7377"/>
          <w:sz w:val="22"/>
          <w:szCs w:val="22"/>
        </w:rPr>
        <w:t xml:space="preserve">Marzo 2026</w:t>
      </w:r>
    </w:p>
    <w:p>
      <w:r>
        <w:br w:type="page"/>
      </w:r>
    </w:p>
    <w:p>
      <w:pPr>
        <w:pStyle w:val="Heading1"/>
        <w:spacing w:before="320" w:after="160"/>
      </w:pPr>
      <w:r>
        <w:rPr>
          <w:rFonts w:ascii="Arial" w:cs="Arial" w:eastAsia="Arial" w:hAnsi="Arial"/>
          <w:b/>
          <w:bCs/>
          <w:color w:val="1A3A5C"/>
          <w:sz w:val="28"/>
          <w:szCs w:val="28"/>
        </w:rPr>
        <w:t xml:space="preserve">1. Resumen Ejecutivo</w:t>
      </w:r>
    </w:p>
    <w:p>
      <w:pPr>
        <w:spacing w:before="80" w:after="80"/>
      </w:pPr>
      <w:r>
        <w:rPr>
          <w:rFonts w:ascii="Calibri" w:cs="Calibri" w:eastAsia="Calibri" w:hAnsi="Calibri"/>
          <w:b w:val="false"/>
          <w:bCs w:val="false"/>
          <w:i w:val="false"/>
          <w:iCs w:val="false"/>
          <w:color w:val="2C3E50"/>
          <w:sz w:val="22"/>
          <w:szCs w:val="22"/>
        </w:rPr>
        <w:t xml:space="preserve">ZypyZape es un sistema de inercia sintética y regulación de red que convierte aerogeneradores existentes en activos activos de la red eléctrica, sin electroquímica, sin inversión en nueva infraestructura y con retorno desde el primer ciclo operativo.</w:t>
      </w:r>
    </w:p>
    <w:p>
      <w:r>
        <w:rPr>
          <w:sz w:val="60"/>
          <w:szCs w:val="6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0D7377" w:sz="6"/>
              <w:left w:val="thick" w:color="0D7377" w:sz="6"/>
              <w:bottom w:val="none"/>
              <w:right w:val="none"/>
            </w:tcBorders>
            <w:shd w:color="E8F4F8" w:val="solid"/>
            <w:tcMar>
              <w:top w:type="dxa" w:w="120"/>
              <w:left w:type="dxa" w:w="180"/>
              <w:bottom w:type="dxa" w:w="120"/>
              <w:right w:type="dxa" w:w="180"/>
            </w:tcMar>
          </w:tcPr>
          <w:p>
            <w:r>
              <w:rPr>
                <w:rFonts w:ascii="Arial" w:cs="Arial" w:eastAsia="Arial" w:hAnsi="Arial"/>
                <w:b/>
                <w:bCs/>
                <w:color w:val="1A3A5C"/>
                <w:sz w:val="22"/>
                <w:szCs w:val="22"/>
              </w:rPr>
              <w:t xml:space="preserve">Propuesta en una frase</w:t>
            </w:r>
          </w:p>
          <w:p>
            <w:pPr>
              <w:spacing w:before="40" w:after="40"/>
            </w:pPr>
            <w:r>
              <w:rPr>
                <w:rFonts w:ascii="Calibri" w:cs="Calibri" w:eastAsia="Calibri" w:hAnsi="Calibri"/>
                <w:color w:val="2C3E50"/>
                <w:sz w:val="20"/>
                <w:szCs w:val="20"/>
              </w:rPr>
              <w:t xml:space="preserve">Mediante la conmutación controlada de energía mecánica entre aerogeneradores en par, ZypyZape crea</w:t>
            </w:r>
          </w:p>
          <w:p>
            <w:pPr>
              <w:spacing w:before="40" w:after="40"/>
            </w:pPr>
            <w:r>
              <w:rPr>
                <w:rFonts w:ascii="Calibri" w:cs="Calibri" w:eastAsia="Calibri" w:hAnsi="Calibri"/>
                <w:color w:val="2C3E50"/>
                <w:sz w:val="20"/>
                <w:szCs w:val="20"/>
              </w:rPr>
              <w:t xml:space="preserve">una batería cinética virtual que aporta inercia sintética, regula frecuencia y mejora la captación eólica</w:t>
            </w:r>
          </w:p>
          <w:p>
            <w:pPr>
              <w:spacing w:before="40" w:after="40"/>
            </w:pPr>
            <w:r>
              <w:rPr>
                <w:rFonts w:ascii="Calibri" w:cs="Calibri" w:eastAsia="Calibri" w:hAnsi="Calibri"/>
                <w:color w:val="2C3E50"/>
                <w:sz w:val="20"/>
                <w:szCs w:val="20"/>
              </w:rPr>
              <w:t xml:space="preserve">en un +37% neto — todo con física mecánica pura, sin baterías electroquímicas.</w:t>
            </w:r>
          </w:p>
        </w:tc>
      </w:tr>
    </w:tbl>
    <w:p>
      <w:r>
        <w:rPr>
          <w:sz w:val="120"/>
          <w:szCs w:val="120"/>
        </w:rPr>
        <w:t xml:space="preserve"/>
      </w:r>
    </w:p>
    <w:p>
      <w:pPr>
        <w:spacing w:before="80" w:after="80"/>
      </w:pPr>
      <w:r>
        <w:rPr>
          <w:rFonts w:ascii="Calibri" w:cs="Calibri" w:eastAsia="Calibri" w:hAnsi="Calibri"/>
          <w:b w:val="false"/>
          <w:bCs w:val="false"/>
          <w:i w:val="false"/>
          <w:iCs w:val="false"/>
          <w:color w:val="2C3E50"/>
          <w:sz w:val="22"/>
          <w:szCs w:val="22"/>
        </w:rPr>
        <w:t xml:space="preserve">El problema que resuelve ZypyZape es el más urgente de la transición energética española: la pérdida de inercia natural en la red por la sustitución de generadores síncronos por renovables. Red Eléctrica ya trabaja en este vector — el proyecto ViSync en Lanzarote es prueba de ello. ZypyZape propone un camino alternativo y complementario: sin litio, sin hidrógeno, aprovechando la masa giratoria que ya existe en los parques eólicos.</w:t>
      </w:r>
    </w:p>
    <w:p>
      <w:r>
        <w:rPr>
          <w:sz w:val="80"/>
          <w:szCs w:val="80"/>
        </w:rPr>
        <w:t xml:space="preserve"/>
      </w:r>
    </w:p>
    <w:p>
      <w:r>
        <w:br w:type="page"/>
      </w:r>
    </w:p>
    <w:p>
      <w:pPr>
        <w:pStyle w:val="Heading1"/>
        <w:spacing w:before="320" w:after="160"/>
      </w:pPr>
      <w:r>
        <w:rPr>
          <w:rFonts w:ascii="Arial" w:cs="Arial" w:eastAsia="Arial" w:hAnsi="Arial"/>
          <w:b/>
          <w:bCs/>
          <w:color w:val="1A3A5C"/>
          <w:sz w:val="28"/>
          <w:szCs w:val="28"/>
        </w:rPr>
        <w:t xml:space="preserve">2. El Problema Físico: Colapso de Inercia en la Red</w:t>
      </w:r>
    </w:p>
    <w:p>
      <w:pPr>
        <w:pStyle w:val="Heading2"/>
        <w:spacing w:before="240" w:after="120"/>
      </w:pPr>
      <w:r>
        <w:rPr>
          <w:rFonts w:ascii="Arial" w:cs="Arial" w:eastAsia="Arial" w:hAnsi="Arial"/>
          <w:b/>
          <w:bCs/>
          <w:color w:val="0D7377"/>
          <w:sz w:val="24"/>
          <w:szCs w:val="24"/>
        </w:rPr>
        <w:t xml:space="preserve">2.1 Inercia del sistema eléctrico</w:t>
      </w:r>
    </w:p>
    <w:p>
      <w:pPr>
        <w:spacing w:before="80" w:after="80"/>
      </w:pPr>
      <w:r>
        <w:rPr>
          <w:rFonts w:ascii="Calibri" w:cs="Calibri" w:eastAsia="Calibri" w:hAnsi="Calibri"/>
          <w:b w:val="false"/>
          <w:bCs w:val="false"/>
          <w:i w:val="false"/>
          <w:iCs w:val="false"/>
          <w:color w:val="2C3E50"/>
          <w:sz w:val="22"/>
          <w:szCs w:val="22"/>
        </w:rPr>
        <w:t xml:space="preserve">La inercia de un sistema eléctrico es su capacidad de resistir variaciones bruscas de frecuencia. En generadores síncronos clásicos, esta inercia está almacenada como energía cinética rotacional:</w:t>
      </w:r>
    </w:p>
    <w:p>
      <w:pPr>
        <w:shd w:color="F5F7FA" w:val="solid"/>
        <w:spacing w:before="140" w:after="140"/>
        <w:jc w:val="center"/>
      </w:pPr>
      <w:r>
        <w:rPr>
          <w:rFonts w:ascii="Courier New" w:cs="Courier New" w:eastAsia="Courier New" w:hAnsi="Courier New"/>
          <w:b/>
          <w:bCs/>
          <w:color w:val="1A3A5C"/>
          <w:sz w:val="22"/>
          <w:szCs w:val="22"/>
        </w:rPr>
        <w:t xml:space="preserve">E_cin = ½ · J · ω²     [J]</w:t>
      </w:r>
    </w:p>
    <w:p>
      <w:pPr>
        <w:spacing w:before="80" w:after="80"/>
      </w:pPr>
      <w:r>
        <w:rPr>
          <w:rFonts w:ascii="Calibri" w:cs="Calibri" w:eastAsia="Calibri" w:hAnsi="Calibri"/>
          <w:b w:val="false"/>
          <w:bCs w:val="false"/>
          <w:i w:val="false"/>
          <w:iCs w:val="false"/>
          <w:color w:val="2C3E50"/>
          <w:sz w:val="22"/>
          <w:szCs w:val="22"/>
        </w:rPr>
        <w:t xml:space="preserve">donde J es el momento de inercia del rotor [kg·m²] y ω la velocidad angular [rad/s]. La constante de inercia H del sistema se define como:</w:t>
      </w:r>
    </w:p>
    <w:p>
      <w:pPr>
        <w:shd w:color="F5F7FA" w:val="solid"/>
        <w:spacing w:before="140" w:after="140"/>
        <w:jc w:val="center"/>
      </w:pPr>
      <w:r>
        <w:rPr>
          <w:rFonts w:ascii="Courier New" w:cs="Courier New" w:eastAsia="Courier New" w:hAnsi="Courier New"/>
          <w:b/>
          <w:bCs/>
          <w:color w:val="1A3A5C"/>
          <w:sz w:val="22"/>
          <w:szCs w:val="22"/>
        </w:rPr>
        <w:t xml:space="preserve">H = E_cin / S_nominal     [s]</w:t>
      </w:r>
    </w:p>
    <w:p>
      <w:pPr>
        <w:spacing w:before="80" w:after="80"/>
      </w:pPr>
      <w:r>
        <w:rPr>
          <w:rFonts w:ascii="Calibri" w:cs="Calibri" w:eastAsia="Calibri" w:hAnsi="Calibri"/>
          <w:b w:val="false"/>
          <w:bCs w:val="false"/>
          <w:i w:val="false"/>
          <w:iCs w:val="false"/>
          <w:color w:val="2C3E50"/>
          <w:sz w:val="22"/>
          <w:szCs w:val="22"/>
        </w:rPr>
        <w:t xml:space="preserve">Un sistema con H elevada responde lentamente a desequilibrios de potencia, dando margen para la actuación de reguladores. Un sistema con H baja — como una red con alta penetración renovable — colapsa de frecuencia en milisegundos si aparece un desbalance P.</w:t>
      </w:r>
    </w:p>
    <w:p>
      <w:r>
        <w:rPr>
          <w:sz w:val="80"/>
          <w:szCs w:val="80"/>
        </w:rPr>
        <w:t xml:space="preserve"/>
      </w:r>
    </w:p>
    <w:p>
      <w:pPr>
        <w:pStyle w:val="Heading2"/>
        <w:spacing w:before="240" w:after="120"/>
      </w:pPr>
      <w:r>
        <w:rPr>
          <w:rFonts w:ascii="Arial" w:cs="Arial" w:eastAsia="Arial" w:hAnsi="Arial"/>
          <w:b/>
          <w:bCs/>
          <w:color w:val="0D7377"/>
          <w:sz w:val="24"/>
          <w:szCs w:val="24"/>
        </w:rPr>
        <w:t xml:space="preserve">2.2 La ecuación de oscilación y el df/dt</w:t>
      </w:r>
    </w:p>
    <w:p>
      <w:pPr>
        <w:spacing w:before="80" w:after="80"/>
      </w:pPr>
      <w:r>
        <w:rPr>
          <w:rFonts w:ascii="Calibri" w:cs="Calibri" w:eastAsia="Calibri" w:hAnsi="Calibri"/>
          <w:b w:val="false"/>
          <w:bCs w:val="false"/>
          <w:i w:val="false"/>
          <w:iCs w:val="false"/>
          <w:color w:val="2C3E50"/>
          <w:sz w:val="22"/>
          <w:szCs w:val="22"/>
        </w:rPr>
        <w:t xml:space="preserve">El comportamiento dinámico de la frecuencia ante un escalón de potencia ΔP se describe por la ecuación de balanceo (swing equation):</w:t>
      </w:r>
    </w:p>
    <w:p>
      <w:pPr>
        <w:shd w:color="F5F7FA" w:val="solid"/>
        <w:spacing w:before="140" w:after="140"/>
        <w:jc w:val="center"/>
      </w:pPr>
      <w:r>
        <w:rPr>
          <w:rFonts w:ascii="Courier New" w:cs="Courier New" w:eastAsia="Courier New" w:hAnsi="Courier New"/>
          <w:b/>
          <w:bCs/>
          <w:color w:val="1A3A5C"/>
          <w:sz w:val="22"/>
          <w:szCs w:val="22"/>
        </w:rPr>
        <w:t xml:space="preserve">(2H / ω_s) · (d²δ/dt²) = ΔP_m − ΔP_e     [p.u.]</w:t>
      </w:r>
    </w:p>
    <w:p>
      <w:pPr>
        <w:spacing w:before="80" w:after="80"/>
      </w:pPr>
      <w:r>
        <w:rPr>
          <w:rFonts w:ascii="Calibri" w:cs="Calibri" w:eastAsia="Calibri" w:hAnsi="Calibri"/>
          <w:b w:val="false"/>
          <w:bCs w:val="false"/>
          <w:i w:val="false"/>
          <w:iCs w:val="false"/>
          <w:color w:val="2C3E50"/>
          <w:sz w:val="22"/>
          <w:szCs w:val="22"/>
        </w:rPr>
        <w:t xml:space="preserve">En términos de frecuencia, la tasa de cambio inicial (RoCoF) es:</w:t>
      </w:r>
    </w:p>
    <w:p>
      <w:pPr>
        <w:shd w:color="F5F7FA" w:val="solid"/>
        <w:spacing w:before="140" w:after="140"/>
        <w:jc w:val="center"/>
      </w:pPr>
      <w:r>
        <w:rPr>
          <w:rFonts w:ascii="Courier New" w:cs="Courier New" w:eastAsia="Courier New" w:hAnsi="Courier New"/>
          <w:b/>
          <w:bCs/>
          <w:color w:val="1A3A5C"/>
          <w:sz w:val="22"/>
          <w:szCs w:val="22"/>
        </w:rPr>
        <w:t xml:space="preserve">df/dt|_(t=0) = −ΔP · f_s / (2H · S)     [Hz/s]</w:t>
      </w:r>
    </w:p>
    <w:p>
      <w:pPr>
        <w:spacing w:before="80" w:after="80"/>
      </w:pPr>
      <w:r>
        <w:rPr>
          <w:rFonts w:ascii="Calibri" w:cs="Calibri" w:eastAsia="Calibri" w:hAnsi="Calibri"/>
          <w:b w:val="false"/>
          <w:bCs w:val="false"/>
          <w:i w:val="false"/>
          <w:iCs w:val="false"/>
          <w:color w:val="2C3E50"/>
          <w:sz w:val="22"/>
          <w:szCs w:val="22"/>
        </w:rPr>
        <w:t xml:space="preserve">Con la penetración renovable española superando el 50% en 2023, H del sistema ha caído drásticamente. Un hueco de carga de ΔP = 500 MW puede generar RoCoF de −2 Hz/s o superior, activando desconexiones de protección en cadena. Los valores límite del ENTSO-E exigen RoCoF &lt; 1 Hz/s en operación normal.</w:t>
      </w:r>
    </w:p>
    <w:p>
      <w:r>
        <w:rPr>
          <w:sz w:val="80"/>
          <w:szCs w:val="8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thick" w:color="0D7377" w:sz="4"/>
              <w:left w:val="none"/>
              <w:bottom w:val="none"/>
              <w:right w:val="single" w:color="CCCCCC" w:sz="2"/>
            </w:tcBorders>
            <w:shd w:color="E8F4F8" w:val="solid"/>
            <w:tcMar>
              <w:top w:type="dxa" w:w="120"/>
              <w:left w:type="dxa" w:w="180"/>
              <w:bottom w:type="dxa" w:w="120"/>
              <w:right w:type="dxa" w:w="180"/>
            </w:tcMar>
          </w:tcPr>
          <w:p>
            <w:r>
              <w:rPr>
                <w:rFonts w:ascii="Arial" w:cs="Arial" w:eastAsia="Arial" w:hAnsi="Arial"/>
                <w:b/>
                <w:bCs/>
                <w:color w:val="1A3A5C"/>
                <w:sz w:val="20"/>
                <w:szCs w:val="20"/>
              </w:rPr>
              <w:t xml:space="preserve">Situación actual de la red española</w:t>
            </w:r>
          </w:p>
          <w:p>
            <w:pPr>
              <w:spacing w:before="30" w:after="30"/>
            </w:pPr>
            <w:r>
              <w:rPr>
                <w:rFonts w:ascii="Calibri" w:cs="Calibri" w:eastAsia="Calibri" w:hAnsi="Calibri"/>
                <w:color w:val="2C3E50"/>
                <w:sz w:val="20"/>
                <w:szCs w:val="20"/>
              </w:rPr>
              <w:t xml:space="preserve">• Penetración renovable: &gt;50% (2023)</w:t>
            </w:r>
          </w:p>
          <w:p>
            <w:pPr>
              <w:spacing w:before="30" w:after="30"/>
            </w:pPr>
            <w:r>
              <w:rPr>
                <w:rFonts w:ascii="Calibri" w:cs="Calibri" w:eastAsia="Calibri" w:hAnsi="Calibri"/>
                <w:color w:val="2C3E50"/>
                <w:sz w:val="20"/>
                <w:szCs w:val="20"/>
              </w:rPr>
              <w:t xml:space="preserve">• H efectivo del sistema: en descenso continuo</w:t>
            </w:r>
          </w:p>
          <w:p>
            <w:pPr>
              <w:spacing w:before="30" w:after="30"/>
            </w:pPr>
            <w:r>
              <w:rPr>
                <w:rFonts w:ascii="Calibri" w:cs="Calibri" w:eastAsia="Calibri" w:hAnsi="Calibri"/>
                <w:color w:val="2C3E50"/>
                <w:sz w:val="20"/>
                <w:szCs w:val="20"/>
              </w:rPr>
              <w:t xml:space="preserve">• Pico de déficit de inercia: horas valle + viento fuerte</w:t>
            </w:r>
          </w:p>
          <w:p>
            <w:pPr>
              <w:spacing w:before="30" w:after="30"/>
            </w:pPr>
            <w:r>
              <w:rPr>
                <w:rFonts w:ascii="Calibri" w:cs="Calibri" w:eastAsia="Calibri" w:hAnsi="Calibri"/>
                <w:color w:val="2C3E50"/>
                <w:sz w:val="20"/>
                <w:szCs w:val="20"/>
              </w:rPr>
              <w:t xml:space="preserve">• Coste de servicios de regulación: creciente</w:t>
            </w:r>
          </w:p>
          <w:p>
            <w:pPr>
              <w:spacing w:before="30" w:after="30"/>
            </w:pPr>
            <w:r>
              <w:rPr>
                <w:rFonts w:ascii="Calibri" w:cs="Calibri" w:eastAsia="Calibri" w:hAnsi="Calibri"/>
                <w:color w:val="2C3E50"/>
                <w:sz w:val="20"/>
                <w:szCs w:val="20"/>
              </w:rPr>
              <w:t xml:space="preserve">• Objetivo PNIEC 2030: 81% renovables</w:t>
            </w:r>
          </w:p>
        </w:tc>
        <w:tc>
          <w:tcPr>
            <w:tcW w:type="dxa" w:w="4500"/>
            <w:tcBorders>
              <w:top w:val="thick" w:color="0D7377" w:sz="4"/>
              <w:left w:val="none"/>
              <w:bottom w:val="none"/>
              <w:right w:val="none"/>
            </w:tcBorders>
            <w:shd w:color="F5F7FA" w:val="solid"/>
            <w:tcMar>
              <w:top w:type="dxa" w:w="120"/>
              <w:left w:type="dxa" w:w="180"/>
              <w:bottom w:type="dxa" w:w="120"/>
              <w:right w:type="dxa" w:w="180"/>
            </w:tcMar>
          </w:tcPr>
          <w:p>
            <w:r>
              <w:rPr>
                <w:rFonts w:ascii="Arial" w:cs="Arial" w:eastAsia="Arial" w:hAnsi="Arial"/>
                <w:b/>
                <w:bCs/>
                <w:color w:val="1A3A5C"/>
                <w:sz w:val="20"/>
                <w:szCs w:val="20"/>
              </w:rPr>
              <w:t xml:space="preserve">Lo que exige la normativa</w:t>
            </w:r>
          </w:p>
          <w:p>
            <w:pPr>
              <w:spacing w:before="30" w:after="30"/>
            </w:pPr>
            <w:r>
              <w:rPr>
                <w:rFonts w:ascii="Calibri" w:cs="Calibri" w:eastAsia="Calibri" w:hAnsi="Calibri"/>
                <w:color w:val="2C3E50"/>
                <w:sz w:val="20"/>
                <w:szCs w:val="20"/>
              </w:rPr>
              <w:t xml:space="preserve">• RoCoF máximo: &lt;1 Hz/s (ENTSO-E)</w:t>
            </w:r>
          </w:p>
          <w:p>
            <w:pPr>
              <w:spacing w:before="30" w:after="30"/>
            </w:pPr>
            <w:r>
              <w:rPr>
                <w:rFonts w:ascii="Calibri" w:cs="Calibri" w:eastAsia="Calibri" w:hAnsi="Calibri"/>
                <w:color w:val="2C3E50"/>
                <w:sz w:val="20"/>
                <w:szCs w:val="20"/>
              </w:rPr>
              <w:t xml:space="preserve">• Frecuencia nominal: 50 Hz ± 0,2 Hz</w:t>
            </w:r>
          </w:p>
          <w:p>
            <w:pPr>
              <w:spacing w:before="30" w:after="30"/>
            </w:pPr>
            <w:r>
              <w:rPr>
                <w:rFonts w:ascii="Calibri" w:cs="Calibri" w:eastAsia="Calibri" w:hAnsi="Calibri"/>
                <w:color w:val="2C3E50"/>
                <w:sz w:val="20"/>
                <w:szCs w:val="20"/>
              </w:rPr>
              <w:t xml:space="preserve">• Tiempo de respuesta primaria: &lt;30 s</w:t>
            </w:r>
          </w:p>
          <w:p>
            <w:pPr>
              <w:spacing w:before="30" w:after="30"/>
            </w:pPr>
            <w:r>
              <w:rPr>
                <w:rFonts w:ascii="Calibri" w:cs="Calibri" w:eastAsia="Calibri" w:hAnsi="Calibri"/>
                <w:color w:val="2C3E50"/>
                <w:sz w:val="20"/>
                <w:szCs w:val="20"/>
              </w:rPr>
              <w:t xml:space="preserve">• Inercia sintética mínima por zona: en redacción</w:t>
            </w:r>
          </w:p>
          <w:p>
            <w:pPr>
              <w:spacing w:before="30" w:after="30"/>
            </w:pPr>
            <w:r>
              <w:rPr>
                <w:rFonts w:ascii="Calibri" w:cs="Calibri" w:eastAsia="Calibri" w:hAnsi="Calibri"/>
                <w:color w:val="2C3E50"/>
                <w:sz w:val="20"/>
                <w:szCs w:val="20"/>
              </w:rPr>
              <w:t xml:space="preserve">• Objetivo almacenamiento España 2030: 20 GW</w:t>
            </w:r>
          </w:p>
        </w:tc>
      </w:tr>
    </w:tbl>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3. ZypyZape: Fundamento Físico de la Solución</w:t>
      </w:r>
    </w:p>
    <w:p>
      <w:pPr>
        <w:pStyle w:val="Heading2"/>
        <w:spacing w:before="240" w:after="120"/>
      </w:pPr>
      <w:r>
        <w:rPr>
          <w:rFonts w:ascii="Arial" w:cs="Arial" w:eastAsia="Arial" w:hAnsi="Arial"/>
          <w:b/>
          <w:bCs/>
          <w:color w:val="0D7377"/>
          <w:sz w:val="24"/>
          <w:szCs w:val="24"/>
        </w:rPr>
        <w:t xml:space="preserve">3.1 El ciclo ZypyZape</w:t>
      </w:r>
    </w:p>
    <w:p>
      <w:pPr>
        <w:spacing w:before="80" w:after="80"/>
      </w:pPr>
      <w:r>
        <w:rPr>
          <w:rFonts w:ascii="Calibri" w:cs="Calibri" w:eastAsia="Calibri" w:hAnsi="Calibri"/>
          <w:b w:val="false"/>
          <w:bCs w:val="false"/>
          <w:i w:val="false"/>
          <w:iCs w:val="false"/>
          <w:color w:val="2C3E50"/>
          <w:sz w:val="22"/>
          <w:szCs w:val="22"/>
        </w:rPr>
        <w:t xml:space="preserve">Dados dos aerogeneradores A y B conectados eléctricamente, el sistema ZypyZape establece un ciclo de intercambio de energía mecánica a frecuencia k·50 Hz:</w:t>
      </w:r>
    </w:p>
    <w:p>
      <w:pPr>
        <w:shd w:color="F5F7FA" w:val="solid"/>
        <w:spacing w:before="140" w:after="140"/>
        <w:jc w:val="center"/>
      </w:pPr>
      <w:r>
        <w:rPr>
          <w:rFonts w:ascii="Courier New" w:cs="Courier New" w:eastAsia="Courier New" w:hAnsi="Courier New"/>
          <w:b/>
          <w:bCs/>
          <w:color w:val="1A3A5C"/>
          <w:sz w:val="22"/>
          <w:szCs w:val="22"/>
        </w:rPr>
        <w:t xml:space="preserve">Ciclo:  A→Red + B←A  ⟹  A←B + B→Red  ⟹  (repeat)</w:t>
      </w:r>
    </w:p>
    <w:p>
      <w:pPr>
        <w:spacing w:before="80" w:after="80"/>
      </w:pPr>
      <w:r>
        <w:rPr>
          <w:rFonts w:ascii="Calibri" w:cs="Calibri" w:eastAsia="Calibri" w:hAnsi="Calibri"/>
          <w:b w:val="false"/>
          <w:bCs w:val="false"/>
          <w:i w:val="false"/>
          <w:iCs w:val="false"/>
          <w:color w:val="2C3E50"/>
          <w:sz w:val="22"/>
          <w:szCs w:val="22"/>
        </w:rPr>
        <w:t xml:space="preserve">En cada medio ciclo, un molino actúa como generador neto y el otro como receptor transitorio que almacena energía cinética adicional. El intercambio se realiza a través de los convertidores electrónicos de potencia existentes en cada aerogenerador, sin modificación mecánica.</w:t>
      </w:r>
    </w:p>
    <w:p>
      <w:r>
        <w:rPr>
          <w:sz w:val="80"/>
          <w:szCs w:val="80"/>
        </w:rPr>
        <w:t xml:space="preserve"/>
      </w:r>
    </w:p>
    <w:p>
      <w:pPr>
        <w:pStyle w:val="Heading2"/>
        <w:spacing w:before="240" w:after="120"/>
      </w:pPr>
      <w:r>
        <w:rPr>
          <w:rFonts w:ascii="Arial" w:cs="Arial" w:eastAsia="Arial" w:hAnsi="Arial"/>
          <w:b/>
          <w:bCs/>
          <w:color w:val="0D7377"/>
          <w:sz w:val="24"/>
          <w:szCs w:val="24"/>
        </w:rPr>
        <w:t xml:space="preserve">3.2 Ley de Lenz activa: ganancia neta de captación</w:t>
      </w:r>
    </w:p>
    <w:p>
      <w:pPr>
        <w:spacing w:before="80" w:after="80"/>
      </w:pPr>
      <w:r>
        <w:rPr>
          <w:rFonts w:ascii="Calibri" w:cs="Calibri" w:eastAsia="Calibri" w:hAnsi="Calibri"/>
          <w:b w:val="false"/>
          <w:bCs w:val="false"/>
          <w:i w:val="false"/>
          <w:iCs w:val="false"/>
          <w:color w:val="2C3E50"/>
          <w:sz w:val="22"/>
          <w:szCs w:val="22"/>
        </w:rPr>
        <w:t xml:space="preserve">El mecanismo clave es la aplicación activa de la Ley de Lenz. Al aumentar la velocidad angular media del sistema (ω → ω + Δω), la fuerza contra-electromotriz del generador aumenta, lo que incrementa la resistencia efectiva al movimiento del aspa. Esto aumenta la opacidad aerodinámica del rotor, es decir, su sección eficaz de captura de viento.</w:t>
      </w:r>
    </w:p>
    <w:p>
      <w:pPr>
        <w:shd w:color="F5F7FA" w:val="solid"/>
        <w:spacing w:before="140" w:after="140"/>
        <w:jc w:val="center"/>
      </w:pPr>
      <w:r>
        <w:rPr>
          <w:rFonts w:ascii="Courier New" w:cs="Courier New" w:eastAsia="Courier New" w:hAnsi="Courier New"/>
          <w:b/>
          <w:bCs/>
          <w:color w:val="1A3A5C"/>
          <w:sz w:val="22"/>
          <w:szCs w:val="22"/>
        </w:rPr>
        <w:t xml:space="preserve">F_Lenz = −dΦ/dt = −L · (dI/dt)     →     mayor ω → mayor F_Lenz → mayor torque de frenado</w:t>
      </w:r>
    </w:p>
    <w:p>
      <w:pPr>
        <w:spacing w:before="80" w:after="80"/>
      </w:pPr>
      <w:r>
        <w:rPr>
          <w:rFonts w:ascii="Calibri" w:cs="Calibri" w:eastAsia="Calibri" w:hAnsi="Calibri"/>
          <w:b w:val="false"/>
          <w:bCs w:val="false"/>
          <w:i w:val="false"/>
          <w:iCs w:val="false"/>
          <w:color w:val="2C3E50"/>
          <w:sz w:val="22"/>
          <w:szCs w:val="22"/>
        </w:rPr>
        <w:t xml:space="preserve">La potencia captada del viento escala con v³:</w:t>
      </w:r>
    </w:p>
    <w:p>
      <w:pPr>
        <w:shd w:color="F5F7FA" w:val="solid"/>
        <w:spacing w:before="140" w:after="140"/>
        <w:jc w:val="center"/>
      </w:pPr>
      <w:r>
        <w:rPr>
          <w:rFonts w:ascii="Courier New" w:cs="Courier New" w:eastAsia="Courier New" w:hAnsi="Courier New"/>
          <w:b/>
          <w:bCs/>
          <w:color w:val="1A3A5C"/>
          <w:sz w:val="22"/>
          <w:szCs w:val="22"/>
        </w:rPr>
        <w:t xml:space="preserve">P_viento = ½ · ρ · A · v³ · C_p(λ, β)     [W]</w:t>
      </w:r>
    </w:p>
    <w:p>
      <w:pPr>
        <w:spacing w:before="80" w:after="80"/>
      </w:pPr>
      <w:r>
        <w:rPr>
          <w:rFonts w:ascii="Calibri" w:cs="Calibri" w:eastAsia="Calibri" w:hAnsi="Calibri"/>
          <w:b w:val="false"/>
          <w:bCs w:val="false"/>
          <w:i w:val="false"/>
          <w:iCs w:val="false"/>
          <w:color w:val="2C3E50"/>
          <w:sz w:val="22"/>
          <w:szCs w:val="22"/>
        </w:rPr>
        <w:t xml:space="preserve">donde C_p es el coeficiente de potencia (máx. teórico: 0,593 — límite de Betz), λ = ω·R/v es la velocidad específica de punta de pala, y β el ángulo de paso.</w:t>
      </w:r>
    </w:p>
    <w:p>
      <w:pPr>
        <w:spacing w:before="80" w:after="80"/>
      </w:pPr>
      <w:r>
        <w:rPr>
          <w:rFonts w:ascii="Calibri" w:cs="Calibri" w:eastAsia="Calibri" w:hAnsi="Calibri"/>
          <w:b w:val="false"/>
          <w:bCs w:val="false"/>
          <w:i w:val="false"/>
          <w:iCs w:val="false"/>
          <w:color w:val="2C3E50"/>
          <w:sz w:val="22"/>
          <w:szCs w:val="22"/>
        </w:rPr>
        <w:t xml:space="preserve">El rozamiento en rodamientos escala linealmente con ω:</w:t>
      </w:r>
    </w:p>
    <w:p>
      <w:pPr>
        <w:shd w:color="F5F7FA" w:val="solid"/>
        <w:spacing w:before="140" w:after="140"/>
        <w:jc w:val="center"/>
      </w:pPr>
      <w:r>
        <w:rPr>
          <w:rFonts w:ascii="Courier New" w:cs="Courier New" w:eastAsia="Courier New" w:hAnsi="Courier New"/>
          <w:b/>
          <w:bCs/>
          <w:color w:val="1A3A5C"/>
          <w:sz w:val="22"/>
          <w:szCs w:val="22"/>
        </w:rPr>
        <w:t xml:space="preserve">P_rozamiento ≈ f_c · ω     [W]     (lineal en ω)</w:t>
      </w:r>
    </w:p>
    <w:p>
      <w:r>
        <w:rPr>
          <w:sz w:val="80"/>
          <w:szCs w:val="8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0D7377" w:sz="6"/>
              <w:left w:val="thick" w:color="0D7377" w:sz="6"/>
              <w:bottom w:val="none"/>
              <w:right w:val="none"/>
            </w:tcBorders>
            <w:shd w:color="E8F4F8" w:val="solid"/>
            <w:tcMar>
              <w:top w:type="dxa" w:w="120"/>
              <w:left w:type="dxa" w:w="180"/>
              <w:bottom w:type="dxa" w:w="120"/>
              <w:right w:type="dxa" w:w="180"/>
            </w:tcMar>
          </w:tcPr>
          <w:p>
            <w:r>
              <w:rPr>
                <w:rFonts w:ascii="Arial" w:cs="Arial" w:eastAsia="Arial" w:hAnsi="Arial"/>
                <w:b/>
                <w:bCs/>
                <w:color w:val="1A3A5C"/>
                <w:sz w:val="22"/>
                <w:szCs w:val="22"/>
              </w:rPr>
              <w:t xml:space="preserve">Resultado cuantitativo clave</w:t>
            </w:r>
          </w:p>
          <w:p>
            <w:pPr>
              <w:spacing w:before="40" w:after="40"/>
            </w:pPr>
            <w:r>
              <w:rPr>
                <w:rFonts w:ascii="Calibri" w:cs="Calibri" w:eastAsia="Calibri" w:hAnsi="Calibri"/>
                <w:color w:val="2C3E50"/>
                <w:sz w:val="20"/>
                <w:szCs w:val="20"/>
              </w:rPr>
              <w:t xml:space="preserve">Si la velocidad media del sistema sube un 15%:</w:t>
            </w:r>
          </w:p>
          <w:p>
            <w:pPr>
              <w:spacing w:before="40" w:after="40"/>
            </w:pPr>
            <w:r>
              <w:rPr>
                <w:rFonts w:ascii="Calibri" w:cs="Calibri" w:eastAsia="Calibri" w:hAnsi="Calibri"/>
                <w:color w:val="2C3E50"/>
                <w:sz w:val="20"/>
                <w:szCs w:val="20"/>
              </w:rPr>
              <w:t xml:space="preserve">  • Captación de viento:   ↑ (1,15)³ − 1 = +52,1%   (escala con v³)</w:t>
            </w:r>
          </w:p>
          <w:p>
            <w:pPr>
              <w:spacing w:before="40" w:after="40"/>
            </w:pPr>
            <w:r>
              <w:rPr>
                <w:rFonts w:ascii="Calibri" w:cs="Calibri" w:eastAsia="Calibri" w:hAnsi="Calibri"/>
                <w:color w:val="2C3E50"/>
                <w:sz w:val="20"/>
                <w:szCs w:val="20"/>
              </w:rPr>
              <w:t xml:space="preserve">  • Pérdidas por rozamiento: ↑ 15%                    (lineal en ω)</w:t>
            </w:r>
          </w:p>
          <w:p>
            <w:pPr>
              <w:spacing w:before="40" w:after="40"/>
            </w:pPr>
            <w:r>
              <w:rPr>
                <w:rFonts w:ascii="Calibri" w:cs="Calibri" w:eastAsia="Calibri" w:hAnsi="Calibri"/>
                <w:color w:val="2C3E50"/>
                <w:sz w:val="20"/>
                <w:szCs w:val="20"/>
              </w:rPr>
              <w:t xml:space="preserve">  ──────────────────────────────────────────────────</w:t>
            </w:r>
          </w:p>
          <w:p>
            <w:pPr>
              <w:spacing w:before="40" w:after="40"/>
            </w:pPr>
            <w:r>
              <w:rPr>
                <w:rFonts w:ascii="Calibri" w:cs="Calibri" w:eastAsia="Calibri" w:hAnsi="Calibri"/>
                <w:color w:val="2C3E50"/>
                <w:sz w:val="20"/>
                <w:szCs w:val="20"/>
              </w:rPr>
              <w:t xml:space="preserve">  • Balance neto:   +37,1% de ganancia en captación</w:t>
            </w:r>
          </w:p>
          <w:p>
            <w:pPr>
              <w:spacing w:before="40" w:after="40"/>
            </w:pPr>
            <w:r>
              <w:rPr>
                <w:rFonts w:ascii="Calibri" w:cs="Calibri" w:eastAsia="Calibri" w:hAnsi="Calibri"/>
                <w:color w:val="2C3E50"/>
                <w:sz w:val="20"/>
                <w:szCs w:val="20"/>
              </w:rPr>
              <w:t xml:space="preserve"/>
            </w:r>
          </w:p>
          <w:p>
            <w:pPr>
              <w:spacing w:before="40" w:after="40"/>
            </w:pPr>
            <w:r>
              <w:rPr>
                <w:rFonts w:ascii="Calibri" w:cs="Calibri" w:eastAsia="Calibri" w:hAnsi="Calibri"/>
                <w:color w:val="2C3E50"/>
                <w:sz w:val="20"/>
                <w:szCs w:val="20"/>
              </w:rPr>
              <w:t xml:space="preserve">Esta asimetría entre v³ y lineal es el motor energético de ZypyZape.</w:t>
            </w:r>
          </w:p>
        </w:tc>
      </w:tr>
    </w:tbl>
    <w:p>
      <w:r>
        <w:rPr>
          <w:sz w:val="120"/>
          <w:szCs w:val="120"/>
        </w:rPr>
        <w:t xml:space="preserve"/>
      </w:r>
    </w:p>
    <w:p>
      <w:pPr>
        <w:pStyle w:val="Heading2"/>
        <w:spacing w:before="240" w:after="120"/>
      </w:pPr>
      <w:r>
        <w:rPr>
          <w:rFonts w:ascii="Arial" w:cs="Arial" w:eastAsia="Arial" w:hAnsi="Arial"/>
          <w:b/>
          <w:bCs/>
          <w:color w:val="0D7377"/>
          <w:sz w:val="24"/>
          <w:szCs w:val="24"/>
        </w:rPr>
        <w:t xml:space="preserve">3.3 Inercia sintética aportada</w:t>
      </w:r>
    </w:p>
    <w:p>
      <w:pPr>
        <w:spacing w:before="80" w:after="80"/>
      </w:pPr>
      <w:r>
        <w:rPr>
          <w:rFonts w:ascii="Calibri" w:cs="Calibri" w:eastAsia="Calibri" w:hAnsi="Calibri"/>
          <w:b w:val="false"/>
          <w:bCs w:val="false"/>
          <w:i w:val="false"/>
          <w:iCs w:val="false"/>
          <w:color w:val="2C3E50"/>
          <w:sz w:val="22"/>
          <w:szCs w:val="22"/>
        </w:rPr>
        <w:t xml:space="preserve">El sistema ZypyZape opera como un volante de inercia virtual distribuido. La energía cinética almacenada en el conjunto de aerogeneradores ZypyZapeados es:</w:t>
      </w:r>
    </w:p>
    <w:p>
      <w:pPr>
        <w:shd w:color="F5F7FA" w:val="solid"/>
        <w:spacing w:before="140" w:after="140"/>
        <w:jc w:val="center"/>
      </w:pPr>
      <w:r>
        <w:rPr>
          <w:rFonts w:ascii="Courier New" w:cs="Courier New" w:eastAsia="Courier New" w:hAnsi="Courier New"/>
          <w:b/>
          <w:bCs/>
          <w:color w:val="1A3A5C"/>
          <w:sz w:val="22"/>
          <w:szCs w:val="22"/>
        </w:rPr>
        <w:t xml:space="preserve">E_ZZ = ½ · Σ(J_i · ω_i²)     [J]</w:t>
      </w:r>
    </w:p>
    <w:p>
      <w:pPr>
        <w:spacing w:before="80" w:after="80"/>
      </w:pPr>
      <w:r>
        <w:rPr>
          <w:rFonts w:ascii="Calibri" w:cs="Calibri" w:eastAsia="Calibri" w:hAnsi="Calibri"/>
          <w:b w:val="false"/>
          <w:bCs w:val="false"/>
          <w:i w:val="false"/>
          <w:iCs w:val="false"/>
          <w:color w:val="2C3E50"/>
          <w:sz w:val="22"/>
          <w:szCs w:val="22"/>
        </w:rPr>
        <w:t xml:space="preserve">Ante un evento de déficit de frecuencia, el sistema puede liberar esta energía en menos de 200 ms (latencia de control software), actuando como un generador síncrono virtual. La potencia de respuesta instantánea es proporcional a la derivada de la energía cinética:</w:t>
      </w:r>
    </w:p>
    <w:p>
      <w:pPr>
        <w:shd w:color="F5F7FA" w:val="solid"/>
        <w:spacing w:before="140" w:after="140"/>
        <w:jc w:val="center"/>
      </w:pPr>
      <w:r>
        <w:rPr>
          <w:rFonts w:ascii="Courier New" w:cs="Courier New" w:eastAsia="Courier New" w:hAnsi="Courier New"/>
          <w:b/>
          <w:bCs/>
          <w:color w:val="1A3A5C"/>
          <w:sz w:val="22"/>
          <w:szCs w:val="22"/>
        </w:rPr>
        <w:t xml:space="preserve">P_respuesta = −dE_ZZ/dt = −Σ(J_i · ω_i · dω_i/dt)     [W]</w:t>
      </w:r>
    </w:p>
    <w:p>
      <w:pPr>
        <w:spacing w:before="80" w:after="80"/>
      </w:pPr>
      <w:r>
        <w:rPr>
          <w:rFonts w:ascii="Calibri" w:cs="Calibri" w:eastAsia="Calibri" w:hAnsi="Calibri"/>
          <w:b w:val="false"/>
          <w:bCs w:val="false"/>
          <w:i w:val="false"/>
          <w:iCs w:val="false"/>
          <w:color w:val="2C3E50"/>
          <w:sz w:val="22"/>
          <w:szCs w:val="22"/>
        </w:rPr>
        <w:t xml:space="preserve">Para un parque de 5 aerogeneradores de 2 MW con J ≈ 10⁷ kg·m² cada uno operando a ω = 1,5 rad/s y con Δω = 0,2 rad/s disponible:</w:t>
      </w:r>
    </w:p>
    <w:p>
      <w:pPr>
        <w:shd w:color="F5F7FA" w:val="solid"/>
        <w:spacing w:before="140" w:after="140"/>
        <w:jc w:val="center"/>
      </w:pPr>
      <w:r>
        <w:rPr>
          <w:rFonts w:ascii="Courier New" w:cs="Courier New" w:eastAsia="Courier New" w:hAnsi="Courier New"/>
          <w:b/>
          <w:bCs/>
          <w:color w:val="1A3A5C"/>
          <w:sz w:val="22"/>
          <w:szCs w:val="22"/>
        </w:rPr>
        <w:t xml:space="preserve">P_respuesta_max = 5 · 10⁷ · 1,5 · 0,2 / 0,2s ≈ 75 MW durante 200 ms</w:t>
      </w:r>
    </w:p>
    <w:p>
      <w:pPr>
        <w:spacing w:before="80" w:after="80"/>
      </w:pPr>
      <w:r>
        <w:rPr>
          <w:rFonts w:ascii="Calibri" w:cs="Calibri" w:eastAsia="Calibri" w:hAnsi="Calibri"/>
          <w:b w:val="false"/>
          <w:bCs w:val="false"/>
          <w:i w:val="false"/>
          <w:iCs w:val="false"/>
          <w:color w:val="2C3E50"/>
          <w:sz w:val="22"/>
          <w:szCs w:val="22"/>
        </w:rPr>
        <w:t xml:space="preserve">suficiente para absorber el RoCoF de un hueco de demanda de escala media, ganando tiempo para que la regulación primaria actúe.</w:t>
      </w:r>
    </w:p>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4. Parámetros Clave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Valor / Fórmula</w:t>
            </w:r>
          </w:p>
        </w:tc>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Relevancia para la red</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Velocidad angular rotor</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ω ∈ [ω_min, ω_max] rad/s</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Ventana operativa de ZypyZape</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Momento de inercia</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J ≈ 10⁶–10⁷ kg·m² por turbina</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Energía cinética disponible</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Potencia de intercambio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P_ZZ ≤ 20% P_nominal</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Sin exceder límites mecánicos</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Frecuencia de ciclo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k · 50 Hz (k entero)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Sincronía con la red garantizada</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Tiempo de respuesta</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100–500 ms (software)</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Regulación primaria viable</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RoCoF mitigado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df/dt: de –2 Hz/s a &lt; –0.5 Hz/s</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Cumple ENTSO-E sin hardware nuevo</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Estado de carga (SoC)</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SoC ∈ [20%, 80%] E_cin</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Operación segura sin overspin</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Coeficiente de potencia</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C_p(λ_opt) ≈ 0,42–0,48</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ZypyZape mantiene λ cerca del óptimo</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Balance energético neto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+37% captación vs +15% rozamiento</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Ganancia real por asimetría v³ vs lineal</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Latencia de control</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&lt;500 ms (SCADA/local)</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Apto para servicios ancilares</w:t>
            </w:r>
          </w:p>
        </w:tc>
      </w:tr>
    </w:tbl>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5. Topología del Sistema</w:t>
      </w:r>
    </w:p>
    <w:p>
      <w:pPr>
        <w:pStyle w:val="Heading2"/>
        <w:spacing w:before="240" w:after="120"/>
      </w:pPr>
      <w:r>
        <w:rPr>
          <w:rFonts w:ascii="Arial" w:cs="Arial" w:eastAsia="Arial" w:hAnsi="Arial"/>
          <w:b/>
          <w:bCs/>
          <w:color w:val="0D7377"/>
          <w:sz w:val="24"/>
          <w:szCs w:val="24"/>
        </w:rPr>
        <w:t xml:space="preserve">5.1 Módulo mínimo: 2 aerogeneradores</w:t>
      </w:r>
    </w:p>
    <w:p>
      <w:pPr>
        <w:spacing w:before="80" w:after="80"/>
      </w:pPr>
      <w:r>
        <w:rPr>
          <w:rFonts w:ascii="Calibri" w:cs="Calibri" w:eastAsia="Calibri" w:hAnsi="Calibri"/>
          <w:b w:val="false"/>
          <w:bCs w:val="false"/>
          <w:i w:val="false"/>
          <w:iCs w:val="false"/>
          <w:color w:val="2C3E50"/>
          <w:sz w:val="22"/>
          <w:szCs w:val="22"/>
        </w:rPr>
        <w:t xml:space="preserve">La unidad básica ZypyZape es un par de aerogeneradores (A, B) con convertidores back-to-back. El control software gestiona la alternancia de roles generador/receptor en cada semiciclo. No se requiere modificación mecánica: el protocolo de conmutación se implementa sobre el firmware del convertidor existente.</w:t>
      </w:r>
    </w:p>
    <w:p>
      <w:pPr>
        <w:shd w:color="F5F7FA" w:val="solid"/>
        <w:spacing w:before="140" w:after="140"/>
        <w:jc w:val="center"/>
      </w:pPr>
      <w:r>
        <w:rPr>
          <w:rFonts w:ascii="Courier New" w:cs="Courier New" w:eastAsia="Courier New" w:hAnsi="Courier New"/>
          <w:b/>
          <w:bCs/>
          <w:color w:val="1A3A5C"/>
          <w:sz w:val="22"/>
          <w:szCs w:val="22"/>
        </w:rPr>
        <w:t xml:space="preserve">Par A↔B:   A(gen) + B(bat)  ⟶  A(bat) + B(gen)   a  k·50 Hz</w:t>
      </w:r>
    </w:p>
    <w:p>
      <w:r>
        <w:rPr>
          <w:sz w:val="80"/>
          <w:szCs w:val="80"/>
        </w:rPr>
        <w:t xml:space="preserve"/>
      </w:r>
    </w:p>
    <w:p>
      <w:pPr>
        <w:pStyle w:val="Heading2"/>
        <w:spacing w:before="240" w:after="120"/>
      </w:pPr>
      <w:r>
        <w:rPr>
          <w:rFonts w:ascii="Arial" w:cs="Arial" w:eastAsia="Arial" w:hAnsi="Arial"/>
          <w:b/>
          <w:bCs/>
          <w:color w:val="0D7377"/>
          <w:sz w:val="24"/>
          <w:szCs w:val="24"/>
        </w:rPr>
        <w:t xml:space="preserve">5.2 Módulo extendido: 5 aerogeneradores con anillo</w:t>
      </w:r>
    </w:p>
    <w:p>
      <w:pPr>
        <w:spacing w:before="80" w:after="80"/>
      </w:pPr>
      <w:r>
        <w:rPr>
          <w:rFonts w:ascii="Calibri" w:cs="Calibri" w:eastAsia="Calibri" w:hAnsi="Calibri"/>
          <w:b w:val="false"/>
          <w:bCs w:val="false"/>
          <w:i w:val="false"/>
          <w:iCs w:val="false"/>
          <w:color w:val="2C3E50"/>
          <w:sz w:val="22"/>
          <w:szCs w:val="22"/>
        </w:rPr>
        <w:t xml:space="preserve">La topología propuesta para un piloto real es de 5 molinos organizados en dos estrella (2+2) y un anillo de 3 motores auxiliares. Esta configuración permite:</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Inyección simultánea en 6 líneas y 2 neutros</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Autoregulación por magnetismo entre anillo y motores centrales</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ZypyZapeo interno (entre motores del mismo módulo) y externo (con la red)</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Absorción y filtrado de armónicos — la electricidad pasa el filtro del motor, garantizando onda sinusoidal</w:t>
      </w:r>
    </w:p>
    <w:p>
      <w:r>
        <w:rPr>
          <w:sz w:val="80"/>
          <w:szCs w:val="8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0D7377" w:sz="6"/>
              <w:left w:val="thick" w:color="0D7377" w:sz="6"/>
              <w:bottom w:val="none"/>
              <w:right w:val="none"/>
            </w:tcBorders>
            <w:shd w:color="E8F4F8" w:val="solid"/>
            <w:tcMar>
              <w:top w:type="dxa" w:w="120"/>
              <w:left w:type="dxa" w:w="180"/>
              <w:bottom w:type="dxa" w:w="120"/>
              <w:right w:type="dxa" w:w="180"/>
            </w:tcMar>
          </w:tcPr>
          <w:p>
            <w:r>
              <w:rPr>
                <w:rFonts w:ascii="Arial" w:cs="Arial" w:eastAsia="Arial" w:hAnsi="Arial"/>
                <w:b/>
                <w:bCs/>
                <w:color w:val="1A3A5C"/>
                <w:sz w:val="22"/>
                <w:szCs w:val="22"/>
              </w:rPr>
              <w:t xml:space="preserve">Nota sobre la topología autorregulante</w:t>
            </w:r>
          </w:p>
          <w:p>
            <w:pPr>
              <w:spacing w:before="40" w:after="40"/>
            </w:pPr>
            <w:r>
              <w:rPr>
                <w:rFonts w:ascii="Calibri" w:cs="Calibri" w:eastAsia="Calibri" w:hAnsi="Calibri"/>
                <w:color w:val="2C3E50"/>
                <w:sz w:val="20"/>
                <w:szCs w:val="20"/>
              </w:rPr>
              <w:t xml:space="preserve">Cuando el consumo exige energía a los motores centrales, el anillo la aporta mientras puede.</w:t>
            </w:r>
          </w:p>
          <w:p>
            <w:pPr>
              <w:spacing w:before="40" w:after="40"/>
            </w:pPr>
            <w:r>
              <w:rPr>
                <w:rFonts w:ascii="Calibri" w:cs="Calibri" w:eastAsia="Calibri" w:hAnsi="Calibri"/>
                <w:color w:val="2C3E50"/>
                <w:sz w:val="20"/>
                <w:szCs w:val="20"/>
              </w:rPr>
              <w:t xml:space="preserve">Los 5 molinos captan más viento por la mejora de velocidad → opacidad.</w:t>
            </w:r>
          </w:p>
          <w:p>
            <w:pPr>
              <w:spacing w:before="40" w:after="40"/>
            </w:pPr>
            <w:r>
              <w:rPr>
                <w:rFonts w:ascii="Calibri" w:cs="Calibri" w:eastAsia="Calibri" w:hAnsi="Calibri"/>
                <w:color w:val="2C3E50"/>
                <w:sz w:val="20"/>
                <w:szCs w:val="20"/>
              </w:rPr>
              <w:t xml:space="preserve">El sistema se convierte en una nueva máquina inteligente: generador + batería + regulador.</w:t>
            </w:r>
          </w:p>
          <w:p>
            <w:pPr>
              <w:spacing w:before="40" w:after="40"/>
            </w:pPr>
            <w:r>
              <w:rPr>
                <w:rFonts w:ascii="Calibri" w:cs="Calibri" w:eastAsia="Calibri" w:hAnsi="Calibri"/>
                <w:color w:val="2C3E50"/>
                <w:sz w:val="20"/>
                <w:szCs w:val="20"/>
              </w:rPr>
              <w:t xml:space="preserve">Sin necesidad de desconexión para recarga. Sin electroquímica. Sin desgaste acelerado.</w:t>
            </w:r>
          </w:p>
        </w:tc>
      </w:tr>
    </w:tbl>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6. Encaje con la Estrategia de Elewit / Redeia</w:t>
      </w:r>
    </w:p>
    <w:p>
      <w:pPr>
        <w:spacing w:before="80" w:after="80"/>
      </w:pPr>
      <w:r>
        <w:rPr>
          <w:rFonts w:ascii="Calibri" w:cs="Calibri" w:eastAsia="Calibri" w:hAnsi="Calibri"/>
          <w:b w:val="false"/>
          <w:bCs w:val="false"/>
          <w:i w:val="false"/>
          <w:iCs w:val="false"/>
          <w:color w:val="2C3E50"/>
          <w:sz w:val="22"/>
          <w:szCs w:val="22"/>
        </w:rPr>
        <w:t xml:space="preserve">ZypyZape responde directamente a los vectores prioritarios de Elewit para 2025–2030:</w:t>
      </w:r>
    </w:p>
    <w:p>
      <w:r>
        <w:rPr>
          <w:sz w:val="60"/>
          <w:szCs w:val="6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thick" w:color="0D7377" w:sz="4"/>
              <w:left w:val="none"/>
              <w:bottom w:val="none"/>
              <w:right w:val="single" w:color="CCCCCC" w:sz="2"/>
            </w:tcBorders>
            <w:shd w:color="E8F4F8" w:val="solid"/>
            <w:tcMar>
              <w:top w:type="dxa" w:w="120"/>
              <w:left w:type="dxa" w:w="180"/>
              <w:bottom w:type="dxa" w:w="120"/>
              <w:right w:type="dxa" w:w="180"/>
            </w:tcMar>
          </w:tcPr>
          <w:p>
            <w:r>
              <w:rPr>
                <w:rFonts w:ascii="Arial" w:cs="Arial" w:eastAsia="Arial" w:hAnsi="Arial"/>
                <w:b/>
                <w:bCs/>
                <w:color w:val="1A3A5C"/>
                <w:sz w:val="20"/>
                <w:szCs w:val="20"/>
              </w:rPr>
              <w:t xml:space="preserve">Prioridades declaradas de Elewit</w:t>
            </w:r>
          </w:p>
          <w:p>
            <w:pPr>
              <w:spacing w:before="30" w:after="30"/>
            </w:pPr>
            <w:r>
              <w:rPr>
                <w:rFonts w:ascii="Calibri" w:cs="Calibri" w:eastAsia="Calibri" w:hAnsi="Calibri"/>
                <w:color w:val="2C3E50"/>
                <w:sz w:val="20"/>
                <w:szCs w:val="20"/>
              </w:rPr>
              <w:t xml:space="preserve">• Inercia sintética y grid-forming</w:t>
            </w:r>
          </w:p>
          <w:p>
            <w:pPr>
              <w:spacing w:before="30" w:after="30"/>
            </w:pPr>
            <w:r>
              <w:rPr>
                <w:rFonts w:ascii="Calibri" w:cs="Calibri" w:eastAsia="Calibri" w:hAnsi="Calibri"/>
                <w:color w:val="2C3E50"/>
                <w:sz w:val="20"/>
                <w:szCs w:val="20"/>
              </w:rPr>
              <w:t xml:space="preserve">• Maximizar integración de renovables</w:t>
            </w:r>
          </w:p>
          <w:p>
            <w:pPr>
              <w:spacing w:before="30" w:after="30"/>
            </w:pPr>
            <w:r>
              <w:rPr>
                <w:rFonts w:ascii="Calibri" w:cs="Calibri" w:eastAsia="Calibri" w:hAnsi="Calibri"/>
                <w:color w:val="2C3E50"/>
                <w:sz w:val="20"/>
                <w:szCs w:val="20"/>
              </w:rPr>
              <w:t xml:space="preserve">• Almacenamiento sin electroquímica</w:t>
            </w:r>
          </w:p>
          <w:p>
            <w:pPr>
              <w:spacing w:before="30" w:after="30"/>
            </w:pPr>
            <w:r>
              <w:rPr>
                <w:rFonts w:ascii="Calibri" w:cs="Calibri" w:eastAsia="Calibri" w:hAnsi="Calibri"/>
                <w:color w:val="2C3E50"/>
                <w:sz w:val="20"/>
                <w:szCs w:val="20"/>
              </w:rPr>
              <w:t xml:space="preserve">• Activos eléctricos como reguladores de red</w:t>
            </w:r>
          </w:p>
          <w:p>
            <w:pPr>
              <w:spacing w:before="30" w:after="30"/>
            </w:pPr>
            <w:r>
              <w:rPr>
                <w:rFonts w:ascii="Calibri" w:cs="Calibri" w:eastAsia="Calibri" w:hAnsi="Calibri"/>
                <w:color w:val="2C3E50"/>
                <w:sz w:val="20"/>
                <w:szCs w:val="20"/>
              </w:rPr>
              <w:t xml:space="preserve">• Objetivo España: 20 GW almacenamiento 2030</w:t>
            </w:r>
          </w:p>
          <w:p>
            <w:pPr>
              <w:spacing w:before="30" w:after="30"/>
            </w:pPr>
            <w:r>
              <w:rPr>
                <w:rFonts w:ascii="Calibri" w:cs="Calibri" w:eastAsia="Calibri" w:hAnsi="Calibri"/>
                <w:color w:val="2C3E50"/>
                <w:sz w:val="20"/>
                <w:szCs w:val="20"/>
              </w:rPr>
              <w:t xml:space="preserve">• Proyecto ViSync: almacenamiento híbrido en marcha</w:t>
            </w:r>
          </w:p>
          <w:p>
            <w:pPr>
              <w:spacing w:before="30" w:after="30"/>
            </w:pPr>
            <w:r>
              <w:rPr>
                <w:rFonts w:ascii="Calibri" w:cs="Calibri" w:eastAsia="Calibri" w:hAnsi="Calibri"/>
                <w:color w:val="2C3E50"/>
                <w:sz w:val="20"/>
                <w:szCs w:val="20"/>
              </w:rPr>
              <w:t xml:space="preserve">• New Ventures: colaboraciones con terceros</w:t>
            </w:r>
          </w:p>
        </w:tc>
        <w:tc>
          <w:tcPr>
            <w:tcW w:type="dxa" w:w="4500"/>
            <w:tcBorders>
              <w:top w:val="thick" w:color="0D7377" w:sz="4"/>
              <w:left w:val="none"/>
              <w:bottom w:val="none"/>
              <w:right w:val="none"/>
            </w:tcBorders>
            <w:shd w:color="F5F7FA" w:val="solid"/>
            <w:tcMar>
              <w:top w:type="dxa" w:w="120"/>
              <w:left w:type="dxa" w:w="180"/>
              <w:bottom w:type="dxa" w:w="120"/>
              <w:right w:type="dxa" w:w="180"/>
            </w:tcMar>
          </w:tcPr>
          <w:p>
            <w:r>
              <w:rPr>
                <w:rFonts w:ascii="Arial" w:cs="Arial" w:eastAsia="Arial" w:hAnsi="Arial"/>
                <w:b/>
                <w:bCs/>
                <w:color w:val="1A3A5C"/>
                <w:sz w:val="20"/>
                <w:szCs w:val="20"/>
              </w:rPr>
              <w:t xml:space="preserve">Qué aporta ZypyZape a cada vector</w:t>
            </w:r>
          </w:p>
          <w:p>
            <w:pPr>
              <w:spacing w:before="30" w:after="30"/>
            </w:pPr>
            <w:r>
              <w:rPr>
                <w:rFonts w:ascii="Calibri" w:cs="Calibri" w:eastAsia="Calibri" w:hAnsi="Calibri"/>
                <w:color w:val="2C3E50"/>
                <w:sz w:val="20"/>
                <w:szCs w:val="20"/>
              </w:rPr>
              <w:t xml:space="preserve">• Inercia virtual distribuida, respuesta &lt;500 ms</w:t>
            </w:r>
          </w:p>
          <w:p>
            <w:pPr>
              <w:spacing w:before="30" w:after="30"/>
            </w:pPr>
            <w:r>
              <w:rPr>
                <w:rFonts w:ascii="Calibri" w:cs="Calibri" w:eastAsia="Calibri" w:hAnsi="Calibri"/>
                <w:color w:val="2C3E50"/>
                <w:sz w:val="20"/>
                <w:szCs w:val="20"/>
              </w:rPr>
              <w:t xml:space="preserve">• +37% captación en parques existentes</w:t>
            </w:r>
          </w:p>
          <w:p>
            <w:pPr>
              <w:spacing w:before="30" w:after="30"/>
            </w:pPr>
            <w:r>
              <w:rPr>
                <w:rFonts w:ascii="Calibri" w:cs="Calibri" w:eastAsia="Calibri" w:hAnsi="Calibri"/>
                <w:color w:val="2C3E50"/>
                <w:sz w:val="20"/>
                <w:szCs w:val="20"/>
              </w:rPr>
              <w:t xml:space="preserve">• Física mecánica pura, cero litio</w:t>
            </w:r>
          </w:p>
          <w:p>
            <w:pPr>
              <w:spacing w:before="30" w:after="30"/>
            </w:pPr>
            <w:r>
              <w:rPr>
                <w:rFonts w:ascii="Calibri" w:cs="Calibri" w:eastAsia="Calibri" w:hAnsi="Calibri"/>
                <w:color w:val="2C3E50"/>
                <w:sz w:val="20"/>
                <w:szCs w:val="20"/>
              </w:rPr>
              <w:t xml:space="preserve">• Transforma generadores pasivos en reguladores</w:t>
            </w:r>
          </w:p>
          <w:p>
            <w:pPr>
              <w:spacing w:before="30" w:after="30"/>
            </w:pPr>
            <w:r>
              <w:rPr>
                <w:rFonts w:ascii="Calibri" w:cs="Calibri" w:eastAsia="Calibri" w:hAnsi="Calibri"/>
                <w:color w:val="2C3E50"/>
                <w:sz w:val="20"/>
                <w:szCs w:val="20"/>
              </w:rPr>
              <w:t xml:space="preserve">• Escalable a cientos de MW con parques existentes</w:t>
            </w:r>
          </w:p>
          <w:p>
            <w:pPr>
              <w:spacing w:before="30" w:after="30"/>
            </w:pPr>
            <w:r>
              <w:rPr>
                <w:rFonts w:ascii="Calibri" w:cs="Calibri" w:eastAsia="Calibri" w:hAnsi="Calibri"/>
                <w:color w:val="2C3E50"/>
                <w:sz w:val="20"/>
                <w:szCs w:val="20"/>
              </w:rPr>
              <w:t xml:space="preserve">• Complementario a ViSync: cinético vs híbrido</w:t>
            </w:r>
          </w:p>
          <w:p>
            <w:pPr>
              <w:spacing w:before="30" w:after="30"/>
            </w:pPr>
            <w:r>
              <w:rPr>
                <w:rFonts w:ascii="Calibri" w:cs="Calibri" w:eastAsia="Calibri" w:hAnsi="Calibri"/>
                <w:color w:val="2C3E50"/>
                <w:sz w:val="20"/>
                <w:szCs w:val="20"/>
              </w:rPr>
              <w:t xml:space="preserve">• Concepto inventado por tercero, listo para pilotar</w:t>
            </w:r>
          </w:p>
        </w:tc>
      </w:tr>
    </w:tbl>
    <w:p>
      <w:r>
        <w:rPr>
          <w:sz w:val="120"/>
          <w:szCs w:val="120"/>
        </w:rPr>
        <w:t xml:space="preserve"/>
      </w:r>
    </w:p>
    <w:p>
      <w:pPr>
        <w:pStyle w:val="Heading2"/>
        <w:spacing w:before="240" w:after="120"/>
      </w:pPr>
      <w:r>
        <w:rPr>
          <w:rFonts w:ascii="Arial" w:cs="Arial" w:eastAsia="Arial" w:hAnsi="Arial"/>
          <w:b/>
          <w:bCs/>
          <w:color w:val="0D7377"/>
          <w:sz w:val="24"/>
          <w:szCs w:val="24"/>
        </w:rPr>
        <w:t xml:space="preserve">6.1 Complementariedad con ViSync</w:t>
      </w:r>
    </w:p>
    <w:p>
      <w:pPr>
        <w:spacing w:before="80" w:after="80"/>
      </w:pPr>
      <w:r>
        <w:rPr>
          <w:rFonts w:ascii="Calibri" w:cs="Calibri" w:eastAsia="Calibri" w:hAnsi="Calibri"/>
          <w:b w:val="false"/>
          <w:bCs w:val="false"/>
          <w:i w:val="false"/>
          <w:iCs w:val="false"/>
          <w:color w:val="2C3E50"/>
          <w:sz w:val="22"/>
          <w:szCs w:val="22"/>
        </w:rPr>
        <w:t xml:space="preserve">ViSync (Lanzarote, 7,9M€, 2025) valida almacenamiento híbrido electroquímico-cinético en subestación. ZypyZape actúa aguas arriba: en el propio parque eólico, antes de la subestación. Son tecnologías complementarias: ViSync regula la red desde la subestación; ZypyZape regula desde la generación. Juntos cubren el espectro completo de la respuesta de inercia.</w:t>
      </w:r>
    </w:p>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7. Propuesta de Piloto — Coste Cero para Elewit</w:t>
      </w:r>
    </w:p>
    <w:p>
      <w:pPr>
        <w:spacing w:before="80" w:after="80"/>
      </w:pPr>
      <w:r>
        <w:rPr>
          <w:rFonts w:ascii="Calibri" w:cs="Calibri" w:eastAsia="Calibri" w:hAnsi="Calibri"/>
          <w:b w:val="false"/>
          <w:bCs w:val="false"/>
          <w:i w:val="false"/>
          <w:iCs w:val="false"/>
          <w:color w:val="2C3E50"/>
          <w:sz w:val="22"/>
          <w:szCs w:val="22"/>
        </w:rPr>
        <w:t xml:space="preserve">El modelo de colaboración propuesto permite a Elewit validar ZypyZape sin inversión inicial:</w:t>
      </w:r>
    </w:p>
    <w:p>
      <w:r>
        <w:rPr>
          <w:sz w:val="60"/>
          <w:szCs w:val="6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Valor / Fórmula</w:t>
            </w:r>
          </w:p>
        </w:tc>
        <w:tc>
          <w:tcPr>
            <w:shd w:color="1A3A5C" w:val="solid"/>
            <w:tcMar>
              <w:top w:type="dxa" w:w="80"/>
              <w:left w:type="dxa" w:w="120"/>
              <w:bottom w:type="dxa" w:w="80"/>
              <w:right w:type="dxa" w:w="120"/>
            </w:tcMar>
          </w:tcPr>
          <w:p>
            <w:r>
              <w:rPr>
                <w:rFonts w:ascii="Arial" w:cs="Arial" w:eastAsia="Arial" w:hAnsi="Arial"/>
                <w:b/>
                <w:bCs/>
                <w:color w:val="FFFFFF"/>
                <w:sz w:val="20"/>
                <w:szCs w:val="20"/>
              </w:rPr>
              <w:t xml:space="preserve">Relevancia para la red</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WP1 (meses 1–3)</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Simulación EMT del par A↔B</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Validación teórica, coste: horas ingeniería</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WP2 (meses 3–6)</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Firmware en banco de pruebas (HIL)</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Dos convertidores en laboratorio UPV/CSIC</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WP3 (meses 6–12)</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Piloto en parque real (2 turbinas)</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Parque con mínima penetración de red</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WP4 (meses 12–24)</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Módulo de 5 turbinas</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Validación de topología autorregulante</w:t>
            </w:r>
          </w:p>
        </w:tc>
      </w:tr>
      <w:tr>
        <w:tc>
          <w:tcPr>
            <w:shd w:color="E8F4F8" w:val="solid"/>
            <w:tcMar>
              <w:top w:type="dxa" w:w="60"/>
              <w:left w:type="dxa" w:w="120"/>
              <w:bottom w:type="dxa" w:w="60"/>
              <w:right w:type="dxa" w:w="120"/>
            </w:tcMar>
          </w:tcPr>
          <w:p>
            <w:r>
              <w:rPr>
                <w:rFonts w:ascii="Calibri" w:cs="Calibri" w:eastAsia="Calibri" w:hAnsi="Calibri"/>
                <w:b/>
                <w:bCs/>
                <w:color w:val="2C3E50"/>
                <w:sz w:val="20"/>
                <w:szCs w:val="20"/>
              </w:rPr>
              <w:t xml:space="preserve">WP5 (mes 24+)</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Despliegue comercial</w:t>
            </w:r>
          </w:p>
        </w:tc>
        <w:tc>
          <w:tcPr>
            <w:shd w:color="FFFFFF" w:val="solid"/>
            <w:tcMar>
              <w:top w:type="dxa" w:w="60"/>
              <w:left w:type="dxa" w:w="120"/>
              <w:bottom w:type="dxa" w:w="60"/>
              <w:right w:type="dxa" w:w="120"/>
            </w:tcMar>
          </w:tcPr>
          <w:p>
            <w:r>
              <w:rPr>
                <w:rFonts w:ascii="Calibri" w:cs="Calibri" w:eastAsia="Calibri" w:hAnsi="Calibri"/>
                <w:b w:val="false"/>
                <w:bCs w:val="false"/>
                <w:color w:val="2C3E50"/>
                <w:sz w:val="20"/>
                <w:szCs w:val="20"/>
              </w:rPr>
              <w:t xml:space="preserve">Licencia o spin-off con New Ventures</w:t>
            </w:r>
          </w:p>
        </w:tc>
      </w:tr>
    </w:tbl>
    <w:p>
      <w:r>
        <w:rPr>
          <w:sz w:val="120"/>
          <w:szCs w:val="120"/>
        </w:rPr>
        <w:t xml:space="preserve"/>
      </w:r>
    </w:p>
    <w:p>
      <w:pPr>
        <w:pStyle w:val="Heading2"/>
        <w:spacing w:before="240" w:after="120"/>
      </w:pPr>
      <w:r>
        <w:rPr>
          <w:rFonts w:ascii="Arial" w:cs="Arial" w:eastAsia="Arial" w:hAnsi="Arial"/>
          <w:b/>
          <w:bCs/>
          <w:color w:val="0D7377"/>
          <w:sz w:val="24"/>
          <w:szCs w:val="24"/>
        </w:rPr>
        <w:t xml:space="preserve">7.1 Financiación disponible para el piloto</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IDAE — Programa Energías Renovables Innovadoras (2ª convocatoria, feb 2026): alineado con Programa 3 (integración de renovables en infraestructuras)</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Next Generation EU — PERTE ERHA: el mismo fondo que financia ViSync</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Horizon Europe — Cluster 5 (Energía): almacenamiento cinético es área prioritaria</w:t>
      </w:r>
    </w:p>
    <w:p>
      <w:pPr>
        <w:pStyle w:val="ListParagraph"/>
        <w:numPr>
          <w:ilvl w:val="0"/>
          <w:numId w:val="2"/>
        </w:numPr>
        <w:spacing w:before="40" w:after="40"/>
      </w:pPr>
      <w:r>
        <w:rPr>
          <w:rFonts w:ascii="Calibri" w:cs="Calibri" w:eastAsia="Calibri" w:hAnsi="Calibri"/>
          <w:b/>
          <w:bCs/>
          <w:color w:val="0D7377"/>
          <w:sz w:val="22"/>
          <w:szCs w:val="22"/>
        </w:rPr>
        <w:t xml:space="preserve">→ </w:t>
      </w:r>
      <w:r>
        <w:rPr>
          <w:rFonts w:ascii="Calibri" w:cs="Calibri" w:eastAsia="Calibri" w:hAnsi="Calibri"/>
          <w:color w:val="2C3E50"/>
          <w:sz w:val="22"/>
          <w:szCs w:val="22"/>
        </w:rPr>
        <w:t xml:space="preserve">UPV EPSA Alcoy — TFG/TFM: implementación de firmware sin coste de personal</w:t>
      </w:r>
    </w:p>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8. Ventajas Competitivas Frente a Alternativas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thick" w:color="0D7377" w:sz="4"/>
              <w:left w:val="none"/>
              <w:bottom w:val="none"/>
              <w:right w:val="single" w:color="CCCCCC" w:sz="2"/>
            </w:tcBorders>
            <w:shd w:color="E8F4F8" w:val="solid"/>
            <w:tcMar>
              <w:top w:type="dxa" w:w="120"/>
              <w:left w:type="dxa" w:w="180"/>
              <w:bottom w:type="dxa" w:w="120"/>
              <w:right w:type="dxa" w:w="180"/>
            </w:tcMar>
          </w:tcPr>
          <w:p>
            <w:r>
              <w:rPr>
                <w:rFonts w:ascii="Arial" w:cs="Arial" w:eastAsia="Arial" w:hAnsi="Arial"/>
                <w:b/>
                <w:bCs/>
                <w:color w:val="1A3A5C"/>
                <w:sz w:val="20"/>
                <w:szCs w:val="20"/>
              </w:rPr>
              <w:t xml:space="preserve">Baterías de litio (300–600 €/kWh)</w:t>
            </w:r>
          </w:p>
          <w:p>
            <w:pPr>
              <w:spacing w:before="30" w:after="30"/>
            </w:pPr>
            <w:r>
              <w:rPr>
                <w:rFonts w:ascii="Calibri" w:cs="Calibri" w:eastAsia="Calibri" w:hAnsi="Calibri"/>
                <w:color w:val="2C3E50"/>
                <w:sz w:val="20"/>
                <w:szCs w:val="20"/>
              </w:rPr>
              <w:t xml:space="preserve">✗ Alto coste de inversión</w:t>
            </w:r>
          </w:p>
          <w:p>
            <w:pPr>
              <w:spacing w:before="30" w:after="30"/>
            </w:pPr>
            <w:r>
              <w:rPr>
                <w:rFonts w:ascii="Calibri" w:cs="Calibri" w:eastAsia="Calibri" w:hAnsi="Calibri"/>
                <w:color w:val="2C3E50"/>
                <w:sz w:val="20"/>
                <w:szCs w:val="20"/>
              </w:rPr>
              <w:t xml:space="preserve">✗ Vida útil limitada (8–12 años)</w:t>
            </w:r>
          </w:p>
          <w:p>
            <w:pPr>
              <w:spacing w:before="30" w:after="30"/>
            </w:pPr>
            <w:r>
              <w:rPr>
                <w:rFonts w:ascii="Calibri" w:cs="Calibri" w:eastAsia="Calibri" w:hAnsi="Calibri"/>
                <w:color w:val="2C3E50"/>
                <w:sz w:val="20"/>
                <w:szCs w:val="20"/>
              </w:rPr>
              <w:t xml:space="preserve">✗ Degradación de capacidad</w:t>
            </w:r>
          </w:p>
          <w:p>
            <w:pPr>
              <w:spacing w:before="30" w:after="30"/>
            </w:pPr>
            <w:r>
              <w:rPr>
                <w:rFonts w:ascii="Calibri" w:cs="Calibri" w:eastAsia="Calibri" w:hAnsi="Calibri"/>
                <w:color w:val="2C3E50"/>
                <w:sz w:val="20"/>
                <w:szCs w:val="20"/>
              </w:rPr>
              <w:t xml:space="preserve">✗ Requiere gestión térmica</w:t>
            </w:r>
          </w:p>
          <w:p>
            <w:pPr>
              <w:spacing w:before="30" w:after="30"/>
            </w:pPr>
            <w:r>
              <w:rPr>
                <w:rFonts w:ascii="Calibri" w:cs="Calibri" w:eastAsia="Calibri" w:hAnsi="Calibri"/>
                <w:color w:val="2C3E50"/>
                <w:sz w:val="20"/>
                <w:szCs w:val="20"/>
              </w:rPr>
              <w:t xml:space="preserve">✗ Impacto ambiental en fabricación</w:t>
            </w:r>
          </w:p>
          <w:p>
            <w:pPr>
              <w:spacing w:before="30" w:after="30"/>
            </w:pPr>
            <w:r>
              <w:rPr>
                <w:rFonts w:ascii="Calibri" w:cs="Calibri" w:eastAsia="Calibri" w:hAnsi="Calibri"/>
                <w:color w:val="2C3E50"/>
                <w:sz w:val="20"/>
                <w:szCs w:val="20"/>
              </w:rPr>
              <w:t xml:space="preserve">✗ Infraestructura nueva</w:t>
            </w:r>
          </w:p>
        </w:tc>
        <w:tc>
          <w:tcPr>
            <w:tcW w:type="dxa" w:w="4500"/>
            <w:tcBorders>
              <w:top w:val="thick" w:color="0D7377" w:sz="4"/>
              <w:left w:val="none"/>
              <w:bottom w:val="none"/>
              <w:right w:val="none"/>
            </w:tcBorders>
            <w:shd w:color="F5F7FA" w:val="solid"/>
            <w:tcMar>
              <w:top w:type="dxa" w:w="120"/>
              <w:left w:type="dxa" w:w="180"/>
              <w:bottom w:type="dxa" w:w="120"/>
              <w:right w:type="dxa" w:w="180"/>
            </w:tcMar>
          </w:tcPr>
          <w:p>
            <w:r>
              <w:rPr>
                <w:rFonts w:ascii="Arial" w:cs="Arial" w:eastAsia="Arial" w:hAnsi="Arial"/>
                <w:b/>
                <w:bCs/>
                <w:color w:val="1A3A5C"/>
                <w:sz w:val="20"/>
                <w:szCs w:val="20"/>
              </w:rPr>
              <w:t xml:space="preserve">ZypyZape (física mecánica pura)</w:t>
            </w:r>
          </w:p>
          <w:p>
            <w:pPr>
              <w:spacing w:before="30" w:after="30"/>
            </w:pPr>
            <w:r>
              <w:rPr>
                <w:rFonts w:ascii="Calibri" w:cs="Calibri" w:eastAsia="Calibri" w:hAnsi="Calibri"/>
                <w:color w:val="2C3E50"/>
                <w:sz w:val="20"/>
                <w:szCs w:val="20"/>
              </w:rPr>
              <w:t xml:space="preserve">✓ Infraestructura existente</w:t>
            </w:r>
          </w:p>
          <w:p>
            <w:pPr>
              <w:spacing w:before="30" w:after="30"/>
            </w:pPr>
            <w:r>
              <w:rPr>
                <w:rFonts w:ascii="Calibri" w:cs="Calibri" w:eastAsia="Calibri" w:hAnsi="Calibri"/>
                <w:color w:val="2C3E50"/>
                <w:sz w:val="20"/>
                <w:szCs w:val="20"/>
              </w:rPr>
              <w:t xml:space="preserve">✓ Vida útil = vida del aerogenerador</w:t>
            </w:r>
          </w:p>
          <w:p>
            <w:pPr>
              <w:spacing w:before="30" w:after="30"/>
            </w:pPr>
            <w:r>
              <w:rPr>
                <w:rFonts w:ascii="Calibri" w:cs="Calibri" w:eastAsia="Calibri" w:hAnsi="Calibri"/>
                <w:color w:val="2C3E50"/>
                <w:sz w:val="20"/>
                <w:szCs w:val="20"/>
              </w:rPr>
              <w:t xml:space="preserve">✓ Sin degradación de inercia</w:t>
            </w:r>
          </w:p>
          <w:p>
            <w:pPr>
              <w:spacing w:before="30" w:after="30"/>
            </w:pPr>
            <w:r>
              <w:rPr>
                <w:rFonts w:ascii="Calibri" w:cs="Calibri" w:eastAsia="Calibri" w:hAnsi="Calibri"/>
                <w:color w:val="2C3E50"/>
                <w:sz w:val="20"/>
                <w:szCs w:val="20"/>
              </w:rPr>
              <w:t xml:space="preserve">✓ Disipación natural por rozamiento</w:t>
            </w:r>
          </w:p>
          <w:p>
            <w:pPr>
              <w:spacing w:before="30" w:after="30"/>
            </w:pPr>
            <w:r>
              <w:rPr>
                <w:rFonts w:ascii="Calibri" w:cs="Calibri" w:eastAsia="Calibri" w:hAnsi="Calibri"/>
                <w:color w:val="2C3E50"/>
                <w:sz w:val="20"/>
                <w:szCs w:val="20"/>
              </w:rPr>
              <w:t xml:space="preserve">✓ Cero materiales críticos</w:t>
            </w:r>
          </w:p>
          <w:p>
            <w:pPr>
              <w:spacing w:before="30" w:after="30"/>
            </w:pPr>
            <w:r>
              <w:rPr>
                <w:rFonts w:ascii="Calibri" w:cs="Calibri" w:eastAsia="Calibri" w:hAnsi="Calibri"/>
                <w:color w:val="2C3E50"/>
                <w:sz w:val="20"/>
                <w:szCs w:val="20"/>
              </w:rPr>
              <w:t xml:space="preserve">✓ Actualización por software</w:t>
            </w:r>
          </w:p>
        </w:tc>
      </w:tr>
    </w:tbl>
    <w:p>
      <w:r>
        <w:rPr>
          <w:sz w:val="120"/>
          <w:szCs w:val="1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thick" w:color="0D7377" w:sz="6"/>
              <w:left w:val="thick" w:color="0D7377" w:sz="6"/>
              <w:bottom w:val="none"/>
              <w:right w:val="none"/>
            </w:tcBorders>
            <w:shd w:color="E8F4F8" w:val="solid"/>
            <w:tcMar>
              <w:top w:type="dxa" w:w="120"/>
              <w:left w:type="dxa" w:w="180"/>
              <w:bottom w:type="dxa" w:w="120"/>
              <w:right w:type="dxa" w:w="180"/>
            </w:tcMar>
          </w:tcPr>
          <w:p>
            <w:r>
              <w:rPr>
                <w:rFonts w:ascii="Arial" w:cs="Arial" w:eastAsia="Arial" w:hAnsi="Arial"/>
                <w:b/>
                <w:bCs/>
                <w:color w:val="1A3A5C"/>
                <w:sz w:val="22"/>
                <w:szCs w:val="22"/>
              </w:rPr>
              <w:t xml:space="preserve">Diferenciador clave frente a FESS (Flywheel Energy Storage Systems) clásicos</w:t>
            </w:r>
          </w:p>
          <w:p>
            <w:pPr>
              <w:spacing w:before="40" w:after="40"/>
            </w:pPr>
            <w:r>
              <w:rPr>
                <w:rFonts w:ascii="Calibri" w:cs="Calibri" w:eastAsia="Calibri" w:hAnsi="Calibri"/>
                <w:color w:val="2C3E50"/>
                <w:sz w:val="20"/>
                <w:szCs w:val="20"/>
              </w:rPr>
              <w:t xml:space="preserve">Los FESS clásicos requieren volantes de inercia dedicados, cámaras de vacío, rodamientos</w:t>
            </w:r>
          </w:p>
          <w:p>
            <w:pPr>
              <w:spacing w:before="40" w:after="40"/>
            </w:pPr>
            <w:r>
              <w:rPr>
                <w:rFonts w:ascii="Calibri" w:cs="Calibri" w:eastAsia="Calibri" w:hAnsi="Calibri"/>
                <w:color w:val="2C3E50"/>
                <w:sz w:val="20"/>
                <w:szCs w:val="20"/>
              </w:rPr>
              <w:t xml:space="preserve">magnéticos y costosa infraestructura civil. ZypyZape usa la masa giratoria YA EXISTENTE</w:t>
            </w:r>
          </w:p>
          <w:p>
            <w:pPr>
              <w:spacing w:before="40" w:after="40"/>
            </w:pPr>
            <w:r>
              <w:rPr>
                <w:rFonts w:ascii="Calibri" w:cs="Calibri" w:eastAsia="Calibri" w:hAnsi="Calibri"/>
                <w:color w:val="2C3E50"/>
                <w:sz w:val="20"/>
                <w:szCs w:val="20"/>
              </w:rPr>
              <w:t xml:space="preserve">en los rotores de los aerogeneradores. No hay hardware nuevo. El coste marginal tiende a cero.</w:t>
            </w:r>
          </w:p>
        </w:tc>
      </w:tr>
    </w:tbl>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9. Sobre el Inventor</w:t>
      </w:r>
    </w:p>
    <w:p>
      <w:pPr>
        <w:spacing w:before="80" w:after="80"/>
      </w:pPr>
      <w:r>
        <w:rPr>
          <w:rFonts w:ascii="Calibri" w:cs="Calibri" w:eastAsia="Calibri" w:hAnsi="Calibri"/>
          <w:b w:val="false"/>
          <w:bCs w:val="false"/>
          <w:i w:val="false"/>
          <w:iCs w:val="false"/>
          <w:color w:val="2C3E50"/>
          <w:sz w:val="22"/>
          <w:szCs w:val="22"/>
        </w:rPr>
        <w:t xml:space="preserve">Víctor Manzanares Alberola es exalumno de la EPSA (Universitat Politècnica de València, campus de Alcoy), con formación en ingeniería y una trayectoria de investigación independiente en teoría de números, algoritmos y sistemas físicos.</w:t>
      </w:r>
    </w:p>
    <w:p>
      <w:r>
        <w:rPr>
          <w:sz w:val="60"/>
          <w:szCs w:val="60"/>
        </w:rPr>
        <w:t xml:space="preserve"/>
      </w:r>
    </w:p>
    <w:p>
      <w:pPr>
        <w:spacing w:before="80" w:after="80"/>
      </w:pPr>
      <w:r>
        <w:rPr>
          <w:rFonts w:ascii="Calibri" w:cs="Calibri" w:eastAsia="Calibri" w:hAnsi="Calibri"/>
          <w:b w:val="false"/>
          <w:bCs w:val="false"/>
          <w:i w:val="false"/>
          <w:iCs w:val="false"/>
          <w:color w:val="2C3E50"/>
          <w:sz w:val="22"/>
          <w:szCs w:val="22"/>
        </w:rPr>
        <w:t xml:space="preserve">ZypyZape es parte de un cuerpo de trabajo más amplio que incluye algoritmos de criba de primos (publicados bajo el título Sigo en mis Trece, 2025), conjeturas sobre primos de Sophie Germain, y métodos de estimación de π(n). La misma mentalidad que llevó a formular la criba desmemoriada — buscar soluciones con mínima memoria y máxima eficiencia — es la que produce ZypyZape: hacer más con lo que ya existe.</w:t>
      </w:r>
    </w:p>
    <w:p>
      <w:r>
        <w:rPr>
          <w:sz w:val="80"/>
          <w:szCs w:val="80"/>
        </w:rPr>
        <w:t xml:space="preserve"/>
      </w:r>
    </w:p>
    <w:p>
      <w:pPr>
        <w:spacing w:before="80" w:after="80"/>
      </w:pPr>
      <w:r>
        <w:rPr>
          <w:rFonts w:ascii="Calibri" w:cs="Calibri" w:eastAsia="Calibri" w:hAnsi="Calibri"/>
          <w:b w:val="false"/>
          <w:bCs w:val="false"/>
          <w:i w:val="false"/>
          <w:iCs w:val="false"/>
          <w:color w:val="2C3E50"/>
          <w:sz w:val="22"/>
          <w:szCs w:val="22"/>
        </w:rPr>
        <w:t xml:space="preserve">El concepto ZypyZape fue desarrollado independientemente y está documentado en múltiples presentaciones con fecha anterior a esta propuesta (febrero–marzo 2026). El inventor no tiene recursos para prototipar pero sí para colaborar técnicamente en todas las fases del piloto.</w:t>
      </w:r>
    </w:p>
    <w:p>
      <w:r>
        <w:rPr>
          <w:sz w:val="120"/>
          <w:szCs w:val="120"/>
        </w:rPr>
        <w:t xml:space="preserve"/>
      </w:r>
    </w:p>
    <w:p>
      <w:r>
        <w:br w:type="page"/>
      </w:r>
    </w:p>
    <w:p>
      <w:pPr>
        <w:pStyle w:val="Heading1"/>
        <w:spacing w:before="320" w:after="160"/>
      </w:pPr>
      <w:r>
        <w:rPr>
          <w:rFonts w:ascii="Arial" w:cs="Arial" w:eastAsia="Arial" w:hAnsi="Arial"/>
          <w:b/>
          <w:bCs/>
          <w:color w:val="1A3A5C"/>
          <w:sz w:val="28"/>
          <w:szCs w:val="28"/>
        </w:rPr>
        <w:t xml:space="preserve">10. Solicitud Formal</w:t>
      </w:r>
    </w:p>
    <w:p>
      <w:pPr>
        <w:spacing w:before="80" w:after="80"/>
      </w:pPr>
      <w:r>
        <w:rPr>
          <w:rFonts w:ascii="Calibri" w:cs="Calibri" w:eastAsia="Calibri" w:hAnsi="Calibri"/>
          <w:b w:val="false"/>
          <w:bCs w:val="false"/>
          <w:i w:val="false"/>
          <w:iCs w:val="false"/>
          <w:color w:val="2C3E50"/>
          <w:sz w:val="22"/>
          <w:szCs w:val="22"/>
        </w:rPr>
        <w:t xml:space="preserve">Por la presente, Víctor Manzanares Alberola propone a Elewit / Red Eléctrica de España la evaluación de ZypyZape en el marco del programa New Ventures de innovación abierta con terceros.</w:t>
      </w:r>
    </w:p>
    <w:p>
      <w:r>
        <w:rPr>
          <w:sz w:val="60"/>
          <w:szCs w:val="60"/>
        </w:rPr>
        <w:t xml:space="preserve"/>
      </w:r>
    </w:p>
    <w:p>
      <w:pPr>
        <w:spacing w:before="80" w:after="80"/>
      </w:pPr>
      <w:r>
        <w:rPr>
          <w:rFonts w:ascii="Calibri" w:cs="Calibri" w:eastAsia="Calibri" w:hAnsi="Calibri"/>
          <w:b/>
          <w:bCs/>
          <w:i w:val="false"/>
          <w:iCs w:val="false"/>
          <w:color w:val="2C3E50"/>
          <w:sz w:val="22"/>
          <w:szCs w:val="22"/>
        </w:rPr>
        <w:t xml:space="preserve">Se solicita específicamente:</w:t>
      </w:r>
    </w:p>
    <w:p>
      <w:r>
        <w:rPr>
          <w:sz w:val="40"/>
          <w:szCs w:val="40"/>
        </w:rPr>
        <w:t xml:space="preserve"/>
      </w:r>
    </w:p>
    <w:p>
      <w:pPr>
        <w:pStyle w:val="ListParagraph"/>
        <w:numPr>
          <w:ilvl w:val="0"/>
          <w:numId w:val="2"/>
        </w:numPr>
        <w:spacing w:before="40" w:after="40"/>
      </w:pPr>
      <w:r>
        <w:rPr>
          <w:rFonts w:ascii="Calibri" w:cs="Calibri" w:eastAsia="Calibri" w:hAnsi="Calibri"/>
          <w:b/>
          <w:bCs/>
          <w:color w:val="0D7377"/>
          <w:sz w:val="22"/>
          <w:szCs w:val="22"/>
        </w:rPr>
        <w:t xml:space="preserve">1. </w:t>
      </w:r>
      <w:r>
        <w:rPr>
          <w:rFonts w:ascii="Calibri" w:cs="Calibri" w:eastAsia="Calibri" w:hAnsi="Calibri"/>
          <w:color w:val="2C3E50"/>
          <w:sz w:val="22"/>
          <w:szCs w:val="22"/>
        </w:rPr>
        <w:t xml:space="preserve">Una reunión técnica inicial (presencial o videoconferencia) con el equipo de almacenamiento e inercia sintética de Elewit.</w:t>
      </w:r>
    </w:p>
    <w:p>
      <w:pPr>
        <w:pStyle w:val="ListParagraph"/>
        <w:numPr>
          <w:ilvl w:val="0"/>
          <w:numId w:val="2"/>
        </w:numPr>
        <w:spacing w:before="40" w:after="40"/>
      </w:pPr>
      <w:r>
        <w:rPr>
          <w:rFonts w:ascii="Calibri" w:cs="Calibri" w:eastAsia="Calibri" w:hAnsi="Calibri"/>
          <w:b/>
          <w:bCs/>
          <w:color w:val="0D7377"/>
          <w:sz w:val="22"/>
          <w:szCs w:val="22"/>
        </w:rPr>
        <w:t xml:space="preserve">2. </w:t>
      </w:r>
      <w:r>
        <w:rPr>
          <w:rFonts w:ascii="Calibri" w:cs="Calibri" w:eastAsia="Calibri" w:hAnsi="Calibri"/>
          <w:color w:val="2C3E50"/>
          <w:sz w:val="22"/>
          <w:szCs w:val="22"/>
        </w:rPr>
        <w:t xml:space="preserve">Evaluación del concepto por parte del equipo de Operación del Sistema de Red Eléctrica.</w:t>
      </w:r>
    </w:p>
    <w:p>
      <w:pPr>
        <w:pStyle w:val="ListParagraph"/>
        <w:numPr>
          <w:ilvl w:val="0"/>
          <w:numId w:val="2"/>
        </w:numPr>
        <w:spacing w:before="40" w:after="40"/>
      </w:pPr>
      <w:r>
        <w:rPr>
          <w:rFonts w:ascii="Calibri" w:cs="Calibri" w:eastAsia="Calibri" w:hAnsi="Calibri"/>
          <w:b/>
          <w:bCs/>
          <w:color w:val="0D7377"/>
          <w:sz w:val="22"/>
          <w:szCs w:val="22"/>
        </w:rPr>
        <w:t xml:space="preserve">3. </w:t>
      </w:r>
      <w:r>
        <w:rPr>
          <w:rFonts w:ascii="Calibri" w:cs="Calibri" w:eastAsia="Calibri" w:hAnsi="Calibri"/>
          <w:color w:val="2C3E50"/>
          <w:sz w:val="22"/>
          <w:szCs w:val="22"/>
        </w:rPr>
        <w:t xml:space="preserve">En caso de interés, definición conjunta del alcance del WP1 (simulación EMT).</w:t>
      </w:r>
    </w:p>
    <w:p>
      <w:r>
        <w:rPr>
          <w:sz w:val="120"/>
          <w:szCs w:val="120"/>
        </w:rPr>
        <w:t xml:space="preserve"/>
      </w:r>
    </w:p>
    <w:p>
      <w:pPr>
        <w:spacing w:before="80" w:after="80"/>
      </w:pPr>
      <w:r>
        <w:rPr>
          <w:rFonts w:ascii="Calibri" w:cs="Calibri" w:eastAsia="Calibri" w:hAnsi="Calibri"/>
          <w:b/>
          <w:bCs/>
          <w:i w:val="false"/>
          <w:iCs w:val="false"/>
          <w:color w:val="2C3E50"/>
          <w:sz w:val="22"/>
          <w:szCs w:val="22"/>
        </w:rPr>
        <w:t xml:space="preserve">Contacto:</w:t>
      </w:r>
    </w:p>
    <w:p>
      <w:pPr>
        <w:spacing w:before="80" w:after="80"/>
      </w:pPr>
      <w:r>
        <w:rPr>
          <w:rFonts w:ascii="Calibri" w:cs="Calibri" w:eastAsia="Calibri" w:hAnsi="Calibri"/>
          <w:b w:val="false"/>
          <w:bCs w:val="false"/>
          <w:i w:val="false"/>
          <w:iCs w:val="false"/>
          <w:color w:val="2C3E50"/>
          <w:sz w:val="22"/>
          <w:szCs w:val="22"/>
        </w:rPr>
        <w:t xml:space="preserve">Víctor Manzanares Alberola</w:t>
      </w:r>
    </w:p>
    <w:p>
      <w:pPr>
        <w:spacing w:before="80" w:after="80"/>
      </w:pPr>
      <w:r>
        <w:rPr>
          <w:rFonts w:ascii="Calibri" w:cs="Calibri" w:eastAsia="Calibri" w:hAnsi="Calibri"/>
          <w:b w:val="false"/>
          <w:bCs w:val="false"/>
          <w:i w:val="false"/>
          <w:iCs w:val="false"/>
          <w:color w:val="2C3E50"/>
          <w:sz w:val="22"/>
          <w:szCs w:val="22"/>
        </w:rPr>
        <w:t xml:space="preserve">victormanzaresalberola@gmail.com</w:t>
      </w:r>
    </w:p>
    <w:p>
      <w:pPr>
        <w:spacing w:before="80" w:after="80"/>
      </w:pPr>
      <w:r>
        <w:rPr>
          <w:rFonts w:ascii="Calibri" w:cs="Calibri" w:eastAsia="Calibri" w:hAnsi="Calibri"/>
          <w:b w:val="false"/>
          <w:bCs w:val="false"/>
          <w:i w:val="false"/>
          <w:iCs w:val="false"/>
          <w:color w:val="2C3E50"/>
          <w:sz w:val="22"/>
          <w:szCs w:val="22"/>
        </w:rPr>
        <w:t xml:space="preserve">Exalumno EPSA – UPV Alcoy</w:t>
      </w:r>
    </w:p>
    <w:p>
      <w:r>
        <w:rPr>
          <w:sz w:val="200"/>
          <w:szCs w:val="200"/>
        </w:rPr>
        <w:t xml:space="preserve"/>
      </w:r>
    </w:p>
    <w:p>
      <w:pPr>
        <w:jc w:val="right"/>
      </w:pPr>
      <w:r>
        <w:rPr>
          <w:rFonts w:ascii="Calibri" w:cs="Calibri" w:eastAsia="Calibri" w:hAnsi="Calibri"/>
          <w:i/>
          <w:iCs/>
          <w:color w:val="2C3E50"/>
          <w:sz w:val="20"/>
          <w:szCs w:val="20"/>
        </w:rPr>
        <w:t xml:space="preserve">Valencia, marzo de 2026</w:t>
      </w:r>
    </w:p>
    <w:p>
      <w:r>
        <w:rPr>
          <w:sz w:val="80"/>
          <w:szCs w:val="80"/>
        </w:rPr>
        <w:t xml:space="preserve"/>
      </w:r>
    </w:p>
    <w:p>
      <w:pPr>
        <w:jc w:val="right"/>
      </w:pPr>
      <w:r>
        <w:rPr>
          <w:rFonts w:ascii="Calibri" w:cs="Calibri" w:eastAsia="Calibri" w:hAnsi="Calibri"/>
          <w:b/>
          <w:bCs/>
          <w:color w:val="1A3A5C"/>
          <w:sz w:val="22"/>
          <w:szCs w:val="22"/>
        </w:rPr>
        <w:t xml:space="preserve">Víctor Manzanares Alberola</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2026-03-05T16:09:15.062Z</dcterms:created>
  <dcterms:modified xsi:type="dcterms:W3CDTF">2026-03-05T16:09:15.064Z</dcterms:modified>
</cp:coreProperties>
</file>

<file path=docProps/custom.xml><?xml version="1.0" encoding="utf-8"?>
<Properties xmlns="http://schemas.openxmlformats.org/officeDocument/2006/custom-properties" xmlns:vt="http://schemas.openxmlformats.org/officeDocument/2006/docPropsVTypes"/>
</file>